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075B" w14:textId="77777777" w:rsidR="00B60CF5" w:rsidRDefault="00102596" w:rsidP="00102596">
      <w:pPr>
        <w:rPr>
          <w:rFonts w:cstheme="minorHAnsi"/>
          <w:b/>
          <w:bCs/>
        </w:rPr>
      </w:pPr>
      <w:r>
        <w:rPr>
          <w:rFonts w:cstheme="minorHAnsi"/>
          <w:b/>
          <w:bCs/>
        </w:rPr>
        <w:tab/>
      </w:r>
      <w:r>
        <w:rPr>
          <w:rFonts w:cstheme="minorHAnsi"/>
          <w:b/>
          <w:bCs/>
        </w:rPr>
        <w:tab/>
      </w:r>
      <w:r>
        <w:rPr>
          <w:rFonts w:cstheme="minorHAnsi"/>
          <w:b/>
          <w:bCs/>
        </w:rPr>
        <w:tab/>
      </w:r>
    </w:p>
    <w:p w14:paraId="33B56123" w14:textId="3AEA4796" w:rsidR="00102596" w:rsidRPr="003A1BB6" w:rsidRDefault="00102596" w:rsidP="00B60CF5">
      <w:pPr>
        <w:jc w:val="center"/>
        <w:rPr>
          <w:rFonts w:cstheme="minorHAnsi"/>
          <w:b/>
          <w:bCs/>
        </w:rPr>
      </w:pPr>
      <w:r w:rsidRPr="003A1BB6">
        <w:rPr>
          <w:rFonts w:cstheme="minorHAnsi"/>
          <w:b/>
          <w:bCs/>
        </w:rPr>
        <w:t>Greencoat Renewables 202</w:t>
      </w:r>
      <w:r w:rsidR="00CF1026">
        <w:rPr>
          <w:rFonts w:cstheme="minorHAnsi"/>
          <w:b/>
          <w:bCs/>
        </w:rPr>
        <w:t>5</w:t>
      </w:r>
      <w:r w:rsidRPr="003A1BB6">
        <w:rPr>
          <w:rFonts w:cstheme="minorHAnsi"/>
          <w:b/>
          <w:bCs/>
        </w:rPr>
        <w:t xml:space="preserve"> </w:t>
      </w:r>
      <w:r>
        <w:rPr>
          <w:rFonts w:cstheme="minorHAnsi"/>
          <w:b/>
          <w:bCs/>
        </w:rPr>
        <w:t xml:space="preserve">Interim </w:t>
      </w:r>
      <w:r w:rsidRPr="003A1BB6">
        <w:rPr>
          <w:rFonts w:cstheme="minorHAnsi"/>
          <w:b/>
          <w:bCs/>
        </w:rPr>
        <w:t>Results</w:t>
      </w:r>
    </w:p>
    <w:p w14:paraId="505C53FB" w14:textId="77777777" w:rsidR="00102596" w:rsidRPr="003A1BB6" w:rsidRDefault="00102596" w:rsidP="00102596">
      <w:pPr>
        <w:jc w:val="both"/>
        <w:rPr>
          <w:rFonts w:cstheme="minorHAnsi"/>
          <w:b/>
        </w:rPr>
      </w:pPr>
    </w:p>
    <w:p w14:paraId="010E9CFA" w14:textId="2A05003B" w:rsidR="00102596" w:rsidRPr="003A1BB6" w:rsidRDefault="00CF1026" w:rsidP="00102596">
      <w:pPr>
        <w:jc w:val="both"/>
        <w:rPr>
          <w:rFonts w:cstheme="minorHAnsi"/>
        </w:rPr>
      </w:pPr>
      <w:r w:rsidRPr="004A05A8">
        <w:rPr>
          <w:rFonts w:cstheme="minorHAnsi"/>
          <w:b/>
          <w:bCs/>
        </w:rPr>
        <w:t>Dublin, London, Johannesburg</w:t>
      </w:r>
      <w:r>
        <w:rPr>
          <w:rFonts w:cstheme="minorHAnsi"/>
          <w:b/>
          <w:bCs/>
        </w:rPr>
        <w:t xml:space="preserve"> </w:t>
      </w:r>
      <w:r w:rsidRPr="004A05A8">
        <w:rPr>
          <w:rFonts w:cstheme="minorHAnsi"/>
          <w:b/>
          <w:bCs/>
        </w:rPr>
        <w:t xml:space="preserve">| </w:t>
      </w:r>
      <w:r>
        <w:rPr>
          <w:rFonts w:cstheme="minorHAnsi"/>
          <w:b/>
          <w:bCs/>
        </w:rPr>
        <w:t xml:space="preserve">15 September </w:t>
      </w:r>
      <w:r w:rsidRPr="004A05A8">
        <w:rPr>
          <w:rFonts w:cstheme="minorHAnsi"/>
          <w:b/>
          <w:bCs/>
        </w:rPr>
        <w:t>2025</w:t>
      </w:r>
      <w:r w:rsidR="00102596" w:rsidRPr="003A1BB6">
        <w:rPr>
          <w:rFonts w:cstheme="minorHAnsi"/>
          <w:b/>
        </w:rPr>
        <w:t xml:space="preserve">: </w:t>
      </w:r>
      <w:r w:rsidR="00102596" w:rsidRPr="003A1BB6">
        <w:rPr>
          <w:rFonts w:cstheme="minorHAnsi"/>
        </w:rPr>
        <w:t xml:space="preserve">Greencoat Renewables PLC (“Greencoat Renewables” or the “Company”) today announces its results for </w:t>
      </w:r>
      <w:r w:rsidR="00102596" w:rsidRPr="2E978026">
        <w:t>the six months ended 30 June 202</w:t>
      </w:r>
      <w:r>
        <w:t>5</w:t>
      </w:r>
      <w:r w:rsidR="00E02FA9">
        <w:t xml:space="preserve"> (“Interim Results”)</w:t>
      </w:r>
      <w:r w:rsidR="00102596" w:rsidRPr="003A1BB6">
        <w:rPr>
          <w:rFonts w:cstheme="minorHAnsi"/>
        </w:rPr>
        <w:t xml:space="preserve">, which have been published </w:t>
      </w:r>
      <w:r w:rsidR="00102596">
        <w:rPr>
          <w:rFonts w:cstheme="minorHAnsi"/>
        </w:rPr>
        <w:t xml:space="preserve">in full </w:t>
      </w:r>
      <w:r w:rsidR="00102596" w:rsidRPr="003A1BB6">
        <w:rPr>
          <w:rFonts w:cstheme="minorHAnsi"/>
        </w:rPr>
        <w:t xml:space="preserve">on the Company’s website: </w:t>
      </w:r>
      <w:hyperlink r:id="rId11" w:history="1">
        <w:r w:rsidR="00102596" w:rsidRPr="003A1BB6">
          <w:rPr>
            <w:rStyle w:val="Hyperlink"/>
            <w:rFonts w:cstheme="minorHAnsi"/>
          </w:rPr>
          <w:t>www.greencoat-renewables.com</w:t>
        </w:r>
      </w:hyperlink>
      <w:r w:rsidR="00102596" w:rsidRPr="003A1BB6">
        <w:rPr>
          <w:rFonts w:cstheme="minorHAnsi"/>
        </w:rPr>
        <w:t xml:space="preserve">. </w:t>
      </w:r>
    </w:p>
    <w:p w14:paraId="28A8DFAA" w14:textId="77777777" w:rsidR="00102596" w:rsidRPr="003A1BB6" w:rsidRDefault="00102596" w:rsidP="00102596">
      <w:pPr>
        <w:jc w:val="both"/>
        <w:rPr>
          <w:rFonts w:cstheme="minorHAnsi"/>
        </w:rPr>
      </w:pPr>
    </w:p>
    <w:p w14:paraId="7199431D" w14:textId="0ABFCC98" w:rsidR="00102596" w:rsidRPr="00851401" w:rsidRDefault="00102596" w:rsidP="00102596">
      <w:pPr>
        <w:jc w:val="both"/>
        <w:rPr>
          <w:rFonts w:cstheme="minorHAnsi"/>
          <w:b/>
        </w:rPr>
      </w:pPr>
      <w:bookmarkStart w:id="0" w:name="_Hlk176183440"/>
      <w:r w:rsidRPr="00851401">
        <w:rPr>
          <w:rFonts w:cstheme="minorHAnsi"/>
          <w:b/>
        </w:rPr>
        <w:t xml:space="preserve">Highlights </w:t>
      </w:r>
    </w:p>
    <w:p w14:paraId="1FB0AA62" w14:textId="77777777" w:rsidR="00102596" w:rsidRPr="00851401" w:rsidRDefault="00102596" w:rsidP="00102596">
      <w:pPr>
        <w:jc w:val="both"/>
        <w:rPr>
          <w:lang w:eastAsia="zh-CN"/>
        </w:rPr>
      </w:pPr>
    </w:p>
    <w:p w14:paraId="5785309D" w14:textId="516BD0E9" w:rsidR="00102596" w:rsidRPr="00851401" w:rsidRDefault="000066A0" w:rsidP="00102596">
      <w:pPr>
        <w:pStyle w:val="ListParagraph"/>
        <w:numPr>
          <w:ilvl w:val="0"/>
          <w:numId w:val="2"/>
        </w:numPr>
        <w:jc w:val="both"/>
        <w:rPr>
          <w:rFonts w:eastAsiaTheme="minorEastAsia" w:cstheme="minorHAnsi"/>
          <w:color w:val="000000"/>
          <w:lang w:eastAsia="zh-CN"/>
        </w:rPr>
      </w:pPr>
      <w:r w:rsidRPr="00851401">
        <w:rPr>
          <w:rFonts w:eastAsiaTheme="minorEastAsia" w:cstheme="minorHAnsi"/>
          <w:color w:val="000000"/>
          <w:lang w:eastAsia="zh-CN"/>
        </w:rPr>
        <w:t>1</w:t>
      </w:r>
      <w:r w:rsidR="00B56A3A" w:rsidRPr="00851401">
        <w:rPr>
          <w:rFonts w:eastAsiaTheme="minorEastAsia" w:cstheme="minorHAnsi"/>
          <w:color w:val="000000"/>
          <w:lang w:eastAsia="zh-CN"/>
        </w:rPr>
        <w:t>,</w:t>
      </w:r>
      <w:r w:rsidR="003B1F96" w:rsidRPr="00851401">
        <w:rPr>
          <w:rFonts w:eastAsiaTheme="minorEastAsia" w:cstheme="minorHAnsi"/>
          <w:color w:val="000000"/>
          <w:lang w:eastAsia="zh-CN"/>
        </w:rPr>
        <w:t>830</w:t>
      </w:r>
      <w:r w:rsidR="00B56A3A" w:rsidRPr="00851401">
        <w:rPr>
          <w:rFonts w:eastAsiaTheme="minorEastAsia" w:cstheme="minorHAnsi"/>
          <w:color w:val="000000"/>
          <w:lang w:eastAsia="zh-CN"/>
        </w:rPr>
        <w:t xml:space="preserve"> GW</w:t>
      </w:r>
      <w:r w:rsidRPr="00851401">
        <w:rPr>
          <w:rFonts w:eastAsiaTheme="minorEastAsia" w:cstheme="minorHAnsi"/>
          <w:color w:val="000000"/>
          <w:lang w:eastAsia="zh-CN"/>
        </w:rPr>
        <w:t>h</w:t>
      </w:r>
      <w:r w:rsidR="00B77F37" w:rsidRPr="00851401">
        <w:rPr>
          <w:rFonts w:eastAsiaTheme="minorEastAsia" w:cstheme="minorHAnsi"/>
          <w:color w:val="000000"/>
          <w:lang w:eastAsia="zh-CN"/>
        </w:rPr>
        <w:t xml:space="preserve"> </w:t>
      </w:r>
      <w:r w:rsidR="00102596" w:rsidRPr="00851401">
        <w:rPr>
          <w:rFonts w:eastAsiaTheme="minorEastAsia" w:cstheme="minorHAnsi"/>
          <w:color w:val="000000"/>
          <w:lang w:eastAsia="zh-CN"/>
        </w:rPr>
        <w:t xml:space="preserve">of </w:t>
      </w:r>
      <w:r w:rsidR="0024186D">
        <w:rPr>
          <w:rFonts w:eastAsiaTheme="minorEastAsia" w:cstheme="minorHAnsi"/>
          <w:color w:val="000000"/>
          <w:lang w:eastAsia="zh-CN"/>
        </w:rPr>
        <w:t>renewable</w:t>
      </w:r>
      <w:r w:rsidRPr="00851401">
        <w:rPr>
          <w:rFonts w:eastAsiaTheme="minorEastAsia" w:cstheme="minorHAnsi"/>
          <w:color w:val="000000"/>
          <w:lang w:eastAsia="zh-CN"/>
        </w:rPr>
        <w:t xml:space="preserve"> </w:t>
      </w:r>
      <w:r w:rsidR="00102596" w:rsidRPr="00851401">
        <w:rPr>
          <w:rFonts w:eastAsiaTheme="minorEastAsia" w:cstheme="minorHAnsi"/>
          <w:color w:val="000000"/>
          <w:lang w:eastAsia="zh-CN"/>
        </w:rPr>
        <w:t>electricity generated in</w:t>
      </w:r>
      <w:r w:rsidR="00356A50" w:rsidRPr="00851401">
        <w:rPr>
          <w:rFonts w:eastAsiaTheme="minorEastAsia" w:cstheme="minorHAnsi"/>
          <w:color w:val="000000"/>
          <w:lang w:eastAsia="zh-CN"/>
        </w:rPr>
        <w:t xml:space="preserve"> </w:t>
      </w:r>
      <w:r w:rsidR="00102596" w:rsidRPr="00851401">
        <w:rPr>
          <w:rFonts w:eastAsiaTheme="minorEastAsia" w:cstheme="minorHAnsi"/>
          <w:color w:val="000000"/>
          <w:lang w:eastAsia="zh-CN"/>
        </w:rPr>
        <w:t xml:space="preserve">period </w:t>
      </w:r>
      <w:r w:rsidR="00876DCD">
        <w:rPr>
          <w:rFonts w:eastAsiaTheme="minorEastAsia" w:cstheme="minorHAnsi"/>
          <w:color w:val="000000"/>
          <w:lang w:eastAsia="zh-CN"/>
        </w:rPr>
        <w:t>where wind resource</w:t>
      </w:r>
      <w:r w:rsidR="00397EB2" w:rsidRPr="00851401">
        <w:rPr>
          <w:rFonts w:eastAsiaTheme="minorEastAsia" w:cstheme="minorHAnsi"/>
          <w:color w:val="000000"/>
          <w:lang w:eastAsia="zh-CN"/>
        </w:rPr>
        <w:t xml:space="preserve"> </w:t>
      </w:r>
      <w:r w:rsidR="00876DCD" w:rsidRPr="00876DCD">
        <w:rPr>
          <w:rFonts w:eastAsiaTheme="minorEastAsia" w:cstheme="minorHAnsi"/>
          <w:color w:val="000000"/>
          <w:lang w:eastAsia="zh-CN"/>
        </w:rPr>
        <w:t>continu</w:t>
      </w:r>
      <w:r w:rsidR="00876DCD">
        <w:rPr>
          <w:rFonts w:eastAsiaTheme="minorEastAsia" w:cstheme="minorHAnsi"/>
          <w:color w:val="000000"/>
          <w:lang w:eastAsia="zh-CN"/>
        </w:rPr>
        <w:t>ed to be below</w:t>
      </w:r>
      <w:r w:rsidR="00876DCD" w:rsidRPr="00876DCD">
        <w:rPr>
          <w:rFonts w:eastAsiaTheme="minorEastAsia" w:cstheme="minorHAnsi"/>
          <w:color w:val="000000"/>
          <w:lang w:eastAsia="zh-CN"/>
        </w:rPr>
        <w:t xml:space="preserve"> </w:t>
      </w:r>
      <w:r w:rsidR="00876DCD">
        <w:rPr>
          <w:rFonts w:eastAsiaTheme="minorEastAsia" w:cstheme="minorHAnsi"/>
          <w:color w:val="000000"/>
          <w:lang w:eastAsia="zh-CN"/>
        </w:rPr>
        <w:t>the</w:t>
      </w:r>
      <w:r w:rsidR="00876DCD" w:rsidRPr="00876DCD">
        <w:rPr>
          <w:rFonts w:eastAsiaTheme="minorEastAsia" w:cstheme="minorHAnsi"/>
          <w:color w:val="000000"/>
          <w:lang w:eastAsia="zh-CN"/>
        </w:rPr>
        <w:t xml:space="preserve"> statistical average</w:t>
      </w:r>
      <w:r w:rsidR="00397EB2" w:rsidRPr="00851401">
        <w:rPr>
          <w:rFonts w:eastAsiaTheme="minorEastAsia" w:cstheme="minorHAnsi"/>
          <w:color w:val="000000"/>
          <w:lang w:eastAsia="zh-CN"/>
        </w:rPr>
        <w:t xml:space="preserve"> </w:t>
      </w:r>
      <w:r w:rsidR="00102596" w:rsidRPr="00851401">
        <w:rPr>
          <w:rFonts w:eastAsiaTheme="minorEastAsia" w:cstheme="minorHAnsi"/>
          <w:color w:val="000000"/>
          <w:lang w:eastAsia="zh-CN"/>
        </w:rPr>
        <w:t>(</w:t>
      </w:r>
      <w:r w:rsidR="004B197C">
        <w:rPr>
          <w:rFonts w:eastAsiaTheme="minorEastAsia" w:cstheme="minorHAnsi"/>
          <w:color w:val="000000"/>
          <w:lang w:eastAsia="zh-CN"/>
        </w:rPr>
        <w:t xml:space="preserve">15% below budget, </w:t>
      </w:r>
      <w:r w:rsidR="00102596" w:rsidRPr="00851401">
        <w:rPr>
          <w:rFonts w:eastAsiaTheme="minorEastAsia" w:cstheme="minorHAnsi"/>
          <w:color w:val="000000"/>
          <w:lang w:eastAsia="zh-CN"/>
        </w:rPr>
        <w:t>H1 202</w:t>
      </w:r>
      <w:r w:rsidR="003B1F96" w:rsidRPr="00851401">
        <w:rPr>
          <w:rFonts w:eastAsiaTheme="minorEastAsia" w:cstheme="minorHAnsi"/>
          <w:color w:val="000000"/>
          <w:lang w:eastAsia="zh-CN"/>
        </w:rPr>
        <w:t>4</w:t>
      </w:r>
      <w:r w:rsidR="00102596" w:rsidRPr="00851401">
        <w:rPr>
          <w:rFonts w:eastAsiaTheme="minorEastAsia" w:cstheme="minorHAnsi"/>
          <w:color w:val="000000"/>
          <w:lang w:eastAsia="zh-CN"/>
        </w:rPr>
        <w:t>: 1,</w:t>
      </w:r>
      <w:r w:rsidR="003B1F96" w:rsidRPr="00851401">
        <w:rPr>
          <w:rFonts w:eastAsiaTheme="minorEastAsia" w:cstheme="minorHAnsi"/>
          <w:color w:val="000000"/>
          <w:lang w:eastAsia="zh-CN"/>
        </w:rPr>
        <w:t>927</w:t>
      </w:r>
      <w:r w:rsidR="00102596" w:rsidRPr="00851401">
        <w:rPr>
          <w:rFonts w:eastAsiaTheme="minorEastAsia" w:cstheme="minorHAnsi"/>
          <w:color w:val="000000"/>
          <w:lang w:eastAsia="zh-CN"/>
        </w:rPr>
        <w:t xml:space="preserve"> GWh)</w:t>
      </w:r>
      <w:r w:rsidR="00FA5C68" w:rsidRPr="00851401">
        <w:rPr>
          <w:rFonts w:eastAsiaTheme="minorEastAsia" w:cstheme="minorHAnsi"/>
          <w:color w:val="000000"/>
          <w:lang w:eastAsia="zh-CN"/>
        </w:rPr>
        <w:t xml:space="preserve"> </w:t>
      </w:r>
    </w:p>
    <w:p w14:paraId="3E0620BD" w14:textId="77777777" w:rsidR="00102596" w:rsidRPr="00851401" w:rsidRDefault="00102596" w:rsidP="00B51ABC">
      <w:pPr>
        <w:jc w:val="both"/>
        <w:rPr>
          <w:rFonts w:eastAsiaTheme="minorEastAsia" w:cstheme="minorHAnsi"/>
          <w:color w:val="000000"/>
          <w:lang w:eastAsia="zh-CN"/>
        </w:rPr>
      </w:pPr>
    </w:p>
    <w:p w14:paraId="2F342EDA" w14:textId="2410666A" w:rsidR="00102596" w:rsidRPr="00851401" w:rsidRDefault="00E63127" w:rsidP="00102596">
      <w:pPr>
        <w:pStyle w:val="ListParagraph"/>
        <w:numPr>
          <w:ilvl w:val="0"/>
          <w:numId w:val="2"/>
        </w:numPr>
        <w:rPr>
          <w:rFonts w:eastAsiaTheme="minorEastAsia" w:cstheme="minorHAnsi"/>
          <w:color w:val="000000"/>
          <w:lang w:eastAsia="zh-CN"/>
        </w:rPr>
      </w:pPr>
      <w:r>
        <w:t>Gross</w:t>
      </w:r>
      <w:r w:rsidR="00102596" w:rsidRPr="00851401">
        <w:t xml:space="preserve"> cash generation of €</w:t>
      </w:r>
      <w:r w:rsidR="003B1F96" w:rsidRPr="00851401">
        <w:t>68.7</w:t>
      </w:r>
      <w:r w:rsidR="00102596" w:rsidRPr="00851401">
        <w:t xml:space="preserve"> million</w:t>
      </w:r>
      <w:r w:rsidR="00842600" w:rsidRPr="00851401">
        <w:rPr>
          <w:rStyle w:val="FootnoteReference"/>
        </w:rPr>
        <w:footnoteReference w:id="2"/>
      </w:r>
      <w:r w:rsidR="00102596" w:rsidRPr="00851401">
        <w:t xml:space="preserve"> (H1 202</w:t>
      </w:r>
      <w:r w:rsidR="003B1F96" w:rsidRPr="00851401">
        <w:t>4</w:t>
      </w:r>
      <w:r w:rsidR="00102596" w:rsidRPr="00851401">
        <w:t>: €</w:t>
      </w:r>
      <w:r w:rsidR="003B1F96" w:rsidRPr="00851401">
        <w:t>113.6</w:t>
      </w:r>
      <w:r w:rsidR="00102596" w:rsidRPr="00851401">
        <w:t xml:space="preserve"> million) </w:t>
      </w:r>
      <w:r w:rsidR="000066A0" w:rsidRPr="00851401">
        <w:t>equating to</w:t>
      </w:r>
      <w:r w:rsidR="00102596" w:rsidRPr="00851401">
        <w:t xml:space="preserve"> </w:t>
      </w:r>
      <w:r w:rsidR="004B197C">
        <w:t xml:space="preserve">robust </w:t>
      </w:r>
      <w:r w:rsidR="00102596" w:rsidRPr="00851401">
        <w:t xml:space="preserve">gross dividend cover of </w:t>
      </w:r>
      <w:r w:rsidR="003B1F96" w:rsidRPr="00851401">
        <w:t>1.8</w:t>
      </w:r>
      <w:r w:rsidR="00AD68E7" w:rsidRPr="00851401">
        <w:t>x</w:t>
      </w:r>
      <w:r w:rsidR="00102596" w:rsidRPr="00851401">
        <w:t xml:space="preserve"> (H1 202</w:t>
      </w:r>
      <w:r w:rsidR="003B1F96" w:rsidRPr="00851401">
        <w:t>4</w:t>
      </w:r>
      <w:r w:rsidR="00102596" w:rsidRPr="00851401">
        <w:t>: 3.</w:t>
      </w:r>
      <w:r w:rsidR="003B1F96" w:rsidRPr="00851401">
        <w:t>0</w:t>
      </w:r>
      <w:r w:rsidR="00102596" w:rsidRPr="00851401">
        <w:t>x)</w:t>
      </w:r>
    </w:p>
    <w:p w14:paraId="498F5D42" w14:textId="77777777" w:rsidR="00F774FC" w:rsidRPr="00851401" w:rsidRDefault="00F774FC" w:rsidP="00F774FC">
      <w:pPr>
        <w:pStyle w:val="ListParagraph"/>
        <w:rPr>
          <w:rFonts w:eastAsiaTheme="minorEastAsia" w:cstheme="minorHAnsi"/>
          <w:color w:val="000000"/>
          <w:lang w:eastAsia="zh-CN"/>
        </w:rPr>
      </w:pPr>
    </w:p>
    <w:p w14:paraId="2C2604B5" w14:textId="0E6B37BF" w:rsidR="00F774FC" w:rsidRPr="00851401" w:rsidRDefault="000066A0" w:rsidP="00102596">
      <w:pPr>
        <w:pStyle w:val="ListParagraph"/>
        <w:numPr>
          <w:ilvl w:val="0"/>
          <w:numId w:val="2"/>
        </w:numPr>
        <w:rPr>
          <w:rFonts w:eastAsiaTheme="minorEastAsia" w:cstheme="minorHAnsi"/>
          <w:color w:val="000000"/>
          <w:lang w:eastAsia="zh-CN"/>
        </w:rPr>
      </w:pPr>
      <w:r w:rsidRPr="00851401">
        <w:rPr>
          <w:rFonts w:eastAsiaTheme="minorEastAsia" w:cstheme="minorHAnsi"/>
          <w:color w:val="000000"/>
          <w:lang w:eastAsia="zh-CN"/>
        </w:rPr>
        <w:t xml:space="preserve">Dividends of </w:t>
      </w:r>
      <w:r w:rsidR="00F774FC" w:rsidRPr="00851401">
        <w:rPr>
          <w:rFonts w:eastAsiaTheme="minorEastAsia" w:cstheme="minorHAnsi"/>
          <w:color w:val="000000"/>
          <w:lang w:eastAsia="zh-CN"/>
        </w:rPr>
        <w:t>3.</w:t>
      </w:r>
      <w:r w:rsidR="003B1F96" w:rsidRPr="00851401">
        <w:rPr>
          <w:rFonts w:eastAsiaTheme="minorEastAsia" w:cstheme="minorHAnsi"/>
          <w:color w:val="000000"/>
          <w:lang w:eastAsia="zh-CN"/>
        </w:rPr>
        <w:t>41</w:t>
      </w:r>
      <w:r w:rsidR="00F774FC" w:rsidRPr="00851401">
        <w:rPr>
          <w:rFonts w:eastAsiaTheme="minorEastAsia" w:cstheme="minorHAnsi"/>
          <w:color w:val="000000"/>
          <w:lang w:eastAsia="zh-CN"/>
        </w:rPr>
        <w:t xml:space="preserve"> cents per share</w:t>
      </w:r>
      <w:r w:rsidRPr="00851401">
        <w:rPr>
          <w:rFonts w:eastAsiaTheme="minorEastAsia" w:cstheme="minorHAnsi"/>
          <w:color w:val="000000"/>
          <w:lang w:eastAsia="zh-CN"/>
        </w:rPr>
        <w:t xml:space="preserve"> </w:t>
      </w:r>
      <w:r w:rsidR="00380F4F" w:rsidRPr="00851401">
        <w:rPr>
          <w:rFonts w:eastAsiaTheme="minorEastAsia" w:cstheme="minorHAnsi"/>
          <w:color w:val="000000"/>
          <w:lang w:eastAsia="zh-CN"/>
        </w:rPr>
        <w:t xml:space="preserve">paid or </w:t>
      </w:r>
      <w:r w:rsidR="00301943" w:rsidRPr="00851401">
        <w:rPr>
          <w:rFonts w:eastAsiaTheme="minorEastAsia" w:cstheme="minorHAnsi"/>
          <w:color w:val="000000"/>
          <w:lang w:eastAsia="zh-CN"/>
        </w:rPr>
        <w:t>declared with respect to</w:t>
      </w:r>
      <w:r w:rsidR="00F774FC" w:rsidRPr="00851401">
        <w:rPr>
          <w:rFonts w:eastAsiaTheme="minorEastAsia" w:cstheme="minorHAnsi"/>
          <w:color w:val="000000"/>
          <w:lang w:eastAsia="zh-CN"/>
        </w:rPr>
        <w:t xml:space="preserve"> the period</w:t>
      </w:r>
      <w:r w:rsidR="004B197C">
        <w:rPr>
          <w:rFonts w:eastAsiaTheme="minorEastAsia" w:cstheme="minorHAnsi"/>
          <w:color w:val="000000"/>
          <w:lang w:eastAsia="zh-CN"/>
        </w:rPr>
        <w:t xml:space="preserve">, in line with the full year dividend target </w:t>
      </w:r>
      <w:r w:rsidR="00F774FC" w:rsidRPr="00851401">
        <w:rPr>
          <w:rFonts w:eastAsiaTheme="minorEastAsia" w:cstheme="minorHAnsi"/>
          <w:color w:val="000000"/>
          <w:lang w:eastAsia="zh-CN"/>
        </w:rPr>
        <w:t xml:space="preserve"> </w:t>
      </w:r>
    </w:p>
    <w:p w14:paraId="48867B52" w14:textId="77777777" w:rsidR="00102596" w:rsidRPr="00987332" w:rsidRDefault="00102596" w:rsidP="00987332">
      <w:pPr>
        <w:rPr>
          <w:rFonts w:eastAsiaTheme="minorEastAsia" w:cstheme="minorHAnsi"/>
          <w:color w:val="000000"/>
          <w:lang w:eastAsia="zh-CN"/>
        </w:rPr>
      </w:pPr>
    </w:p>
    <w:p w14:paraId="4A7EBE32" w14:textId="6BD4AC6B" w:rsidR="00102596" w:rsidRPr="00851401" w:rsidRDefault="00102596" w:rsidP="000066A0">
      <w:pPr>
        <w:pStyle w:val="ListParagraph"/>
        <w:numPr>
          <w:ilvl w:val="0"/>
          <w:numId w:val="2"/>
        </w:numPr>
        <w:rPr>
          <w:rFonts w:eastAsiaTheme="minorEastAsia" w:cstheme="minorHAnsi"/>
          <w:color w:val="000000"/>
          <w:lang w:eastAsia="zh-CN"/>
        </w:rPr>
      </w:pPr>
      <w:r w:rsidRPr="00851401">
        <w:t>NAV per share of 1</w:t>
      </w:r>
      <w:r w:rsidR="003B1F96" w:rsidRPr="00851401">
        <w:t>01.0</w:t>
      </w:r>
      <w:r w:rsidRPr="00851401">
        <w:t xml:space="preserve"> cents</w:t>
      </w:r>
      <w:r w:rsidR="005118C7" w:rsidRPr="00851401">
        <w:t xml:space="preserve"> </w:t>
      </w:r>
      <w:r w:rsidR="00605E8A" w:rsidRPr="00851401">
        <w:t>(H</w:t>
      </w:r>
      <w:r w:rsidR="003B1F96" w:rsidRPr="00851401">
        <w:t>2</w:t>
      </w:r>
      <w:r w:rsidR="00605E8A" w:rsidRPr="00851401">
        <w:t xml:space="preserve"> 202</w:t>
      </w:r>
      <w:r w:rsidR="003B1F96" w:rsidRPr="00851401">
        <w:t>4</w:t>
      </w:r>
      <w:r w:rsidR="00605E8A" w:rsidRPr="00851401">
        <w:t xml:space="preserve">: </w:t>
      </w:r>
      <w:r w:rsidR="003B1F96" w:rsidRPr="00851401">
        <w:t>110.5</w:t>
      </w:r>
      <w:r w:rsidR="00605E8A" w:rsidRPr="00851401">
        <w:t>c)</w:t>
      </w:r>
      <w:r w:rsidR="004B197C">
        <w:t>,</w:t>
      </w:r>
      <w:r w:rsidR="00605E8A" w:rsidRPr="00851401">
        <w:t xml:space="preserve"> </w:t>
      </w:r>
      <w:r w:rsidR="004B197C" w:rsidRPr="004B197C">
        <w:t xml:space="preserve">incorporating reduction in P50 wind resource budgets previously announced  </w:t>
      </w:r>
      <w:r w:rsidR="00FA5C68" w:rsidRPr="00851401">
        <w:t xml:space="preserve"> </w:t>
      </w:r>
    </w:p>
    <w:p w14:paraId="58FAAD78" w14:textId="77777777" w:rsidR="00102596" w:rsidRPr="00851401" w:rsidRDefault="00102596" w:rsidP="001833C2">
      <w:pPr>
        <w:jc w:val="both"/>
        <w:rPr>
          <w:rFonts w:eastAsiaTheme="minorEastAsia" w:cstheme="minorHAnsi"/>
          <w:color w:val="000000"/>
          <w:lang w:eastAsia="zh-CN"/>
        </w:rPr>
      </w:pPr>
    </w:p>
    <w:p w14:paraId="7EEA95BE" w14:textId="5C4BDB95" w:rsidR="00FA5C68" w:rsidRPr="00851401" w:rsidRDefault="00F774FC" w:rsidP="00FA5C68">
      <w:pPr>
        <w:pStyle w:val="ListParagraph"/>
        <w:numPr>
          <w:ilvl w:val="0"/>
          <w:numId w:val="2"/>
        </w:numPr>
        <w:jc w:val="both"/>
        <w:rPr>
          <w:rFonts w:eastAsiaTheme="minorEastAsia" w:cstheme="minorHAnsi"/>
          <w:color w:val="000000"/>
          <w:lang w:eastAsia="zh-CN"/>
        </w:rPr>
      </w:pPr>
      <w:r w:rsidRPr="00851401">
        <w:rPr>
          <w:rFonts w:eastAsiaTheme="minorEastAsia" w:cstheme="minorHAnsi"/>
          <w:color w:val="000000"/>
          <w:lang w:eastAsia="zh-CN"/>
        </w:rPr>
        <w:t>A</w:t>
      </w:r>
      <w:r w:rsidR="00102596" w:rsidRPr="00851401">
        <w:rPr>
          <w:rFonts w:eastAsiaTheme="minorEastAsia" w:cstheme="minorHAnsi"/>
          <w:color w:val="000000"/>
          <w:lang w:eastAsia="zh-CN"/>
        </w:rPr>
        <w:t xml:space="preserve">ggregate Group </w:t>
      </w:r>
      <w:r w:rsidR="005118C7" w:rsidRPr="00851401">
        <w:rPr>
          <w:rFonts w:eastAsiaTheme="minorEastAsia" w:cstheme="minorHAnsi"/>
          <w:color w:val="000000"/>
          <w:lang w:eastAsia="zh-CN"/>
        </w:rPr>
        <w:t>d</w:t>
      </w:r>
      <w:r w:rsidR="00102596" w:rsidRPr="00851401">
        <w:rPr>
          <w:rFonts w:eastAsiaTheme="minorEastAsia" w:cstheme="minorHAnsi"/>
          <w:color w:val="000000"/>
          <w:lang w:eastAsia="zh-CN"/>
        </w:rPr>
        <w:t>ebt of €1</w:t>
      </w:r>
      <w:r w:rsidR="003B1F96" w:rsidRPr="00851401">
        <w:rPr>
          <w:rFonts w:eastAsiaTheme="minorEastAsia" w:cstheme="minorHAnsi"/>
          <w:color w:val="000000"/>
          <w:lang w:eastAsia="zh-CN"/>
        </w:rPr>
        <w:t>,</w:t>
      </w:r>
      <w:r w:rsidR="009F221C" w:rsidRPr="00851401">
        <w:rPr>
          <w:rFonts w:eastAsiaTheme="minorEastAsia" w:cstheme="minorHAnsi"/>
          <w:color w:val="000000"/>
          <w:lang w:eastAsia="zh-CN"/>
        </w:rPr>
        <w:t>3</w:t>
      </w:r>
      <w:r w:rsidR="003B1F96" w:rsidRPr="00851401">
        <w:rPr>
          <w:rFonts w:eastAsiaTheme="minorEastAsia" w:cstheme="minorHAnsi"/>
          <w:color w:val="000000"/>
          <w:lang w:eastAsia="zh-CN"/>
        </w:rPr>
        <w:t>51</w:t>
      </w:r>
      <w:r w:rsidR="00102596" w:rsidRPr="00851401">
        <w:rPr>
          <w:rFonts w:eastAsiaTheme="minorEastAsia" w:cstheme="minorHAnsi"/>
          <w:color w:val="000000"/>
          <w:lang w:eastAsia="zh-CN"/>
        </w:rPr>
        <w:t xml:space="preserve"> </w:t>
      </w:r>
      <w:r w:rsidR="003B1F96" w:rsidRPr="00851401">
        <w:rPr>
          <w:rFonts w:eastAsiaTheme="minorEastAsia" w:cstheme="minorHAnsi"/>
          <w:color w:val="000000"/>
          <w:lang w:eastAsia="zh-CN"/>
        </w:rPr>
        <w:t>million</w:t>
      </w:r>
      <w:r w:rsidR="00102596" w:rsidRPr="00851401">
        <w:rPr>
          <w:rFonts w:eastAsiaTheme="minorEastAsia" w:cstheme="minorHAnsi"/>
          <w:color w:val="000000"/>
          <w:lang w:eastAsia="zh-CN"/>
        </w:rPr>
        <w:t>, equivalent to 5</w:t>
      </w:r>
      <w:r w:rsidR="003B1F96" w:rsidRPr="00851401">
        <w:rPr>
          <w:rFonts w:eastAsiaTheme="minorEastAsia" w:cstheme="minorHAnsi"/>
          <w:color w:val="000000"/>
          <w:lang w:eastAsia="zh-CN"/>
        </w:rPr>
        <w:t>4.6</w:t>
      </w:r>
      <w:r w:rsidR="00102596" w:rsidRPr="00851401">
        <w:rPr>
          <w:rFonts w:eastAsiaTheme="minorEastAsia" w:cstheme="minorHAnsi"/>
          <w:color w:val="000000"/>
          <w:lang w:eastAsia="zh-CN"/>
        </w:rPr>
        <w:t>% of GAV</w:t>
      </w:r>
      <w:r w:rsidRPr="00851401">
        <w:rPr>
          <w:rFonts w:eastAsiaTheme="minorEastAsia" w:cstheme="minorHAnsi"/>
          <w:color w:val="000000"/>
          <w:lang w:eastAsia="zh-CN"/>
        </w:rPr>
        <w:t xml:space="preserve"> </w:t>
      </w:r>
    </w:p>
    <w:p w14:paraId="0F235FC4" w14:textId="77777777" w:rsidR="00F774FC" w:rsidRPr="00987332" w:rsidRDefault="00F774FC" w:rsidP="00987332">
      <w:pPr>
        <w:rPr>
          <w:rFonts w:eastAsiaTheme="minorEastAsia" w:cstheme="minorHAnsi"/>
          <w:color w:val="000000"/>
          <w:lang w:eastAsia="zh-CN"/>
        </w:rPr>
      </w:pPr>
    </w:p>
    <w:p w14:paraId="608F9466" w14:textId="3D0D1637" w:rsidR="003B1F96" w:rsidRPr="00851401" w:rsidRDefault="00851401" w:rsidP="00851401">
      <w:pPr>
        <w:pStyle w:val="ListParagraph"/>
        <w:numPr>
          <w:ilvl w:val="0"/>
          <w:numId w:val="2"/>
        </w:numPr>
        <w:jc w:val="both"/>
        <w:rPr>
          <w:rFonts w:ascii="Calibri" w:hAnsi="Calibri" w:cs="Calibri"/>
        </w:rPr>
      </w:pPr>
      <w:r w:rsidRPr="00851401">
        <w:rPr>
          <w:rFonts w:ascii="Calibri" w:hAnsi="Calibri" w:cs="Calibri"/>
        </w:rPr>
        <w:t>Agreed the disposal of a portfolio of Irish assets for €156 million</w:t>
      </w:r>
      <w:r w:rsidR="004D24E0">
        <w:rPr>
          <w:rFonts w:ascii="Calibri" w:hAnsi="Calibri" w:cs="Calibri"/>
        </w:rPr>
        <w:t xml:space="preserve"> in the period</w:t>
      </w:r>
      <w:r w:rsidRPr="00851401">
        <w:rPr>
          <w:rFonts w:ascii="Calibri" w:hAnsi="Calibri" w:cs="Calibri"/>
        </w:rPr>
        <w:t xml:space="preserve"> representing a 4% premium to last reported book value with proceeds allocated to debt repayment </w:t>
      </w:r>
      <w:r w:rsidR="004D24E0">
        <w:rPr>
          <w:rFonts w:ascii="Calibri" w:hAnsi="Calibri" w:cs="Calibri"/>
        </w:rPr>
        <w:t>(total accretive disposals now &gt;€200 million)</w:t>
      </w:r>
    </w:p>
    <w:p w14:paraId="7F6812C7" w14:textId="77777777" w:rsidR="00814F38" w:rsidRPr="00851401" w:rsidRDefault="00814F38" w:rsidP="00814F38">
      <w:pPr>
        <w:pStyle w:val="ListParagraph"/>
        <w:rPr>
          <w:rFonts w:eastAsiaTheme="minorEastAsia" w:cstheme="minorHAnsi"/>
          <w:color w:val="000000"/>
          <w:lang w:eastAsia="zh-CN"/>
        </w:rPr>
      </w:pPr>
    </w:p>
    <w:p w14:paraId="5F52E6C6" w14:textId="58684A74" w:rsidR="003B1F96" w:rsidRDefault="00851401" w:rsidP="00851401">
      <w:pPr>
        <w:pStyle w:val="ListParagraph"/>
        <w:numPr>
          <w:ilvl w:val="0"/>
          <w:numId w:val="2"/>
        </w:numPr>
        <w:rPr>
          <w:rFonts w:eastAsiaTheme="minorEastAsia" w:cstheme="minorHAnsi"/>
          <w:color w:val="000000"/>
          <w:lang w:eastAsia="zh-CN"/>
        </w:rPr>
      </w:pPr>
      <w:r w:rsidRPr="00851401">
        <w:rPr>
          <w:rFonts w:eastAsiaTheme="minorEastAsia" w:cstheme="minorHAnsi"/>
          <w:color w:val="000000"/>
          <w:lang w:eastAsia="zh-CN"/>
        </w:rPr>
        <w:t xml:space="preserve">Increase in </w:t>
      </w:r>
      <w:r w:rsidR="00926538">
        <w:rPr>
          <w:rFonts w:eastAsiaTheme="minorEastAsia" w:cstheme="minorHAnsi"/>
          <w:color w:val="000000"/>
          <w:lang w:eastAsia="zh-CN"/>
        </w:rPr>
        <w:t xml:space="preserve">illustrative </w:t>
      </w:r>
      <w:r w:rsidR="00851350" w:rsidRPr="00851401">
        <w:rPr>
          <w:rFonts w:eastAsiaTheme="minorEastAsia" w:cstheme="minorHAnsi"/>
          <w:color w:val="000000"/>
          <w:lang w:eastAsia="zh-CN"/>
        </w:rPr>
        <w:t>5-year</w:t>
      </w:r>
      <w:r w:rsidRPr="00851401">
        <w:rPr>
          <w:rFonts w:eastAsiaTheme="minorEastAsia" w:cstheme="minorHAnsi"/>
          <w:color w:val="000000"/>
          <w:lang w:eastAsia="zh-CN"/>
        </w:rPr>
        <w:t xml:space="preserve"> contracted cashflow profile to 76% </w:t>
      </w:r>
      <w:bookmarkEnd w:id="0"/>
      <w:r w:rsidR="00851350">
        <w:rPr>
          <w:rFonts w:eastAsiaTheme="minorEastAsia" w:cstheme="minorHAnsi"/>
          <w:color w:val="000000"/>
          <w:lang w:eastAsia="zh-CN"/>
        </w:rPr>
        <w:t xml:space="preserve">through to 31 December 2029 </w:t>
      </w:r>
    </w:p>
    <w:p w14:paraId="633094B1" w14:textId="77777777" w:rsidR="00851401" w:rsidRPr="00851401" w:rsidRDefault="00851401" w:rsidP="00851401">
      <w:pPr>
        <w:pStyle w:val="ListParagraph"/>
        <w:rPr>
          <w:rFonts w:eastAsiaTheme="minorEastAsia" w:cstheme="minorHAnsi"/>
          <w:color w:val="000000"/>
          <w:lang w:eastAsia="zh-CN"/>
        </w:rPr>
      </w:pPr>
    </w:p>
    <w:p w14:paraId="34661668" w14:textId="2EA1BC34" w:rsidR="00A206FF" w:rsidRDefault="00851350" w:rsidP="00851401">
      <w:pPr>
        <w:pStyle w:val="ListParagraph"/>
        <w:numPr>
          <w:ilvl w:val="0"/>
          <w:numId w:val="2"/>
        </w:numPr>
        <w:rPr>
          <w:rFonts w:eastAsiaTheme="minorEastAsia" w:cstheme="minorHAnsi"/>
          <w:color w:val="000000"/>
          <w:lang w:eastAsia="zh-CN"/>
        </w:rPr>
      </w:pPr>
      <w:r>
        <w:rPr>
          <w:rFonts w:eastAsiaTheme="minorEastAsia" w:cstheme="minorHAnsi"/>
          <w:color w:val="000000"/>
          <w:lang w:eastAsia="zh-CN"/>
        </w:rPr>
        <w:t>2-year</w:t>
      </w:r>
      <w:r w:rsidR="00851401">
        <w:rPr>
          <w:rFonts w:eastAsiaTheme="minorEastAsia" w:cstheme="minorHAnsi"/>
          <w:color w:val="000000"/>
          <w:lang w:eastAsia="zh-CN"/>
        </w:rPr>
        <w:t xml:space="preserve"> RCF extension to </w:t>
      </w:r>
      <w:r w:rsidR="00987332">
        <w:rPr>
          <w:rFonts w:eastAsiaTheme="minorEastAsia" w:cstheme="minorHAnsi"/>
          <w:color w:val="000000"/>
          <w:lang w:eastAsia="zh-CN"/>
        </w:rPr>
        <w:t>February</w:t>
      </w:r>
      <w:r w:rsidR="00851401">
        <w:rPr>
          <w:rFonts w:eastAsiaTheme="minorEastAsia" w:cstheme="minorHAnsi"/>
          <w:color w:val="000000"/>
          <w:lang w:eastAsia="zh-CN"/>
        </w:rPr>
        <w:t xml:space="preserve"> 2028 and </w:t>
      </w:r>
      <w:proofErr w:type="gramStart"/>
      <w:r w:rsidR="00987332">
        <w:rPr>
          <w:rFonts w:eastAsiaTheme="minorEastAsia" w:cstheme="minorHAnsi"/>
          <w:color w:val="000000"/>
          <w:lang w:eastAsia="zh-CN"/>
        </w:rPr>
        <w:t>entered into</w:t>
      </w:r>
      <w:proofErr w:type="gramEnd"/>
      <w:r w:rsidR="00987332">
        <w:rPr>
          <w:rFonts w:eastAsiaTheme="minorEastAsia" w:cstheme="minorHAnsi"/>
          <w:color w:val="000000"/>
          <w:lang w:eastAsia="zh-CN"/>
        </w:rPr>
        <w:t xml:space="preserve"> swaps to lock in total cost of debt of 3.9% relating to Facility A through to October 2030 shortly after period end</w:t>
      </w:r>
    </w:p>
    <w:p w14:paraId="15515AC4" w14:textId="77777777" w:rsidR="0024186D" w:rsidRPr="0024186D" w:rsidRDefault="0024186D" w:rsidP="0024186D">
      <w:pPr>
        <w:pStyle w:val="ListParagraph"/>
        <w:rPr>
          <w:rFonts w:eastAsiaTheme="minorEastAsia" w:cstheme="minorHAnsi"/>
          <w:color w:val="000000"/>
          <w:lang w:eastAsia="zh-CN"/>
        </w:rPr>
      </w:pPr>
    </w:p>
    <w:p w14:paraId="7FE1D265" w14:textId="14323CB5" w:rsidR="0024186D" w:rsidRPr="0024186D" w:rsidRDefault="0024186D" w:rsidP="0024186D">
      <w:pPr>
        <w:pStyle w:val="ListParagraph"/>
        <w:numPr>
          <w:ilvl w:val="0"/>
          <w:numId w:val="2"/>
        </w:numPr>
        <w:jc w:val="both"/>
        <w:rPr>
          <w:rFonts w:eastAsiaTheme="minorEastAsia" w:cstheme="minorHAnsi"/>
          <w:color w:val="000000"/>
          <w:lang w:eastAsia="zh-CN"/>
        </w:rPr>
      </w:pPr>
      <w:r>
        <w:rPr>
          <w:rFonts w:eastAsiaTheme="minorEastAsia" w:cstheme="minorHAnsi"/>
          <w:color w:val="000000"/>
          <w:lang w:eastAsia="zh-CN"/>
        </w:rPr>
        <w:t>Agreed a new 10-year Power Purchase Agreement ('PPA') with Keppel DC REIT. This is the s</w:t>
      </w:r>
      <w:r w:rsidR="00E05B4C">
        <w:rPr>
          <w:rFonts w:eastAsiaTheme="minorEastAsia" w:cstheme="minorHAnsi"/>
          <w:color w:val="000000"/>
          <w:lang w:eastAsia="zh-CN"/>
        </w:rPr>
        <w:t>eventh</w:t>
      </w:r>
      <w:r>
        <w:rPr>
          <w:rFonts w:eastAsiaTheme="minorEastAsia" w:cstheme="minorHAnsi"/>
          <w:color w:val="000000"/>
          <w:lang w:eastAsia="zh-CN"/>
        </w:rPr>
        <w:t xml:space="preserve"> PPA </w:t>
      </w:r>
      <w:proofErr w:type="gramStart"/>
      <w:r w:rsidR="00E05B4C">
        <w:rPr>
          <w:rFonts w:eastAsiaTheme="minorEastAsia" w:cstheme="minorHAnsi"/>
          <w:color w:val="000000"/>
          <w:lang w:eastAsia="zh-CN"/>
        </w:rPr>
        <w:t>entered</w:t>
      </w:r>
      <w:r>
        <w:rPr>
          <w:rFonts w:eastAsiaTheme="minorEastAsia" w:cstheme="minorHAnsi"/>
          <w:color w:val="000000"/>
          <w:lang w:eastAsia="zh-CN"/>
        </w:rPr>
        <w:t xml:space="preserve"> </w:t>
      </w:r>
      <w:r w:rsidR="00E05B4C">
        <w:rPr>
          <w:rFonts w:eastAsiaTheme="minorEastAsia" w:cstheme="minorHAnsi"/>
          <w:color w:val="000000"/>
          <w:lang w:eastAsia="zh-CN"/>
        </w:rPr>
        <w:t>in</w:t>
      </w:r>
      <w:r>
        <w:rPr>
          <w:rFonts w:eastAsiaTheme="minorEastAsia" w:cstheme="minorHAnsi"/>
          <w:color w:val="000000"/>
          <w:lang w:eastAsia="zh-CN"/>
        </w:rPr>
        <w:t>to</w:t>
      </w:r>
      <w:proofErr w:type="gramEnd"/>
      <w:r>
        <w:rPr>
          <w:rFonts w:eastAsiaTheme="minorEastAsia" w:cstheme="minorHAnsi"/>
          <w:color w:val="000000"/>
          <w:lang w:eastAsia="zh-CN"/>
        </w:rPr>
        <w:t>, representing c20% of its 5-year merchant volumes, since the Company launched its re-contracting strategy</w:t>
      </w:r>
    </w:p>
    <w:p w14:paraId="4B765F3C" w14:textId="77777777" w:rsidR="00A206FF" w:rsidRPr="00A206FF" w:rsidRDefault="00A206FF" w:rsidP="00A206FF">
      <w:pPr>
        <w:pStyle w:val="ListParagraph"/>
        <w:rPr>
          <w:rFonts w:eastAsiaTheme="minorEastAsia" w:cstheme="minorHAnsi"/>
          <w:color w:val="000000"/>
          <w:lang w:eastAsia="zh-CN"/>
        </w:rPr>
      </w:pPr>
    </w:p>
    <w:p w14:paraId="1A023ED1" w14:textId="6E9C98C7" w:rsidR="00851401" w:rsidRDefault="00A206FF" w:rsidP="00851401">
      <w:pPr>
        <w:pStyle w:val="ListParagraph"/>
        <w:numPr>
          <w:ilvl w:val="0"/>
          <w:numId w:val="2"/>
        </w:numPr>
        <w:rPr>
          <w:rFonts w:eastAsiaTheme="minorEastAsia" w:cstheme="minorHAnsi"/>
          <w:color w:val="000000"/>
          <w:lang w:eastAsia="zh-CN"/>
        </w:rPr>
      </w:pPr>
      <w:r>
        <w:rPr>
          <w:rFonts w:eastAsiaTheme="minorEastAsia" w:cstheme="minorHAnsi"/>
          <w:color w:val="000000"/>
          <w:lang w:eastAsia="zh-CN"/>
        </w:rPr>
        <w:t xml:space="preserve">Progress on strategic initiatives through revised management fee agreement and additional listing on the JSE </w:t>
      </w:r>
      <w:r w:rsidR="00987332">
        <w:rPr>
          <w:rFonts w:eastAsiaTheme="minorEastAsia" w:cstheme="minorHAnsi"/>
          <w:color w:val="000000"/>
          <w:lang w:eastAsia="zh-CN"/>
        </w:rPr>
        <w:t xml:space="preserve"> </w:t>
      </w:r>
    </w:p>
    <w:p w14:paraId="6159C4BE" w14:textId="77777777" w:rsidR="0024186D" w:rsidRPr="0024186D" w:rsidRDefault="0024186D" w:rsidP="0024186D">
      <w:pPr>
        <w:pStyle w:val="ListParagraph"/>
        <w:rPr>
          <w:rFonts w:eastAsiaTheme="minorEastAsia" w:cstheme="minorHAnsi"/>
          <w:color w:val="000000"/>
          <w:lang w:eastAsia="zh-CN"/>
        </w:rPr>
      </w:pPr>
    </w:p>
    <w:p w14:paraId="1D36FB77" w14:textId="021E215F" w:rsidR="0024186D" w:rsidRDefault="0024186D" w:rsidP="00851401">
      <w:pPr>
        <w:pStyle w:val="ListParagraph"/>
        <w:numPr>
          <w:ilvl w:val="0"/>
          <w:numId w:val="2"/>
        </w:numPr>
        <w:rPr>
          <w:rFonts w:eastAsiaTheme="minorEastAsia" w:cstheme="minorHAnsi"/>
          <w:color w:val="000000"/>
          <w:lang w:eastAsia="zh-CN"/>
        </w:rPr>
      </w:pPr>
      <w:r w:rsidRPr="0024186D">
        <w:rPr>
          <w:rFonts w:eastAsiaTheme="minorEastAsia" w:cstheme="minorHAnsi"/>
          <w:color w:val="000000"/>
          <w:lang w:eastAsia="zh-CN"/>
        </w:rPr>
        <w:t>Bernard Byrne appointed as a Non-Executive Director, bringing extensive finance and commercial experience to the Board</w:t>
      </w:r>
    </w:p>
    <w:p w14:paraId="4C64BDB3" w14:textId="77777777" w:rsidR="009365D9" w:rsidRPr="004D24E0" w:rsidRDefault="009365D9" w:rsidP="004D24E0">
      <w:pPr>
        <w:rPr>
          <w:highlight w:val="yellow"/>
        </w:rPr>
      </w:pPr>
    </w:p>
    <w:p w14:paraId="07C5CB62" w14:textId="77777777" w:rsidR="00301943" w:rsidRPr="00D50B9F" w:rsidRDefault="00301943" w:rsidP="00301943">
      <w:pPr>
        <w:pStyle w:val="ListParagraph"/>
        <w:rPr>
          <w:rFonts w:eastAsiaTheme="minorEastAsia" w:cstheme="minorHAnsi"/>
          <w:color w:val="000000"/>
          <w:highlight w:val="yellow"/>
          <w:lang w:eastAsia="zh-CN"/>
        </w:rPr>
      </w:pPr>
    </w:p>
    <w:p w14:paraId="28EF739B" w14:textId="1AFF8BBB" w:rsidR="00102596" w:rsidRPr="004467FE" w:rsidRDefault="00102596" w:rsidP="003C0FC0">
      <w:pPr>
        <w:pStyle w:val="bi"/>
        <w:shd w:val="clear" w:color="auto" w:fill="FFFFFF"/>
        <w:spacing w:before="0" w:beforeAutospacing="0" w:after="0" w:afterAutospacing="0"/>
        <w:jc w:val="both"/>
        <w:rPr>
          <w:rFonts w:asciiTheme="minorHAnsi" w:hAnsiTheme="minorHAnsi" w:cstheme="minorHAnsi"/>
          <w:color w:val="000000"/>
          <w:sz w:val="20"/>
          <w:szCs w:val="20"/>
        </w:rPr>
      </w:pPr>
      <w:r w:rsidRPr="004467FE">
        <w:rPr>
          <w:rFonts w:asciiTheme="minorHAnsi" w:hAnsiTheme="minorHAnsi" w:cstheme="minorHAnsi"/>
          <w:b/>
        </w:rPr>
        <w:t xml:space="preserve">Rónán Murphy, Non-Executive Chairman of Greencoat Renewables, </w:t>
      </w:r>
      <w:r w:rsidR="0024186D">
        <w:rPr>
          <w:rFonts w:asciiTheme="minorHAnsi" w:hAnsiTheme="minorHAnsi" w:cstheme="minorHAnsi"/>
          <w:b/>
        </w:rPr>
        <w:t>commented</w:t>
      </w:r>
      <w:r w:rsidRPr="004467FE">
        <w:rPr>
          <w:rFonts w:asciiTheme="minorHAnsi" w:hAnsiTheme="minorHAnsi" w:cstheme="minorHAnsi"/>
          <w:b/>
        </w:rPr>
        <w:t xml:space="preserve">: </w:t>
      </w:r>
    </w:p>
    <w:p w14:paraId="0532C563" w14:textId="77777777" w:rsidR="00102596" w:rsidRPr="004467FE" w:rsidRDefault="00102596" w:rsidP="00102596">
      <w:pPr>
        <w:ind w:left="360"/>
        <w:rPr>
          <w:rFonts w:eastAsiaTheme="minorEastAsia" w:cstheme="minorHAnsi"/>
          <w:color w:val="000000"/>
          <w:lang w:eastAsia="zh-CN"/>
        </w:rPr>
      </w:pPr>
    </w:p>
    <w:p w14:paraId="588F924E" w14:textId="664FA393" w:rsidR="00317F40" w:rsidRPr="00317F40" w:rsidRDefault="00A206FF" w:rsidP="00317F40">
      <w:pPr>
        <w:pStyle w:val="ListParagraph"/>
        <w:spacing w:line="276" w:lineRule="auto"/>
        <w:jc w:val="both"/>
        <w:rPr>
          <w:rFonts w:eastAsiaTheme="minorEastAsia" w:cstheme="minorHAnsi"/>
          <w:i/>
          <w:iCs/>
          <w:color w:val="000000"/>
          <w:lang w:eastAsia="zh-CN"/>
        </w:rPr>
      </w:pPr>
      <w:r w:rsidRPr="00A206FF">
        <w:rPr>
          <w:rFonts w:eastAsiaTheme="minorEastAsia" w:cstheme="minorHAnsi"/>
          <w:i/>
          <w:iCs/>
          <w:color w:val="000000"/>
          <w:lang w:eastAsia="zh-CN"/>
        </w:rPr>
        <w:t>“</w:t>
      </w:r>
      <w:r w:rsidR="00317F40" w:rsidRPr="00317F40">
        <w:rPr>
          <w:rFonts w:eastAsiaTheme="minorEastAsia" w:cstheme="minorHAnsi"/>
          <w:i/>
          <w:iCs/>
          <w:color w:val="000000"/>
          <w:lang w:eastAsia="zh-CN"/>
        </w:rPr>
        <w:t xml:space="preserve">The first six months of the year have been a busy and pro-active period for Greencoat Renewables with </w:t>
      </w:r>
      <w:r w:rsidR="00C26ECC">
        <w:rPr>
          <w:rFonts w:eastAsiaTheme="minorEastAsia" w:cstheme="minorHAnsi"/>
          <w:i/>
          <w:iCs/>
          <w:color w:val="000000"/>
          <w:lang w:eastAsia="zh-CN"/>
        </w:rPr>
        <w:t>clear</w:t>
      </w:r>
      <w:r w:rsidR="00317F40" w:rsidRPr="00317F40">
        <w:rPr>
          <w:rFonts w:eastAsiaTheme="minorEastAsia" w:cstheme="minorHAnsi"/>
          <w:i/>
          <w:iCs/>
          <w:color w:val="000000"/>
          <w:lang w:eastAsia="zh-CN"/>
        </w:rPr>
        <w:t xml:space="preserve"> strategic progress and </w:t>
      </w:r>
      <w:r w:rsidR="00C26ECC">
        <w:rPr>
          <w:rFonts w:eastAsiaTheme="minorEastAsia" w:cstheme="minorHAnsi"/>
          <w:i/>
          <w:iCs/>
          <w:color w:val="000000"/>
          <w:lang w:eastAsia="zh-CN"/>
        </w:rPr>
        <w:t>good</w:t>
      </w:r>
      <w:r w:rsidR="00317F40" w:rsidRPr="00317F40">
        <w:rPr>
          <w:rFonts w:eastAsiaTheme="minorEastAsia" w:cstheme="minorHAnsi"/>
          <w:i/>
          <w:iCs/>
          <w:color w:val="000000"/>
          <w:lang w:eastAsia="zh-CN"/>
        </w:rPr>
        <w:t xml:space="preserve"> operational performance, </w:t>
      </w:r>
      <w:r w:rsidR="00DD4E05">
        <w:rPr>
          <w:rFonts w:eastAsiaTheme="minorEastAsia" w:cstheme="minorHAnsi"/>
          <w:i/>
          <w:iCs/>
          <w:color w:val="000000"/>
          <w:lang w:eastAsia="zh-CN"/>
        </w:rPr>
        <w:t>notwithstanding</w:t>
      </w:r>
      <w:r w:rsidR="00317F40" w:rsidRPr="00317F40">
        <w:rPr>
          <w:rFonts w:eastAsiaTheme="minorEastAsia" w:cstheme="minorHAnsi"/>
          <w:i/>
          <w:iCs/>
          <w:color w:val="000000"/>
          <w:lang w:eastAsia="zh-CN"/>
        </w:rPr>
        <w:t xml:space="preserve"> ongoing challenges in the wider environment. </w:t>
      </w:r>
    </w:p>
    <w:p w14:paraId="16ECA15D" w14:textId="77777777" w:rsidR="00317F40" w:rsidRPr="00317F40" w:rsidRDefault="00317F40" w:rsidP="00317F40">
      <w:pPr>
        <w:pStyle w:val="ListParagraph"/>
        <w:rPr>
          <w:rFonts w:eastAsiaTheme="minorEastAsia" w:cstheme="minorHAnsi"/>
          <w:i/>
          <w:iCs/>
          <w:color w:val="000000"/>
          <w:lang w:eastAsia="zh-CN"/>
        </w:rPr>
      </w:pPr>
    </w:p>
    <w:p w14:paraId="11E837F0" w14:textId="1843249B" w:rsidR="00B63A3C" w:rsidRDefault="00317F40" w:rsidP="00317F40">
      <w:pPr>
        <w:pStyle w:val="ListParagraph"/>
        <w:spacing w:line="276" w:lineRule="auto"/>
        <w:jc w:val="both"/>
        <w:rPr>
          <w:rFonts w:eastAsiaTheme="minorEastAsia" w:cstheme="minorHAnsi"/>
          <w:i/>
          <w:iCs/>
          <w:color w:val="000000"/>
          <w:lang w:eastAsia="zh-CN"/>
        </w:rPr>
      </w:pPr>
      <w:r w:rsidRPr="00317F40">
        <w:rPr>
          <w:rFonts w:eastAsiaTheme="minorEastAsia" w:cstheme="minorHAnsi"/>
          <w:i/>
          <w:iCs/>
          <w:color w:val="000000"/>
          <w:lang w:eastAsia="zh-CN"/>
        </w:rPr>
        <w:t>Gross cash generation amounted to €68.7 million</w:t>
      </w:r>
      <w:r w:rsidR="001813A7">
        <w:rPr>
          <w:rFonts w:eastAsiaTheme="minorEastAsia" w:cstheme="minorHAnsi"/>
          <w:i/>
          <w:iCs/>
          <w:color w:val="000000"/>
          <w:lang w:eastAsia="zh-CN"/>
        </w:rPr>
        <w:t>,</w:t>
      </w:r>
      <w:r w:rsidRPr="00317F40">
        <w:rPr>
          <w:rFonts w:eastAsiaTheme="minorEastAsia" w:cstheme="minorHAnsi"/>
          <w:i/>
          <w:iCs/>
          <w:color w:val="000000"/>
          <w:lang w:eastAsia="zh-CN"/>
        </w:rPr>
        <w:t xml:space="preserve"> </w:t>
      </w:r>
      <w:r w:rsidR="002728D0">
        <w:rPr>
          <w:rFonts w:eastAsiaTheme="minorEastAsia" w:cstheme="minorHAnsi"/>
          <w:i/>
          <w:iCs/>
          <w:color w:val="000000"/>
          <w:lang w:eastAsia="zh-CN"/>
        </w:rPr>
        <w:t>translating</w:t>
      </w:r>
      <w:r w:rsidRPr="00317F40">
        <w:rPr>
          <w:rFonts w:eastAsiaTheme="minorEastAsia" w:cstheme="minorHAnsi"/>
          <w:i/>
          <w:iCs/>
          <w:color w:val="000000"/>
          <w:lang w:eastAsia="zh-CN"/>
        </w:rPr>
        <w:t xml:space="preserve"> to</w:t>
      </w:r>
      <w:r w:rsidR="00C25439">
        <w:rPr>
          <w:rFonts w:eastAsiaTheme="minorEastAsia" w:cstheme="minorHAnsi"/>
          <w:i/>
          <w:iCs/>
          <w:color w:val="000000"/>
          <w:lang w:eastAsia="zh-CN"/>
        </w:rPr>
        <w:t xml:space="preserve"> a robust</w:t>
      </w:r>
      <w:r w:rsidR="00C26ECC">
        <w:rPr>
          <w:rFonts w:eastAsiaTheme="minorEastAsia" w:cstheme="minorHAnsi"/>
          <w:i/>
          <w:iCs/>
          <w:color w:val="000000"/>
          <w:lang w:eastAsia="zh-CN"/>
        </w:rPr>
        <w:t xml:space="preserve"> gross dividend cover of</w:t>
      </w:r>
      <w:r w:rsidRPr="00317F40">
        <w:rPr>
          <w:rFonts w:eastAsiaTheme="minorEastAsia" w:cstheme="minorHAnsi"/>
          <w:i/>
          <w:iCs/>
          <w:color w:val="000000"/>
          <w:lang w:eastAsia="zh-CN"/>
        </w:rPr>
        <w:t xml:space="preserve"> 1.8x despite a statistically low-wind year across Northern Europe</w:t>
      </w:r>
      <w:r w:rsidR="00F254D0">
        <w:rPr>
          <w:rFonts w:eastAsiaTheme="minorEastAsia" w:cstheme="minorHAnsi"/>
          <w:i/>
          <w:iCs/>
          <w:color w:val="000000"/>
          <w:lang w:eastAsia="zh-CN"/>
        </w:rPr>
        <w:t>.</w:t>
      </w:r>
    </w:p>
    <w:p w14:paraId="19E42BFD" w14:textId="77777777" w:rsidR="00B63A3C" w:rsidRDefault="00B63A3C" w:rsidP="00A206FF">
      <w:pPr>
        <w:pStyle w:val="ListParagraph"/>
        <w:spacing w:line="276" w:lineRule="auto"/>
        <w:jc w:val="both"/>
        <w:rPr>
          <w:rFonts w:eastAsiaTheme="minorEastAsia" w:cstheme="minorHAnsi"/>
          <w:i/>
          <w:iCs/>
          <w:color w:val="000000"/>
          <w:lang w:eastAsia="zh-CN"/>
        </w:rPr>
      </w:pPr>
    </w:p>
    <w:p w14:paraId="66BEF258" w14:textId="7CB76718" w:rsidR="00A206FF" w:rsidRDefault="00CD6131" w:rsidP="00A206FF">
      <w:pPr>
        <w:pStyle w:val="ListParagraph"/>
        <w:spacing w:line="276" w:lineRule="auto"/>
        <w:jc w:val="both"/>
        <w:rPr>
          <w:rFonts w:eastAsiaTheme="minorEastAsia" w:cstheme="minorHAnsi"/>
          <w:i/>
          <w:iCs/>
          <w:color w:val="000000"/>
          <w:lang w:eastAsia="zh-CN"/>
        </w:rPr>
      </w:pPr>
      <w:r>
        <w:rPr>
          <w:rFonts w:eastAsiaTheme="minorEastAsia" w:cstheme="minorHAnsi"/>
          <w:i/>
          <w:iCs/>
          <w:color w:val="000000"/>
          <w:lang w:eastAsia="zh-CN"/>
        </w:rPr>
        <w:t>D</w:t>
      </w:r>
      <w:r w:rsidR="00A206FF" w:rsidRPr="00A206FF">
        <w:rPr>
          <w:rFonts w:eastAsiaTheme="minorEastAsia" w:cstheme="minorHAnsi"/>
          <w:i/>
          <w:iCs/>
          <w:color w:val="000000"/>
          <w:lang w:eastAsia="zh-CN"/>
        </w:rPr>
        <w:t>eleveraging through NAV-accretive disposals</w:t>
      </w:r>
      <w:r w:rsidR="00B63A3C">
        <w:rPr>
          <w:rFonts w:eastAsiaTheme="minorEastAsia" w:cstheme="minorHAnsi"/>
          <w:i/>
          <w:iCs/>
          <w:color w:val="000000"/>
          <w:lang w:eastAsia="zh-CN"/>
        </w:rPr>
        <w:t xml:space="preserve">, the extension of our RCF, </w:t>
      </w:r>
      <w:r w:rsidR="00B63A3C" w:rsidRPr="00A206FF">
        <w:rPr>
          <w:rFonts w:eastAsiaTheme="minorEastAsia" w:cstheme="minorHAnsi"/>
          <w:i/>
          <w:iCs/>
          <w:color w:val="000000"/>
          <w:lang w:eastAsia="zh-CN"/>
        </w:rPr>
        <w:t xml:space="preserve">and the </w:t>
      </w:r>
      <w:r w:rsidR="00B63A3C" w:rsidRPr="004467FE">
        <w:rPr>
          <w:rFonts w:eastAsiaTheme="minorEastAsia" w:cstheme="minorHAnsi"/>
          <w:i/>
          <w:iCs/>
          <w:color w:val="000000"/>
          <w:lang w:eastAsia="zh-CN"/>
        </w:rPr>
        <w:t>fixing of Facility A at an all in cost of debt of 3.9% through to October 2030</w:t>
      </w:r>
      <w:r w:rsidR="00B63A3C">
        <w:rPr>
          <w:rFonts w:eastAsiaTheme="minorEastAsia" w:cstheme="minorHAnsi"/>
          <w:i/>
          <w:iCs/>
          <w:color w:val="000000"/>
          <w:lang w:eastAsia="zh-CN"/>
        </w:rPr>
        <w:t>,</w:t>
      </w:r>
      <w:r w:rsidR="00B63A3C" w:rsidRPr="004467FE">
        <w:rPr>
          <w:rFonts w:eastAsiaTheme="minorEastAsia" w:cstheme="minorHAnsi"/>
          <w:i/>
          <w:iCs/>
          <w:color w:val="000000"/>
          <w:lang w:eastAsia="zh-CN"/>
        </w:rPr>
        <w:t xml:space="preserve"> </w:t>
      </w:r>
      <w:r w:rsidR="00B63A3C" w:rsidRPr="00A206FF">
        <w:rPr>
          <w:rFonts w:eastAsiaTheme="minorEastAsia" w:cstheme="minorHAnsi"/>
          <w:i/>
          <w:iCs/>
          <w:color w:val="000000"/>
          <w:lang w:eastAsia="zh-CN"/>
        </w:rPr>
        <w:t>further strengthen</w:t>
      </w:r>
      <w:r w:rsidR="00B63A3C" w:rsidRPr="004467FE">
        <w:rPr>
          <w:rFonts w:eastAsiaTheme="minorEastAsia" w:cstheme="minorHAnsi"/>
          <w:i/>
          <w:iCs/>
          <w:color w:val="000000"/>
          <w:lang w:eastAsia="zh-CN"/>
        </w:rPr>
        <w:t>s</w:t>
      </w:r>
      <w:r w:rsidR="00B63A3C" w:rsidRPr="00A206FF">
        <w:rPr>
          <w:rFonts w:eastAsiaTheme="minorEastAsia" w:cstheme="minorHAnsi"/>
          <w:i/>
          <w:iCs/>
          <w:color w:val="000000"/>
          <w:lang w:eastAsia="zh-CN"/>
        </w:rPr>
        <w:t xml:space="preserve"> our balance sheet</w:t>
      </w:r>
      <w:r w:rsidR="00A206FF" w:rsidRPr="00A206FF">
        <w:rPr>
          <w:rFonts w:eastAsiaTheme="minorEastAsia" w:cstheme="minorHAnsi"/>
          <w:i/>
          <w:iCs/>
          <w:color w:val="000000"/>
          <w:lang w:eastAsia="zh-CN"/>
        </w:rPr>
        <w:t xml:space="preserve"> </w:t>
      </w:r>
      <w:r w:rsidR="00B63A3C">
        <w:rPr>
          <w:rFonts w:eastAsiaTheme="minorEastAsia" w:cstheme="minorHAnsi"/>
          <w:i/>
          <w:iCs/>
          <w:color w:val="000000"/>
          <w:lang w:eastAsia="zh-CN"/>
        </w:rPr>
        <w:t>and</w:t>
      </w:r>
      <w:r w:rsidR="00A206FF" w:rsidRPr="00A206FF">
        <w:rPr>
          <w:rFonts w:eastAsiaTheme="minorEastAsia" w:cstheme="minorHAnsi"/>
          <w:i/>
          <w:iCs/>
          <w:color w:val="000000"/>
          <w:lang w:eastAsia="zh-CN"/>
        </w:rPr>
        <w:t xml:space="preserve"> enhance</w:t>
      </w:r>
      <w:r w:rsidR="00B63A3C">
        <w:rPr>
          <w:rFonts w:eastAsiaTheme="minorEastAsia" w:cstheme="minorHAnsi"/>
          <w:i/>
          <w:iCs/>
          <w:color w:val="000000"/>
          <w:lang w:eastAsia="zh-CN"/>
        </w:rPr>
        <w:t>s</w:t>
      </w:r>
      <w:r w:rsidR="00A206FF" w:rsidRPr="00A206FF">
        <w:rPr>
          <w:rFonts w:eastAsiaTheme="minorEastAsia" w:cstheme="minorHAnsi"/>
          <w:i/>
          <w:iCs/>
          <w:color w:val="000000"/>
          <w:lang w:eastAsia="zh-CN"/>
        </w:rPr>
        <w:t xml:space="preserve"> our financial flexibility</w:t>
      </w:r>
      <w:r w:rsidR="00B63A3C">
        <w:rPr>
          <w:rFonts w:eastAsiaTheme="minorEastAsia" w:cstheme="minorHAnsi"/>
          <w:i/>
          <w:iCs/>
          <w:color w:val="000000"/>
          <w:lang w:eastAsia="zh-CN"/>
        </w:rPr>
        <w:t>.</w:t>
      </w:r>
      <w:r>
        <w:rPr>
          <w:rFonts w:eastAsiaTheme="minorEastAsia" w:cstheme="minorHAnsi"/>
          <w:i/>
          <w:iCs/>
          <w:color w:val="000000"/>
          <w:lang w:eastAsia="zh-CN"/>
        </w:rPr>
        <w:t xml:space="preserve"> </w:t>
      </w:r>
      <w:r w:rsidRPr="00CD6131">
        <w:rPr>
          <w:rFonts w:eastAsiaTheme="minorEastAsia" w:cstheme="minorHAnsi"/>
          <w:i/>
          <w:iCs/>
          <w:color w:val="000000"/>
          <w:lang w:eastAsia="zh-CN"/>
        </w:rPr>
        <w:t>The rapid rise in data-centre demand driven by AI has continued to accelerate across Europe and we were pleased to sign our second PPA with Keppel DC REIT</w:t>
      </w:r>
      <w:r>
        <w:rPr>
          <w:rFonts w:eastAsiaTheme="minorEastAsia" w:cstheme="minorHAnsi"/>
          <w:i/>
          <w:iCs/>
          <w:color w:val="000000"/>
          <w:lang w:eastAsia="zh-CN"/>
        </w:rPr>
        <w:t xml:space="preserve"> in the period</w:t>
      </w:r>
      <w:r w:rsidRPr="00CD6131">
        <w:rPr>
          <w:rFonts w:eastAsiaTheme="minorEastAsia" w:cstheme="minorHAnsi"/>
          <w:i/>
          <w:iCs/>
          <w:color w:val="000000"/>
          <w:lang w:eastAsia="zh-CN"/>
        </w:rPr>
        <w:t>.</w:t>
      </w:r>
      <w:r w:rsidR="00B63A3C">
        <w:rPr>
          <w:rFonts w:eastAsiaTheme="minorEastAsia" w:cstheme="minorHAnsi"/>
          <w:i/>
          <w:iCs/>
          <w:color w:val="000000"/>
          <w:lang w:eastAsia="zh-CN"/>
        </w:rPr>
        <w:t xml:space="preserve"> </w:t>
      </w:r>
    </w:p>
    <w:p w14:paraId="2421D557" w14:textId="77777777" w:rsidR="00B63A3C" w:rsidRDefault="00B63A3C" w:rsidP="00B63A3C">
      <w:pPr>
        <w:spacing w:line="276" w:lineRule="auto"/>
        <w:jc w:val="both"/>
        <w:rPr>
          <w:rFonts w:eastAsiaTheme="minorEastAsia" w:cstheme="minorHAnsi"/>
          <w:i/>
          <w:iCs/>
          <w:color w:val="000000"/>
          <w:lang w:eastAsia="zh-CN"/>
        </w:rPr>
      </w:pPr>
    </w:p>
    <w:p w14:paraId="46640471" w14:textId="3DB6D645" w:rsidR="00A206FF" w:rsidRPr="00B63A3C" w:rsidRDefault="00B57B07" w:rsidP="00B63A3C">
      <w:pPr>
        <w:spacing w:line="276" w:lineRule="auto"/>
        <w:ind w:left="720"/>
        <w:jc w:val="both"/>
        <w:rPr>
          <w:rFonts w:eastAsiaTheme="minorEastAsia" w:cstheme="minorHAnsi"/>
          <w:i/>
          <w:iCs/>
          <w:color w:val="000000"/>
          <w:lang w:eastAsia="zh-CN"/>
        </w:rPr>
      </w:pPr>
      <w:r>
        <w:rPr>
          <w:rFonts w:eastAsiaTheme="minorEastAsia" w:cstheme="minorHAnsi"/>
          <w:i/>
          <w:iCs/>
          <w:color w:val="000000"/>
          <w:lang w:eastAsia="zh-CN"/>
        </w:rPr>
        <w:t>In the period, we</w:t>
      </w:r>
      <w:r w:rsidR="004868B4" w:rsidRPr="00B63A3C">
        <w:rPr>
          <w:rFonts w:eastAsiaTheme="minorEastAsia" w:cstheme="minorHAnsi"/>
          <w:i/>
          <w:iCs/>
          <w:color w:val="000000"/>
          <w:lang w:eastAsia="zh-CN"/>
        </w:rPr>
        <w:t xml:space="preserve"> t</w:t>
      </w:r>
      <w:r>
        <w:rPr>
          <w:rFonts w:eastAsiaTheme="minorEastAsia" w:cstheme="minorHAnsi"/>
          <w:i/>
          <w:iCs/>
          <w:color w:val="000000"/>
          <w:lang w:eastAsia="zh-CN"/>
        </w:rPr>
        <w:t>ook</w:t>
      </w:r>
      <w:r w:rsidR="004868B4" w:rsidRPr="00B63A3C">
        <w:rPr>
          <w:rFonts w:eastAsiaTheme="minorEastAsia" w:cstheme="minorHAnsi"/>
          <w:i/>
          <w:iCs/>
          <w:color w:val="000000"/>
          <w:lang w:eastAsia="zh-CN"/>
        </w:rPr>
        <w:t xml:space="preserve"> </w:t>
      </w:r>
      <w:r w:rsidR="00A206FF" w:rsidRPr="00B63A3C">
        <w:rPr>
          <w:rFonts w:eastAsiaTheme="minorEastAsia" w:cstheme="minorHAnsi"/>
          <w:i/>
          <w:iCs/>
          <w:color w:val="000000"/>
          <w:lang w:eastAsia="zh-CN"/>
        </w:rPr>
        <w:t>an innovative step to broaden our investor base and improve liquidity through a secondary listing on the Johannesburg Stock Exchange</w:t>
      </w:r>
      <w:r w:rsidR="00BC5D0E">
        <w:rPr>
          <w:rFonts w:eastAsiaTheme="minorEastAsia" w:cstheme="minorHAnsi"/>
          <w:i/>
          <w:iCs/>
          <w:color w:val="000000"/>
          <w:lang w:eastAsia="zh-CN"/>
        </w:rPr>
        <w:t>.</w:t>
      </w:r>
      <w:r w:rsidR="004868B4" w:rsidRPr="00B63A3C">
        <w:rPr>
          <w:rFonts w:eastAsiaTheme="minorEastAsia" w:cstheme="minorHAnsi"/>
          <w:i/>
          <w:iCs/>
          <w:color w:val="000000"/>
          <w:lang w:eastAsia="zh-CN"/>
        </w:rPr>
        <w:t xml:space="preserve"> </w:t>
      </w:r>
      <w:r w:rsidR="00BC5D0E">
        <w:rPr>
          <w:rFonts w:eastAsiaTheme="minorEastAsia" w:cstheme="minorHAnsi"/>
          <w:i/>
          <w:iCs/>
          <w:color w:val="000000"/>
          <w:lang w:eastAsia="zh-CN"/>
        </w:rPr>
        <w:t>I</w:t>
      </w:r>
      <w:r w:rsidR="004868B4" w:rsidRPr="00B63A3C">
        <w:rPr>
          <w:rFonts w:eastAsiaTheme="minorEastAsia" w:cstheme="minorHAnsi"/>
          <w:i/>
          <w:iCs/>
          <w:color w:val="000000"/>
          <w:lang w:eastAsia="zh-CN"/>
        </w:rPr>
        <w:t xml:space="preserve">n </w:t>
      </w:r>
      <w:r w:rsidR="00BC5D0E">
        <w:rPr>
          <w:rFonts w:eastAsiaTheme="minorEastAsia" w:cstheme="minorHAnsi"/>
          <w:i/>
          <w:iCs/>
          <w:color w:val="000000"/>
          <w:lang w:eastAsia="zh-CN"/>
        </w:rPr>
        <w:t>addition, we agreed a reduction</w:t>
      </w:r>
      <w:r w:rsidR="004868B4" w:rsidRPr="00B63A3C">
        <w:rPr>
          <w:rFonts w:eastAsiaTheme="minorEastAsia" w:cstheme="minorHAnsi"/>
          <w:i/>
          <w:iCs/>
          <w:color w:val="000000"/>
          <w:lang w:eastAsia="zh-CN"/>
        </w:rPr>
        <w:t xml:space="preserve"> in </w:t>
      </w:r>
      <w:r w:rsidR="00BC5D0E">
        <w:rPr>
          <w:rFonts w:eastAsiaTheme="minorEastAsia" w:cstheme="minorHAnsi"/>
          <w:i/>
          <w:iCs/>
          <w:color w:val="000000"/>
          <w:lang w:eastAsia="zh-CN"/>
        </w:rPr>
        <w:t xml:space="preserve">our </w:t>
      </w:r>
      <w:r w:rsidR="004868B4" w:rsidRPr="00B63A3C">
        <w:rPr>
          <w:rFonts w:eastAsiaTheme="minorEastAsia" w:cstheme="minorHAnsi"/>
          <w:i/>
          <w:iCs/>
          <w:color w:val="000000"/>
          <w:lang w:eastAsia="zh-CN"/>
        </w:rPr>
        <w:t>management fees</w:t>
      </w:r>
      <w:r w:rsidR="00BC5D0E">
        <w:rPr>
          <w:rFonts w:eastAsiaTheme="minorEastAsia" w:cstheme="minorHAnsi"/>
          <w:i/>
          <w:iCs/>
          <w:color w:val="000000"/>
          <w:lang w:eastAsia="zh-CN"/>
        </w:rPr>
        <w:t xml:space="preserve">, effective 1 April 2025. </w:t>
      </w:r>
    </w:p>
    <w:p w14:paraId="54141BC6" w14:textId="77777777" w:rsidR="004467FE" w:rsidRPr="00B63A3C" w:rsidRDefault="004467FE" w:rsidP="00B63A3C">
      <w:pPr>
        <w:spacing w:line="276" w:lineRule="auto"/>
        <w:jc w:val="both"/>
        <w:rPr>
          <w:rFonts w:eastAsiaTheme="minorEastAsia" w:cstheme="minorHAnsi"/>
          <w:i/>
          <w:iCs/>
          <w:color w:val="000000"/>
          <w:lang w:eastAsia="zh-CN"/>
        </w:rPr>
      </w:pPr>
    </w:p>
    <w:p w14:paraId="0DE6E732" w14:textId="2A46DB33" w:rsidR="00851401" w:rsidRPr="004467FE" w:rsidRDefault="004467FE" w:rsidP="00C36962">
      <w:pPr>
        <w:spacing w:line="276" w:lineRule="auto"/>
        <w:ind w:left="720"/>
        <w:jc w:val="both"/>
        <w:rPr>
          <w:rFonts w:eastAsiaTheme="minorEastAsia" w:cstheme="minorHAnsi"/>
          <w:i/>
          <w:iCs/>
          <w:color w:val="000000"/>
          <w:lang w:eastAsia="zh-CN"/>
        </w:rPr>
      </w:pPr>
      <w:r w:rsidRPr="00851350">
        <w:rPr>
          <w:rFonts w:eastAsiaTheme="minorEastAsia" w:cstheme="minorHAnsi"/>
          <w:i/>
          <w:iCs/>
          <w:color w:val="000000"/>
          <w:lang w:eastAsia="zh-CN"/>
        </w:rPr>
        <w:t>The European renewables sector has proven to be resilient</w:t>
      </w:r>
      <w:r w:rsidR="001E033E">
        <w:rPr>
          <w:rFonts w:eastAsiaTheme="minorEastAsia" w:cstheme="minorHAnsi"/>
          <w:i/>
          <w:iCs/>
          <w:color w:val="000000"/>
          <w:lang w:eastAsia="zh-CN"/>
        </w:rPr>
        <w:t>, underpinned by b</w:t>
      </w:r>
      <w:r w:rsidRPr="00851350">
        <w:rPr>
          <w:rFonts w:eastAsiaTheme="minorEastAsia" w:cstheme="minorHAnsi"/>
          <w:i/>
          <w:iCs/>
          <w:color w:val="000000"/>
          <w:lang w:eastAsia="zh-CN"/>
        </w:rPr>
        <w:t>inding government commitments to decarbonisation, accelerating corporate demand for clean energy, and the convergence of digital and energy</w:t>
      </w:r>
      <w:r w:rsidR="001E033E">
        <w:rPr>
          <w:rFonts w:eastAsiaTheme="minorEastAsia" w:cstheme="minorHAnsi"/>
          <w:i/>
          <w:iCs/>
          <w:color w:val="000000"/>
          <w:lang w:eastAsia="zh-CN"/>
        </w:rPr>
        <w:t>. Greencoat Renewables</w:t>
      </w:r>
      <w:r w:rsidR="0024186D">
        <w:rPr>
          <w:rFonts w:eastAsiaTheme="minorEastAsia" w:cstheme="minorHAnsi"/>
          <w:i/>
          <w:iCs/>
          <w:color w:val="000000"/>
          <w:lang w:eastAsia="zh-CN"/>
        </w:rPr>
        <w:t>’</w:t>
      </w:r>
      <w:r w:rsidR="00C36962" w:rsidRPr="00A206FF">
        <w:rPr>
          <w:rFonts w:eastAsiaTheme="minorEastAsia" w:cstheme="minorHAnsi"/>
          <w:i/>
          <w:iCs/>
          <w:color w:val="000000"/>
          <w:lang w:eastAsia="zh-CN"/>
        </w:rPr>
        <w:t xml:space="preserve"> diversified portfolio and active asset management approach position us well</w:t>
      </w:r>
      <w:r w:rsidR="008D5BDA">
        <w:rPr>
          <w:rFonts w:eastAsiaTheme="minorEastAsia" w:cstheme="minorHAnsi"/>
          <w:i/>
          <w:iCs/>
          <w:color w:val="000000"/>
          <w:lang w:eastAsia="zh-CN"/>
        </w:rPr>
        <w:t xml:space="preserve">, </w:t>
      </w:r>
      <w:r w:rsidR="00DD4E05">
        <w:rPr>
          <w:rFonts w:eastAsiaTheme="minorEastAsia" w:cstheme="minorHAnsi"/>
          <w:i/>
          <w:iCs/>
          <w:color w:val="000000"/>
          <w:lang w:eastAsia="zh-CN"/>
        </w:rPr>
        <w:t>despite</w:t>
      </w:r>
      <w:r w:rsidR="008D5BDA">
        <w:rPr>
          <w:rFonts w:eastAsiaTheme="minorEastAsia" w:cstheme="minorHAnsi"/>
          <w:i/>
          <w:iCs/>
          <w:color w:val="000000"/>
          <w:lang w:eastAsia="zh-CN"/>
        </w:rPr>
        <w:t xml:space="preserve"> current challenges, </w:t>
      </w:r>
      <w:r w:rsidR="00C36962" w:rsidRPr="00A206FF">
        <w:rPr>
          <w:rFonts w:eastAsiaTheme="minorEastAsia" w:cstheme="minorHAnsi"/>
          <w:i/>
          <w:iCs/>
          <w:color w:val="000000"/>
          <w:lang w:eastAsia="zh-CN"/>
        </w:rPr>
        <w:t xml:space="preserve">to capitalise </w:t>
      </w:r>
      <w:r w:rsidR="004531DE">
        <w:rPr>
          <w:rFonts w:eastAsiaTheme="minorEastAsia" w:cstheme="minorHAnsi"/>
          <w:i/>
          <w:iCs/>
          <w:color w:val="000000"/>
          <w:lang w:eastAsia="zh-CN"/>
        </w:rPr>
        <w:t>from</w:t>
      </w:r>
      <w:r w:rsidR="008D5BDA">
        <w:rPr>
          <w:rFonts w:eastAsiaTheme="minorEastAsia" w:cstheme="minorHAnsi"/>
          <w:i/>
          <w:iCs/>
          <w:color w:val="000000"/>
          <w:lang w:eastAsia="zh-CN"/>
        </w:rPr>
        <w:t xml:space="preserve"> significant </w:t>
      </w:r>
      <w:r w:rsidR="00C36962" w:rsidRPr="00A206FF">
        <w:rPr>
          <w:rFonts w:eastAsiaTheme="minorEastAsia" w:cstheme="minorHAnsi"/>
          <w:i/>
          <w:iCs/>
          <w:color w:val="000000"/>
          <w:lang w:eastAsia="zh-CN"/>
        </w:rPr>
        <w:t>long-term</w:t>
      </w:r>
      <w:r w:rsidR="008D5BDA">
        <w:rPr>
          <w:rFonts w:eastAsiaTheme="minorEastAsia" w:cstheme="minorHAnsi"/>
          <w:i/>
          <w:iCs/>
          <w:color w:val="000000"/>
          <w:lang w:eastAsia="zh-CN"/>
        </w:rPr>
        <w:t xml:space="preserve"> sector growth</w:t>
      </w:r>
      <w:r w:rsidR="00C36962" w:rsidRPr="00B63A3C">
        <w:rPr>
          <w:rFonts w:eastAsiaTheme="minorEastAsia" w:cstheme="minorHAnsi"/>
          <w:i/>
          <w:iCs/>
          <w:color w:val="000000"/>
          <w:lang w:eastAsia="zh-CN"/>
        </w:rPr>
        <w:t>”</w:t>
      </w:r>
      <w:r w:rsidR="00C36962">
        <w:rPr>
          <w:rFonts w:eastAsiaTheme="minorEastAsia" w:cstheme="minorHAnsi"/>
          <w:i/>
          <w:iCs/>
          <w:color w:val="000000"/>
          <w:lang w:eastAsia="zh-CN"/>
        </w:rPr>
        <w:t>.</w:t>
      </w:r>
    </w:p>
    <w:p w14:paraId="5131E9AC" w14:textId="77777777" w:rsidR="00102596" w:rsidRPr="004467FE" w:rsidRDefault="00102596" w:rsidP="00102596">
      <w:pPr>
        <w:jc w:val="both"/>
        <w:rPr>
          <w:rFonts w:cstheme="minorHAnsi"/>
          <w:b/>
          <w:sz w:val="22"/>
          <w:szCs w:val="22"/>
        </w:rPr>
      </w:pPr>
    </w:p>
    <w:p w14:paraId="02DE5DC1" w14:textId="77777777" w:rsidR="00102596" w:rsidRPr="004467FE" w:rsidRDefault="00102596" w:rsidP="00102596">
      <w:pPr>
        <w:jc w:val="both"/>
        <w:rPr>
          <w:rFonts w:cstheme="minorHAnsi"/>
          <w:b/>
          <w:sz w:val="22"/>
          <w:szCs w:val="22"/>
        </w:rPr>
      </w:pPr>
    </w:p>
    <w:p w14:paraId="27BF68AA" w14:textId="77777777" w:rsidR="00102596" w:rsidRPr="004467FE" w:rsidRDefault="00102596" w:rsidP="00102596">
      <w:pPr>
        <w:jc w:val="both"/>
        <w:rPr>
          <w:rFonts w:cstheme="minorHAnsi"/>
          <w:b/>
        </w:rPr>
      </w:pPr>
      <w:r w:rsidRPr="004467FE">
        <w:rPr>
          <w:rFonts w:cstheme="minorHAnsi"/>
          <w:b/>
        </w:rPr>
        <w:t>Key Metrics</w:t>
      </w:r>
    </w:p>
    <w:p w14:paraId="3DD40184" w14:textId="77777777" w:rsidR="00102596" w:rsidRDefault="00102596" w:rsidP="00102596">
      <w:pPr>
        <w:pStyle w:val="aku"/>
        <w:shd w:val="clear" w:color="auto" w:fill="FFFFFF"/>
        <w:spacing w:before="0" w:beforeAutospacing="0" w:after="0" w:afterAutospacing="0"/>
        <w:jc w:val="both"/>
        <w:rPr>
          <w:rStyle w:val="akb"/>
          <w:rFonts w:asciiTheme="minorHAnsi" w:hAnsiTheme="minorHAnsi" w:cstheme="minorHAnsi"/>
          <w:color w:val="000000"/>
        </w:rPr>
      </w:pPr>
    </w:p>
    <w:tbl>
      <w:tblPr>
        <w:tblW w:w="4966" w:type="pct"/>
        <w:tblLayout w:type="fixed"/>
        <w:tblLook w:val="04A0" w:firstRow="1" w:lastRow="0" w:firstColumn="1" w:lastColumn="0" w:noHBand="0" w:noVBand="1"/>
      </w:tblPr>
      <w:tblGrid>
        <w:gridCol w:w="6613"/>
        <w:gridCol w:w="2352"/>
      </w:tblGrid>
      <w:tr w:rsidR="003B1F96" w:rsidRPr="002519A9" w14:paraId="400E8599" w14:textId="77777777" w:rsidTr="00BB7AC0">
        <w:trPr>
          <w:trHeight w:val="276"/>
        </w:trPr>
        <w:tc>
          <w:tcPr>
            <w:tcW w:w="3688" w:type="pct"/>
            <w:tcBorders>
              <w:top w:val="nil"/>
              <w:left w:val="nil"/>
              <w:right w:val="nil"/>
            </w:tcBorders>
            <w:shd w:val="clear" w:color="000000" w:fill="FFFFFF"/>
            <w:noWrap/>
            <w:vAlign w:val="center"/>
          </w:tcPr>
          <w:p w14:paraId="7E5D9D6C" w14:textId="77777777" w:rsidR="003B1F96" w:rsidRPr="002519A9" w:rsidRDefault="003B1F96" w:rsidP="00BB7AC0">
            <w:pPr>
              <w:jc w:val="both"/>
              <w:rPr>
                <w:rFonts w:ascii="Arial" w:eastAsia="Times New Roman" w:hAnsi="Arial" w:cs="Arial"/>
                <w:color w:val="000000"/>
                <w:lang w:eastAsia="en-GB"/>
              </w:rPr>
            </w:pPr>
          </w:p>
        </w:tc>
        <w:tc>
          <w:tcPr>
            <w:tcW w:w="1312" w:type="pct"/>
            <w:tcBorders>
              <w:top w:val="nil"/>
              <w:left w:val="nil"/>
              <w:right w:val="nil"/>
            </w:tcBorders>
            <w:shd w:val="clear" w:color="000000" w:fill="FFFFFF" w:themeFill="background1"/>
          </w:tcPr>
          <w:p w14:paraId="686D30DE" w14:textId="77777777" w:rsidR="003B1F96" w:rsidRDefault="003B1F96" w:rsidP="00BB7AC0">
            <w:pPr>
              <w:jc w:val="right"/>
              <w:rPr>
                <w:rFonts w:ascii="Arial" w:eastAsia="Times New Roman" w:hAnsi="Arial" w:cs="Arial"/>
                <w:b/>
                <w:color w:val="000000"/>
                <w:lang w:eastAsia="en-GB"/>
              </w:rPr>
            </w:pPr>
            <w:r>
              <w:rPr>
                <w:rFonts w:ascii="Arial" w:eastAsia="Times New Roman" w:hAnsi="Arial" w:cs="Arial"/>
                <w:b/>
                <w:color w:val="000000"/>
                <w:lang w:eastAsia="en-GB"/>
              </w:rPr>
              <w:t xml:space="preserve">As at </w:t>
            </w:r>
          </w:p>
          <w:p w14:paraId="3FF89F92" w14:textId="77777777" w:rsidR="003B1F96" w:rsidRDefault="003B1F96" w:rsidP="00BB7AC0">
            <w:pPr>
              <w:jc w:val="right"/>
              <w:rPr>
                <w:rFonts w:ascii="Arial" w:eastAsia="Times New Roman" w:hAnsi="Arial" w:cs="Arial"/>
                <w:b/>
                <w:color w:val="000000"/>
                <w:lang w:eastAsia="en-GB"/>
              </w:rPr>
            </w:pPr>
            <w:r>
              <w:rPr>
                <w:rFonts w:ascii="Arial" w:eastAsia="Times New Roman" w:hAnsi="Arial" w:cs="Arial"/>
                <w:b/>
                <w:color w:val="000000"/>
                <w:lang w:eastAsia="en-GB"/>
              </w:rPr>
              <w:t>30 June 2025</w:t>
            </w:r>
          </w:p>
        </w:tc>
      </w:tr>
      <w:tr w:rsidR="003B1F96" w:rsidRPr="008D1C91" w14:paraId="08F4BDE2" w14:textId="77777777" w:rsidTr="00BB7AC0">
        <w:trPr>
          <w:trHeight w:val="276"/>
        </w:trPr>
        <w:tc>
          <w:tcPr>
            <w:tcW w:w="3688" w:type="pct"/>
            <w:tcBorders>
              <w:top w:val="nil"/>
              <w:left w:val="nil"/>
              <w:bottom w:val="nil"/>
              <w:right w:val="nil"/>
            </w:tcBorders>
            <w:shd w:val="clear" w:color="000000" w:fill="FFFFFF"/>
            <w:noWrap/>
            <w:vAlign w:val="center"/>
            <w:hideMark/>
          </w:tcPr>
          <w:p w14:paraId="08280518" w14:textId="77777777" w:rsidR="003B1F96" w:rsidRPr="00576645" w:rsidRDefault="003B1F96" w:rsidP="00BB7AC0">
            <w:pPr>
              <w:jc w:val="both"/>
              <w:rPr>
                <w:rFonts w:ascii="Calibri" w:hAnsi="Calibri" w:cs="Calibri"/>
              </w:rPr>
            </w:pPr>
            <w:r w:rsidRPr="00576645">
              <w:rPr>
                <w:rFonts w:ascii="Calibri" w:hAnsi="Calibri" w:cs="Calibri"/>
              </w:rPr>
              <w:t>Market capitalisation</w:t>
            </w:r>
          </w:p>
        </w:tc>
        <w:tc>
          <w:tcPr>
            <w:tcW w:w="1312" w:type="pct"/>
            <w:tcBorders>
              <w:top w:val="nil"/>
              <w:left w:val="nil"/>
              <w:bottom w:val="nil"/>
              <w:right w:val="nil"/>
            </w:tcBorders>
            <w:shd w:val="clear" w:color="auto" w:fill="EDFFB7"/>
          </w:tcPr>
          <w:p w14:paraId="02581A47" w14:textId="77777777" w:rsidR="003B1F96" w:rsidRPr="00576645" w:rsidRDefault="003B1F96" w:rsidP="00BB7AC0">
            <w:pPr>
              <w:jc w:val="right"/>
              <w:rPr>
                <w:rFonts w:ascii="Calibri" w:hAnsi="Calibri" w:cs="Calibri"/>
              </w:rPr>
            </w:pPr>
            <w:r w:rsidRPr="00576645">
              <w:rPr>
                <w:rFonts w:ascii="Calibri" w:hAnsi="Calibri" w:cs="Calibri"/>
              </w:rPr>
              <w:t>€855 million</w:t>
            </w:r>
          </w:p>
        </w:tc>
      </w:tr>
      <w:tr w:rsidR="003B1F96" w:rsidRPr="004F6A6F" w14:paraId="6E348F73" w14:textId="77777777" w:rsidTr="00BB7AC0">
        <w:trPr>
          <w:trHeight w:val="276"/>
        </w:trPr>
        <w:tc>
          <w:tcPr>
            <w:tcW w:w="3688" w:type="pct"/>
            <w:tcBorders>
              <w:top w:val="nil"/>
              <w:left w:val="nil"/>
              <w:bottom w:val="nil"/>
              <w:right w:val="nil"/>
            </w:tcBorders>
            <w:shd w:val="clear" w:color="000000" w:fill="FFFFFF"/>
            <w:noWrap/>
            <w:vAlign w:val="center"/>
            <w:hideMark/>
          </w:tcPr>
          <w:p w14:paraId="30254166" w14:textId="77777777" w:rsidR="003B1F96" w:rsidRPr="00576645" w:rsidRDefault="003B1F96" w:rsidP="00BB7AC0">
            <w:pPr>
              <w:jc w:val="both"/>
              <w:rPr>
                <w:rFonts w:ascii="Calibri" w:hAnsi="Calibri" w:cs="Calibri"/>
              </w:rPr>
            </w:pPr>
            <w:r w:rsidRPr="00576645">
              <w:rPr>
                <w:rFonts w:ascii="Calibri" w:hAnsi="Calibri" w:cs="Calibri"/>
              </w:rPr>
              <w:t>Share price</w:t>
            </w:r>
          </w:p>
        </w:tc>
        <w:tc>
          <w:tcPr>
            <w:tcW w:w="1312" w:type="pct"/>
            <w:tcBorders>
              <w:top w:val="nil"/>
              <w:left w:val="nil"/>
              <w:bottom w:val="nil"/>
              <w:right w:val="nil"/>
            </w:tcBorders>
            <w:shd w:val="clear" w:color="auto" w:fill="EDFFB7"/>
          </w:tcPr>
          <w:p w14:paraId="204ABCAA" w14:textId="77777777" w:rsidR="003B1F96" w:rsidRPr="00576645" w:rsidRDefault="003B1F96" w:rsidP="00BB7AC0">
            <w:pPr>
              <w:jc w:val="right"/>
              <w:rPr>
                <w:rFonts w:ascii="Calibri" w:hAnsi="Calibri" w:cs="Calibri"/>
              </w:rPr>
            </w:pPr>
            <w:r w:rsidRPr="00576645">
              <w:rPr>
                <w:rFonts w:ascii="Calibri" w:hAnsi="Calibri" w:cs="Calibri"/>
              </w:rPr>
              <w:t>76.8 cent</w:t>
            </w:r>
          </w:p>
        </w:tc>
      </w:tr>
      <w:tr w:rsidR="003B1F96" w:rsidRPr="002519A9" w14:paraId="4A45ADC6" w14:textId="77777777" w:rsidTr="00BB7AC0">
        <w:trPr>
          <w:trHeight w:val="276"/>
        </w:trPr>
        <w:tc>
          <w:tcPr>
            <w:tcW w:w="3688" w:type="pct"/>
            <w:tcBorders>
              <w:top w:val="nil"/>
              <w:left w:val="nil"/>
              <w:bottom w:val="nil"/>
              <w:right w:val="nil"/>
            </w:tcBorders>
            <w:shd w:val="clear" w:color="000000" w:fill="FFFFFF"/>
            <w:noWrap/>
            <w:vAlign w:val="center"/>
            <w:hideMark/>
          </w:tcPr>
          <w:p w14:paraId="71700E1F" w14:textId="77777777" w:rsidR="003B1F96" w:rsidRPr="00576645" w:rsidRDefault="003B1F96" w:rsidP="00BB7AC0">
            <w:pPr>
              <w:jc w:val="both"/>
              <w:rPr>
                <w:rFonts w:ascii="Calibri" w:hAnsi="Calibri" w:cs="Calibri"/>
              </w:rPr>
            </w:pPr>
            <w:r w:rsidRPr="00576645">
              <w:rPr>
                <w:rFonts w:ascii="Calibri" w:hAnsi="Calibri" w:cs="Calibri"/>
              </w:rPr>
              <w:t>Dividends with respect to the period</w:t>
            </w:r>
          </w:p>
        </w:tc>
        <w:tc>
          <w:tcPr>
            <w:tcW w:w="1312" w:type="pct"/>
            <w:tcBorders>
              <w:top w:val="nil"/>
              <w:left w:val="nil"/>
              <w:bottom w:val="nil"/>
              <w:right w:val="nil"/>
            </w:tcBorders>
            <w:shd w:val="clear" w:color="auto" w:fill="EDFFB7"/>
          </w:tcPr>
          <w:p w14:paraId="72DAADAD" w14:textId="77777777" w:rsidR="003B1F96" w:rsidRPr="00576645" w:rsidRDefault="003B1F96" w:rsidP="00BB7AC0">
            <w:pPr>
              <w:jc w:val="right"/>
              <w:rPr>
                <w:rFonts w:ascii="Calibri" w:hAnsi="Calibri" w:cs="Calibri"/>
              </w:rPr>
            </w:pPr>
            <w:r w:rsidRPr="00576645">
              <w:rPr>
                <w:rFonts w:ascii="Calibri" w:hAnsi="Calibri" w:cs="Calibri"/>
              </w:rPr>
              <w:t>€37.9 million</w:t>
            </w:r>
          </w:p>
        </w:tc>
      </w:tr>
      <w:tr w:rsidR="003B1F96" w:rsidRPr="002519A9" w14:paraId="66AC2A32" w14:textId="77777777" w:rsidTr="00BB7AC0">
        <w:trPr>
          <w:trHeight w:val="276"/>
        </w:trPr>
        <w:tc>
          <w:tcPr>
            <w:tcW w:w="3688" w:type="pct"/>
            <w:tcBorders>
              <w:top w:val="nil"/>
              <w:left w:val="nil"/>
              <w:bottom w:val="nil"/>
              <w:right w:val="nil"/>
            </w:tcBorders>
            <w:shd w:val="clear" w:color="000000" w:fill="FFFFFF"/>
            <w:noWrap/>
            <w:vAlign w:val="center"/>
            <w:hideMark/>
          </w:tcPr>
          <w:p w14:paraId="6E285C5E" w14:textId="77777777" w:rsidR="003B1F96" w:rsidRPr="00576645" w:rsidRDefault="003B1F96" w:rsidP="00BB7AC0">
            <w:pPr>
              <w:jc w:val="both"/>
              <w:rPr>
                <w:rFonts w:ascii="Calibri" w:hAnsi="Calibri" w:cs="Calibri"/>
              </w:rPr>
            </w:pPr>
            <w:r w:rsidRPr="00576645">
              <w:rPr>
                <w:rFonts w:ascii="Calibri" w:hAnsi="Calibri" w:cs="Calibri"/>
              </w:rPr>
              <w:t>Dividends with respect to the period per share</w:t>
            </w:r>
          </w:p>
        </w:tc>
        <w:tc>
          <w:tcPr>
            <w:tcW w:w="1312" w:type="pct"/>
            <w:tcBorders>
              <w:top w:val="nil"/>
              <w:left w:val="nil"/>
              <w:bottom w:val="nil"/>
              <w:right w:val="nil"/>
            </w:tcBorders>
            <w:shd w:val="clear" w:color="auto" w:fill="EDFFB7"/>
          </w:tcPr>
          <w:p w14:paraId="1D6C8161" w14:textId="77777777" w:rsidR="003B1F96" w:rsidRPr="00576645" w:rsidRDefault="003B1F96" w:rsidP="00BB7AC0">
            <w:pPr>
              <w:jc w:val="right"/>
              <w:rPr>
                <w:rFonts w:ascii="Calibri" w:hAnsi="Calibri" w:cs="Calibri"/>
              </w:rPr>
            </w:pPr>
            <w:r w:rsidRPr="00576645">
              <w:rPr>
                <w:rFonts w:ascii="Calibri" w:hAnsi="Calibri" w:cs="Calibri"/>
              </w:rPr>
              <w:t>3.41 cent</w:t>
            </w:r>
          </w:p>
        </w:tc>
      </w:tr>
      <w:tr w:rsidR="003B1F96" w:rsidRPr="002519A9" w14:paraId="670AA0DB" w14:textId="77777777" w:rsidTr="00BB7AC0">
        <w:trPr>
          <w:trHeight w:val="276"/>
        </w:trPr>
        <w:tc>
          <w:tcPr>
            <w:tcW w:w="3688" w:type="pct"/>
            <w:tcBorders>
              <w:top w:val="nil"/>
              <w:left w:val="nil"/>
              <w:bottom w:val="nil"/>
              <w:right w:val="nil"/>
            </w:tcBorders>
            <w:shd w:val="clear" w:color="000000" w:fill="FFFFFF"/>
            <w:noWrap/>
            <w:vAlign w:val="center"/>
            <w:hideMark/>
          </w:tcPr>
          <w:p w14:paraId="75DBB6B3" w14:textId="77777777" w:rsidR="003B1F96" w:rsidRPr="00576645" w:rsidRDefault="003B1F96" w:rsidP="00BB7AC0">
            <w:pPr>
              <w:jc w:val="both"/>
              <w:rPr>
                <w:rFonts w:ascii="Calibri" w:hAnsi="Calibri" w:cs="Calibri"/>
              </w:rPr>
            </w:pPr>
            <w:r w:rsidRPr="00576645">
              <w:rPr>
                <w:rFonts w:ascii="Calibri" w:hAnsi="Calibri" w:cs="Calibri"/>
              </w:rPr>
              <w:t>GAV</w:t>
            </w:r>
          </w:p>
        </w:tc>
        <w:tc>
          <w:tcPr>
            <w:tcW w:w="1312" w:type="pct"/>
            <w:tcBorders>
              <w:top w:val="nil"/>
              <w:left w:val="nil"/>
              <w:bottom w:val="nil"/>
              <w:right w:val="nil"/>
            </w:tcBorders>
            <w:shd w:val="clear" w:color="auto" w:fill="EDFFB7"/>
          </w:tcPr>
          <w:p w14:paraId="08FCD882" w14:textId="77777777" w:rsidR="003B1F96" w:rsidRPr="00576645" w:rsidRDefault="003B1F96" w:rsidP="00BB7AC0">
            <w:pPr>
              <w:jc w:val="right"/>
              <w:rPr>
                <w:rFonts w:ascii="Calibri" w:hAnsi="Calibri" w:cs="Calibri"/>
              </w:rPr>
            </w:pPr>
            <w:r w:rsidRPr="00576645">
              <w:rPr>
                <w:rFonts w:ascii="Calibri" w:hAnsi="Calibri" w:cs="Calibri"/>
              </w:rPr>
              <w:t>€2,475 million</w:t>
            </w:r>
          </w:p>
        </w:tc>
      </w:tr>
      <w:tr w:rsidR="003B1F96" w:rsidRPr="002519A9" w14:paraId="00BAAD4E" w14:textId="77777777" w:rsidTr="00BB7AC0">
        <w:trPr>
          <w:trHeight w:val="95"/>
        </w:trPr>
        <w:tc>
          <w:tcPr>
            <w:tcW w:w="3688" w:type="pct"/>
            <w:tcBorders>
              <w:top w:val="nil"/>
              <w:left w:val="nil"/>
              <w:right w:val="nil"/>
            </w:tcBorders>
            <w:shd w:val="clear" w:color="000000" w:fill="FFFFFF"/>
            <w:noWrap/>
            <w:vAlign w:val="center"/>
            <w:hideMark/>
          </w:tcPr>
          <w:p w14:paraId="1DC9E327" w14:textId="77777777" w:rsidR="003B1F96" w:rsidRPr="00576645" w:rsidRDefault="003B1F96" w:rsidP="00BB7AC0">
            <w:pPr>
              <w:jc w:val="both"/>
              <w:rPr>
                <w:rFonts w:ascii="Calibri" w:hAnsi="Calibri" w:cs="Calibri"/>
              </w:rPr>
            </w:pPr>
            <w:r w:rsidRPr="00576645">
              <w:rPr>
                <w:rFonts w:ascii="Calibri" w:hAnsi="Calibri" w:cs="Calibri"/>
              </w:rPr>
              <w:t>NAV</w:t>
            </w:r>
          </w:p>
        </w:tc>
        <w:tc>
          <w:tcPr>
            <w:tcW w:w="1312" w:type="pct"/>
            <w:tcBorders>
              <w:top w:val="nil"/>
              <w:left w:val="nil"/>
              <w:right w:val="nil"/>
            </w:tcBorders>
            <w:shd w:val="clear" w:color="auto" w:fill="EDFFB7"/>
          </w:tcPr>
          <w:p w14:paraId="651C10BA" w14:textId="77777777" w:rsidR="003B1F96" w:rsidRPr="00576645" w:rsidRDefault="003B1F96" w:rsidP="00BB7AC0">
            <w:pPr>
              <w:jc w:val="right"/>
              <w:rPr>
                <w:rFonts w:ascii="Calibri" w:hAnsi="Calibri" w:cs="Calibri"/>
              </w:rPr>
            </w:pPr>
            <w:r w:rsidRPr="00576645">
              <w:rPr>
                <w:rFonts w:ascii="Calibri" w:hAnsi="Calibri" w:cs="Calibri"/>
              </w:rPr>
              <w:t>€1,124 million</w:t>
            </w:r>
          </w:p>
        </w:tc>
      </w:tr>
      <w:tr w:rsidR="003B1F96" w:rsidRPr="002519A9" w14:paraId="6E810F46" w14:textId="77777777" w:rsidTr="00BB7AC0">
        <w:trPr>
          <w:trHeight w:val="276"/>
        </w:trPr>
        <w:tc>
          <w:tcPr>
            <w:tcW w:w="3688" w:type="pct"/>
            <w:tcBorders>
              <w:top w:val="nil"/>
              <w:left w:val="nil"/>
              <w:bottom w:val="nil"/>
              <w:right w:val="nil"/>
            </w:tcBorders>
            <w:shd w:val="clear" w:color="000000" w:fill="FFFFFF"/>
            <w:noWrap/>
            <w:vAlign w:val="center"/>
            <w:hideMark/>
          </w:tcPr>
          <w:p w14:paraId="149734DF" w14:textId="77777777" w:rsidR="003B1F96" w:rsidRPr="00576645" w:rsidRDefault="003B1F96" w:rsidP="00BB7AC0">
            <w:pPr>
              <w:jc w:val="both"/>
              <w:rPr>
                <w:rFonts w:ascii="Calibri" w:hAnsi="Calibri" w:cs="Calibri"/>
              </w:rPr>
            </w:pPr>
            <w:r w:rsidRPr="00576645">
              <w:rPr>
                <w:rFonts w:ascii="Calibri" w:hAnsi="Calibri" w:cs="Calibri"/>
              </w:rPr>
              <w:t>NAV per share</w:t>
            </w:r>
          </w:p>
        </w:tc>
        <w:tc>
          <w:tcPr>
            <w:tcW w:w="1312" w:type="pct"/>
            <w:tcBorders>
              <w:top w:val="nil"/>
              <w:left w:val="nil"/>
              <w:bottom w:val="nil"/>
              <w:right w:val="nil"/>
            </w:tcBorders>
            <w:shd w:val="clear" w:color="auto" w:fill="EDFFB7"/>
          </w:tcPr>
          <w:p w14:paraId="07D416F3" w14:textId="77777777" w:rsidR="003B1F96" w:rsidRPr="00576645" w:rsidRDefault="003B1F96" w:rsidP="00BB7AC0">
            <w:pPr>
              <w:jc w:val="right"/>
              <w:rPr>
                <w:rFonts w:ascii="Calibri" w:hAnsi="Calibri" w:cs="Calibri"/>
              </w:rPr>
            </w:pPr>
            <w:r w:rsidRPr="00576645">
              <w:rPr>
                <w:rFonts w:ascii="Calibri" w:hAnsi="Calibri" w:cs="Calibri"/>
              </w:rPr>
              <w:t>101.0 cent</w:t>
            </w:r>
          </w:p>
        </w:tc>
      </w:tr>
      <w:tr w:rsidR="003B1F96" w:rsidRPr="007E757B" w14:paraId="6353D48B" w14:textId="77777777" w:rsidTr="00BB7AC0">
        <w:trPr>
          <w:trHeight w:val="276"/>
        </w:trPr>
        <w:tc>
          <w:tcPr>
            <w:tcW w:w="3688" w:type="pct"/>
            <w:tcBorders>
              <w:top w:val="nil"/>
              <w:left w:val="nil"/>
              <w:bottom w:val="nil"/>
              <w:right w:val="nil"/>
            </w:tcBorders>
            <w:shd w:val="clear" w:color="000000" w:fill="FFFFFF"/>
            <w:noWrap/>
            <w:vAlign w:val="center"/>
          </w:tcPr>
          <w:p w14:paraId="6833F251" w14:textId="7A06C0F3" w:rsidR="003B1F96" w:rsidRPr="00576645" w:rsidRDefault="003B1F96" w:rsidP="00BB7AC0">
            <w:pPr>
              <w:jc w:val="both"/>
              <w:rPr>
                <w:rFonts w:ascii="Calibri" w:hAnsi="Calibri" w:cs="Calibri"/>
              </w:rPr>
            </w:pPr>
            <w:r w:rsidRPr="00576645">
              <w:rPr>
                <w:rFonts w:ascii="Calibri" w:hAnsi="Calibri" w:cs="Calibri"/>
              </w:rPr>
              <w:t>Discount to NAV</w:t>
            </w:r>
          </w:p>
        </w:tc>
        <w:tc>
          <w:tcPr>
            <w:tcW w:w="1312" w:type="pct"/>
            <w:tcBorders>
              <w:top w:val="nil"/>
              <w:left w:val="nil"/>
              <w:bottom w:val="nil"/>
              <w:right w:val="nil"/>
            </w:tcBorders>
            <w:shd w:val="clear" w:color="auto" w:fill="EDFFB7"/>
          </w:tcPr>
          <w:p w14:paraId="2BE3F5A7" w14:textId="5DA79952" w:rsidR="003B1F96" w:rsidRPr="00576645" w:rsidRDefault="003B1F96" w:rsidP="00BB7AC0">
            <w:pPr>
              <w:jc w:val="right"/>
              <w:rPr>
                <w:rFonts w:ascii="Calibri" w:hAnsi="Calibri" w:cs="Calibri"/>
              </w:rPr>
            </w:pPr>
            <w:r w:rsidRPr="00576645">
              <w:rPr>
                <w:rFonts w:ascii="Calibri" w:hAnsi="Calibri" w:cs="Calibri"/>
              </w:rPr>
              <w:t>23.9%</w:t>
            </w:r>
          </w:p>
        </w:tc>
      </w:tr>
    </w:tbl>
    <w:p w14:paraId="72C015E3" w14:textId="77777777" w:rsidR="003B1F96" w:rsidRDefault="003B1F96" w:rsidP="00102596">
      <w:pPr>
        <w:pStyle w:val="aku"/>
        <w:shd w:val="clear" w:color="auto" w:fill="FFFFFF"/>
        <w:spacing w:before="0" w:beforeAutospacing="0" w:after="0" w:afterAutospacing="0"/>
        <w:jc w:val="both"/>
        <w:rPr>
          <w:rStyle w:val="akb"/>
          <w:rFonts w:asciiTheme="minorHAnsi" w:hAnsiTheme="minorHAnsi" w:cstheme="minorHAnsi"/>
          <w:color w:val="000000"/>
        </w:rPr>
      </w:pPr>
    </w:p>
    <w:p w14:paraId="37968909" w14:textId="77777777" w:rsidR="003B1F96" w:rsidRDefault="003B1F96" w:rsidP="00102596">
      <w:pPr>
        <w:pStyle w:val="aku"/>
        <w:shd w:val="clear" w:color="auto" w:fill="FFFFFF"/>
        <w:spacing w:before="0" w:beforeAutospacing="0" w:after="0" w:afterAutospacing="0"/>
        <w:jc w:val="both"/>
        <w:rPr>
          <w:rStyle w:val="akb"/>
          <w:rFonts w:asciiTheme="minorHAnsi" w:hAnsiTheme="minorHAnsi" w:cstheme="minorHAnsi"/>
          <w:color w:val="000000"/>
        </w:rPr>
      </w:pPr>
    </w:p>
    <w:p w14:paraId="21BE08D2" w14:textId="17861741" w:rsidR="00F066B1" w:rsidRPr="00B22D34" w:rsidRDefault="00102596" w:rsidP="00B22D34">
      <w:pPr>
        <w:pStyle w:val="aku"/>
        <w:shd w:val="clear" w:color="auto" w:fill="FFFFFF"/>
        <w:jc w:val="both"/>
        <w:rPr>
          <w:rStyle w:val="akb"/>
          <w:rFonts w:cstheme="minorHAnsi"/>
          <w:color w:val="000000"/>
        </w:rPr>
      </w:pPr>
      <w:r w:rsidRPr="00102596">
        <w:rPr>
          <w:rStyle w:val="akb"/>
          <w:rFonts w:asciiTheme="minorHAnsi" w:hAnsiTheme="minorHAnsi" w:cstheme="minorHAnsi"/>
          <w:color w:val="000000"/>
        </w:rPr>
        <w:lastRenderedPageBreak/>
        <w:t xml:space="preserve">A copy of the </w:t>
      </w:r>
      <w:r w:rsidR="00E04341">
        <w:rPr>
          <w:rStyle w:val="akb"/>
          <w:rFonts w:asciiTheme="minorHAnsi" w:hAnsiTheme="minorHAnsi" w:cstheme="minorHAnsi"/>
          <w:color w:val="000000"/>
        </w:rPr>
        <w:t>Interim</w:t>
      </w:r>
      <w:r w:rsidRPr="00102596" w:rsidDel="00E04341">
        <w:rPr>
          <w:rStyle w:val="akb"/>
          <w:rFonts w:asciiTheme="minorHAnsi" w:hAnsiTheme="minorHAnsi" w:cstheme="minorHAnsi"/>
          <w:color w:val="000000"/>
        </w:rPr>
        <w:t xml:space="preserve"> </w:t>
      </w:r>
      <w:r w:rsidRPr="00102596">
        <w:rPr>
          <w:rStyle w:val="akb"/>
          <w:rFonts w:asciiTheme="minorHAnsi" w:hAnsiTheme="minorHAnsi" w:cstheme="minorHAnsi"/>
          <w:color w:val="000000"/>
        </w:rPr>
        <w:t>Results has been submitted to the National Storage Mechanism and will shortly be available for inspection at:</w:t>
      </w:r>
      <w:r w:rsidR="00B22D34">
        <w:rPr>
          <w:rStyle w:val="akb"/>
          <w:rFonts w:asciiTheme="minorHAnsi" w:hAnsiTheme="minorHAnsi" w:cstheme="minorHAnsi"/>
          <w:color w:val="000000"/>
        </w:rPr>
        <w:t xml:space="preserve"> </w:t>
      </w:r>
      <w:hyperlink r:id="rId12" w:history="1">
        <w:r w:rsidR="00712080" w:rsidRPr="00E503A8">
          <w:rPr>
            <w:rStyle w:val="Hyperlink"/>
            <w:rFonts w:asciiTheme="minorHAnsi" w:hAnsiTheme="minorHAnsi" w:cstheme="minorHAnsi"/>
          </w:rPr>
          <w:t>https://www.fca.org.uk/markets/primary-markets/regulatory-disclosures/national-storage-mechanism</w:t>
        </w:r>
      </w:hyperlink>
      <w:r w:rsidR="00E02FA9">
        <w:rPr>
          <w:rStyle w:val="akb"/>
          <w:rFonts w:asciiTheme="minorHAnsi" w:hAnsiTheme="minorHAnsi" w:cstheme="minorHAnsi"/>
          <w:color w:val="000000"/>
        </w:rPr>
        <w:t xml:space="preserve"> </w:t>
      </w:r>
      <w:r w:rsidR="00E02FA9" w:rsidRPr="00E02FA9">
        <w:rPr>
          <w:rStyle w:val="akb"/>
          <w:rFonts w:asciiTheme="minorHAnsi" w:hAnsiTheme="minorHAnsi"/>
        </w:rPr>
        <w:t xml:space="preserve">and is also available on the JSE </w:t>
      </w:r>
      <w:proofErr w:type="spellStart"/>
      <w:r w:rsidR="00E02FA9" w:rsidRPr="00E02FA9">
        <w:rPr>
          <w:rStyle w:val="akb"/>
          <w:rFonts w:asciiTheme="minorHAnsi" w:hAnsiTheme="minorHAnsi"/>
        </w:rPr>
        <w:t>cloudlink</w:t>
      </w:r>
      <w:proofErr w:type="spellEnd"/>
      <w:r w:rsidR="00E02FA9" w:rsidRPr="00E02FA9">
        <w:rPr>
          <w:rStyle w:val="akb"/>
          <w:rFonts w:asciiTheme="minorHAnsi" w:hAnsiTheme="minorHAnsi"/>
        </w:rPr>
        <w:t xml:space="preserve"> at </w:t>
      </w:r>
      <w:hyperlink r:id="rId13" w:history="1">
        <w:r w:rsidR="00712080" w:rsidRPr="00E503A8">
          <w:rPr>
            <w:rStyle w:val="Hyperlink"/>
            <w:rFonts w:asciiTheme="minorHAnsi" w:hAnsiTheme="minorHAnsi" w:cstheme="minorHAnsi"/>
          </w:rPr>
          <w:t>https://senspdf.jse.co.za/documents/2025/JSE/ISSE/GCTE/HY2025.pdf</w:t>
        </w:r>
      </w:hyperlink>
      <w:r w:rsidR="00E02FA9" w:rsidRPr="00E02FA9">
        <w:rPr>
          <w:rFonts w:cstheme="minorHAnsi"/>
          <w:color w:val="000000"/>
        </w:rPr>
        <w:t xml:space="preserve">   </w:t>
      </w:r>
    </w:p>
    <w:p w14:paraId="27C7A6A3" w14:textId="00F022A5" w:rsidR="00102596" w:rsidRPr="00102596" w:rsidRDefault="00102596" w:rsidP="00102596">
      <w:pPr>
        <w:pStyle w:val="aku"/>
        <w:shd w:val="clear" w:color="auto" w:fill="FFFFFF"/>
        <w:spacing w:before="0" w:beforeAutospacing="0" w:after="0" w:afterAutospacing="0"/>
        <w:ind w:left="480" w:hanging="480"/>
        <w:jc w:val="both"/>
        <w:rPr>
          <w:rStyle w:val="akb"/>
          <w:rFonts w:asciiTheme="minorHAnsi" w:hAnsiTheme="minorHAnsi" w:cstheme="minorHAnsi"/>
          <w:b/>
          <w:bCs/>
          <w:color w:val="000000"/>
        </w:rPr>
      </w:pPr>
      <w:r w:rsidRPr="00102596">
        <w:rPr>
          <w:rStyle w:val="akb"/>
          <w:rFonts w:asciiTheme="minorHAnsi" w:hAnsiTheme="minorHAnsi" w:cstheme="minorHAnsi"/>
          <w:b/>
          <w:bCs/>
          <w:color w:val="000000"/>
        </w:rPr>
        <w:t xml:space="preserve">Conference call </w:t>
      </w:r>
      <w:r w:rsidR="0024186D">
        <w:rPr>
          <w:rStyle w:val="akb"/>
          <w:rFonts w:asciiTheme="minorHAnsi" w:hAnsiTheme="minorHAnsi" w:cstheme="minorHAnsi"/>
          <w:b/>
          <w:bCs/>
          <w:color w:val="000000"/>
        </w:rPr>
        <w:t xml:space="preserve">and webcast </w:t>
      </w:r>
      <w:r w:rsidRPr="00102596">
        <w:rPr>
          <w:rStyle w:val="akb"/>
          <w:rFonts w:asciiTheme="minorHAnsi" w:hAnsiTheme="minorHAnsi" w:cstheme="minorHAnsi"/>
          <w:b/>
          <w:bCs/>
          <w:color w:val="000000"/>
        </w:rPr>
        <w:t>or analysts and investors</w:t>
      </w:r>
    </w:p>
    <w:p w14:paraId="31507895" w14:textId="77777777" w:rsidR="00102596" w:rsidRPr="00102596" w:rsidRDefault="00102596" w:rsidP="00102596">
      <w:pPr>
        <w:pStyle w:val="aku"/>
        <w:shd w:val="clear" w:color="auto" w:fill="FFFFFF"/>
        <w:spacing w:before="0" w:beforeAutospacing="0" w:after="0" w:afterAutospacing="0"/>
        <w:ind w:left="480" w:hanging="480"/>
        <w:jc w:val="both"/>
        <w:rPr>
          <w:rFonts w:asciiTheme="minorHAnsi" w:hAnsiTheme="minorHAnsi" w:cstheme="minorHAnsi"/>
          <w:b/>
          <w:bCs/>
          <w:color w:val="000000"/>
        </w:rPr>
      </w:pPr>
    </w:p>
    <w:p w14:paraId="7BFA3D50" w14:textId="20EE80B1" w:rsidR="00C56897" w:rsidRDefault="00C56897" w:rsidP="00C56897">
      <w:pPr>
        <w:pStyle w:val="BodyText"/>
        <w:spacing w:line="240" w:lineRule="exact"/>
        <w:jc w:val="both"/>
        <w:rPr>
          <w:rFonts w:asciiTheme="minorHAnsi" w:eastAsiaTheme="minorHAnsi" w:hAnsiTheme="minorHAnsi" w:cstheme="minorHAnsi"/>
          <w:color w:val="auto"/>
          <w:spacing w:val="0"/>
          <w:sz w:val="24"/>
          <w:szCs w:val="24"/>
        </w:rPr>
      </w:pPr>
      <w:r>
        <w:rPr>
          <w:rFonts w:asciiTheme="minorHAnsi" w:eastAsiaTheme="minorHAnsi" w:hAnsiTheme="minorHAnsi" w:cstheme="minorHAnsi"/>
          <w:color w:val="auto"/>
          <w:spacing w:val="0"/>
          <w:sz w:val="24"/>
          <w:szCs w:val="24"/>
        </w:rPr>
        <w:t xml:space="preserve">Greencoat Renewables’ Management Team will host a </w:t>
      </w:r>
      <w:r w:rsidRPr="00BA782A">
        <w:rPr>
          <w:rFonts w:asciiTheme="minorHAnsi" w:eastAsiaTheme="minorHAnsi" w:hAnsiTheme="minorHAnsi" w:cstheme="minorHAnsi"/>
          <w:color w:val="auto"/>
          <w:spacing w:val="0"/>
          <w:sz w:val="24"/>
          <w:szCs w:val="24"/>
        </w:rPr>
        <w:t xml:space="preserve">conference call </w:t>
      </w:r>
      <w:r>
        <w:rPr>
          <w:rFonts w:asciiTheme="minorHAnsi" w:eastAsiaTheme="minorHAnsi" w:hAnsiTheme="minorHAnsi" w:cstheme="minorHAnsi"/>
          <w:color w:val="auto"/>
          <w:spacing w:val="0"/>
          <w:sz w:val="24"/>
          <w:szCs w:val="24"/>
        </w:rPr>
        <w:t xml:space="preserve">and webcast </w:t>
      </w:r>
      <w:r w:rsidRPr="00BA782A">
        <w:rPr>
          <w:rFonts w:asciiTheme="minorHAnsi" w:eastAsiaTheme="minorHAnsi" w:hAnsiTheme="minorHAnsi" w:cstheme="minorHAnsi"/>
          <w:color w:val="auto"/>
          <w:spacing w:val="0"/>
          <w:sz w:val="24"/>
          <w:szCs w:val="24"/>
        </w:rPr>
        <w:t xml:space="preserve">for analysts and investors </w:t>
      </w:r>
      <w:r>
        <w:rPr>
          <w:rFonts w:asciiTheme="minorHAnsi" w:eastAsiaTheme="minorHAnsi" w:hAnsiTheme="minorHAnsi" w:cstheme="minorHAnsi"/>
          <w:color w:val="auto"/>
          <w:spacing w:val="0"/>
          <w:sz w:val="24"/>
          <w:szCs w:val="24"/>
        </w:rPr>
        <w:t>to discuss these results today at 09</w:t>
      </w:r>
      <w:r w:rsidRPr="00BA782A">
        <w:rPr>
          <w:rFonts w:asciiTheme="minorHAnsi" w:eastAsiaTheme="minorHAnsi" w:hAnsiTheme="minorHAnsi" w:cstheme="minorHAnsi"/>
          <w:color w:val="auto"/>
          <w:spacing w:val="0"/>
          <w:sz w:val="24"/>
          <w:szCs w:val="24"/>
        </w:rPr>
        <w:t xml:space="preserve">.00am BST </w:t>
      </w:r>
      <w:r>
        <w:rPr>
          <w:rFonts w:asciiTheme="minorHAnsi" w:eastAsiaTheme="minorHAnsi" w:hAnsiTheme="minorHAnsi" w:cstheme="minorHAnsi"/>
          <w:color w:val="auto"/>
          <w:spacing w:val="0"/>
          <w:sz w:val="24"/>
          <w:szCs w:val="24"/>
        </w:rPr>
        <w:t xml:space="preserve">/ 10.00am SAST </w:t>
      </w:r>
      <w:r w:rsidRPr="00BA782A">
        <w:rPr>
          <w:rFonts w:asciiTheme="minorHAnsi" w:eastAsiaTheme="minorHAnsi" w:hAnsiTheme="minorHAnsi" w:cstheme="minorHAnsi"/>
          <w:color w:val="auto"/>
          <w:spacing w:val="0"/>
          <w:sz w:val="24"/>
          <w:szCs w:val="24"/>
        </w:rPr>
        <w:t xml:space="preserve">on the </w:t>
      </w:r>
      <w:r>
        <w:rPr>
          <w:rFonts w:asciiTheme="minorHAnsi" w:eastAsiaTheme="minorHAnsi" w:hAnsiTheme="minorHAnsi" w:cstheme="minorHAnsi"/>
          <w:color w:val="auto"/>
          <w:spacing w:val="0"/>
          <w:sz w:val="24"/>
          <w:szCs w:val="24"/>
        </w:rPr>
        <w:t xml:space="preserve">same </w:t>
      </w:r>
      <w:r w:rsidRPr="00BA782A">
        <w:rPr>
          <w:rFonts w:asciiTheme="minorHAnsi" w:eastAsiaTheme="minorHAnsi" w:hAnsiTheme="minorHAnsi" w:cstheme="minorHAnsi"/>
          <w:color w:val="auto"/>
          <w:spacing w:val="0"/>
          <w:sz w:val="24"/>
          <w:szCs w:val="24"/>
        </w:rPr>
        <w:t xml:space="preserve">day. </w:t>
      </w:r>
      <w:r>
        <w:rPr>
          <w:rFonts w:asciiTheme="minorHAnsi" w:eastAsiaTheme="minorHAnsi" w:hAnsiTheme="minorHAnsi" w:cstheme="minorHAnsi"/>
          <w:color w:val="auto"/>
          <w:spacing w:val="0"/>
          <w:sz w:val="24"/>
          <w:szCs w:val="24"/>
        </w:rPr>
        <w:t xml:space="preserve">Participants can register for the conference call and webcast through the below links. </w:t>
      </w:r>
    </w:p>
    <w:p w14:paraId="4A0F1508" w14:textId="77777777" w:rsidR="00C56897" w:rsidRPr="00F90E58" w:rsidRDefault="00C56897" w:rsidP="00C56897">
      <w:pPr>
        <w:pStyle w:val="BodyText"/>
        <w:spacing w:line="240" w:lineRule="exact"/>
        <w:jc w:val="both"/>
        <w:rPr>
          <w:rFonts w:asciiTheme="minorHAnsi" w:eastAsiaTheme="minorHAnsi" w:hAnsiTheme="minorHAnsi" w:cstheme="minorHAnsi"/>
          <w:color w:val="auto"/>
          <w:spacing w:val="0"/>
          <w:sz w:val="24"/>
          <w:szCs w:val="24"/>
        </w:rPr>
      </w:pPr>
    </w:p>
    <w:p w14:paraId="3FA6AE32" w14:textId="77777777" w:rsidR="00C56897" w:rsidRPr="00F90E58" w:rsidRDefault="00C56897" w:rsidP="00C56897">
      <w:pPr>
        <w:pStyle w:val="BodyText"/>
        <w:numPr>
          <w:ilvl w:val="0"/>
          <w:numId w:val="5"/>
        </w:numPr>
        <w:spacing w:line="240" w:lineRule="exact"/>
        <w:rPr>
          <w:rFonts w:asciiTheme="minorHAnsi" w:eastAsiaTheme="minorHAnsi" w:hAnsiTheme="minorHAnsi" w:cstheme="minorHAnsi"/>
          <w:color w:val="auto"/>
          <w:spacing w:val="0"/>
          <w:sz w:val="24"/>
          <w:szCs w:val="24"/>
        </w:rPr>
      </w:pPr>
      <w:r w:rsidRPr="00F90E58">
        <w:rPr>
          <w:rFonts w:asciiTheme="minorHAnsi" w:eastAsiaTheme="minorHAnsi" w:hAnsiTheme="minorHAnsi" w:cstheme="minorHAnsi"/>
          <w:b/>
          <w:bCs/>
          <w:color w:val="auto"/>
          <w:spacing w:val="0"/>
          <w:sz w:val="24"/>
          <w:szCs w:val="24"/>
        </w:rPr>
        <w:t>Conference call:</w:t>
      </w:r>
      <w:r w:rsidRPr="00F90E58">
        <w:rPr>
          <w:rFonts w:asciiTheme="minorHAnsi" w:eastAsiaTheme="minorHAnsi" w:hAnsiTheme="minorHAnsi" w:cstheme="minorHAnsi"/>
          <w:color w:val="auto"/>
          <w:spacing w:val="0"/>
          <w:sz w:val="24"/>
          <w:szCs w:val="24"/>
        </w:rPr>
        <w:t xml:space="preserve"> </w:t>
      </w:r>
      <w:hyperlink r:id="rId14" w:history="1">
        <w:r w:rsidRPr="00F90E58">
          <w:rPr>
            <w:rStyle w:val="Hyperlink"/>
            <w:rFonts w:asciiTheme="minorHAnsi" w:hAnsiTheme="minorHAnsi" w:cstheme="minorHAnsi"/>
            <w:spacing w:val="0"/>
            <w:sz w:val="24"/>
            <w:szCs w:val="24"/>
          </w:rPr>
          <w:t>https://register-conf.media-server.com/register/BIbdbbe4f2b9304d54bfbef2aa1788d0bb</w:t>
        </w:r>
      </w:hyperlink>
      <w:r w:rsidRPr="00F90E58">
        <w:rPr>
          <w:rFonts w:asciiTheme="minorHAnsi" w:eastAsiaTheme="minorHAnsi" w:hAnsiTheme="minorHAnsi" w:cstheme="minorHAnsi"/>
          <w:color w:val="auto"/>
          <w:spacing w:val="0"/>
          <w:sz w:val="24"/>
          <w:szCs w:val="24"/>
        </w:rPr>
        <w:t xml:space="preserve"> </w:t>
      </w:r>
    </w:p>
    <w:p w14:paraId="78758948" w14:textId="77777777" w:rsidR="00C56897" w:rsidRPr="00F90E58" w:rsidRDefault="00C56897" w:rsidP="00C56897">
      <w:pPr>
        <w:pStyle w:val="BodyText"/>
        <w:spacing w:line="240" w:lineRule="exact"/>
        <w:rPr>
          <w:rFonts w:asciiTheme="minorHAnsi" w:eastAsiaTheme="minorHAnsi" w:hAnsiTheme="minorHAnsi" w:cstheme="minorHAnsi"/>
          <w:color w:val="auto"/>
          <w:spacing w:val="0"/>
          <w:sz w:val="24"/>
          <w:szCs w:val="24"/>
        </w:rPr>
      </w:pPr>
    </w:p>
    <w:p w14:paraId="5020762F" w14:textId="77777777" w:rsidR="00C56897" w:rsidRPr="00F90E58" w:rsidRDefault="00C56897" w:rsidP="00C56897">
      <w:pPr>
        <w:pStyle w:val="BodyText"/>
        <w:numPr>
          <w:ilvl w:val="0"/>
          <w:numId w:val="5"/>
        </w:numPr>
        <w:spacing w:line="240" w:lineRule="exact"/>
        <w:rPr>
          <w:rFonts w:asciiTheme="minorHAnsi" w:eastAsiaTheme="minorHAnsi" w:hAnsiTheme="minorHAnsi" w:cstheme="minorHAnsi"/>
          <w:color w:val="auto"/>
          <w:spacing w:val="0"/>
          <w:sz w:val="24"/>
          <w:szCs w:val="24"/>
        </w:rPr>
      </w:pPr>
      <w:r w:rsidRPr="00F90E58">
        <w:rPr>
          <w:rFonts w:asciiTheme="minorHAnsi" w:eastAsiaTheme="minorHAnsi" w:hAnsiTheme="minorHAnsi" w:cstheme="minorHAnsi"/>
          <w:b/>
          <w:bCs/>
          <w:color w:val="auto"/>
          <w:spacing w:val="0"/>
          <w:sz w:val="24"/>
          <w:szCs w:val="24"/>
        </w:rPr>
        <w:t>Webcast:</w:t>
      </w:r>
      <w:r w:rsidRPr="00F90E58">
        <w:rPr>
          <w:rFonts w:asciiTheme="minorHAnsi" w:eastAsiaTheme="minorHAnsi" w:hAnsiTheme="minorHAnsi" w:cstheme="minorHAnsi"/>
          <w:color w:val="auto"/>
          <w:spacing w:val="0"/>
          <w:sz w:val="24"/>
          <w:szCs w:val="24"/>
        </w:rPr>
        <w:t xml:space="preserve"> </w:t>
      </w:r>
      <w:hyperlink r:id="rId15" w:history="1">
        <w:r w:rsidRPr="00F90E58">
          <w:rPr>
            <w:rStyle w:val="Hyperlink"/>
            <w:rFonts w:asciiTheme="minorHAnsi" w:hAnsiTheme="minorHAnsi" w:cstheme="minorHAnsi"/>
            <w:spacing w:val="0"/>
            <w:sz w:val="24"/>
            <w:szCs w:val="24"/>
          </w:rPr>
          <w:t>https://edge.media-server.com/mmc/p/h8xa2gw5/</w:t>
        </w:r>
      </w:hyperlink>
      <w:r w:rsidRPr="00F90E58">
        <w:rPr>
          <w:rFonts w:asciiTheme="minorHAnsi" w:eastAsiaTheme="minorHAnsi" w:hAnsiTheme="minorHAnsi" w:cstheme="minorHAnsi"/>
          <w:color w:val="auto"/>
          <w:spacing w:val="0"/>
          <w:sz w:val="24"/>
          <w:szCs w:val="24"/>
        </w:rPr>
        <w:t xml:space="preserve"> </w:t>
      </w:r>
    </w:p>
    <w:p w14:paraId="0862B9A0" w14:textId="77777777" w:rsidR="00C56897" w:rsidRPr="00F90E58" w:rsidRDefault="00C56897" w:rsidP="00C56897">
      <w:pPr>
        <w:pStyle w:val="BodyText"/>
        <w:spacing w:line="240" w:lineRule="exact"/>
        <w:jc w:val="both"/>
        <w:rPr>
          <w:rFonts w:asciiTheme="minorHAnsi" w:eastAsiaTheme="minorHAnsi" w:hAnsiTheme="minorHAnsi" w:cstheme="minorHAnsi"/>
          <w:color w:val="auto"/>
          <w:spacing w:val="0"/>
          <w:sz w:val="24"/>
          <w:szCs w:val="24"/>
        </w:rPr>
      </w:pPr>
    </w:p>
    <w:p w14:paraId="5711BC6A" w14:textId="77777777" w:rsidR="00102596" w:rsidRPr="00F90E58" w:rsidRDefault="00102596" w:rsidP="00102596">
      <w:pPr>
        <w:pStyle w:val="akv"/>
        <w:shd w:val="clear" w:color="auto" w:fill="FFFFFF"/>
        <w:spacing w:before="0" w:beforeAutospacing="0" w:after="0" w:afterAutospacing="0"/>
        <w:jc w:val="both"/>
        <w:rPr>
          <w:rFonts w:asciiTheme="minorHAnsi" w:hAnsiTheme="minorHAnsi" w:cstheme="minorHAnsi"/>
          <w:color w:val="000000"/>
        </w:rPr>
      </w:pPr>
      <w:r w:rsidRPr="00F90E58">
        <w:rPr>
          <w:rStyle w:val="akb"/>
          <w:rFonts w:asciiTheme="minorHAnsi" w:hAnsiTheme="minorHAnsi" w:cstheme="minorHAnsi"/>
          <w:color w:val="000000"/>
        </w:rPr>
        <w:t> </w:t>
      </w:r>
    </w:p>
    <w:p w14:paraId="5E7607E5" w14:textId="77777777" w:rsidR="00102596" w:rsidRPr="003A1BB6" w:rsidRDefault="00102596" w:rsidP="00102596">
      <w:pPr>
        <w:pStyle w:val="akv"/>
        <w:shd w:val="clear" w:color="auto" w:fill="FFFFFF"/>
        <w:spacing w:before="0" w:beforeAutospacing="0" w:after="0" w:afterAutospacing="0"/>
        <w:jc w:val="both"/>
        <w:rPr>
          <w:rStyle w:val="akb"/>
          <w:rFonts w:asciiTheme="minorHAnsi" w:hAnsiTheme="minorHAnsi" w:cstheme="minorHAnsi"/>
          <w:color w:val="000000"/>
        </w:rPr>
      </w:pPr>
      <w:r w:rsidRPr="003A1BB6">
        <w:rPr>
          <w:rStyle w:val="akb"/>
          <w:rFonts w:asciiTheme="minorHAnsi" w:hAnsiTheme="minorHAnsi" w:cstheme="minorHAnsi"/>
          <w:color w:val="000000"/>
        </w:rPr>
        <w:t>Presentation materials are available on the Company's website: </w:t>
      </w:r>
      <w:hyperlink r:id="rId16" w:history="1">
        <w:r w:rsidRPr="003A1BB6">
          <w:rPr>
            <w:rStyle w:val="Hyperlink"/>
            <w:rFonts w:asciiTheme="minorHAnsi" w:hAnsiTheme="minorHAnsi" w:cstheme="minorHAnsi"/>
          </w:rPr>
          <w:t>www.greencoat-renewables.com</w:t>
        </w:r>
      </w:hyperlink>
      <w:r w:rsidRPr="003A1BB6">
        <w:rPr>
          <w:rStyle w:val="akb"/>
          <w:rFonts w:asciiTheme="minorHAnsi" w:hAnsiTheme="minorHAnsi" w:cstheme="minorHAnsi"/>
          <w:color w:val="000000"/>
        </w:rPr>
        <w:t>.</w:t>
      </w:r>
    </w:p>
    <w:p w14:paraId="7119D0C7" w14:textId="77777777" w:rsidR="00102596" w:rsidRDefault="00102596" w:rsidP="00102596">
      <w:pPr>
        <w:rPr>
          <w:rFonts w:eastAsiaTheme="minorEastAsia" w:cstheme="minorHAnsi"/>
          <w:color w:val="000000"/>
          <w:sz w:val="22"/>
          <w:szCs w:val="22"/>
          <w:lang w:eastAsia="zh-CN"/>
        </w:rPr>
      </w:pPr>
    </w:p>
    <w:p w14:paraId="75F56B74" w14:textId="77777777" w:rsidR="00DA68AE" w:rsidRPr="00AA2BF9" w:rsidRDefault="00DA68AE" w:rsidP="00DA68AE">
      <w:pPr>
        <w:jc w:val="center"/>
        <w:rPr>
          <w:rFonts w:asciiTheme="majorHAnsi" w:hAnsiTheme="majorHAnsi"/>
          <w:b/>
          <w:bCs/>
        </w:rPr>
      </w:pPr>
      <w:r w:rsidRPr="00AA2BF9">
        <w:rPr>
          <w:rFonts w:asciiTheme="majorHAnsi" w:hAnsiTheme="majorHAnsi"/>
          <w:b/>
          <w:bCs/>
        </w:rPr>
        <w:t xml:space="preserve">--- </w:t>
      </w:r>
      <w:r w:rsidRPr="00DE4296">
        <w:rPr>
          <w:rFonts w:asciiTheme="majorHAnsi" w:hAnsiTheme="majorHAnsi"/>
          <w:b/>
          <w:bCs/>
        </w:rPr>
        <w:t>ENDS</w:t>
      </w:r>
      <w:r w:rsidRPr="00AA2BF9">
        <w:rPr>
          <w:rFonts w:asciiTheme="majorHAnsi" w:hAnsiTheme="majorHAnsi"/>
          <w:b/>
          <w:bCs/>
        </w:rPr>
        <w:t xml:space="preserve"> ---</w:t>
      </w:r>
    </w:p>
    <w:p w14:paraId="63283B0C" w14:textId="77777777" w:rsidR="00DA68AE" w:rsidRPr="00C33ECC" w:rsidRDefault="00DA68AE" w:rsidP="00DA68AE">
      <w:pPr>
        <w:jc w:val="both"/>
        <w:rPr>
          <w:rFonts w:asciiTheme="majorHAnsi" w:hAnsiTheme="majorHAnsi"/>
        </w:rPr>
      </w:pPr>
    </w:p>
    <w:p w14:paraId="196E2995" w14:textId="77777777" w:rsidR="00DA68AE" w:rsidRDefault="00DA68AE" w:rsidP="00DA68AE">
      <w:pPr>
        <w:jc w:val="both"/>
        <w:rPr>
          <w:b/>
          <w:bCs/>
        </w:rPr>
      </w:pPr>
      <w:r w:rsidRPr="00C61CB3">
        <w:rPr>
          <w:b/>
          <w:bCs/>
        </w:rPr>
        <w:t>For further details contact:</w:t>
      </w:r>
    </w:p>
    <w:p w14:paraId="1B5E2C54" w14:textId="77777777" w:rsidR="00DA68AE" w:rsidRPr="00C61CB3" w:rsidRDefault="00DA68AE" w:rsidP="00DA68AE">
      <w:pPr>
        <w:jc w:val="both"/>
      </w:pPr>
    </w:p>
    <w:tbl>
      <w:tblPr>
        <w:tblStyle w:val="TableGridLight"/>
        <w:tblW w:w="89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3435"/>
      </w:tblGrid>
      <w:tr w:rsidR="00DA68AE" w:rsidRPr="00052161" w14:paraId="3401B4C0" w14:textId="77777777" w:rsidTr="009F3BCC">
        <w:tc>
          <w:tcPr>
            <w:tcW w:w="5501" w:type="dxa"/>
          </w:tcPr>
          <w:p w14:paraId="323DF406" w14:textId="77777777" w:rsidR="00DA68AE" w:rsidRPr="002F3B5D" w:rsidRDefault="00DA68AE" w:rsidP="00DA68AE">
            <w:pPr>
              <w:pStyle w:val="ListParagraph"/>
              <w:numPr>
                <w:ilvl w:val="0"/>
                <w:numId w:val="1"/>
              </w:numPr>
              <w:spacing w:before="240"/>
              <w:rPr>
                <w:rFonts w:eastAsia="Times New Roman" w:cstheme="minorHAnsi"/>
                <w:b/>
                <w:bCs/>
                <w:color w:val="000000"/>
                <w:sz w:val="20"/>
                <w:szCs w:val="16"/>
                <w:lang w:eastAsia="en-ZA"/>
              </w:rPr>
            </w:pPr>
            <w:r w:rsidRPr="002F3B5D">
              <w:rPr>
                <w:rFonts w:eastAsia="Times New Roman" w:cstheme="minorHAnsi"/>
                <w:b/>
                <w:bCs/>
                <w:color w:val="000000"/>
                <w:sz w:val="20"/>
                <w:szCs w:val="16"/>
                <w:lang w:eastAsia="en-GB"/>
              </w:rPr>
              <w:t>Schroders Greencoat LLP (Investment Manager)</w:t>
            </w:r>
          </w:p>
        </w:tc>
        <w:tc>
          <w:tcPr>
            <w:tcW w:w="3435" w:type="dxa"/>
          </w:tcPr>
          <w:p w14:paraId="0DC75B2E" w14:textId="77777777" w:rsidR="00DA68AE" w:rsidRPr="002F3B5D" w:rsidRDefault="00DA68AE" w:rsidP="009F3BCC">
            <w:pPr>
              <w:spacing w:before="240"/>
              <w:jc w:val="both"/>
              <w:rPr>
                <w:rFonts w:eastAsia="Times New Roman" w:cstheme="minorHAnsi"/>
                <w:b/>
                <w:bCs/>
                <w:color w:val="000000"/>
                <w:sz w:val="20"/>
                <w:szCs w:val="16"/>
                <w:lang w:eastAsia="en-ZA"/>
              </w:rPr>
            </w:pPr>
          </w:p>
        </w:tc>
      </w:tr>
      <w:tr w:rsidR="00DA68AE" w:rsidRPr="00052161" w14:paraId="0657B43E" w14:textId="77777777" w:rsidTr="009F3BCC">
        <w:tc>
          <w:tcPr>
            <w:tcW w:w="5501" w:type="dxa"/>
          </w:tcPr>
          <w:p w14:paraId="407FF6B4"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Bertrand Gautier</w:t>
            </w:r>
          </w:p>
        </w:tc>
        <w:tc>
          <w:tcPr>
            <w:tcW w:w="3435" w:type="dxa"/>
          </w:tcPr>
          <w:p w14:paraId="08281FC6" w14:textId="77777777" w:rsidR="00DA68AE" w:rsidRPr="002F3B5D" w:rsidRDefault="00DA68AE" w:rsidP="009F3BCC">
            <w:pPr>
              <w:rPr>
                <w:rFonts w:eastAsia="Times New Roman" w:cstheme="minorHAnsi"/>
                <w:color w:val="000000"/>
                <w:sz w:val="20"/>
                <w:szCs w:val="16"/>
                <w:lang w:val="de-DE" w:eastAsia="en-GB"/>
              </w:rPr>
            </w:pPr>
          </w:p>
        </w:tc>
      </w:tr>
      <w:tr w:rsidR="00DA68AE" w:rsidRPr="00052161" w14:paraId="396F37F7" w14:textId="77777777" w:rsidTr="009F3BCC">
        <w:tc>
          <w:tcPr>
            <w:tcW w:w="5501" w:type="dxa"/>
          </w:tcPr>
          <w:p w14:paraId="6DAA62AC"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Paul O'Donnell</w:t>
            </w:r>
          </w:p>
        </w:tc>
        <w:tc>
          <w:tcPr>
            <w:tcW w:w="3435" w:type="dxa"/>
          </w:tcPr>
          <w:p w14:paraId="3C984A82" w14:textId="77777777" w:rsidR="00DA68AE" w:rsidRPr="002F3B5D" w:rsidRDefault="00DA68AE" w:rsidP="009F3BCC">
            <w:pPr>
              <w:rPr>
                <w:rFonts w:eastAsia="Times New Roman" w:cstheme="minorHAnsi"/>
                <w:color w:val="000000"/>
                <w:sz w:val="20"/>
                <w:szCs w:val="16"/>
                <w:lang w:val="de-DE" w:eastAsia="en-GB"/>
              </w:rPr>
            </w:pPr>
          </w:p>
        </w:tc>
      </w:tr>
      <w:tr w:rsidR="00DA68AE" w:rsidRPr="00052161" w14:paraId="2EF55971" w14:textId="77777777" w:rsidTr="009F3BCC">
        <w:tc>
          <w:tcPr>
            <w:tcW w:w="5501" w:type="dxa"/>
          </w:tcPr>
          <w:p w14:paraId="7AC2D74B"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John Musk</w:t>
            </w:r>
          </w:p>
        </w:tc>
        <w:tc>
          <w:tcPr>
            <w:tcW w:w="3435" w:type="dxa"/>
          </w:tcPr>
          <w:p w14:paraId="1FCA4CE9"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+44 20 7832 9400</w:t>
            </w:r>
          </w:p>
        </w:tc>
      </w:tr>
      <w:tr w:rsidR="00DA68AE" w:rsidRPr="00052161" w14:paraId="14878AF7" w14:textId="77777777" w:rsidTr="009F3BCC">
        <w:tc>
          <w:tcPr>
            <w:tcW w:w="5501" w:type="dxa"/>
          </w:tcPr>
          <w:p w14:paraId="157512E1" w14:textId="77777777" w:rsidR="00DA68AE" w:rsidRPr="002F3B5D" w:rsidRDefault="00DA68AE" w:rsidP="009F3BCC">
            <w:pPr>
              <w:spacing w:before="240"/>
              <w:rPr>
                <w:rFonts w:eastAsia="Times New Roman" w:cstheme="minorHAnsi"/>
                <w:b/>
                <w:bCs/>
                <w:color w:val="000000"/>
                <w:sz w:val="20"/>
                <w:szCs w:val="16"/>
                <w:lang w:eastAsia="en-ZA"/>
              </w:rPr>
            </w:pPr>
            <w:r w:rsidRPr="002F3B5D">
              <w:rPr>
                <w:rFonts w:eastAsia="Times New Roman" w:cstheme="minorHAnsi"/>
                <w:b/>
                <w:bCs/>
                <w:color w:val="000000"/>
                <w:sz w:val="20"/>
                <w:szCs w:val="16"/>
                <w:lang w:eastAsia="en-GB"/>
              </w:rPr>
              <w:t>FTI Consulting (Investor Relations &amp; Media)</w:t>
            </w:r>
          </w:p>
        </w:tc>
        <w:tc>
          <w:tcPr>
            <w:tcW w:w="3435" w:type="dxa"/>
          </w:tcPr>
          <w:p w14:paraId="4761F883" w14:textId="77777777" w:rsidR="00DA68AE" w:rsidRPr="002F3B5D" w:rsidRDefault="00DA68AE" w:rsidP="009F3BCC">
            <w:pPr>
              <w:rPr>
                <w:rFonts w:eastAsia="Times New Roman" w:cstheme="minorHAnsi"/>
                <w:color w:val="000000"/>
                <w:sz w:val="20"/>
                <w:szCs w:val="16"/>
                <w:lang w:val="de-DE" w:eastAsia="en-GB"/>
              </w:rPr>
            </w:pPr>
          </w:p>
        </w:tc>
      </w:tr>
      <w:tr w:rsidR="00DA68AE" w:rsidRPr="00052161" w14:paraId="5EFBA5D6" w14:textId="77777777" w:rsidTr="009F3BCC">
        <w:tc>
          <w:tcPr>
            <w:tcW w:w="5501" w:type="dxa"/>
          </w:tcPr>
          <w:p w14:paraId="2EEAE33F"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Sam Moore</w:t>
            </w:r>
          </w:p>
        </w:tc>
        <w:tc>
          <w:tcPr>
            <w:tcW w:w="3435" w:type="dxa"/>
          </w:tcPr>
          <w:p w14:paraId="041CC69A"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+353 87 737 9089</w:t>
            </w:r>
          </w:p>
        </w:tc>
      </w:tr>
      <w:tr w:rsidR="00DA68AE" w:rsidRPr="00052161" w14:paraId="40D6FC9C" w14:textId="77777777" w:rsidTr="009F3BCC">
        <w:tc>
          <w:tcPr>
            <w:tcW w:w="5501" w:type="dxa"/>
          </w:tcPr>
          <w:p w14:paraId="7715DCCE" w14:textId="77777777" w:rsidR="00DA68AE" w:rsidRPr="002F3B5D" w:rsidRDefault="00DA68AE" w:rsidP="009F3BCC">
            <w:pPr>
              <w:rPr>
                <w:rFonts w:eastAsia="Times New Roman" w:cstheme="minorHAnsi"/>
                <w:color w:val="000000"/>
                <w:sz w:val="20"/>
                <w:szCs w:val="16"/>
                <w:lang w:val="de-DE" w:eastAsia="en-GB"/>
              </w:rPr>
            </w:pPr>
            <w:r w:rsidRPr="002F3B5D">
              <w:rPr>
                <w:rFonts w:eastAsia="Times New Roman" w:cstheme="minorHAnsi"/>
                <w:color w:val="000000"/>
                <w:sz w:val="20"/>
                <w:szCs w:val="16"/>
                <w:lang w:val="de-DE" w:eastAsia="en-GB"/>
              </w:rPr>
              <w:t>Aoife Mullen</w:t>
            </w:r>
          </w:p>
        </w:tc>
        <w:tc>
          <w:tcPr>
            <w:tcW w:w="3435" w:type="dxa"/>
          </w:tcPr>
          <w:p w14:paraId="1CC4B16A" w14:textId="77777777" w:rsidR="00DA68AE" w:rsidRPr="002F3B5D" w:rsidRDefault="00DA68AE" w:rsidP="009F3BCC">
            <w:pPr>
              <w:rPr>
                <w:rFonts w:eastAsia="Times New Roman" w:cstheme="minorHAnsi"/>
                <w:color w:val="000000"/>
                <w:sz w:val="20"/>
                <w:szCs w:val="16"/>
                <w:lang w:val="de-DE" w:eastAsia="en-GB"/>
              </w:rPr>
            </w:pPr>
            <w:hyperlink r:id="rId17" w:history="1">
              <w:r w:rsidRPr="002F3B5D">
                <w:rPr>
                  <w:rStyle w:val="Hyperlink"/>
                  <w:rFonts w:eastAsia="Times New Roman" w:cstheme="minorHAnsi"/>
                  <w:sz w:val="20"/>
                  <w:szCs w:val="16"/>
                  <w:lang w:val="de-DE" w:eastAsia="en-GB"/>
                </w:rPr>
                <w:t>greencoat@fticonsulting.com</w:t>
              </w:r>
            </w:hyperlink>
            <w:r w:rsidRPr="002F3B5D">
              <w:rPr>
                <w:rFonts w:eastAsia="Times New Roman" w:cstheme="minorHAnsi"/>
                <w:color w:val="000000"/>
                <w:sz w:val="20"/>
                <w:szCs w:val="16"/>
                <w:lang w:val="de-DE" w:eastAsia="en-GB"/>
              </w:rPr>
              <w:t xml:space="preserve"> </w:t>
            </w:r>
          </w:p>
        </w:tc>
      </w:tr>
    </w:tbl>
    <w:p w14:paraId="12A5C2FE" w14:textId="77777777" w:rsidR="00DA68AE" w:rsidRPr="00C61CB3" w:rsidRDefault="00DA68AE" w:rsidP="00DA68AE">
      <w:pPr>
        <w:rPr>
          <w:b/>
          <w:bCs/>
        </w:rPr>
      </w:pPr>
    </w:p>
    <w:p w14:paraId="7C364756" w14:textId="77777777" w:rsidR="00DA68AE" w:rsidRPr="00EF1F5C" w:rsidRDefault="00DA68AE" w:rsidP="00DA68AE">
      <w:pPr>
        <w:pStyle w:val="ListParagraph"/>
        <w:numPr>
          <w:ilvl w:val="0"/>
          <w:numId w:val="1"/>
        </w:numPr>
        <w:jc w:val="both"/>
        <w:rPr>
          <w:rFonts w:cstheme="minorHAnsi"/>
          <w:b/>
          <w:bCs/>
        </w:rPr>
      </w:pPr>
      <w:r w:rsidRPr="00EF1F5C">
        <w:rPr>
          <w:rFonts w:cstheme="minorHAnsi"/>
          <w:b/>
          <w:bCs/>
        </w:rPr>
        <w:t>About Greencoat Renewables PLC</w:t>
      </w:r>
    </w:p>
    <w:p w14:paraId="495BAFDE" w14:textId="77777777" w:rsidR="00DA68AE" w:rsidRPr="00EF1F5C" w:rsidRDefault="00DA68AE" w:rsidP="00DA68AE">
      <w:pPr>
        <w:pStyle w:val="ListParagraph"/>
        <w:numPr>
          <w:ilvl w:val="0"/>
          <w:numId w:val="1"/>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 Ireland, the Company also invests in wind and solar assets in certain other European countries with stable and robust renewable energy frameworks. It is managed by Schroders Greencoat LLP, an experienced investment manager in the listed renewable energy infrastructure sector.</w:t>
      </w:r>
    </w:p>
    <w:p w14:paraId="5D76BAC7" w14:textId="77777777" w:rsidR="00DA68AE" w:rsidRPr="00EF1F5C" w:rsidRDefault="00DA68AE" w:rsidP="00DA68AE">
      <w:pPr>
        <w:pStyle w:val="ListParagraph"/>
        <w:ind w:left="0"/>
        <w:jc w:val="both"/>
        <w:rPr>
          <w:rFonts w:cstheme="minorHAnsi"/>
        </w:rPr>
      </w:pPr>
    </w:p>
    <w:p w14:paraId="2EE84A0C" w14:textId="77777777" w:rsidR="00DA68AE" w:rsidRPr="00ED63DD" w:rsidRDefault="00DA68AE" w:rsidP="00DA68AE">
      <w:pPr>
        <w:spacing w:line="276" w:lineRule="auto"/>
      </w:pPr>
    </w:p>
    <w:p w14:paraId="12FF3637" w14:textId="77777777" w:rsidR="004328A6" w:rsidRDefault="004328A6" w:rsidP="00DA68AE">
      <w:pPr>
        <w:jc w:val="both"/>
      </w:pPr>
    </w:p>
    <w:sectPr w:rsidR="004328A6" w:rsidSect="00102596">
      <w:headerReference w:type="defaul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FC6D" w14:textId="77777777" w:rsidR="00546F66" w:rsidRDefault="00546F66" w:rsidP="00842600">
      <w:r>
        <w:separator/>
      </w:r>
    </w:p>
  </w:endnote>
  <w:endnote w:type="continuationSeparator" w:id="0">
    <w:p w14:paraId="20FAEF0E" w14:textId="77777777" w:rsidR="00546F66" w:rsidRDefault="00546F66" w:rsidP="00842600">
      <w:r>
        <w:continuationSeparator/>
      </w:r>
    </w:p>
  </w:endnote>
  <w:endnote w:type="continuationNotice" w:id="1">
    <w:p w14:paraId="1BBBB80C" w14:textId="77777777" w:rsidR="00546F66" w:rsidRDefault="0054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343F" w14:textId="77777777" w:rsidR="00842600" w:rsidRPr="00E81F40" w:rsidRDefault="00842600" w:rsidP="00344336">
    <w:pPr>
      <w:rPr>
        <w:rFonts w:eastAsiaTheme="minorEastAsia" w:cstheme="minorHAnsi"/>
        <w:color w:val="000000"/>
        <w:lang w:eastAsia="zh-CN"/>
      </w:rPr>
    </w:pPr>
    <w:r w:rsidRPr="00E81F40">
      <w:rPr>
        <w:rFonts w:eastAsiaTheme="minorEastAsia" w:cstheme="minorHAnsi"/>
        <w:color w:val="000000"/>
        <w:vertAlign w:val="superscript"/>
        <w:lang w:eastAsia="zh-CN"/>
      </w:rPr>
      <w:t xml:space="preserve"> </w:t>
    </w:r>
  </w:p>
  <w:p w14:paraId="745D19AB" w14:textId="77777777" w:rsidR="00842600" w:rsidRDefault="00842600">
    <w:pPr>
      <w:pStyle w:val="Footer"/>
    </w:pPr>
  </w:p>
  <w:p w14:paraId="32AEAB95" w14:textId="77777777" w:rsidR="00842600" w:rsidRDefault="0084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2170" w14:textId="77777777" w:rsidR="00546F66" w:rsidRDefault="00546F66" w:rsidP="00842600">
      <w:r>
        <w:separator/>
      </w:r>
    </w:p>
  </w:footnote>
  <w:footnote w:type="continuationSeparator" w:id="0">
    <w:p w14:paraId="522C9E21" w14:textId="77777777" w:rsidR="00546F66" w:rsidRDefault="00546F66" w:rsidP="00842600">
      <w:r>
        <w:continuationSeparator/>
      </w:r>
    </w:p>
  </w:footnote>
  <w:footnote w:type="continuationNotice" w:id="1">
    <w:p w14:paraId="6BFD88FD" w14:textId="77777777" w:rsidR="00546F66" w:rsidRDefault="00546F66"/>
  </w:footnote>
  <w:footnote w:id="2">
    <w:p w14:paraId="5313A2C7" w14:textId="1429E062" w:rsidR="00842600" w:rsidRPr="003B1F96" w:rsidRDefault="00842600" w:rsidP="003B1F96">
      <w:pPr>
        <w:rPr>
          <w:rFonts w:eastAsiaTheme="minorEastAsia" w:cstheme="minorHAnsi"/>
          <w:color w:val="000000"/>
          <w:vertAlign w:val="superscript"/>
          <w:lang w:eastAsia="zh-CN"/>
        </w:rPr>
      </w:pPr>
      <w:r>
        <w:rPr>
          <w:rStyle w:val="FootnoteReference"/>
        </w:rPr>
        <w:footnoteRef/>
      </w:r>
      <w:r w:rsidR="003B1F96">
        <w:rPr>
          <w:rFonts w:cstheme="minorHAnsi"/>
          <w:w w:val="90"/>
          <w:sz w:val="13"/>
          <w:szCs w:val="13"/>
        </w:rPr>
        <w:t xml:space="preserve"> </w:t>
      </w:r>
      <w:r w:rsidR="003B1F96" w:rsidRPr="003B1F96">
        <w:rPr>
          <w:rFonts w:cstheme="minorHAnsi"/>
          <w:w w:val="90"/>
          <w:sz w:val="13"/>
          <w:szCs w:val="13"/>
        </w:rPr>
        <w:t>Gross</w:t>
      </w:r>
      <w:r w:rsidR="003B1F96" w:rsidRPr="003B1F96">
        <w:rPr>
          <w:rFonts w:cstheme="minorHAnsi"/>
          <w:spacing w:val="-6"/>
          <w:w w:val="90"/>
          <w:sz w:val="13"/>
          <w:szCs w:val="13"/>
        </w:rPr>
        <w:t xml:space="preserve"> </w:t>
      </w:r>
      <w:r w:rsidR="003B1F96" w:rsidRPr="003B1F96">
        <w:rPr>
          <w:rFonts w:cstheme="minorHAnsi"/>
          <w:w w:val="90"/>
          <w:sz w:val="13"/>
          <w:szCs w:val="13"/>
        </w:rPr>
        <w:t>cash</w:t>
      </w:r>
      <w:r w:rsidR="003B1F96" w:rsidRPr="003B1F96">
        <w:rPr>
          <w:rFonts w:cstheme="minorHAnsi"/>
          <w:spacing w:val="-6"/>
          <w:w w:val="90"/>
          <w:sz w:val="13"/>
          <w:szCs w:val="13"/>
        </w:rPr>
        <w:t xml:space="preserve"> </w:t>
      </w:r>
      <w:r w:rsidR="003B1F96" w:rsidRPr="003B1F96">
        <w:rPr>
          <w:rFonts w:cstheme="minorHAnsi"/>
          <w:w w:val="90"/>
          <w:sz w:val="13"/>
          <w:szCs w:val="13"/>
        </w:rPr>
        <w:t>generation</w:t>
      </w:r>
      <w:r w:rsidR="003B1F96" w:rsidRPr="003B1F96">
        <w:rPr>
          <w:rFonts w:cstheme="minorHAnsi"/>
          <w:spacing w:val="-6"/>
          <w:w w:val="90"/>
          <w:sz w:val="13"/>
          <w:szCs w:val="13"/>
        </w:rPr>
        <w:t xml:space="preserve"> </w:t>
      </w:r>
      <w:r w:rsidR="003B1F96" w:rsidRPr="003B1F96">
        <w:rPr>
          <w:rFonts w:cstheme="minorHAnsi"/>
          <w:w w:val="90"/>
          <w:sz w:val="13"/>
          <w:szCs w:val="13"/>
        </w:rPr>
        <w:t>is</w:t>
      </w:r>
      <w:r w:rsidR="003B1F96" w:rsidRPr="003B1F96">
        <w:rPr>
          <w:rFonts w:cstheme="minorHAnsi"/>
          <w:spacing w:val="-6"/>
          <w:w w:val="90"/>
          <w:sz w:val="13"/>
          <w:szCs w:val="13"/>
        </w:rPr>
        <w:t xml:space="preserve"> </w:t>
      </w:r>
      <w:r w:rsidR="003B1F96" w:rsidRPr="003B1F96">
        <w:rPr>
          <w:rFonts w:cstheme="minorHAnsi"/>
          <w:w w:val="90"/>
          <w:sz w:val="13"/>
          <w:szCs w:val="13"/>
        </w:rPr>
        <w:t>stated</w:t>
      </w:r>
      <w:r w:rsidR="003B1F96" w:rsidRPr="003B1F96">
        <w:rPr>
          <w:rFonts w:cstheme="minorHAnsi"/>
          <w:spacing w:val="-6"/>
          <w:w w:val="90"/>
          <w:sz w:val="13"/>
          <w:szCs w:val="13"/>
        </w:rPr>
        <w:t xml:space="preserve"> </w:t>
      </w:r>
      <w:r w:rsidR="003B1F96" w:rsidRPr="003B1F96">
        <w:rPr>
          <w:rFonts w:cstheme="minorHAnsi"/>
          <w:w w:val="90"/>
          <w:sz w:val="13"/>
          <w:szCs w:val="13"/>
        </w:rPr>
        <w:t>gross</w:t>
      </w:r>
      <w:r w:rsidR="003B1F96" w:rsidRPr="003B1F96">
        <w:rPr>
          <w:rFonts w:cstheme="minorHAnsi"/>
          <w:spacing w:val="-6"/>
          <w:w w:val="90"/>
          <w:sz w:val="13"/>
          <w:szCs w:val="13"/>
        </w:rPr>
        <w:t xml:space="preserve"> </w:t>
      </w:r>
      <w:r w:rsidR="003B1F96" w:rsidRPr="003B1F96">
        <w:rPr>
          <w:rFonts w:cstheme="minorHAnsi"/>
          <w:w w:val="90"/>
          <w:sz w:val="13"/>
          <w:szCs w:val="13"/>
        </w:rPr>
        <w:t>of</w:t>
      </w:r>
      <w:r w:rsidR="003B1F96" w:rsidRPr="003B1F96">
        <w:rPr>
          <w:rFonts w:cstheme="minorHAnsi"/>
          <w:spacing w:val="-6"/>
          <w:w w:val="90"/>
          <w:sz w:val="13"/>
          <w:szCs w:val="13"/>
        </w:rPr>
        <w:t xml:space="preserve"> </w:t>
      </w:r>
      <w:r w:rsidR="003B1F96" w:rsidRPr="003B1F96">
        <w:rPr>
          <w:rFonts w:cstheme="minorHAnsi"/>
          <w:w w:val="90"/>
          <w:sz w:val="13"/>
          <w:szCs w:val="13"/>
        </w:rPr>
        <w:t>scheduled</w:t>
      </w:r>
      <w:r w:rsidR="003B1F96" w:rsidRPr="003B1F96">
        <w:rPr>
          <w:rFonts w:cstheme="minorHAnsi"/>
          <w:spacing w:val="-6"/>
          <w:w w:val="90"/>
          <w:sz w:val="13"/>
          <w:szCs w:val="13"/>
        </w:rPr>
        <w:t xml:space="preserve"> </w:t>
      </w:r>
      <w:r w:rsidR="003B1F96" w:rsidRPr="003B1F96">
        <w:rPr>
          <w:rFonts w:cstheme="minorHAnsi"/>
          <w:w w:val="90"/>
          <w:sz w:val="13"/>
          <w:szCs w:val="13"/>
        </w:rPr>
        <w:t>SPV</w:t>
      </w:r>
      <w:r w:rsidR="003B1F96" w:rsidRPr="003B1F96">
        <w:rPr>
          <w:rFonts w:cstheme="minorHAnsi"/>
          <w:spacing w:val="-6"/>
          <w:w w:val="90"/>
          <w:sz w:val="13"/>
          <w:szCs w:val="13"/>
        </w:rPr>
        <w:t xml:space="preserve"> </w:t>
      </w:r>
      <w:r w:rsidR="003B1F96" w:rsidRPr="003B1F96">
        <w:rPr>
          <w:rFonts w:cstheme="minorHAnsi"/>
          <w:w w:val="90"/>
          <w:sz w:val="13"/>
          <w:szCs w:val="13"/>
        </w:rPr>
        <w:t>level</w:t>
      </w:r>
      <w:r w:rsidR="003B1F96" w:rsidRPr="003B1F96">
        <w:rPr>
          <w:rFonts w:cstheme="minorHAnsi"/>
          <w:spacing w:val="-6"/>
          <w:w w:val="90"/>
          <w:sz w:val="13"/>
          <w:szCs w:val="13"/>
        </w:rPr>
        <w:t xml:space="preserve"> </w:t>
      </w:r>
      <w:r w:rsidR="003B1F96" w:rsidRPr="003B1F96">
        <w:rPr>
          <w:rFonts w:cstheme="minorHAnsi"/>
          <w:w w:val="90"/>
          <w:sz w:val="13"/>
          <w:szCs w:val="13"/>
        </w:rPr>
        <w:t>debt</w:t>
      </w:r>
      <w:r w:rsidR="003B1F96" w:rsidRPr="003B1F96">
        <w:rPr>
          <w:rFonts w:cstheme="minorHAnsi"/>
          <w:spacing w:val="-6"/>
          <w:w w:val="90"/>
          <w:sz w:val="13"/>
          <w:szCs w:val="13"/>
        </w:rPr>
        <w:t xml:space="preserve"> </w:t>
      </w:r>
      <w:r w:rsidR="003B1F96" w:rsidRPr="003B1F96">
        <w:rPr>
          <w:rFonts w:cstheme="minorHAnsi"/>
          <w:w w:val="90"/>
          <w:sz w:val="13"/>
          <w:szCs w:val="13"/>
        </w:rPr>
        <w:t>repayments</w:t>
      </w:r>
      <w:r w:rsidR="003B1F96" w:rsidRPr="003B1F96">
        <w:rPr>
          <w:rFonts w:cstheme="minorHAnsi"/>
          <w:spacing w:val="-6"/>
          <w:w w:val="90"/>
          <w:sz w:val="13"/>
          <w:szCs w:val="13"/>
        </w:rPr>
        <w:t xml:space="preserve"> </w:t>
      </w:r>
      <w:r w:rsidR="003B1F96" w:rsidRPr="003B1F96">
        <w:rPr>
          <w:rFonts w:cstheme="minorHAnsi"/>
          <w:w w:val="90"/>
          <w:sz w:val="13"/>
          <w:szCs w:val="13"/>
        </w:rPr>
        <w:t>amounting</w:t>
      </w:r>
      <w:r w:rsidR="003B1F96" w:rsidRPr="003B1F96">
        <w:rPr>
          <w:rFonts w:cstheme="minorHAnsi"/>
          <w:spacing w:val="-6"/>
          <w:w w:val="90"/>
          <w:sz w:val="13"/>
          <w:szCs w:val="13"/>
        </w:rPr>
        <w:t xml:space="preserve"> </w:t>
      </w:r>
      <w:r w:rsidR="003B1F96" w:rsidRPr="003B1F96">
        <w:rPr>
          <w:rFonts w:cstheme="minorHAnsi"/>
          <w:w w:val="90"/>
          <w:sz w:val="13"/>
          <w:szCs w:val="13"/>
        </w:rPr>
        <w:t>to</w:t>
      </w:r>
      <w:r w:rsidR="003B1F96" w:rsidRPr="003B1F96">
        <w:rPr>
          <w:rFonts w:cstheme="minorHAnsi"/>
          <w:spacing w:val="-6"/>
          <w:w w:val="90"/>
          <w:sz w:val="13"/>
          <w:szCs w:val="13"/>
        </w:rPr>
        <w:t xml:space="preserve"> </w:t>
      </w:r>
      <w:r w:rsidR="003B1F96" w:rsidRPr="003B1F96">
        <w:rPr>
          <w:rFonts w:cstheme="minorHAnsi"/>
          <w:w w:val="90"/>
          <w:sz w:val="13"/>
          <w:szCs w:val="13"/>
        </w:rPr>
        <w:t>€3.9</w:t>
      </w:r>
      <w:r w:rsidR="003B1F96" w:rsidRPr="003B1F96">
        <w:rPr>
          <w:rFonts w:cstheme="minorHAnsi"/>
          <w:spacing w:val="-6"/>
          <w:w w:val="90"/>
          <w:sz w:val="13"/>
          <w:szCs w:val="13"/>
        </w:rPr>
        <w:t xml:space="preserve"> </w:t>
      </w:r>
      <w:r w:rsidR="003B1F96" w:rsidRPr="003B1F96">
        <w:rPr>
          <w:rFonts w:cstheme="minorHAnsi"/>
          <w:w w:val="90"/>
          <w:sz w:val="13"/>
          <w:szCs w:val="13"/>
        </w:rPr>
        <w:t>million.</w:t>
      </w:r>
      <w:r w:rsidR="003B1F96" w:rsidRPr="003B1F96">
        <w:rPr>
          <w:rFonts w:cstheme="minorHAnsi"/>
          <w:spacing w:val="-6"/>
          <w:w w:val="90"/>
          <w:sz w:val="13"/>
          <w:szCs w:val="13"/>
        </w:rPr>
        <w:t xml:space="preserve"> </w:t>
      </w:r>
      <w:r w:rsidR="003B1F96" w:rsidRPr="003B1F96">
        <w:rPr>
          <w:rFonts w:cstheme="minorHAnsi"/>
          <w:w w:val="90"/>
          <w:sz w:val="13"/>
          <w:szCs w:val="13"/>
        </w:rPr>
        <w:t>After</w:t>
      </w:r>
      <w:r w:rsidR="003B1F96" w:rsidRPr="003B1F96">
        <w:rPr>
          <w:rFonts w:cstheme="minorHAnsi"/>
          <w:spacing w:val="-6"/>
          <w:w w:val="90"/>
          <w:sz w:val="13"/>
          <w:szCs w:val="13"/>
        </w:rPr>
        <w:t xml:space="preserve"> </w:t>
      </w:r>
      <w:proofErr w:type="gramStart"/>
      <w:r w:rsidR="003B1F96" w:rsidRPr="003B1F96">
        <w:rPr>
          <w:rFonts w:cstheme="minorHAnsi"/>
          <w:w w:val="90"/>
          <w:sz w:val="13"/>
          <w:szCs w:val="13"/>
        </w:rPr>
        <w:t>taking</w:t>
      </w:r>
      <w:r w:rsidR="003B1F96" w:rsidRPr="003B1F96">
        <w:rPr>
          <w:rFonts w:cstheme="minorHAnsi"/>
          <w:spacing w:val="-6"/>
          <w:w w:val="90"/>
          <w:sz w:val="13"/>
          <w:szCs w:val="13"/>
        </w:rPr>
        <w:t xml:space="preserve"> </w:t>
      </w:r>
      <w:r w:rsidR="003B1F96" w:rsidRPr="003B1F96">
        <w:rPr>
          <w:rFonts w:cstheme="minorHAnsi"/>
          <w:w w:val="90"/>
          <w:sz w:val="13"/>
          <w:szCs w:val="13"/>
        </w:rPr>
        <w:t>into</w:t>
      </w:r>
      <w:r w:rsidR="003B1F96" w:rsidRPr="003B1F96">
        <w:rPr>
          <w:rFonts w:cstheme="minorHAnsi"/>
          <w:spacing w:val="-6"/>
          <w:w w:val="90"/>
          <w:sz w:val="13"/>
          <w:szCs w:val="13"/>
        </w:rPr>
        <w:t xml:space="preserve"> </w:t>
      </w:r>
      <w:r w:rsidR="003B1F96" w:rsidRPr="003B1F96">
        <w:rPr>
          <w:rFonts w:cstheme="minorHAnsi"/>
          <w:w w:val="90"/>
          <w:sz w:val="13"/>
          <w:szCs w:val="13"/>
        </w:rPr>
        <w:t>account</w:t>
      </w:r>
      <w:proofErr w:type="gramEnd"/>
      <w:r w:rsidR="003B1F96" w:rsidRPr="003B1F96">
        <w:rPr>
          <w:rFonts w:cstheme="minorHAnsi"/>
          <w:spacing w:val="-6"/>
          <w:w w:val="90"/>
          <w:sz w:val="13"/>
          <w:szCs w:val="13"/>
        </w:rPr>
        <w:t xml:space="preserve"> </w:t>
      </w:r>
      <w:r w:rsidR="003B1F96" w:rsidRPr="003B1F96">
        <w:rPr>
          <w:rFonts w:cstheme="minorHAnsi"/>
          <w:w w:val="90"/>
          <w:sz w:val="13"/>
          <w:szCs w:val="13"/>
        </w:rPr>
        <w:t>SPV</w:t>
      </w:r>
      <w:r w:rsidR="003B1F96" w:rsidRPr="003B1F96">
        <w:rPr>
          <w:rFonts w:cstheme="minorHAnsi"/>
          <w:spacing w:val="-6"/>
          <w:w w:val="90"/>
          <w:sz w:val="13"/>
          <w:szCs w:val="13"/>
        </w:rPr>
        <w:t xml:space="preserve"> </w:t>
      </w:r>
      <w:r w:rsidR="003B1F96" w:rsidRPr="003B1F96">
        <w:rPr>
          <w:rFonts w:cstheme="minorHAnsi"/>
          <w:w w:val="90"/>
          <w:sz w:val="13"/>
          <w:szCs w:val="13"/>
        </w:rPr>
        <w:t>level</w:t>
      </w:r>
      <w:r w:rsidR="003B1F96" w:rsidRPr="003B1F96">
        <w:rPr>
          <w:rFonts w:cstheme="minorHAnsi"/>
          <w:spacing w:val="-6"/>
          <w:w w:val="90"/>
          <w:sz w:val="13"/>
          <w:szCs w:val="13"/>
        </w:rPr>
        <w:t xml:space="preserve"> </w:t>
      </w:r>
      <w:r w:rsidR="003B1F96" w:rsidRPr="003B1F96">
        <w:rPr>
          <w:rFonts w:cstheme="minorHAnsi"/>
          <w:w w:val="90"/>
          <w:sz w:val="13"/>
          <w:szCs w:val="13"/>
        </w:rPr>
        <w:t>debt</w:t>
      </w:r>
      <w:r w:rsidR="003B1F96" w:rsidRPr="003B1F96">
        <w:rPr>
          <w:rFonts w:cstheme="minorHAnsi"/>
          <w:spacing w:val="-6"/>
          <w:w w:val="90"/>
          <w:sz w:val="13"/>
          <w:szCs w:val="13"/>
        </w:rPr>
        <w:t xml:space="preserve"> </w:t>
      </w:r>
      <w:r w:rsidR="003B1F96" w:rsidRPr="003B1F96">
        <w:rPr>
          <w:rFonts w:cstheme="minorHAnsi"/>
          <w:w w:val="90"/>
          <w:sz w:val="13"/>
          <w:szCs w:val="13"/>
        </w:rPr>
        <w:t>repayments,</w:t>
      </w:r>
      <w:r w:rsidR="003B1F96" w:rsidRPr="003B1F96">
        <w:rPr>
          <w:rFonts w:cstheme="minorHAnsi"/>
          <w:spacing w:val="-6"/>
          <w:w w:val="90"/>
          <w:sz w:val="13"/>
          <w:szCs w:val="13"/>
        </w:rPr>
        <w:t xml:space="preserve"> </w:t>
      </w:r>
      <w:r w:rsidR="003B1F96" w:rsidRPr="003B1F96">
        <w:rPr>
          <w:rFonts w:cstheme="minorHAnsi"/>
          <w:w w:val="90"/>
          <w:sz w:val="13"/>
          <w:szCs w:val="13"/>
        </w:rPr>
        <w:t>net</w:t>
      </w:r>
      <w:r w:rsidR="003B1F96" w:rsidRPr="003B1F96">
        <w:rPr>
          <w:rFonts w:cstheme="minorHAnsi"/>
          <w:spacing w:val="-6"/>
          <w:w w:val="90"/>
          <w:sz w:val="13"/>
          <w:szCs w:val="13"/>
        </w:rPr>
        <w:t xml:space="preserve"> </w:t>
      </w:r>
      <w:r w:rsidR="003B1F96" w:rsidRPr="003B1F96">
        <w:rPr>
          <w:rFonts w:cstheme="minorHAnsi"/>
          <w:w w:val="90"/>
          <w:sz w:val="13"/>
          <w:szCs w:val="13"/>
        </w:rPr>
        <w:t>cash</w:t>
      </w:r>
      <w:r w:rsidR="003B1F96" w:rsidRPr="003B1F96">
        <w:rPr>
          <w:rFonts w:cstheme="minorHAnsi"/>
          <w:spacing w:val="-6"/>
          <w:w w:val="90"/>
          <w:sz w:val="13"/>
          <w:szCs w:val="13"/>
        </w:rPr>
        <w:t xml:space="preserve"> </w:t>
      </w:r>
      <w:r w:rsidR="003B1F96" w:rsidRPr="003B1F96">
        <w:rPr>
          <w:rFonts w:cstheme="minorHAnsi"/>
          <w:w w:val="90"/>
          <w:sz w:val="13"/>
          <w:szCs w:val="13"/>
        </w:rPr>
        <w:t>generation</w:t>
      </w:r>
      <w:r w:rsidR="003B1F96" w:rsidRPr="003B1F96">
        <w:rPr>
          <w:rFonts w:cstheme="minorHAnsi"/>
          <w:spacing w:val="40"/>
          <w:sz w:val="13"/>
          <w:szCs w:val="13"/>
        </w:rPr>
        <w:t xml:space="preserve"> </w:t>
      </w:r>
      <w:r w:rsidR="003B1F96" w:rsidRPr="003B1F96">
        <w:rPr>
          <w:rFonts w:cstheme="minorHAnsi"/>
          <w:spacing w:val="-4"/>
          <w:sz w:val="13"/>
          <w:szCs w:val="13"/>
        </w:rPr>
        <w:t>amounted</w:t>
      </w:r>
      <w:r w:rsidR="003B1F96" w:rsidRPr="003B1F96">
        <w:rPr>
          <w:rFonts w:cstheme="minorHAnsi"/>
          <w:spacing w:val="-6"/>
          <w:sz w:val="13"/>
          <w:szCs w:val="13"/>
        </w:rPr>
        <w:t xml:space="preserve"> </w:t>
      </w:r>
      <w:r w:rsidR="003B1F96" w:rsidRPr="003B1F96">
        <w:rPr>
          <w:rFonts w:cstheme="minorHAnsi"/>
          <w:spacing w:val="-4"/>
          <w:sz w:val="13"/>
          <w:szCs w:val="13"/>
        </w:rPr>
        <w:t>to</w:t>
      </w:r>
      <w:r w:rsidR="003B1F96" w:rsidRPr="003B1F96">
        <w:rPr>
          <w:rFonts w:cstheme="minorHAnsi"/>
          <w:spacing w:val="-6"/>
          <w:sz w:val="13"/>
          <w:szCs w:val="13"/>
        </w:rPr>
        <w:t xml:space="preserve"> </w:t>
      </w:r>
      <w:r w:rsidR="003B1F96" w:rsidRPr="003B1F96">
        <w:rPr>
          <w:rFonts w:cstheme="minorHAnsi"/>
          <w:spacing w:val="-4"/>
          <w:sz w:val="13"/>
          <w:szCs w:val="13"/>
        </w:rPr>
        <w:t>€64.8</w:t>
      </w:r>
      <w:r w:rsidR="003B1F96" w:rsidRPr="003B1F96">
        <w:rPr>
          <w:rFonts w:cstheme="minorHAnsi"/>
          <w:spacing w:val="-6"/>
          <w:sz w:val="13"/>
          <w:szCs w:val="13"/>
        </w:rPr>
        <w:t xml:space="preserve"> </w:t>
      </w:r>
      <w:r w:rsidR="003B1F96" w:rsidRPr="003B1F96">
        <w:rPr>
          <w:rFonts w:cstheme="minorHAnsi"/>
          <w:spacing w:val="-4"/>
          <w:sz w:val="13"/>
          <w:szCs w:val="13"/>
        </w:rPr>
        <w:t>million.</w:t>
      </w:r>
    </w:p>
    <w:p w14:paraId="161E46EC" w14:textId="335898CA" w:rsidR="00842600" w:rsidRDefault="008426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2DD6" w14:textId="77777777" w:rsidR="00842600" w:rsidRDefault="00842600">
    <w:pPr>
      <w:pStyle w:val="Header"/>
    </w:pPr>
    <w:r w:rsidRPr="00ED63DD">
      <w:rPr>
        <w:noProof/>
        <w:sz w:val="22"/>
        <w:szCs w:val="22"/>
        <w:lang w:eastAsia="zh-CN"/>
      </w:rPr>
      <w:drawing>
        <wp:anchor distT="0" distB="0" distL="114300" distR="114300" simplePos="0" relativeHeight="251658240" behindDoc="0" locked="0" layoutInCell="1" allowOverlap="1" wp14:anchorId="050D4C21" wp14:editId="6A2E4DC0">
          <wp:simplePos x="0" y="0"/>
          <wp:positionH relativeFrom="margin">
            <wp:align>right</wp:align>
          </wp:positionH>
          <wp:positionV relativeFrom="topMargin">
            <wp:align>bottom</wp:align>
          </wp:positionV>
          <wp:extent cx="2484755" cy="721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9F41AF"/>
    <w:multiLevelType w:val="hybridMultilevel"/>
    <w:tmpl w:val="5FBE87C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6DD0805"/>
    <w:multiLevelType w:val="hybridMultilevel"/>
    <w:tmpl w:val="4872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A2577"/>
    <w:multiLevelType w:val="hybridMultilevel"/>
    <w:tmpl w:val="F716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E6498"/>
    <w:multiLevelType w:val="hybridMultilevel"/>
    <w:tmpl w:val="53AA3C16"/>
    <w:lvl w:ilvl="0" w:tplc="9580C1D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A282B"/>
    <w:multiLevelType w:val="multilevel"/>
    <w:tmpl w:val="00C25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916938">
    <w:abstractNumId w:val="0"/>
  </w:num>
  <w:num w:numId="2" w16cid:durableId="2089887515">
    <w:abstractNumId w:val="2"/>
  </w:num>
  <w:num w:numId="3" w16cid:durableId="1337460753">
    <w:abstractNumId w:val="4"/>
  </w:num>
  <w:num w:numId="4" w16cid:durableId="690952743">
    <w:abstractNumId w:val="2"/>
  </w:num>
  <w:num w:numId="5" w16cid:durableId="1814523102">
    <w:abstractNumId w:val="3"/>
  </w:num>
  <w:num w:numId="6" w16cid:durableId="214196701">
    <w:abstractNumId w:val="1"/>
  </w:num>
  <w:num w:numId="7" w16cid:durableId="2059670505">
    <w:abstractNumId w:val="5"/>
  </w:num>
  <w:num w:numId="8" w16cid:durableId="110816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96"/>
    <w:rsid w:val="000066A0"/>
    <w:rsid w:val="00014103"/>
    <w:rsid w:val="00016AAE"/>
    <w:rsid w:val="00017357"/>
    <w:rsid w:val="00017B96"/>
    <w:rsid w:val="00024861"/>
    <w:rsid w:val="00027BB6"/>
    <w:rsid w:val="00043610"/>
    <w:rsid w:val="0004656D"/>
    <w:rsid w:val="0005369B"/>
    <w:rsid w:val="00071FC6"/>
    <w:rsid w:val="00077E46"/>
    <w:rsid w:val="00087677"/>
    <w:rsid w:val="000B0576"/>
    <w:rsid w:val="000E7A9D"/>
    <w:rsid w:val="00102596"/>
    <w:rsid w:val="001049FB"/>
    <w:rsid w:val="0010669F"/>
    <w:rsid w:val="00106ECD"/>
    <w:rsid w:val="00123B8A"/>
    <w:rsid w:val="00124E41"/>
    <w:rsid w:val="00132D4D"/>
    <w:rsid w:val="00155760"/>
    <w:rsid w:val="00156432"/>
    <w:rsid w:val="001813A7"/>
    <w:rsid w:val="001833C2"/>
    <w:rsid w:val="001939FF"/>
    <w:rsid w:val="001A195A"/>
    <w:rsid w:val="001B0D49"/>
    <w:rsid w:val="001E033E"/>
    <w:rsid w:val="001F4AE3"/>
    <w:rsid w:val="001F4CDB"/>
    <w:rsid w:val="001F556C"/>
    <w:rsid w:val="00204DB7"/>
    <w:rsid w:val="00205661"/>
    <w:rsid w:val="00213F28"/>
    <w:rsid w:val="00230328"/>
    <w:rsid w:val="002405F9"/>
    <w:rsid w:val="0024186D"/>
    <w:rsid w:val="002728D0"/>
    <w:rsid w:val="00295989"/>
    <w:rsid w:val="00295C0B"/>
    <w:rsid w:val="00296199"/>
    <w:rsid w:val="002B5D38"/>
    <w:rsid w:val="002D6082"/>
    <w:rsid w:val="002E454D"/>
    <w:rsid w:val="002F3C84"/>
    <w:rsid w:val="00301943"/>
    <w:rsid w:val="00303ECE"/>
    <w:rsid w:val="00310003"/>
    <w:rsid w:val="00310253"/>
    <w:rsid w:val="003117E5"/>
    <w:rsid w:val="00315534"/>
    <w:rsid w:val="00317F40"/>
    <w:rsid w:val="00334609"/>
    <w:rsid w:val="00344336"/>
    <w:rsid w:val="00344D4A"/>
    <w:rsid w:val="00356A50"/>
    <w:rsid w:val="00360E69"/>
    <w:rsid w:val="00380F4F"/>
    <w:rsid w:val="00390F0D"/>
    <w:rsid w:val="00397AB7"/>
    <w:rsid w:val="00397EB2"/>
    <w:rsid w:val="003A39A3"/>
    <w:rsid w:val="003A4565"/>
    <w:rsid w:val="003B1682"/>
    <w:rsid w:val="003B1F96"/>
    <w:rsid w:val="003C0D39"/>
    <w:rsid w:val="003C0FC0"/>
    <w:rsid w:val="003D376D"/>
    <w:rsid w:val="003D4D88"/>
    <w:rsid w:val="003E6F52"/>
    <w:rsid w:val="00410FA4"/>
    <w:rsid w:val="00417253"/>
    <w:rsid w:val="00427572"/>
    <w:rsid w:val="004328A6"/>
    <w:rsid w:val="00433CC6"/>
    <w:rsid w:val="004378EE"/>
    <w:rsid w:val="004467FE"/>
    <w:rsid w:val="004509D0"/>
    <w:rsid w:val="00452C2E"/>
    <w:rsid w:val="004531DE"/>
    <w:rsid w:val="00466832"/>
    <w:rsid w:val="004868B4"/>
    <w:rsid w:val="004A3486"/>
    <w:rsid w:val="004A684A"/>
    <w:rsid w:val="004A7EC4"/>
    <w:rsid w:val="004B197C"/>
    <w:rsid w:val="004C0716"/>
    <w:rsid w:val="004C22F7"/>
    <w:rsid w:val="004D24E0"/>
    <w:rsid w:val="004F4057"/>
    <w:rsid w:val="005118C7"/>
    <w:rsid w:val="00546422"/>
    <w:rsid w:val="00546F66"/>
    <w:rsid w:val="0058429D"/>
    <w:rsid w:val="00594542"/>
    <w:rsid w:val="00597156"/>
    <w:rsid w:val="005A4F1A"/>
    <w:rsid w:val="005A67AA"/>
    <w:rsid w:val="005B56E6"/>
    <w:rsid w:val="005C487B"/>
    <w:rsid w:val="005E460A"/>
    <w:rsid w:val="00604910"/>
    <w:rsid w:val="00605E8A"/>
    <w:rsid w:val="0061516A"/>
    <w:rsid w:val="00621582"/>
    <w:rsid w:val="006339F3"/>
    <w:rsid w:val="00650EF5"/>
    <w:rsid w:val="006565C1"/>
    <w:rsid w:val="00672AA1"/>
    <w:rsid w:val="0069033E"/>
    <w:rsid w:val="00692116"/>
    <w:rsid w:val="006C1B1C"/>
    <w:rsid w:val="006F53BD"/>
    <w:rsid w:val="00702623"/>
    <w:rsid w:val="00702BDA"/>
    <w:rsid w:val="00704164"/>
    <w:rsid w:val="0070679B"/>
    <w:rsid w:val="00712080"/>
    <w:rsid w:val="00727C00"/>
    <w:rsid w:val="00732489"/>
    <w:rsid w:val="00734134"/>
    <w:rsid w:val="007359E4"/>
    <w:rsid w:val="0076762D"/>
    <w:rsid w:val="007A304E"/>
    <w:rsid w:val="008004BF"/>
    <w:rsid w:val="00800901"/>
    <w:rsid w:val="00812942"/>
    <w:rsid w:val="00814F38"/>
    <w:rsid w:val="008210B4"/>
    <w:rsid w:val="00832793"/>
    <w:rsid w:val="00835801"/>
    <w:rsid w:val="00842600"/>
    <w:rsid w:val="00851350"/>
    <w:rsid w:val="00851401"/>
    <w:rsid w:val="00872339"/>
    <w:rsid w:val="00876DCD"/>
    <w:rsid w:val="008975FB"/>
    <w:rsid w:val="008A2280"/>
    <w:rsid w:val="008A639F"/>
    <w:rsid w:val="008B4BF0"/>
    <w:rsid w:val="008C5976"/>
    <w:rsid w:val="008D5B9D"/>
    <w:rsid w:val="008D5BDA"/>
    <w:rsid w:val="008E417C"/>
    <w:rsid w:val="00915CE2"/>
    <w:rsid w:val="0092610C"/>
    <w:rsid w:val="00926538"/>
    <w:rsid w:val="00927296"/>
    <w:rsid w:val="009364F3"/>
    <w:rsid w:val="009365D9"/>
    <w:rsid w:val="009469B0"/>
    <w:rsid w:val="00971C59"/>
    <w:rsid w:val="0098543A"/>
    <w:rsid w:val="00987332"/>
    <w:rsid w:val="00987827"/>
    <w:rsid w:val="009A159A"/>
    <w:rsid w:val="009A4D6F"/>
    <w:rsid w:val="009B2B30"/>
    <w:rsid w:val="009B322C"/>
    <w:rsid w:val="009C05A2"/>
    <w:rsid w:val="009D12DE"/>
    <w:rsid w:val="009F221C"/>
    <w:rsid w:val="00A03883"/>
    <w:rsid w:val="00A05BDC"/>
    <w:rsid w:val="00A206FF"/>
    <w:rsid w:val="00A2137D"/>
    <w:rsid w:val="00A237CB"/>
    <w:rsid w:val="00A43748"/>
    <w:rsid w:val="00A643BB"/>
    <w:rsid w:val="00A9260F"/>
    <w:rsid w:val="00AA7939"/>
    <w:rsid w:val="00AB4AC2"/>
    <w:rsid w:val="00AD68E7"/>
    <w:rsid w:val="00AD7F51"/>
    <w:rsid w:val="00AE4CA0"/>
    <w:rsid w:val="00AF1684"/>
    <w:rsid w:val="00AF62FE"/>
    <w:rsid w:val="00B0014E"/>
    <w:rsid w:val="00B1771B"/>
    <w:rsid w:val="00B22D34"/>
    <w:rsid w:val="00B24FB9"/>
    <w:rsid w:val="00B2574A"/>
    <w:rsid w:val="00B37EF0"/>
    <w:rsid w:val="00B42983"/>
    <w:rsid w:val="00B51ABC"/>
    <w:rsid w:val="00B5383E"/>
    <w:rsid w:val="00B53F2F"/>
    <w:rsid w:val="00B5666D"/>
    <w:rsid w:val="00B56A3A"/>
    <w:rsid w:val="00B57B07"/>
    <w:rsid w:val="00B60CF5"/>
    <w:rsid w:val="00B63A3C"/>
    <w:rsid w:val="00B6652B"/>
    <w:rsid w:val="00B76929"/>
    <w:rsid w:val="00B77F37"/>
    <w:rsid w:val="00B80A6E"/>
    <w:rsid w:val="00B85E24"/>
    <w:rsid w:val="00B950FB"/>
    <w:rsid w:val="00BA22E6"/>
    <w:rsid w:val="00BA531E"/>
    <w:rsid w:val="00BA6925"/>
    <w:rsid w:val="00BC5D0E"/>
    <w:rsid w:val="00BD1B3A"/>
    <w:rsid w:val="00BD7A17"/>
    <w:rsid w:val="00BF17CD"/>
    <w:rsid w:val="00C04F0B"/>
    <w:rsid w:val="00C13E11"/>
    <w:rsid w:val="00C2218F"/>
    <w:rsid w:val="00C25439"/>
    <w:rsid w:val="00C26ECC"/>
    <w:rsid w:val="00C36962"/>
    <w:rsid w:val="00C5027F"/>
    <w:rsid w:val="00C5222A"/>
    <w:rsid w:val="00C56897"/>
    <w:rsid w:val="00C639D1"/>
    <w:rsid w:val="00C6578D"/>
    <w:rsid w:val="00C7574A"/>
    <w:rsid w:val="00C94E03"/>
    <w:rsid w:val="00CA0A60"/>
    <w:rsid w:val="00CA5C7D"/>
    <w:rsid w:val="00CC4414"/>
    <w:rsid w:val="00CD6131"/>
    <w:rsid w:val="00CE5B52"/>
    <w:rsid w:val="00CF1026"/>
    <w:rsid w:val="00CF37EB"/>
    <w:rsid w:val="00CF50EF"/>
    <w:rsid w:val="00D058FF"/>
    <w:rsid w:val="00D22F0D"/>
    <w:rsid w:val="00D47467"/>
    <w:rsid w:val="00D50B9F"/>
    <w:rsid w:val="00D55F00"/>
    <w:rsid w:val="00D6451A"/>
    <w:rsid w:val="00D71D3C"/>
    <w:rsid w:val="00D83444"/>
    <w:rsid w:val="00D84642"/>
    <w:rsid w:val="00D87DD6"/>
    <w:rsid w:val="00D92358"/>
    <w:rsid w:val="00DA026C"/>
    <w:rsid w:val="00DA68AE"/>
    <w:rsid w:val="00DB1728"/>
    <w:rsid w:val="00DD4E05"/>
    <w:rsid w:val="00E02FA9"/>
    <w:rsid w:val="00E04341"/>
    <w:rsid w:val="00E05AF5"/>
    <w:rsid w:val="00E05B4C"/>
    <w:rsid w:val="00E10956"/>
    <w:rsid w:val="00E10BCC"/>
    <w:rsid w:val="00E30DFC"/>
    <w:rsid w:val="00E566C3"/>
    <w:rsid w:val="00E568F9"/>
    <w:rsid w:val="00E63127"/>
    <w:rsid w:val="00EB5D31"/>
    <w:rsid w:val="00EC391C"/>
    <w:rsid w:val="00EC699B"/>
    <w:rsid w:val="00ED5631"/>
    <w:rsid w:val="00EE691E"/>
    <w:rsid w:val="00EF51B1"/>
    <w:rsid w:val="00F066B1"/>
    <w:rsid w:val="00F07EB9"/>
    <w:rsid w:val="00F1405D"/>
    <w:rsid w:val="00F14C00"/>
    <w:rsid w:val="00F254D0"/>
    <w:rsid w:val="00F32E28"/>
    <w:rsid w:val="00F41EB7"/>
    <w:rsid w:val="00F50FC0"/>
    <w:rsid w:val="00F537EE"/>
    <w:rsid w:val="00F774FC"/>
    <w:rsid w:val="00F83A28"/>
    <w:rsid w:val="00F83E7C"/>
    <w:rsid w:val="00F90E58"/>
    <w:rsid w:val="00FA5C68"/>
    <w:rsid w:val="00FB603F"/>
    <w:rsid w:val="00FB6677"/>
    <w:rsid w:val="00FC0EDE"/>
    <w:rsid w:val="00FC3A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1540"/>
  <w15:chartTrackingRefBased/>
  <w15:docId w15:val="{C87D0488-F7B8-4498-A340-1233860A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96"/>
    <w:pPr>
      <w:spacing w:after="0" w:line="240" w:lineRule="auto"/>
    </w:pPr>
    <w:rPr>
      <w:rFonts w:eastAsiaTheme="minorHAnsi"/>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596"/>
    <w:pPr>
      <w:tabs>
        <w:tab w:val="center" w:pos="4513"/>
        <w:tab w:val="right" w:pos="9026"/>
      </w:tabs>
    </w:pPr>
  </w:style>
  <w:style w:type="character" w:customStyle="1" w:styleId="HeaderChar">
    <w:name w:val="Header Char"/>
    <w:basedOn w:val="DefaultParagraphFont"/>
    <w:link w:val="Header"/>
    <w:uiPriority w:val="99"/>
    <w:rsid w:val="00102596"/>
    <w:rPr>
      <w:rFonts w:eastAsiaTheme="minorHAnsi"/>
      <w:kern w:val="0"/>
      <w:sz w:val="24"/>
      <w:szCs w:val="24"/>
      <w:lang w:eastAsia="en-US"/>
      <w14:ligatures w14:val="none"/>
    </w:rPr>
  </w:style>
  <w:style w:type="paragraph" w:styleId="Footer">
    <w:name w:val="footer"/>
    <w:basedOn w:val="Normal"/>
    <w:link w:val="FooterChar"/>
    <w:uiPriority w:val="99"/>
    <w:unhideWhenUsed/>
    <w:rsid w:val="00102596"/>
    <w:pPr>
      <w:tabs>
        <w:tab w:val="center" w:pos="4513"/>
        <w:tab w:val="right" w:pos="9026"/>
      </w:tabs>
    </w:pPr>
  </w:style>
  <w:style w:type="character" w:customStyle="1" w:styleId="FooterChar">
    <w:name w:val="Footer Char"/>
    <w:basedOn w:val="DefaultParagraphFont"/>
    <w:link w:val="Footer"/>
    <w:uiPriority w:val="99"/>
    <w:rsid w:val="00102596"/>
    <w:rPr>
      <w:rFonts w:eastAsiaTheme="minorHAnsi"/>
      <w:kern w:val="0"/>
      <w:sz w:val="24"/>
      <w:szCs w:val="24"/>
      <w:lang w:eastAsia="en-US"/>
      <w14:ligatures w14:val="none"/>
    </w:rPr>
  </w:style>
  <w:style w:type="paragraph" w:styleId="ListParagraph">
    <w:name w:val="List Paragraph"/>
    <w:aliases w:val="Paragraphe EI,Paragraphe de liste1,EC,Normal bullet 2,List Paragraph1,Numbered List,1st level - Bullet List Paragraph,Lettre d'introduction,Paragrafo elenco,Medium Grid 1 - Accent 21,List Paragraph11,Paragraphe de liste,Dot pt"/>
    <w:basedOn w:val="Normal"/>
    <w:uiPriority w:val="1"/>
    <w:qFormat/>
    <w:rsid w:val="00102596"/>
    <w:pPr>
      <w:ind w:left="720"/>
      <w:contextualSpacing/>
    </w:pPr>
  </w:style>
  <w:style w:type="character" w:styleId="Hyperlink">
    <w:name w:val="Hyperlink"/>
    <w:basedOn w:val="DefaultParagraphFont"/>
    <w:uiPriority w:val="99"/>
    <w:unhideWhenUsed/>
    <w:rsid w:val="00102596"/>
    <w:rPr>
      <w:color w:val="0563C1" w:themeColor="hyperlink"/>
      <w:u w:val="single"/>
    </w:rPr>
  </w:style>
  <w:style w:type="paragraph" w:customStyle="1" w:styleId="aku">
    <w:name w:val="aku"/>
    <w:basedOn w:val="Normal"/>
    <w:rsid w:val="00102596"/>
    <w:pPr>
      <w:spacing w:before="100" w:beforeAutospacing="1" w:after="100" w:afterAutospacing="1"/>
    </w:pPr>
    <w:rPr>
      <w:rFonts w:ascii="Times New Roman" w:eastAsia="Times New Roman" w:hAnsi="Times New Roman" w:cs="Times New Roman"/>
      <w:lang w:eastAsia="en-GB"/>
    </w:rPr>
  </w:style>
  <w:style w:type="character" w:customStyle="1" w:styleId="akb">
    <w:name w:val="akb"/>
    <w:basedOn w:val="DefaultParagraphFont"/>
    <w:rsid w:val="00102596"/>
  </w:style>
  <w:style w:type="paragraph" w:customStyle="1" w:styleId="akv">
    <w:name w:val="akv"/>
    <w:basedOn w:val="Normal"/>
    <w:rsid w:val="00102596"/>
    <w:pPr>
      <w:spacing w:before="100" w:beforeAutospacing="1" w:after="100" w:afterAutospacing="1"/>
    </w:pPr>
    <w:rPr>
      <w:rFonts w:ascii="Times New Roman" w:eastAsia="Times New Roman" w:hAnsi="Times New Roman" w:cs="Times New Roman"/>
      <w:lang w:eastAsia="en-GB"/>
    </w:rPr>
  </w:style>
  <w:style w:type="character" w:customStyle="1" w:styleId="ajz">
    <w:name w:val="ajz"/>
    <w:basedOn w:val="DefaultParagraphFont"/>
    <w:rsid w:val="00102596"/>
  </w:style>
  <w:style w:type="character" w:styleId="CommentReference">
    <w:name w:val="annotation reference"/>
    <w:basedOn w:val="DefaultParagraphFont"/>
    <w:uiPriority w:val="99"/>
    <w:rsid w:val="00102596"/>
    <w:rPr>
      <w:sz w:val="16"/>
      <w:szCs w:val="16"/>
    </w:rPr>
  </w:style>
  <w:style w:type="paragraph" w:styleId="CommentText">
    <w:name w:val="annotation text"/>
    <w:basedOn w:val="Normal"/>
    <w:link w:val="CommentTextChar"/>
    <w:uiPriority w:val="99"/>
    <w:rsid w:val="00102596"/>
    <w:rPr>
      <w:sz w:val="20"/>
      <w:szCs w:val="20"/>
    </w:rPr>
  </w:style>
  <w:style w:type="character" w:customStyle="1" w:styleId="CommentTextChar">
    <w:name w:val="Comment Text Char"/>
    <w:basedOn w:val="DefaultParagraphFont"/>
    <w:link w:val="CommentText"/>
    <w:uiPriority w:val="99"/>
    <w:rsid w:val="00102596"/>
    <w:rPr>
      <w:rFonts w:eastAsiaTheme="minorHAnsi"/>
      <w:kern w:val="0"/>
      <w:sz w:val="20"/>
      <w:szCs w:val="20"/>
      <w:lang w:eastAsia="en-US"/>
      <w14:ligatures w14:val="none"/>
    </w:rPr>
  </w:style>
  <w:style w:type="paragraph" w:customStyle="1" w:styleId="TableParagraph">
    <w:name w:val="Table Paragraph"/>
    <w:basedOn w:val="Normal"/>
    <w:uiPriority w:val="1"/>
    <w:qFormat/>
    <w:rsid w:val="00102596"/>
    <w:pPr>
      <w:widowControl w:val="0"/>
      <w:autoSpaceDE w:val="0"/>
      <w:autoSpaceDN w:val="0"/>
      <w:adjustRightInd w:val="0"/>
      <w:spacing w:before="47"/>
      <w:jc w:val="right"/>
    </w:pPr>
    <w:rPr>
      <w:rFonts w:ascii="Gill Sans MT" w:eastAsiaTheme="minorEastAsia" w:hAnsi="Gill Sans MT" w:cs="Gill Sans MT"/>
      <w:lang w:eastAsia="en-GB"/>
    </w:rPr>
  </w:style>
  <w:style w:type="paragraph" w:styleId="NormalWeb">
    <w:name w:val="Normal (Web)"/>
    <w:basedOn w:val="Normal"/>
    <w:uiPriority w:val="99"/>
    <w:semiHidden/>
    <w:unhideWhenUsed/>
    <w:rsid w:val="00433CC6"/>
    <w:pPr>
      <w:spacing w:before="100" w:beforeAutospacing="1" w:after="100" w:afterAutospacing="1"/>
    </w:pPr>
    <w:rPr>
      <w:rFonts w:ascii="Times New Roman" w:eastAsia="Times New Roman" w:hAnsi="Times New Roman" w:cs="Times New Roman"/>
      <w:lang w:eastAsia="zh-CN"/>
    </w:rPr>
  </w:style>
  <w:style w:type="paragraph" w:styleId="FootnoteText">
    <w:name w:val="footnote text"/>
    <w:basedOn w:val="Normal"/>
    <w:link w:val="FootnoteTextChar"/>
    <w:uiPriority w:val="99"/>
    <w:semiHidden/>
    <w:unhideWhenUsed/>
    <w:rsid w:val="00842600"/>
    <w:rPr>
      <w:sz w:val="20"/>
      <w:szCs w:val="20"/>
    </w:rPr>
  </w:style>
  <w:style w:type="character" w:customStyle="1" w:styleId="FootnoteTextChar">
    <w:name w:val="Footnote Text Char"/>
    <w:basedOn w:val="DefaultParagraphFont"/>
    <w:link w:val="FootnoteText"/>
    <w:uiPriority w:val="99"/>
    <w:semiHidden/>
    <w:rsid w:val="00842600"/>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842600"/>
    <w:rPr>
      <w:vertAlign w:val="superscript"/>
    </w:rPr>
  </w:style>
  <w:style w:type="paragraph" w:styleId="Revision">
    <w:name w:val="Revision"/>
    <w:hidden/>
    <w:uiPriority w:val="99"/>
    <w:semiHidden/>
    <w:rsid w:val="00B2574A"/>
    <w:pPr>
      <w:spacing w:after="0" w:line="240" w:lineRule="auto"/>
    </w:pPr>
    <w:rPr>
      <w:rFonts w:eastAsiaTheme="minorHAnsi"/>
      <w:kern w:val="0"/>
      <w:sz w:val="24"/>
      <w:szCs w:val="24"/>
      <w:lang w:eastAsia="en-US"/>
      <w14:ligatures w14:val="none"/>
    </w:rPr>
  </w:style>
  <w:style w:type="paragraph" w:styleId="CommentSubject">
    <w:name w:val="annotation subject"/>
    <w:basedOn w:val="CommentText"/>
    <w:next w:val="CommentText"/>
    <w:link w:val="CommentSubjectChar"/>
    <w:uiPriority w:val="99"/>
    <w:semiHidden/>
    <w:unhideWhenUsed/>
    <w:rsid w:val="00230328"/>
    <w:rPr>
      <w:b/>
      <w:bCs/>
    </w:rPr>
  </w:style>
  <w:style w:type="character" w:customStyle="1" w:styleId="CommentSubjectChar">
    <w:name w:val="Comment Subject Char"/>
    <w:basedOn w:val="CommentTextChar"/>
    <w:link w:val="CommentSubject"/>
    <w:uiPriority w:val="99"/>
    <w:semiHidden/>
    <w:rsid w:val="00230328"/>
    <w:rPr>
      <w:rFonts w:eastAsiaTheme="minorHAnsi"/>
      <w:b/>
      <w:bCs/>
      <w:kern w:val="0"/>
      <w:sz w:val="20"/>
      <w:szCs w:val="20"/>
      <w:lang w:eastAsia="en-US"/>
      <w14:ligatures w14:val="none"/>
    </w:rPr>
  </w:style>
  <w:style w:type="paragraph" w:customStyle="1" w:styleId="bh">
    <w:name w:val="bh"/>
    <w:basedOn w:val="Normal"/>
    <w:rsid w:val="00301943"/>
    <w:pPr>
      <w:spacing w:before="100" w:beforeAutospacing="1" w:after="100" w:afterAutospacing="1"/>
    </w:pPr>
    <w:rPr>
      <w:rFonts w:ascii="Times New Roman" w:eastAsia="Times New Roman" w:hAnsi="Times New Roman" w:cs="Times New Roman"/>
      <w:lang w:eastAsia="zh-CN"/>
    </w:rPr>
  </w:style>
  <w:style w:type="character" w:customStyle="1" w:styleId="bb">
    <w:name w:val="bb"/>
    <w:basedOn w:val="DefaultParagraphFont"/>
    <w:rsid w:val="00301943"/>
  </w:style>
  <w:style w:type="character" w:customStyle="1" w:styleId="ba">
    <w:name w:val="ba"/>
    <w:basedOn w:val="DefaultParagraphFont"/>
    <w:rsid w:val="00301943"/>
  </w:style>
  <w:style w:type="paragraph" w:customStyle="1" w:styleId="bi">
    <w:name w:val="bi"/>
    <w:basedOn w:val="Normal"/>
    <w:rsid w:val="00301943"/>
    <w:pPr>
      <w:spacing w:before="100" w:beforeAutospacing="1" w:after="100" w:afterAutospacing="1"/>
    </w:pPr>
    <w:rPr>
      <w:rFonts w:ascii="Times New Roman" w:eastAsia="Times New Roman" w:hAnsi="Times New Roman" w:cs="Times New Roman"/>
      <w:lang w:eastAsia="zh-CN"/>
    </w:rPr>
  </w:style>
  <w:style w:type="paragraph" w:customStyle="1" w:styleId="bj">
    <w:name w:val="bj"/>
    <w:basedOn w:val="Normal"/>
    <w:rsid w:val="00301943"/>
    <w:pPr>
      <w:spacing w:before="100" w:beforeAutospacing="1" w:after="100" w:afterAutospacing="1"/>
    </w:pPr>
    <w:rPr>
      <w:rFonts w:ascii="Times New Roman" w:eastAsia="Times New Roman" w:hAnsi="Times New Roman" w:cs="Times New Roman"/>
      <w:lang w:eastAsia="zh-CN"/>
    </w:rPr>
  </w:style>
  <w:style w:type="paragraph" w:customStyle="1" w:styleId="bk">
    <w:name w:val="bk"/>
    <w:basedOn w:val="Normal"/>
    <w:rsid w:val="00301943"/>
    <w:pPr>
      <w:spacing w:before="100" w:beforeAutospacing="1" w:after="100" w:afterAutospacing="1"/>
    </w:pPr>
    <w:rPr>
      <w:rFonts w:ascii="Times New Roman" w:eastAsia="Times New Roman" w:hAnsi="Times New Roman" w:cs="Times New Roman"/>
      <w:lang w:eastAsia="zh-CN"/>
    </w:rPr>
  </w:style>
  <w:style w:type="table" w:styleId="TableGridLight">
    <w:name w:val="Grid Table Light"/>
    <w:basedOn w:val="TableNormal"/>
    <w:uiPriority w:val="40"/>
    <w:rsid w:val="00DA68AE"/>
    <w:pPr>
      <w:spacing w:after="0" w:line="240" w:lineRule="auto"/>
    </w:pPr>
    <w:rPr>
      <w:rFonts w:eastAsiaTheme="minorHAnsi"/>
      <w:lang w:val="en-Z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C56897"/>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56897"/>
    <w:rPr>
      <w:rFonts w:ascii="Arial" w:eastAsia="Arial" w:hAnsi="Arial" w:cs="Times New Roman"/>
      <w:color w:val="707270"/>
      <w:spacing w:val="-4"/>
      <w:kern w:val="0"/>
      <w:sz w:val="19"/>
      <w:lang w:eastAsia="en-US"/>
      <w14:ligatures w14:val="none"/>
    </w:rPr>
  </w:style>
  <w:style w:type="character" w:styleId="UnresolvedMention">
    <w:name w:val="Unresolved Mention"/>
    <w:basedOn w:val="DefaultParagraphFont"/>
    <w:uiPriority w:val="99"/>
    <w:semiHidden/>
    <w:unhideWhenUsed/>
    <w:rsid w:val="00E02FA9"/>
    <w:rPr>
      <w:color w:val="605E5C"/>
      <w:shd w:val="clear" w:color="auto" w:fill="E1DFDD"/>
    </w:rPr>
  </w:style>
  <w:style w:type="character" w:styleId="FollowedHyperlink">
    <w:name w:val="FollowedHyperlink"/>
    <w:basedOn w:val="DefaultParagraphFont"/>
    <w:uiPriority w:val="99"/>
    <w:semiHidden/>
    <w:unhideWhenUsed/>
    <w:rsid w:val="00D55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977">
      <w:bodyDiv w:val="1"/>
      <w:marLeft w:val="0"/>
      <w:marRight w:val="0"/>
      <w:marTop w:val="0"/>
      <w:marBottom w:val="0"/>
      <w:divBdr>
        <w:top w:val="none" w:sz="0" w:space="0" w:color="auto"/>
        <w:left w:val="none" w:sz="0" w:space="0" w:color="auto"/>
        <w:bottom w:val="none" w:sz="0" w:space="0" w:color="auto"/>
        <w:right w:val="none" w:sz="0" w:space="0" w:color="auto"/>
      </w:divBdr>
    </w:div>
    <w:div w:id="279918575">
      <w:bodyDiv w:val="1"/>
      <w:marLeft w:val="0"/>
      <w:marRight w:val="0"/>
      <w:marTop w:val="0"/>
      <w:marBottom w:val="0"/>
      <w:divBdr>
        <w:top w:val="none" w:sz="0" w:space="0" w:color="auto"/>
        <w:left w:val="none" w:sz="0" w:space="0" w:color="auto"/>
        <w:bottom w:val="none" w:sz="0" w:space="0" w:color="auto"/>
        <w:right w:val="none" w:sz="0" w:space="0" w:color="auto"/>
      </w:divBdr>
    </w:div>
    <w:div w:id="381486118">
      <w:bodyDiv w:val="1"/>
      <w:marLeft w:val="0"/>
      <w:marRight w:val="0"/>
      <w:marTop w:val="0"/>
      <w:marBottom w:val="0"/>
      <w:divBdr>
        <w:top w:val="none" w:sz="0" w:space="0" w:color="auto"/>
        <w:left w:val="none" w:sz="0" w:space="0" w:color="auto"/>
        <w:bottom w:val="none" w:sz="0" w:space="0" w:color="auto"/>
        <w:right w:val="none" w:sz="0" w:space="0" w:color="auto"/>
      </w:divBdr>
    </w:div>
    <w:div w:id="405494944">
      <w:bodyDiv w:val="1"/>
      <w:marLeft w:val="0"/>
      <w:marRight w:val="0"/>
      <w:marTop w:val="0"/>
      <w:marBottom w:val="0"/>
      <w:divBdr>
        <w:top w:val="none" w:sz="0" w:space="0" w:color="auto"/>
        <w:left w:val="none" w:sz="0" w:space="0" w:color="auto"/>
        <w:bottom w:val="none" w:sz="0" w:space="0" w:color="auto"/>
        <w:right w:val="none" w:sz="0" w:space="0" w:color="auto"/>
      </w:divBdr>
      <w:divsChild>
        <w:div w:id="1457531431">
          <w:blockQuote w:val="1"/>
          <w:marLeft w:val="0"/>
          <w:marRight w:val="0"/>
          <w:marTop w:val="0"/>
          <w:marBottom w:val="0"/>
          <w:divBdr>
            <w:top w:val="none" w:sz="0" w:space="0" w:color="auto"/>
            <w:left w:val="single" w:sz="6" w:space="18" w:color="707070"/>
            <w:bottom w:val="none" w:sz="0" w:space="0" w:color="auto"/>
            <w:right w:val="none" w:sz="0" w:space="0" w:color="auto"/>
          </w:divBdr>
        </w:div>
        <w:div w:id="96380364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09225208">
      <w:bodyDiv w:val="1"/>
      <w:marLeft w:val="0"/>
      <w:marRight w:val="0"/>
      <w:marTop w:val="0"/>
      <w:marBottom w:val="0"/>
      <w:divBdr>
        <w:top w:val="none" w:sz="0" w:space="0" w:color="auto"/>
        <w:left w:val="none" w:sz="0" w:space="0" w:color="auto"/>
        <w:bottom w:val="none" w:sz="0" w:space="0" w:color="auto"/>
        <w:right w:val="none" w:sz="0" w:space="0" w:color="auto"/>
      </w:divBdr>
      <w:divsChild>
        <w:div w:id="1250311136">
          <w:blockQuote w:val="1"/>
          <w:marLeft w:val="0"/>
          <w:marRight w:val="0"/>
          <w:marTop w:val="0"/>
          <w:marBottom w:val="0"/>
          <w:divBdr>
            <w:top w:val="none" w:sz="0" w:space="0" w:color="auto"/>
            <w:left w:val="single" w:sz="6" w:space="18" w:color="707070"/>
            <w:bottom w:val="none" w:sz="0" w:space="0" w:color="auto"/>
            <w:right w:val="none" w:sz="0" w:space="0" w:color="auto"/>
          </w:divBdr>
        </w:div>
        <w:div w:id="716586125">
          <w:blockQuote w:val="1"/>
          <w:marLeft w:val="0"/>
          <w:marRight w:val="0"/>
          <w:marTop w:val="0"/>
          <w:marBottom w:val="0"/>
          <w:divBdr>
            <w:top w:val="none" w:sz="0" w:space="0" w:color="auto"/>
            <w:left w:val="single" w:sz="6" w:space="18" w:color="707070"/>
            <w:bottom w:val="none" w:sz="0" w:space="0" w:color="auto"/>
            <w:right w:val="none" w:sz="0" w:space="0" w:color="auto"/>
          </w:divBdr>
        </w:div>
        <w:div w:id="214219009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65281737">
      <w:bodyDiv w:val="1"/>
      <w:marLeft w:val="0"/>
      <w:marRight w:val="0"/>
      <w:marTop w:val="0"/>
      <w:marBottom w:val="0"/>
      <w:divBdr>
        <w:top w:val="none" w:sz="0" w:space="0" w:color="auto"/>
        <w:left w:val="none" w:sz="0" w:space="0" w:color="auto"/>
        <w:bottom w:val="none" w:sz="0" w:space="0" w:color="auto"/>
        <w:right w:val="none" w:sz="0" w:space="0" w:color="auto"/>
      </w:divBdr>
    </w:div>
    <w:div w:id="847674733">
      <w:bodyDiv w:val="1"/>
      <w:marLeft w:val="0"/>
      <w:marRight w:val="0"/>
      <w:marTop w:val="0"/>
      <w:marBottom w:val="0"/>
      <w:divBdr>
        <w:top w:val="none" w:sz="0" w:space="0" w:color="auto"/>
        <w:left w:val="none" w:sz="0" w:space="0" w:color="auto"/>
        <w:bottom w:val="none" w:sz="0" w:space="0" w:color="auto"/>
        <w:right w:val="none" w:sz="0" w:space="0" w:color="auto"/>
      </w:divBdr>
    </w:div>
    <w:div w:id="1125008576">
      <w:bodyDiv w:val="1"/>
      <w:marLeft w:val="0"/>
      <w:marRight w:val="0"/>
      <w:marTop w:val="0"/>
      <w:marBottom w:val="0"/>
      <w:divBdr>
        <w:top w:val="none" w:sz="0" w:space="0" w:color="auto"/>
        <w:left w:val="none" w:sz="0" w:space="0" w:color="auto"/>
        <w:bottom w:val="none" w:sz="0" w:space="0" w:color="auto"/>
        <w:right w:val="none" w:sz="0" w:space="0" w:color="auto"/>
      </w:divBdr>
    </w:div>
    <w:div w:id="1306810256">
      <w:bodyDiv w:val="1"/>
      <w:marLeft w:val="0"/>
      <w:marRight w:val="0"/>
      <w:marTop w:val="0"/>
      <w:marBottom w:val="0"/>
      <w:divBdr>
        <w:top w:val="none" w:sz="0" w:space="0" w:color="auto"/>
        <w:left w:val="none" w:sz="0" w:space="0" w:color="auto"/>
        <w:bottom w:val="none" w:sz="0" w:space="0" w:color="auto"/>
        <w:right w:val="none" w:sz="0" w:space="0" w:color="auto"/>
      </w:divBdr>
      <w:divsChild>
        <w:div w:id="1793284676">
          <w:blockQuote w:val="1"/>
          <w:marLeft w:val="0"/>
          <w:marRight w:val="0"/>
          <w:marTop w:val="0"/>
          <w:marBottom w:val="0"/>
          <w:divBdr>
            <w:top w:val="none" w:sz="0" w:space="0" w:color="auto"/>
            <w:left w:val="single" w:sz="6" w:space="18" w:color="707070"/>
            <w:bottom w:val="none" w:sz="0" w:space="0" w:color="auto"/>
            <w:right w:val="none" w:sz="0" w:space="0" w:color="auto"/>
          </w:divBdr>
        </w:div>
        <w:div w:id="1423771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66255014">
      <w:bodyDiv w:val="1"/>
      <w:marLeft w:val="0"/>
      <w:marRight w:val="0"/>
      <w:marTop w:val="0"/>
      <w:marBottom w:val="0"/>
      <w:divBdr>
        <w:top w:val="none" w:sz="0" w:space="0" w:color="auto"/>
        <w:left w:val="none" w:sz="0" w:space="0" w:color="auto"/>
        <w:bottom w:val="none" w:sz="0" w:space="0" w:color="auto"/>
        <w:right w:val="none" w:sz="0" w:space="0" w:color="auto"/>
      </w:divBdr>
    </w:div>
    <w:div w:id="1670789982">
      <w:bodyDiv w:val="1"/>
      <w:marLeft w:val="0"/>
      <w:marRight w:val="0"/>
      <w:marTop w:val="0"/>
      <w:marBottom w:val="0"/>
      <w:divBdr>
        <w:top w:val="none" w:sz="0" w:space="0" w:color="auto"/>
        <w:left w:val="none" w:sz="0" w:space="0" w:color="auto"/>
        <w:bottom w:val="none" w:sz="0" w:space="0" w:color="auto"/>
        <w:right w:val="none" w:sz="0" w:space="0" w:color="auto"/>
      </w:divBdr>
    </w:div>
    <w:div w:id="1885602972">
      <w:bodyDiv w:val="1"/>
      <w:marLeft w:val="0"/>
      <w:marRight w:val="0"/>
      <w:marTop w:val="0"/>
      <w:marBottom w:val="0"/>
      <w:divBdr>
        <w:top w:val="none" w:sz="0" w:space="0" w:color="auto"/>
        <w:left w:val="none" w:sz="0" w:space="0" w:color="auto"/>
        <w:bottom w:val="none" w:sz="0" w:space="0" w:color="auto"/>
        <w:right w:val="none" w:sz="0" w:space="0" w:color="auto"/>
      </w:divBdr>
    </w:div>
    <w:div w:id="1901742190">
      <w:bodyDiv w:val="1"/>
      <w:marLeft w:val="0"/>
      <w:marRight w:val="0"/>
      <w:marTop w:val="0"/>
      <w:marBottom w:val="0"/>
      <w:divBdr>
        <w:top w:val="none" w:sz="0" w:space="0" w:color="auto"/>
        <w:left w:val="none" w:sz="0" w:space="0" w:color="auto"/>
        <w:bottom w:val="none" w:sz="0" w:space="0" w:color="auto"/>
        <w:right w:val="none" w:sz="0" w:space="0" w:color="auto"/>
      </w:divBdr>
      <w:divsChild>
        <w:div w:id="2141654604">
          <w:blockQuote w:val="1"/>
          <w:marLeft w:val="0"/>
          <w:marRight w:val="0"/>
          <w:marTop w:val="0"/>
          <w:marBottom w:val="0"/>
          <w:divBdr>
            <w:top w:val="none" w:sz="0" w:space="0" w:color="auto"/>
            <w:left w:val="single" w:sz="6" w:space="18" w:color="707070"/>
            <w:bottom w:val="none" w:sz="0" w:space="0" w:color="auto"/>
            <w:right w:val="none" w:sz="0" w:space="0" w:color="auto"/>
          </w:divBdr>
        </w:div>
        <w:div w:id="375350881">
          <w:blockQuote w:val="1"/>
          <w:marLeft w:val="0"/>
          <w:marRight w:val="0"/>
          <w:marTop w:val="0"/>
          <w:marBottom w:val="0"/>
          <w:divBdr>
            <w:top w:val="none" w:sz="0" w:space="0" w:color="auto"/>
            <w:left w:val="single" w:sz="6" w:space="18" w:color="707070"/>
            <w:bottom w:val="none" w:sz="0" w:space="0" w:color="auto"/>
            <w:right w:val="none" w:sz="0" w:space="0" w:color="auto"/>
          </w:divBdr>
        </w:div>
        <w:div w:id="92113929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spdf.jse.co.za/documents/2025/JSE/ISSE/GCTE/HY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ca.org.uk/markets/primary-markets/regulatory-disclosures/national-storage-mechanism" TargetMode="External"/><Relationship Id="rId17" Type="http://schemas.openxmlformats.org/officeDocument/2006/relationships/hyperlink" Target="mailto:greencoat@fticonsulting.com" TargetMode="External"/><Relationship Id="rId2" Type="http://schemas.openxmlformats.org/officeDocument/2006/relationships/customXml" Target="../customXml/item2.xml"/><Relationship Id="rId16" Type="http://schemas.openxmlformats.org/officeDocument/2006/relationships/hyperlink" Target="http://www.greencoat-renewabl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hyperlink" Target="https://edge.media-server.com/mmc/p/h8xa2gw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er-conf.media-server.com/register/BIbdbbe4f2b9304d54bfbef2aa1788d0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2025-09-15T07:56:24+00:00</DateReceiv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E1666-90F9-47C8-8215-0C30573B9FC8}">
  <ds:schemaRefs>
    <ds:schemaRef ds:uri="http://schemas.microsoft.com/sharepoint/v3/contenttype/forms"/>
  </ds:schemaRefs>
</ds:datastoreItem>
</file>

<file path=customXml/itemProps2.xml><?xml version="1.0" encoding="utf-8"?>
<ds:datastoreItem xmlns:ds="http://schemas.openxmlformats.org/officeDocument/2006/customXml" ds:itemID="{5B12078F-47F1-4536-AC5C-4A8F138C04D9}">
  <ds:schemaRefs>
    <ds:schemaRef ds:uri="http://purl.org/dc/terms/"/>
    <ds:schemaRef ds:uri="http://schemas.openxmlformats.org/package/2006/metadata/core-properties"/>
    <ds:schemaRef ds:uri="b9788881-0b14-4d8b-a5d4-0b7cb51b51a2"/>
    <ds:schemaRef ds:uri="http://schemas.microsoft.com/office/2006/documentManagement/types"/>
    <ds:schemaRef ds:uri="http://schemas.microsoft.com/office/infopath/2007/PartnerControls"/>
    <ds:schemaRef ds:uri="http://purl.org/dc/elements/1.1/"/>
    <ds:schemaRef ds:uri="http://schemas.microsoft.com/office/2006/metadata/properties"/>
    <ds:schemaRef ds:uri="e1d438f5-7e8f-4486-a7ca-81405da6368d"/>
    <ds:schemaRef ds:uri="http://www.w3.org/XML/1998/namespace"/>
    <ds:schemaRef ds:uri="http://purl.org/dc/dcmitype/"/>
    <ds:schemaRef ds:uri="dbfc03f3-afa5-45e9-834c-87a4b3bbcf86"/>
    <ds:schemaRef ds:uri="bf199d5d-9365-4f18-b43c-aee1868a8e0a"/>
  </ds:schemaRefs>
</ds:datastoreItem>
</file>

<file path=customXml/itemProps3.xml><?xml version="1.0" encoding="utf-8"?>
<ds:datastoreItem xmlns:ds="http://schemas.openxmlformats.org/officeDocument/2006/customXml" ds:itemID="{E0E46DED-0737-4585-AFC9-E567D0144319}">
  <ds:schemaRefs>
    <ds:schemaRef ds:uri="http://schemas.openxmlformats.org/officeDocument/2006/bibliography"/>
  </ds:schemaRefs>
</ds:datastoreItem>
</file>

<file path=customXml/itemProps4.xml><?xml version="1.0" encoding="utf-8"?>
<ds:datastoreItem xmlns:ds="http://schemas.openxmlformats.org/officeDocument/2006/customXml" ds:itemID="{351DDDF9-32A7-47E9-AAF4-24C7C160D515}"/>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Mullen, Aoife</dc:creator>
  <cp:lastModifiedBy>Catherine Carron</cp:lastModifiedBy>
  <cp:revision>2</cp:revision>
  <dcterms:created xsi:type="dcterms:W3CDTF">2025-09-14T17:54:00Z</dcterms:created>
  <dcterms:modified xsi:type="dcterms:W3CDTF">2025-09-14T17:54:00Z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docLang">
    <vt:lpwstr>en</vt:lpwstr>
  </property>
</Properties>
</file>