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6F967" w14:textId="1D8D1261" w:rsidR="007A195B" w:rsidRDefault="00BA2A1C" w:rsidP="003E0C5C">
      <w:pPr>
        <w:jc w:val="center"/>
      </w:pPr>
      <w:r>
        <w:rPr>
          <w:b/>
          <w:sz w:val="32"/>
          <w:u w:val="single"/>
        </w:rPr>
        <w:t>Greencoat Renewables PLC – Notice of Annual General Meeting</w:t>
      </w:r>
    </w:p>
    <w:p w14:paraId="75FC37F8" w14:textId="77777777" w:rsidR="007A195B" w:rsidRPr="00B64EB7" w:rsidRDefault="007A195B" w:rsidP="003E0C5C">
      <w:pPr>
        <w:jc w:val="center"/>
        <w:rPr>
          <w:b/>
          <w:sz w:val="28"/>
          <w:u w:val="single"/>
        </w:rPr>
      </w:pPr>
    </w:p>
    <w:p w14:paraId="3224B3F6" w14:textId="77777777" w:rsidR="00CE17E3" w:rsidRDefault="00CE17E3" w:rsidP="00214170">
      <w:pPr>
        <w:jc w:val="center"/>
      </w:pPr>
    </w:p>
    <w:p w14:paraId="4A16EC1D" w14:textId="4FBA9EAA" w:rsidR="00A07E6C" w:rsidRDefault="003E0C5C" w:rsidP="000610CE">
      <w:pPr>
        <w:jc w:val="both"/>
        <w:rPr>
          <w:rFonts w:ascii="Calibri" w:hAnsi="Calibri"/>
          <w:color w:val="000000"/>
          <w:shd w:val="clear" w:color="auto" w:fill="FFFFFF"/>
        </w:rPr>
      </w:pPr>
      <w:r w:rsidRPr="003E0C5C">
        <w:rPr>
          <w:b/>
        </w:rPr>
        <w:t xml:space="preserve">Dublin, London, </w:t>
      </w:r>
      <w:r w:rsidR="000B23A9">
        <w:rPr>
          <w:b/>
        </w:rPr>
        <w:t xml:space="preserve">16 April </w:t>
      </w:r>
      <w:r w:rsidR="00965F3D">
        <w:rPr>
          <w:b/>
        </w:rPr>
        <w:t>202</w:t>
      </w:r>
      <w:r w:rsidR="000B23A9">
        <w:rPr>
          <w:b/>
        </w:rPr>
        <w:t>5</w:t>
      </w:r>
      <w:r w:rsidR="007A195B">
        <w:rPr>
          <w:lang w:val="en-US"/>
        </w:rPr>
        <w:t xml:space="preserve"> | </w:t>
      </w:r>
      <w:proofErr w:type="spellStart"/>
      <w:r w:rsidR="00A07E6C" w:rsidRPr="00166AE4">
        <w:rPr>
          <w:lang w:val="en-US"/>
        </w:rPr>
        <w:t>Greencoat</w:t>
      </w:r>
      <w:proofErr w:type="spellEnd"/>
      <w:r w:rsidR="00A07E6C" w:rsidRPr="00166AE4">
        <w:rPr>
          <w:lang w:val="en-US"/>
        </w:rPr>
        <w:t xml:space="preserve"> Renewables</w:t>
      </w:r>
      <w:r w:rsidR="00A07E6C">
        <w:rPr>
          <w:lang w:val="en-US"/>
        </w:rPr>
        <w:t xml:space="preserve"> PLC (“</w:t>
      </w:r>
      <w:proofErr w:type="spellStart"/>
      <w:r w:rsidR="005038A2" w:rsidRPr="0031539F">
        <w:rPr>
          <w:b/>
          <w:bCs/>
          <w:lang w:val="en-US"/>
        </w:rPr>
        <w:t>Greencoat</w:t>
      </w:r>
      <w:proofErr w:type="spellEnd"/>
      <w:r w:rsidR="005038A2" w:rsidRPr="0031539F">
        <w:rPr>
          <w:b/>
          <w:bCs/>
          <w:lang w:val="en-US"/>
        </w:rPr>
        <w:t xml:space="preserve"> Renewables</w:t>
      </w:r>
      <w:r w:rsidR="00A07E6C">
        <w:rPr>
          <w:lang w:val="en-US"/>
        </w:rPr>
        <w:t>”</w:t>
      </w:r>
      <w:r w:rsidR="000359D3">
        <w:rPr>
          <w:lang w:val="en-US"/>
        </w:rPr>
        <w:t xml:space="preserve"> or the “</w:t>
      </w:r>
      <w:r w:rsidR="000359D3" w:rsidRPr="0031539F">
        <w:rPr>
          <w:b/>
          <w:bCs/>
          <w:lang w:val="en-US"/>
        </w:rPr>
        <w:t>Company</w:t>
      </w:r>
      <w:r w:rsidR="000359D3">
        <w:rPr>
          <w:lang w:val="en-US"/>
        </w:rPr>
        <w:t>”</w:t>
      </w:r>
      <w:r w:rsidR="00A07E6C">
        <w:rPr>
          <w:lang w:val="en-US"/>
        </w:rPr>
        <w:t>)</w:t>
      </w:r>
      <w:r w:rsidR="007A195B">
        <w:rPr>
          <w:lang w:val="en-US"/>
        </w:rPr>
        <w:t xml:space="preserve">, </w:t>
      </w:r>
      <w:r w:rsidR="00BA2A1C">
        <w:rPr>
          <w:rFonts w:ascii="Calibri" w:hAnsi="Calibri"/>
          <w:color w:val="000000"/>
          <w:shd w:val="clear" w:color="auto" w:fill="FFFFFF"/>
        </w:rPr>
        <w:t>announces that its Annual General Meeting (“</w:t>
      </w:r>
      <w:r w:rsidR="00BA2A1C" w:rsidRPr="0031539F">
        <w:rPr>
          <w:rFonts w:ascii="Calibri" w:hAnsi="Calibri"/>
          <w:b/>
          <w:bCs/>
          <w:color w:val="000000"/>
          <w:shd w:val="clear" w:color="auto" w:fill="FFFFFF"/>
        </w:rPr>
        <w:t>AGM</w:t>
      </w:r>
      <w:r w:rsidR="00BA2A1C">
        <w:rPr>
          <w:rFonts w:ascii="Calibri" w:hAnsi="Calibri"/>
          <w:color w:val="000000"/>
          <w:shd w:val="clear" w:color="auto" w:fill="FFFFFF"/>
        </w:rPr>
        <w:t xml:space="preserve">”) will be held at </w:t>
      </w:r>
      <w:r w:rsidR="0038770B" w:rsidRPr="0038770B">
        <w:rPr>
          <w:rFonts w:ascii="Calibri" w:hAnsi="Calibri"/>
          <w:color w:val="000000"/>
          <w:shd w:val="clear" w:color="auto" w:fill="FFFFFF"/>
        </w:rPr>
        <w:t>Davy House, 49 Dawson Street, Dublin, D02 PY05</w:t>
      </w:r>
      <w:r w:rsidR="004F6207">
        <w:rPr>
          <w:rFonts w:ascii="Calibri" w:hAnsi="Calibri"/>
          <w:color w:val="000000"/>
          <w:shd w:val="clear" w:color="auto" w:fill="FFFFFF"/>
        </w:rPr>
        <w:t>, Ireland</w:t>
      </w:r>
      <w:r w:rsidR="00661DFA">
        <w:rPr>
          <w:rFonts w:ascii="Calibri" w:hAnsi="Calibri"/>
          <w:color w:val="000000"/>
          <w:shd w:val="clear" w:color="auto" w:fill="FFFFFF"/>
        </w:rPr>
        <w:t xml:space="preserve"> at </w:t>
      </w:r>
      <w:r w:rsidR="00607D73">
        <w:rPr>
          <w:rFonts w:ascii="Calibri" w:hAnsi="Calibri"/>
          <w:color w:val="000000"/>
          <w:shd w:val="clear" w:color="auto" w:fill="FFFFFF"/>
        </w:rPr>
        <w:t>9.30</w:t>
      </w:r>
      <w:r w:rsidR="00CF7B38">
        <w:rPr>
          <w:rFonts w:ascii="Calibri" w:hAnsi="Calibri"/>
          <w:color w:val="000000"/>
          <w:shd w:val="clear" w:color="auto" w:fill="FFFFFF"/>
        </w:rPr>
        <w:t xml:space="preserve"> </w:t>
      </w:r>
      <w:r w:rsidR="004F6207">
        <w:rPr>
          <w:rFonts w:ascii="Calibri" w:hAnsi="Calibri"/>
          <w:color w:val="000000"/>
          <w:shd w:val="clear" w:color="auto" w:fill="FFFFFF"/>
        </w:rPr>
        <w:t>a</w:t>
      </w:r>
      <w:r w:rsidR="00661DFA">
        <w:rPr>
          <w:rFonts w:ascii="Calibri" w:hAnsi="Calibri"/>
          <w:color w:val="000000"/>
          <w:shd w:val="clear" w:color="auto" w:fill="FFFFFF"/>
        </w:rPr>
        <w:t xml:space="preserve">.m. on </w:t>
      </w:r>
      <w:r w:rsidR="0031539F">
        <w:rPr>
          <w:rFonts w:ascii="Calibri" w:hAnsi="Calibri"/>
          <w:color w:val="000000"/>
          <w:shd w:val="clear" w:color="auto" w:fill="FFFFFF"/>
        </w:rPr>
        <w:t xml:space="preserve">15 May </w:t>
      </w:r>
      <w:r w:rsidR="00661DFA">
        <w:rPr>
          <w:rFonts w:ascii="Calibri" w:hAnsi="Calibri"/>
          <w:color w:val="000000"/>
          <w:shd w:val="clear" w:color="auto" w:fill="FFFFFF"/>
        </w:rPr>
        <w:t>202</w:t>
      </w:r>
      <w:r w:rsidR="00AC45F7">
        <w:rPr>
          <w:rFonts w:ascii="Calibri" w:hAnsi="Calibri"/>
          <w:color w:val="000000"/>
          <w:shd w:val="clear" w:color="auto" w:fill="FFFFFF"/>
        </w:rPr>
        <w:t>5</w:t>
      </w:r>
      <w:r w:rsidR="00BA2A1C">
        <w:rPr>
          <w:rFonts w:ascii="Calibri" w:hAnsi="Calibri"/>
          <w:color w:val="000000"/>
          <w:shd w:val="clear" w:color="auto" w:fill="FFFFFF"/>
        </w:rPr>
        <w:t xml:space="preserve">. </w:t>
      </w:r>
    </w:p>
    <w:p w14:paraId="5ACCBCAF" w14:textId="77777777" w:rsidR="004F6207" w:rsidRDefault="004F6207" w:rsidP="000610CE">
      <w:pPr>
        <w:jc w:val="both"/>
        <w:rPr>
          <w:bCs/>
        </w:rPr>
      </w:pPr>
    </w:p>
    <w:p w14:paraId="7B6F7E5B" w14:textId="6025401C" w:rsidR="004F6207" w:rsidRDefault="00A35980" w:rsidP="000610CE">
      <w:pPr>
        <w:jc w:val="both"/>
        <w:rPr>
          <w:bCs/>
        </w:rPr>
      </w:pPr>
      <w:r>
        <w:rPr>
          <w:bCs/>
        </w:rPr>
        <w:t>F</w:t>
      </w:r>
      <w:r w:rsidRPr="00A35980">
        <w:rPr>
          <w:bCs/>
        </w:rPr>
        <w:t>or shareholders whose name appears on the register of members of the Company at the relevant record date</w:t>
      </w:r>
      <w:r>
        <w:rPr>
          <w:bCs/>
        </w:rPr>
        <w:t>, p</w:t>
      </w:r>
      <w:r w:rsidR="004F6207">
        <w:rPr>
          <w:bCs/>
        </w:rPr>
        <w:t xml:space="preserve">roxy </w:t>
      </w:r>
      <w:r>
        <w:rPr>
          <w:bCs/>
        </w:rPr>
        <w:t xml:space="preserve">votes </w:t>
      </w:r>
      <w:r w:rsidR="004F6207">
        <w:rPr>
          <w:bCs/>
        </w:rPr>
        <w:t>can be submitted in advance of the AGM by availing of one of the options set out in the notice of the AGM</w:t>
      </w:r>
      <w:r>
        <w:rPr>
          <w:bCs/>
        </w:rPr>
        <w:t>, being</w:t>
      </w:r>
      <w:r w:rsidR="004F6207">
        <w:rPr>
          <w:bCs/>
        </w:rPr>
        <w:t>:</w:t>
      </w:r>
    </w:p>
    <w:p w14:paraId="7F4F61C4" w14:textId="77777777" w:rsidR="004F6207" w:rsidRDefault="004F6207" w:rsidP="000610CE">
      <w:pPr>
        <w:jc w:val="both"/>
        <w:rPr>
          <w:bCs/>
        </w:rPr>
      </w:pPr>
    </w:p>
    <w:p w14:paraId="51DD801E" w14:textId="50770D46" w:rsidR="00A35980" w:rsidRDefault="004F6207" w:rsidP="000610CE">
      <w:pPr>
        <w:pStyle w:val="ListParagraph"/>
        <w:numPr>
          <w:ilvl w:val="0"/>
          <w:numId w:val="10"/>
        </w:numPr>
        <w:jc w:val="both"/>
        <w:rPr>
          <w:bCs/>
        </w:rPr>
      </w:pPr>
      <w:r w:rsidRPr="00A35980">
        <w:rPr>
          <w:bCs/>
        </w:rPr>
        <w:t xml:space="preserve">by post to the Registrars of the Company, </w:t>
      </w:r>
      <w:r w:rsidRPr="00A35980">
        <w:rPr>
          <w:bCs/>
          <w:lang w:val="en-IE"/>
        </w:rPr>
        <w:t xml:space="preserve">Computershare Investor Services (Ireland) Limited, 3100 Lake Drive, Citywest Business Campus, Dublin 24, D24 AK82, Ireland, so as to be received in any case no later than 48 hours before the time appointed for the </w:t>
      </w:r>
      <w:proofErr w:type="gramStart"/>
      <w:r w:rsidRPr="00A35980">
        <w:rPr>
          <w:bCs/>
          <w:lang w:val="en-IE"/>
        </w:rPr>
        <w:t>AGM</w:t>
      </w:r>
      <w:r w:rsidRPr="00A35980">
        <w:rPr>
          <w:bCs/>
        </w:rPr>
        <w:t>;</w:t>
      </w:r>
      <w:proofErr w:type="gramEnd"/>
      <w:r w:rsidR="00A35980" w:rsidRPr="00A35980">
        <w:rPr>
          <w:bCs/>
        </w:rPr>
        <w:t xml:space="preserve"> </w:t>
      </w:r>
    </w:p>
    <w:p w14:paraId="02451298" w14:textId="77777777" w:rsidR="00A35980" w:rsidRDefault="00A35980" w:rsidP="000610CE">
      <w:pPr>
        <w:pStyle w:val="ListParagraph"/>
        <w:jc w:val="both"/>
        <w:rPr>
          <w:bCs/>
        </w:rPr>
      </w:pPr>
    </w:p>
    <w:p w14:paraId="6159423C" w14:textId="77777777" w:rsidR="00A35980" w:rsidRDefault="004F6207" w:rsidP="000610CE">
      <w:pPr>
        <w:pStyle w:val="ListParagraph"/>
        <w:numPr>
          <w:ilvl w:val="0"/>
          <w:numId w:val="10"/>
        </w:numPr>
        <w:jc w:val="both"/>
        <w:rPr>
          <w:bCs/>
        </w:rPr>
      </w:pPr>
      <w:r w:rsidRPr="00A35980">
        <w:rPr>
          <w:bCs/>
        </w:rPr>
        <w:t xml:space="preserve">electronically by accessing </w:t>
      </w:r>
      <w:hyperlink r:id="rId10" w:history="1">
        <w:r w:rsidRPr="00A35980">
          <w:rPr>
            <w:rStyle w:val="Hyperlink"/>
            <w:bCs/>
            <w:lang w:val="en-IE"/>
          </w:rPr>
          <w:t>www.eproxyappointment.com</w:t>
        </w:r>
      </w:hyperlink>
      <w:r w:rsidRPr="00A35980">
        <w:rPr>
          <w:bCs/>
        </w:rPr>
        <w:t>;</w:t>
      </w:r>
      <w:r w:rsidR="00A35980" w:rsidRPr="00A35980">
        <w:rPr>
          <w:bCs/>
        </w:rPr>
        <w:t xml:space="preserve"> or </w:t>
      </w:r>
    </w:p>
    <w:p w14:paraId="384EE6EB" w14:textId="77777777" w:rsidR="00A35980" w:rsidRPr="00A35980" w:rsidRDefault="00A35980" w:rsidP="000610CE">
      <w:pPr>
        <w:pStyle w:val="ListParagraph"/>
        <w:jc w:val="both"/>
        <w:rPr>
          <w:bCs/>
        </w:rPr>
      </w:pPr>
    </w:p>
    <w:p w14:paraId="67A99764" w14:textId="15A42B43" w:rsidR="004F6207" w:rsidRDefault="00A35980" w:rsidP="000610CE">
      <w:pPr>
        <w:pStyle w:val="ListParagraph"/>
        <w:numPr>
          <w:ilvl w:val="0"/>
          <w:numId w:val="10"/>
        </w:numPr>
        <w:jc w:val="both"/>
        <w:rPr>
          <w:bCs/>
        </w:rPr>
      </w:pPr>
      <w:r>
        <w:rPr>
          <w:bCs/>
        </w:rPr>
        <w:t xml:space="preserve">by </w:t>
      </w:r>
      <w:r w:rsidRPr="00A35980">
        <w:rPr>
          <w:bCs/>
        </w:rPr>
        <w:t>Euroclear Nominees Limited in respect of the shares registered in its name as nominee for Euroclear Bank SA/NV (“</w:t>
      </w:r>
      <w:r w:rsidRPr="0031539F">
        <w:rPr>
          <w:b/>
        </w:rPr>
        <w:t>Euroclear Bank</w:t>
      </w:r>
      <w:r w:rsidRPr="00A35980">
        <w:rPr>
          <w:bCs/>
        </w:rPr>
        <w:t>”)</w:t>
      </w:r>
      <w:r>
        <w:rPr>
          <w:bCs/>
        </w:rPr>
        <w:t xml:space="preserve">, </w:t>
      </w:r>
      <w:proofErr w:type="gramStart"/>
      <w:r w:rsidRPr="00A35980">
        <w:rPr>
          <w:bCs/>
        </w:rPr>
        <w:t>through the use of</w:t>
      </w:r>
      <w:proofErr w:type="gramEnd"/>
      <w:r w:rsidRPr="00A35980">
        <w:rPr>
          <w:bCs/>
        </w:rPr>
        <w:t xml:space="preserve"> a secured mechanism to exchange electronic messages as agreed by the Company with Euroclear Bank</w:t>
      </w:r>
      <w:r>
        <w:rPr>
          <w:bCs/>
        </w:rPr>
        <w:t>.</w:t>
      </w:r>
    </w:p>
    <w:p w14:paraId="79D95D2E" w14:textId="77777777" w:rsidR="00A35980" w:rsidRDefault="00A35980" w:rsidP="000610CE">
      <w:pPr>
        <w:pStyle w:val="ListParagraph"/>
        <w:jc w:val="both"/>
        <w:rPr>
          <w:bCs/>
        </w:rPr>
      </w:pPr>
    </w:p>
    <w:p w14:paraId="6E0BBC99" w14:textId="6BB9BD87" w:rsidR="00A35980" w:rsidRPr="00A35980" w:rsidRDefault="00A35980" w:rsidP="000610CE">
      <w:pPr>
        <w:jc w:val="both"/>
        <w:rPr>
          <w:bCs/>
        </w:rPr>
      </w:pPr>
      <w:r w:rsidRPr="00A35980">
        <w:rPr>
          <w:bCs/>
        </w:rPr>
        <w:t>Persons who hold their interests in ordinary shares as Belgian law rights through the Euroclear system or as CDIs through the CREST system, should consult with their stockbroker or other intermediary at the earliest opportunity for further information</w:t>
      </w:r>
      <w:r w:rsidR="000610CE">
        <w:rPr>
          <w:bCs/>
        </w:rPr>
        <w:t>.</w:t>
      </w:r>
    </w:p>
    <w:p w14:paraId="534F398F" w14:textId="570AD9CF" w:rsidR="00A35980" w:rsidRDefault="00A35980" w:rsidP="000610CE">
      <w:pPr>
        <w:jc w:val="both"/>
        <w:rPr>
          <w:bCs/>
        </w:rPr>
      </w:pPr>
    </w:p>
    <w:p w14:paraId="41E794F0" w14:textId="0A44A882" w:rsidR="004F6207" w:rsidRDefault="00A35980" w:rsidP="000610CE">
      <w:pPr>
        <w:jc w:val="both"/>
        <w:rPr>
          <w:bCs/>
        </w:rPr>
      </w:pPr>
      <w:r w:rsidRPr="00A35980">
        <w:rPr>
          <w:bCs/>
        </w:rPr>
        <w:t>For voting services offered by custodians holding Irish corporate securities directly with Euroclear Bank, please contact your custodian.</w:t>
      </w:r>
    </w:p>
    <w:p w14:paraId="16571253" w14:textId="77777777" w:rsidR="0093246A" w:rsidRDefault="0093246A" w:rsidP="000610CE">
      <w:pPr>
        <w:jc w:val="both"/>
        <w:rPr>
          <w:rFonts w:ascii="Calibri" w:hAnsi="Calibri"/>
          <w:color w:val="000000"/>
          <w:shd w:val="clear" w:color="auto" w:fill="FFFFFF"/>
        </w:rPr>
      </w:pPr>
    </w:p>
    <w:p w14:paraId="3E5CD65D" w14:textId="4F58B1F3" w:rsidR="00BA2A1C" w:rsidRDefault="00BA2A1C" w:rsidP="000610CE">
      <w:pPr>
        <w:jc w:val="both"/>
        <w:rPr>
          <w:rFonts w:ascii="Calibri" w:hAnsi="Calibri"/>
          <w:color w:val="000000"/>
          <w:shd w:val="clear" w:color="auto" w:fill="FFFFFF"/>
        </w:rPr>
      </w:pPr>
      <w:r>
        <w:rPr>
          <w:rFonts w:ascii="Calibri" w:hAnsi="Calibri"/>
          <w:color w:val="000000"/>
          <w:shd w:val="clear" w:color="auto" w:fill="FFFFFF"/>
        </w:rPr>
        <w:t>An electron</w:t>
      </w:r>
      <w:r w:rsidR="0079183C">
        <w:rPr>
          <w:rFonts w:ascii="Calibri" w:hAnsi="Calibri"/>
          <w:color w:val="000000"/>
          <w:shd w:val="clear" w:color="auto" w:fill="FFFFFF"/>
        </w:rPr>
        <w:t>ic copy of the Notice of AGM is</w:t>
      </w:r>
      <w:r>
        <w:rPr>
          <w:rFonts w:ascii="Calibri" w:hAnsi="Calibri"/>
          <w:color w:val="000000"/>
          <w:shd w:val="clear" w:color="auto" w:fill="FFFFFF"/>
        </w:rPr>
        <w:t xml:space="preserve"> available on the Company’s website </w:t>
      </w:r>
      <w:hyperlink r:id="rId11" w:history="1">
        <w:r w:rsidRPr="00A71E08">
          <w:rPr>
            <w:rFonts w:eastAsia="Times New Roman" w:cs="Times New Roman"/>
            <w:bCs/>
            <w:color w:val="0070C0"/>
            <w:u w:val="single"/>
            <w:lang w:eastAsia="en-GB"/>
          </w:rPr>
          <w:t>www.greencoat-renewables.com</w:t>
        </w:r>
      </w:hyperlink>
      <w:r>
        <w:rPr>
          <w:rFonts w:ascii="Calibri" w:hAnsi="Calibri"/>
          <w:color w:val="000000"/>
          <w:shd w:val="clear" w:color="auto" w:fill="FFFFFF"/>
        </w:rPr>
        <w:t xml:space="preserve">. </w:t>
      </w:r>
    </w:p>
    <w:p w14:paraId="1E896E13" w14:textId="1950A3E0" w:rsidR="00BA2A1C" w:rsidRDefault="00BA2A1C" w:rsidP="000610CE">
      <w:pPr>
        <w:jc w:val="both"/>
        <w:rPr>
          <w:rFonts w:ascii="Calibri" w:hAnsi="Calibri"/>
          <w:color w:val="000000"/>
          <w:shd w:val="clear" w:color="auto" w:fill="FFFFFF"/>
        </w:rPr>
      </w:pPr>
    </w:p>
    <w:p w14:paraId="616D59FB" w14:textId="1BCAC7E9" w:rsidR="00A07E6C" w:rsidRPr="000610CE" w:rsidRDefault="00BA2A1C" w:rsidP="000610CE">
      <w:pPr>
        <w:jc w:val="both"/>
        <w:rPr>
          <w:bCs/>
        </w:rPr>
      </w:pPr>
      <w:r>
        <w:rPr>
          <w:rFonts w:ascii="Calibri" w:hAnsi="Calibri"/>
          <w:color w:val="000000"/>
          <w:shd w:val="clear" w:color="auto" w:fill="FFFFFF"/>
        </w:rPr>
        <w:t xml:space="preserve">A copy of the Notice and Form of Proxy can be inspected at the National Storage Mechanism website at </w:t>
      </w:r>
      <w:hyperlink r:id="rId12" w:history="1">
        <w:r w:rsidR="004F6207">
          <w:rPr>
            <w:rStyle w:val="Hyperlink"/>
            <w:rFonts w:cs="Courier New"/>
          </w:rPr>
          <w:t>https://www.fca.org.uk/markets/primary-markets/regulatory-disclosures/national-storage-mechanism</w:t>
        </w:r>
      </w:hyperlink>
      <w:r w:rsidR="004F6207">
        <w:t xml:space="preserve">. </w:t>
      </w:r>
    </w:p>
    <w:p w14:paraId="6D7D66C2" w14:textId="77777777" w:rsidR="003E0C5C" w:rsidRDefault="003E0C5C" w:rsidP="000610CE">
      <w:pPr>
        <w:jc w:val="both"/>
        <w:rPr>
          <w:i/>
        </w:rPr>
      </w:pPr>
    </w:p>
    <w:p w14:paraId="47A72451" w14:textId="77777777" w:rsidR="004F6207" w:rsidRDefault="004F6207" w:rsidP="00A66482">
      <w:pPr>
        <w:pStyle w:val="ListParagraph"/>
        <w:numPr>
          <w:ilvl w:val="0"/>
          <w:numId w:val="9"/>
        </w:numPr>
        <w:jc w:val="center"/>
        <w:rPr>
          <w:b/>
        </w:rPr>
      </w:pPr>
      <w:r>
        <w:rPr>
          <w:b/>
        </w:rPr>
        <w:t>--- ENDS ---</w:t>
      </w:r>
    </w:p>
    <w:p w14:paraId="7229142F" w14:textId="77777777" w:rsidR="004F6207" w:rsidRDefault="004F6207" w:rsidP="000610CE">
      <w:pPr>
        <w:pStyle w:val="ListParagraph"/>
        <w:numPr>
          <w:ilvl w:val="0"/>
          <w:numId w:val="9"/>
        </w:numPr>
        <w:jc w:val="both"/>
      </w:pPr>
    </w:p>
    <w:p w14:paraId="2CF84A55" w14:textId="77777777" w:rsidR="004F6207" w:rsidRDefault="004F6207" w:rsidP="000610CE">
      <w:pPr>
        <w:pStyle w:val="ListParagraph"/>
        <w:numPr>
          <w:ilvl w:val="0"/>
          <w:numId w:val="9"/>
        </w:numPr>
        <w:jc w:val="both"/>
        <w:rPr>
          <w:bCs/>
        </w:rPr>
      </w:pPr>
      <w:r>
        <w:rPr>
          <w:bCs/>
        </w:rPr>
        <w:t>For further information on the Announcement, please contact:</w:t>
      </w:r>
    </w:p>
    <w:p w14:paraId="4C487113" w14:textId="77777777" w:rsidR="004F6207" w:rsidRDefault="004F6207" w:rsidP="000610CE">
      <w:pPr>
        <w:pStyle w:val="ListParagraph"/>
        <w:numPr>
          <w:ilvl w:val="0"/>
          <w:numId w:val="9"/>
        </w:numPr>
        <w:jc w:val="both"/>
        <w:rPr>
          <w:bCs/>
        </w:rPr>
      </w:pPr>
    </w:p>
    <w:tbl>
      <w:tblPr>
        <w:tblW w:w="10206" w:type="dxa"/>
        <w:tblCellSpacing w:w="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103"/>
        <w:gridCol w:w="754"/>
        <w:gridCol w:w="85"/>
        <w:gridCol w:w="85"/>
        <w:gridCol w:w="85"/>
        <w:gridCol w:w="2535"/>
        <w:gridCol w:w="1559"/>
      </w:tblGrid>
      <w:tr w:rsidR="00A002BE" w:rsidRPr="008A0D4B" w14:paraId="176B18F5" w14:textId="77777777" w:rsidTr="00925240">
        <w:trPr>
          <w:tblCellSpacing w:w="0" w:type="dxa"/>
        </w:trPr>
        <w:tc>
          <w:tcPr>
            <w:tcW w:w="5103" w:type="dxa"/>
            <w:shd w:val="clear" w:color="auto" w:fill="FFFFFF"/>
            <w:noWrap/>
            <w:tcMar>
              <w:top w:w="15" w:type="dxa"/>
              <w:left w:w="0" w:type="dxa"/>
              <w:bottom w:w="15" w:type="dxa"/>
              <w:right w:w="0" w:type="dxa"/>
            </w:tcMar>
            <w:vAlign w:val="bottom"/>
            <w:hideMark/>
          </w:tcPr>
          <w:p w14:paraId="694B94C2" w14:textId="77777777" w:rsidR="00A002BE" w:rsidRPr="00004FA0" w:rsidRDefault="00A002BE" w:rsidP="00925240">
            <w:pPr>
              <w:jc w:val="both"/>
              <w:rPr>
                <w:rFonts w:cstheme="minorHAnsi"/>
                <w:sz w:val="20"/>
                <w:szCs w:val="20"/>
              </w:rPr>
            </w:pPr>
            <w:r w:rsidRPr="00004FA0">
              <w:rPr>
                <w:rFonts w:cstheme="minorHAnsi"/>
                <w:b/>
                <w:sz w:val="20"/>
                <w:szCs w:val="20"/>
              </w:rPr>
              <w:t xml:space="preserve">Schroders </w:t>
            </w:r>
            <w:proofErr w:type="spellStart"/>
            <w:r w:rsidRPr="00004FA0">
              <w:rPr>
                <w:rFonts w:cstheme="minorHAnsi"/>
                <w:b/>
                <w:sz w:val="20"/>
                <w:szCs w:val="20"/>
              </w:rPr>
              <w:t>Greencoat</w:t>
            </w:r>
            <w:proofErr w:type="spellEnd"/>
            <w:r w:rsidRPr="00004FA0">
              <w:rPr>
                <w:rFonts w:cstheme="minorHAnsi"/>
                <w:b/>
                <w:sz w:val="20"/>
                <w:szCs w:val="20"/>
              </w:rPr>
              <w:t xml:space="preserve"> LLP (Investment</w:t>
            </w:r>
            <w:r w:rsidRPr="00004FA0">
              <w:rPr>
                <w:rFonts w:cstheme="minorHAnsi"/>
                <w:sz w:val="20"/>
                <w:szCs w:val="20"/>
              </w:rPr>
              <w:t xml:space="preserve"> </w:t>
            </w:r>
            <w:r w:rsidRPr="00004FA0">
              <w:rPr>
                <w:rFonts w:cstheme="minorHAnsi"/>
                <w:b/>
                <w:sz w:val="20"/>
                <w:szCs w:val="20"/>
              </w:rPr>
              <w:t>Manager)</w:t>
            </w:r>
          </w:p>
        </w:tc>
        <w:tc>
          <w:tcPr>
            <w:tcW w:w="754" w:type="dxa"/>
            <w:shd w:val="clear" w:color="auto" w:fill="FFFFFF"/>
            <w:vAlign w:val="center"/>
            <w:hideMark/>
          </w:tcPr>
          <w:p w14:paraId="1396B484" w14:textId="77777777" w:rsidR="00A002BE" w:rsidRPr="008A0D4B" w:rsidRDefault="00A002BE" w:rsidP="00925240">
            <w:pPr>
              <w:jc w:val="both"/>
              <w:rPr>
                <w:rFonts w:cstheme="minorHAnsi"/>
              </w:rPr>
            </w:pPr>
            <w:r w:rsidRPr="008A0D4B">
              <w:rPr>
                <w:rFonts w:cstheme="minorHAnsi"/>
              </w:rPr>
              <w:t> </w:t>
            </w:r>
          </w:p>
        </w:tc>
        <w:tc>
          <w:tcPr>
            <w:tcW w:w="85" w:type="dxa"/>
            <w:shd w:val="clear" w:color="auto" w:fill="FFFFFF"/>
            <w:vAlign w:val="center"/>
            <w:hideMark/>
          </w:tcPr>
          <w:p w14:paraId="1797DDDC" w14:textId="77777777" w:rsidR="00A002BE" w:rsidRPr="008A0D4B" w:rsidRDefault="00A002BE" w:rsidP="00925240">
            <w:pPr>
              <w:jc w:val="both"/>
              <w:rPr>
                <w:rFonts w:cstheme="minorHAnsi"/>
              </w:rPr>
            </w:pPr>
            <w:r w:rsidRPr="008A0D4B">
              <w:rPr>
                <w:rFonts w:cstheme="minorHAnsi"/>
              </w:rPr>
              <w:t> </w:t>
            </w:r>
          </w:p>
        </w:tc>
        <w:tc>
          <w:tcPr>
            <w:tcW w:w="85" w:type="dxa"/>
            <w:shd w:val="clear" w:color="auto" w:fill="FFFFFF"/>
            <w:vAlign w:val="center"/>
            <w:hideMark/>
          </w:tcPr>
          <w:p w14:paraId="3826F359" w14:textId="77777777" w:rsidR="00A002BE" w:rsidRPr="008A0D4B" w:rsidRDefault="00A002BE" w:rsidP="00925240">
            <w:pPr>
              <w:jc w:val="both"/>
              <w:rPr>
                <w:rFonts w:cstheme="minorHAnsi"/>
              </w:rPr>
            </w:pPr>
            <w:r w:rsidRPr="008A0D4B">
              <w:rPr>
                <w:rFonts w:cstheme="minorHAnsi"/>
              </w:rPr>
              <w:t> </w:t>
            </w:r>
          </w:p>
        </w:tc>
        <w:tc>
          <w:tcPr>
            <w:tcW w:w="85" w:type="dxa"/>
            <w:shd w:val="clear" w:color="auto" w:fill="FFFFFF"/>
            <w:vAlign w:val="center"/>
            <w:hideMark/>
          </w:tcPr>
          <w:p w14:paraId="49528089" w14:textId="77777777" w:rsidR="00A002BE" w:rsidRPr="008A0D4B" w:rsidRDefault="00A002BE" w:rsidP="00925240">
            <w:pPr>
              <w:jc w:val="both"/>
              <w:rPr>
                <w:rFonts w:cstheme="minorHAnsi"/>
              </w:rPr>
            </w:pPr>
            <w:r w:rsidRPr="008A0D4B">
              <w:rPr>
                <w:rFonts w:cstheme="minorHAnsi"/>
              </w:rPr>
              <w:t> </w:t>
            </w:r>
          </w:p>
        </w:tc>
        <w:tc>
          <w:tcPr>
            <w:tcW w:w="2535" w:type="dxa"/>
            <w:shd w:val="clear" w:color="auto" w:fill="FFFFFF"/>
            <w:vAlign w:val="center"/>
            <w:hideMark/>
          </w:tcPr>
          <w:p w14:paraId="7D19F47D" w14:textId="77777777" w:rsidR="00A002BE" w:rsidRPr="008A0D4B" w:rsidRDefault="00A002BE" w:rsidP="00925240">
            <w:pPr>
              <w:jc w:val="both"/>
              <w:rPr>
                <w:rFonts w:cstheme="minorHAnsi"/>
              </w:rPr>
            </w:pPr>
          </w:p>
        </w:tc>
        <w:tc>
          <w:tcPr>
            <w:tcW w:w="1559" w:type="dxa"/>
            <w:shd w:val="clear" w:color="auto" w:fill="FFFFFF"/>
          </w:tcPr>
          <w:p w14:paraId="67C54EC0" w14:textId="77777777" w:rsidR="00A002BE" w:rsidRPr="008A0D4B" w:rsidRDefault="00A002BE" w:rsidP="00925240">
            <w:pPr>
              <w:jc w:val="both"/>
              <w:rPr>
                <w:rFonts w:cstheme="minorHAnsi"/>
              </w:rPr>
            </w:pPr>
          </w:p>
        </w:tc>
      </w:tr>
      <w:tr w:rsidR="00A002BE" w:rsidRPr="008A0D4B" w14:paraId="20ECB4BD" w14:textId="77777777" w:rsidTr="00925240">
        <w:trPr>
          <w:tblCellSpacing w:w="0" w:type="dxa"/>
        </w:trPr>
        <w:tc>
          <w:tcPr>
            <w:tcW w:w="5103" w:type="dxa"/>
            <w:shd w:val="clear" w:color="auto" w:fill="FFFFFF"/>
            <w:tcMar>
              <w:top w:w="15" w:type="dxa"/>
              <w:left w:w="0" w:type="dxa"/>
              <w:bottom w:w="15" w:type="dxa"/>
              <w:right w:w="15" w:type="dxa"/>
            </w:tcMar>
            <w:vAlign w:val="bottom"/>
            <w:hideMark/>
          </w:tcPr>
          <w:p w14:paraId="02A9367D" w14:textId="77777777" w:rsidR="00A002BE" w:rsidRPr="00004FA0" w:rsidRDefault="00A002BE" w:rsidP="00925240">
            <w:pPr>
              <w:jc w:val="both"/>
              <w:rPr>
                <w:rFonts w:cstheme="minorHAnsi"/>
                <w:sz w:val="20"/>
                <w:szCs w:val="20"/>
                <w:lang w:val="de-DE"/>
              </w:rPr>
            </w:pPr>
            <w:r w:rsidRPr="00004FA0">
              <w:rPr>
                <w:rFonts w:cstheme="minorHAnsi"/>
                <w:sz w:val="20"/>
                <w:szCs w:val="20"/>
                <w:lang w:val="de-DE"/>
              </w:rPr>
              <w:t>Bertrand Gautier</w:t>
            </w:r>
          </w:p>
          <w:p w14:paraId="309C17D4" w14:textId="77777777" w:rsidR="00A002BE" w:rsidRPr="00004FA0" w:rsidRDefault="00A002BE" w:rsidP="00925240">
            <w:pPr>
              <w:jc w:val="both"/>
              <w:rPr>
                <w:rFonts w:cstheme="minorHAnsi"/>
                <w:sz w:val="20"/>
                <w:szCs w:val="20"/>
                <w:lang w:val="de-DE"/>
              </w:rPr>
            </w:pPr>
            <w:r w:rsidRPr="00004FA0">
              <w:rPr>
                <w:rFonts w:cstheme="minorHAnsi"/>
                <w:sz w:val="20"/>
                <w:szCs w:val="20"/>
                <w:lang w:val="de-DE"/>
              </w:rPr>
              <w:t>Paul O’Donnell</w:t>
            </w:r>
          </w:p>
          <w:p w14:paraId="6F4ADF41" w14:textId="77777777" w:rsidR="00A002BE" w:rsidRPr="00004FA0" w:rsidRDefault="00A002BE" w:rsidP="00925240">
            <w:pPr>
              <w:jc w:val="both"/>
              <w:rPr>
                <w:rFonts w:cstheme="minorHAnsi"/>
                <w:sz w:val="20"/>
                <w:szCs w:val="20"/>
                <w:lang w:val="de-DE"/>
              </w:rPr>
            </w:pPr>
            <w:r w:rsidRPr="00004FA0">
              <w:rPr>
                <w:rFonts w:cstheme="minorHAnsi"/>
                <w:sz w:val="20"/>
                <w:szCs w:val="20"/>
                <w:lang w:val="de-DE"/>
              </w:rPr>
              <w:t>John Musk</w:t>
            </w:r>
          </w:p>
        </w:tc>
        <w:tc>
          <w:tcPr>
            <w:tcW w:w="754" w:type="dxa"/>
            <w:shd w:val="clear" w:color="auto" w:fill="FFFFFF"/>
            <w:vAlign w:val="center"/>
            <w:hideMark/>
          </w:tcPr>
          <w:p w14:paraId="2663BD25" w14:textId="77777777" w:rsidR="00A002BE" w:rsidRPr="004B49F7" w:rsidRDefault="00A002BE" w:rsidP="00925240">
            <w:pPr>
              <w:jc w:val="both"/>
              <w:rPr>
                <w:rFonts w:cstheme="minorHAnsi"/>
                <w:lang w:val="de-DE"/>
              </w:rPr>
            </w:pPr>
          </w:p>
        </w:tc>
        <w:tc>
          <w:tcPr>
            <w:tcW w:w="85" w:type="dxa"/>
            <w:shd w:val="clear" w:color="auto" w:fill="FFFFFF"/>
            <w:vAlign w:val="center"/>
            <w:hideMark/>
          </w:tcPr>
          <w:p w14:paraId="5B5C0A15" w14:textId="77777777" w:rsidR="00A002BE" w:rsidRPr="004B49F7" w:rsidRDefault="00A002BE" w:rsidP="00925240">
            <w:pPr>
              <w:jc w:val="both"/>
              <w:rPr>
                <w:rFonts w:cstheme="minorHAnsi"/>
                <w:lang w:val="de-DE"/>
              </w:rPr>
            </w:pPr>
          </w:p>
        </w:tc>
        <w:tc>
          <w:tcPr>
            <w:tcW w:w="85" w:type="dxa"/>
            <w:shd w:val="clear" w:color="auto" w:fill="FFFFFF"/>
            <w:vAlign w:val="center"/>
            <w:hideMark/>
          </w:tcPr>
          <w:p w14:paraId="74FBB911" w14:textId="77777777" w:rsidR="00A002BE" w:rsidRPr="004B49F7" w:rsidRDefault="00A002BE" w:rsidP="00925240">
            <w:pPr>
              <w:jc w:val="both"/>
              <w:rPr>
                <w:rFonts w:cstheme="minorHAnsi"/>
                <w:lang w:val="de-DE"/>
              </w:rPr>
            </w:pPr>
          </w:p>
        </w:tc>
        <w:tc>
          <w:tcPr>
            <w:tcW w:w="85" w:type="dxa"/>
            <w:shd w:val="clear" w:color="auto" w:fill="FFFFFF"/>
            <w:vAlign w:val="center"/>
            <w:hideMark/>
          </w:tcPr>
          <w:p w14:paraId="77F7C186" w14:textId="77777777" w:rsidR="00A002BE" w:rsidRPr="004B49F7" w:rsidRDefault="00A002BE" w:rsidP="00925240">
            <w:pPr>
              <w:jc w:val="both"/>
              <w:rPr>
                <w:rFonts w:cstheme="minorHAnsi"/>
                <w:lang w:val="de-DE"/>
              </w:rPr>
            </w:pPr>
          </w:p>
        </w:tc>
        <w:tc>
          <w:tcPr>
            <w:tcW w:w="2535" w:type="dxa"/>
            <w:shd w:val="clear" w:color="auto" w:fill="FFFFFF"/>
            <w:noWrap/>
            <w:tcMar>
              <w:top w:w="15" w:type="dxa"/>
              <w:left w:w="0" w:type="dxa"/>
              <w:bottom w:w="15" w:type="dxa"/>
              <w:right w:w="0" w:type="dxa"/>
            </w:tcMar>
            <w:vAlign w:val="bottom"/>
            <w:hideMark/>
          </w:tcPr>
          <w:p w14:paraId="76C837B9" w14:textId="77777777" w:rsidR="00A002BE" w:rsidRPr="00004FA0" w:rsidRDefault="00A002BE" w:rsidP="00925240">
            <w:pPr>
              <w:jc w:val="both"/>
              <w:rPr>
                <w:rFonts w:cstheme="minorHAnsi"/>
                <w:sz w:val="20"/>
                <w:szCs w:val="20"/>
              </w:rPr>
            </w:pPr>
            <w:r w:rsidRPr="00004FA0">
              <w:rPr>
                <w:rFonts w:cstheme="minorHAnsi"/>
                <w:sz w:val="20"/>
                <w:szCs w:val="20"/>
              </w:rPr>
              <w:t>+44 20 7832 9400</w:t>
            </w:r>
          </w:p>
        </w:tc>
        <w:tc>
          <w:tcPr>
            <w:tcW w:w="1559" w:type="dxa"/>
            <w:shd w:val="clear" w:color="auto" w:fill="FFFFFF"/>
          </w:tcPr>
          <w:p w14:paraId="7A0EB2C2" w14:textId="77777777" w:rsidR="00A002BE" w:rsidRPr="00004FA0" w:rsidRDefault="00A002BE" w:rsidP="00925240">
            <w:pPr>
              <w:jc w:val="both"/>
              <w:rPr>
                <w:rFonts w:cstheme="minorHAnsi"/>
              </w:rPr>
            </w:pPr>
          </w:p>
        </w:tc>
      </w:tr>
      <w:tr w:rsidR="00A002BE" w:rsidRPr="008A0D4B" w14:paraId="61D38A2E" w14:textId="77777777" w:rsidTr="00925240">
        <w:trPr>
          <w:tblCellSpacing w:w="0" w:type="dxa"/>
        </w:trPr>
        <w:tc>
          <w:tcPr>
            <w:tcW w:w="5103" w:type="dxa"/>
            <w:shd w:val="clear" w:color="auto" w:fill="FFFFFF"/>
            <w:vAlign w:val="bottom"/>
            <w:hideMark/>
          </w:tcPr>
          <w:p w14:paraId="33DE7EAB" w14:textId="77777777" w:rsidR="00A002BE" w:rsidRPr="00004FA0" w:rsidRDefault="00A002BE" w:rsidP="00925240">
            <w:pPr>
              <w:jc w:val="both"/>
              <w:rPr>
                <w:rFonts w:cstheme="minorHAnsi"/>
                <w:b/>
                <w:sz w:val="20"/>
                <w:szCs w:val="20"/>
              </w:rPr>
            </w:pPr>
          </w:p>
          <w:p w14:paraId="79AE2EF3" w14:textId="77777777" w:rsidR="00A002BE" w:rsidRPr="00004FA0" w:rsidRDefault="00A002BE" w:rsidP="00925240">
            <w:pPr>
              <w:jc w:val="both"/>
              <w:rPr>
                <w:rFonts w:cstheme="minorHAnsi"/>
                <w:sz w:val="20"/>
                <w:szCs w:val="20"/>
              </w:rPr>
            </w:pPr>
            <w:r w:rsidRPr="00004FA0">
              <w:rPr>
                <w:rFonts w:cstheme="minorHAnsi"/>
                <w:b/>
                <w:sz w:val="20"/>
                <w:szCs w:val="20"/>
              </w:rPr>
              <w:t>FTI Consulting (Investor Relations &amp; Media)</w:t>
            </w:r>
          </w:p>
        </w:tc>
        <w:tc>
          <w:tcPr>
            <w:tcW w:w="754" w:type="dxa"/>
            <w:shd w:val="clear" w:color="auto" w:fill="FFFFFF"/>
            <w:vAlign w:val="center"/>
            <w:hideMark/>
          </w:tcPr>
          <w:p w14:paraId="2A4C0F66" w14:textId="77777777" w:rsidR="00A002BE" w:rsidRPr="008A0D4B" w:rsidRDefault="00A002BE" w:rsidP="00925240">
            <w:pPr>
              <w:jc w:val="both"/>
              <w:rPr>
                <w:rFonts w:cstheme="minorHAnsi"/>
              </w:rPr>
            </w:pPr>
          </w:p>
        </w:tc>
        <w:tc>
          <w:tcPr>
            <w:tcW w:w="85" w:type="dxa"/>
            <w:shd w:val="clear" w:color="auto" w:fill="FFFFFF"/>
            <w:vAlign w:val="center"/>
            <w:hideMark/>
          </w:tcPr>
          <w:p w14:paraId="42F77DEB" w14:textId="77777777" w:rsidR="00A002BE" w:rsidRPr="008A0D4B" w:rsidRDefault="00A002BE" w:rsidP="00925240">
            <w:pPr>
              <w:jc w:val="both"/>
              <w:rPr>
                <w:rFonts w:cstheme="minorHAnsi"/>
              </w:rPr>
            </w:pPr>
          </w:p>
        </w:tc>
        <w:tc>
          <w:tcPr>
            <w:tcW w:w="85" w:type="dxa"/>
            <w:shd w:val="clear" w:color="auto" w:fill="FFFFFF"/>
            <w:vAlign w:val="center"/>
            <w:hideMark/>
          </w:tcPr>
          <w:p w14:paraId="2BA66D40" w14:textId="77777777" w:rsidR="00A002BE" w:rsidRPr="008A0D4B" w:rsidRDefault="00A002BE" w:rsidP="00925240">
            <w:pPr>
              <w:jc w:val="both"/>
              <w:rPr>
                <w:rFonts w:cstheme="minorHAnsi"/>
              </w:rPr>
            </w:pPr>
          </w:p>
        </w:tc>
        <w:tc>
          <w:tcPr>
            <w:tcW w:w="85" w:type="dxa"/>
            <w:shd w:val="clear" w:color="auto" w:fill="FFFFFF"/>
            <w:vAlign w:val="center"/>
            <w:hideMark/>
          </w:tcPr>
          <w:p w14:paraId="2AB9F1AA" w14:textId="77777777" w:rsidR="00A002BE" w:rsidRPr="008A0D4B" w:rsidRDefault="00A002BE" w:rsidP="00925240">
            <w:pPr>
              <w:jc w:val="both"/>
              <w:rPr>
                <w:rFonts w:cstheme="minorHAnsi"/>
              </w:rPr>
            </w:pPr>
          </w:p>
        </w:tc>
        <w:tc>
          <w:tcPr>
            <w:tcW w:w="2535" w:type="dxa"/>
            <w:shd w:val="clear" w:color="auto" w:fill="FFFFFF"/>
            <w:vAlign w:val="center"/>
            <w:hideMark/>
          </w:tcPr>
          <w:p w14:paraId="3A78D030" w14:textId="77777777" w:rsidR="00A002BE" w:rsidRPr="00004FA0" w:rsidRDefault="00A002BE" w:rsidP="00925240">
            <w:pPr>
              <w:jc w:val="both"/>
              <w:rPr>
                <w:rFonts w:cstheme="minorHAnsi"/>
                <w:sz w:val="20"/>
                <w:szCs w:val="20"/>
              </w:rPr>
            </w:pPr>
          </w:p>
          <w:p w14:paraId="47D79B93" w14:textId="77777777" w:rsidR="00A002BE" w:rsidRPr="00004FA0" w:rsidRDefault="00A002BE" w:rsidP="00925240">
            <w:pPr>
              <w:jc w:val="both"/>
              <w:rPr>
                <w:rFonts w:cstheme="minorHAnsi"/>
                <w:sz w:val="20"/>
                <w:szCs w:val="20"/>
              </w:rPr>
            </w:pPr>
          </w:p>
        </w:tc>
        <w:tc>
          <w:tcPr>
            <w:tcW w:w="1559" w:type="dxa"/>
            <w:shd w:val="clear" w:color="auto" w:fill="FFFFFF"/>
          </w:tcPr>
          <w:p w14:paraId="357843F3" w14:textId="77777777" w:rsidR="00A002BE" w:rsidRPr="00004FA0" w:rsidRDefault="00A002BE" w:rsidP="00925240">
            <w:pPr>
              <w:jc w:val="both"/>
              <w:rPr>
                <w:rFonts w:cstheme="minorHAnsi"/>
              </w:rPr>
            </w:pPr>
          </w:p>
        </w:tc>
      </w:tr>
      <w:tr w:rsidR="00A002BE" w:rsidRPr="008A0D4B" w14:paraId="0C6EA3EE" w14:textId="77777777" w:rsidTr="00925240">
        <w:trPr>
          <w:tblCellSpacing w:w="0" w:type="dxa"/>
        </w:trPr>
        <w:tc>
          <w:tcPr>
            <w:tcW w:w="5103" w:type="dxa"/>
            <w:shd w:val="clear" w:color="auto" w:fill="FFFFFF"/>
            <w:noWrap/>
            <w:tcMar>
              <w:top w:w="15" w:type="dxa"/>
              <w:left w:w="0" w:type="dxa"/>
              <w:bottom w:w="15" w:type="dxa"/>
              <w:right w:w="0" w:type="dxa"/>
            </w:tcMar>
            <w:vAlign w:val="bottom"/>
            <w:hideMark/>
          </w:tcPr>
          <w:p w14:paraId="0B68FCCD" w14:textId="77777777" w:rsidR="00A002BE" w:rsidRPr="00004FA0" w:rsidRDefault="00A002BE" w:rsidP="00925240">
            <w:pPr>
              <w:jc w:val="both"/>
              <w:rPr>
                <w:rFonts w:cstheme="minorHAnsi"/>
                <w:sz w:val="20"/>
                <w:szCs w:val="20"/>
              </w:rPr>
            </w:pPr>
            <w:r w:rsidRPr="00004FA0">
              <w:rPr>
                <w:rFonts w:cstheme="minorHAnsi"/>
                <w:sz w:val="20"/>
                <w:szCs w:val="20"/>
              </w:rPr>
              <w:lastRenderedPageBreak/>
              <w:t>Sam Moore</w:t>
            </w:r>
          </w:p>
        </w:tc>
        <w:tc>
          <w:tcPr>
            <w:tcW w:w="754" w:type="dxa"/>
            <w:shd w:val="clear" w:color="auto" w:fill="FFFFFF"/>
            <w:vAlign w:val="center"/>
            <w:hideMark/>
          </w:tcPr>
          <w:p w14:paraId="55B70223" w14:textId="77777777" w:rsidR="00A002BE" w:rsidRPr="008A0D4B" w:rsidRDefault="00A002BE" w:rsidP="00925240">
            <w:pPr>
              <w:jc w:val="both"/>
              <w:rPr>
                <w:rFonts w:cstheme="minorHAnsi"/>
              </w:rPr>
            </w:pPr>
          </w:p>
        </w:tc>
        <w:tc>
          <w:tcPr>
            <w:tcW w:w="85" w:type="dxa"/>
            <w:shd w:val="clear" w:color="auto" w:fill="FFFFFF"/>
            <w:vAlign w:val="center"/>
            <w:hideMark/>
          </w:tcPr>
          <w:p w14:paraId="68D9E55C" w14:textId="77777777" w:rsidR="00A002BE" w:rsidRPr="008A0D4B" w:rsidRDefault="00A002BE" w:rsidP="00925240">
            <w:pPr>
              <w:jc w:val="both"/>
              <w:rPr>
                <w:rFonts w:cstheme="minorHAnsi"/>
              </w:rPr>
            </w:pPr>
          </w:p>
        </w:tc>
        <w:tc>
          <w:tcPr>
            <w:tcW w:w="85" w:type="dxa"/>
            <w:shd w:val="clear" w:color="auto" w:fill="FFFFFF"/>
            <w:vAlign w:val="center"/>
            <w:hideMark/>
          </w:tcPr>
          <w:p w14:paraId="0A40E2CD" w14:textId="77777777" w:rsidR="00A002BE" w:rsidRPr="008A0D4B" w:rsidRDefault="00A002BE" w:rsidP="00925240">
            <w:pPr>
              <w:jc w:val="both"/>
              <w:rPr>
                <w:rFonts w:cstheme="minorHAnsi"/>
              </w:rPr>
            </w:pPr>
          </w:p>
        </w:tc>
        <w:tc>
          <w:tcPr>
            <w:tcW w:w="85" w:type="dxa"/>
            <w:shd w:val="clear" w:color="auto" w:fill="FFFFFF"/>
            <w:vAlign w:val="center"/>
            <w:hideMark/>
          </w:tcPr>
          <w:p w14:paraId="764986EB" w14:textId="77777777" w:rsidR="00A002BE" w:rsidRPr="008A0D4B" w:rsidRDefault="00A002BE" w:rsidP="00925240">
            <w:pPr>
              <w:jc w:val="both"/>
              <w:rPr>
                <w:rFonts w:cstheme="minorHAnsi"/>
              </w:rPr>
            </w:pPr>
          </w:p>
        </w:tc>
        <w:tc>
          <w:tcPr>
            <w:tcW w:w="2535" w:type="dxa"/>
            <w:shd w:val="clear" w:color="auto" w:fill="FFFFFF"/>
            <w:vAlign w:val="center"/>
            <w:hideMark/>
          </w:tcPr>
          <w:p w14:paraId="7DC9EB44" w14:textId="77777777" w:rsidR="00A002BE" w:rsidRPr="00004FA0" w:rsidRDefault="00A002BE" w:rsidP="00925240">
            <w:pPr>
              <w:jc w:val="both"/>
              <w:rPr>
                <w:rFonts w:cstheme="minorHAnsi"/>
                <w:sz w:val="20"/>
                <w:szCs w:val="20"/>
              </w:rPr>
            </w:pPr>
            <w:r w:rsidRPr="00004FA0">
              <w:rPr>
                <w:rFonts w:cstheme="minorHAnsi"/>
                <w:sz w:val="20"/>
                <w:szCs w:val="20"/>
              </w:rPr>
              <w:t>+353 87 737 9089</w:t>
            </w:r>
          </w:p>
        </w:tc>
        <w:tc>
          <w:tcPr>
            <w:tcW w:w="1559" w:type="dxa"/>
            <w:shd w:val="clear" w:color="auto" w:fill="FFFFFF"/>
          </w:tcPr>
          <w:p w14:paraId="46538052" w14:textId="77777777" w:rsidR="00A002BE" w:rsidRPr="00004FA0" w:rsidRDefault="00A002BE" w:rsidP="00925240">
            <w:pPr>
              <w:jc w:val="both"/>
              <w:rPr>
                <w:rFonts w:cstheme="minorHAnsi"/>
              </w:rPr>
            </w:pPr>
          </w:p>
        </w:tc>
      </w:tr>
      <w:tr w:rsidR="00A002BE" w:rsidRPr="008A0D4B" w14:paraId="60686C13" w14:textId="77777777" w:rsidTr="00925240">
        <w:trPr>
          <w:tblCellSpacing w:w="0" w:type="dxa"/>
        </w:trPr>
        <w:tc>
          <w:tcPr>
            <w:tcW w:w="5103" w:type="dxa"/>
            <w:shd w:val="clear" w:color="auto" w:fill="FFFFFF"/>
            <w:tcMar>
              <w:top w:w="15" w:type="dxa"/>
              <w:left w:w="0" w:type="dxa"/>
              <w:bottom w:w="15" w:type="dxa"/>
              <w:right w:w="15" w:type="dxa"/>
            </w:tcMar>
            <w:vAlign w:val="bottom"/>
            <w:hideMark/>
          </w:tcPr>
          <w:p w14:paraId="0B93A8A5" w14:textId="77777777" w:rsidR="00A002BE" w:rsidRPr="00004FA0" w:rsidRDefault="00A002BE" w:rsidP="00925240">
            <w:pPr>
              <w:jc w:val="both"/>
              <w:rPr>
                <w:rFonts w:cstheme="minorHAnsi"/>
                <w:sz w:val="20"/>
                <w:szCs w:val="20"/>
              </w:rPr>
            </w:pPr>
            <w:r w:rsidRPr="00004FA0">
              <w:rPr>
                <w:rFonts w:cstheme="minorHAnsi"/>
                <w:sz w:val="20"/>
                <w:szCs w:val="20"/>
              </w:rPr>
              <w:t xml:space="preserve">Aoife Mullen </w:t>
            </w:r>
          </w:p>
        </w:tc>
        <w:tc>
          <w:tcPr>
            <w:tcW w:w="754" w:type="dxa"/>
            <w:shd w:val="clear" w:color="auto" w:fill="FFFFFF"/>
            <w:vAlign w:val="center"/>
            <w:hideMark/>
          </w:tcPr>
          <w:p w14:paraId="3AB98AD9" w14:textId="77777777" w:rsidR="00A002BE" w:rsidRPr="008A0D4B" w:rsidRDefault="00A002BE" w:rsidP="00925240">
            <w:pPr>
              <w:jc w:val="both"/>
              <w:rPr>
                <w:rFonts w:cstheme="minorHAnsi"/>
              </w:rPr>
            </w:pPr>
          </w:p>
        </w:tc>
        <w:tc>
          <w:tcPr>
            <w:tcW w:w="85" w:type="dxa"/>
            <w:shd w:val="clear" w:color="auto" w:fill="FFFFFF"/>
            <w:vAlign w:val="center"/>
            <w:hideMark/>
          </w:tcPr>
          <w:p w14:paraId="7B10768D" w14:textId="77777777" w:rsidR="00A002BE" w:rsidRPr="008A0D4B" w:rsidRDefault="00A002BE" w:rsidP="00925240">
            <w:pPr>
              <w:jc w:val="both"/>
              <w:rPr>
                <w:rFonts w:cstheme="minorHAnsi"/>
              </w:rPr>
            </w:pPr>
          </w:p>
        </w:tc>
        <w:tc>
          <w:tcPr>
            <w:tcW w:w="85" w:type="dxa"/>
            <w:shd w:val="clear" w:color="auto" w:fill="FFFFFF"/>
            <w:vAlign w:val="center"/>
            <w:hideMark/>
          </w:tcPr>
          <w:p w14:paraId="41A1099E" w14:textId="77777777" w:rsidR="00A002BE" w:rsidRPr="008A0D4B" w:rsidRDefault="00A002BE" w:rsidP="00925240">
            <w:pPr>
              <w:jc w:val="both"/>
              <w:rPr>
                <w:rFonts w:cstheme="minorHAnsi"/>
              </w:rPr>
            </w:pPr>
          </w:p>
        </w:tc>
        <w:tc>
          <w:tcPr>
            <w:tcW w:w="85" w:type="dxa"/>
            <w:shd w:val="clear" w:color="auto" w:fill="FFFFFF"/>
            <w:vAlign w:val="center"/>
            <w:hideMark/>
          </w:tcPr>
          <w:p w14:paraId="59FAB8C1" w14:textId="77777777" w:rsidR="00A002BE" w:rsidRPr="008A0D4B" w:rsidRDefault="00A002BE" w:rsidP="00925240">
            <w:pPr>
              <w:jc w:val="both"/>
              <w:rPr>
                <w:rFonts w:cstheme="minorHAnsi"/>
              </w:rPr>
            </w:pPr>
          </w:p>
        </w:tc>
        <w:tc>
          <w:tcPr>
            <w:tcW w:w="2535" w:type="dxa"/>
            <w:shd w:val="clear" w:color="auto" w:fill="FFFFFF"/>
            <w:tcMar>
              <w:top w:w="15" w:type="dxa"/>
              <w:left w:w="0" w:type="dxa"/>
              <w:bottom w:w="15" w:type="dxa"/>
              <w:right w:w="15" w:type="dxa"/>
            </w:tcMar>
            <w:vAlign w:val="bottom"/>
            <w:hideMark/>
          </w:tcPr>
          <w:p w14:paraId="028EB376" w14:textId="77777777" w:rsidR="00A002BE" w:rsidRPr="00004FA0" w:rsidRDefault="00A002BE" w:rsidP="00925240">
            <w:pPr>
              <w:jc w:val="both"/>
              <w:rPr>
                <w:rFonts w:cstheme="minorHAnsi"/>
                <w:sz w:val="20"/>
                <w:szCs w:val="20"/>
              </w:rPr>
            </w:pPr>
            <w:hyperlink r:id="rId13" w:history="1">
              <w:r w:rsidRPr="00004FA0">
                <w:rPr>
                  <w:rStyle w:val="Hyperlink"/>
                  <w:rFonts w:eastAsiaTheme="majorEastAsia" w:cstheme="minorHAnsi"/>
                  <w:sz w:val="20"/>
                  <w:szCs w:val="20"/>
                </w:rPr>
                <w:t>greencoat@fticonsulting.com</w:t>
              </w:r>
            </w:hyperlink>
          </w:p>
        </w:tc>
        <w:tc>
          <w:tcPr>
            <w:tcW w:w="1559" w:type="dxa"/>
            <w:shd w:val="clear" w:color="auto" w:fill="FFFFFF"/>
          </w:tcPr>
          <w:p w14:paraId="37876632" w14:textId="77777777" w:rsidR="00A002BE" w:rsidRDefault="00A002BE" w:rsidP="00925240">
            <w:pPr>
              <w:jc w:val="both"/>
            </w:pPr>
          </w:p>
        </w:tc>
      </w:tr>
      <w:tr w:rsidR="00A002BE" w:rsidRPr="00245FA2" w14:paraId="0C1FAD8C" w14:textId="77777777" w:rsidTr="00925240">
        <w:trPr>
          <w:trHeight w:val="943"/>
          <w:tblCellSpacing w:w="0" w:type="dxa"/>
        </w:trPr>
        <w:tc>
          <w:tcPr>
            <w:tcW w:w="5103" w:type="dxa"/>
            <w:shd w:val="clear" w:color="auto" w:fill="FFFFFF"/>
            <w:tcMar>
              <w:top w:w="15" w:type="dxa"/>
              <w:left w:w="0" w:type="dxa"/>
              <w:bottom w:w="15" w:type="dxa"/>
              <w:right w:w="15" w:type="dxa"/>
            </w:tcMar>
            <w:vAlign w:val="bottom"/>
          </w:tcPr>
          <w:p w14:paraId="2106F291" w14:textId="77777777" w:rsidR="00A002BE" w:rsidRPr="00004FA0" w:rsidRDefault="00A002BE" w:rsidP="00925240">
            <w:pPr>
              <w:rPr>
                <w:rFonts w:cstheme="minorHAnsi"/>
                <w:b/>
                <w:sz w:val="20"/>
                <w:szCs w:val="20"/>
              </w:rPr>
            </w:pPr>
          </w:p>
          <w:p w14:paraId="22945A1A" w14:textId="77777777" w:rsidR="00A002BE" w:rsidRPr="00004FA0" w:rsidRDefault="00A002BE" w:rsidP="00925240">
            <w:pPr>
              <w:rPr>
                <w:rFonts w:cstheme="minorHAnsi"/>
                <w:b/>
                <w:sz w:val="20"/>
                <w:szCs w:val="20"/>
              </w:rPr>
            </w:pPr>
            <w:r w:rsidRPr="00004FA0">
              <w:rPr>
                <w:rFonts w:cstheme="minorHAnsi"/>
                <w:b/>
                <w:sz w:val="20"/>
                <w:szCs w:val="20"/>
              </w:rPr>
              <w:t>Barclays Bank PLC (Joint Broker)</w:t>
            </w:r>
            <w:r w:rsidRPr="00AC3BBF">
              <w:rPr>
                <w:sz w:val="20"/>
                <w:szCs w:val="20"/>
              </w:rPr>
              <w:t xml:space="preserve"> </w:t>
            </w:r>
          </w:p>
          <w:p w14:paraId="30515E7B" w14:textId="77777777" w:rsidR="00A002BE" w:rsidRPr="00004FA0" w:rsidRDefault="00A002BE" w:rsidP="00925240">
            <w:pPr>
              <w:rPr>
                <w:rFonts w:cstheme="minorHAnsi"/>
                <w:sz w:val="20"/>
                <w:szCs w:val="20"/>
                <w:lang w:val="fr-FR"/>
              </w:rPr>
            </w:pPr>
            <w:r w:rsidRPr="00004FA0">
              <w:rPr>
                <w:rFonts w:cstheme="minorHAnsi"/>
                <w:sz w:val="20"/>
                <w:szCs w:val="20"/>
                <w:lang w:val="fr-FR"/>
              </w:rPr>
              <w:t xml:space="preserve">Dion Di </w:t>
            </w:r>
            <w:proofErr w:type="spellStart"/>
            <w:r w:rsidRPr="00004FA0">
              <w:rPr>
                <w:rFonts w:cstheme="minorHAnsi"/>
                <w:sz w:val="20"/>
                <w:szCs w:val="20"/>
                <w:lang w:val="fr-FR"/>
              </w:rPr>
              <w:t>Miceli</w:t>
            </w:r>
            <w:proofErr w:type="spellEnd"/>
          </w:p>
          <w:p w14:paraId="3CA24FA7" w14:textId="77777777" w:rsidR="00A002BE" w:rsidRPr="00004FA0" w:rsidRDefault="00A002BE" w:rsidP="00925240">
            <w:pPr>
              <w:rPr>
                <w:rFonts w:cstheme="minorHAnsi"/>
                <w:sz w:val="20"/>
                <w:szCs w:val="20"/>
                <w:lang w:val="fr-FR"/>
              </w:rPr>
            </w:pPr>
            <w:r w:rsidRPr="00004FA0">
              <w:rPr>
                <w:rFonts w:cstheme="minorHAnsi"/>
                <w:sz w:val="20"/>
                <w:szCs w:val="20"/>
                <w:lang w:val="fr-FR"/>
              </w:rPr>
              <w:t xml:space="preserve">Stuart </w:t>
            </w:r>
            <w:proofErr w:type="spellStart"/>
            <w:r w:rsidRPr="00004FA0">
              <w:rPr>
                <w:rFonts w:cstheme="minorHAnsi"/>
                <w:sz w:val="20"/>
                <w:szCs w:val="20"/>
                <w:lang w:val="fr-FR"/>
              </w:rPr>
              <w:t>Muress</w:t>
            </w:r>
            <w:proofErr w:type="spellEnd"/>
          </w:p>
          <w:p w14:paraId="39D691A2" w14:textId="77777777" w:rsidR="00A002BE" w:rsidRPr="00004FA0" w:rsidRDefault="00A002BE" w:rsidP="00925240">
            <w:pPr>
              <w:rPr>
                <w:rFonts w:cstheme="minorHAnsi"/>
                <w:sz w:val="20"/>
                <w:szCs w:val="20"/>
                <w:lang w:val="fr-FR"/>
              </w:rPr>
            </w:pPr>
            <w:r w:rsidRPr="00004FA0">
              <w:rPr>
                <w:rFonts w:cstheme="minorHAnsi"/>
                <w:sz w:val="20"/>
                <w:szCs w:val="20"/>
                <w:lang w:val="fr-FR"/>
              </w:rPr>
              <w:t>James Atkinson</w:t>
            </w:r>
          </w:p>
        </w:tc>
        <w:tc>
          <w:tcPr>
            <w:tcW w:w="754" w:type="dxa"/>
            <w:shd w:val="clear" w:color="auto" w:fill="FFFFFF"/>
            <w:vAlign w:val="center"/>
          </w:tcPr>
          <w:p w14:paraId="779DD721" w14:textId="77777777" w:rsidR="00A002BE" w:rsidRPr="00245FA2" w:rsidRDefault="00A002BE" w:rsidP="00925240">
            <w:pPr>
              <w:jc w:val="both"/>
              <w:rPr>
                <w:rFonts w:cstheme="minorHAnsi"/>
                <w:lang w:val="fr-FR"/>
              </w:rPr>
            </w:pPr>
          </w:p>
        </w:tc>
        <w:tc>
          <w:tcPr>
            <w:tcW w:w="85" w:type="dxa"/>
            <w:shd w:val="clear" w:color="auto" w:fill="FFFFFF"/>
            <w:vAlign w:val="center"/>
          </w:tcPr>
          <w:p w14:paraId="7D5300AD" w14:textId="77777777" w:rsidR="00A002BE" w:rsidRPr="00245FA2" w:rsidRDefault="00A002BE" w:rsidP="00925240">
            <w:pPr>
              <w:jc w:val="both"/>
              <w:rPr>
                <w:rFonts w:cstheme="minorHAnsi"/>
                <w:lang w:val="fr-FR"/>
              </w:rPr>
            </w:pPr>
          </w:p>
        </w:tc>
        <w:tc>
          <w:tcPr>
            <w:tcW w:w="85" w:type="dxa"/>
            <w:shd w:val="clear" w:color="auto" w:fill="FFFFFF"/>
            <w:vAlign w:val="center"/>
          </w:tcPr>
          <w:p w14:paraId="744DD811" w14:textId="77777777" w:rsidR="00A002BE" w:rsidRPr="00245FA2" w:rsidRDefault="00A002BE" w:rsidP="00925240">
            <w:pPr>
              <w:jc w:val="both"/>
              <w:rPr>
                <w:rFonts w:cstheme="minorHAnsi"/>
                <w:lang w:val="fr-FR"/>
              </w:rPr>
            </w:pPr>
          </w:p>
        </w:tc>
        <w:tc>
          <w:tcPr>
            <w:tcW w:w="85" w:type="dxa"/>
            <w:shd w:val="clear" w:color="auto" w:fill="FFFFFF"/>
            <w:vAlign w:val="center"/>
          </w:tcPr>
          <w:p w14:paraId="696701AE" w14:textId="77777777" w:rsidR="00A002BE" w:rsidRPr="00245FA2" w:rsidRDefault="00A002BE" w:rsidP="00925240">
            <w:pPr>
              <w:jc w:val="both"/>
              <w:rPr>
                <w:rFonts w:cstheme="minorHAnsi"/>
                <w:lang w:val="fr-FR"/>
              </w:rPr>
            </w:pPr>
          </w:p>
        </w:tc>
        <w:tc>
          <w:tcPr>
            <w:tcW w:w="2535" w:type="dxa"/>
            <w:shd w:val="clear" w:color="auto" w:fill="FFFFFF"/>
            <w:noWrap/>
            <w:tcMar>
              <w:top w:w="15" w:type="dxa"/>
              <w:left w:w="0" w:type="dxa"/>
              <w:bottom w:w="15" w:type="dxa"/>
              <w:right w:w="0" w:type="dxa"/>
            </w:tcMar>
          </w:tcPr>
          <w:p w14:paraId="2FB853A4" w14:textId="77777777" w:rsidR="00A002BE" w:rsidRPr="00004FA0" w:rsidRDefault="00A002BE" w:rsidP="00925240">
            <w:pPr>
              <w:jc w:val="both"/>
              <w:rPr>
                <w:rFonts w:cstheme="minorHAnsi"/>
                <w:sz w:val="20"/>
                <w:szCs w:val="20"/>
                <w:lang w:val="fr-FR"/>
              </w:rPr>
            </w:pPr>
          </w:p>
          <w:p w14:paraId="4D6D95D7" w14:textId="77777777" w:rsidR="00A002BE" w:rsidRPr="00004FA0" w:rsidRDefault="00A002BE" w:rsidP="00925240">
            <w:pPr>
              <w:jc w:val="both"/>
              <w:rPr>
                <w:rFonts w:cstheme="minorHAnsi"/>
                <w:sz w:val="20"/>
                <w:szCs w:val="20"/>
                <w:lang w:val="fr-FR"/>
              </w:rPr>
            </w:pPr>
          </w:p>
          <w:p w14:paraId="001A3C17" w14:textId="77777777" w:rsidR="00A002BE" w:rsidRPr="00004FA0" w:rsidRDefault="00A002BE" w:rsidP="00925240">
            <w:pPr>
              <w:jc w:val="both"/>
              <w:rPr>
                <w:rFonts w:cstheme="minorHAnsi"/>
                <w:sz w:val="20"/>
                <w:szCs w:val="20"/>
                <w:lang w:val="fr-FR"/>
              </w:rPr>
            </w:pPr>
            <w:r w:rsidRPr="00004FA0">
              <w:rPr>
                <w:rFonts w:cstheme="minorHAnsi"/>
                <w:sz w:val="20"/>
                <w:szCs w:val="20"/>
              </w:rPr>
              <w:t>+44 20 7623 2323</w:t>
            </w:r>
          </w:p>
        </w:tc>
        <w:tc>
          <w:tcPr>
            <w:tcW w:w="1559" w:type="dxa"/>
            <w:shd w:val="clear" w:color="auto" w:fill="FFFFFF"/>
          </w:tcPr>
          <w:p w14:paraId="097FEFD0" w14:textId="77777777" w:rsidR="00A002BE" w:rsidRPr="00004FA0" w:rsidRDefault="00A002BE" w:rsidP="00925240">
            <w:pPr>
              <w:jc w:val="both"/>
              <w:rPr>
                <w:rFonts w:cstheme="minorHAnsi"/>
                <w:lang w:val="fr-FR"/>
              </w:rPr>
            </w:pPr>
          </w:p>
        </w:tc>
      </w:tr>
      <w:tr w:rsidR="00A002BE" w:rsidRPr="008A0D4B" w14:paraId="4F6E1667" w14:textId="77777777" w:rsidTr="00925240">
        <w:trPr>
          <w:trHeight w:val="408"/>
          <w:tblCellSpacing w:w="0" w:type="dxa"/>
        </w:trPr>
        <w:tc>
          <w:tcPr>
            <w:tcW w:w="5103" w:type="dxa"/>
            <w:shd w:val="clear" w:color="auto" w:fill="FFFFFF"/>
            <w:tcMar>
              <w:top w:w="15" w:type="dxa"/>
              <w:left w:w="0" w:type="dxa"/>
              <w:bottom w:w="15" w:type="dxa"/>
              <w:right w:w="15" w:type="dxa"/>
            </w:tcMar>
            <w:vAlign w:val="bottom"/>
            <w:hideMark/>
          </w:tcPr>
          <w:p w14:paraId="36519171" w14:textId="77777777" w:rsidR="00A002BE" w:rsidRPr="00004FA0" w:rsidRDefault="00A002BE" w:rsidP="00925240">
            <w:pPr>
              <w:rPr>
                <w:rFonts w:cstheme="minorHAnsi"/>
                <w:sz w:val="20"/>
                <w:szCs w:val="20"/>
              </w:rPr>
            </w:pPr>
            <w:r w:rsidRPr="00004FA0">
              <w:rPr>
                <w:rFonts w:cstheme="minorHAnsi"/>
                <w:b/>
                <w:sz w:val="20"/>
                <w:szCs w:val="20"/>
              </w:rPr>
              <w:t>Davy (Broker, NOMAD and Euronext Growth</w:t>
            </w:r>
            <w:r w:rsidRPr="00004FA0">
              <w:rPr>
                <w:rFonts w:cstheme="minorHAnsi"/>
                <w:sz w:val="20"/>
                <w:szCs w:val="20"/>
              </w:rPr>
              <w:t xml:space="preserve"> </w:t>
            </w:r>
            <w:r w:rsidRPr="00004FA0">
              <w:rPr>
                <w:rFonts w:cstheme="minorHAnsi"/>
                <w:b/>
                <w:sz w:val="20"/>
                <w:szCs w:val="20"/>
              </w:rPr>
              <w:t>Listing Sponsor)</w:t>
            </w:r>
          </w:p>
          <w:p w14:paraId="72457278" w14:textId="77777777" w:rsidR="00A002BE" w:rsidRPr="00004FA0" w:rsidRDefault="00A002BE" w:rsidP="00925240">
            <w:pPr>
              <w:jc w:val="both"/>
              <w:rPr>
                <w:rFonts w:cstheme="minorHAnsi"/>
                <w:sz w:val="20"/>
                <w:szCs w:val="20"/>
              </w:rPr>
            </w:pPr>
            <w:r w:rsidRPr="00004FA0">
              <w:rPr>
                <w:rFonts w:cstheme="minorHAnsi"/>
                <w:sz w:val="20"/>
                <w:szCs w:val="20"/>
              </w:rPr>
              <w:t>Brian Garrahy</w:t>
            </w:r>
          </w:p>
          <w:p w14:paraId="6D455768" w14:textId="77777777" w:rsidR="00A002BE" w:rsidRPr="00004FA0" w:rsidRDefault="00A002BE" w:rsidP="00925240">
            <w:pPr>
              <w:jc w:val="both"/>
              <w:rPr>
                <w:rFonts w:cstheme="minorHAnsi"/>
                <w:sz w:val="20"/>
                <w:szCs w:val="20"/>
              </w:rPr>
            </w:pPr>
            <w:r w:rsidRPr="00004FA0">
              <w:rPr>
                <w:rFonts w:cstheme="minorHAnsi"/>
                <w:sz w:val="20"/>
                <w:szCs w:val="20"/>
              </w:rPr>
              <w:t>Ronan Veale</w:t>
            </w:r>
          </w:p>
        </w:tc>
        <w:tc>
          <w:tcPr>
            <w:tcW w:w="754" w:type="dxa"/>
            <w:shd w:val="clear" w:color="auto" w:fill="FFFFFF"/>
            <w:vAlign w:val="center"/>
            <w:hideMark/>
          </w:tcPr>
          <w:p w14:paraId="18372DB1" w14:textId="77777777" w:rsidR="00A002BE" w:rsidRPr="008A0D4B" w:rsidRDefault="00A002BE" w:rsidP="00925240">
            <w:pPr>
              <w:jc w:val="both"/>
              <w:rPr>
                <w:rFonts w:cstheme="minorHAnsi"/>
              </w:rPr>
            </w:pPr>
          </w:p>
        </w:tc>
        <w:tc>
          <w:tcPr>
            <w:tcW w:w="85" w:type="dxa"/>
            <w:shd w:val="clear" w:color="auto" w:fill="FFFFFF"/>
            <w:vAlign w:val="center"/>
            <w:hideMark/>
          </w:tcPr>
          <w:p w14:paraId="17E08AFD" w14:textId="77777777" w:rsidR="00A002BE" w:rsidRPr="008A0D4B" w:rsidRDefault="00A002BE" w:rsidP="00925240">
            <w:pPr>
              <w:jc w:val="both"/>
              <w:rPr>
                <w:rFonts w:cstheme="minorHAnsi"/>
              </w:rPr>
            </w:pPr>
          </w:p>
        </w:tc>
        <w:tc>
          <w:tcPr>
            <w:tcW w:w="85" w:type="dxa"/>
            <w:shd w:val="clear" w:color="auto" w:fill="FFFFFF"/>
            <w:vAlign w:val="center"/>
            <w:hideMark/>
          </w:tcPr>
          <w:p w14:paraId="1C40BB6B" w14:textId="77777777" w:rsidR="00A002BE" w:rsidRPr="008A0D4B" w:rsidRDefault="00A002BE" w:rsidP="00925240">
            <w:pPr>
              <w:jc w:val="both"/>
              <w:rPr>
                <w:rFonts w:cstheme="minorHAnsi"/>
              </w:rPr>
            </w:pPr>
          </w:p>
        </w:tc>
        <w:tc>
          <w:tcPr>
            <w:tcW w:w="85" w:type="dxa"/>
            <w:shd w:val="clear" w:color="auto" w:fill="FFFFFF"/>
            <w:vAlign w:val="center"/>
            <w:hideMark/>
          </w:tcPr>
          <w:p w14:paraId="7A62B17D" w14:textId="77777777" w:rsidR="00A002BE" w:rsidRPr="008A0D4B" w:rsidRDefault="00A002BE" w:rsidP="00925240">
            <w:pPr>
              <w:jc w:val="both"/>
              <w:rPr>
                <w:rFonts w:cstheme="minorHAnsi"/>
              </w:rPr>
            </w:pPr>
          </w:p>
        </w:tc>
        <w:tc>
          <w:tcPr>
            <w:tcW w:w="2535" w:type="dxa"/>
            <w:shd w:val="clear" w:color="auto" w:fill="FFFFFF"/>
            <w:noWrap/>
            <w:tcMar>
              <w:top w:w="15" w:type="dxa"/>
              <w:left w:w="0" w:type="dxa"/>
              <w:bottom w:w="15" w:type="dxa"/>
              <w:right w:w="0" w:type="dxa"/>
            </w:tcMar>
            <w:vAlign w:val="bottom"/>
            <w:hideMark/>
          </w:tcPr>
          <w:p w14:paraId="373FFC66" w14:textId="77777777" w:rsidR="00A002BE" w:rsidRPr="00004FA0" w:rsidRDefault="00A002BE" w:rsidP="00925240">
            <w:pPr>
              <w:jc w:val="both"/>
              <w:rPr>
                <w:rFonts w:cstheme="minorHAnsi"/>
                <w:sz w:val="20"/>
                <w:szCs w:val="20"/>
              </w:rPr>
            </w:pPr>
          </w:p>
          <w:p w14:paraId="2CC2B5CA" w14:textId="77777777" w:rsidR="00A002BE" w:rsidRPr="00004FA0" w:rsidRDefault="00A002BE" w:rsidP="00925240">
            <w:pPr>
              <w:jc w:val="both"/>
              <w:rPr>
                <w:rFonts w:cstheme="minorHAnsi"/>
                <w:sz w:val="20"/>
                <w:szCs w:val="20"/>
              </w:rPr>
            </w:pPr>
          </w:p>
          <w:p w14:paraId="44C4CCF7" w14:textId="77777777" w:rsidR="00A002BE" w:rsidRPr="00004FA0" w:rsidRDefault="00A002BE" w:rsidP="00925240">
            <w:pPr>
              <w:jc w:val="both"/>
              <w:rPr>
                <w:rFonts w:cstheme="minorHAnsi"/>
                <w:sz w:val="20"/>
                <w:szCs w:val="20"/>
              </w:rPr>
            </w:pPr>
            <w:r w:rsidRPr="00004FA0">
              <w:rPr>
                <w:rFonts w:cstheme="minorHAnsi"/>
                <w:sz w:val="20"/>
                <w:szCs w:val="20"/>
              </w:rPr>
              <w:t>+353 1 679 6363</w:t>
            </w:r>
          </w:p>
          <w:p w14:paraId="4CF7FD9D" w14:textId="77777777" w:rsidR="00A002BE" w:rsidRPr="00004FA0" w:rsidRDefault="00A002BE" w:rsidP="00925240">
            <w:pPr>
              <w:jc w:val="both"/>
              <w:rPr>
                <w:rFonts w:cstheme="minorHAnsi"/>
                <w:sz w:val="20"/>
                <w:szCs w:val="20"/>
              </w:rPr>
            </w:pPr>
          </w:p>
          <w:p w14:paraId="60C960BA" w14:textId="77777777" w:rsidR="00A002BE" w:rsidRPr="00004FA0" w:rsidRDefault="00A002BE" w:rsidP="00925240">
            <w:pPr>
              <w:jc w:val="both"/>
              <w:rPr>
                <w:rFonts w:cstheme="minorHAnsi"/>
                <w:sz w:val="20"/>
                <w:szCs w:val="20"/>
              </w:rPr>
            </w:pPr>
          </w:p>
        </w:tc>
        <w:tc>
          <w:tcPr>
            <w:tcW w:w="1559" w:type="dxa"/>
            <w:shd w:val="clear" w:color="auto" w:fill="FFFFFF"/>
          </w:tcPr>
          <w:p w14:paraId="2890A09B" w14:textId="77777777" w:rsidR="00A002BE" w:rsidRPr="00004FA0" w:rsidRDefault="00A002BE" w:rsidP="00925240">
            <w:pPr>
              <w:jc w:val="both"/>
              <w:rPr>
                <w:rFonts w:cstheme="minorHAnsi"/>
              </w:rPr>
            </w:pPr>
          </w:p>
        </w:tc>
      </w:tr>
      <w:tr w:rsidR="00A002BE" w:rsidRPr="00F8495F" w14:paraId="6FC98297" w14:textId="77777777" w:rsidTr="00925240">
        <w:trPr>
          <w:tblCellSpacing w:w="0" w:type="dxa"/>
        </w:trPr>
        <w:tc>
          <w:tcPr>
            <w:tcW w:w="5103" w:type="dxa"/>
            <w:shd w:val="clear" w:color="auto" w:fill="FFFFFF"/>
            <w:noWrap/>
            <w:tcMar>
              <w:top w:w="15" w:type="dxa"/>
              <w:left w:w="0" w:type="dxa"/>
              <w:bottom w:w="15" w:type="dxa"/>
              <w:right w:w="0" w:type="dxa"/>
            </w:tcMar>
            <w:vAlign w:val="bottom"/>
          </w:tcPr>
          <w:p w14:paraId="4D5E3AD2" w14:textId="77777777" w:rsidR="00A002BE" w:rsidRPr="00F8495F" w:rsidRDefault="00A002BE" w:rsidP="00925240">
            <w:pPr>
              <w:jc w:val="both"/>
              <w:rPr>
                <w:rFonts w:cstheme="minorHAnsi"/>
                <w:b/>
                <w:sz w:val="20"/>
                <w:szCs w:val="20"/>
              </w:rPr>
            </w:pPr>
          </w:p>
          <w:p w14:paraId="3303561E" w14:textId="77777777" w:rsidR="00A002BE" w:rsidRPr="00F8495F" w:rsidRDefault="00A002BE" w:rsidP="00925240">
            <w:pPr>
              <w:jc w:val="both"/>
              <w:rPr>
                <w:rFonts w:cstheme="minorHAnsi"/>
                <w:sz w:val="20"/>
                <w:szCs w:val="20"/>
              </w:rPr>
            </w:pPr>
            <w:r w:rsidRPr="00F8495F">
              <w:rPr>
                <w:rFonts w:cstheme="minorHAnsi"/>
                <w:b/>
                <w:sz w:val="20"/>
                <w:szCs w:val="20"/>
              </w:rPr>
              <w:t>RBC Capital Markets (Joint Broker)</w:t>
            </w:r>
          </w:p>
          <w:p w14:paraId="220B8FD9" w14:textId="77777777" w:rsidR="00A002BE" w:rsidRPr="00F8495F" w:rsidRDefault="00A002BE" w:rsidP="00925240">
            <w:pPr>
              <w:jc w:val="both"/>
              <w:rPr>
                <w:rFonts w:cstheme="minorHAnsi"/>
                <w:sz w:val="20"/>
                <w:szCs w:val="20"/>
              </w:rPr>
            </w:pPr>
            <w:r w:rsidRPr="00F8495F">
              <w:rPr>
                <w:rFonts w:cstheme="minorHAnsi"/>
                <w:sz w:val="20"/>
                <w:szCs w:val="20"/>
              </w:rPr>
              <w:t xml:space="preserve">Matthew </w:t>
            </w:r>
            <w:proofErr w:type="spellStart"/>
            <w:r w:rsidRPr="00F8495F">
              <w:rPr>
                <w:rFonts w:cstheme="minorHAnsi"/>
                <w:sz w:val="20"/>
                <w:szCs w:val="20"/>
              </w:rPr>
              <w:t>Coakes</w:t>
            </w:r>
            <w:proofErr w:type="spellEnd"/>
          </w:p>
          <w:p w14:paraId="309A2E3B" w14:textId="77777777" w:rsidR="00A002BE" w:rsidRPr="00F8495F" w:rsidRDefault="00A002BE" w:rsidP="00925240">
            <w:pPr>
              <w:jc w:val="both"/>
              <w:rPr>
                <w:rFonts w:cstheme="minorHAnsi"/>
                <w:sz w:val="20"/>
                <w:szCs w:val="20"/>
              </w:rPr>
            </w:pPr>
            <w:r w:rsidRPr="00F8495F">
              <w:rPr>
                <w:rFonts w:cstheme="minorHAnsi"/>
                <w:sz w:val="20"/>
                <w:szCs w:val="20"/>
              </w:rPr>
              <w:t>Elizabeth Evans</w:t>
            </w:r>
          </w:p>
        </w:tc>
        <w:tc>
          <w:tcPr>
            <w:tcW w:w="754" w:type="dxa"/>
            <w:shd w:val="clear" w:color="auto" w:fill="FFFFFF"/>
            <w:vAlign w:val="center"/>
            <w:hideMark/>
          </w:tcPr>
          <w:p w14:paraId="25EC6254" w14:textId="77777777" w:rsidR="00A002BE" w:rsidRPr="00F8495F" w:rsidRDefault="00A002BE" w:rsidP="00925240">
            <w:pPr>
              <w:jc w:val="both"/>
              <w:rPr>
                <w:rFonts w:cstheme="minorHAnsi"/>
                <w:sz w:val="20"/>
                <w:szCs w:val="20"/>
              </w:rPr>
            </w:pPr>
          </w:p>
        </w:tc>
        <w:tc>
          <w:tcPr>
            <w:tcW w:w="85" w:type="dxa"/>
            <w:shd w:val="clear" w:color="auto" w:fill="FFFFFF"/>
            <w:vAlign w:val="center"/>
            <w:hideMark/>
          </w:tcPr>
          <w:p w14:paraId="788502A2" w14:textId="77777777" w:rsidR="00A002BE" w:rsidRPr="00F8495F" w:rsidRDefault="00A002BE" w:rsidP="00925240">
            <w:pPr>
              <w:jc w:val="both"/>
              <w:rPr>
                <w:rFonts w:cstheme="minorHAnsi"/>
                <w:sz w:val="20"/>
                <w:szCs w:val="20"/>
              </w:rPr>
            </w:pPr>
          </w:p>
        </w:tc>
        <w:tc>
          <w:tcPr>
            <w:tcW w:w="85" w:type="dxa"/>
            <w:shd w:val="clear" w:color="auto" w:fill="FFFFFF"/>
            <w:vAlign w:val="center"/>
            <w:hideMark/>
          </w:tcPr>
          <w:p w14:paraId="21C3040E" w14:textId="77777777" w:rsidR="00A002BE" w:rsidRPr="00F8495F" w:rsidRDefault="00A002BE" w:rsidP="00925240">
            <w:pPr>
              <w:jc w:val="both"/>
              <w:rPr>
                <w:rFonts w:cstheme="minorHAnsi"/>
                <w:sz w:val="20"/>
                <w:szCs w:val="20"/>
              </w:rPr>
            </w:pPr>
          </w:p>
        </w:tc>
        <w:tc>
          <w:tcPr>
            <w:tcW w:w="85" w:type="dxa"/>
            <w:shd w:val="clear" w:color="auto" w:fill="FFFFFF"/>
            <w:vAlign w:val="center"/>
            <w:hideMark/>
          </w:tcPr>
          <w:p w14:paraId="517F42A9" w14:textId="77777777" w:rsidR="00A002BE" w:rsidRPr="00F8495F" w:rsidRDefault="00A002BE" w:rsidP="00925240">
            <w:pPr>
              <w:jc w:val="both"/>
              <w:rPr>
                <w:rFonts w:cstheme="minorHAnsi"/>
                <w:sz w:val="20"/>
                <w:szCs w:val="20"/>
              </w:rPr>
            </w:pPr>
          </w:p>
        </w:tc>
        <w:tc>
          <w:tcPr>
            <w:tcW w:w="2535" w:type="dxa"/>
            <w:shd w:val="clear" w:color="auto" w:fill="FFFFFF"/>
            <w:noWrap/>
            <w:tcMar>
              <w:top w:w="15" w:type="dxa"/>
              <w:left w:w="0" w:type="dxa"/>
              <w:bottom w:w="15" w:type="dxa"/>
              <w:right w:w="0" w:type="dxa"/>
            </w:tcMar>
            <w:vAlign w:val="bottom"/>
          </w:tcPr>
          <w:p w14:paraId="1A2D225E" w14:textId="77777777" w:rsidR="00A002BE" w:rsidRPr="00F8495F" w:rsidRDefault="00A002BE" w:rsidP="00925240">
            <w:pPr>
              <w:jc w:val="both"/>
              <w:rPr>
                <w:rFonts w:cstheme="minorHAnsi"/>
                <w:sz w:val="20"/>
                <w:szCs w:val="20"/>
              </w:rPr>
            </w:pPr>
          </w:p>
          <w:p w14:paraId="508C22E0" w14:textId="77777777" w:rsidR="00A002BE" w:rsidRPr="00F8495F" w:rsidRDefault="00A002BE" w:rsidP="00925240">
            <w:pPr>
              <w:jc w:val="both"/>
              <w:rPr>
                <w:rFonts w:cstheme="minorHAnsi"/>
                <w:sz w:val="20"/>
                <w:szCs w:val="20"/>
              </w:rPr>
            </w:pPr>
            <w:r w:rsidRPr="00F8495F">
              <w:rPr>
                <w:rFonts w:cstheme="minorHAnsi"/>
                <w:sz w:val="20"/>
                <w:szCs w:val="20"/>
              </w:rPr>
              <w:t>+44 20 7653 4000</w:t>
            </w:r>
          </w:p>
        </w:tc>
        <w:tc>
          <w:tcPr>
            <w:tcW w:w="1559" w:type="dxa"/>
            <w:shd w:val="clear" w:color="auto" w:fill="FFFFFF"/>
          </w:tcPr>
          <w:p w14:paraId="2B22C417" w14:textId="77777777" w:rsidR="00A002BE" w:rsidRPr="00F8495F" w:rsidRDefault="00A002BE" w:rsidP="00925240">
            <w:pPr>
              <w:jc w:val="both"/>
              <w:rPr>
                <w:rFonts w:cstheme="minorHAnsi"/>
                <w:sz w:val="20"/>
                <w:szCs w:val="20"/>
              </w:rPr>
            </w:pPr>
          </w:p>
        </w:tc>
      </w:tr>
    </w:tbl>
    <w:p w14:paraId="27DE5ABD" w14:textId="77777777" w:rsidR="004F6207" w:rsidRDefault="004F6207" w:rsidP="000610CE">
      <w:pPr>
        <w:pStyle w:val="ListParagraph"/>
        <w:numPr>
          <w:ilvl w:val="0"/>
          <w:numId w:val="9"/>
        </w:numPr>
        <w:jc w:val="both"/>
        <w:rPr>
          <w:rFonts w:ascii="Book Antiqua" w:hAnsi="Book Antiqua"/>
          <w:b/>
          <w:bCs/>
          <w:sz w:val="20"/>
          <w:szCs w:val="20"/>
        </w:rPr>
      </w:pPr>
    </w:p>
    <w:p w14:paraId="538918C0" w14:textId="77777777" w:rsidR="00AB44D4" w:rsidRPr="00F8495F" w:rsidRDefault="00AB44D4" w:rsidP="00AB44D4">
      <w:pPr>
        <w:pStyle w:val="ListParagraph"/>
        <w:numPr>
          <w:ilvl w:val="0"/>
          <w:numId w:val="9"/>
        </w:numPr>
        <w:jc w:val="both"/>
        <w:rPr>
          <w:b/>
          <w:bCs/>
          <w:sz w:val="22"/>
          <w:szCs w:val="22"/>
        </w:rPr>
      </w:pPr>
      <w:r w:rsidRPr="00F8495F">
        <w:rPr>
          <w:b/>
          <w:bCs/>
          <w:sz w:val="22"/>
          <w:szCs w:val="22"/>
        </w:rPr>
        <w:t xml:space="preserve">About </w:t>
      </w:r>
      <w:proofErr w:type="spellStart"/>
      <w:r w:rsidRPr="00F8495F">
        <w:rPr>
          <w:b/>
          <w:bCs/>
          <w:sz w:val="22"/>
          <w:szCs w:val="22"/>
        </w:rPr>
        <w:t>Greencoat</w:t>
      </w:r>
      <w:proofErr w:type="spellEnd"/>
      <w:r w:rsidRPr="00F8495F">
        <w:rPr>
          <w:b/>
          <w:bCs/>
          <w:sz w:val="22"/>
          <w:szCs w:val="22"/>
        </w:rPr>
        <w:t xml:space="preserve"> Renewables PLC</w:t>
      </w:r>
    </w:p>
    <w:p w14:paraId="4D876BE5" w14:textId="77777777" w:rsidR="00AB44D4" w:rsidRPr="00F8495F" w:rsidRDefault="00AB44D4" w:rsidP="00AB44D4">
      <w:pPr>
        <w:pStyle w:val="ListParagraph"/>
        <w:numPr>
          <w:ilvl w:val="0"/>
          <w:numId w:val="9"/>
        </w:numPr>
        <w:jc w:val="both"/>
        <w:rPr>
          <w:sz w:val="22"/>
          <w:szCs w:val="22"/>
        </w:rPr>
      </w:pPr>
      <w:proofErr w:type="spellStart"/>
      <w:r w:rsidRPr="00F8495F">
        <w:rPr>
          <w:sz w:val="22"/>
          <w:szCs w:val="22"/>
        </w:rPr>
        <w:t>Greencoat</w:t>
      </w:r>
      <w:proofErr w:type="spellEnd"/>
      <w:r w:rsidRPr="00F8495F">
        <w:rPr>
          <w:sz w:val="22"/>
          <w:szCs w:val="22"/>
        </w:rPr>
        <w:t xml:space="preserve"> Renewables PLC is an investor in euro-denominated renewable energy infrastructure assets. Initially focused solely on the acquisition and management of operating wind farms in Ireland, the Company is now also investing in wind and solar assets in other European countries with stable and robust renewable energy frameworks. It is managed by Schroders </w:t>
      </w:r>
      <w:proofErr w:type="spellStart"/>
      <w:r w:rsidRPr="00F8495F">
        <w:rPr>
          <w:sz w:val="22"/>
          <w:szCs w:val="22"/>
        </w:rPr>
        <w:t>Greencoat</w:t>
      </w:r>
      <w:proofErr w:type="spellEnd"/>
      <w:r w:rsidRPr="00F8495F">
        <w:rPr>
          <w:sz w:val="22"/>
          <w:szCs w:val="22"/>
        </w:rPr>
        <w:t xml:space="preserve"> LLP, an experienced investment manager in the listed renewable energy infrastructure sector.</w:t>
      </w:r>
    </w:p>
    <w:p w14:paraId="31E4AEEA" w14:textId="4E90D1AB" w:rsidR="003E0C5C" w:rsidRDefault="003E0C5C" w:rsidP="00BC3420"/>
    <w:sectPr w:rsidR="003E0C5C" w:rsidSect="00654007">
      <w:headerReference w:type="even" r:id="rId14"/>
      <w:headerReference w:type="default" r:id="rId15"/>
      <w:footerReference w:type="even" r:id="rId16"/>
      <w:footerReference w:type="default" r:id="rId17"/>
      <w:headerReference w:type="first" r:id="rId18"/>
      <w:footerReference w:type="first" r:id="rId1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C80A3" w14:textId="77777777" w:rsidR="009A0A61" w:rsidRDefault="009A0A61" w:rsidP="00EE5B35">
      <w:r>
        <w:separator/>
      </w:r>
    </w:p>
  </w:endnote>
  <w:endnote w:type="continuationSeparator" w:id="0">
    <w:p w14:paraId="3F9DF563" w14:textId="77777777" w:rsidR="009A0A61" w:rsidRDefault="009A0A61" w:rsidP="00EE5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F2AF" w14:textId="77777777" w:rsidR="001674CD" w:rsidRDefault="00167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0D09" w14:textId="77777777" w:rsidR="001674CD" w:rsidRDefault="001674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5B4C1" w14:textId="77777777" w:rsidR="001674CD" w:rsidRDefault="00167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301C1" w14:textId="77777777" w:rsidR="009A0A61" w:rsidRDefault="009A0A61" w:rsidP="00EE5B35">
      <w:r>
        <w:separator/>
      </w:r>
    </w:p>
  </w:footnote>
  <w:footnote w:type="continuationSeparator" w:id="0">
    <w:p w14:paraId="169AC286" w14:textId="77777777" w:rsidR="009A0A61" w:rsidRDefault="009A0A61" w:rsidP="00EE5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248A" w14:textId="77777777" w:rsidR="001674CD" w:rsidRDefault="001674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A300" w14:textId="3E29226E" w:rsidR="00A66482" w:rsidRDefault="00A66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13A6" w14:textId="77777777" w:rsidR="001674CD" w:rsidRDefault="001674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C3A47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Times New Roman"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Times New Roman"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601A4"/>
    <w:multiLevelType w:val="hybridMultilevel"/>
    <w:tmpl w:val="5C6E63D0"/>
    <w:lvl w:ilvl="0" w:tplc="DE7CFCB4">
      <w:start w:val="1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C2297"/>
    <w:multiLevelType w:val="hybridMultilevel"/>
    <w:tmpl w:val="50FE87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C323366"/>
    <w:multiLevelType w:val="hybridMultilevel"/>
    <w:tmpl w:val="C414B8A2"/>
    <w:lvl w:ilvl="0" w:tplc="00AC40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665B13"/>
    <w:multiLevelType w:val="hybridMultilevel"/>
    <w:tmpl w:val="76EEF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CE669A"/>
    <w:multiLevelType w:val="hybridMultilevel"/>
    <w:tmpl w:val="C97AC0C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B13049"/>
    <w:multiLevelType w:val="hybridMultilevel"/>
    <w:tmpl w:val="31C22B6A"/>
    <w:lvl w:ilvl="0" w:tplc="023639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591080"/>
    <w:multiLevelType w:val="hybridMultilevel"/>
    <w:tmpl w:val="4148B24E"/>
    <w:lvl w:ilvl="0" w:tplc="DE7CFCB4">
      <w:start w:val="1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4BA424A"/>
    <w:multiLevelType w:val="hybridMultilevel"/>
    <w:tmpl w:val="0A4A0704"/>
    <w:lvl w:ilvl="0" w:tplc="611C02BA">
      <w:numFmt w:val="bullet"/>
      <w:lvlText w:val="•"/>
      <w:lvlJc w:val="left"/>
      <w:pPr>
        <w:ind w:left="1080" w:hanging="720"/>
      </w:pPr>
      <w:rPr>
        <w:rFonts w:ascii="Book Antiqua" w:eastAsiaTheme="minorHAnsi" w:hAnsi="Book Antiqua"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80587375">
    <w:abstractNumId w:val="6"/>
  </w:num>
  <w:num w:numId="2" w16cid:durableId="1929076285">
    <w:abstractNumId w:val="7"/>
  </w:num>
  <w:num w:numId="3" w16cid:durableId="1594507919">
    <w:abstractNumId w:val="1"/>
  </w:num>
  <w:num w:numId="4" w16cid:durableId="154223786">
    <w:abstractNumId w:val="5"/>
  </w:num>
  <w:num w:numId="5" w16cid:durableId="961107625">
    <w:abstractNumId w:val="5"/>
  </w:num>
  <w:num w:numId="6" w16cid:durableId="2140875366">
    <w:abstractNumId w:val="3"/>
  </w:num>
  <w:num w:numId="7" w16cid:durableId="1261335934">
    <w:abstractNumId w:val="4"/>
  </w:num>
  <w:num w:numId="8" w16cid:durableId="1251891780">
    <w:abstractNumId w:val="8"/>
  </w:num>
  <w:num w:numId="9" w16cid:durableId="264657532">
    <w:abstractNumId w:val="0"/>
  </w:num>
  <w:num w:numId="10" w16cid:durableId="2093044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IE" w:vendorID="64" w:dllVersion="4096" w:nlCheck="1" w:checkStyle="0"/>
  <w:activeWritingStyle w:appName="MSWord" w:lang="fr-FR" w:vendorID="64" w:dllVersion="0" w:nlCheck="1" w:checkStyle="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7E3"/>
    <w:rsid w:val="000045E2"/>
    <w:rsid w:val="00016AC3"/>
    <w:rsid w:val="000359D3"/>
    <w:rsid w:val="000549E5"/>
    <w:rsid w:val="000610CE"/>
    <w:rsid w:val="00085377"/>
    <w:rsid w:val="00093CB5"/>
    <w:rsid w:val="00096C2C"/>
    <w:rsid w:val="000B23A9"/>
    <w:rsid w:val="000B7DA0"/>
    <w:rsid w:val="000C7EA4"/>
    <w:rsid w:val="000D20BD"/>
    <w:rsid w:val="000F4B38"/>
    <w:rsid w:val="0011625E"/>
    <w:rsid w:val="001316C7"/>
    <w:rsid w:val="00144F2D"/>
    <w:rsid w:val="001467F1"/>
    <w:rsid w:val="001674CD"/>
    <w:rsid w:val="0017072E"/>
    <w:rsid w:val="001B07B7"/>
    <w:rsid w:val="001B59CC"/>
    <w:rsid w:val="001C2715"/>
    <w:rsid w:val="001D0013"/>
    <w:rsid w:val="001E2127"/>
    <w:rsid w:val="001E7054"/>
    <w:rsid w:val="00214170"/>
    <w:rsid w:val="002710BB"/>
    <w:rsid w:val="00272371"/>
    <w:rsid w:val="0027447E"/>
    <w:rsid w:val="00293943"/>
    <w:rsid w:val="002A04FC"/>
    <w:rsid w:val="002B2F1D"/>
    <w:rsid w:val="002D6931"/>
    <w:rsid w:val="002F7C24"/>
    <w:rsid w:val="0031539F"/>
    <w:rsid w:val="0033131B"/>
    <w:rsid w:val="003556D3"/>
    <w:rsid w:val="0036171A"/>
    <w:rsid w:val="00370628"/>
    <w:rsid w:val="0037554B"/>
    <w:rsid w:val="0038770B"/>
    <w:rsid w:val="00392B88"/>
    <w:rsid w:val="00397349"/>
    <w:rsid w:val="003E0C5C"/>
    <w:rsid w:val="003E5B49"/>
    <w:rsid w:val="00406629"/>
    <w:rsid w:val="0040693B"/>
    <w:rsid w:val="00432458"/>
    <w:rsid w:val="004373ED"/>
    <w:rsid w:val="0045051A"/>
    <w:rsid w:val="00450BE9"/>
    <w:rsid w:val="004B5221"/>
    <w:rsid w:val="004C6F05"/>
    <w:rsid w:val="004D5813"/>
    <w:rsid w:val="004F6207"/>
    <w:rsid w:val="005038A2"/>
    <w:rsid w:val="00507B9F"/>
    <w:rsid w:val="00522E42"/>
    <w:rsid w:val="00526B94"/>
    <w:rsid w:val="00533B76"/>
    <w:rsid w:val="00566D93"/>
    <w:rsid w:val="00592BDB"/>
    <w:rsid w:val="005A020C"/>
    <w:rsid w:val="005A150C"/>
    <w:rsid w:val="005B17FF"/>
    <w:rsid w:val="005C6F21"/>
    <w:rsid w:val="005E4135"/>
    <w:rsid w:val="005E5389"/>
    <w:rsid w:val="0060620C"/>
    <w:rsid w:val="00607D73"/>
    <w:rsid w:val="00632C84"/>
    <w:rsid w:val="00635441"/>
    <w:rsid w:val="00654007"/>
    <w:rsid w:val="00661B92"/>
    <w:rsid w:val="00661DFA"/>
    <w:rsid w:val="00682F37"/>
    <w:rsid w:val="006B5FCE"/>
    <w:rsid w:val="006C6B6A"/>
    <w:rsid w:val="006E300C"/>
    <w:rsid w:val="006E5D0C"/>
    <w:rsid w:val="006F5653"/>
    <w:rsid w:val="007027B7"/>
    <w:rsid w:val="00725F36"/>
    <w:rsid w:val="00765DCE"/>
    <w:rsid w:val="0079183C"/>
    <w:rsid w:val="007A195B"/>
    <w:rsid w:val="007D3047"/>
    <w:rsid w:val="007D4441"/>
    <w:rsid w:val="00820964"/>
    <w:rsid w:val="00830A2B"/>
    <w:rsid w:val="00862BA6"/>
    <w:rsid w:val="008721E6"/>
    <w:rsid w:val="00882AD6"/>
    <w:rsid w:val="008A1A0B"/>
    <w:rsid w:val="008C3C3E"/>
    <w:rsid w:val="008C5349"/>
    <w:rsid w:val="008D28A1"/>
    <w:rsid w:val="008D47D8"/>
    <w:rsid w:val="008F21EF"/>
    <w:rsid w:val="0090434D"/>
    <w:rsid w:val="00911563"/>
    <w:rsid w:val="009178AD"/>
    <w:rsid w:val="0093246A"/>
    <w:rsid w:val="00933554"/>
    <w:rsid w:val="00962A07"/>
    <w:rsid w:val="009656AD"/>
    <w:rsid w:val="009658AC"/>
    <w:rsid w:val="00965F3D"/>
    <w:rsid w:val="009702E5"/>
    <w:rsid w:val="00970376"/>
    <w:rsid w:val="00971CA8"/>
    <w:rsid w:val="009A0A61"/>
    <w:rsid w:val="009A602B"/>
    <w:rsid w:val="009B3AE3"/>
    <w:rsid w:val="009C0914"/>
    <w:rsid w:val="009D03CD"/>
    <w:rsid w:val="009E0900"/>
    <w:rsid w:val="00A002BE"/>
    <w:rsid w:val="00A025E4"/>
    <w:rsid w:val="00A07E6C"/>
    <w:rsid w:val="00A10215"/>
    <w:rsid w:val="00A27843"/>
    <w:rsid w:val="00A3557C"/>
    <w:rsid w:val="00A35980"/>
    <w:rsid w:val="00A66482"/>
    <w:rsid w:val="00A71E08"/>
    <w:rsid w:val="00A927A4"/>
    <w:rsid w:val="00AB44D4"/>
    <w:rsid w:val="00AC45F7"/>
    <w:rsid w:val="00B008AE"/>
    <w:rsid w:val="00B06159"/>
    <w:rsid w:val="00B26483"/>
    <w:rsid w:val="00B43EBF"/>
    <w:rsid w:val="00B64EB7"/>
    <w:rsid w:val="00B66E7E"/>
    <w:rsid w:val="00B7040C"/>
    <w:rsid w:val="00BA2A1C"/>
    <w:rsid w:val="00BB22CC"/>
    <w:rsid w:val="00BC0DBD"/>
    <w:rsid w:val="00BC3420"/>
    <w:rsid w:val="00BD606E"/>
    <w:rsid w:val="00C02501"/>
    <w:rsid w:val="00C04915"/>
    <w:rsid w:val="00C45B2B"/>
    <w:rsid w:val="00C46E2C"/>
    <w:rsid w:val="00C6198D"/>
    <w:rsid w:val="00C830DE"/>
    <w:rsid w:val="00CD602B"/>
    <w:rsid w:val="00CD6690"/>
    <w:rsid w:val="00CD7AC4"/>
    <w:rsid w:val="00CE17E3"/>
    <w:rsid w:val="00CF7B38"/>
    <w:rsid w:val="00D211C3"/>
    <w:rsid w:val="00D5061E"/>
    <w:rsid w:val="00D56EFA"/>
    <w:rsid w:val="00D855A4"/>
    <w:rsid w:val="00D91B81"/>
    <w:rsid w:val="00DA2888"/>
    <w:rsid w:val="00DA5A44"/>
    <w:rsid w:val="00DB420B"/>
    <w:rsid w:val="00E00263"/>
    <w:rsid w:val="00E1340F"/>
    <w:rsid w:val="00E24116"/>
    <w:rsid w:val="00E8387A"/>
    <w:rsid w:val="00E979CB"/>
    <w:rsid w:val="00EC1931"/>
    <w:rsid w:val="00EC1B2D"/>
    <w:rsid w:val="00EE5B35"/>
    <w:rsid w:val="00F0264F"/>
    <w:rsid w:val="00F24AA1"/>
    <w:rsid w:val="00F73734"/>
    <w:rsid w:val="00F76E3C"/>
    <w:rsid w:val="00F8520E"/>
    <w:rsid w:val="00FA4C84"/>
    <w:rsid w:val="00FD287F"/>
    <w:rsid w:val="00FF51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CB7D3A5"/>
  <w15:docId w15:val="{C5CCF28C-4F30-4056-94F0-2650900BD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D03CD"/>
    <w:pPr>
      <w:ind w:left="720"/>
      <w:contextualSpacing/>
    </w:pPr>
  </w:style>
  <w:style w:type="character" w:styleId="Hyperlink">
    <w:name w:val="Hyperlink"/>
    <w:basedOn w:val="DefaultParagraphFont"/>
    <w:uiPriority w:val="99"/>
    <w:unhideWhenUsed/>
    <w:rsid w:val="003E0C5C"/>
    <w:rPr>
      <w:color w:val="0563C1" w:themeColor="hyperlink"/>
      <w:u w:val="single"/>
    </w:rPr>
  </w:style>
  <w:style w:type="paragraph" w:styleId="BalloonText">
    <w:name w:val="Balloon Text"/>
    <w:basedOn w:val="Normal"/>
    <w:link w:val="BalloonTextChar"/>
    <w:uiPriority w:val="99"/>
    <w:semiHidden/>
    <w:unhideWhenUsed/>
    <w:rsid w:val="00EC19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931"/>
    <w:rPr>
      <w:rFonts w:ascii="Segoe UI" w:hAnsi="Segoe UI" w:cs="Segoe UI"/>
      <w:sz w:val="18"/>
      <w:szCs w:val="18"/>
    </w:rPr>
  </w:style>
  <w:style w:type="paragraph" w:styleId="Header">
    <w:name w:val="header"/>
    <w:basedOn w:val="Normal"/>
    <w:link w:val="HeaderChar"/>
    <w:uiPriority w:val="99"/>
    <w:unhideWhenUsed/>
    <w:rsid w:val="00EE5B35"/>
    <w:pPr>
      <w:tabs>
        <w:tab w:val="center" w:pos="4513"/>
        <w:tab w:val="right" w:pos="9026"/>
      </w:tabs>
    </w:pPr>
  </w:style>
  <w:style w:type="character" w:customStyle="1" w:styleId="HeaderChar">
    <w:name w:val="Header Char"/>
    <w:basedOn w:val="DefaultParagraphFont"/>
    <w:link w:val="Header"/>
    <w:uiPriority w:val="99"/>
    <w:rsid w:val="00EE5B35"/>
  </w:style>
  <w:style w:type="paragraph" w:styleId="Footer">
    <w:name w:val="footer"/>
    <w:basedOn w:val="Normal"/>
    <w:link w:val="FooterChar"/>
    <w:uiPriority w:val="99"/>
    <w:unhideWhenUsed/>
    <w:rsid w:val="00EE5B35"/>
    <w:pPr>
      <w:tabs>
        <w:tab w:val="center" w:pos="4513"/>
        <w:tab w:val="right" w:pos="9026"/>
      </w:tabs>
    </w:pPr>
  </w:style>
  <w:style w:type="character" w:customStyle="1" w:styleId="FooterChar">
    <w:name w:val="Footer Char"/>
    <w:basedOn w:val="DefaultParagraphFont"/>
    <w:link w:val="Footer"/>
    <w:uiPriority w:val="99"/>
    <w:rsid w:val="00EE5B35"/>
  </w:style>
  <w:style w:type="character" w:customStyle="1" w:styleId="UnresolvedMention1">
    <w:name w:val="Unresolved Mention1"/>
    <w:basedOn w:val="DefaultParagraphFont"/>
    <w:uiPriority w:val="99"/>
    <w:semiHidden/>
    <w:unhideWhenUsed/>
    <w:rsid w:val="000359D3"/>
    <w:rPr>
      <w:color w:val="605E5C"/>
      <w:shd w:val="clear" w:color="auto" w:fill="E1DFDD"/>
    </w:rPr>
  </w:style>
  <w:style w:type="character" w:customStyle="1" w:styleId="UnresolvedMention2">
    <w:name w:val="Unresolved Mention2"/>
    <w:basedOn w:val="DefaultParagraphFont"/>
    <w:uiPriority w:val="99"/>
    <w:semiHidden/>
    <w:unhideWhenUsed/>
    <w:rsid w:val="00A66482"/>
    <w:rPr>
      <w:color w:val="605E5C"/>
      <w:shd w:val="clear" w:color="auto" w:fill="E1DFDD"/>
    </w:rPr>
  </w:style>
  <w:style w:type="paragraph" w:styleId="FootnoteText">
    <w:name w:val="footnote text"/>
    <w:basedOn w:val="Normal"/>
    <w:link w:val="FootnoteTextChar"/>
    <w:uiPriority w:val="99"/>
    <w:semiHidden/>
    <w:unhideWhenUsed/>
    <w:rsid w:val="00DA2888"/>
    <w:rPr>
      <w:sz w:val="20"/>
      <w:szCs w:val="20"/>
    </w:rPr>
  </w:style>
  <w:style w:type="character" w:customStyle="1" w:styleId="FootnoteTextChar">
    <w:name w:val="Footnote Text Char"/>
    <w:basedOn w:val="DefaultParagraphFont"/>
    <w:link w:val="FootnoteText"/>
    <w:uiPriority w:val="99"/>
    <w:semiHidden/>
    <w:rsid w:val="00DA2888"/>
    <w:rPr>
      <w:sz w:val="20"/>
      <w:szCs w:val="20"/>
    </w:rPr>
  </w:style>
  <w:style w:type="character" w:styleId="FootnoteReference">
    <w:name w:val="footnote reference"/>
    <w:basedOn w:val="DefaultParagraphFont"/>
    <w:uiPriority w:val="99"/>
    <w:semiHidden/>
    <w:unhideWhenUsed/>
    <w:rsid w:val="00DA2888"/>
    <w:rPr>
      <w:vertAlign w:val="superscript"/>
    </w:rPr>
  </w:style>
  <w:style w:type="paragraph" w:styleId="Revision">
    <w:name w:val="Revision"/>
    <w:hidden/>
    <w:uiPriority w:val="99"/>
    <w:semiHidden/>
    <w:rsid w:val="00D5061E"/>
  </w:style>
  <w:style w:type="character" w:styleId="UnresolvedMention">
    <w:name w:val="Unresolved Mention"/>
    <w:basedOn w:val="DefaultParagraphFont"/>
    <w:uiPriority w:val="99"/>
    <w:semiHidden/>
    <w:unhideWhenUsed/>
    <w:rsid w:val="00BC3420"/>
    <w:rPr>
      <w:color w:val="605E5C"/>
      <w:shd w:val="clear" w:color="auto" w:fill="E1DFDD"/>
    </w:rPr>
  </w:style>
  <w:style w:type="character" w:styleId="CommentReference">
    <w:name w:val="annotation reference"/>
    <w:basedOn w:val="DefaultParagraphFont"/>
    <w:uiPriority w:val="99"/>
    <w:semiHidden/>
    <w:unhideWhenUsed/>
    <w:rsid w:val="001674CD"/>
    <w:rPr>
      <w:sz w:val="16"/>
      <w:szCs w:val="16"/>
    </w:rPr>
  </w:style>
  <w:style w:type="paragraph" w:styleId="CommentText">
    <w:name w:val="annotation text"/>
    <w:basedOn w:val="Normal"/>
    <w:link w:val="CommentTextChar"/>
    <w:uiPriority w:val="99"/>
    <w:unhideWhenUsed/>
    <w:rsid w:val="001674CD"/>
    <w:rPr>
      <w:sz w:val="20"/>
      <w:szCs w:val="20"/>
    </w:rPr>
  </w:style>
  <w:style w:type="character" w:customStyle="1" w:styleId="CommentTextChar">
    <w:name w:val="Comment Text Char"/>
    <w:basedOn w:val="DefaultParagraphFont"/>
    <w:link w:val="CommentText"/>
    <w:uiPriority w:val="99"/>
    <w:rsid w:val="001674CD"/>
    <w:rPr>
      <w:sz w:val="20"/>
      <w:szCs w:val="20"/>
    </w:rPr>
  </w:style>
  <w:style w:type="paragraph" w:styleId="CommentSubject">
    <w:name w:val="annotation subject"/>
    <w:basedOn w:val="CommentText"/>
    <w:next w:val="CommentText"/>
    <w:link w:val="CommentSubjectChar"/>
    <w:uiPriority w:val="99"/>
    <w:semiHidden/>
    <w:unhideWhenUsed/>
    <w:rsid w:val="001674CD"/>
    <w:rPr>
      <w:b/>
      <w:bCs/>
    </w:rPr>
  </w:style>
  <w:style w:type="character" w:customStyle="1" w:styleId="CommentSubjectChar">
    <w:name w:val="Comment Subject Char"/>
    <w:basedOn w:val="CommentTextChar"/>
    <w:link w:val="CommentSubject"/>
    <w:uiPriority w:val="99"/>
    <w:semiHidden/>
    <w:rsid w:val="001674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88209">
      <w:bodyDiv w:val="1"/>
      <w:marLeft w:val="0"/>
      <w:marRight w:val="0"/>
      <w:marTop w:val="0"/>
      <w:marBottom w:val="0"/>
      <w:divBdr>
        <w:top w:val="none" w:sz="0" w:space="0" w:color="auto"/>
        <w:left w:val="none" w:sz="0" w:space="0" w:color="auto"/>
        <w:bottom w:val="none" w:sz="0" w:space="0" w:color="auto"/>
        <w:right w:val="none" w:sz="0" w:space="0" w:color="auto"/>
      </w:divBdr>
    </w:div>
    <w:div w:id="576746337">
      <w:bodyDiv w:val="1"/>
      <w:marLeft w:val="0"/>
      <w:marRight w:val="0"/>
      <w:marTop w:val="0"/>
      <w:marBottom w:val="0"/>
      <w:divBdr>
        <w:top w:val="none" w:sz="0" w:space="0" w:color="auto"/>
        <w:left w:val="none" w:sz="0" w:space="0" w:color="auto"/>
        <w:bottom w:val="none" w:sz="0" w:space="0" w:color="auto"/>
        <w:right w:val="none" w:sz="0" w:space="0" w:color="auto"/>
      </w:divBdr>
    </w:div>
    <w:div w:id="640303494">
      <w:bodyDiv w:val="1"/>
      <w:marLeft w:val="0"/>
      <w:marRight w:val="0"/>
      <w:marTop w:val="0"/>
      <w:marBottom w:val="0"/>
      <w:divBdr>
        <w:top w:val="none" w:sz="0" w:space="0" w:color="auto"/>
        <w:left w:val="none" w:sz="0" w:space="0" w:color="auto"/>
        <w:bottom w:val="none" w:sz="0" w:space="0" w:color="auto"/>
        <w:right w:val="none" w:sz="0" w:space="0" w:color="auto"/>
      </w:divBdr>
    </w:div>
    <w:div w:id="881207471">
      <w:bodyDiv w:val="1"/>
      <w:marLeft w:val="0"/>
      <w:marRight w:val="0"/>
      <w:marTop w:val="0"/>
      <w:marBottom w:val="0"/>
      <w:divBdr>
        <w:top w:val="none" w:sz="0" w:space="0" w:color="auto"/>
        <w:left w:val="none" w:sz="0" w:space="0" w:color="auto"/>
        <w:bottom w:val="none" w:sz="0" w:space="0" w:color="auto"/>
        <w:right w:val="none" w:sz="0" w:space="0" w:color="auto"/>
      </w:divBdr>
    </w:div>
    <w:div w:id="1226525462">
      <w:bodyDiv w:val="1"/>
      <w:marLeft w:val="0"/>
      <w:marRight w:val="0"/>
      <w:marTop w:val="0"/>
      <w:marBottom w:val="0"/>
      <w:divBdr>
        <w:top w:val="none" w:sz="0" w:space="0" w:color="auto"/>
        <w:left w:val="none" w:sz="0" w:space="0" w:color="auto"/>
        <w:bottom w:val="none" w:sz="0" w:space="0" w:color="auto"/>
        <w:right w:val="none" w:sz="0" w:space="0" w:color="auto"/>
      </w:divBdr>
    </w:div>
    <w:div w:id="1229414098">
      <w:bodyDiv w:val="1"/>
      <w:marLeft w:val="0"/>
      <w:marRight w:val="0"/>
      <w:marTop w:val="0"/>
      <w:marBottom w:val="0"/>
      <w:divBdr>
        <w:top w:val="none" w:sz="0" w:space="0" w:color="auto"/>
        <w:left w:val="none" w:sz="0" w:space="0" w:color="auto"/>
        <w:bottom w:val="none" w:sz="0" w:space="0" w:color="auto"/>
        <w:right w:val="none" w:sz="0" w:space="0" w:color="auto"/>
      </w:divBdr>
    </w:div>
    <w:div w:id="1301108667">
      <w:bodyDiv w:val="1"/>
      <w:marLeft w:val="0"/>
      <w:marRight w:val="0"/>
      <w:marTop w:val="0"/>
      <w:marBottom w:val="0"/>
      <w:divBdr>
        <w:top w:val="none" w:sz="0" w:space="0" w:color="auto"/>
        <w:left w:val="none" w:sz="0" w:space="0" w:color="auto"/>
        <w:bottom w:val="none" w:sz="0" w:space="0" w:color="auto"/>
        <w:right w:val="none" w:sz="0" w:space="0" w:color="auto"/>
      </w:divBdr>
    </w:div>
    <w:div w:id="1742869337">
      <w:bodyDiv w:val="1"/>
      <w:marLeft w:val="0"/>
      <w:marRight w:val="0"/>
      <w:marTop w:val="0"/>
      <w:marBottom w:val="0"/>
      <w:divBdr>
        <w:top w:val="none" w:sz="0" w:space="0" w:color="auto"/>
        <w:left w:val="none" w:sz="0" w:space="0" w:color="auto"/>
        <w:bottom w:val="none" w:sz="0" w:space="0" w:color="auto"/>
        <w:right w:val="none" w:sz="0" w:space="0" w:color="auto"/>
      </w:divBdr>
    </w:div>
    <w:div w:id="1844320984">
      <w:bodyDiv w:val="1"/>
      <w:marLeft w:val="0"/>
      <w:marRight w:val="0"/>
      <w:marTop w:val="0"/>
      <w:marBottom w:val="0"/>
      <w:divBdr>
        <w:top w:val="none" w:sz="0" w:space="0" w:color="auto"/>
        <w:left w:val="none" w:sz="0" w:space="0" w:color="auto"/>
        <w:bottom w:val="none" w:sz="0" w:space="0" w:color="auto"/>
        <w:right w:val="none" w:sz="0" w:space="0" w:color="auto"/>
      </w:divBdr>
    </w:div>
    <w:div w:id="211736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reencoat@fticonsulting.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fca.org.uk/markets/primary-markets/regulatory-disclosures/national-storage-mechanis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reencoat-renewables.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eproxyappointment.com"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2025-04-14T12:49:02+00:00</DateReceived>
  </documentManagement>
</p:properties>
</file>

<file path=customXml/itemProps1.xml><?xml version="1.0" encoding="utf-8"?>
<ds:datastoreItem xmlns:ds="http://schemas.openxmlformats.org/officeDocument/2006/customXml" ds:itemID="{3A336212-6F1D-479E-886E-ABFD81DF214E}">
  <ds:schemaRefs>
    <ds:schemaRef ds:uri="http://schemas.microsoft.com/sharepoint/v3/contenttype/forms"/>
  </ds:schemaRefs>
</ds:datastoreItem>
</file>

<file path=customXml/itemProps2.xml><?xml version="1.0" encoding="utf-8"?>
<ds:datastoreItem xmlns:ds="http://schemas.openxmlformats.org/officeDocument/2006/customXml" ds:itemID="{19BEDCAB-AD3B-4923-B7A8-17F06AB9E84B}"/>
</file>

<file path=customXml/itemProps3.xml><?xml version="1.0" encoding="utf-8"?>
<ds:datastoreItem xmlns:ds="http://schemas.openxmlformats.org/officeDocument/2006/customXml" ds:itemID="{A50175FB-33C8-4DA0-AE1E-936A7DA2DAAE}">
  <ds:schemaRefs>
    <ds:schemaRef ds:uri="http://schemas.microsoft.com/office/2006/metadata/properties"/>
    <ds:schemaRef ds:uri="http://schemas.microsoft.com/office/infopath/2007/PartnerControls"/>
    <ds:schemaRef ds:uri="dbfc03f3-afa5-45e9-834c-87a4b3bbcf86"/>
    <ds:schemaRef ds:uri="bf199d5d-9365-4f18-b43c-aee1868a8e0a"/>
  </ds:schemaRefs>
</ds:datastoreItem>
</file>

<file path=docMetadata/LabelInfo.xml><?xml version="1.0" encoding="utf-8"?>
<clbl:labelList xmlns:clbl="http://schemas.microsoft.com/office/2020/mipLabelMetadata">
  <clbl:label id="{8e30513d-9513-4319-912e-9eb438c0e5ce}" enabled="0" method="" siteId="{8e30513d-9513-4319-912e-9eb438c0e5ce}"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2734</Characters>
  <Application>Microsoft Office Word</Application>
  <DocSecurity>0</DocSecurity>
  <Lines>195</Lines>
  <Paragraphs>64</Paragraphs>
  <ScaleCrop>false</ScaleCrop>
  <HeadingPairs>
    <vt:vector size="2" baseType="variant">
      <vt:variant>
        <vt:lpstr>Title</vt:lpstr>
      </vt:variant>
      <vt:variant>
        <vt:i4>1</vt:i4>
      </vt:variant>
    </vt:vector>
  </HeadingPairs>
  <TitlesOfParts>
    <vt:vector size="1" baseType="lpstr">
      <vt:lpstr/>
    </vt:vector>
  </TitlesOfParts>
  <Company>AFB Group Services (Jersey) Limited</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Rayner</dc:creator>
  <cp:lastModifiedBy>Catherine Carron</cp:lastModifiedBy>
  <cp:revision>2</cp:revision>
  <dcterms:created xsi:type="dcterms:W3CDTF">2025-02-19T16:24:00Z</dcterms:created>
  <dcterms:modified xsi:type="dcterms:W3CDTF">2025-02-19T16:24:00Z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506718.0000/278879518.2</vt:lpwstr>
  </property>
  <property fmtid="{D5CDD505-2E9C-101B-9397-08002B2CF9AE}" pid="3" name="ContentTypeId">
    <vt:lpwstr>0x010100BE156B1CF39149A8843C57AB06C49AFE0011B886BEF4CCD94F85F46E94360FD412</vt:lpwstr>
  </property>
  <property fmtid="{D5CDD505-2E9C-101B-9397-08002B2CF9AE}" pid="4" name="MediaServiceImageTags">
    <vt:lpwstr/>
  </property>
</Properties>
</file>