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99FB" w14:textId="77777777" w:rsidR="00A76FED" w:rsidRPr="00C37298" w:rsidRDefault="00A76FED" w:rsidP="00A76FED">
      <w:pPr>
        <w:tabs>
          <w:tab w:val="left" w:pos="870"/>
          <w:tab w:val="center" w:pos="3063"/>
        </w:tabs>
        <w:rPr>
          <w:b/>
          <w:bCs/>
        </w:rPr>
      </w:pPr>
      <w:r w:rsidRPr="00C37298">
        <w:rPr>
          <w:noProof/>
          <w:lang w:eastAsia="zh-CN"/>
        </w:rPr>
        <w:drawing>
          <wp:anchor distT="0" distB="0" distL="114300" distR="114300" simplePos="0" relativeHeight="251658240" behindDoc="0" locked="0" layoutInCell="1" allowOverlap="1" wp14:anchorId="1A879D4B" wp14:editId="75564FC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60FC4" w14:textId="77777777" w:rsidR="00A76FED" w:rsidRPr="00A76FED" w:rsidRDefault="00A76FED" w:rsidP="00A76FED">
      <w:pPr>
        <w:jc w:val="both"/>
        <w:rPr>
          <w:rFonts w:ascii="Arial" w:hAnsi="Arial" w:cs="Arial"/>
        </w:rPr>
      </w:pPr>
    </w:p>
    <w:p w14:paraId="1C57CD63" w14:textId="77777777" w:rsidR="00A76FED" w:rsidRPr="00A76FED" w:rsidRDefault="00A76FED" w:rsidP="00A76FED">
      <w:pPr>
        <w:jc w:val="center"/>
        <w:rPr>
          <w:rFonts w:ascii="Arial" w:hAnsi="Arial" w:cs="Arial"/>
          <w:b/>
          <w:bCs/>
        </w:rPr>
      </w:pPr>
    </w:p>
    <w:p w14:paraId="128B34E2" w14:textId="77777777" w:rsidR="0086379D" w:rsidRDefault="0086379D" w:rsidP="00A76FED">
      <w:pPr>
        <w:jc w:val="center"/>
        <w:rPr>
          <w:rFonts w:ascii="Arial" w:hAnsi="Arial" w:cs="Arial"/>
          <w:b/>
          <w:bCs/>
          <w:sz w:val="40"/>
          <w:szCs w:val="22"/>
        </w:rPr>
      </w:pPr>
    </w:p>
    <w:p w14:paraId="6F6F1A1E" w14:textId="34BEB0A3" w:rsidR="00A76FED" w:rsidRPr="00EF2365" w:rsidRDefault="00A76FED" w:rsidP="00A76FED">
      <w:pPr>
        <w:jc w:val="center"/>
        <w:rPr>
          <w:rFonts w:ascii="Arial" w:hAnsi="Arial" w:cs="Arial"/>
          <w:b/>
          <w:bCs/>
          <w:sz w:val="40"/>
          <w:szCs w:val="22"/>
        </w:rPr>
      </w:pPr>
      <w:proofErr w:type="spellStart"/>
      <w:r w:rsidRPr="00EF2365">
        <w:rPr>
          <w:rFonts w:ascii="Arial" w:hAnsi="Arial" w:cs="Arial"/>
          <w:b/>
          <w:bCs/>
          <w:sz w:val="40"/>
          <w:szCs w:val="22"/>
        </w:rPr>
        <w:t>Greencoat</w:t>
      </w:r>
      <w:proofErr w:type="spellEnd"/>
      <w:r w:rsidRPr="00EF2365">
        <w:rPr>
          <w:rFonts w:ascii="Arial" w:hAnsi="Arial" w:cs="Arial"/>
          <w:b/>
          <w:bCs/>
          <w:sz w:val="40"/>
          <w:szCs w:val="22"/>
        </w:rPr>
        <w:t xml:space="preserve"> Renewables </w:t>
      </w:r>
      <w:r w:rsidR="006D1770" w:rsidRPr="00EF2365">
        <w:rPr>
          <w:rFonts w:ascii="Arial" w:hAnsi="Arial" w:cs="Arial"/>
          <w:b/>
          <w:bCs/>
          <w:sz w:val="40"/>
          <w:szCs w:val="22"/>
        </w:rPr>
        <w:t xml:space="preserve">signs </w:t>
      </w:r>
      <w:r w:rsidR="00135A93" w:rsidRPr="00EF2365">
        <w:rPr>
          <w:rFonts w:ascii="Arial" w:hAnsi="Arial" w:cs="Arial"/>
          <w:b/>
          <w:bCs/>
          <w:sz w:val="40"/>
          <w:szCs w:val="22"/>
        </w:rPr>
        <w:t>Long</w:t>
      </w:r>
      <w:r w:rsidR="001C792C" w:rsidRPr="00EF2365">
        <w:rPr>
          <w:rFonts w:ascii="Arial" w:hAnsi="Arial" w:cs="Arial"/>
          <w:b/>
          <w:bCs/>
          <w:sz w:val="40"/>
          <w:szCs w:val="22"/>
        </w:rPr>
        <w:t>-</w:t>
      </w:r>
      <w:r w:rsidR="00135A93" w:rsidRPr="00EF2365">
        <w:rPr>
          <w:rFonts w:ascii="Arial" w:hAnsi="Arial" w:cs="Arial"/>
          <w:b/>
          <w:bCs/>
          <w:sz w:val="40"/>
          <w:szCs w:val="22"/>
        </w:rPr>
        <w:t>Term</w:t>
      </w:r>
      <w:r w:rsidRPr="00EF2365">
        <w:rPr>
          <w:rFonts w:ascii="Arial" w:hAnsi="Arial" w:cs="Arial"/>
          <w:b/>
          <w:bCs/>
          <w:sz w:val="40"/>
          <w:szCs w:val="22"/>
        </w:rPr>
        <w:t xml:space="preserve"> PPA</w:t>
      </w:r>
      <w:r w:rsidR="00571651" w:rsidRPr="00EF2365">
        <w:rPr>
          <w:rFonts w:ascii="Arial" w:hAnsi="Arial" w:cs="Arial"/>
          <w:b/>
          <w:bCs/>
          <w:sz w:val="40"/>
          <w:szCs w:val="22"/>
        </w:rPr>
        <w:t xml:space="preserve"> for</w:t>
      </w:r>
      <w:r w:rsidR="006D1770" w:rsidRPr="00EF2365">
        <w:rPr>
          <w:rFonts w:ascii="Arial" w:hAnsi="Arial" w:cs="Arial"/>
          <w:b/>
          <w:bCs/>
          <w:sz w:val="40"/>
          <w:szCs w:val="22"/>
        </w:rPr>
        <w:t xml:space="preserve"> 100% output at</w:t>
      </w:r>
      <w:r w:rsidR="00571651" w:rsidRPr="00EF2365">
        <w:rPr>
          <w:rFonts w:ascii="Arial" w:hAnsi="Arial" w:cs="Arial"/>
          <w:b/>
          <w:bCs/>
          <w:sz w:val="40"/>
          <w:szCs w:val="22"/>
        </w:rPr>
        <w:t xml:space="preserve"> Ballincollig Wind Farm</w:t>
      </w:r>
    </w:p>
    <w:p w14:paraId="11923C0D" w14:textId="77777777" w:rsidR="007525A0" w:rsidRPr="00DE51BC" w:rsidRDefault="007525A0" w:rsidP="00A76FED">
      <w:pPr>
        <w:jc w:val="center"/>
        <w:rPr>
          <w:rFonts w:ascii="Arial" w:hAnsi="Arial" w:cs="Arial"/>
          <w:b/>
          <w:bCs/>
          <w:sz w:val="22"/>
          <w:szCs w:val="22"/>
        </w:rPr>
      </w:pPr>
    </w:p>
    <w:p w14:paraId="3DA5A82A" w14:textId="00010012" w:rsidR="00CF710F" w:rsidRPr="007525A0" w:rsidRDefault="001C792C" w:rsidP="006D1770">
      <w:pPr>
        <w:jc w:val="center"/>
        <w:rPr>
          <w:rFonts w:ascii="Arial" w:hAnsi="Arial" w:cs="Arial"/>
          <w:sz w:val="32"/>
          <w:szCs w:val="32"/>
        </w:rPr>
      </w:pPr>
      <w:r>
        <w:rPr>
          <w:rFonts w:ascii="Arial" w:hAnsi="Arial" w:cs="Arial"/>
          <w:sz w:val="32"/>
          <w:szCs w:val="32"/>
        </w:rPr>
        <w:t>A</w:t>
      </w:r>
      <w:r w:rsidR="007525A0" w:rsidRPr="007525A0">
        <w:rPr>
          <w:rFonts w:ascii="Arial" w:hAnsi="Arial" w:cs="Arial"/>
          <w:sz w:val="32"/>
          <w:szCs w:val="32"/>
        </w:rPr>
        <w:t xml:space="preserve">greement </w:t>
      </w:r>
      <w:r w:rsidR="00CC7089">
        <w:rPr>
          <w:rFonts w:ascii="Arial" w:hAnsi="Arial" w:cs="Arial"/>
          <w:sz w:val="32"/>
          <w:szCs w:val="32"/>
        </w:rPr>
        <w:t xml:space="preserve">forms part of re-contracting strategy </w:t>
      </w:r>
      <w:r w:rsidR="00AF1131">
        <w:rPr>
          <w:rFonts w:ascii="Arial" w:hAnsi="Arial" w:cs="Arial"/>
          <w:sz w:val="32"/>
          <w:szCs w:val="32"/>
        </w:rPr>
        <w:t xml:space="preserve">enhancing </w:t>
      </w:r>
      <w:r w:rsidR="00645EB7">
        <w:rPr>
          <w:rFonts w:ascii="Arial" w:hAnsi="Arial" w:cs="Arial"/>
          <w:sz w:val="32"/>
          <w:szCs w:val="32"/>
        </w:rPr>
        <w:t xml:space="preserve">Company’s </w:t>
      </w:r>
      <w:r w:rsidR="00AF1131">
        <w:rPr>
          <w:rFonts w:ascii="Arial" w:hAnsi="Arial" w:cs="Arial"/>
          <w:sz w:val="32"/>
          <w:szCs w:val="32"/>
        </w:rPr>
        <w:t xml:space="preserve">cashflow profile </w:t>
      </w:r>
    </w:p>
    <w:p w14:paraId="6F049A31" w14:textId="77777777" w:rsidR="00A76FED" w:rsidRPr="00A76FED" w:rsidRDefault="00A76FED" w:rsidP="00A76FED">
      <w:pPr>
        <w:jc w:val="both"/>
        <w:rPr>
          <w:rFonts w:ascii="Arial" w:hAnsi="Arial" w:cs="Arial"/>
        </w:rPr>
      </w:pPr>
      <w:r w:rsidRPr="00A76FED">
        <w:rPr>
          <w:rFonts w:ascii="Arial" w:hAnsi="Arial" w:cs="Arial"/>
        </w:rPr>
        <w:t> </w:t>
      </w:r>
    </w:p>
    <w:p w14:paraId="6F777EA6" w14:textId="22779C87" w:rsidR="006D1770" w:rsidRDefault="00A76FED" w:rsidP="005D12FE">
      <w:pPr>
        <w:pStyle w:val="BodyText"/>
        <w:spacing w:line="240" w:lineRule="auto"/>
        <w:jc w:val="both"/>
        <w:rPr>
          <w:rFonts w:eastAsiaTheme="minorHAnsi" w:cs="Arial"/>
          <w:color w:val="auto"/>
          <w:spacing w:val="0"/>
          <w:sz w:val="24"/>
          <w:szCs w:val="24"/>
        </w:rPr>
      </w:pPr>
      <w:r w:rsidRPr="00A76FED">
        <w:rPr>
          <w:rFonts w:eastAsiaTheme="minorHAnsi" w:cs="Arial"/>
          <w:b/>
          <w:color w:val="auto"/>
          <w:spacing w:val="0"/>
          <w:sz w:val="24"/>
          <w:szCs w:val="24"/>
        </w:rPr>
        <w:t xml:space="preserve">Dublin, London </w:t>
      </w:r>
      <w:r w:rsidRPr="00A76FED">
        <w:rPr>
          <w:rFonts w:cs="Arial"/>
          <w:b/>
          <w:bCs/>
          <w:color w:val="000000"/>
          <w:sz w:val="20"/>
          <w:szCs w:val="20"/>
          <w:shd w:val="clear" w:color="auto" w:fill="FFFFFF"/>
        </w:rPr>
        <w:t xml:space="preserve">| </w:t>
      </w:r>
      <w:r w:rsidR="001355FA" w:rsidRPr="001355FA">
        <w:rPr>
          <w:rFonts w:eastAsiaTheme="minorHAnsi" w:cs="Arial"/>
          <w:b/>
          <w:color w:val="auto"/>
          <w:spacing w:val="0"/>
          <w:sz w:val="24"/>
          <w:szCs w:val="24"/>
        </w:rPr>
        <w:t>1 May</w:t>
      </w:r>
      <w:r w:rsidR="001355FA">
        <w:rPr>
          <w:rFonts w:cs="Arial"/>
          <w:b/>
          <w:bCs/>
          <w:color w:val="000000"/>
          <w:sz w:val="20"/>
          <w:szCs w:val="20"/>
          <w:shd w:val="clear" w:color="auto" w:fill="FFFFFF"/>
        </w:rPr>
        <w:t xml:space="preserve"> </w:t>
      </w:r>
      <w:r w:rsidRPr="00A76FED">
        <w:rPr>
          <w:rFonts w:eastAsiaTheme="minorHAnsi" w:cs="Arial"/>
          <w:b/>
          <w:color w:val="auto"/>
          <w:spacing w:val="0"/>
          <w:sz w:val="24"/>
          <w:szCs w:val="24"/>
        </w:rPr>
        <w:t>2025</w:t>
      </w:r>
      <w:r w:rsidRPr="00A76FED">
        <w:rPr>
          <w:rFonts w:eastAsiaTheme="minorHAnsi" w:cs="Arial"/>
          <w:color w:val="auto"/>
          <w:spacing w:val="0"/>
          <w:sz w:val="24"/>
          <w:szCs w:val="24"/>
        </w:rPr>
        <w:t xml:space="preserve">: </w:t>
      </w:r>
      <w:proofErr w:type="spellStart"/>
      <w:r w:rsidRPr="00A76FED">
        <w:rPr>
          <w:rFonts w:eastAsiaTheme="minorHAnsi" w:cs="Arial"/>
          <w:color w:val="auto"/>
          <w:spacing w:val="0"/>
          <w:sz w:val="24"/>
          <w:szCs w:val="24"/>
        </w:rPr>
        <w:t>Greencoat</w:t>
      </w:r>
      <w:proofErr w:type="spellEnd"/>
      <w:r w:rsidRPr="00A76FED">
        <w:rPr>
          <w:rFonts w:eastAsiaTheme="minorHAnsi" w:cs="Arial"/>
          <w:color w:val="auto"/>
          <w:spacing w:val="0"/>
          <w:sz w:val="24"/>
          <w:szCs w:val="24"/>
        </w:rPr>
        <w:t xml:space="preserve"> Renewables PLC (</w:t>
      </w:r>
      <w:r w:rsidR="00B946E6">
        <w:rPr>
          <w:rFonts w:eastAsiaTheme="minorHAnsi" w:cs="Arial"/>
          <w:color w:val="auto"/>
          <w:spacing w:val="0"/>
          <w:sz w:val="24"/>
          <w:szCs w:val="24"/>
        </w:rPr>
        <w:t>‘</w:t>
      </w:r>
      <w:proofErr w:type="spellStart"/>
      <w:r w:rsidRPr="00A76FED">
        <w:rPr>
          <w:rFonts w:eastAsiaTheme="minorHAnsi" w:cs="Arial"/>
          <w:b/>
          <w:color w:val="auto"/>
          <w:spacing w:val="0"/>
          <w:sz w:val="24"/>
          <w:szCs w:val="24"/>
        </w:rPr>
        <w:t>Greencoat</w:t>
      </w:r>
      <w:proofErr w:type="spellEnd"/>
      <w:r w:rsidRPr="00A76FED">
        <w:rPr>
          <w:rFonts w:eastAsiaTheme="minorHAnsi" w:cs="Arial"/>
          <w:b/>
          <w:color w:val="auto"/>
          <w:spacing w:val="0"/>
          <w:sz w:val="24"/>
          <w:szCs w:val="24"/>
        </w:rPr>
        <w:t xml:space="preserve"> Renewables</w:t>
      </w:r>
      <w:r w:rsidR="00B946E6">
        <w:rPr>
          <w:rFonts w:eastAsiaTheme="minorHAnsi" w:cs="Arial"/>
          <w:b/>
          <w:color w:val="auto"/>
          <w:spacing w:val="0"/>
          <w:sz w:val="24"/>
          <w:szCs w:val="24"/>
        </w:rPr>
        <w:t>’</w:t>
      </w:r>
      <w:r w:rsidRPr="00A76FED">
        <w:rPr>
          <w:rFonts w:eastAsiaTheme="minorHAnsi" w:cs="Arial"/>
          <w:color w:val="auto"/>
          <w:spacing w:val="0"/>
          <w:sz w:val="24"/>
          <w:szCs w:val="24"/>
        </w:rPr>
        <w:t xml:space="preserve"> or the </w:t>
      </w:r>
      <w:r w:rsidR="00B946E6">
        <w:rPr>
          <w:rFonts w:eastAsiaTheme="minorHAnsi" w:cs="Arial"/>
          <w:color w:val="auto"/>
          <w:spacing w:val="0"/>
          <w:sz w:val="24"/>
          <w:szCs w:val="24"/>
        </w:rPr>
        <w:t>‘</w:t>
      </w:r>
      <w:r w:rsidRPr="00A76FED">
        <w:rPr>
          <w:rFonts w:eastAsiaTheme="minorHAnsi" w:cs="Arial"/>
          <w:b/>
          <w:bCs/>
          <w:color w:val="auto"/>
          <w:spacing w:val="0"/>
          <w:sz w:val="24"/>
          <w:szCs w:val="24"/>
        </w:rPr>
        <w:t>Company</w:t>
      </w:r>
      <w:r w:rsidR="00B946E6">
        <w:rPr>
          <w:rFonts w:eastAsiaTheme="minorHAnsi" w:cs="Arial"/>
          <w:color w:val="auto"/>
          <w:spacing w:val="0"/>
          <w:sz w:val="24"/>
          <w:szCs w:val="24"/>
        </w:rPr>
        <w:t>’</w:t>
      </w:r>
      <w:r w:rsidRPr="00A76FED">
        <w:rPr>
          <w:rFonts w:eastAsiaTheme="minorHAnsi" w:cs="Arial"/>
          <w:color w:val="auto"/>
          <w:spacing w:val="0"/>
          <w:sz w:val="24"/>
          <w:szCs w:val="24"/>
        </w:rPr>
        <w:t xml:space="preserve">) announces </w:t>
      </w:r>
      <w:r w:rsidR="00AD594D">
        <w:rPr>
          <w:rFonts w:eastAsiaTheme="minorHAnsi" w:cs="Arial"/>
          <w:color w:val="auto"/>
          <w:spacing w:val="0"/>
          <w:sz w:val="24"/>
          <w:szCs w:val="24"/>
        </w:rPr>
        <w:t>the signing</w:t>
      </w:r>
      <w:r w:rsidR="00F1471E" w:rsidRPr="00F1471E">
        <w:rPr>
          <w:rFonts w:eastAsiaTheme="minorHAnsi" w:cs="Arial"/>
          <w:color w:val="auto"/>
          <w:spacing w:val="0"/>
          <w:sz w:val="24"/>
          <w:szCs w:val="24"/>
        </w:rPr>
        <w:t xml:space="preserve"> of a new 10-year Power Purchase Agreement (</w:t>
      </w:r>
      <w:r w:rsidR="00F1471E">
        <w:rPr>
          <w:rFonts w:eastAsiaTheme="minorHAnsi" w:cs="Arial"/>
          <w:color w:val="auto"/>
          <w:spacing w:val="0"/>
          <w:sz w:val="24"/>
          <w:szCs w:val="24"/>
        </w:rPr>
        <w:t>‘</w:t>
      </w:r>
      <w:r w:rsidR="00F1471E" w:rsidRPr="00F1471E">
        <w:rPr>
          <w:rFonts w:eastAsiaTheme="minorHAnsi" w:cs="Arial"/>
          <w:color w:val="auto"/>
          <w:spacing w:val="0"/>
          <w:sz w:val="24"/>
          <w:szCs w:val="24"/>
        </w:rPr>
        <w:t>PPA</w:t>
      </w:r>
      <w:r w:rsidR="00F1471E">
        <w:rPr>
          <w:rFonts w:eastAsiaTheme="minorHAnsi" w:cs="Arial"/>
          <w:color w:val="auto"/>
          <w:spacing w:val="0"/>
          <w:sz w:val="24"/>
          <w:szCs w:val="24"/>
        </w:rPr>
        <w:t>’</w:t>
      </w:r>
      <w:r w:rsidR="00F1471E" w:rsidRPr="00F1471E">
        <w:rPr>
          <w:rFonts w:eastAsiaTheme="minorHAnsi" w:cs="Arial"/>
          <w:color w:val="auto"/>
          <w:spacing w:val="0"/>
          <w:sz w:val="24"/>
          <w:szCs w:val="24"/>
        </w:rPr>
        <w:t>)</w:t>
      </w:r>
      <w:r w:rsidR="00826939">
        <w:rPr>
          <w:rFonts w:eastAsiaTheme="minorHAnsi" w:cs="Arial"/>
          <w:color w:val="auto"/>
          <w:spacing w:val="0"/>
          <w:sz w:val="24"/>
          <w:szCs w:val="24"/>
        </w:rPr>
        <w:t xml:space="preserve"> </w:t>
      </w:r>
      <w:r w:rsidR="00826939" w:rsidRPr="00A76FED">
        <w:rPr>
          <w:rFonts w:eastAsiaTheme="minorHAnsi" w:cs="Arial"/>
          <w:color w:val="auto"/>
          <w:spacing w:val="0"/>
          <w:sz w:val="24"/>
          <w:szCs w:val="24"/>
        </w:rPr>
        <w:t>with Keppel DC REIT.</w:t>
      </w:r>
      <w:r w:rsidR="00DD77C3">
        <w:rPr>
          <w:rFonts w:eastAsiaTheme="minorHAnsi" w:cs="Arial"/>
          <w:color w:val="auto"/>
          <w:spacing w:val="0"/>
          <w:sz w:val="24"/>
          <w:szCs w:val="24"/>
        </w:rPr>
        <w:t xml:space="preserve"> Under the PPA, </w:t>
      </w:r>
      <w:r w:rsidR="00FC5317" w:rsidRPr="00813CE5">
        <w:rPr>
          <w:rFonts w:eastAsiaTheme="minorHAnsi" w:cs="Arial"/>
          <w:color w:val="auto"/>
          <w:spacing w:val="0"/>
          <w:sz w:val="24"/>
          <w:szCs w:val="24"/>
        </w:rPr>
        <w:t xml:space="preserve">Keppel DC REIT </w:t>
      </w:r>
      <w:r w:rsidR="00FC5317">
        <w:rPr>
          <w:rFonts w:eastAsiaTheme="minorHAnsi" w:cs="Arial"/>
          <w:color w:val="auto"/>
          <w:spacing w:val="0"/>
          <w:sz w:val="24"/>
          <w:szCs w:val="24"/>
        </w:rPr>
        <w:t xml:space="preserve">will purchase 100% of the </w:t>
      </w:r>
      <w:r w:rsidR="00FC5317" w:rsidRPr="00813CE5">
        <w:rPr>
          <w:rFonts w:eastAsiaTheme="minorHAnsi" w:cs="Arial"/>
          <w:color w:val="auto"/>
          <w:spacing w:val="0"/>
          <w:sz w:val="24"/>
          <w:szCs w:val="24"/>
        </w:rPr>
        <w:t>electricity generate</w:t>
      </w:r>
      <w:r w:rsidR="00C915C3">
        <w:rPr>
          <w:rFonts w:eastAsiaTheme="minorHAnsi" w:cs="Arial"/>
          <w:color w:val="auto"/>
          <w:spacing w:val="0"/>
          <w:sz w:val="24"/>
          <w:szCs w:val="24"/>
        </w:rPr>
        <w:t>d</w:t>
      </w:r>
      <w:r w:rsidR="00FC5317">
        <w:rPr>
          <w:rFonts w:eastAsiaTheme="minorHAnsi" w:cs="Arial"/>
          <w:color w:val="auto"/>
          <w:spacing w:val="0"/>
          <w:sz w:val="24"/>
          <w:szCs w:val="24"/>
        </w:rPr>
        <w:t xml:space="preserve"> from </w:t>
      </w:r>
      <w:r w:rsidR="00DD77C3">
        <w:rPr>
          <w:rFonts w:eastAsiaTheme="minorHAnsi" w:cs="Arial"/>
          <w:color w:val="auto"/>
          <w:spacing w:val="0"/>
          <w:sz w:val="24"/>
          <w:szCs w:val="24"/>
        </w:rPr>
        <w:t>Greencoat</w:t>
      </w:r>
      <w:r w:rsidR="001927E0">
        <w:rPr>
          <w:rFonts w:eastAsiaTheme="minorHAnsi" w:cs="Arial"/>
          <w:color w:val="auto"/>
          <w:spacing w:val="0"/>
          <w:sz w:val="24"/>
          <w:szCs w:val="24"/>
        </w:rPr>
        <w:t xml:space="preserve"> Renewable</w:t>
      </w:r>
      <w:r w:rsidR="00DD77C3">
        <w:rPr>
          <w:rFonts w:eastAsiaTheme="minorHAnsi" w:cs="Arial"/>
          <w:color w:val="auto"/>
          <w:spacing w:val="0"/>
          <w:sz w:val="24"/>
          <w:szCs w:val="24"/>
        </w:rPr>
        <w:t>s</w:t>
      </w:r>
      <w:r w:rsidR="0079704F">
        <w:rPr>
          <w:rFonts w:eastAsiaTheme="minorHAnsi" w:cs="Arial"/>
          <w:color w:val="auto"/>
          <w:spacing w:val="0"/>
          <w:sz w:val="24"/>
          <w:szCs w:val="24"/>
        </w:rPr>
        <w:t>’</w:t>
      </w:r>
      <w:r w:rsidR="00DD77C3">
        <w:rPr>
          <w:rFonts w:eastAsiaTheme="minorHAnsi" w:cs="Arial"/>
          <w:color w:val="auto"/>
          <w:spacing w:val="0"/>
          <w:sz w:val="24"/>
          <w:szCs w:val="24"/>
        </w:rPr>
        <w:t xml:space="preserve"> </w:t>
      </w:r>
      <w:r w:rsidR="00FC5317" w:rsidRPr="00A76FED">
        <w:rPr>
          <w:rFonts w:eastAsiaTheme="minorHAnsi" w:cs="Arial"/>
          <w:color w:val="auto"/>
          <w:spacing w:val="0"/>
          <w:sz w:val="24"/>
          <w:szCs w:val="24"/>
        </w:rPr>
        <w:t>Ballincollig</w:t>
      </w:r>
      <w:r w:rsidR="005D12FE">
        <w:rPr>
          <w:rFonts w:eastAsiaTheme="minorHAnsi" w:cs="Arial"/>
          <w:color w:val="auto"/>
          <w:spacing w:val="0"/>
          <w:sz w:val="24"/>
          <w:szCs w:val="24"/>
        </w:rPr>
        <w:t xml:space="preserve"> wind farm</w:t>
      </w:r>
      <w:r w:rsidR="00C54C06">
        <w:rPr>
          <w:rFonts w:eastAsiaTheme="minorHAnsi" w:cs="Arial"/>
          <w:color w:val="auto"/>
          <w:spacing w:val="0"/>
          <w:sz w:val="24"/>
          <w:szCs w:val="24"/>
        </w:rPr>
        <w:t>,</w:t>
      </w:r>
      <w:r w:rsidR="005D12FE">
        <w:rPr>
          <w:rFonts w:eastAsiaTheme="minorHAnsi" w:cs="Arial"/>
          <w:color w:val="auto"/>
          <w:spacing w:val="0"/>
          <w:sz w:val="24"/>
          <w:szCs w:val="24"/>
        </w:rPr>
        <w:t xml:space="preserve"> which has an </w:t>
      </w:r>
      <w:r w:rsidR="00813CE5" w:rsidRPr="00813CE5">
        <w:rPr>
          <w:rFonts w:eastAsiaTheme="minorHAnsi" w:cs="Arial"/>
          <w:color w:val="auto"/>
          <w:spacing w:val="0"/>
          <w:sz w:val="24"/>
          <w:szCs w:val="24"/>
        </w:rPr>
        <w:t>annual output of 31.5 GWh of renewable energy.</w:t>
      </w:r>
    </w:p>
    <w:p w14:paraId="344F4BCB" w14:textId="77777777" w:rsidR="00CF4208" w:rsidRDefault="00CF4208" w:rsidP="00A76FED">
      <w:pPr>
        <w:pStyle w:val="BodyText"/>
        <w:spacing w:line="240" w:lineRule="auto"/>
        <w:jc w:val="both"/>
        <w:rPr>
          <w:rFonts w:eastAsiaTheme="minorHAnsi" w:cs="Arial"/>
          <w:color w:val="auto"/>
          <w:spacing w:val="0"/>
          <w:sz w:val="24"/>
          <w:szCs w:val="24"/>
        </w:rPr>
      </w:pPr>
    </w:p>
    <w:p w14:paraId="765C86FC" w14:textId="3484151E" w:rsidR="00286ABC" w:rsidRDefault="00F63AFF" w:rsidP="00286ABC">
      <w:pPr>
        <w:pStyle w:val="BodyText"/>
        <w:spacing w:line="240" w:lineRule="auto"/>
        <w:jc w:val="both"/>
        <w:rPr>
          <w:rFonts w:eastAsiaTheme="minorHAnsi" w:cs="Arial"/>
          <w:color w:val="auto"/>
          <w:spacing w:val="0"/>
          <w:sz w:val="24"/>
          <w:szCs w:val="24"/>
        </w:rPr>
      </w:pPr>
      <w:r>
        <w:rPr>
          <w:rFonts w:eastAsiaTheme="minorHAnsi" w:cs="Arial"/>
          <w:color w:val="auto"/>
          <w:spacing w:val="0"/>
          <w:sz w:val="24"/>
          <w:szCs w:val="24"/>
        </w:rPr>
        <w:t xml:space="preserve">The </w:t>
      </w:r>
      <w:r w:rsidR="00CC7089">
        <w:rPr>
          <w:rFonts w:eastAsiaTheme="minorHAnsi" w:cs="Arial"/>
          <w:color w:val="auto"/>
          <w:spacing w:val="0"/>
          <w:sz w:val="24"/>
          <w:szCs w:val="24"/>
        </w:rPr>
        <w:t>pay as produced</w:t>
      </w:r>
      <w:r w:rsidR="00286ABC">
        <w:rPr>
          <w:rFonts w:eastAsiaTheme="minorHAnsi" w:cs="Arial"/>
          <w:color w:val="auto"/>
          <w:spacing w:val="0"/>
          <w:sz w:val="24"/>
          <w:szCs w:val="24"/>
        </w:rPr>
        <w:t xml:space="preserve"> </w:t>
      </w:r>
      <w:r w:rsidR="00F1471E">
        <w:rPr>
          <w:rFonts w:eastAsiaTheme="minorHAnsi" w:cs="Arial"/>
          <w:color w:val="auto"/>
          <w:spacing w:val="0"/>
          <w:sz w:val="24"/>
          <w:szCs w:val="24"/>
        </w:rPr>
        <w:t>PPA</w:t>
      </w:r>
      <w:r w:rsidR="006D1770">
        <w:rPr>
          <w:rFonts w:eastAsiaTheme="minorHAnsi" w:cs="Arial"/>
          <w:color w:val="auto"/>
          <w:spacing w:val="0"/>
          <w:sz w:val="24"/>
          <w:szCs w:val="24"/>
        </w:rPr>
        <w:t xml:space="preserve"> </w:t>
      </w:r>
      <w:r w:rsidR="00286ABC" w:rsidRPr="00F1471E">
        <w:rPr>
          <w:rFonts w:eastAsiaTheme="minorHAnsi" w:cs="Arial"/>
          <w:color w:val="auto"/>
          <w:spacing w:val="0"/>
          <w:sz w:val="24"/>
          <w:szCs w:val="24"/>
        </w:rPr>
        <w:t>provi</w:t>
      </w:r>
      <w:r w:rsidR="00286ABC">
        <w:rPr>
          <w:rFonts w:eastAsiaTheme="minorHAnsi" w:cs="Arial"/>
          <w:color w:val="auto"/>
          <w:spacing w:val="0"/>
          <w:sz w:val="24"/>
          <w:szCs w:val="24"/>
        </w:rPr>
        <w:t>des</w:t>
      </w:r>
      <w:r w:rsidR="00286ABC" w:rsidRPr="00F1471E">
        <w:rPr>
          <w:rFonts w:eastAsiaTheme="minorHAnsi" w:cs="Arial"/>
          <w:color w:val="auto"/>
          <w:spacing w:val="0"/>
          <w:sz w:val="24"/>
          <w:szCs w:val="24"/>
        </w:rPr>
        <w:t xml:space="preserve"> </w:t>
      </w:r>
      <w:r>
        <w:rPr>
          <w:rFonts w:eastAsiaTheme="minorHAnsi" w:cs="Arial"/>
          <w:color w:val="auto"/>
          <w:spacing w:val="0"/>
          <w:sz w:val="24"/>
          <w:szCs w:val="24"/>
        </w:rPr>
        <w:t xml:space="preserve">escalating </w:t>
      </w:r>
      <w:r w:rsidR="00286ABC" w:rsidRPr="00F1471E">
        <w:rPr>
          <w:rFonts w:eastAsiaTheme="minorHAnsi" w:cs="Arial"/>
          <w:color w:val="auto"/>
          <w:spacing w:val="0"/>
          <w:sz w:val="24"/>
          <w:szCs w:val="24"/>
        </w:rPr>
        <w:t>contracted revenues through to 2036</w:t>
      </w:r>
      <w:r w:rsidR="00CC7089">
        <w:rPr>
          <w:rFonts w:eastAsiaTheme="minorHAnsi" w:cs="Arial"/>
          <w:color w:val="auto"/>
          <w:spacing w:val="0"/>
          <w:sz w:val="24"/>
          <w:szCs w:val="24"/>
        </w:rPr>
        <w:t xml:space="preserve"> and is the second PPA signed with Keppel DC REIT. </w:t>
      </w:r>
    </w:p>
    <w:p w14:paraId="2F9E4254" w14:textId="26609DD1" w:rsidR="006116FE" w:rsidRPr="006116FE" w:rsidRDefault="00AA75FE" w:rsidP="00305A06">
      <w:pPr>
        <w:pStyle w:val="BodyText"/>
        <w:spacing w:before="240" w:line="240" w:lineRule="auto"/>
        <w:jc w:val="both"/>
        <w:rPr>
          <w:rFonts w:eastAsiaTheme="minorHAnsi" w:cs="Arial"/>
          <w:b/>
          <w:bCs/>
          <w:color w:val="auto"/>
          <w:spacing w:val="0"/>
          <w:sz w:val="24"/>
          <w:szCs w:val="24"/>
        </w:rPr>
      </w:pPr>
      <w:r>
        <w:rPr>
          <w:rFonts w:eastAsiaTheme="minorHAnsi" w:cs="Arial"/>
          <w:b/>
          <w:bCs/>
          <w:color w:val="auto"/>
          <w:spacing w:val="0"/>
          <w:sz w:val="24"/>
          <w:szCs w:val="24"/>
        </w:rPr>
        <w:t xml:space="preserve">Re-contracting </w:t>
      </w:r>
      <w:r w:rsidR="006116FE">
        <w:rPr>
          <w:rFonts w:eastAsiaTheme="minorHAnsi" w:cs="Arial"/>
          <w:b/>
          <w:bCs/>
          <w:color w:val="auto"/>
          <w:spacing w:val="0"/>
          <w:sz w:val="24"/>
          <w:szCs w:val="24"/>
        </w:rPr>
        <w:t xml:space="preserve">Strategy </w:t>
      </w:r>
    </w:p>
    <w:p w14:paraId="1810453C" w14:textId="714F3576" w:rsidR="00AA75FE" w:rsidRDefault="000B6E3A" w:rsidP="00D7723B">
      <w:pPr>
        <w:pStyle w:val="BodyText"/>
        <w:spacing w:line="240" w:lineRule="auto"/>
        <w:jc w:val="both"/>
        <w:rPr>
          <w:rFonts w:eastAsiaTheme="minorHAnsi" w:cs="Arial"/>
          <w:color w:val="auto"/>
          <w:spacing w:val="0"/>
          <w:sz w:val="24"/>
          <w:szCs w:val="24"/>
        </w:rPr>
      </w:pPr>
      <w:r w:rsidRPr="000B6E3A">
        <w:rPr>
          <w:rFonts w:eastAsiaTheme="minorHAnsi" w:cs="Arial"/>
          <w:color w:val="auto"/>
          <w:spacing w:val="0"/>
          <w:sz w:val="24"/>
          <w:szCs w:val="24"/>
        </w:rPr>
        <w:t xml:space="preserve">Since the launch of </w:t>
      </w:r>
      <w:r w:rsidR="00996205">
        <w:rPr>
          <w:rFonts w:eastAsiaTheme="minorHAnsi" w:cs="Arial"/>
          <w:color w:val="auto"/>
          <w:spacing w:val="0"/>
          <w:sz w:val="24"/>
          <w:szCs w:val="24"/>
        </w:rPr>
        <w:t>its</w:t>
      </w:r>
      <w:r w:rsidRPr="000B6E3A">
        <w:rPr>
          <w:rFonts w:eastAsiaTheme="minorHAnsi" w:cs="Arial"/>
          <w:color w:val="auto"/>
          <w:spacing w:val="0"/>
          <w:sz w:val="24"/>
          <w:szCs w:val="24"/>
        </w:rPr>
        <w:t xml:space="preserve"> </w:t>
      </w:r>
      <w:r w:rsidR="00A64E15" w:rsidRPr="000B6E3A">
        <w:rPr>
          <w:rFonts w:eastAsiaTheme="minorHAnsi" w:cs="Arial"/>
          <w:color w:val="auto"/>
          <w:spacing w:val="0"/>
          <w:sz w:val="24"/>
          <w:szCs w:val="24"/>
        </w:rPr>
        <w:t>re</w:t>
      </w:r>
      <w:r w:rsidR="00685500">
        <w:rPr>
          <w:rFonts w:eastAsiaTheme="minorHAnsi" w:cs="Arial"/>
          <w:color w:val="auto"/>
          <w:spacing w:val="0"/>
          <w:sz w:val="24"/>
          <w:szCs w:val="24"/>
        </w:rPr>
        <w:t>-</w:t>
      </w:r>
      <w:r w:rsidR="00A64E15" w:rsidRPr="000B6E3A">
        <w:rPr>
          <w:rFonts w:eastAsiaTheme="minorHAnsi" w:cs="Arial"/>
          <w:color w:val="auto"/>
          <w:spacing w:val="0"/>
          <w:sz w:val="24"/>
          <w:szCs w:val="24"/>
        </w:rPr>
        <w:t>cont</w:t>
      </w:r>
      <w:r w:rsidR="00443129">
        <w:rPr>
          <w:rFonts w:eastAsiaTheme="minorHAnsi" w:cs="Arial"/>
          <w:color w:val="auto"/>
          <w:spacing w:val="0"/>
          <w:sz w:val="24"/>
          <w:szCs w:val="24"/>
        </w:rPr>
        <w:t>r</w:t>
      </w:r>
      <w:r w:rsidR="00A64E15" w:rsidRPr="000B6E3A">
        <w:rPr>
          <w:rFonts w:eastAsiaTheme="minorHAnsi" w:cs="Arial"/>
          <w:color w:val="auto"/>
          <w:spacing w:val="0"/>
          <w:sz w:val="24"/>
          <w:szCs w:val="24"/>
        </w:rPr>
        <w:t>acting</w:t>
      </w:r>
      <w:r w:rsidRPr="000B6E3A">
        <w:rPr>
          <w:rFonts w:eastAsiaTheme="minorHAnsi" w:cs="Arial"/>
          <w:color w:val="auto"/>
          <w:spacing w:val="0"/>
          <w:sz w:val="24"/>
          <w:szCs w:val="24"/>
        </w:rPr>
        <w:t xml:space="preserve"> </w:t>
      </w:r>
      <w:r w:rsidR="00AA75FE">
        <w:rPr>
          <w:rFonts w:eastAsiaTheme="minorHAnsi" w:cs="Arial"/>
          <w:color w:val="auto"/>
          <w:spacing w:val="0"/>
          <w:sz w:val="24"/>
          <w:szCs w:val="24"/>
        </w:rPr>
        <w:t>strategy</w:t>
      </w:r>
      <w:r w:rsidR="00645EB7" w:rsidRPr="00645EB7">
        <w:rPr>
          <w:rFonts w:eastAsiaTheme="minorHAnsi" w:cs="Arial"/>
          <w:color w:val="auto"/>
          <w:spacing w:val="0"/>
          <w:sz w:val="24"/>
          <w:szCs w:val="24"/>
        </w:rPr>
        <w:t xml:space="preserve"> </w:t>
      </w:r>
      <w:r w:rsidR="00645EB7">
        <w:rPr>
          <w:rFonts w:eastAsiaTheme="minorHAnsi" w:cs="Arial"/>
          <w:color w:val="auto"/>
          <w:spacing w:val="0"/>
          <w:sz w:val="24"/>
          <w:szCs w:val="24"/>
        </w:rPr>
        <w:t>in December 2023, which</w:t>
      </w:r>
      <w:r w:rsidR="00AA75FE">
        <w:rPr>
          <w:rFonts w:eastAsiaTheme="minorHAnsi" w:cs="Arial"/>
          <w:color w:val="auto"/>
          <w:spacing w:val="0"/>
          <w:sz w:val="24"/>
          <w:szCs w:val="24"/>
        </w:rPr>
        <w:t xml:space="preserve"> focuse</w:t>
      </w:r>
      <w:r w:rsidR="00645EB7">
        <w:rPr>
          <w:rFonts w:eastAsiaTheme="minorHAnsi" w:cs="Arial"/>
          <w:color w:val="auto"/>
          <w:spacing w:val="0"/>
          <w:sz w:val="24"/>
          <w:szCs w:val="24"/>
        </w:rPr>
        <w:t>s</w:t>
      </w:r>
      <w:r w:rsidR="00AA75FE">
        <w:rPr>
          <w:rFonts w:eastAsiaTheme="minorHAnsi" w:cs="Arial"/>
          <w:color w:val="auto"/>
          <w:spacing w:val="0"/>
          <w:sz w:val="24"/>
          <w:szCs w:val="24"/>
        </w:rPr>
        <w:t xml:space="preserve"> on assets transitioning out of tariff regimes</w:t>
      </w:r>
      <w:r w:rsidR="00645EB7">
        <w:rPr>
          <w:rFonts w:eastAsiaTheme="minorHAnsi" w:cs="Arial"/>
          <w:color w:val="auto"/>
          <w:spacing w:val="0"/>
          <w:sz w:val="24"/>
          <w:szCs w:val="24"/>
        </w:rPr>
        <w:t>,</w:t>
      </w:r>
      <w:r w:rsidRPr="000B6E3A">
        <w:rPr>
          <w:rFonts w:eastAsiaTheme="minorHAnsi" w:cs="Arial"/>
          <w:color w:val="auto"/>
          <w:spacing w:val="0"/>
          <w:sz w:val="24"/>
          <w:szCs w:val="24"/>
        </w:rPr>
        <w:t xml:space="preserve"> </w:t>
      </w:r>
      <w:r w:rsidR="00AA75FE">
        <w:rPr>
          <w:rFonts w:eastAsiaTheme="minorHAnsi" w:cs="Arial"/>
          <w:color w:val="auto"/>
          <w:spacing w:val="0"/>
          <w:sz w:val="24"/>
          <w:szCs w:val="24"/>
        </w:rPr>
        <w:t>the Company</w:t>
      </w:r>
      <w:r w:rsidR="00443129">
        <w:rPr>
          <w:rFonts w:eastAsiaTheme="minorHAnsi" w:cs="Arial"/>
          <w:color w:val="auto"/>
          <w:spacing w:val="0"/>
          <w:sz w:val="24"/>
          <w:szCs w:val="24"/>
        </w:rPr>
        <w:t xml:space="preserve"> has succ</w:t>
      </w:r>
      <w:r w:rsidR="00685500">
        <w:rPr>
          <w:rFonts w:eastAsiaTheme="minorHAnsi" w:cs="Arial"/>
          <w:color w:val="auto"/>
          <w:spacing w:val="0"/>
          <w:sz w:val="24"/>
          <w:szCs w:val="24"/>
        </w:rPr>
        <w:t xml:space="preserve">essfully </w:t>
      </w:r>
      <w:r w:rsidR="00EA3397">
        <w:rPr>
          <w:rFonts w:eastAsiaTheme="minorHAnsi" w:cs="Arial"/>
          <w:color w:val="auto"/>
          <w:spacing w:val="0"/>
          <w:sz w:val="24"/>
          <w:szCs w:val="24"/>
        </w:rPr>
        <w:t xml:space="preserve">executed </w:t>
      </w:r>
      <w:r w:rsidR="00847193">
        <w:rPr>
          <w:rFonts w:eastAsiaTheme="minorHAnsi" w:cs="Arial"/>
          <w:color w:val="auto"/>
          <w:spacing w:val="0"/>
          <w:sz w:val="24"/>
          <w:szCs w:val="24"/>
        </w:rPr>
        <w:t xml:space="preserve">a total of six PPAs for </w:t>
      </w:r>
      <w:r w:rsidRPr="000B6E3A">
        <w:rPr>
          <w:rFonts w:eastAsiaTheme="minorHAnsi" w:cs="Arial"/>
          <w:color w:val="auto"/>
          <w:spacing w:val="0"/>
          <w:sz w:val="24"/>
          <w:szCs w:val="24"/>
        </w:rPr>
        <w:t xml:space="preserve">over </w:t>
      </w:r>
      <w:r w:rsidR="001E3D29">
        <w:rPr>
          <w:rFonts w:eastAsiaTheme="minorHAnsi" w:cs="Arial"/>
          <w:color w:val="auto"/>
          <w:spacing w:val="0"/>
          <w:sz w:val="24"/>
          <w:szCs w:val="24"/>
        </w:rPr>
        <w:t>c</w:t>
      </w:r>
      <w:r w:rsidRPr="000B6E3A">
        <w:rPr>
          <w:rFonts w:eastAsiaTheme="minorHAnsi" w:cs="Arial"/>
          <w:color w:val="auto"/>
          <w:spacing w:val="0"/>
          <w:sz w:val="24"/>
          <w:szCs w:val="24"/>
        </w:rPr>
        <w:t>5</w:t>
      </w:r>
      <w:r w:rsidR="001E3D29">
        <w:rPr>
          <w:rFonts w:eastAsiaTheme="minorHAnsi" w:cs="Arial"/>
          <w:color w:val="auto"/>
          <w:spacing w:val="0"/>
          <w:sz w:val="24"/>
          <w:szCs w:val="24"/>
        </w:rPr>
        <w:t>40</w:t>
      </w:r>
      <w:r w:rsidR="00847193">
        <w:rPr>
          <w:rFonts w:eastAsiaTheme="minorHAnsi" w:cs="Arial"/>
          <w:color w:val="auto"/>
          <w:spacing w:val="0"/>
          <w:sz w:val="24"/>
          <w:szCs w:val="24"/>
        </w:rPr>
        <w:t xml:space="preserve"> </w:t>
      </w:r>
      <w:r w:rsidRPr="000B6E3A">
        <w:rPr>
          <w:rFonts w:eastAsiaTheme="minorHAnsi" w:cs="Arial"/>
          <w:color w:val="auto"/>
          <w:spacing w:val="0"/>
          <w:sz w:val="24"/>
          <w:szCs w:val="24"/>
        </w:rPr>
        <w:t xml:space="preserve">GWh </w:t>
      </w:r>
      <w:r w:rsidR="00EF2365">
        <w:rPr>
          <w:rFonts w:eastAsiaTheme="minorHAnsi" w:cs="Arial"/>
          <w:color w:val="auto"/>
          <w:spacing w:val="0"/>
          <w:sz w:val="24"/>
          <w:szCs w:val="24"/>
        </w:rPr>
        <w:t>of energy per annum</w:t>
      </w:r>
      <w:r w:rsidR="001E3D29">
        <w:rPr>
          <w:rFonts w:eastAsiaTheme="minorHAnsi" w:cs="Arial"/>
          <w:color w:val="auto"/>
          <w:spacing w:val="0"/>
          <w:sz w:val="24"/>
          <w:szCs w:val="24"/>
        </w:rPr>
        <w:t xml:space="preserve"> r</w:t>
      </w:r>
      <w:r w:rsidR="00AA75FE">
        <w:rPr>
          <w:rFonts w:eastAsiaTheme="minorHAnsi" w:cs="Arial"/>
          <w:color w:val="auto"/>
          <w:spacing w:val="0"/>
          <w:sz w:val="24"/>
          <w:szCs w:val="24"/>
        </w:rPr>
        <w:t>epresent</w:t>
      </w:r>
      <w:r w:rsidR="001E3D29">
        <w:rPr>
          <w:rFonts w:eastAsiaTheme="minorHAnsi" w:cs="Arial"/>
          <w:color w:val="auto"/>
          <w:spacing w:val="0"/>
          <w:sz w:val="24"/>
          <w:szCs w:val="24"/>
        </w:rPr>
        <w:t>ing</w:t>
      </w:r>
      <w:r w:rsidR="00AA75FE">
        <w:rPr>
          <w:rFonts w:eastAsiaTheme="minorHAnsi" w:cs="Arial"/>
          <w:color w:val="auto"/>
          <w:spacing w:val="0"/>
          <w:sz w:val="24"/>
          <w:szCs w:val="24"/>
        </w:rPr>
        <w:t xml:space="preserve"> </w:t>
      </w:r>
      <w:r w:rsidR="001E3D29">
        <w:rPr>
          <w:rFonts w:eastAsiaTheme="minorHAnsi" w:cs="Arial"/>
          <w:color w:val="auto"/>
          <w:spacing w:val="0"/>
          <w:sz w:val="24"/>
          <w:szCs w:val="24"/>
        </w:rPr>
        <w:t>c</w:t>
      </w:r>
      <w:r w:rsidR="00AA75FE">
        <w:rPr>
          <w:rFonts w:eastAsiaTheme="minorHAnsi" w:cs="Arial"/>
          <w:color w:val="auto"/>
          <w:spacing w:val="0"/>
          <w:sz w:val="24"/>
          <w:szCs w:val="24"/>
        </w:rPr>
        <w:t xml:space="preserve">20% of its 5 </w:t>
      </w:r>
      <w:proofErr w:type="gramStart"/>
      <w:r w:rsidR="00AA75FE">
        <w:rPr>
          <w:rFonts w:eastAsiaTheme="minorHAnsi" w:cs="Arial"/>
          <w:color w:val="auto"/>
          <w:spacing w:val="0"/>
          <w:sz w:val="24"/>
          <w:szCs w:val="24"/>
        </w:rPr>
        <w:t>year</w:t>
      </w:r>
      <w:proofErr w:type="gramEnd"/>
      <w:r w:rsidR="00AA75FE">
        <w:rPr>
          <w:rFonts w:eastAsiaTheme="minorHAnsi" w:cs="Arial"/>
          <w:color w:val="auto"/>
          <w:spacing w:val="0"/>
          <w:sz w:val="24"/>
          <w:szCs w:val="24"/>
        </w:rPr>
        <w:t xml:space="preserve"> look forward merchant volumes</w:t>
      </w:r>
      <w:r w:rsidR="001E3D29">
        <w:rPr>
          <w:rFonts w:eastAsiaTheme="minorHAnsi" w:cs="Arial"/>
          <w:color w:val="auto"/>
          <w:spacing w:val="0"/>
          <w:sz w:val="24"/>
          <w:szCs w:val="24"/>
        </w:rPr>
        <w:t>.</w:t>
      </w:r>
      <w:r w:rsidR="00AA75FE">
        <w:rPr>
          <w:rFonts w:eastAsiaTheme="minorHAnsi" w:cs="Arial"/>
          <w:color w:val="auto"/>
          <w:spacing w:val="0"/>
          <w:sz w:val="24"/>
          <w:szCs w:val="24"/>
        </w:rPr>
        <w:t xml:space="preserve"> </w:t>
      </w:r>
    </w:p>
    <w:p w14:paraId="0712325C" w14:textId="77777777" w:rsidR="00AA75FE" w:rsidRDefault="00AA75FE" w:rsidP="00D7723B">
      <w:pPr>
        <w:pStyle w:val="BodyText"/>
        <w:spacing w:line="240" w:lineRule="auto"/>
        <w:jc w:val="both"/>
        <w:rPr>
          <w:rFonts w:eastAsiaTheme="minorHAnsi" w:cs="Arial"/>
          <w:color w:val="auto"/>
          <w:spacing w:val="0"/>
          <w:sz w:val="24"/>
          <w:szCs w:val="24"/>
        </w:rPr>
      </w:pPr>
    </w:p>
    <w:p w14:paraId="3321B5A0" w14:textId="06C2DADE" w:rsidR="00D7723B" w:rsidRDefault="00AA75FE" w:rsidP="007E504E">
      <w:pPr>
        <w:pStyle w:val="BodyText"/>
        <w:spacing w:line="240" w:lineRule="auto"/>
        <w:jc w:val="both"/>
        <w:rPr>
          <w:rFonts w:eastAsiaTheme="minorHAnsi" w:cs="Arial"/>
          <w:color w:val="auto"/>
          <w:spacing w:val="0"/>
          <w:sz w:val="24"/>
          <w:szCs w:val="24"/>
        </w:rPr>
      </w:pPr>
      <w:r>
        <w:rPr>
          <w:rFonts w:eastAsiaTheme="minorHAnsi" w:cs="Arial"/>
          <w:color w:val="auto"/>
          <w:spacing w:val="0"/>
          <w:sz w:val="24"/>
          <w:szCs w:val="24"/>
        </w:rPr>
        <w:t xml:space="preserve">The PPAs </w:t>
      </w:r>
      <w:proofErr w:type="gramStart"/>
      <w:r>
        <w:rPr>
          <w:rFonts w:eastAsiaTheme="minorHAnsi" w:cs="Arial"/>
          <w:color w:val="auto"/>
          <w:spacing w:val="0"/>
          <w:sz w:val="24"/>
          <w:szCs w:val="24"/>
        </w:rPr>
        <w:t>entered into</w:t>
      </w:r>
      <w:proofErr w:type="gramEnd"/>
      <w:r>
        <w:rPr>
          <w:rFonts w:eastAsiaTheme="minorHAnsi" w:cs="Arial"/>
          <w:color w:val="auto"/>
          <w:spacing w:val="0"/>
          <w:sz w:val="24"/>
          <w:szCs w:val="24"/>
        </w:rPr>
        <w:t xml:space="preserve"> as part of </w:t>
      </w:r>
      <w:r w:rsidR="00645EB7">
        <w:rPr>
          <w:rFonts w:eastAsiaTheme="minorHAnsi" w:cs="Arial"/>
          <w:color w:val="auto"/>
          <w:spacing w:val="0"/>
          <w:sz w:val="24"/>
          <w:szCs w:val="24"/>
        </w:rPr>
        <w:t xml:space="preserve">the </w:t>
      </w:r>
      <w:r>
        <w:rPr>
          <w:rFonts w:eastAsiaTheme="minorHAnsi" w:cs="Arial"/>
          <w:color w:val="auto"/>
          <w:spacing w:val="0"/>
          <w:sz w:val="24"/>
          <w:szCs w:val="24"/>
        </w:rPr>
        <w:t xml:space="preserve">re-contracting strategy have an average tenure of </w:t>
      </w:r>
      <w:r w:rsidR="001E3D29">
        <w:rPr>
          <w:rFonts w:eastAsiaTheme="minorHAnsi" w:cs="Arial"/>
          <w:color w:val="auto"/>
          <w:spacing w:val="0"/>
          <w:sz w:val="24"/>
          <w:szCs w:val="24"/>
        </w:rPr>
        <w:t>over 8</w:t>
      </w:r>
      <w:r>
        <w:rPr>
          <w:rFonts w:eastAsiaTheme="minorHAnsi" w:cs="Arial"/>
          <w:color w:val="auto"/>
          <w:spacing w:val="0"/>
          <w:sz w:val="24"/>
          <w:szCs w:val="24"/>
        </w:rPr>
        <w:t xml:space="preserve"> years </w:t>
      </w:r>
      <w:r w:rsidR="00B93482">
        <w:rPr>
          <w:rFonts w:eastAsiaTheme="minorHAnsi" w:cs="Arial"/>
          <w:color w:val="auto"/>
          <w:spacing w:val="0"/>
          <w:sz w:val="24"/>
          <w:szCs w:val="24"/>
        </w:rPr>
        <w:t xml:space="preserve">and </w:t>
      </w:r>
      <w:r w:rsidR="00D7723B" w:rsidRPr="00D7723B">
        <w:rPr>
          <w:rFonts w:eastAsiaTheme="minorHAnsi" w:cs="Arial"/>
          <w:color w:val="auto"/>
          <w:spacing w:val="0"/>
          <w:sz w:val="24"/>
          <w:szCs w:val="24"/>
        </w:rPr>
        <w:t>s</w:t>
      </w:r>
      <w:r w:rsidR="0078106A">
        <w:rPr>
          <w:rFonts w:eastAsiaTheme="minorHAnsi" w:cs="Arial"/>
          <w:color w:val="auto"/>
          <w:spacing w:val="0"/>
          <w:sz w:val="24"/>
          <w:szCs w:val="24"/>
        </w:rPr>
        <w:t>pan</w:t>
      </w:r>
      <w:r w:rsidR="00D7723B" w:rsidRPr="00D7723B">
        <w:rPr>
          <w:rFonts w:eastAsiaTheme="minorHAnsi" w:cs="Arial"/>
          <w:color w:val="auto"/>
          <w:spacing w:val="0"/>
          <w:sz w:val="24"/>
          <w:szCs w:val="24"/>
        </w:rPr>
        <w:t xml:space="preserve"> </w:t>
      </w:r>
      <w:r w:rsidR="00CD7282">
        <w:rPr>
          <w:rFonts w:eastAsiaTheme="minorHAnsi" w:cs="Arial"/>
          <w:color w:val="auto"/>
          <w:spacing w:val="0"/>
          <w:sz w:val="24"/>
          <w:szCs w:val="24"/>
        </w:rPr>
        <w:t xml:space="preserve">multiple </w:t>
      </w:r>
      <w:r w:rsidR="00D7723B" w:rsidRPr="00D7723B">
        <w:rPr>
          <w:rFonts w:eastAsiaTheme="minorHAnsi" w:cs="Arial"/>
          <w:color w:val="auto"/>
          <w:spacing w:val="0"/>
          <w:sz w:val="24"/>
          <w:szCs w:val="24"/>
        </w:rPr>
        <w:t>geographies and technologies</w:t>
      </w:r>
      <w:r w:rsidR="00B93482">
        <w:rPr>
          <w:rFonts w:eastAsiaTheme="minorHAnsi" w:cs="Arial"/>
          <w:color w:val="auto"/>
          <w:spacing w:val="0"/>
          <w:sz w:val="24"/>
          <w:szCs w:val="24"/>
        </w:rPr>
        <w:t xml:space="preserve">. Counterparties include a broad range of leading international companies including </w:t>
      </w:r>
      <w:r w:rsidR="007E504E">
        <w:rPr>
          <w:rFonts w:eastAsiaTheme="minorHAnsi" w:cs="Arial"/>
          <w:color w:val="auto"/>
          <w:spacing w:val="0"/>
          <w:sz w:val="24"/>
          <w:szCs w:val="24"/>
        </w:rPr>
        <w:t xml:space="preserve">those in the </w:t>
      </w:r>
      <w:r w:rsidR="009E0862">
        <w:rPr>
          <w:rFonts w:eastAsiaTheme="minorHAnsi" w:cs="Arial"/>
          <w:color w:val="auto"/>
          <w:spacing w:val="0"/>
          <w:sz w:val="24"/>
          <w:szCs w:val="24"/>
        </w:rPr>
        <w:t xml:space="preserve">AI </w:t>
      </w:r>
      <w:r w:rsidR="00B93482">
        <w:rPr>
          <w:rFonts w:eastAsiaTheme="minorHAnsi" w:cs="Arial"/>
          <w:color w:val="auto"/>
          <w:spacing w:val="0"/>
          <w:sz w:val="24"/>
          <w:szCs w:val="24"/>
        </w:rPr>
        <w:t xml:space="preserve">and heavy industry </w:t>
      </w:r>
      <w:r w:rsidR="007E504E">
        <w:rPr>
          <w:rFonts w:eastAsiaTheme="minorHAnsi" w:cs="Arial"/>
          <w:color w:val="auto"/>
          <w:spacing w:val="0"/>
          <w:sz w:val="24"/>
          <w:szCs w:val="24"/>
        </w:rPr>
        <w:t xml:space="preserve">sectors who rely on clean energy to fuel future growth. </w:t>
      </w:r>
    </w:p>
    <w:p w14:paraId="7D790D63" w14:textId="77777777" w:rsidR="00D7723B" w:rsidRDefault="00D7723B" w:rsidP="00560F0B">
      <w:pPr>
        <w:pStyle w:val="BodyText"/>
        <w:spacing w:line="240" w:lineRule="auto"/>
        <w:jc w:val="both"/>
        <w:rPr>
          <w:rFonts w:eastAsiaTheme="minorHAnsi" w:cs="Arial"/>
          <w:color w:val="auto"/>
          <w:spacing w:val="0"/>
          <w:sz w:val="24"/>
          <w:szCs w:val="24"/>
        </w:rPr>
      </w:pPr>
    </w:p>
    <w:p w14:paraId="29A761B2" w14:textId="67803D4A" w:rsidR="008459AD" w:rsidRDefault="006E2FDF" w:rsidP="008459AD">
      <w:pPr>
        <w:pStyle w:val="BodyText"/>
        <w:spacing w:line="240" w:lineRule="auto"/>
        <w:jc w:val="both"/>
        <w:rPr>
          <w:rFonts w:eastAsiaTheme="minorHAnsi" w:cs="Arial"/>
          <w:color w:val="auto"/>
          <w:spacing w:val="0"/>
          <w:sz w:val="24"/>
          <w:szCs w:val="24"/>
        </w:rPr>
      </w:pPr>
      <w:r>
        <w:rPr>
          <w:rFonts w:eastAsiaTheme="minorHAnsi" w:cs="Arial"/>
          <w:color w:val="auto"/>
          <w:spacing w:val="0"/>
          <w:sz w:val="24"/>
          <w:szCs w:val="24"/>
        </w:rPr>
        <w:t xml:space="preserve">The PPA for </w:t>
      </w:r>
      <w:r w:rsidR="00CC6A2D" w:rsidRPr="00A76FED">
        <w:rPr>
          <w:rFonts w:eastAsiaTheme="minorHAnsi" w:cs="Arial"/>
          <w:color w:val="auto"/>
          <w:spacing w:val="0"/>
          <w:sz w:val="24"/>
          <w:szCs w:val="24"/>
        </w:rPr>
        <w:t>Ballincollig</w:t>
      </w:r>
      <w:r w:rsidR="00CC6A2D">
        <w:rPr>
          <w:rFonts w:eastAsiaTheme="minorHAnsi" w:cs="Arial"/>
          <w:color w:val="auto"/>
          <w:spacing w:val="0"/>
          <w:sz w:val="24"/>
          <w:szCs w:val="24"/>
        </w:rPr>
        <w:t xml:space="preserve"> wind farm is an example </w:t>
      </w:r>
      <w:r w:rsidR="008C4426">
        <w:rPr>
          <w:rFonts w:eastAsiaTheme="minorHAnsi" w:cs="Arial"/>
          <w:color w:val="auto"/>
          <w:spacing w:val="0"/>
          <w:sz w:val="24"/>
          <w:szCs w:val="24"/>
        </w:rPr>
        <w:t xml:space="preserve">of </w:t>
      </w:r>
      <w:r w:rsidR="00AE59E4">
        <w:rPr>
          <w:rFonts w:eastAsiaTheme="minorHAnsi" w:cs="Arial"/>
          <w:color w:val="auto"/>
          <w:spacing w:val="0"/>
          <w:sz w:val="24"/>
          <w:szCs w:val="24"/>
        </w:rPr>
        <w:t xml:space="preserve">the </w:t>
      </w:r>
      <w:r w:rsidR="00CC6A2D">
        <w:rPr>
          <w:rFonts w:eastAsiaTheme="minorHAnsi" w:cs="Arial"/>
          <w:color w:val="auto"/>
          <w:spacing w:val="0"/>
          <w:sz w:val="24"/>
          <w:szCs w:val="24"/>
        </w:rPr>
        <w:t>s</w:t>
      </w:r>
      <w:r w:rsidR="006B4193">
        <w:rPr>
          <w:rFonts w:eastAsiaTheme="minorHAnsi" w:cs="Arial"/>
          <w:color w:val="auto"/>
          <w:spacing w:val="0"/>
          <w:sz w:val="24"/>
          <w:szCs w:val="24"/>
        </w:rPr>
        <w:t xml:space="preserve">trategy in action, with the agreement being </w:t>
      </w:r>
      <w:r w:rsidR="008C4426">
        <w:rPr>
          <w:rFonts w:eastAsiaTheme="minorHAnsi" w:cs="Arial"/>
          <w:color w:val="auto"/>
          <w:spacing w:val="0"/>
          <w:sz w:val="24"/>
          <w:szCs w:val="24"/>
        </w:rPr>
        <w:t xml:space="preserve">executed ahead of the asset </w:t>
      </w:r>
      <w:r w:rsidR="00560F0B" w:rsidRPr="00AD594D">
        <w:rPr>
          <w:rFonts w:eastAsiaTheme="minorHAnsi" w:cs="Arial"/>
          <w:color w:val="auto"/>
          <w:spacing w:val="0"/>
          <w:sz w:val="24"/>
          <w:szCs w:val="24"/>
        </w:rPr>
        <w:t>exiting its regulated tariff structure next month</w:t>
      </w:r>
      <w:r w:rsidR="003843A8">
        <w:rPr>
          <w:rFonts w:eastAsiaTheme="minorHAnsi" w:cs="Arial"/>
          <w:color w:val="auto"/>
          <w:spacing w:val="0"/>
          <w:sz w:val="24"/>
          <w:szCs w:val="24"/>
        </w:rPr>
        <w:t xml:space="preserve"> and with a counterparty focused on p</w:t>
      </w:r>
      <w:r w:rsidR="00151D65">
        <w:rPr>
          <w:rFonts w:eastAsiaTheme="minorHAnsi" w:cs="Arial"/>
          <w:color w:val="auto"/>
          <w:spacing w:val="0"/>
          <w:sz w:val="24"/>
          <w:szCs w:val="24"/>
        </w:rPr>
        <w:t>owering its data centre through</w:t>
      </w:r>
      <w:r w:rsidR="003843A8">
        <w:rPr>
          <w:rFonts w:eastAsiaTheme="minorHAnsi" w:cs="Arial"/>
          <w:color w:val="auto"/>
          <w:spacing w:val="0"/>
          <w:sz w:val="24"/>
          <w:szCs w:val="24"/>
        </w:rPr>
        <w:t xml:space="preserve"> renewable e</w:t>
      </w:r>
      <w:r w:rsidR="00151D65">
        <w:rPr>
          <w:rFonts w:eastAsiaTheme="minorHAnsi" w:cs="Arial"/>
          <w:color w:val="auto"/>
          <w:spacing w:val="0"/>
          <w:sz w:val="24"/>
          <w:szCs w:val="24"/>
        </w:rPr>
        <w:t>nergy</w:t>
      </w:r>
      <w:r w:rsidR="00560F0B" w:rsidRPr="00AD594D">
        <w:rPr>
          <w:rFonts w:eastAsiaTheme="minorHAnsi" w:cs="Arial"/>
          <w:color w:val="auto"/>
          <w:spacing w:val="0"/>
          <w:sz w:val="24"/>
          <w:szCs w:val="24"/>
        </w:rPr>
        <w:t>.</w:t>
      </w:r>
      <w:r w:rsidR="0057335E">
        <w:rPr>
          <w:rFonts w:eastAsiaTheme="minorHAnsi" w:cs="Arial"/>
          <w:color w:val="auto"/>
          <w:spacing w:val="0"/>
          <w:sz w:val="24"/>
          <w:szCs w:val="24"/>
        </w:rPr>
        <w:t xml:space="preserve"> </w:t>
      </w:r>
      <w:r w:rsidR="008459AD" w:rsidRPr="00FB0199">
        <w:rPr>
          <w:rFonts w:eastAsiaTheme="minorHAnsi" w:cs="Arial"/>
          <w:color w:val="auto"/>
          <w:spacing w:val="0"/>
          <w:sz w:val="24"/>
          <w:szCs w:val="24"/>
        </w:rPr>
        <w:t>Amid th</w:t>
      </w:r>
      <w:r w:rsidR="007E504E">
        <w:rPr>
          <w:rFonts w:eastAsiaTheme="minorHAnsi" w:cs="Arial"/>
          <w:color w:val="auto"/>
          <w:spacing w:val="0"/>
          <w:sz w:val="24"/>
          <w:szCs w:val="24"/>
        </w:rPr>
        <w:t>e</w:t>
      </w:r>
      <w:r w:rsidR="008459AD" w:rsidRPr="00FB0199">
        <w:rPr>
          <w:rFonts w:eastAsiaTheme="minorHAnsi" w:cs="Arial"/>
          <w:color w:val="auto"/>
          <w:spacing w:val="0"/>
          <w:sz w:val="24"/>
          <w:szCs w:val="24"/>
        </w:rPr>
        <w:t xml:space="preserve"> growing demand for clean energy</w:t>
      </w:r>
      <w:r w:rsidR="007E504E">
        <w:rPr>
          <w:rFonts w:eastAsiaTheme="minorHAnsi" w:cs="Arial"/>
          <w:color w:val="auto"/>
          <w:spacing w:val="0"/>
          <w:sz w:val="24"/>
          <w:szCs w:val="24"/>
        </w:rPr>
        <w:t>,</w:t>
      </w:r>
      <w:r w:rsidR="008459AD" w:rsidRPr="00FB0199">
        <w:rPr>
          <w:rFonts w:eastAsiaTheme="minorHAnsi" w:cs="Arial"/>
          <w:color w:val="auto"/>
          <w:spacing w:val="0"/>
          <w:sz w:val="24"/>
          <w:szCs w:val="24"/>
        </w:rPr>
        <w:t xml:space="preserve"> Greencoat Renewables expects to continue to deliver </w:t>
      </w:r>
      <w:r w:rsidR="007E504E">
        <w:rPr>
          <w:rFonts w:eastAsiaTheme="minorHAnsi" w:cs="Arial"/>
          <w:color w:val="auto"/>
          <w:spacing w:val="0"/>
          <w:sz w:val="24"/>
          <w:szCs w:val="24"/>
        </w:rPr>
        <w:t xml:space="preserve">further </w:t>
      </w:r>
      <w:r w:rsidR="008459AD" w:rsidRPr="00FB0199">
        <w:rPr>
          <w:rFonts w:eastAsiaTheme="minorHAnsi" w:cs="Arial"/>
          <w:color w:val="auto"/>
          <w:spacing w:val="0"/>
          <w:sz w:val="24"/>
          <w:szCs w:val="24"/>
        </w:rPr>
        <w:t>PPAs as part of its core strategy.</w:t>
      </w:r>
    </w:p>
    <w:p w14:paraId="5904FEDB" w14:textId="77777777" w:rsidR="00534BDF" w:rsidRDefault="00534BDF" w:rsidP="00DF2B48">
      <w:pPr>
        <w:pStyle w:val="BodyText"/>
        <w:jc w:val="both"/>
        <w:rPr>
          <w:rFonts w:eastAsiaTheme="minorHAnsi" w:cs="Arial"/>
          <w:b/>
          <w:bCs/>
          <w:color w:val="auto"/>
          <w:spacing w:val="0"/>
          <w:sz w:val="24"/>
          <w:szCs w:val="24"/>
        </w:rPr>
      </w:pPr>
    </w:p>
    <w:p w14:paraId="5847E74C" w14:textId="550352B8" w:rsidR="00030268" w:rsidRDefault="00A76FED" w:rsidP="00D363E6">
      <w:pPr>
        <w:pStyle w:val="BodyText"/>
        <w:spacing w:line="240" w:lineRule="auto"/>
        <w:jc w:val="both"/>
        <w:rPr>
          <w:rFonts w:eastAsiaTheme="minorHAnsi" w:cs="Arial"/>
          <w:i/>
          <w:iCs/>
          <w:color w:val="auto"/>
          <w:spacing w:val="0"/>
          <w:sz w:val="24"/>
          <w:szCs w:val="24"/>
        </w:rPr>
      </w:pPr>
      <w:r w:rsidRPr="00A76FED">
        <w:rPr>
          <w:rFonts w:eastAsiaTheme="minorHAnsi" w:cs="Arial"/>
          <w:b/>
          <w:bCs/>
          <w:color w:val="auto"/>
          <w:spacing w:val="0"/>
          <w:sz w:val="24"/>
          <w:szCs w:val="24"/>
        </w:rPr>
        <w:t xml:space="preserve">Paul O’ Donnell, </w:t>
      </w:r>
      <w:r w:rsidR="001E3D29">
        <w:rPr>
          <w:rFonts w:eastAsiaTheme="minorHAnsi" w:cs="Arial"/>
          <w:b/>
          <w:bCs/>
          <w:color w:val="auto"/>
          <w:spacing w:val="0"/>
          <w:sz w:val="24"/>
          <w:szCs w:val="24"/>
        </w:rPr>
        <w:t>Partner, Schroders Greencoat</w:t>
      </w:r>
      <w:r w:rsidR="007B36B3">
        <w:rPr>
          <w:rFonts w:eastAsiaTheme="minorHAnsi" w:cs="Arial"/>
          <w:b/>
          <w:bCs/>
          <w:color w:val="auto"/>
          <w:spacing w:val="0"/>
          <w:sz w:val="24"/>
          <w:szCs w:val="24"/>
        </w:rPr>
        <w:t xml:space="preserve"> </w:t>
      </w:r>
      <w:r w:rsidR="001E3D29">
        <w:rPr>
          <w:rFonts w:eastAsiaTheme="minorHAnsi" w:cs="Arial"/>
          <w:b/>
          <w:bCs/>
          <w:color w:val="auto"/>
          <w:spacing w:val="0"/>
          <w:sz w:val="24"/>
          <w:szCs w:val="24"/>
        </w:rPr>
        <w:t>LLP</w:t>
      </w:r>
      <w:r w:rsidR="003260D7">
        <w:rPr>
          <w:rFonts w:eastAsiaTheme="minorHAnsi" w:cs="Arial"/>
          <w:b/>
          <w:bCs/>
          <w:color w:val="auto"/>
          <w:spacing w:val="0"/>
          <w:sz w:val="24"/>
          <w:szCs w:val="24"/>
        </w:rPr>
        <w:t>, commented</w:t>
      </w:r>
      <w:r w:rsidRPr="00A76FED">
        <w:rPr>
          <w:rFonts w:eastAsiaTheme="minorHAnsi" w:cs="Arial"/>
          <w:b/>
          <w:bCs/>
          <w:color w:val="auto"/>
          <w:spacing w:val="0"/>
          <w:sz w:val="24"/>
          <w:szCs w:val="24"/>
        </w:rPr>
        <w:t xml:space="preserve">: </w:t>
      </w:r>
      <w:r w:rsidR="00262597" w:rsidRPr="004B193D">
        <w:rPr>
          <w:rFonts w:eastAsiaTheme="minorHAnsi" w:cs="Arial"/>
          <w:i/>
          <w:iCs/>
          <w:color w:val="auto"/>
          <w:spacing w:val="0"/>
          <w:sz w:val="24"/>
          <w:szCs w:val="24"/>
        </w:rPr>
        <w:t>“</w:t>
      </w:r>
      <w:r w:rsidR="00275C9A" w:rsidRPr="004B193D">
        <w:rPr>
          <w:rFonts w:eastAsiaTheme="minorHAnsi" w:cs="Arial"/>
          <w:i/>
          <w:iCs/>
          <w:color w:val="auto"/>
          <w:spacing w:val="0"/>
          <w:sz w:val="24"/>
          <w:szCs w:val="24"/>
        </w:rPr>
        <w:t>This agreement is a clear demonstration of our ability to execute our re-contracting strategy</w:t>
      </w:r>
      <w:r w:rsidR="00432091" w:rsidRPr="004B193D">
        <w:rPr>
          <w:rFonts w:eastAsiaTheme="minorHAnsi" w:cs="Arial"/>
          <w:i/>
          <w:iCs/>
          <w:color w:val="auto"/>
          <w:spacing w:val="0"/>
          <w:sz w:val="24"/>
          <w:szCs w:val="24"/>
        </w:rPr>
        <w:t xml:space="preserve">, </w:t>
      </w:r>
      <w:r w:rsidR="00950176" w:rsidRPr="004B193D">
        <w:rPr>
          <w:rFonts w:eastAsiaTheme="minorHAnsi" w:cs="Arial"/>
          <w:i/>
          <w:iCs/>
          <w:color w:val="auto"/>
          <w:spacing w:val="0"/>
          <w:sz w:val="24"/>
          <w:szCs w:val="24"/>
        </w:rPr>
        <w:t>secur</w:t>
      </w:r>
      <w:r w:rsidR="00775133">
        <w:rPr>
          <w:rFonts w:eastAsiaTheme="minorHAnsi" w:cs="Arial"/>
          <w:i/>
          <w:iCs/>
          <w:color w:val="auto"/>
          <w:spacing w:val="0"/>
          <w:sz w:val="24"/>
          <w:szCs w:val="24"/>
        </w:rPr>
        <w:t>ing</w:t>
      </w:r>
      <w:r w:rsidR="00950176" w:rsidRPr="004B193D">
        <w:rPr>
          <w:rFonts w:eastAsiaTheme="minorHAnsi" w:cs="Arial"/>
          <w:i/>
          <w:iCs/>
          <w:color w:val="auto"/>
          <w:spacing w:val="0"/>
          <w:sz w:val="24"/>
          <w:szCs w:val="24"/>
        </w:rPr>
        <w:t xml:space="preserve"> </w:t>
      </w:r>
      <w:r w:rsidR="001861D6">
        <w:rPr>
          <w:rFonts w:eastAsiaTheme="minorHAnsi" w:cs="Arial"/>
          <w:i/>
          <w:iCs/>
          <w:color w:val="auto"/>
          <w:spacing w:val="0"/>
          <w:sz w:val="24"/>
          <w:szCs w:val="24"/>
        </w:rPr>
        <w:t>long-term</w:t>
      </w:r>
      <w:r w:rsidR="00950176" w:rsidRPr="004B193D">
        <w:rPr>
          <w:rFonts w:eastAsiaTheme="minorHAnsi" w:cs="Arial"/>
          <w:i/>
          <w:iCs/>
          <w:color w:val="auto"/>
          <w:spacing w:val="0"/>
          <w:sz w:val="24"/>
          <w:szCs w:val="24"/>
        </w:rPr>
        <w:t xml:space="preserve"> cash flows</w:t>
      </w:r>
      <w:r w:rsidR="00DF0E9D">
        <w:rPr>
          <w:rFonts w:eastAsiaTheme="minorHAnsi" w:cs="Arial"/>
          <w:i/>
          <w:iCs/>
          <w:color w:val="auto"/>
          <w:spacing w:val="0"/>
          <w:sz w:val="24"/>
          <w:szCs w:val="24"/>
        </w:rPr>
        <w:t xml:space="preserve"> and</w:t>
      </w:r>
      <w:r w:rsidR="00950176" w:rsidRPr="004B193D">
        <w:rPr>
          <w:rFonts w:eastAsiaTheme="minorHAnsi" w:cs="Arial"/>
          <w:i/>
          <w:iCs/>
          <w:color w:val="auto"/>
          <w:spacing w:val="0"/>
          <w:sz w:val="24"/>
          <w:szCs w:val="24"/>
        </w:rPr>
        <w:t xml:space="preserve"> </w:t>
      </w:r>
      <w:r w:rsidR="00DF0E9D">
        <w:rPr>
          <w:rFonts w:eastAsiaTheme="minorHAnsi" w:cs="Arial"/>
          <w:i/>
          <w:iCs/>
          <w:color w:val="auto"/>
          <w:spacing w:val="0"/>
          <w:sz w:val="24"/>
          <w:szCs w:val="24"/>
        </w:rPr>
        <w:t>supporting</w:t>
      </w:r>
      <w:r w:rsidR="00B35509" w:rsidRPr="004B193D">
        <w:rPr>
          <w:rFonts w:eastAsiaTheme="minorHAnsi" w:cs="Arial"/>
          <w:i/>
          <w:iCs/>
          <w:color w:val="auto"/>
          <w:spacing w:val="0"/>
          <w:sz w:val="24"/>
          <w:szCs w:val="24"/>
        </w:rPr>
        <w:t xml:space="preserve"> asset value</w:t>
      </w:r>
      <w:r w:rsidR="00DF0E9D">
        <w:rPr>
          <w:rFonts w:eastAsiaTheme="minorHAnsi" w:cs="Arial"/>
          <w:i/>
          <w:iCs/>
          <w:color w:val="auto"/>
          <w:spacing w:val="0"/>
          <w:sz w:val="24"/>
          <w:szCs w:val="24"/>
        </w:rPr>
        <w:t xml:space="preserve">. This agreement also </w:t>
      </w:r>
      <w:r w:rsidR="00B35509" w:rsidRPr="004B193D">
        <w:rPr>
          <w:rFonts w:eastAsiaTheme="minorHAnsi" w:cs="Arial"/>
          <w:i/>
          <w:iCs/>
          <w:color w:val="auto"/>
          <w:spacing w:val="0"/>
          <w:sz w:val="24"/>
          <w:szCs w:val="24"/>
        </w:rPr>
        <w:t xml:space="preserve">further </w:t>
      </w:r>
      <w:r w:rsidR="004B49FB" w:rsidRPr="004B193D">
        <w:rPr>
          <w:rFonts w:eastAsiaTheme="minorHAnsi" w:cs="Arial"/>
          <w:i/>
          <w:iCs/>
          <w:color w:val="auto"/>
          <w:spacing w:val="0"/>
          <w:sz w:val="24"/>
          <w:szCs w:val="24"/>
        </w:rPr>
        <w:t>strengthen</w:t>
      </w:r>
      <w:r w:rsidR="00DF0E9D">
        <w:rPr>
          <w:rFonts w:eastAsiaTheme="minorHAnsi" w:cs="Arial"/>
          <w:i/>
          <w:iCs/>
          <w:color w:val="auto"/>
          <w:spacing w:val="0"/>
          <w:sz w:val="24"/>
          <w:szCs w:val="24"/>
        </w:rPr>
        <w:t>s</w:t>
      </w:r>
      <w:r w:rsidR="00B35509" w:rsidRPr="004B193D">
        <w:rPr>
          <w:rFonts w:eastAsiaTheme="minorHAnsi" w:cs="Arial"/>
          <w:i/>
          <w:iCs/>
          <w:color w:val="auto"/>
          <w:spacing w:val="0"/>
          <w:sz w:val="24"/>
          <w:szCs w:val="24"/>
        </w:rPr>
        <w:t xml:space="preserve"> our position as </w:t>
      </w:r>
      <w:r w:rsidR="00262597" w:rsidRPr="004B193D">
        <w:rPr>
          <w:rFonts w:eastAsiaTheme="minorHAnsi" w:cs="Arial"/>
          <w:i/>
          <w:iCs/>
          <w:color w:val="auto"/>
          <w:spacing w:val="0"/>
          <w:sz w:val="24"/>
          <w:szCs w:val="24"/>
        </w:rPr>
        <w:t>a trusted partner to lead</w:t>
      </w:r>
      <w:r w:rsidR="00977A6D">
        <w:rPr>
          <w:rFonts w:eastAsiaTheme="minorHAnsi" w:cs="Arial"/>
          <w:i/>
          <w:iCs/>
          <w:color w:val="auto"/>
          <w:spacing w:val="0"/>
          <w:sz w:val="24"/>
          <w:szCs w:val="24"/>
        </w:rPr>
        <w:t xml:space="preserve">ing power </w:t>
      </w:r>
      <w:r w:rsidR="00977A6D" w:rsidRPr="00977A6D">
        <w:rPr>
          <w:rFonts w:eastAsiaTheme="minorHAnsi" w:cs="Arial"/>
          <w:i/>
          <w:iCs/>
          <w:color w:val="auto"/>
          <w:spacing w:val="0"/>
          <w:sz w:val="24"/>
          <w:szCs w:val="24"/>
        </w:rPr>
        <w:t>buyers</w:t>
      </w:r>
      <w:r w:rsidR="00977A6D">
        <w:rPr>
          <w:rFonts w:eastAsiaTheme="minorHAnsi" w:cs="Arial"/>
          <w:i/>
          <w:iCs/>
          <w:color w:val="auto"/>
          <w:spacing w:val="0"/>
          <w:sz w:val="24"/>
          <w:szCs w:val="24"/>
        </w:rPr>
        <w:t>, supporting their</w:t>
      </w:r>
      <w:r w:rsidR="00977A6D" w:rsidRPr="00977A6D">
        <w:rPr>
          <w:rFonts w:eastAsiaTheme="minorHAnsi" w:cs="Arial"/>
          <w:i/>
          <w:iCs/>
          <w:color w:val="auto"/>
          <w:spacing w:val="0"/>
          <w:sz w:val="24"/>
          <w:szCs w:val="24"/>
        </w:rPr>
        <w:t xml:space="preserve"> decarbonization </w:t>
      </w:r>
      <w:r w:rsidR="00977A6D">
        <w:rPr>
          <w:rFonts w:eastAsiaTheme="minorHAnsi" w:cs="Arial"/>
          <w:i/>
          <w:iCs/>
          <w:color w:val="auto"/>
          <w:spacing w:val="0"/>
          <w:sz w:val="24"/>
          <w:szCs w:val="24"/>
        </w:rPr>
        <w:t xml:space="preserve">efforts </w:t>
      </w:r>
      <w:r w:rsidR="00977A6D" w:rsidRPr="00977A6D">
        <w:rPr>
          <w:rFonts w:eastAsiaTheme="minorHAnsi" w:cs="Arial"/>
          <w:i/>
          <w:iCs/>
          <w:color w:val="auto"/>
          <w:spacing w:val="0"/>
          <w:sz w:val="24"/>
          <w:szCs w:val="24"/>
        </w:rPr>
        <w:t>and advancing the energy transition</w:t>
      </w:r>
      <w:r w:rsidR="00977A6D">
        <w:rPr>
          <w:rFonts w:eastAsiaTheme="minorHAnsi" w:cs="Arial"/>
          <w:i/>
          <w:iCs/>
          <w:color w:val="auto"/>
          <w:spacing w:val="0"/>
          <w:sz w:val="24"/>
          <w:szCs w:val="24"/>
        </w:rPr>
        <w:t>.</w:t>
      </w:r>
    </w:p>
    <w:p w14:paraId="0D09D24E" w14:textId="77777777" w:rsidR="00AB0CDD" w:rsidRPr="004B193D" w:rsidRDefault="00AB0CDD" w:rsidP="00262597">
      <w:pPr>
        <w:pStyle w:val="BodyText"/>
        <w:jc w:val="both"/>
        <w:rPr>
          <w:rFonts w:eastAsiaTheme="minorHAnsi" w:cs="Arial"/>
          <w:i/>
          <w:iCs/>
          <w:color w:val="auto"/>
          <w:spacing w:val="0"/>
          <w:sz w:val="24"/>
          <w:szCs w:val="24"/>
        </w:rPr>
      </w:pPr>
    </w:p>
    <w:p w14:paraId="24A5D49F" w14:textId="50B70E0D" w:rsidR="00262597" w:rsidRPr="00A76FED" w:rsidRDefault="00310BD9" w:rsidP="00262597">
      <w:pPr>
        <w:pStyle w:val="BodyText"/>
        <w:jc w:val="both"/>
        <w:rPr>
          <w:rFonts w:eastAsiaTheme="minorHAnsi" w:cs="Arial"/>
          <w:i/>
          <w:iCs/>
          <w:color w:val="auto"/>
          <w:spacing w:val="0"/>
          <w:sz w:val="24"/>
          <w:szCs w:val="24"/>
        </w:rPr>
      </w:pPr>
      <w:r>
        <w:rPr>
          <w:rFonts w:eastAsiaTheme="minorHAnsi" w:cs="Arial"/>
          <w:i/>
          <w:iCs/>
          <w:color w:val="auto"/>
          <w:spacing w:val="0"/>
          <w:sz w:val="24"/>
          <w:szCs w:val="24"/>
        </w:rPr>
        <w:t>A</w:t>
      </w:r>
      <w:r w:rsidR="00C565C9" w:rsidRPr="004B193D">
        <w:rPr>
          <w:rFonts w:eastAsiaTheme="minorHAnsi" w:cs="Arial"/>
          <w:i/>
          <w:iCs/>
          <w:color w:val="auto"/>
          <w:spacing w:val="0"/>
          <w:sz w:val="24"/>
          <w:szCs w:val="24"/>
        </w:rPr>
        <w:t xml:space="preserve">s </w:t>
      </w:r>
      <w:r w:rsidR="00624D29">
        <w:rPr>
          <w:rFonts w:eastAsiaTheme="minorHAnsi" w:cs="Arial"/>
          <w:i/>
          <w:iCs/>
          <w:color w:val="auto"/>
          <w:spacing w:val="0"/>
          <w:sz w:val="24"/>
          <w:szCs w:val="24"/>
        </w:rPr>
        <w:t>one of Europe’s</w:t>
      </w:r>
      <w:r w:rsidR="00C565C9" w:rsidRPr="004B193D">
        <w:rPr>
          <w:rFonts w:eastAsiaTheme="minorHAnsi" w:cs="Arial"/>
          <w:i/>
          <w:iCs/>
          <w:color w:val="auto"/>
          <w:spacing w:val="0"/>
          <w:sz w:val="24"/>
          <w:szCs w:val="24"/>
        </w:rPr>
        <w:t xml:space="preserve"> leading </w:t>
      </w:r>
      <w:r w:rsidR="002F25E9">
        <w:rPr>
          <w:rFonts w:eastAsiaTheme="minorHAnsi" w:cs="Arial"/>
          <w:i/>
          <w:iCs/>
          <w:color w:val="auto"/>
          <w:spacing w:val="0"/>
          <w:sz w:val="24"/>
          <w:szCs w:val="24"/>
        </w:rPr>
        <w:t xml:space="preserve">listed </w:t>
      </w:r>
      <w:r w:rsidR="00D46482">
        <w:rPr>
          <w:rFonts w:eastAsiaTheme="minorHAnsi" w:cs="Arial"/>
          <w:i/>
          <w:iCs/>
          <w:color w:val="auto"/>
          <w:spacing w:val="0"/>
          <w:sz w:val="24"/>
          <w:szCs w:val="24"/>
        </w:rPr>
        <w:t xml:space="preserve">owners and operators of </w:t>
      </w:r>
      <w:r w:rsidR="00C565C9" w:rsidRPr="004B193D">
        <w:rPr>
          <w:rFonts w:eastAsiaTheme="minorHAnsi" w:cs="Arial"/>
          <w:i/>
          <w:iCs/>
          <w:color w:val="auto"/>
          <w:spacing w:val="0"/>
          <w:sz w:val="24"/>
          <w:szCs w:val="24"/>
        </w:rPr>
        <w:t>renewable energy</w:t>
      </w:r>
      <w:r w:rsidR="00D46482">
        <w:rPr>
          <w:rFonts w:eastAsiaTheme="minorHAnsi" w:cs="Arial"/>
          <w:i/>
          <w:iCs/>
          <w:color w:val="auto"/>
          <w:spacing w:val="0"/>
          <w:sz w:val="24"/>
          <w:szCs w:val="24"/>
        </w:rPr>
        <w:t xml:space="preserve"> infrastructure assets</w:t>
      </w:r>
      <w:r w:rsidR="002F25E9">
        <w:rPr>
          <w:rFonts w:eastAsiaTheme="minorHAnsi" w:cs="Arial"/>
          <w:i/>
          <w:iCs/>
          <w:color w:val="auto"/>
          <w:spacing w:val="0"/>
          <w:sz w:val="24"/>
          <w:szCs w:val="24"/>
        </w:rPr>
        <w:t>,</w:t>
      </w:r>
      <w:r w:rsidR="004B193D" w:rsidRPr="004B193D">
        <w:rPr>
          <w:rFonts w:eastAsiaTheme="minorHAnsi" w:cs="Arial"/>
          <w:i/>
          <w:iCs/>
          <w:color w:val="auto"/>
          <w:spacing w:val="0"/>
          <w:sz w:val="24"/>
          <w:szCs w:val="24"/>
        </w:rPr>
        <w:t xml:space="preserve"> </w:t>
      </w:r>
      <w:r w:rsidR="002D3269" w:rsidRPr="002D3269">
        <w:rPr>
          <w:rFonts w:eastAsiaTheme="minorHAnsi" w:cs="Arial"/>
          <w:i/>
          <w:iCs/>
          <w:color w:val="auto"/>
          <w:spacing w:val="0"/>
          <w:sz w:val="24"/>
          <w:szCs w:val="24"/>
        </w:rPr>
        <w:t xml:space="preserve">we see significant opportunity in the accelerating </w:t>
      </w:r>
      <w:r w:rsidR="00FE1853">
        <w:rPr>
          <w:rFonts w:eastAsiaTheme="minorHAnsi" w:cs="Arial"/>
          <w:i/>
          <w:iCs/>
          <w:color w:val="auto"/>
          <w:spacing w:val="0"/>
          <w:sz w:val="24"/>
          <w:szCs w:val="24"/>
        </w:rPr>
        <w:t xml:space="preserve">energy </w:t>
      </w:r>
      <w:r w:rsidR="002D3269" w:rsidRPr="002D3269">
        <w:rPr>
          <w:rFonts w:eastAsiaTheme="minorHAnsi" w:cs="Arial"/>
          <w:i/>
          <w:iCs/>
          <w:color w:val="auto"/>
          <w:spacing w:val="0"/>
          <w:sz w:val="24"/>
          <w:szCs w:val="24"/>
        </w:rPr>
        <w:t>demand driven by data centre growth and the broader AI-led digital economy. Data centres powered by renewable energy will be a key industrial enabler for the next phase of economic development. Greencoat Renewables is strategically positioned to deliver cost-effective, clean power — supporting the ambitions of our partners and contributing to sustainable economic growth.”</w:t>
      </w:r>
    </w:p>
    <w:p w14:paraId="19A2DCBB" w14:textId="77777777" w:rsidR="00A76FED" w:rsidRPr="00A76FED" w:rsidRDefault="00A76FED" w:rsidP="00A76FED">
      <w:pPr>
        <w:pStyle w:val="BodyText"/>
        <w:spacing w:line="240" w:lineRule="auto"/>
        <w:jc w:val="both"/>
        <w:rPr>
          <w:rFonts w:eastAsiaTheme="minorHAnsi" w:cs="Arial"/>
          <w:color w:val="auto"/>
          <w:spacing w:val="0"/>
          <w:sz w:val="24"/>
          <w:szCs w:val="24"/>
        </w:rPr>
      </w:pPr>
    </w:p>
    <w:p w14:paraId="77EC3E50" w14:textId="77777777" w:rsidR="00A76FED" w:rsidRDefault="00A76FED" w:rsidP="00A76FED">
      <w:pPr>
        <w:jc w:val="center"/>
        <w:rPr>
          <w:rFonts w:ascii="Arial" w:hAnsi="Arial" w:cs="Arial"/>
          <w:b/>
          <w:bCs/>
        </w:rPr>
      </w:pPr>
      <w:r w:rsidRPr="00424748">
        <w:rPr>
          <w:rFonts w:ascii="Arial" w:hAnsi="Arial" w:cs="Arial"/>
          <w:b/>
          <w:bCs/>
        </w:rPr>
        <w:t>--- ENDS ---</w:t>
      </w:r>
    </w:p>
    <w:p w14:paraId="36D7BFFC" w14:textId="77777777" w:rsidR="00F412C7" w:rsidRPr="00424748" w:rsidRDefault="00F412C7" w:rsidP="00A76FED">
      <w:pPr>
        <w:jc w:val="center"/>
        <w:rPr>
          <w:rFonts w:ascii="Arial" w:hAnsi="Arial" w:cs="Arial"/>
          <w:b/>
          <w:bCs/>
        </w:rPr>
      </w:pPr>
    </w:p>
    <w:p w14:paraId="3D1F7268" w14:textId="77777777" w:rsidR="00A76FED" w:rsidRPr="00A76FED" w:rsidRDefault="00A76FED" w:rsidP="00A76FED">
      <w:pPr>
        <w:jc w:val="both"/>
        <w:rPr>
          <w:rFonts w:ascii="Arial" w:hAnsi="Arial" w:cs="Arial"/>
        </w:rPr>
      </w:pPr>
    </w:p>
    <w:p w14:paraId="01041397" w14:textId="5A66452F" w:rsidR="00A76FED" w:rsidRPr="00A76FED" w:rsidRDefault="00A76FED" w:rsidP="00A76FED">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For further information, please contact:</w:t>
      </w:r>
    </w:p>
    <w:p w14:paraId="147031E5" w14:textId="77777777" w:rsidR="00A76FED" w:rsidRPr="00A76FED" w:rsidRDefault="00A76FED" w:rsidP="00A76FED">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tbl>
      <w:tblPr>
        <w:tblW w:w="9032" w:type="dxa"/>
        <w:tblCellSpacing w:w="0" w:type="dxa"/>
        <w:shd w:val="clear" w:color="auto" w:fill="FFFFFF"/>
        <w:tblCellMar>
          <w:left w:w="0" w:type="dxa"/>
          <w:right w:w="0" w:type="dxa"/>
        </w:tblCellMar>
        <w:tblLook w:val="04A0" w:firstRow="1" w:lastRow="0" w:firstColumn="1" w:lastColumn="0" w:noHBand="0" w:noVBand="1"/>
      </w:tblPr>
      <w:tblGrid>
        <w:gridCol w:w="3899"/>
        <w:gridCol w:w="451"/>
        <w:gridCol w:w="50"/>
        <w:gridCol w:w="50"/>
        <w:gridCol w:w="135"/>
        <w:gridCol w:w="4352"/>
        <w:gridCol w:w="95"/>
      </w:tblGrid>
      <w:tr w:rsidR="00A76FED" w:rsidRPr="00A76FED" w14:paraId="32247E61" w14:textId="77777777" w:rsidTr="009C217B">
        <w:trPr>
          <w:trHeight w:val="300"/>
          <w:tblCellSpacing w:w="0" w:type="dxa"/>
        </w:trPr>
        <w:tc>
          <w:tcPr>
            <w:tcW w:w="3899" w:type="dxa"/>
            <w:shd w:val="clear" w:color="auto" w:fill="FFFFFF" w:themeFill="background1"/>
            <w:tcMar>
              <w:top w:w="15" w:type="dxa"/>
              <w:left w:w="0" w:type="dxa"/>
              <w:bottom w:w="15" w:type="dxa"/>
              <w:right w:w="0" w:type="dxa"/>
            </w:tcMar>
            <w:vAlign w:val="bottom"/>
            <w:hideMark/>
          </w:tcPr>
          <w:p w14:paraId="2F36CDD9"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b/>
                <w:bCs/>
                <w:color w:val="000000"/>
                <w:szCs w:val="20"/>
                <w:lang w:eastAsia="en-GB"/>
              </w:rPr>
              <w:t>Schroders Greencoat LLP (Investment</w:t>
            </w:r>
            <w:r w:rsidRPr="00A76FED">
              <w:rPr>
                <w:rFonts w:ascii="Arial" w:eastAsia="Times New Roman" w:hAnsi="Arial" w:cs="Arial"/>
                <w:color w:val="000000"/>
                <w:szCs w:val="20"/>
                <w:lang w:eastAsia="en-GB"/>
              </w:rPr>
              <w:t> </w:t>
            </w:r>
            <w:r w:rsidRPr="00A76FED">
              <w:rPr>
                <w:rFonts w:ascii="Arial" w:eastAsia="Times New Roman" w:hAnsi="Arial" w:cs="Arial"/>
                <w:b/>
                <w:bCs/>
                <w:color w:val="000000"/>
                <w:szCs w:val="20"/>
                <w:lang w:eastAsia="en-GB"/>
              </w:rPr>
              <w:t>Manager)</w:t>
            </w:r>
          </w:p>
        </w:tc>
        <w:tc>
          <w:tcPr>
            <w:tcW w:w="451" w:type="dxa"/>
            <w:shd w:val="clear" w:color="auto" w:fill="FFFFFF" w:themeFill="background1"/>
            <w:tcMar>
              <w:top w:w="15" w:type="dxa"/>
              <w:left w:w="15" w:type="dxa"/>
              <w:bottom w:w="15" w:type="dxa"/>
              <w:right w:w="15" w:type="dxa"/>
            </w:tcMar>
            <w:vAlign w:val="center"/>
            <w:hideMark/>
          </w:tcPr>
          <w:p w14:paraId="6483D0E3"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2FF18EDD"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61026FC7" w14:textId="77777777" w:rsidR="00A76FED" w:rsidRPr="00A76FED" w:rsidRDefault="00A76FED" w:rsidP="009C217B">
            <w:pPr>
              <w:rPr>
                <w:rFonts w:ascii="Arial" w:eastAsia="Times New Roman" w:hAnsi="Arial" w:cs="Arial"/>
                <w:color w:val="000000"/>
                <w:szCs w:val="20"/>
                <w:lang w:eastAsia="en-GB"/>
              </w:rPr>
            </w:pPr>
          </w:p>
        </w:tc>
        <w:tc>
          <w:tcPr>
            <w:tcW w:w="135" w:type="dxa"/>
            <w:shd w:val="clear" w:color="auto" w:fill="FFFFFF" w:themeFill="background1"/>
            <w:tcMar>
              <w:top w:w="15" w:type="dxa"/>
              <w:left w:w="15" w:type="dxa"/>
              <w:bottom w:w="15" w:type="dxa"/>
              <w:right w:w="15" w:type="dxa"/>
            </w:tcMar>
            <w:vAlign w:val="center"/>
            <w:hideMark/>
          </w:tcPr>
          <w:p w14:paraId="358707AD" w14:textId="77777777" w:rsidR="00A76FED" w:rsidRPr="00A76FED" w:rsidRDefault="00A76FED" w:rsidP="009C217B">
            <w:pPr>
              <w:rPr>
                <w:rFonts w:ascii="Arial" w:eastAsia="Times New Roman" w:hAnsi="Arial" w:cs="Arial"/>
                <w:color w:val="000000"/>
                <w:szCs w:val="20"/>
                <w:lang w:eastAsia="en-GB"/>
              </w:rPr>
            </w:pPr>
          </w:p>
        </w:tc>
        <w:tc>
          <w:tcPr>
            <w:tcW w:w="4352" w:type="dxa"/>
            <w:shd w:val="clear" w:color="auto" w:fill="FFFFFF" w:themeFill="background1"/>
            <w:tcMar>
              <w:top w:w="15" w:type="dxa"/>
              <w:left w:w="15" w:type="dxa"/>
              <w:bottom w:w="15" w:type="dxa"/>
              <w:right w:w="15" w:type="dxa"/>
            </w:tcMar>
            <w:vAlign w:val="center"/>
            <w:hideMark/>
          </w:tcPr>
          <w:p w14:paraId="183E3E48" w14:textId="77777777" w:rsidR="00A76FED" w:rsidRPr="00A76FED" w:rsidRDefault="00A76FED" w:rsidP="009C217B">
            <w:pPr>
              <w:rPr>
                <w:rFonts w:ascii="Arial" w:eastAsia="Times New Roman" w:hAnsi="Arial" w:cs="Arial"/>
                <w:color w:val="000000"/>
                <w:szCs w:val="20"/>
                <w:lang w:eastAsia="en-GB"/>
              </w:rPr>
            </w:pPr>
          </w:p>
        </w:tc>
        <w:tc>
          <w:tcPr>
            <w:tcW w:w="95" w:type="dxa"/>
            <w:shd w:val="clear" w:color="auto" w:fill="FFFFFF" w:themeFill="background1"/>
            <w:tcMar>
              <w:top w:w="15" w:type="dxa"/>
              <w:left w:w="15" w:type="dxa"/>
              <w:bottom w:w="15" w:type="dxa"/>
              <w:right w:w="15" w:type="dxa"/>
            </w:tcMar>
            <w:hideMark/>
          </w:tcPr>
          <w:p w14:paraId="26E8201B"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4295F454" w14:textId="77777777" w:rsidTr="009C217B">
        <w:trPr>
          <w:trHeight w:val="300"/>
          <w:tblCellSpacing w:w="0" w:type="dxa"/>
        </w:trPr>
        <w:tc>
          <w:tcPr>
            <w:tcW w:w="3899" w:type="dxa"/>
            <w:shd w:val="clear" w:color="auto" w:fill="FFFFFF" w:themeFill="background1"/>
            <w:tcMar>
              <w:top w:w="15" w:type="dxa"/>
              <w:left w:w="0" w:type="dxa"/>
              <w:bottom w:w="15" w:type="dxa"/>
              <w:right w:w="15" w:type="dxa"/>
            </w:tcMar>
            <w:vAlign w:val="bottom"/>
            <w:hideMark/>
          </w:tcPr>
          <w:p w14:paraId="3D112F86" w14:textId="77777777" w:rsidR="00A76FED" w:rsidRPr="00A76FED" w:rsidRDefault="00A76FED" w:rsidP="009C217B">
            <w:pPr>
              <w:rPr>
                <w:rFonts w:ascii="Arial" w:eastAsia="Times New Roman" w:hAnsi="Arial" w:cs="Arial"/>
                <w:color w:val="000000"/>
                <w:szCs w:val="20"/>
                <w:lang w:val="de-DE" w:eastAsia="en-GB"/>
              </w:rPr>
            </w:pPr>
            <w:r w:rsidRPr="00A76FED">
              <w:rPr>
                <w:rFonts w:ascii="Arial" w:eastAsia="Times New Roman" w:hAnsi="Arial" w:cs="Arial"/>
                <w:color w:val="000000"/>
                <w:szCs w:val="20"/>
                <w:lang w:val="de-DE" w:eastAsia="en-GB"/>
              </w:rPr>
              <w:t>Bertrand Gautier</w:t>
            </w:r>
          </w:p>
          <w:p w14:paraId="5758EAD0" w14:textId="77777777" w:rsidR="00A76FED" w:rsidRPr="00A76FED" w:rsidRDefault="00A76FED" w:rsidP="009C217B">
            <w:pPr>
              <w:rPr>
                <w:rFonts w:ascii="Arial" w:eastAsia="Times New Roman" w:hAnsi="Arial" w:cs="Arial"/>
                <w:color w:val="000000"/>
                <w:szCs w:val="20"/>
                <w:lang w:val="de-DE" w:eastAsia="en-GB"/>
              </w:rPr>
            </w:pPr>
            <w:r w:rsidRPr="00A76FED">
              <w:rPr>
                <w:rFonts w:ascii="Arial" w:eastAsia="Times New Roman" w:hAnsi="Arial" w:cs="Arial"/>
                <w:color w:val="000000"/>
                <w:szCs w:val="20"/>
                <w:lang w:val="de-DE" w:eastAsia="en-GB"/>
              </w:rPr>
              <w:t>Paul O'Donnell</w:t>
            </w:r>
          </w:p>
          <w:p w14:paraId="0935242D" w14:textId="77777777" w:rsidR="00A76FED" w:rsidRPr="00A76FED" w:rsidRDefault="00A76FED" w:rsidP="009C217B">
            <w:pPr>
              <w:rPr>
                <w:rFonts w:ascii="Arial" w:eastAsia="Times New Roman" w:hAnsi="Arial" w:cs="Arial"/>
                <w:color w:val="000000"/>
                <w:szCs w:val="20"/>
                <w:lang w:val="de-DE" w:eastAsia="en-GB"/>
              </w:rPr>
            </w:pPr>
            <w:r w:rsidRPr="00A76FED">
              <w:rPr>
                <w:rFonts w:ascii="Arial" w:eastAsia="Times New Roman" w:hAnsi="Arial" w:cs="Arial"/>
                <w:color w:val="000000"/>
                <w:szCs w:val="20"/>
                <w:lang w:val="de-DE" w:eastAsia="en-GB"/>
              </w:rPr>
              <w:t>John Musk</w:t>
            </w:r>
          </w:p>
        </w:tc>
        <w:tc>
          <w:tcPr>
            <w:tcW w:w="451" w:type="dxa"/>
            <w:shd w:val="clear" w:color="auto" w:fill="FFFFFF" w:themeFill="background1"/>
            <w:tcMar>
              <w:top w:w="15" w:type="dxa"/>
              <w:left w:w="15" w:type="dxa"/>
              <w:bottom w:w="15" w:type="dxa"/>
              <w:right w:w="15" w:type="dxa"/>
            </w:tcMar>
            <w:vAlign w:val="center"/>
            <w:hideMark/>
          </w:tcPr>
          <w:p w14:paraId="56B99A6D" w14:textId="77777777" w:rsidR="00A76FED" w:rsidRPr="00A76FED" w:rsidRDefault="00A76FED" w:rsidP="009C217B">
            <w:pPr>
              <w:rPr>
                <w:rFonts w:ascii="Arial" w:eastAsia="Times New Roman" w:hAnsi="Arial" w:cs="Arial"/>
                <w:color w:val="000000"/>
                <w:szCs w:val="20"/>
                <w:lang w:val="de-DE" w:eastAsia="en-GB"/>
              </w:rPr>
            </w:pPr>
          </w:p>
        </w:tc>
        <w:tc>
          <w:tcPr>
            <w:tcW w:w="50" w:type="dxa"/>
            <w:shd w:val="clear" w:color="auto" w:fill="FFFFFF" w:themeFill="background1"/>
            <w:tcMar>
              <w:top w:w="15" w:type="dxa"/>
              <w:left w:w="15" w:type="dxa"/>
              <w:bottom w:w="15" w:type="dxa"/>
              <w:right w:w="15" w:type="dxa"/>
            </w:tcMar>
            <w:vAlign w:val="center"/>
            <w:hideMark/>
          </w:tcPr>
          <w:p w14:paraId="29663DC3" w14:textId="77777777" w:rsidR="00A76FED" w:rsidRPr="00A76FED" w:rsidRDefault="00A76FED" w:rsidP="009C217B">
            <w:pPr>
              <w:rPr>
                <w:rFonts w:ascii="Arial" w:eastAsia="Times New Roman" w:hAnsi="Arial" w:cs="Arial"/>
                <w:color w:val="000000"/>
                <w:szCs w:val="20"/>
                <w:lang w:val="de-DE" w:eastAsia="en-GB"/>
              </w:rPr>
            </w:pPr>
          </w:p>
        </w:tc>
        <w:tc>
          <w:tcPr>
            <w:tcW w:w="50" w:type="dxa"/>
            <w:shd w:val="clear" w:color="auto" w:fill="FFFFFF" w:themeFill="background1"/>
            <w:tcMar>
              <w:top w:w="15" w:type="dxa"/>
              <w:left w:w="15" w:type="dxa"/>
              <w:bottom w:w="15" w:type="dxa"/>
              <w:right w:w="15" w:type="dxa"/>
            </w:tcMar>
            <w:vAlign w:val="center"/>
            <w:hideMark/>
          </w:tcPr>
          <w:p w14:paraId="525C2679" w14:textId="77777777" w:rsidR="00A76FED" w:rsidRPr="00A76FED" w:rsidRDefault="00A76FED" w:rsidP="009C217B">
            <w:pPr>
              <w:rPr>
                <w:rFonts w:ascii="Arial" w:eastAsia="Times New Roman" w:hAnsi="Arial" w:cs="Arial"/>
                <w:color w:val="000000"/>
                <w:szCs w:val="20"/>
                <w:lang w:val="de-DE" w:eastAsia="en-GB"/>
              </w:rPr>
            </w:pPr>
          </w:p>
        </w:tc>
        <w:tc>
          <w:tcPr>
            <w:tcW w:w="135" w:type="dxa"/>
            <w:shd w:val="clear" w:color="auto" w:fill="FFFFFF" w:themeFill="background1"/>
            <w:tcMar>
              <w:top w:w="15" w:type="dxa"/>
              <w:left w:w="15" w:type="dxa"/>
              <w:bottom w:w="15" w:type="dxa"/>
              <w:right w:w="15" w:type="dxa"/>
            </w:tcMar>
            <w:vAlign w:val="center"/>
            <w:hideMark/>
          </w:tcPr>
          <w:p w14:paraId="343CD87C" w14:textId="77777777" w:rsidR="00A76FED" w:rsidRPr="00A76FED" w:rsidRDefault="00A76FED" w:rsidP="009C217B">
            <w:pPr>
              <w:rPr>
                <w:rFonts w:ascii="Arial" w:eastAsia="Times New Roman" w:hAnsi="Arial" w:cs="Arial"/>
                <w:color w:val="000000"/>
                <w:szCs w:val="20"/>
                <w:lang w:val="de-DE" w:eastAsia="en-GB"/>
              </w:rPr>
            </w:pPr>
          </w:p>
        </w:tc>
        <w:tc>
          <w:tcPr>
            <w:tcW w:w="4352" w:type="dxa"/>
            <w:shd w:val="clear" w:color="auto" w:fill="FFFFFF" w:themeFill="background1"/>
            <w:tcMar>
              <w:top w:w="15" w:type="dxa"/>
              <w:left w:w="0" w:type="dxa"/>
              <w:bottom w:w="15" w:type="dxa"/>
              <w:right w:w="0" w:type="dxa"/>
            </w:tcMar>
            <w:vAlign w:val="bottom"/>
            <w:hideMark/>
          </w:tcPr>
          <w:p w14:paraId="1D49CF70"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+44 20 7832 9400</w:t>
            </w:r>
          </w:p>
        </w:tc>
        <w:tc>
          <w:tcPr>
            <w:tcW w:w="95" w:type="dxa"/>
            <w:shd w:val="clear" w:color="auto" w:fill="FFFFFF" w:themeFill="background1"/>
            <w:tcMar>
              <w:top w:w="15" w:type="dxa"/>
              <w:left w:w="15" w:type="dxa"/>
              <w:bottom w:w="15" w:type="dxa"/>
              <w:right w:w="15" w:type="dxa"/>
            </w:tcMar>
            <w:hideMark/>
          </w:tcPr>
          <w:p w14:paraId="33A7AC9E"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262C2D01" w14:textId="77777777" w:rsidTr="009C217B">
        <w:trPr>
          <w:trHeight w:val="300"/>
          <w:tblCellSpacing w:w="0" w:type="dxa"/>
        </w:trPr>
        <w:tc>
          <w:tcPr>
            <w:tcW w:w="3899" w:type="dxa"/>
            <w:shd w:val="clear" w:color="auto" w:fill="FFFFFF" w:themeFill="background1"/>
            <w:tcMar>
              <w:top w:w="15" w:type="dxa"/>
              <w:left w:w="15" w:type="dxa"/>
              <w:bottom w:w="15" w:type="dxa"/>
              <w:right w:w="15" w:type="dxa"/>
            </w:tcMar>
            <w:vAlign w:val="bottom"/>
            <w:hideMark/>
          </w:tcPr>
          <w:p w14:paraId="0DCB0692"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40C7D087" w14:textId="77777777" w:rsidR="00A76FED" w:rsidRPr="00A76FED" w:rsidRDefault="00A76FED" w:rsidP="009C217B">
            <w:pPr>
              <w:rPr>
                <w:rFonts w:ascii="Arial" w:eastAsia="Times New Roman" w:hAnsi="Arial" w:cs="Arial"/>
                <w:b/>
                <w:bCs/>
                <w:color w:val="000000"/>
                <w:szCs w:val="20"/>
                <w:lang w:eastAsia="en-GB"/>
              </w:rPr>
            </w:pPr>
            <w:r w:rsidRPr="00A76FED">
              <w:rPr>
                <w:rFonts w:ascii="Arial" w:eastAsia="Times New Roman" w:hAnsi="Arial" w:cs="Arial"/>
                <w:b/>
                <w:bCs/>
                <w:color w:val="000000"/>
                <w:szCs w:val="20"/>
                <w:lang w:eastAsia="en-GB"/>
              </w:rPr>
              <w:t>FTI Consulting (Investor Relations &amp; Media)</w:t>
            </w:r>
          </w:p>
        </w:tc>
        <w:tc>
          <w:tcPr>
            <w:tcW w:w="451" w:type="dxa"/>
            <w:shd w:val="clear" w:color="auto" w:fill="FFFFFF" w:themeFill="background1"/>
            <w:tcMar>
              <w:top w:w="15" w:type="dxa"/>
              <w:left w:w="15" w:type="dxa"/>
              <w:bottom w:w="15" w:type="dxa"/>
              <w:right w:w="15" w:type="dxa"/>
            </w:tcMar>
            <w:vAlign w:val="center"/>
            <w:hideMark/>
          </w:tcPr>
          <w:p w14:paraId="4C979B71"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6F331411"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1595BE19" w14:textId="77777777" w:rsidR="00A76FED" w:rsidRPr="00A76FED" w:rsidRDefault="00A76FED" w:rsidP="009C217B">
            <w:pPr>
              <w:rPr>
                <w:rFonts w:ascii="Arial" w:eastAsia="Times New Roman" w:hAnsi="Arial" w:cs="Arial"/>
                <w:color w:val="000000"/>
                <w:szCs w:val="20"/>
                <w:lang w:eastAsia="en-GB"/>
              </w:rPr>
            </w:pPr>
          </w:p>
        </w:tc>
        <w:tc>
          <w:tcPr>
            <w:tcW w:w="135" w:type="dxa"/>
            <w:shd w:val="clear" w:color="auto" w:fill="FFFFFF" w:themeFill="background1"/>
            <w:tcMar>
              <w:top w:w="15" w:type="dxa"/>
              <w:left w:w="15" w:type="dxa"/>
              <w:bottom w:w="15" w:type="dxa"/>
              <w:right w:w="15" w:type="dxa"/>
            </w:tcMar>
            <w:vAlign w:val="center"/>
            <w:hideMark/>
          </w:tcPr>
          <w:p w14:paraId="2CAA8A8B" w14:textId="77777777" w:rsidR="00A76FED" w:rsidRPr="00A76FED" w:rsidRDefault="00A76FED" w:rsidP="009C217B">
            <w:pPr>
              <w:rPr>
                <w:rFonts w:ascii="Arial" w:eastAsia="Times New Roman" w:hAnsi="Arial" w:cs="Arial"/>
                <w:color w:val="000000"/>
                <w:szCs w:val="20"/>
                <w:lang w:eastAsia="en-GB"/>
              </w:rPr>
            </w:pPr>
          </w:p>
        </w:tc>
        <w:tc>
          <w:tcPr>
            <w:tcW w:w="4352" w:type="dxa"/>
            <w:shd w:val="clear" w:color="auto" w:fill="FFFFFF" w:themeFill="background1"/>
            <w:tcMar>
              <w:top w:w="15" w:type="dxa"/>
              <w:left w:w="15" w:type="dxa"/>
              <w:bottom w:w="15" w:type="dxa"/>
              <w:right w:w="15" w:type="dxa"/>
            </w:tcMar>
            <w:vAlign w:val="center"/>
            <w:hideMark/>
          </w:tcPr>
          <w:p w14:paraId="2591B896"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62630DE9"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tc>
        <w:tc>
          <w:tcPr>
            <w:tcW w:w="95" w:type="dxa"/>
            <w:shd w:val="clear" w:color="auto" w:fill="FFFFFF" w:themeFill="background1"/>
            <w:tcMar>
              <w:top w:w="15" w:type="dxa"/>
              <w:left w:w="15" w:type="dxa"/>
              <w:bottom w:w="15" w:type="dxa"/>
              <w:right w:w="15" w:type="dxa"/>
            </w:tcMar>
            <w:hideMark/>
          </w:tcPr>
          <w:p w14:paraId="0D197F0F"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20FAD3FD" w14:textId="77777777" w:rsidTr="009C217B">
        <w:trPr>
          <w:trHeight w:val="300"/>
          <w:tblCellSpacing w:w="0" w:type="dxa"/>
        </w:trPr>
        <w:tc>
          <w:tcPr>
            <w:tcW w:w="3899" w:type="dxa"/>
            <w:shd w:val="clear" w:color="auto" w:fill="FFFFFF" w:themeFill="background1"/>
            <w:tcMar>
              <w:top w:w="15" w:type="dxa"/>
              <w:left w:w="0" w:type="dxa"/>
              <w:bottom w:w="15" w:type="dxa"/>
              <w:right w:w="0" w:type="dxa"/>
            </w:tcMar>
            <w:vAlign w:val="bottom"/>
            <w:hideMark/>
          </w:tcPr>
          <w:p w14:paraId="07C74EF1"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Sam Moore</w:t>
            </w:r>
          </w:p>
        </w:tc>
        <w:tc>
          <w:tcPr>
            <w:tcW w:w="451" w:type="dxa"/>
            <w:shd w:val="clear" w:color="auto" w:fill="FFFFFF" w:themeFill="background1"/>
            <w:tcMar>
              <w:top w:w="15" w:type="dxa"/>
              <w:left w:w="15" w:type="dxa"/>
              <w:bottom w:w="15" w:type="dxa"/>
              <w:right w:w="15" w:type="dxa"/>
            </w:tcMar>
            <w:vAlign w:val="center"/>
            <w:hideMark/>
          </w:tcPr>
          <w:p w14:paraId="042C2349"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2C524FAF"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6CC7ADD6" w14:textId="77777777" w:rsidR="00A76FED" w:rsidRPr="00A76FED" w:rsidRDefault="00A76FED" w:rsidP="009C217B">
            <w:pPr>
              <w:rPr>
                <w:rFonts w:ascii="Arial" w:eastAsia="Times New Roman" w:hAnsi="Arial" w:cs="Arial"/>
                <w:color w:val="000000"/>
                <w:szCs w:val="20"/>
                <w:lang w:eastAsia="en-GB"/>
              </w:rPr>
            </w:pPr>
          </w:p>
        </w:tc>
        <w:tc>
          <w:tcPr>
            <w:tcW w:w="135" w:type="dxa"/>
            <w:shd w:val="clear" w:color="auto" w:fill="FFFFFF" w:themeFill="background1"/>
            <w:tcMar>
              <w:top w:w="15" w:type="dxa"/>
              <w:left w:w="15" w:type="dxa"/>
              <w:bottom w:w="15" w:type="dxa"/>
              <w:right w:w="15" w:type="dxa"/>
            </w:tcMar>
            <w:vAlign w:val="center"/>
            <w:hideMark/>
          </w:tcPr>
          <w:p w14:paraId="4364CC99" w14:textId="77777777" w:rsidR="00A76FED" w:rsidRPr="00A76FED" w:rsidRDefault="00A76FED" w:rsidP="009C217B">
            <w:pPr>
              <w:rPr>
                <w:rFonts w:ascii="Arial" w:eastAsia="Times New Roman" w:hAnsi="Arial" w:cs="Arial"/>
                <w:color w:val="000000"/>
                <w:szCs w:val="20"/>
                <w:lang w:eastAsia="en-GB"/>
              </w:rPr>
            </w:pPr>
          </w:p>
        </w:tc>
        <w:tc>
          <w:tcPr>
            <w:tcW w:w="4352" w:type="dxa"/>
            <w:shd w:val="clear" w:color="auto" w:fill="FFFFFF" w:themeFill="background1"/>
            <w:tcMar>
              <w:top w:w="15" w:type="dxa"/>
              <w:left w:w="15" w:type="dxa"/>
              <w:bottom w:w="15" w:type="dxa"/>
              <w:right w:w="15" w:type="dxa"/>
            </w:tcMar>
            <w:vAlign w:val="center"/>
            <w:hideMark/>
          </w:tcPr>
          <w:p w14:paraId="0D09EC1E"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+353 87 737 9089</w:t>
            </w:r>
          </w:p>
        </w:tc>
        <w:tc>
          <w:tcPr>
            <w:tcW w:w="95" w:type="dxa"/>
            <w:shd w:val="clear" w:color="auto" w:fill="FFFFFF" w:themeFill="background1"/>
            <w:tcMar>
              <w:top w:w="15" w:type="dxa"/>
              <w:left w:w="15" w:type="dxa"/>
              <w:bottom w:w="15" w:type="dxa"/>
              <w:right w:w="15" w:type="dxa"/>
            </w:tcMar>
            <w:hideMark/>
          </w:tcPr>
          <w:p w14:paraId="50B3E8E7"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4CC7B5B9" w14:textId="77777777" w:rsidTr="009C217B">
        <w:trPr>
          <w:trHeight w:val="300"/>
          <w:tblCellSpacing w:w="0" w:type="dxa"/>
        </w:trPr>
        <w:tc>
          <w:tcPr>
            <w:tcW w:w="3899" w:type="dxa"/>
            <w:shd w:val="clear" w:color="auto" w:fill="FFFFFF" w:themeFill="background1"/>
            <w:tcMar>
              <w:top w:w="15" w:type="dxa"/>
              <w:left w:w="0" w:type="dxa"/>
              <w:bottom w:w="15" w:type="dxa"/>
              <w:right w:w="15" w:type="dxa"/>
            </w:tcMar>
            <w:vAlign w:val="bottom"/>
            <w:hideMark/>
          </w:tcPr>
          <w:p w14:paraId="51A3643B"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Aoife Mullen</w:t>
            </w:r>
          </w:p>
        </w:tc>
        <w:tc>
          <w:tcPr>
            <w:tcW w:w="451" w:type="dxa"/>
            <w:shd w:val="clear" w:color="auto" w:fill="FFFFFF" w:themeFill="background1"/>
            <w:tcMar>
              <w:top w:w="15" w:type="dxa"/>
              <w:left w:w="15" w:type="dxa"/>
              <w:bottom w:w="15" w:type="dxa"/>
              <w:right w:w="15" w:type="dxa"/>
            </w:tcMar>
            <w:vAlign w:val="center"/>
            <w:hideMark/>
          </w:tcPr>
          <w:p w14:paraId="044904AD"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00452124"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77150FB5" w14:textId="77777777" w:rsidR="00A76FED" w:rsidRPr="00A76FED" w:rsidRDefault="00A76FED" w:rsidP="009C217B">
            <w:pPr>
              <w:rPr>
                <w:rFonts w:ascii="Arial" w:eastAsia="Times New Roman" w:hAnsi="Arial" w:cs="Arial"/>
                <w:color w:val="000000"/>
                <w:szCs w:val="20"/>
                <w:lang w:eastAsia="en-GB"/>
              </w:rPr>
            </w:pPr>
          </w:p>
        </w:tc>
        <w:tc>
          <w:tcPr>
            <w:tcW w:w="135" w:type="dxa"/>
            <w:shd w:val="clear" w:color="auto" w:fill="FFFFFF" w:themeFill="background1"/>
            <w:tcMar>
              <w:top w:w="15" w:type="dxa"/>
              <w:left w:w="15" w:type="dxa"/>
              <w:bottom w:w="15" w:type="dxa"/>
              <w:right w:w="15" w:type="dxa"/>
            </w:tcMar>
            <w:vAlign w:val="center"/>
            <w:hideMark/>
          </w:tcPr>
          <w:p w14:paraId="7E088458" w14:textId="77777777" w:rsidR="00A76FED" w:rsidRPr="00A76FED" w:rsidRDefault="00A76FED" w:rsidP="009C217B">
            <w:pPr>
              <w:rPr>
                <w:rFonts w:ascii="Arial" w:eastAsia="Times New Roman" w:hAnsi="Arial" w:cs="Arial"/>
                <w:color w:val="000000"/>
                <w:szCs w:val="20"/>
                <w:lang w:eastAsia="en-GB"/>
              </w:rPr>
            </w:pPr>
          </w:p>
        </w:tc>
        <w:tc>
          <w:tcPr>
            <w:tcW w:w="4352" w:type="dxa"/>
            <w:shd w:val="clear" w:color="auto" w:fill="FFFFFF" w:themeFill="background1"/>
            <w:tcMar>
              <w:top w:w="15" w:type="dxa"/>
              <w:left w:w="0" w:type="dxa"/>
              <w:bottom w:w="15" w:type="dxa"/>
              <w:right w:w="15" w:type="dxa"/>
            </w:tcMar>
            <w:vAlign w:val="bottom"/>
            <w:hideMark/>
          </w:tcPr>
          <w:p w14:paraId="27CA1A48" w14:textId="77777777" w:rsidR="00A76FED" w:rsidRPr="00A76FED" w:rsidRDefault="00A76FED" w:rsidP="009C217B">
            <w:pPr>
              <w:rPr>
                <w:rFonts w:ascii="Arial" w:eastAsia="Times New Roman" w:hAnsi="Arial" w:cs="Arial"/>
                <w:color w:val="000000"/>
                <w:szCs w:val="20"/>
                <w:lang w:eastAsia="en-GB"/>
              </w:rPr>
            </w:pPr>
            <w:hyperlink r:id="rId12" w:history="1">
              <w:r w:rsidRPr="00A76FED">
                <w:rPr>
                  <w:rStyle w:val="Hyperlink"/>
                  <w:rFonts w:ascii="Arial" w:eastAsia="Times New Roman" w:hAnsi="Arial" w:cs="Arial"/>
                  <w:szCs w:val="20"/>
                  <w:lang w:eastAsia="en-GB"/>
                </w:rPr>
                <w:t>greencoat@fticonsulting.com</w:t>
              </w:r>
            </w:hyperlink>
          </w:p>
        </w:tc>
        <w:tc>
          <w:tcPr>
            <w:tcW w:w="95" w:type="dxa"/>
            <w:shd w:val="clear" w:color="auto" w:fill="FFFFFF" w:themeFill="background1"/>
            <w:tcMar>
              <w:top w:w="15" w:type="dxa"/>
              <w:left w:w="15" w:type="dxa"/>
              <w:bottom w:w="15" w:type="dxa"/>
              <w:right w:w="15" w:type="dxa"/>
            </w:tcMar>
            <w:hideMark/>
          </w:tcPr>
          <w:p w14:paraId="0F5F0ECE"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1378481A" w14:textId="77777777" w:rsidTr="009C217B">
        <w:trPr>
          <w:trHeight w:val="300"/>
          <w:tblCellSpacing w:w="0" w:type="dxa"/>
        </w:trPr>
        <w:tc>
          <w:tcPr>
            <w:tcW w:w="3899" w:type="dxa"/>
            <w:shd w:val="clear" w:color="auto" w:fill="FFFFFF" w:themeFill="background1"/>
            <w:tcMar>
              <w:top w:w="15" w:type="dxa"/>
              <w:left w:w="0" w:type="dxa"/>
              <w:bottom w:w="15" w:type="dxa"/>
              <w:right w:w="15" w:type="dxa"/>
            </w:tcMar>
            <w:vAlign w:val="bottom"/>
          </w:tcPr>
          <w:p w14:paraId="24935F96" w14:textId="77777777" w:rsidR="00A76FED" w:rsidRPr="00A76FED" w:rsidRDefault="00A76FED" w:rsidP="009C217B">
            <w:pPr>
              <w:rPr>
                <w:rFonts w:ascii="Arial" w:eastAsia="Times New Roman" w:hAnsi="Arial" w:cs="Arial"/>
                <w:color w:val="000000"/>
                <w:szCs w:val="20"/>
                <w:lang w:eastAsia="en-GB"/>
              </w:rPr>
            </w:pPr>
          </w:p>
          <w:p w14:paraId="44C6CE1D" w14:textId="77777777" w:rsidR="00A76FED" w:rsidRPr="00A76FED" w:rsidRDefault="00A76FED" w:rsidP="009C217B">
            <w:pPr>
              <w:rPr>
                <w:rFonts w:ascii="Arial" w:eastAsia="Times New Roman" w:hAnsi="Arial" w:cs="Arial"/>
                <w:b/>
                <w:bCs/>
                <w:color w:val="000000"/>
                <w:szCs w:val="20"/>
                <w:lang w:eastAsia="en-GB"/>
              </w:rPr>
            </w:pPr>
            <w:r w:rsidRPr="00A76FED">
              <w:rPr>
                <w:rFonts w:ascii="Arial" w:eastAsia="Times New Roman" w:hAnsi="Arial" w:cs="Arial"/>
                <w:b/>
                <w:bCs/>
                <w:color w:val="000000"/>
                <w:szCs w:val="20"/>
                <w:lang w:eastAsia="en-GB"/>
              </w:rPr>
              <w:t>Barclays Bank PLC (Joint Broker)</w:t>
            </w:r>
          </w:p>
          <w:p w14:paraId="19DE1976" w14:textId="77777777" w:rsidR="00A76FED" w:rsidRPr="00A76FED" w:rsidRDefault="00A76FED" w:rsidP="009C217B">
            <w:pPr>
              <w:rPr>
                <w:rFonts w:ascii="Arial" w:eastAsia="Times New Roman" w:hAnsi="Arial" w:cs="Arial"/>
                <w:color w:val="000000"/>
                <w:szCs w:val="20"/>
                <w:lang w:val="fr-FR" w:eastAsia="en-GB"/>
              </w:rPr>
            </w:pPr>
            <w:r w:rsidRPr="00A76FED">
              <w:rPr>
                <w:rFonts w:ascii="Arial" w:eastAsia="Times New Roman" w:hAnsi="Arial" w:cs="Arial"/>
                <w:color w:val="000000"/>
                <w:szCs w:val="20"/>
                <w:lang w:val="fr-FR" w:eastAsia="en-GB"/>
              </w:rPr>
              <w:t xml:space="preserve">Dion Di </w:t>
            </w:r>
            <w:proofErr w:type="spellStart"/>
            <w:r w:rsidRPr="00A76FED">
              <w:rPr>
                <w:rFonts w:ascii="Arial" w:eastAsia="Times New Roman" w:hAnsi="Arial" w:cs="Arial"/>
                <w:color w:val="000000"/>
                <w:szCs w:val="20"/>
                <w:lang w:val="fr-FR" w:eastAsia="en-GB"/>
              </w:rPr>
              <w:t>Miceli</w:t>
            </w:r>
            <w:proofErr w:type="spellEnd"/>
          </w:p>
          <w:p w14:paraId="78837F0F" w14:textId="77777777" w:rsidR="00A76FED" w:rsidRPr="00A76FED" w:rsidRDefault="00A76FED" w:rsidP="009C217B">
            <w:pPr>
              <w:rPr>
                <w:rFonts w:ascii="Arial" w:eastAsia="Times New Roman" w:hAnsi="Arial" w:cs="Arial"/>
                <w:color w:val="000000"/>
                <w:szCs w:val="20"/>
                <w:lang w:val="fr-FR" w:eastAsia="en-GB"/>
              </w:rPr>
            </w:pPr>
            <w:r w:rsidRPr="00A76FED">
              <w:rPr>
                <w:rFonts w:ascii="Arial" w:eastAsia="Times New Roman" w:hAnsi="Arial" w:cs="Arial"/>
                <w:color w:val="000000"/>
                <w:szCs w:val="20"/>
                <w:lang w:val="fr-FR" w:eastAsia="en-GB"/>
              </w:rPr>
              <w:t xml:space="preserve">Stuart </w:t>
            </w:r>
            <w:proofErr w:type="spellStart"/>
            <w:r w:rsidRPr="00A76FED">
              <w:rPr>
                <w:rFonts w:ascii="Arial" w:eastAsia="Times New Roman" w:hAnsi="Arial" w:cs="Arial"/>
                <w:color w:val="000000"/>
                <w:szCs w:val="20"/>
                <w:lang w:val="fr-FR" w:eastAsia="en-GB"/>
              </w:rPr>
              <w:t>Muress</w:t>
            </w:r>
            <w:proofErr w:type="spellEnd"/>
          </w:p>
          <w:p w14:paraId="67AE4F51" w14:textId="77777777" w:rsidR="00A76FED" w:rsidRPr="00A76FED" w:rsidRDefault="00A76FED" w:rsidP="009C217B">
            <w:pPr>
              <w:rPr>
                <w:rFonts w:ascii="Arial" w:eastAsia="Times New Roman" w:hAnsi="Arial" w:cs="Arial"/>
                <w:color w:val="000000"/>
                <w:szCs w:val="20"/>
                <w:lang w:val="fr-FR" w:eastAsia="en-GB"/>
              </w:rPr>
            </w:pPr>
            <w:r w:rsidRPr="00A76FED">
              <w:rPr>
                <w:rFonts w:ascii="Arial" w:eastAsia="Times New Roman" w:hAnsi="Arial" w:cs="Arial"/>
                <w:color w:val="000000"/>
                <w:szCs w:val="20"/>
                <w:lang w:val="fr-FR" w:eastAsia="en-GB"/>
              </w:rPr>
              <w:t>James Atkinson</w:t>
            </w:r>
          </w:p>
        </w:tc>
        <w:tc>
          <w:tcPr>
            <w:tcW w:w="451" w:type="dxa"/>
            <w:shd w:val="clear" w:color="auto" w:fill="FFFFFF" w:themeFill="background1"/>
            <w:tcMar>
              <w:top w:w="15" w:type="dxa"/>
              <w:left w:w="15" w:type="dxa"/>
              <w:bottom w:w="15" w:type="dxa"/>
              <w:right w:w="15" w:type="dxa"/>
            </w:tcMar>
            <w:vAlign w:val="center"/>
          </w:tcPr>
          <w:p w14:paraId="2525D3C8" w14:textId="77777777" w:rsidR="00A76FED" w:rsidRPr="00A76FED" w:rsidRDefault="00A76FED" w:rsidP="009C217B">
            <w:pPr>
              <w:rPr>
                <w:rFonts w:ascii="Arial" w:eastAsia="Times New Roman" w:hAnsi="Arial" w:cs="Arial"/>
                <w:color w:val="000000"/>
                <w:szCs w:val="20"/>
                <w:lang w:val="fr-FR" w:eastAsia="en-GB"/>
              </w:rPr>
            </w:pPr>
          </w:p>
        </w:tc>
        <w:tc>
          <w:tcPr>
            <w:tcW w:w="50" w:type="dxa"/>
            <w:shd w:val="clear" w:color="auto" w:fill="FFFFFF" w:themeFill="background1"/>
            <w:tcMar>
              <w:top w:w="15" w:type="dxa"/>
              <w:left w:w="15" w:type="dxa"/>
              <w:bottom w:w="15" w:type="dxa"/>
              <w:right w:w="15" w:type="dxa"/>
            </w:tcMar>
            <w:vAlign w:val="center"/>
          </w:tcPr>
          <w:p w14:paraId="373A7513" w14:textId="77777777" w:rsidR="00A76FED" w:rsidRPr="00A76FED" w:rsidRDefault="00A76FED" w:rsidP="009C217B">
            <w:pPr>
              <w:rPr>
                <w:rFonts w:ascii="Arial" w:eastAsia="Times New Roman" w:hAnsi="Arial" w:cs="Arial"/>
                <w:color w:val="000000"/>
                <w:szCs w:val="20"/>
                <w:lang w:val="fr-FR" w:eastAsia="en-GB"/>
              </w:rPr>
            </w:pPr>
          </w:p>
        </w:tc>
        <w:tc>
          <w:tcPr>
            <w:tcW w:w="50" w:type="dxa"/>
            <w:shd w:val="clear" w:color="auto" w:fill="FFFFFF" w:themeFill="background1"/>
            <w:tcMar>
              <w:top w:w="15" w:type="dxa"/>
              <w:left w:w="15" w:type="dxa"/>
              <w:bottom w:w="15" w:type="dxa"/>
              <w:right w:w="15" w:type="dxa"/>
            </w:tcMar>
            <w:vAlign w:val="center"/>
          </w:tcPr>
          <w:p w14:paraId="58AA3670" w14:textId="77777777" w:rsidR="00A76FED" w:rsidRPr="00A76FED" w:rsidRDefault="00A76FED" w:rsidP="009C217B">
            <w:pPr>
              <w:rPr>
                <w:rFonts w:ascii="Arial" w:eastAsia="Times New Roman" w:hAnsi="Arial" w:cs="Arial"/>
                <w:color w:val="000000"/>
                <w:szCs w:val="20"/>
                <w:lang w:val="fr-FR" w:eastAsia="en-GB"/>
              </w:rPr>
            </w:pPr>
          </w:p>
        </w:tc>
        <w:tc>
          <w:tcPr>
            <w:tcW w:w="135" w:type="dxa"/>
            <w:shd w:val="clear" w:color="auto" w:fill="FFFFFF" w:themeFill="background1"/>
            <w:tcMar>
              <w:top w:w="15" w:type="dxa"/>
              <w:left w:w="15" w:type="dxa"/>
              <w:bottom w:w="15" w:type="dxa"/>
              <w:right w:w="15" w:type="dxa"/>
            </w:tcMar>
            <w:vAlign w:val="center"/>
          </w:tcPr>
          <w:p w14:paraId="14F74D0B" w14:textId="77777777" w:rsidR="00A76FED" w:rsidRPr="00A76FED" w:rsidRDefault="00A76FED" w:rsidP="009C217B">
            <w:pPr>
              <w:rPr>
                <w:rFonts w:ascii="Arial" w:eastAsia="Times New Roman" w:hAnsi="Arial" w:cs="Arial"/>
                <w:color w:val="000000"/>
                <w:szCs w:val="20"/>
                <w:lang w:val="fr-FR" w:eastAsia="en-GB"/>
              </w:rPr>
            </w:pPr>
          </w:p>
        </w:tc>
        <w:tc>
          <w:tcPr>
            <w:tcW w:w="4352" w:type="dxa"/>
            <w:shd w:val="clear" w:color="auto" w:fill="FFFFFF" w:themeFill="background1"/>
            <w:tcMar>
              <w:top w:w="15" w:type="dxa"/>
              <w:left w:w="0" w:type="dxa"/>
              <w:bottom w:w="15" w:type="dxa"/>
              <w:right w:w="15" w:type="dxa"/>
            </w:tcMar>
            <w:vAlign w:val="bottom"/>
          </w:tcPr>
          <w:p w14:paraId="6E53571D" w14:textId="77777777" w:rsidR="00A76FED" w:rsidRPr="00A76FED" w:rsidRDefault="00A76FED" w:rsidP="009C217B">
            <w:pPr>
              <w:rPr>
                <w:rFonts w:ascii="Arial" w:hAnsi="Arial" w:cs="Arial"/>
              </w:rPr>
            </w:pPr>
            <w:r w:rsidRPr="00A76FED">
              <w:rPr>
                <w:rFonts w:ascii="Arial" w:hAnsi="Arial" w:cs="Arial"/>
              </w:rPr>
              <w:t>+44 20 7623 2323</w:t>
            </w:r>
          </w:p>
        </w:tc>
        <w:tc>
          <w:tcPr>
            <w:tcW w:w="95" w:type="dxa"/>
            <w:shd w:val="clear" w:color="auto" w:fill="FFFFFF" w:themeFill="background1"/>
            <w:tcMar>
              <w:top w:w="15" w:type="dxa"/>
              <w:left w:w="15" w:type="dxa"/>
              <w:bottom w:w="15" w:type="dxa"/>
              <w:right w:w="15" w:type="dxa"/>
            </w:tcMar>
          </w:tcPr>
          <w:p w14:paraId="0E41F59D"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3EDC3CA6" w14:textId="77777777" w:rsidTr="009C217B">
        <w:trPr>
          <w:trHeight w:val="300"/>
          <w:tblCellSpacing w:w="0" w:type="dxa"/>
        </w:trPr>
        <w:tc>
          <w:tcPr>
            <w:tcW w:w="3899" w:type="dxa"/>
            <w:shd w:val="clear" w:color="auto" w:fill="FFFFFF" w:themeFill="background1"/>
            <w:tcMar>
              <w:top w:w="15" w:type="dxa"/>
              <w:left w:w="0" w:type="dxa"/>
              <w:bottom w:w="15" w:type="dxa"/>
              <w:right w:w="15" w:type="dxa"/>
            </w:tcMar>
            <w:vAlign w:val="bottom"/>
            <w:hideMark/>
          </w:tcPr>
          <w:p w14:paraId="0872CC8A" w14:textId="77777777" w:rsidR="00A76FED" w:rsidRPr="00A76FED" w:rsidRDefault="00A76FED" w:rsidP="009C217B">
            <w:pPr>
              <w:rPr>
                <w:rFonts w:ascii="Arial" w:eastAsia="Times New Roman" w:hAnsi="Arial" w:cs="Arial"/>
                <w:b/>
                <w:bCs/>
                <w:color w:val="000000"/>
                <w:szCs w:val="20"/>
                <w:lang w:eastAsia="en-GB"/>
              </w:rPr>
            </w:pPr>
            <w:r w:rsidRPr="00A76FED">
              <w:rPr>
                <w:rFonts w:ascii="Arial" w:eastAsia="Times New Roman" w:hAnsi="Arial" w:cs="Arial"/>
                <w:b/>
                <w:bCs/>
                <w:color w:val="000000"/>
                <w:szCs w:val="20"/>
                <w:lang w:eastAsia="en-GB"/>
              </w:rPr>
              <w:t>Davy (Broker, NOMAD and Euronext Growth Listing Sponsor)</w:t>
            </w:r>
          </w:p>
          <w:p w14:paraId="371D7B5D"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Brian Garrahy</w:t>
            </w:r>
          </w:p>
          <w:p w14:paraId="01125F3A"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Ronan Veale</w:t>
            </w:r>
          </w:p>
        </w:tc>
        <w:tc>
          <w:tcPr>
            <w:tcW w:w="451" w:type="dxa"/>
            <w:shd w:val="clear" w:color="auto" w:fill="FFFFFF" w:themeFill="background1"/>
            <w:tcMar>
              <w:top w:w="15" w:type="dxa"/>
              <w:left w:w="15" w:type="dxa"/>
              <w:bottom w:w="15" w:type="dxa"/>
              <w:right w:w="15" w:type="dxa"/>
            </w:tcMar>
            <w:vAlign w:val="center"/>
            <w:hideMark/>
          </w:tcPr>
          <w:p w14:paraId="38DBEFA4"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68852990"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57986D73" w14:textId="77777777" w:rsidR="00A76FED" w:rsidRPr="00A76FED" w:rsidRDefault="00A76FED" w:rsidP="009C217B">
            <w:pPr>
              <w:rPr>
                <w:rFonts w:ascii="Arial" w:eastAsia="Times New Roman" w:hAnsi="Arial" w:cs="Arial"/>
                <w:color w:val="000000"/>
                <w:szCs w:val="20"/>
                <w:lang w:eastAsia="en-GB"/>
              </w:rPr>
            </w:pPr>
          </w:p>
        </w:tc>
        <w:tc>
          <w:tcPr>
            <w:tcW w:w="135" w:type="dxa"/>
            <w:shd w:val="clear" w:color="auto" w:fill="FFFFFF" w:themeFill="background1"/>
            <w:tcMar>
              <w:top w:w="15" w:type="dxa"/>
              <w:left w:w="15" w:type="dxa"/>
              <w:bottom w:w="15" w:type="dxa"/>
              <w:right w:w="15" w:type="dxa"/>
            </w:tcMar>
            <w:vAlign w:val="center"/>
            <w:hideMark/>
          </w:tcPr>
          <w:p w14:paraId="0DABC373" w14:textId="77777777" w:rsidR="00A76FED" w:rsidRPr="00A76FED" w:rsidRDefault="00A76FED" w:rsidP="009C217B">
            <w:pPr>
              <w:rPr>
                <w:rFonts w:ascii="Arial" w:eastAsia="Times New Roman" w:hAnsi="Arial" w:cs="Arial"/>
                <w:color w:val="000000"/>
                <w:szCs w:val="20"/>
                <w:lang w:eastAsia="en-GB"/>
              </w:rPr>
            </w:pPr>
          </w:p>
        </w:tc>
        <w:tc>
          <w:tcPr>
            <w:tcW w:w="4352" w:type="dxa"/>
            <w:shd w:val="clear" w:color="auto" w:fill="FFFFFF" w:themeFill="background1"/>
            <w:tcMar>
              <w:top w:w="15" w:type="dxa"/>
              <w:left w:w="0" w:type="dxa"/>
              <w:bottom w:w="15" w:type="dxa"/>
              <w:right w:w="0" w:type="dxa"/>
            </w:tcMar>
            <w:vAlign w:val="bottom"/>
            <w:hideMark/>
          </w:tcPr>
          <w:p w14:paraId="1175D11F"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6FE44A88"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240C2D0F"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0229506D"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+353 1 679 6363</w:t>
            </w:r>
          </w:p>
          <w:p w14:paraId="05FF0D04"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24A2F466"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tc>
        <w:tc>
          <w:tcPr>
            <w:tcW w:w="95" w:type="dxa"/>
            <w:shd w:val="clear" w:color="auto" w:fill="FFFFFF" w:themeFill="background1"/>
            <w:tcMar>
              <w:top w:w="15" w:type="dxa"/>
              <w:left w:w="15" w:type="dxa"/>
              <w:bottom w:w="15" w:type="dxa"/>
              <w:right w:w="15" w:type="dxa"/>
            </w:tcMar>
            <w:hideMark/>
          </w:tcPr>
          <w:p w14:paraId="1A86C264" w14:textId="77777777" w:rsidR="00A76FED" w:rsidRPr="00A76FED" w:rsidRDefault="00A76FED" w:rsidP="009C217B">
            <w:pPr>
              <w:rPr>
                <w:rFonts w:ascii="Arial" w:eastAsia="Times New Roman" w:hAnsi="Arial" w:cs="Arial"/>
                <w:color w:val="000000"/>
                <w:szCs w:val="20"/>
                <w:lang w:eastAsia="en-GB"/>
              </w:rPr>
            </w:pPr>
          </w:p>
        </w:tc>
      </w:tr>
      <w:tr w:rsidR="00A76FED" w:rsidRPr="00A76FED" w14:paraId="31A28426" w14:textId="77777777" w:rsidTr="009C217B">
        <w:trPr>
          <w:trHeight w:val="300"/>
          <w:tblCellSpacing w:w="0" w:type="dxa"/>
        </w:trPr>
        <w:tc>
          <w:tcPr>
            <w:tcW w:w="3899" w:type="dxa"/>
            <w:shd w:val="clear" w:color="auto" w:fill="FFFFFF" w:themeFill="background1"/>
            <w:tcMar>
              <w:top w:w="15" w:type="dxa"/>
              <w:left w:w="0" w:type="dxa"/>
              <w:bottom w:w="15" w:type="dxa"/>
              <w:right w:w="0" w:type="dxa"/>
            </w:tcMar>
            <w:vAlign w:val="bottom"/>
            <w:hideMark/>
          </w:tcPr>
          <w:p w14:paraId="220F84FC"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486D7D15" w14:textId="77777777" w:rsidR="00A76FED" w:rsidRPr="00A76FED" w:rsidRDefault="00A76FED" w:rsidP="009C217B">
            <w:pPr>
              <w:rPr>
                <w:rFonts w:ascii="Arial" w:eastAsia="Times New Roman" w:hAnsi="Arial" w:cs="Arial"/>
                <w:b/>
                <w:bCs/>
                <w:color w:val="000000"/>
                <w:szCs w:val="20"/>
                <w:lang w:eastAsia="en-GB"/>
              </w:rPr>
            </w:pPr>
            <w:r w:rsidRPr="00A76FED">
              <w:rPr>
                <w:rFonts w:ascii="Arial" w:eastAsia="Times New Roman" w:hAnsi="Arial" w:cs="Arial"/>
                <w:b/>
                <w:bCs/>
                <w:color w:val="000000"/>
                <w:szCs w:val="20"/>
                <w:lang w:eastAsia="en-GB"/>
              </w:rPr>
              <w:t>RBC Capital Markets (Joint Broker)</w:t>
            </w:r>
          </w:p>
          <w:p w14:paraId="2B6457B0"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Matthew Coakes</w:t>
            </w:r>
          </w:p>
          <w:p w14:paraId="4384B23C"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Elizabeth Evans</w:t>
            </w:r>
          </w:p>
        </w:tc>
        <w:tc>
          <w:tcPr>
            <w:tcW w:w="451" w:type="dxa"/>
            <w:shd w:val="clear" w:color="auto" w:fill="FFFFFF" w:themeFill="background1"/>
            <w:tcMar>
              <w:top w:w="15" w:type="dxa"/>
              <w:left w:w="15" w:type="dxa"/>
              <w:bottom w:w="15" w:type="dxa"/>
              <w:right w:w="15" w:type="dxa"/>
            </w:tcMar>
            <w:vAlign w:val="center"/>
            <w:hideMark/>
          </w:tcPr>
          <w:p w14:paraId="54B68395"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78E2D885" w14:textId="77777777" w:rsidR="00A76FED" w:rsidRPr="00A76FED" w:rsidRDefault="00A76FED" w:rsidP="009C217B">
            <w:pPr>
              <w:rPr>
                <w:rFonts w:ascii="Arial" w:eastAsia="Times New Roman" w:hAnsi="Arial" w:cs="Arial"/>
                <w:color w:val="000000"/>
                <w:szCs w:val="20"/>
                <w:lang w:eastAsia="en-GB"/>
              </w:rPr>
            </w:pPr>
          </w:p>
        </w:tc>
        <w:tc>
          <w:tcPr>
            <w:tcW w:w="50" w:type="dxa"/>
            <w:shd w:val="clear" w:color="auto" w:fill="FFFFFF" w:themeFill="background1"/>
            <w:tcMar>
              <w:top w:w="15" w:type="dxa"/>
              <w:left w:w="15" w:type="dxa"/>
              <w:bottom w:w="15" w:type="dxa"/>
              <w:right w:w="15" w:type="dxa"/>
            </w:tcMar>
            <w:vAlign w:val="center"/>
            <w:hideMark/>
          </w:tcPr>
          <w:p w14:paraId="31996E03" w14:textId="77777777" w:rsidR="00A76FED" w:rsidRPr="00A76FED" w:rsidRDefault="00A76FED" w:rsidP="009C217B">
            <w:pPr>
              <w:rPr>
                <w:rFonts w:ascii="Arial" w:eastAsia="Times New Roman" w:hAnsi="Arial" w:cs="Arial"/>
                <w:color w:val="000000"/>
                <w:szCs w:val="20"/>
                <w:lang w:eastAsia="en-GB"/>
              </w:rPr>
            </w:pPr>
          </w:p>
        </w:tc>
        <w:tc>
          <w:tcPr>
            <w:tcW w:w="135" w:type="dxa"/>
            <w:shd w:val="clear" w:color="auto" w:fill="FFFFFF" w:themeFill="background1"/>
            <w:tcMar>
              <w:top w:w="15" w:type="dxa"/>
              <w:left w:w="15" w:type="dxa"/>
              <w:bottom w:w="15" w:type="dxa"/>
              <w:right w:w="15" w:type="dxa"/>
            </w:tcMar>
            <w:vAlign w:val="center"/>
            <w:hideMark/>
          </w:tcPr>
          <w:p w14:paraId="661E4121" w14:textId="77777777" w:rsidR="00A76FED" w:rsidRPr="00A76FED" w:rsidRDefault="00A76FED" w:rsidP="009C217B">
            <w:pPr>
              <w:rPr>
                <w:rFonts w:ascii="Arial" w:eastAsia="Times New Roman" w:hAnsi="Arial" w:cs="Arial"/>
                <w:color w:val="000000"/>
                <w:szCs w:val="20"/>
                <w:lang w:eastAsia="en-GB"/>
              </w:rPr>
            </w:pPr>
          </w:p>
        </w:tc>
        <w:tc>
          <w:tcPr>
            <w:tcW w:w="4352" w:type="dxa"/>
            <w:shd w:val="clear" w:color="auto" w:fill="FFFFFF" w:themeFill="background1"/>
            <w:tcMar>
              <w:top w:w="15" w:type="dxa"/>
              <w:left w:w="0" w:type="dxa"/>
              <w:bottom w:w="15" w:type="dxa"/>
              <w:right w:w="0" w:type="dxa"/>
            </w:tcMar>
            <w:vAlign w:val="bottom"/>
            <w:hideMark/>
          </w:tcPr>
          <w:p w14:paraId="31B5793D"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19F8E25E" w14:textId="77777777" w:rsidR="00A76FED" w:rsidRPr="00A76FED" w:rsidRDefault="00A76FED" w:rsidP="009C217B">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+44 20 7653 4000</w:t>
            </w:r>
          </w:p>
        </w:tc>
        <w:tc>
          <w:tcPr>
            <w:tcW w:w="95" w:type="dxa"/>
            <w:shd w:val="clear" w:color="auto" w:fill="FFFFFF" w:themeFill="background1"/>
            <w:tcMar>
              <w:top w:w="15" w:type="dxa"/>
              <w:left w:w="15" w:type="dxa"/>
              <w:bottom w:w="15" w:type="dxa"/>
              <w:right w:w="15" w:type="dxa"/>
            </w:tcMar>
            <w:hideMark/>
          </w:tcPr>
          <w:p w14:paraId="7C10F561" w14:textId="77777777" w:rsidR="00A76FED" w:rsidRPr="00A76FED" w:rsidRDefault="00A76FED" w:rsidP="009C217B">
            <w:pPr>
              <w:rPr>
                <w:rFonts w:ascii="Arial" w:eastAsia="Times New Roman" w:hAnsi="Arial" w:cs="Arial"/>
                <w:color w:val="000000"/>
                <w:szCs w:val="20"/>
                <w:lang w:eastAsia="en-GB"/>
              </w:rPr>
            </w:pPr>
          </w:p>
        </w:tc>
      </w:tr>
    </w:tbl>
    <w:p w14:paraId="42B46DA9" w14:textId="77777777" w:rsidR="00A76FED" w:rsidRPr="00A76FED" w:rsidRDefault="00A76FED" w:rsidP="00A76FED">
      <w:pPr>
        <w:rPr>
          <w:rFonts w:ascii="Arial" w:eastAsia="Times New Roman" w:hAnsi="Arial" w:cs="Arial"/>
          <w:color w:val="000000"/>
          <w:szCs w:val="20"/>
          <w:lang w:eastAsia="en-GB"/>
        </w:rPr>
      </w:pPr>
    </w:p>
    <w:p w14:paraId="00E0712A" w14:textId="77777777" w:rsidR="00A76FED" w:rsidRPr="00A76FED" w:rsidRDefault="00A76FED" w:rsidP="00424748">
      <w:pPr>
        <w:jc w:val="both"/>
        <w:rPr>
          <w:rFonts w:ascii="Arial" w:eastAsia="Times New Roman" w:hAnsi="Arial" w:cs="Arial"/>
          <w:b/>
          <w:bCs/>
          <w:color w:val="000000"/>
          <w:szCs w:val="20"/>
          <w:lang w:eastAsia="en-GB"/>
        </w:rPr>
      </w:pPr>
      <w:r w:rsidRPr="00A76FED">
        <w:rPr>
          <w:rFonts w:ascii="Arial" w:eastAsia="Times New Roman" w:hAnsi="Arial" w:cs="Arial"/>
          <w:b/>
          <w:bCs/>
          <w:color w:val="000000"/>
          <w:szCs w:val="20"/>
          <w:lang w:eastAsia="en-GB"/>
        </w:rPr>
        <w:t>About Greencoat Renewables PLC</w:t>
      </w:r>
    </w:p>
    <w:p w14:paraId="3D61FED9" w14:textId="77777777" w:rsidR="00A76FED" w:rsidRPr="00A76FED" w:rsidRDefault="00A76FED" w:rsidP="00424748">
      <w:pPr>
        <w:jc w:val="both"/>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Greencoat Renewables PLC is an investor in euro-denominated renewable energy infrastructure assets. Initially focused solely on the acquisition and management of operating wind farms in Ireland, the Company has also invested in wind and solar assets in other European countries with stable and robust renewable energy frameworks. It is managed by Schroders Greencoat LLP, an experienced investment manager in the listed renewable energy infrastructure sector.</w:t>
      </w:r>
    </w:p>
    <w:p w14:paraId="73F85FFF" w14:textId="77777777" w:rsidR="00A76FED" w:rsidRPr="00C37298" w:rsidRDefault="00A76FED" w:rsidP="00A76FED">
      <w:pPr>
        <w:jc w:val="both"/>
      </w:pPr>
    </w:p>
    <w:p w14:paraId="1264ACF1" w14:textId="77777777" w:rsidR="0049189D" w:rsidRDefault="0049189D" w:rsidP="004920A1"/>
    <w:p w14:paraId="745F9B56" w14:textId="4E154F68" w:rsidR="00255909" w:rsidRDefault="00255909" w:rsidP="004920A1"/>
    <w:sectPr w:rsidR="00255909" w:rsidSect="00A76FED">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AED1" w14:textId="77777777" w:rsidR="001F060E" w:rsidRDefault="001F060E" w:rsidP="00AF1131">
      <w:r>
        <w:separator/>
      </w:r>
    </w:p>
  </w:endnote>
  <w:endnote w:type="continuationSeparator" w:id="0">
    <w:p w14:paraId="2565B87B" w14:textId="77777777" w:rsidR="001F060E" w:rsidRDefault="001F060E" w:rsidP="00AF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9BFB" w14:textId="77777777" w:rsidR="001F060E" w:rsidRDefault="001F060E" w:rsidP="00AF1131">
      <w:r>
        <w:separator/>
      </w:r>
    </w:p>
  </w:footnote>
  <w:footnote w:type="continuationSeparator" w:id="0">
    <w:p w14:paraId="3C6B002A" w14:textId="77777777" w:rsidR="001F060E" w:rsidRDefault="001F060E" w:rsidP="00AF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957A4"/>
    <w:multiLevelType w:val="hybridMultilevel"/>
    <w:tmpl w:val="59AEE160"/>
    <w:lvl w:ilvl="0" w:tplc="652CCDE4">
      <w:start w:val="1"/>
      <w:numFmt w:val="bullet"/>
      <w:lvlText w:val="-"/>
      <w:lvlJc w:val="left"/>
      <w:pPr>
        <w:ind w:left="720" w:hanging="360"/>
      </w:pPr>
      <w:rPr>
        <w:rFonts w:ascii="Noto Sans" w:eastAsia="DengXian" w:hAnsi="Noto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9810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D"/>
    <w:rsid w:val="00000B40"/>
    <w:rsid w:val="000218D6"/>
    <w:rsid w:val="00030268"/>
    <w:rsid w:val="000409E4"/>
    <w:rsid w:val="000420A7"/>
    <w:rsid w:val="000B34C4"/>
    <w:rsid w:val="000B3DC3"/>
    <w:rsid w:val="000B6E3A"/>
    <w:rsid w:val="000D395D"/>
    <w:rsid w:val="00106D17"/>
    <w:rsid w:val="00115F0B"/>
    <w:rsid w:val="0013118F"/>
    <w:rsid w:val="001355FA"/>
    <w:rsid w:val="00135A93"/>
    <w:rsid w:val="00142202"/>
    <w:rsid w:val="00151D65"/>
    <w:rsid w:val="001560EF"/>
    <w:rsid w:val="00164BA0"/>
    <w:rsid w:val="0016559A"/>
    <w:rsid w:val="001861D6"/>
    <w:rsid w:val="001927E0"/>
    <w:rsid w:val="001A22CA"/>
    <w:rsid w:val="001C792C"/>
    <w:rsid w:val="001E3D29"/>
    <w:rsid w:val="001F060E"/>
    <w:rsid w:val="00202014"/>
    <w:rsid w:val="00221EBD"/>
    <w:rsid w:val="00255909"/>
    <w:rsid w:val="00261CA7"/>
    <w:rsid w:val="00262597"/>
    <w:rsid w:val="002724E8"/>
    <w:rsid w:val="00275C9A"/>
    <w:rsid w:val="00286ABC"/>
    <w:rsid w:val="002A6054"/>
    <w:rsid w:val="002D3269"/>
    <w:rsid w:val="002E0C4A"/>
    <w:rsid w:val="002F25E9"/>
    <w:rsid w:val="00305A06"/>
    <w:rsid w:val="00310BD9"/>
    <w:rsid w:val="0032077A"/>
    <w:rsid w:val="003260D7"/>
    <w:rsid w:val="003511E1"/>
    <w:rsid w:val="003843A8"/>
    <w:rsid w:val="00406909"/>
    <w:rsid w:val="0041082C"/>
    <w:rsid w:val="00416AA9"/>
    <w:rsid w:val="00424748"/>
    <w:rsid w:val="00432091"/>
    <w:rsid w:val="00443129"/>
    <w:rsid w:val="004537DF"/>
    <w:rsid w:val="00460941"/>
    <w:rsid w:val="00461CC1"/>
    <w:rsid w:val="004635E8"/>
    <w:rsid w:val="00485540"/>
    <w:rsid w:val="0049189D"/>
    <w:rsid w:val="004920A1"/>
    <w:rsid w:val="004A31E8"/>
    <w:rsid w:val="004A5031"/>
    <w:rsid w:val="004B193D"/>
    <w:rsid w:val="004B49FB"/>
    <w:rsid w:val="004C47D6"/>
    <w:rsid w:val="004D2FA9"/>
    <w:rsid w:val="004D3C47"/>
    <w:rsid w:val="00534BDF"/>
    <w:rsid w:val="0054016B"/>
    <w:rsid w:val="005567C2"/>
    <w:rsid w:val="00560F0B"/>
    <w:rsid w:val="00571651"/>
    <w:rsid w:val="0057335E"/>
    <w:rsid w:val="00584901"/>
    <w:rsid w:val="005A49D1"/>
    <w:rsid w:val="005B3A8D"/>
    <w:rsid w:val="005B5AEE"/>
    <w:rsid w:val="005C1135"/>
    <w:rsid w:val="005C7AE0"/>
    <w:rsid w:val="005D12FE"/>
    <w:rsid w:val="006116FE"/>
    <w:rsid w:val="00624D29"/>
    <w:rsid w:val="00645EB7"/>
    <w:rsid w:val="00652435"/>
    <w:rsid w:val="00652B36"/>
    <w:rsid w:val="006609B5"/>
    <w:rsid w:val="006634BA"/>
    <w:rsid w:val="00682C5F"/>
    <w:rsid w:val="00685500"/>
    <w:rsid w:val="00696257"/>
    <w:rsid w:val="006B025A"/>
    <w:rsid w:val="006B4193"/>
    <w:rsid w:val="006B5723"/>
    <w:rsid w:val="006D1770"/>
    <w:rsid w:val="006D2272"/>
    <w:rsid w:val="006E2FDF"/>
    <w:rsid w:val="00706D80"/>
    <w:rsid w:val="007241C6"/>
    <w:rsid w:val="007525A0"/>
    <w:rsid w:val="00775133"/>
    <w:rsid w:val="0078106A"/>
    <w:rsid w:val="0079704F"/>
    <w:rsid w:val="007B36B3"/>
    <w:rsid w:val="007D175B"/>
    <w:rsid w:val="007E31A0"/>
    <w:rsid w:val="007E504E"/>
    <w:rsid w:val="00813CE5"/>
    <w:rsid w:val="00826939"/>
    <w:rsid w:val="008362BB"/>
    <w:rsid w:val="008459AD"/>
    <w:rsid w:val="00845FD4"/>
    <w:rsid w:val="00847193"/>
    <w:rsid w:val="00850181"/>
    <w:rsid w:val="0086379D"/>
    <w:rsid w:val="00874D55"/>
    <w:rsid w:val="0088153E"/>
    <w:rsid w:val="008859DD"/>
    <w:rsid w:val="00896E0C"/>
    <w:rsid w:val="008C4426"/>
    <w:rsid w:val="00950176"/>
    <w:rsid w:val="009502C1"/>
    <w:rsid w:val="00977A6D"/>
    <w:rsid w:val="00996205"/>
    <w:rsid w:val="009D3677"/>
    <w:rsid w:val="009E0862"/>
    <w:rsid w:val="00A36B68"/>
    <w:rsid w:val="00A41FC1"/>
    <w:rsid w:val="00A4538F"/>
    <w:rsid w:val="00A53631"/>
    <w:rsid w:val="00A64E15"/>
    <w:rsid w:val="00A7227A"/>
    <w:rsid w:val="00A76FED"/>
    <w:rsid w:val="00A7779B"/>
    <w:rsid w:val="00AA75FE"/>
    <w:rsid w:val="00AB0CDD"/>
    <w:rsid w:val="00AB4786"/>
    <w:rsid w:val="00AC090A"/>
    <w:rsid w:val="00AC1627"/>
    <w:rsid w:val="00AD594D"/>
    <w:rsid w:val="00AE59E4"/>
    <w:rsid w:val="00AE7A5F"/>
    <w:rsid w:val="00AF1131"/>
    <w:rsid w:val="00AF6AD6"/>
    <w:rsid w:val="00B03387"/>
    <w:rsid w:val="00B2259A"/>
    <w:rsid w:val="00B35509"/>
    <w:rsid w:val="00B506D5"/>
    <w:rsid w:val="00B53B17"/>
    <w:rsid w:val="00B668DC"/>
    <w:rsid w:val="00B76B26"/>
    <w:rsid w:val="00B80D9B"/>
    <w:rsid w:val="00B93482"/>
    <w:rsid w:val="00B946E6"/>
    <w:rsid w:val="00BE2AED"/>
    <w:rsid w:val="00C108F1"/>
    <w:rsid w:val="00C54C06"/>
    <w:rsid w:val="00C565C9"/>
    <w:rsid w:val="00C715DB"/>
    <w:rsid w:val="00C915C3"/>
    <w:rsid w:val="00CB4AD3"/>
    <w:rsid w:val="00CC6A2D"/>
    <w:rsid w:val="00CC7089"/>
    <w:rsid w:val="00CC7862"/>
    <w:rsid w:val="00CD7282"/>
    <w:rsid w:val="00CE77E7"/>
    <w:rsid w:val="00CF2EAC"/>
    <w:rsid w:val="00CF4208"/>
    <w:rsid w:val="00CF48DA"/>
    <w:rsid w:val="00CF710F"/>
    <w:rsid w:val="00D0599F"/>
    <w:rsid w:val="00D363E6"/>
    <w:rsid w:val="00D46482"/>
    <w:rsid w:val="00D61E6B"/>
    <w:rsid w:val="00D7723B"/>
    <w:rsid w:val="00D83631"/>
    <w:rsid w:val="00D86FA6"/>
    <w:rsid w:val="00D9686C"/>
    <w:rsid w:val="00DC2A1C"/>
    <w:rsid w:val="00DD77C3"/>
    <w:rsid w:val="00DE51BC"/>
    <w:rsid w:val="00DF0E9D"/>
    <w:rsid w:val="00DF2B48"/>
    <w:rsid w:val="00E12522"/>
    <w:rsid w:val="00E43006"/>
    <w:rsid w:val="00E4327A"/>
    <w:rsid w:val="00E55CF5"/>
    <w:rsid w:val="00E604CA"/>
    <w:rsid w:val="00EA3397"/>
    <w:rsid w:val="00EB78E2"/>
    <w:rsid w:val="00EF2365"/>
    <w:rsid w:val="00EF4A09"/>
    <w:rsid w:val="00F12C77"/>
    <w:rsid w:val="00F1471E"/>
    <w:rsid w:val="00F33F49"/>
    <w:rsid w:val="00F412C7"/>
    <w:rsid w:val="00F46487"/>
    <w:rsid w:val="00F50092"/>
    <w:rsid w:val="00F63AFF"/>
    <w:rsid w:val="00F7534F"/>
    <w:rsid w:val="00F83883"/>
    <w:rsid w:val="00F978C0"/>
    <w:rsid w:val="00FA384F"/>
    <w:rsid w:val="00FA4A79"/>
    <w:rsid w:val="00FB0199"/>
    <w:rsid w:val="00FB493C"/>
    <w:rsid w:val="00FC5317"/>
    <w:rsid w:val="00FE18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1B0E"/>
  <w15:chartTrackingRefBased/>
  <w15:docId w15:val="{13881C9A-4CCD-47A6-BBDE-AB4D4687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ED"/>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A76F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A76F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A76FED"/>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A76FED"/>
    <w:pPr>
      <w:keepNext/>
      <w:keepLines/>
      <w:spacing w:before="80" w:after="40" w:line="278" w:lineRule="auto"/>
      <w:outlineLvl w:val="3"/>
    </w:pPr>
    <w:rPr>
      <w:rFonts w:eastAsiaTheme="majorEastAsia"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A76FED"/>
    <w:pPr>
      <w:keepNext/>
      <w:keepLines/>
      <w:spacing w:before="80" w:after="40" w:line="278" w:lineRule="auto"/>
      <w:outlineLvl w:val="4"/>
    </w:pPr>
    <w:rPr>
      <w:rFonts w:eastAsiaTheme="majorEastAsia"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A76FED"/>
    <w:pPr>
      <w:keepNext/>
      <w:keepLines/>
      <w:spacing w:before="40" w:line="278"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A76FED"/>
    <w:pPr>
      <w:keepNext/>
      <w:keepLines/>
      <w:spacing w:before="40" w:line="278"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A76FED"/>
    <w:pPr>
      <w:keepNext/>
      <w:keepLines/>
      <w:spacing w:line="278"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A76FED"/>
    <w:pPr>
      <w:keepNext/>
      <w:keepLines/>
      <w:spacing w:line="278"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ED"/>
    <w:rPr>
      <w:rFonts w:eastAsiaTheme="majorEastAsia" w:cstheme="majorBidi"/>
      <w:color w:val="272727" w:themeColor="text1" w:themeTint="D8"/>
    </w:rPr>
  </w:style>
  <w:style w:type="paragraph" w:styleId="Title">
    <w:name w:val="Title"/>
    <w:basedOn w:val="Normal"/>
    <w:next w:val="Normal"/>
    <w:link w:val="TitleChar"/>
    <w:uiPriority w:val="10"/>
    <w:qFormat/>
    <w:rsid w:val="00A76FE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A7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ED"/>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A7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ED"/>
    <w:pPr>
      <w:spacing w:before="160" w:after="160" w:line="278" w:lineRule="auto"/>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A76FED"/>
    <w:rPr>
      <w:i/>
      <w:iCs/>
      <w:color w:val="404040" w:themeColor="text1" w:themeTint="BF"/>
    </w:rPr>
  </w:style>
  <w:style w:type="paragraph" w:styleId="ListParagraph">
    <w:name w:val="List Paragraph"/>
    <w:basedOn w:val="Normal"/>
    <w:uiPriority w:val="34"/>
    <w:qFormat/>
    <w:rsid w:val="00A76FED"/>
    <w:pPr>
      <w:spacing w:after="160" w:line="278"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A76FED"/>
    <w:rPr>
      <w:i/>
      <w:iCs/>
      <w:color w:val="0F4761" w:themeColor="accent1" w:themeShade="BF"/>
    </w:rPr>
  </w:style>
  <w:style w:type="paragraph" w:styleId="IntenseQuote">
    <w:name w:val="Intense Quote"/>
    <w:basedOn w:val="Normal"/>
    <w:next w:val="Normal"/>
    <w:link w:val="IntenseQuoteChar"/>
    <w:uiPriority w:val="30"/>
    <w:qFormat/>
    <w:rsid w:val="00A76F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A76FED"/>
    <w:rPr>
      <w:i/>
      <w:iCs/>
      <w:color w:val="0F4761" w:themeColor="accent1" w:themeShade="BF"/>
    </w:rPr>
  </w:style>
  <w:style w:type="character" w:styleId="IntenseReference">
    <w:name w:val="Intense Reference"/>
    <w:basedOn w:val="DefaultParagraphFont"/>
    <w:uiPriority w:val="32"/>
    <w:qFormat/>
    <w:rsid w:val="00A76FED"/>
    <w:rPr>
      <w:b/>
      <w:bCs/>
      <w:smallCaps/>
      <w:color w:val="0F4761" w:themeColor="accent1" w:themeShade="BF"/>
      <w:spacing w:val="5"/>
    </w:rPr>
  </w:style>
  <w:style w:type="character" w:styleId="Hyperlink">
    <w:name w:val="Hyperlink"/>
    <w:basedOn w:val="DefaultParagraphFont"/>
    <w:uiPriority w:val="99"/>
    <w:unhideWhenUsed/>
    <w:rsid w:val="00A76FED"/>
    <w:rPr>
      <w:color w:val="467886" w:themeColor="hyperlink"/>
      <w:u w:val="single"/>
    </w:rPr>
  </w:style>
  <w:style w:type="paragraph" w:styleId="BodyText">
    <w:name w:val="Body Text"/>
    <w:basedOn w:val="Normal"/>
    <w:link w:val="BodyTextChar"/>
    <w:uiPriority w:val="1"/>
    <w:qFormat/>
    <w:rsid w:val="00A76FED"/>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A76FED"/>
    <w:rPr>
      <w:rFonts w:ascii="Arial" w:eastAsia="Arial" w:hAnsi="Arial" w:cs="Times New Roman"/>
      <w:color w:val="707270"/>
      <w:spacing w:val="-4"/>
      <w:kern w:val="0"/>
      <w:sz w:val="19"/>
      <w:szCs w:val="22"/>
      <w:lang w:eastAsia="en-US"/>
      <w14:ligatures w14:val="none"/>
    </w:rPr>
  </w:style>
  <w:style w:type="paragraph" w:styleId="Revision">
    <w:name w:val="Revision"/>
    <w:hidden/>
    <w:uiPriority w:val="99"/>
    <w:semiHidden/>
    <w:rsid w:val="006D1770"/>
    <w:pPr>
      <w:spacing w:after="0" w:line="240" w:lineRule="auto"/>
    </w:pPr>
    <w:rPr>
      <w:rFonts w:eastAsiaTheme="minorHAnsi"/>
      <w:kern w:val="0"/>
      <w:lang w:eastAsia="en-US"/>
      <w14:ligatures w14:val="none"/>
    </w:rPr>
  </w:style>
  <w:style w:type="paragraph" w:styleId="Header">
    <w:name w:val="header"/>
    <w:basedOn w:val="Normal"/>
    <w:link w:val="HeaderChar"/>
    <w:uiPriority w:val="99"/>
    <w:unhideWhenUsed/>
    <w:rsid w:val="00AF1131"/>
    <w:pPr>
      <w:tabs>
        <w:tab w:val="center" w:pos="4513"/>
        <w:tab w:val="right" w:pos="9026"/>
      </w:tabs>
    </w:pPr>
  </w:style>
  <w:style w:type="character" w:customStyle="1" w:styleId="HeaderChar">
    <w:name w:val="Header Char"/>
    <w:basedOn w:val="DefaultParagraphFont"/>
    <w:link w:val="Header"/>
    <w:uiPriority w:val="99"/>
    <w:rsid w:val="00AF1131"/>
    <w:rPr>
      <w:rFonts w:eastAsiaTheme="minorHAnsi"/>
      <w:kern w:val="0"/>
      <w:lang w:eastAsia="en-US"/>
      <w14:ligatures w14:val="none"/>
    </w:rPr>
  </w:style>
  <w:style w:type="paragraph" w:styleId="Footer">
    <w:name w:val="footer"/>
    <w:basedOn w:val="Normal"/>
    <w:link w:val="FooterChar"/>
    <w:uiPriority w:val="99"/>
    <w:unhideWhenUsed/>
    <w:rsid w:val="00AF1131"/>
    <w:pPr>
      <w:tabs>
        <w:tab w:val="center" w:pos="4513"/>
        <w:tab w:val="right" w:pos="9026"/>
      </w:tabs>
    </w:pPr>
  </w:style>
  <w:style w:type="character" w:customStyle="1" w:styleId="FooterChar">
    <w:name w:val="Footer Char"/>
    <w:basedOn w:val="DefaultParagraphFont"/>
    <w:link w:val="Footer"/>
    <w:uiPriority w:val="99"/>
    <w:rsid w:val="00AF1131"/>
    <w:rPr>
      <w:rFonts w:eastAsiaTheme="minorHAnsi"/>
      <w:kern w:val="0"/>
      <w:lang w:eastAsia="en-US"/>
      <w14:ligatures w14:val="none"/>
    </w:rPr>
  </w:style>
  <w:style w:type="character" w:styleId="CommentReference">
    <w:name w:val="annotation reference"/>
    <w:basedOn w:val="DefaultParagraphFont"/>
    <w:uiPriority w:val="99"/>
    <w:semiHidden/>
    <w:unhideWhenUsed/>
    <w:rsid w:val="00FA384F"/>
    <w:rPr>
      <w:sz w:val="16"/>
      <w:szCs w:val="16"/>
    </w:rPr>
  </w:style>
  <w:style w:type="paragraph" w:styleId="CommentText">
    <w:name w:val="annotation text"/>
    <w:basedOn w:val="Normal"/>
    <w:link w:val="CommentTextChar"/>
    <w:uiPriority w:val="99"/>
    <w:unhideWhenUsed/>
    <w:rsid w:val="00FA384F"/>
    <w:rPr>
      <w:sz w:val="20"/>
      <w:szCs w:val="20"/>
    </w:rPr>
  </w:style>
  <w:style w:type="character" w:customStyle="1" w:styleId="CommentTextChar">
    <w:name w:val="Comment Text Char"/>
    <w:basedOn w:val="DefaultParagraphFont"/>
    <w:link w:val="CommentText"/>
    <w:uiPriority w:val="99"/>
    <w:rsid w:val="00FA384F"/>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FA384F"/>
    <w:rPr>
      <w:b/>
      <w:bCs/>
    </w:rPr>
  </w:style>
  <w:style w:type="character" w:customStyle="1" w:styleId="CommentSubjectChar">
    <w:name w:val="Comment Subject Char"/>
    <w:basedOn w:val="CommentTextChar"/>
    <w:link w:val="CommentSubject"/>
    <w:uiPriority w:val="99"/>
    <w:semiHidden/>
    <w:rsid w:val="00FA384F"/>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2025-04-30T15:25:34+00:00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B958-0BBB-4D42-9A9C-243ED6C85C3F}">
  <ds:schemaRefs>
    <ds:schemaRef ds:uri="http://schemas.microsoft.com/office/2006/metadata/properties"/>
    <ds:schemaRef ds:uri="http://schemas.microsoft.com/office/infopath/2007/PartnerControls"/>
    <ds:schemaRef ds:uri="b9788881-0b14-4d8b-a5d4-0b7cb51b51a2"/>
    <ds:schemaRef ds:uri="e1d438f5-7e8f-4486-a7ca-81405da6368d"/>
    <ds:schemaRef ds:uri="dbfc03f3-afa5-45e9-834c-87a4b3bbcf86"/>
    <ds:schemaRef ds:uri="bf199d5d-9365-4f18-b43c-aee1868a8e0a"/>
  </ds:schemaRefs>
</ds:datastoreItem>
</file>

<file path=customXml/itemProps2.xml><?xml version="1.0" encoding="utf-8"?>
<ds:datastoreItem xmlns:ds="http://schemas.openxmlformats.org/officeDocument/2006/customXml" ds:itemID="{B9D79DB3-464D-42E9-BCD6-0BB9EF90E463}">
  <ds:schemaRefs>
    <ds:schemaRef ds:uri="http://schemas.microsoft.com/sharepoint/v3/contenttype/forms"/>
  </ds:schemaRefs>
</ds:datastoreItem>
</file>

<file path=customXml/itemProps3.xml><?xml version="1.0" encoding="utf-8"?>
<ds:datastoreItem xmlns:ds="http://schemas.openxmlformats.org/officeDocument/2006/customXml" ds:itemID="{E0D381B1-2C6A-42E7-B175-17C578420D4A}"/>
</file>

<file path=customXml/itemProps4.xml><?xml version="1.0" encoding="utf-8"?>
<ds:datastoreItem xmlns:ds="http://schemas.openxmlformats.org/officeDocument/2006/customXml" ds:itemID="{30B85AE3-E2BA-4669-9F6A-A5750BA666D0}">
  <ds:schemaRefs>
    <ds:schemaRef ds:uri="http://schemas.openxmlformats.org/officeDocument/2006/bibliography"/>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3221</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Links>
    <vt:vector size="6" baseType="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Aoife</dc:creator>
  <cp:keywords/>
  <dc:description/>
  <cp:lastModifiedBy>Catherine Carron</cp:lastModifiedBy>
  <cp:revision>2</cp:revision>
  <dcterms:created xsi:type="dcterms:W3CDTF">2025-04-30T15:04:00Z</dcterms:created>
  <dcterms:modified xsi:type="dcterms:W3CDTF">2025-04-30T15:04:00Z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