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4327DD3B" w:rsidR="001722B6" w:rsidRPr="00227944" w:rsidRDefault="003E0231" w:rsidP="001722B6">
      <w:pPr>
        <w:jc w:val="both"/>
        <w:rPr>
          <w:rFonts w:cstheme="minorHAnsi"/>
          <w:sz w:val="20"/>
          <w:szCs w:val="20"/>
        </w:rPr>
      </w:pPr>
      <w:r w:rsidRPr="00227944">
        <w:rPr>
          <w:rFonts w:cstheme="minorHAnsi"/>
          <w:sz w:val="20"/>
          <w:szCs w:val="20"/>
        </w:rPr>
        <w:t xml:space="preserve">THIS ANNOUNCEMENT IS NOT FOR RELEASE, PUBLICATION OR DISTRIBUTION IN WHOLE OR IN PART, DIRECTLY OR INDIRECTLY, BY ANY MEANS OR MEDIA, IN OR INTO OR FROM THE UNITED STATES, CANADA, AUSTRALIA, </w:t>
      </w:r>
      <w:r w:rsidR="00ED62DE" w:rsidRPr="00227944">
        <w:rPr>
          <w:rFonts w:cstheme="minorHAnsi"/>
          <w:sz w:val="20"/>
          <w:szCs w:val="20"/>
        </w:rPr>
        <w:t xml:space="preserve">NEW ZEALAND, </w:t>
      </w:r>
      <w:r w:rsidRPr="00227944">
        <w:rPr>
          <w:rFonts w:cstheme="minorHAnsi"/>
          <w:sz w:val="20"/>
          <w:szCs w:val="20"/>
        </w:rPr>
        <w:t>JAPAN, OR THE REPUBLIC OF SOUTH AFRICA OR ANY OTHER JURISDICTION IN WHICH RELEASE, PUBLICATION OR DISTRIBUTION WOULD BE UNLAWFUL.</w:t>
      </w:r>
      <w:r w:rsidR="00C118DE" w:rsidRPr="00227944">
        <w:rPr>
          <w:rFonts w:cstheme="minorHAnsi"/>
          <w:noProof/>
          <w:sz w:val="20"/>
          <w:szCs w:val="20"/>
          <w:lang w:eastAsia="en-IE"/>
        </w:rPr>
        <w:t xml:space="preserve"> </w:t>
      </w:r>
    </w:p>
    <w:p w14:paraId="797E9FFE" w14:textId="122D3796" w:rsidR="00C118DE" w:rsidRPr="00C118DE" w:rsidRDefault="00C118DE" w:rsidP="00EF6979">
      <w:pPr>
        <w:pStyle w:val="KGContactTextBlue"/>
        <w:spacing w:before="0" w:after="0"/>
        <w:ind w:right="-2"/>
        <w:rPr>
          <w:rFonts w:ascii="Arial" w:eastAsia="SimSun" w:hAnsi="Arial" w:cs="Arial"/>
          <w:color w:val="000000" w:themeColor="text1"/>
          <w:sz w:val="20"/>
          <w:szCs w:val="20"/>
          <w:lang w:val="en-GB"/>
        </w:rPr>
      </w:pPr>
    </w:p>
    <w:p w14:paraId="2CD93C1A" w14:textId="77777777" w:rsidR="00C118DE" w:rsidRPr="007B4F1A" w:rsidRDefault="00C118DE" w:rsidP="00D54BB3">
      <w:pPr>
        <w:jc w:val="center"/>
        <w:rPr>
          <w:rFonts w:cstheme="minorHAnsi"/>
          <w:b/>
          <w:bCs/>
          <w:sz w:val="20"/>
          <w:szCs w:val="20"/>
        </w:rPr>
      </w:pPr>
    </w:p>
    <w:p w14:paraId="51464995" w14:textId="37AFDCE6" w:rsidR="00D54BB3" w:rsidRPr="007B4F1A" w:rsidRDefault="00917F3A" w:rsidP="00D54BB3">
      <w:pPr>
        <w:jc w:val="center"/>
        <w:rPr>
          <w:rFonts w:cstheme="minorHAnsi"/>
          <w:b/>
          <w:bCs/>
        </w:rPr>
      </w:pPr>
      <w:r w:rsidRPr="007B4F1A">
        <w:rPr>
          <w:rFonts w:cstheme="minorHAnsi"/>
          <w:b/>
          <w:bCs/>
        </w:rPr>
        <w:t xml:space="preserve">Net Asset Value </w:t>
      </w:r>
      <w:r w:rsidR="003E0231" w:rsidRPr="007B4F1A">
        <w:rPr>
          <w:rFonts w:cstheme="minorHAnsi"/>
          <w:b/>
          <w:bCs/>
        </w:rPr>
        <w:t xml:space="preserve">and Dividend </w:t>
      </w:r>
      <w:r w:rsidRPr="007B4F1A">
        <w:rPr>
          <w:rFonts w:cstheme="minorHAnsi"/>
          <w:b/>
          <w:bCs/>
        </w:rPr>
        <w:t>Announcement</w:t>
      </w:r>
    </w:p>
    <w:p w14:paraId="5A87E818" w14:textId="6D829D07" w:rsidR="00A7341D" w:rsidRPr="00C118DE" w:rsidRDefault="00A7341D" w:rsidP="00A7341D">
      <w:pPr>
        <w:jc w:val="both"/>
        <w:rPr>
          <w:rFonts w:ascii="Arial" w:hAnsi="Arial" w:cs="Arial"/>
          <w:sz w:val="20"/>
          <w:szCs w:val="20"/>
        </w:rPr>
      </w:pPr>
    </w:p>
    <w:p w14:paraId="2ADFB790" w14:textId="2D51EF3E" w:rsidR="00EB39A6" w:rsidRPr="009B5E7A" w:rsidRDefault="00A7341D" w:rsidP="00A7341D">
      <w:pPr>
        <w:jc w:val="both"/>
        <w:rPr>
          <w:rFonts w:cstheme="minorHAnsi"/>
        </w:rPr>
      </w:pPr>
      <w:r w:rsidRPr="009B5E7A">
        <w:rPr>
          <w:rFonts w:cstheme="minorHAnsi"/>
          <w:b/>
        </w:rPr>
        <w:t>Dublin</w:t>
      </w:r>
      <w:r w:rsidR="00F02D83" w:rsidRPr="009B5E7A">
        <w:rPr>
          <w:rFonts w:cstheme="minorHAnsi"/>
          <w:b/>
        </w:rPr>
        <w:t xml:space="preserve">, </w:t>
      </w:r>
      <w:r w:rsidR="003E0231" w:rsidRPr="009B5E7A">
        <w:rPr>
          <w:rFonts w:cstheme="minorHAnsi"/>
          <w:b/>
        </w:rPr>
        <w:t>London</w:t>
      </w:r>
      <w:r w:rsidR="00A467AC">
        <w:rPr>
          <w:rFonts w:cstheme="minorHAnsi"/>
          <w:b/>
        </w:rPr>
        <w:t>|</w:t>
      </w:r>
      <w:r w:rsidR="003E0231" w:rsidRPr="009B5E7A">
        <w:rPr>
          <w:rFonts w:cstheme="minorHAnsi"/>
          <w:b/>
        </w:rPr>
        <w:t xml:space="preserve"> </w:t>
      </w:r>
      <w:r w:rsidR="00CF4BB3">
        <w:rPr>
          <w:rFonts w:cstheme="minorHAnsi"/>
          <w:b/>
        </w:rPr>
        <w:t>6</w:t>
      </w:r>
      <w:r w:rsidR="00B10FD4" w:rsidRPr="009B5E7A">
        <w:rPr>
          <w:rFonts w:cstheme="minorHAnsi"/>
          <w:b/>
        </w:rPr>
        <w:t xml:space="preserve"> </w:t>
      </w:r>
      <w:r w:rsidR="00CF4BB3">
        <w:rPr>
          <w:rFonts w:cstheme="minorHAnsi"/>
          <w:b/>
        </w:rPr>
        <w:t>May</w:t>
      </w:r>
      <w:r w:rsidR="001F3526" w:rsidRPr="009B5E7A">
        <w:rPr>
          <w:rFonts w:cstheme="minorHAnsi"/>
          <w:b/>
        </w:rPr>
        <w:t xml:space="preserve"> </w:t>
      </w:r>
      <w:r w:rsidR="003856D5" w:rsidRPr="009B5E7A">
        <w:rPr>
          <w:rFonts w:cstheme="minorHAnsi"/>
          <w:b/>
        </w:rPr>
        <w:t>202</w:t>
      </w:r>
      <w:r w:rsidR="00746CEB">
        <w:rPr>
          <w:rFonts w:cstheme="minorHAnsi"/>
          <w:b/>
        </w:rPr>
        <w:t>5</w:t>
      </w:r>
      <w:r w:rsidR="00917F3A" w:rsidRPr="009B5E7A">
        <w:rPr>
          <w:rFonts w:cstheme="minorHAnsi"/>
          <w:b/>
        </w:rPr>
        <w:t>:</w:t>
      </w:r>
      <w:r w:rsidR="00752CB3" w:rsidRPr="009B5E7A">
        <w:rPr>
          <w:rFonts w:cstheme="minorHAnsi"/>
          <w:b/>
        </w:rPr>
        <w:t xml:space="preserve"> </w:t>
      </w:r>
      <w:r w:rsidRPr="009B5E7A">
        <w:rPr>
          <w:rFonts w:cstheme="minorHAnsi"/>
        </w:rPr>
        <w:t>Greencoat Renewables</w:t>
      </w:r>
      <w:r w:rsidR="00752CB3" w:rsidRPr="009B5E7A">
        <w:rPr>
          <w:rFonts w:cstheme="minorHAnsi"/>
        </w:rPr>
        <w:t xml:space="preserve"> PLC (“</w:t>
      </w:r>
      <w:r w:rsidR="00752CB3" w:rsidRPr="009B5E7A">
        <w:rPr>
          <w:rFonts w:cstheme="minorHAnsi"/>
          <w:b/>
        </w:rPr>
        <w:t>G</w:t>
      </w:r>
      <w:r w:rsidR="00412B3B" w:rsidRPr="009B5E7A">
        <w:rPr>
          <w:rFonts w:cstheme="minorHAnsi"/>
          <w:b/>
        </w:rPr>
        <w:t>reencoat Renewables</w:t>
      </w:r>
      <w:r w:rsidR="00752CB3" w:rsidRPr="009B5E7A">
        <w:rPr>
          <w:rFonts w:cstheme="minorHAnsi"/>
        </w:rPr>
        <w:t>”</w:t>
      </w:r>
      <w:r w:rsidR="00635906" w:rsidRPr="009B5E7A">
        <w:rPr>
          <w:rFonts w:cstheme="minorHAnsi"/>
        </w:rPr>
        <w:t xml:space="preserve"> or the “</w:t>
      </w:r>
      <w:r w:rsidR="00635906" w:rsidRPr="009B5E7A">
        <w:rPr>
          <w:rFonts w:cstheme="minorHAnsi"/>
          <w:b/>
        </w:rPr>
        <w:t>Company</w:t>
      </w:r>
      <w:r w:rsidR="00635906" w:rsidRPr="009B5E7A">
        <w:rPr>
          <w:rFonts w:cstheme="minorHAnsi"/>
        </w:rPr>
        <w:t>”</w:t>
      </w:r>
      <w:r w:rsidR="00752CB3" w:rsidRPr="009B5E7A">
        <w:rPr>
          <w:rFonts w:cstheme="minorHAnsi"/>
        </w:rPr>
        <w:t xml:space="preserve">) </w:t>
      </w:r>
      <w:r w:rsidR="00357659" w:rsidRPr="009B5E7A">
        <w:rPr>
          <w:rFonts w:cstheme="minorHAnsi"/>
        </w:rPr>
        <w:t xml:space="preserve">today </w:t>
      </w:r>
      <w:r w:rsidR="007861A1" w:rsidRPr="009B5E7A">
        <w:rPr>
          <w:rFonts w:cstheme="minorHAnsi"/>
        </w:rPr>
        <w:t>announces</w:t>
      </w:r>
      <w:r w:rsidR="005E0CC1" w:rsidRPr="009B5E7A">
        <w:rPr>
          <w:rFonts w:cstheme="minorHAnsi"/>
        </w:rPr>
        <w:t xml:space="preserve"> </w:t>
      </w:r>
      <w:r w:rsidR="00917F3A" w:rsidRPr="009B5E7A">
        <w:rPr>
          <w:rFonts w:cstheme="minorHAnsi"/>
        </w:rPr>
        <w:t>that its unaudited Net Asset Va</w:t>
      </w:r>
      <w:r w:rsidR="00544922" w:rsidRPr="009B5E7A">
        <w:rPr>
          <w:rFonts w:cstheme="minorHAnsi"/>
        </w:rPr>
        <w:t xml:space="preserve">lue as </w:t>
      </w:r>
      <w:r w:rsidR="000163FD" w:rsidRPr="009B5E7A">
        <w:rPr>
          <w:rFonts w:cstheme="minorHAnsi"/>
        </w:rPr>
        <w:t xml:space="preserve">of </w:t>
      </w:r>
      <w:r w:rsidR="003856D5" w:rsidRPr="009B5E7A">
        <w:rPr>
          <w:rFonts w:cstheme="minorHAnsi"/>
        </w:rPr>
        <w:t>3</w:t>
      </w:r>
      <w:r w:rsidR="00746CEB">
        <w:rPr>
          <w:rFonts w:cstheme="minorHAnsi"/>
        </w:rPr>
        <w:t>1</w:t>
      </w:r>
      <w:r w:rsidR="007B732C" w:rsidRPr="009B5E7A">
        <w:rPr>
          <w:rFonts w:cstheme="minorHAnsi"/>
        </w:rPr>
        <w:t xml:space="preserve"> </w:t>
      </w:r>
      <w:r w:rsidR="00CF4BB3">
        <w:rPr>
          <w:rFonts w:cstheme="minorHAnsi"/>
        </w:rPr>
        <w:t>March</w:t>
      </w:r>
      <w:r w:rsidR="001F3526" w:rsidRPr="009B5E7A">
        <w:rPr>
          <w:rFonts w:cstheme="minorHAnsi"/>
        </w:rPr>
        <w:t xml:space="preserve"> </w:t>
      </w:r>
      <w:r w:rsidR="00005A94" w:rsidRPr="009B5E7A">
        <w:rPr>
          <w:rFonts w:cstheme="minorHAnsi"/>
        </w:rPr>
        <w:t>2</w:t>
      </w:r>
      <w:r w:rsidR="003450C3" w:rsidRPr="009B5E7A">
        <w:rPr>
          <w:rFonts w:cstheme="minorHAnsi"/>
        </w:rPr>
        <w:t>02</w:t>
      </w:r>
      <w:r w:rsidR="00CF4BB3">
        <w:rPr>
          <w:rFonts w:cstheme="minorHAnsi"/>
        </w:rPr>
        <w:t>5</w:t>
      </w:r>
      <w:r w:rsidR="003E0231" w:rsidRPr="009B5E7A">
        <w:rPr>
          <w:rFonts w:cstheme="minorHAnsi"/>
        </w:rPr>
        <w:t xml:space="preserve"> is</w:t>
      </w:r>
      <w:r w:rsidR="00804ED1" w:rsidRPr="009B5E7A">
        <w:rPr>
          <w:rFonts w:cstheme="minorHAnsi"/>
        </w:rPr>
        <w:t xml:space="preserve"> </w:t>
      </w:r>
      <w:r w:rsidR="003E0231" w:rsidRPr="009B5E7A">
        <w:rPr>
          <w:rFonts w:cstheme="minorHAnsi"/>
        </w:rPr>
        <w:t>€</w:t>
      </w:r>
      <w:r w:rsidR="00E73132">
        <w:rPr>
          <w:rFonts w:cstheme="minorHAnsi"/>
        </w:rPr>
        <w:t>1,</w:t>
      </w:r>
      <w:r w:rsidR="00CF4BB3">
        <w:rPr>
          <w:rFonts w:cstheme="minorHAnsi"/>
        </w:rPr>
        <w:t>170</w:t>
      </w:r>
      <w:r w:rsidR="00465160" w:rsidRPr="009B5E7A">
        <w:rPr>
          <w:rFonts w:cstheme="minorHAnsi"/>
        </w:rPr>
        <w:t xml:space="preserve"> </w:t>
      </w:r>
      <w:r w:rsidR="003E0231" w:rsidRPr="009B5E7A">
        <w:rPr>
          <w:rFonts w:cstheme="minorHAnsi"/>
        </w:rPr>
        <w:t>million (</w:t>
      </w:r>
      <w:r w:rsidR="00861AD8">
        <w:rPr>
          <w:rFonts w:cstheme="minorHAnsi"/>
        </w:rPr>
        <w:t>1</w:t>
      </w:r>
      <w:r w:rsidR="00CF4BB3">
        <w:rPr>
          <w:rFonts w:cstheme="minorHAnsi"/>
        </w:rPr>
        <w:t>05.1</w:t>
      </w:r>
      <w:r w:rsidR="003E0231" w:rsidRPr="009B5E7A">
        <w:rPr>
          <w:rFonts w:cstheme="minorHAnsi"/>
        </w:rPr>
        <w:t>c per share).</w:t>
      </w:r>
      <w:r w:rsidR="00F835AF" w:rsidRPr="009B5E7A">
        <w:rPr>
          <w:rFonts w:cstheme="minorHAnsi"/>
        </w:rPr>
        <w:t xml:space="preserve"> </w:t>
      </w:r>
    </w:p>
    <w:p w14:paraId="6391D6CB" w14:textId="77777777" w:rsidR="00917F3A" w:rsidRPr="00C118DE" w:rsidRDefault="00917F3A" w:rsidP="00A7341D">
      <w:pPr>
        <w:jc w:val="both"/>
        <w:rPr>
          <w:rFonts w:ascii="Arial" w:hAnsi="Arial" w:cs="Arial"/>
          <w:sz w:val="20"/>
          <w:szCs w:val="20"/>
        </w:rPr>
      </w:pPr>
    </w:p>
    <w:p w14:paraId="6CEA0E86" w14:textId="77777777" w:rsidR="00917F3A" w:rsidRPr="007B4F1A" w:rsidRDefault="00917F3A" w:rsidP="00917F3A">
      <w:pPr>
        <w:autoSpaceDE w:val="0"/>
        <w:autoSpaceDN w:val="0"/>
        <w:adjustRightInd w:val="0"/>
        <w:jc w:val="both"/>
        <w:rPr>
          <w:rFonts w:cstheme="minorHAnsi"/>
          <w:b/>
        </w:rPr>
      </w:pPr>
      <w:r w:rsidRPr="007B4F1A">
        <w:rPr>
          <w:rFonts w:cstheme="minorHAnsi"/>
          <w:b/>
        </w:rPr>
        <w:t>Net Asset Value</w:t>
      </w:r>
    </w:p>
    <w:p w14:paraId="6A3C1048" w14:textId="77777777" w:rsidR="00917F3A" w:rsidRPr="007B4F1A" w:rsidRDefault="00917F3A" w:rsidP="00917F3A">
      <w:pPr>
        <w:autoSpaceDE w:val="0"/>
        <w:autoSpaceDN w:val="0"/>
        <w:adjustRightInd w:val="0"/>
        <w:jc w:val="both"/>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7B4F1A" w14:paraId="484D6A08" w14:textId="77777777" w:rsidTr="003E0231">
        <w:trPr>
          <w:trHeight w:val="70"/>
          <w:jc w:val="center"/>
        </w:trPr>
        <w:tc>
          <w:tcPr>
            <w:tcW w:w="4735" w:type="dxa"/>
            <w:shd w:val="clear" w:color="auto" w:fill="auto"/>
          </w:tcPr>
          <w:p w14:paraId="1D497FB0" w14:textId="77777777" w:rsidR="00917F3A" w:rsidRPr="007B4F1A" w:rsidRDefault="00917F3A" w:rsidP="00FF489E">
            <w:pPr>
              <w:jc w:val="both"/>
              <w:rPr>
                <w:rFonts w:cstheme="minorHAnsi"/>
                <w:b/>
                <w:bCs/>
              </w:rPr>
            </w:pPr>
            <w:r w:rsidRPr="007B4F1A">
              <w:rPr>
                <w:rFonts w:cstheme="minorHAnsi"/>
                <w:b/>
                <w:bCs/>
              </w:rPr>
              <w:t>Net Asset Value / Net Asset Value per share</w:t>
            </w:r>
          </w:p>
        </w:tc>
        <w:tc>
          <w:tcPr>
            <w:tcW w:w="3830" w:type="dxa"/>
            <w:shd w:val="clear" w:color="auto" w:fill="auto"/>
          </w:tcPr>
          <w:p w14:paraId="27B43B23" w14:textId="1412F059" w:rsidR="00917F3A" w:rsidRPr="007B4F1A" w:rsidRDefault="00917F3A" w:rsidP="00483680">
            <w:pPr>
              <w:jc w:val="both"/>
              <w:rPr>
                <w:rFonts w:cstheme="minorHAnsi"/>
                <w:bCs/>
              </w:rPr>
            </w:pPr>
            <w:r w:rsidRPr="007B4F1A">
              <w:rPr>
                <w:rFonts w:cstheme="minorHAnsi"/>
                <w:bCs/>
              </w:rPr>
              <w:t>€</w:t>
            </w:r>
            <w:r w:rsidR="00E73132">
              <w:rPr>
                <w:rFonts w:cstheme="minorHAnsi"/>
                <w:bCs/>
              </w:rPr>
              <w:t>1,</w:t>
            </w:r>
            <w:r w:rsidR="00CF4BB3">
              <w:rPr>
                <w:rFonts w:cstheme="minorHAnsi"/>
                <w:bCs/>
              </w:rPr>
              <w:t>170</w:t>
            </w:r>
            <w:r w:rsidR="00CC2726" w:rsidRPr="007B4F1A">
              <w:rPr>
                <w:rFonts w:cstheme="minorHAnsi"/>
                <w:bCs/>
              </w:rPr>
              <w:t xml:space="preserve"> </w:t>
            </w:r>
            <w:r w:rsidR="003E0231" w:rsidRPr="007B4F1A">
              <w:rPr>
                <w:rFonts w:cstheme="minorHAnsi"/>
                <w:bCs/>
              </w:rPr>
              <w:t xml:space="preserve">million / </w:t>
            </w:r>
            <w:r w:rsidR="00861AD8">
              <w:rPr>
                <w:rFonts w:cstheme="minorHAnsi"/>
                <w:bCs/>
              </w:rPr>
              <w:t>1</w:t>
            </w:r>
            <w:r w:rsidR="00CF4BB3">
              <w:rPr>
                <w:rFonts w:cstheme="minorHAnsi"/>
                <w:bCs/>
              </w:rPr>
              <w:t>05.1</w:t>
            </w:r>
            <w:r w:rsidR="00193982" w:rsidRPr="007B4F1A">
              <w:rPr>
                <w:rFonts w:cstheme="minorHAnsi"/>
                <w:bCs/>
              </w:rPr>
              <w:t>c</w:t>
            </w:r>
            <w:r w:rsidR="003E0231" w:rsidRPr="007B4F1A">
              <w:rPr>
                <w:rFonts w:cstheme="minorHAnsi"/>
                <w:bCs/>
              </w:rPr>
              <w:t xml:space="preserve"> per share</w:t>
            </w:r>
          </w:p>
        </w:tc>
      </w:tr>
      <w:tr w:rsidR="003E0231" w:rsidRPr="007B4F1A" w14:paraId="202E617C" w14:textId="77777777" w:rsidTr="003E0231">
        <w:trPr>
          <w:trHeight w:val="70"/>
          <w:jc w:val="center"/>
        </w:trPr>
        <w:tc>
          <w:tcPr>
            <w:tcW w:w="4735" w:type="dxa"/>
            <w:shd w:val="clear" w:color="auto" w:fill="auto"/>
          </w:tcPr>
          <w:p w14:paraId="5CE99736" w14:textId="1D959C6D" w:rsidR="003E0231" w:rsidRPr="007B4F1A" w:rsidRDefault="00852A74" w:rsidP="003E0231">
            <w:pPr>
              <w:jc w:val="both"/>
              <w:rPr>
                <w:rFonts w:cstheme="minorHAnsi"/>
                <w:b/>
                <w:bCs/>
              </w:rPr>
            </w:pPr>
            <w:r w:rsidRPr="007B4F1A">
              <w:rPr>
                <w:rFonts w:cstheme="minorHAnsi"/>
                <w:b/>
                <w:bCs/>
              </w:rPr>
              <w:t>Q</w:t>
            </w:r>
            <w:r w:rsidR="00CF4BB3">
              <w:rPr>
                <w:rFonts w:cstheme="minorHAnsi"/>
                <w:b/>
                <w:bCs/>
              </w:rPr>
              <w:t>1</w:t>
            </w:r>
            <w:r w:rsidRPr="007B4F1A">
              <w:rPr>
                <w:rFonts w:cstheme="minorHAnsi"/>
                <w:b/>
                <w:bCs/>
              </w:rPr>
              <w:t xml:space="preserve"> </w:t>
            </w:r>
            <w:r w:rsidR="003E0231" w:rsidRPr="007B4F1A">
              <w:rPr>
                <w:rFonts w:cstheme="minorHAnsi"/>
                <w:b/>
                <w:bCs/>
              </w:rPr>
              <w:t>Dividend/Dividend per share</w:t>
            </w:r>
            <w:r w:rsidR="003E0231" w:rsidRPr="007B4F1A">
              <w:rPr>
                <w:rFonts w:cstheme="minorHAnsi"/>
                <w:b/>
                <w:bCs/>
              </w:rPr>
              <w:tab/>
            </w:r>
          </w:p>
        </w:tc>
        <w:tc>
          <w:tcPr>
            <w:tcW w:w="3830" w:type="dxa"/>
            <w:shd w:val="clear" w:color="auto" w:fill="auto"/>
          </w:tcPr>
          <w:p w14:paraId="085AD873" w14:textId="3E9B29A9" w:rsidR="003E0231" w:rsidRPr="007B4F1A" w:rsidRDefault="004A2B7A" w:rsidP="00635906">
            <w:pPr>
              <w:jc w:val="both"/>
              <w:rPr>
                <w:rFonts w:cstheme="minorHAnsi"/>
                <w:bCs/>
              </w:rPr>
            </w:pPr>
            <w:r w:rsidRPr="007B4F1A">
              <w:rPr>
                <w:rFonts w:cstheme="minorHAnsi"/>
                <w:bCs/>
              </w:rPr>
              <w:t>€</w:t>
            </w:r>
            <w:r w:rsidR="00E73132">
              <w:rPr>
                <w:rFonts w:cstheme="minorHAnsi"/>
                <w:bCs/>
              </w:rPr>
              <w:t>1</w:t>
            </w:r>
            <w:r w:rsidR="00CF4BB3">
              <w:rPr>
                <w:rFonts w:cstheme="minorHAnsi"/>
                <w:bCs/>
              </w:rPr>
              <w:t>9.0</w:t>
            </w:r>
            <w:r w:rsidRPr="007B4F1A">
              <w:rPr>
                <w:rFonts w:cstheme="minorHAnsi"/>
                <w:bCs/>
              </w:rPr>
              <w:t xml:space="preserve"> million / </w:t>
            </w:r>
            <w:r w:rsidR="00B10FD4" w:rsidRPr="007B4F1A">
              <w:rPr>
                <w:rFonts w:cstheme="minorHAnsi"/>
                <w:bCs/>
              </w:rPr>
              <w:t>1.</w:t>
            </w:r>
            <w:r w:rsidR="00CF4BB3">
              <w:rPr>
                <w:rFonts w:cstheme="minorHAnsi"/>
                <w:bCs/>
              </w:rPr>
              <w:t>7025</w:t>
            </w:r>
            <w:r w:rsidRPr="007B4F1A">
              <w:rPr>
                <w:rFonts w:cstheme="minorHAnsi"/>
                <w:bCs/>
              </w:rPr>
              <w:t>c per share</w:t>
            </w:r>
          </w:p>
        </w:tc>
      </w:tr>
    </w:tbl>
    <w:p w14:paraId="2E5EA43F" w14:textId="77777777" w:rsidR="003E0231" w:rsidRPr="00C118DE" w:rsidRDefault="003E0231" w:rsidP="003E0231">
      <w:pPr>
        <w:tabs>
          <w:tab w:val="left" w:pos="5760"/>
        </w:tabs>
        <w:contextualSpacing/>
        <w:jc w:val="both"/>
        <w:rPr>
          <w:rFonts w:ascii="Arial" w:hAnsi="Arial" w:cs="Arial"/>
          <w:b/>
          <w:bCs/>
          <w:sz w:val="20"/>
          <w:szCs w:val="20"/>
        </w:rPr>
      </w:pPr>
    </w:p>
    <w:p w14:paraId="5CBDD131" w14:textId="77777777" w:rsidR="00F8521A" w:rsidRDefault="007B14A7" w:rsidP="003E0231">
      <w:pPr>
        <w:tabs>
          <w:tab w:val="left" w:pos="5760"/>
        </w:tabs>
        <w:contextualSpacing/>
        <w:jc w:val="both"/>
        <w:rPr>
          <w:rFonts w:cstheme="minorHAnsi"/>
          <w:b/>
          <w:bCs/>
          <w:sz w:val="20"/>
          <w:szCs w:val="20"/>
        </w:rPr>
      </w:pPr>
      <w:r w:rsidRPr="008D341B">
        <w:rPr>
          <w:rFonts w:cstheme="minorHAnsi"/>
          <w:b/>
          <w:bCs/>
          <w:sz w:val="20"/>
          <w:szCs w:val="20"/>
        </w:rPr>
        <w:t>Financial and Operation</w:t>
      </w:r>
      <w:r w:rsidR="002C10DC" w:rsidRPr="008D341B">
        <w:rPr>
          <w:rFonts w:cstheme="minorHAnsi"/>
          <w:b/>
          <w:bCs/>
          <w:sz w:val="20"/>
          <w:szCs w:val="20"/>
        </w:rPr>
        <w:t>al</w:t>
      </w:r>
      <w:r w:rsidRPr="008D341B">
        <w:rPr>
          <w:rFonts w:cstheme="minorHAnsi"/>
          <w:b/>
          <w:bCs/>
          <w:sz w:val="20"/>
          <w:szCs w:val="20"/>
        </w:rPr>
        <w:t xml:space="preserve"> Highlights</w:t>
      </w:r>
    </w:p>
    <w:p w14:paraId="2FC6452A" w14:textId="77777777" w:rsidR="00F8521A" w:rsidRDefault="00F8521A" w:rsidP="003E0231">
      <w:pPr>
        <w:tabs>
          <w:tab w:val="left" w:pos="5760"/>
        </w:tabs>
        <w:contextualSpacing/>
        <w:jc w:val="both"/>
        <w:rPr>
          <w:rFonts w:cstheme="minorHAnsi"/>
          <w:b/>
          <w:bCs/>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E14D20" w:rsidRPr="00F46E3C" w14:paraId="06797141" w14:textId="77777777" w:rsidTr="00E07D1F">
        <w:trPr>
          <w:trHeight w:val="1560"/>
        </w:trPr>
        <w:tc>
          <w:tcPr>
            <w:tcW w:w="9072" w:type="dxa"/>
            <w:shd w:val="clear" w:color="auto" w:fill="auto"/>
          </w:tcPr>
          <w:p w14:paraId="36556010" w14:textId="77777777" w:rsidR="00E14D20" w:rsidRPr="00FE667F" w:rsidRDefault="00E14D20" w:rsidP="00E14D20">
            <w:pPr>
              <w:pStyle w:val="ListParagraph"/>
              <w:numPr>
                <w:ilvl w:val="0"/>
                <w:numId w:val="7"/>
              </w:numPr>
              <w:spacing w:after="200" w:line="276" w:lineRule="auto"/>
              <w:jc w:val="both"/>
              <w:rPr>
                <w:rFonts w:ascii="Calibri" w:hAnsi="Calibri" w:cs="Calibri"/>
                <w:b/>
                <w:bCs/>
                <w:sz w:val="20"/>
                <w:szCs w:val="20"/>
              </w:rPr>
            </w:pPr>
            <w:bookmarkStart w:id="0" w:name="_Hlk77830528"/>
            <w:bookmarkStart w:id="1" w:name="_Hlk140564947"/>
            <w:r>
              <w:rPr>
                <w:rFonts w:ascii="Calibri" w:hAnsi="Calibri" w:cs="Calibri"/>
                <w:b/>
                <w:bCs/>
                <w:sz w:val="20"/>
                <w:szCs w:val="20"/>
              </w:rPr>
              <w:t xml:space="preserve">Robust cash generation and dividend cover in challenging period </w:t>
            </w:r>
          </w:p>
          <w:p w14:paraId="04530608" w14:textId="2796E97D" w:rsidR="00E14D20" w:rsidRPr="008A3302" w:rsidRDefault="00E14D20" w:rsidP="00E14D20">
            <w:pPr>
              <w:pStyle w:val="ListParagraph"/>
              <w:numPr>
                <w:ilvl w:val="1"/>
                <w:numId w:val="7"/>
              </w:numPr>
              <w:spacing w:after="200"/>
              <w:jc w:val="both"/>
            </w:pPr>
            <w:r>
              <w:rPr>
                <w:rFonts w:ascii="Calibri" w:hAnsi="Calibri" w:cs="Calibri"/>
                <w:sz w:val="20"/>
                <w:szCs w:val="20"/>
              </w:rPr>
              <w:t>Q1 gross cash generation of €48 million</w:t>
            </w:r>
            <w:r w:rsidR="00E17019">
              <w:rPr>
                <w:rStyle w:val="FootnoteReference"/>
                <w:rFonts w:ascii="Calibri" w:hAnsi="Calibri" w:cs="Calibri"/>
                <w:sz w:val="16"/>
                <w:szCs w:val="16"/>
              </w:rPr>
              <w:t>1</w:t>
            </w:r>
            <w:r>
              <w:rPr>
                <w:rFonts w:ascii="Calibri" w:hAnsi="Calibri" w:cs="Calibri"/>
                <w:sz w:val="20"/>
                <w:szCs w:val="20"/>
              </w:rPr>
              <w:t xml:space="preserve"> with total generation –14% below budget, primarily due to wind speeds significantly below long-term average  </w:t>
            </w:r>
          </w:p>
          <w:p w14:paraId="001B0793" w14:textId="77777777" w:rsidR="00E14D20" w:rsidRPr="004F32D2" w:rsidRDefault="00E14D20" w:rsidP="00E14D20">
            <w:pPr>
              <w:pStyle w:val="ListParagraph"/>
              <w:numPr>
                <w:ilvl w:val="1"/>
                <w:numId w:val="7"/>
              </w:numPr>
              <w:spacing w:after="200"/>
              <w:jc w:val="both"/>
            </w:pPr>
            <w:r>
              <w:rPr>
                <w:rFonts w:ascii="Calibri" w:hAnsi="Calibri" w:cs="Calibri"/>
                <w:sz w:val="20"/>
                <w:szCs w:val="20"/>
              </w:rPr>
              <w:t xml:space="preserve">Q1 solar performance in line with expectation underlining benefits of </w:t>
            </w:r>
            <w:r w:rsidRPr="00FD6829">
              <w:rPr>
                <w:rFonts w:ascii="Calibri" w:hAnsi="Calibri" w:cs="Calibri"/>
                <w:sz w:val="20"/>
                <w:szCs w:val="20"/>
              </w:rPr>
              <w:t xml:space="preserve">portfolio diversification </w:t>
            </w:r>
          </w:p>
          <w:p w14:paraId="27FE3B64" w14:textId="77777777" w:rsidR="00E14D20" w:rsidRDefault="00E14D20" w:rsidP="00E14D20">
            <w:pPr>
              <w:pStyle w:val="ListParagraph"/>
              <w:numPr>
                <w:ilvl w:val="1"/>
                <w:numId w:val="7"/>
              </w:numPr>
              <w:jc w:val="both"/>
              <w:rPr>
                <w:rFonts w:ascii="Calibri" w:hAnsi="Calibri" w:cs="Calibri"/>
                <w:sz w:val="20"/>
                <w:szCs w:val="20"/>
              </w:rPr>
            </w:pPr>
            <w:r>
              <w:rPr>
                <w:rFonts w:ascii="Calibri" w:hAnsi="Calibri" w:cs="Calibri"/>
                <w:sz w:val="20"/>
                <w:szCs w:val="20"/>
              </w:rPr>
              <w:t xml:space="preserve">Q1 gross dividend cover of 2.5x </w:t>
            </w:r>
          </w:p>
          <w:p w14:paraId="5F392C84" w14:textId="77777777" w:rsidR="00E14D20" w:rsidRPr="00FD6829" w:rsidRDefault="00E14D20" w:rsidP="00E14D20">
            <w:pPr>
              <w:pStyle w:val="ListParagraph"/>
              <w:numPr>
                <w:ilvl w:val="1"/>
                <w:numId w:val="7"/>
              </w:numPr>
              <w:jc w:val="both"/>
              <w:rPr>
                <w:rFonts w:ascii="Calibri" w:hAnsi="Calibri" w:cs="Calibri"/>
                <w:sz w:val="20"/>
                <w:szCs w:val="20"/>
              </w:rPr>
            </w:pPr>
            <w:r w:rsidRPr="00FD6829">
              <w:rPr>
                <w:rFonts w:ascii="Calibri" w:hAnsi="Calibri" w:cs="Calibri"/>
                <w:sz w:val="20"/>
                <w:szCs w:val="20"/>
              </w:rPr>
              <w:t xml:space="preserve">6.81 cent per share target dividend for 2025 </w:t>
            </w:r>
          </w:p>
          <w:p w14:paraId="2F6DAD3B" w14:textId="77777777" w:rsidR="00E14D20" w:rsidRPr="00FD6829" w:rsidRDefault="00E14D20" w:rsidP="00E14D20">
            <w:pPr>
              <w:pStyle w:val="ListParagraph"/>
              <w:spacing w:after="200"/>
              <w:ind w:left="1440"/>
              <w:jc w:val="both"/>
              <w:rPr>
                <w:rFonts w:ascii="Calibri" w:hAnsi="Calibri" w:cs="Calibri"/>
                <w:sz w:val="20"/>
                <w:szCs w:val="20"/>
              </w:rPr>
            </w:pPr>
          </w:p>
          <w:p w14:paraId="1D9B6BC7" w14:textId="77777777" w:rsidR="00E14D20" w:rsidRPr="00FD6829" w:rsidRDefault="00E14D20" w:rsidP="00E14D20">
            <w:pPr>
              <w:pStyle w:val="ListParagraph"/>
              <w:numPr>
                <w:ilvl w:val="0"/>
                <w:numId w:val="7"/>
              </w:numPr>
              <w:spacing w:after="200"/>
              <w:jc w:val="both"/>
              <w:rPr>
                <w:b/>
                <w:bCs/>
              </w:rPr>
            </w:pPr>
            <w:r w:rsidRPr="00FD6829">
              <w:rPr>
                <w:rFonts w:ascii="Calibri" w:hAnsi="Calibri" w:cs="Calibri"/>
                <w:b/>
                <w:bCs/>
                <w:sz w:val="20"/>
                <w:szCs w:val="20"/>
              </w:rPr>
              <w:t xml:space="preserve">Strong liquidity and completion of final forward sale asset </w:t>
            </w:r>
          </w:p>
          <w:p w14:paraId="6E8285BC" w14:textId="77777777" w:rsidR="00E14D20" w:rsidRPr="00FD6829" w:rsidRDefault="00E14D20" w:rsidP="00E14D20">
            <w:pPr>
              <w:pStyle w:val="ListParagraph"/>
              <w:numPr>
                <w:ilvl w:val="1"/>
                <w:numId w:val="7"/>
              </w:numPr>
              <w:spacing w:after="200"/>
              <w:jc w:val="both"/>
              <w:rPr>
                <w:rFonts w:ascii="Calibri" w:hAnsi="Calibri" w:cs="Calibri"/>
                <w:sz w:val="20"/>
                <w:szCs w:val="20"/>
              </w:rPr>
            </w:pPr>
            <w:r w:rsidRPr="00FD6829">
              <w:rPr>
                <w:rFonts w:ascii="Calibri" w:hAnsi="Calibri" w:cs="Calibri"/>
                <w:sz w:val="20"/>
                <w:szCs w:val="20"/>
              </w:rPr>
              <w:t xml:space="preserve">Completed the acquisition of </w:t>
            </w:r>
            <w:r>
              <w:rPr>
                <w:rFonts w:ascii="Calibri" w:hAnsi="Calibri" w:cs="Calibri"/>
                <w:sz w:val="20"/>
                <w:szCs w:val="20"/>
              </w:rPr>
              <w:t>c</w:t>
            </w:r>
            <w:r w:rsidRPr="00FD6829">
              <w:rPr>
                <w:rFonts w:ascii="Calibri" w:hAnsi="Calibri" w:cs="Calibri"/>
                <w:sz w:val="20"/>
                <w:szCs w:val="20"/>
              </w:rPr>
              <w:t>€90</w:t>
            </w:r>
            <w:r>
              <w:rPr>
                <w:rFonts w:ascii="Calibri" w:hAnsi="Calibri" w:cs="Calibri"/>
                <w:sz w:val="20"/>
                <w:szCs w:val="20"/>
              </w:rPr>
              <w:t xml:space="preserve"> </w:t>
            </w:r>
            <w:r w:rsidRPr="00FD6829">
              <w:rPr>
                <w:rFonts w:ascii="Calibri" w:hAnsi="Calibri" w:cs="Calibri"/>
                <w:sz w:val="20"/>
                <w:szCs w:val="20"/>
              </w:rPr>
              <w:t>m</w:t>
            </w:r>
            <w:r>
              <w:rPr>
                <w:rFonts w:ascii="Calibri" w:hAnsi="Calibri" w:cs="Calibri"/>
                <w:sz w:val="20"/>
                <w:szCs w:val="20"/>
              </w:rPr>
              <w:t>illion</w:t>
            </w:r>
            <w:r w:rsidRPr="00FD6829">
              <w:rPr>
                <w:rFonts w:ascii="Calibri" w:hAnsi="Calibri" w:cs="Calibri"/>
                <w:sz w:val="20"/>
                <w:szCs w:val="20"/>
              </w:rPr>
              <w:t xml:space="preserve"> Andella wind farm in Spain as part of forward sale commitment </w:t>
            </w:r>
            <w:proofErr w:type="gramStart"/>
            <w:r w:rsidRPr="00FD6829">
              <w:rPr>
                <w:rFonts w:ascii="Calibri" w:hAnsi="Calibri" w:cs="Calibri"/>
                <w:sz w:val="20"/>
                <w:szCs w:val="20"/>
              </w:rPr>
              <w:t>entered into</w:t>
            </w:r>
            <w:proofErr w:type="gramEnd"/>
            <w:r w:rsidRPr="00FD6829">
              <w:rPr>
                <w:rFonts w:ascii="Calibri" w:hAnsi="Calibri" w:cs="Calibri"/>
                <w:sz w:val="20"/>
                <w:szCs w:val="20"/>
              </w:rPr>
              <w:t xml:space="preserve"> in July 2022 </w:t>
            </w:r>
          </w:p>
          <w:p w14:paraId="20517256" w14:textId="77777777" w:rsidR="00E14D20" w:rsidRPr="00FD6829" w:rsidRDefault="00E14D20" w:rsidP="00E14D20">
            <w:pPr>
              <w:pStyle w:val="ListParagraph"/>
              <w:numPr>
                <w:ilvl w:val="1"/>
                <w:numId w:val="7"/>
              </w:numPr>
              <w:spacing w:after="200"/>
              <w:jc w:val="both"/>
              <w:rPr>
                <w:rFonts w:ascii="Calibri" w:hAnsi="Calibri" w:cs="Calibri"/>
                <w:sz w:val="20"/>
                <w:szCs w:val="20"/>
              </w:rPr>
            </w:pPr>
            <w:r>
              <w:rPr>
                <w:rFonts w:ascii="Calibri" w:hAnsi="Calibri" w:cs="Calibri"/>
                <w:sz w:val="20"/>
                <w:szCs w:val="20"/>
              </w:rPr>
              <w:t>Robust balance sheet and strong</w:t>
            </w:r>
            <w:r w:rsidRPr="00FD6829">
              <w:rPr>
                <w:rFonts w:ascii="Calibri" w:hAnsi="Calibri" w:cs="Calibri"/>
                <w:sz w:val="20"/>
                <w:szCs w:val="20"/>
              </w:rPr>
              <w:t xml:space="preserve"> liquidity</w:t>
            </w:r>
            <w:r>
              <w:rPr>
                <w:rFonts w:ascii="Calibri" w:hAnsi="Calibri" w:cs="Calibri"/>
                <w:sz w:val="20"/>
                <w:szCs w:val="20"/>
              </w:rPr>
              <w:t xml:space="preserve"> position</w:t>
            </w:r>
            <w:r w:rsidRPr="00FD6829">
              <w:rPr>
                <w:rFonts w:ascii="Calibri" w:hAnsi="Calibri" w:cs="Calibri"/>
                <w:sz w:val="20"/>
                <w:szCs w:val="20"/>
              </w:rPr>
              <w:t xml:space="preserve"> with total cash of €147 million and €149 million RCF availability</w:t>
            </w:r>
          </w:p>
          <w:p w14:paraId="6F9C1C97" w14:textId="77777777" w:rsidR="00E14D20" w:rsidRPr="00FD6829" w:rsidRDefault="00E14D20" w:rsidP="00E14D20">
            <w:pPr>
              <w:pStyle w:val="ListParagraph"/>
              <w:numPr>
                <w:ilvl w:val="1"/>
                <w:numId w:val="7"/>
              </w:numPr>
              <w:spacing w:after="200"/>
              <w:jc w:val="both"/>
              <w:rPr>
                <w:rFonts w:ascii="Calibri" w:hAnsi="Calibri" w:cs="Calibri"/>
                <w:sz w:val="20"/>
                <w:szCs w:val="20"/>
              </w:rPr>
            </w:pPr>
            <w:r w:rsidRPr="00FD6829">
              <w:rPr>
                <w:rFonts w:ascii="Calibri" w:hAnsi="Calibri" w:cs="Calibri"/>
                <w:sz w:val="20"/>
                <w:szCs w:val="20"/>
              </w:rPr>
              <w:t xml:space="preserve">Total debt of €1,354 million equating to 54% gearing </w:t>
            </w:r>
          </w:p>
          <w:p w14:paraId="5301B468" w14:textId="77777777" w:rsidR="00E14D20" w:rsidRDefault="00E14D20" w:rsidP="00E14D20">
            <w:pPr>
              <w:pStyle w:val="ListParagraph"/>
              <w:numPr>
                <w:ilvl w:val="1"/>
                <w:numId w:val="7"/>
              </w:numPr>
              <w:spacing w:after="200"/>
              <w:jc w:val="both"/>
              <w:rPr>
                <w:rFonts w:ascii="Calibri" w:hAnsi="Calibri" w:cs="Calibri"/>
                <w:sz w:val="20"/>
                <w:szCs w:val="20"/>
              </w:rPr>
            </w:pPr>
            <w:r w:rsidRPr="00FD6829">
              <w:rPr>
                <w:rFonts w:ascii="Calibri" w:hAnsi="Calibri" w:cs="Calibri"/>
                <w:sz w:val="20"/>
                <w:szCs w:val="20"/>
              </w:rPr>
              <w:t xml:space="preserve">Positive progress on disposal program with </w:t>
            </w:r>
            <w:r w:rsidRPr="00263D7B">
              <w:rPr>
                <w:rFonts w:ascii="Calibri" w:hAnsi="Calibri" w:cs="Calibri"/>
                <w:sz w:val="20"/>
                <w:szCs w:val="20"/>
              </w:rPr>
              <w:t xml:space="preserve">2 </w:t>
            </w:r>
            <w:r w:rsidRPr="00FD6829">
              <w:rPr>
                <w:rFonts w:ascii="Calibri" w:hAnsi="Calibri" w:cs="Calibri"/>
                <w:sz w:val="20"/>
                <w:szCs w:val="20"/>
              </w:rPr>
              <w:t>transaction</w:t>
            </w:r>
            <w:r w:rsidRPr="00263D7B">
              <w:rPr>
                <w:rFonts w:ascii="Calibri" w:hAnsi="Calibri" w:cs="Calibri"/>
                <w:sz w:val="20"/>
                <w:szCs w:val="20"/>
              </w:rPr>
              <w:t>s</w:t>
            </w:r>
            <w:r w:rsidRPr="00FD6829">
              <w:rPr>
                <w:rFonts w:ascii="Calibri" w:hAnsi="Calibri" w:cs="Calibri"/>
                <w:sz w:val="20"/>
                <w:szCs w:val="20"/>
              </w:rPr>
              <w:t xml:space="preserve"> under exclusivity</w:t>
            </w:r>
            <w:r w:rsidRPr="00263D7B">
              <w:rPr>
                <w:rFonts w:ascii="Calibri" w:hAnsi="Calibri" w:cs="Calibri"/>
                <w:sz w:val="20"/>
                <w:szCs w:val="20"/>
              </w:rPr>
              <w:t>,</w:t>
            </w:r>
            <w:r w:rsidRPr="00FD6829">
              <w:rPr>
                <w:rFonts w:ascii="Calibri" w:hAnsi="Calibri" w:cs="Calibri"/>
                <w:sz w:val="20"/>
                <w:szCs w:val="20"/>
              </w:rPr>
              <w:t xml:space="preserve"> </w:t>
            </w:r>
            <w:r>
              <w:rPr>
                <w:rFonts w:ascii="Calibri" w:hAnsi="Calibri" w:cs="Calibri"/>
                <w:sz w:val="20"/>
                <w:szCs w:val="20"/>
              </w:rPr>
              <w:t>expected to support</w:t>
            </w:r>
            <w:r w:rsidRPr="00FD6829">
              <w:rPr>
                <w:rFonts w:ascii="Calibri" w:hAnsi="Calibri" w:cs="Calibri"/>
                <w:sz w:val="20"/>
                <w:szCs w:val="20"/>
              </w:rPr>
              <w:t xml:space="preserve"> de-leveraging to </w:t>
            </w:r>
            <w:r>
              <w:rPr>
                <w:rFonts w:ascii="Calibri" w:hAnsi="Calibri" w:cs="Calibri"/>
                <w:sz w:val="20"/>
                <w:szCs w:val="20"/>
              </w:rPr>
              <w:t>c</w:t>
            </w:r>
            <w:r w:rsidRPr="00FD6829">
              <w:rPr>
                <w:rFonts w:ascii="Calibri" w:hAnsi="Calibri" w:cs="Calibri"/>
                <w:sz w:val="20"/>
                <w:szCs w:val="20"/>
              </w:rPr>
              <w:t xml:space="preserve">50% gearing level </w:t>
            </w:r>
            <w:r>
              <w:rPr>
                <w:rFonts w:ascii="Calibri" w:hAnsi="Calibri" w:cs="Calibri"/>
                <w:sz w:val="20"/>
                <w:szCs w:val="20"/>
              </w:rPr>
              <w:t>once completed</w:t>
            </w:r>
            <w:r w:rsidRPr="00FD6829">
              <w:rPr>
                <w:rFonts w:ascii="Calibri" w:hAnsi="Calibri" w:cs="Calibri"/>
                <w:sz w:val="20"/>
                <w:szCs w:val="20"/>
              </w:rPr>
              <w:t xml:space="preserve"> </w:t>
            </w:r>
          </w:p>
          <w:p w14:paraId="0372D4D3" w14:textId="77777777" w:rsidR="00E14D20" w:rsidRDefault="00E14D20" w:rsidP="00E14D20">
            <w:pPr>
              <w:pStyle w:val="ListParagraph"/>
              <w:spacing w:after="200"/>
              <w:ind w:left="1440"/>
              <w:jc w:val="both"/>
              <w:rPr>
                <w:rFonts w:ascii="Calibri" w:hAnsi="Calibri" w:cs="Calibri"/>
                <w:sz w:val="20"/>
                <w:szCs w:val="20"/>
              </w:rPr>
            </w:pPr>
          </w:p>
          <w:p w14:paraId="675B4A5D" w14:textId="77777777" w:rsidR="00E14D20" w:rsidRPr="00200621" w:rsidRDefault="00E14D20" w:rsidP="00E14D20">
            <w:pPr>
              <w:pStyle w:val="ListParagraph"/>
              <w:numPr>
                <w:ilvl w:val="0"/>
                <w:numId w:val="7"/>
              </w:numPr>
              <w:rPr>
                <w:rFonts w:ascii="Calibri" w:hAnsi="Calibri" w:cs="Calibri"/>
                <w:b/>
                <w:bCs/>
                <w:sz w:val="20"/>
                <w:szCs w:val="20"/>
              </w:rPr>
            </w:pPr>
            <w:r w:rsidRPr="00200621">
              <w:rPr>
                <w:rFonts w:ascii="Calibri" w:hAnsi="Calibri" w:cs="Calibri"/>
                <w:b/>
                <w:bCs/>
                <w:sz w:val="20"/>
                <w:szCs w:val="20"/>
              </w:rPr>
              <w:t>Long-Term PPA signed post quarter end</w:t>
            </w:r>
          </w:p>
          <w:p w14:paraId="3440B5F7" w14:textId="77777777" w:rsidR="00E14D20" w:rsidRDefault="00E14D20" w:rsidP="00E14D20">
            <w:pPr>
              <w:pStyle w:val="ListParagraph"/>
              <w:numPr>
                <w:ilvl w:val="1"/>
                <w:numId w:val="7"/>
              </w:numPr>
              <w:spacing w:after="200"/>
              <w:jc w:val="both"/>
              <w:rPr>
                <w:rFonts w:ascii="Calibri" w:hAnsi="Calibri" w:cs="Calibri"/>
                <w:sz w:val="20"/>
                <w:szCs w:val="20"/>
              </w:rPr>
            </w:pPr>
            <w:r>
              <w:rPr>
                <w:rFonts w:ascii="Calibri" w:hAnsi="Calibri" w:cs="Calibri"/>
                <w:sz w:val="20"/>
                <w:szCs w:val="20"/>
              </w:rPr>
              <w:t>A</w:t>
            </w:r>
            <w:r w:rsidRPr="00200621">
              <w:rPr>
                <w:rFonts w:ascii="Calibri" w:hAnsi="Calibri" w:cs="Calibri"/>
                <w:sz w:val="20"/>
                <w:szCs w:val="20"/>
              </w:rPr>
              <w:t xml:space="preserve">greed a new 10-year Power Purchase Agreement ('PPA') with Keppel DC REIT who will purchase 100% of the electricity generated from Ballincollig wind farm, which has an annual output of 31.5 GWh </w:t>
            </w:r>
          </w:p>
          <w:p w14:paraId="319198F3" w14:textId="77777777" w:rsidR="00E14D20" w:rsidRPr="00200621" w:rsidRDefault="00E14D20" w:rsidP="00E14D20">
            <w:pPr>
              <w:pStyle w:val="ListParagraph"/>
              <w:numPr>
                <w:ilvl w:val="1"/>
                <w:numId w:val="7"/>
              </w:numPr>
              <w:spacing w:after="200"/>
              <w:jc w:val="both"/>
              <w:rPr>
                <w:rFonts w:ascii="Calibri" w:hAnsi="Calibri" w:cs="Calibri"/>
                <w:sz w:val="20"/>
                <w:szCs w:val="20"/>
              </w:rPr>
            </w:pPr>
            <w:r w:rsidRPr="00200621">
              <w:rPr>
                <w:rFonts w:ascii="Calibri" w:hAnsi="Calibri" w:cs="Calibri"/>
                <w:sz w:val="20"/>
                <w:szCs w:val="20"/>
              </w:rPr>
              <w:t xml:space="preserve">The pay as produced PPA provides escalating contracted revenues and </w:t>
            </w:r>
            <w:r>
              <w:rPr>
                <w:rFonts w:ascii="Calibri" w:hAnsi="Calibri" w:cs="Calibri"/>
                <w:sz w:val="20"/>
                <w:szCs w:val="20"/>
              </w:rPr>
              <w:t xml:space="preserve">is effective from 1 April 2025 </w:t>
            </w:r>
          </w:p>
          <w:p w14:paraId="24E1E53F" w14:textId="16B3FE75" w:rsidR="00E14D20" w:rsidRDefault="00E14D20" w:rsidP="00E14D20">
            <w:pPr>
              <w:pStyle w:val="ListParagraph"/>
              <w:numPr>
                <w:ilvl w:val="1"/>
                <w:numId w:val="7"/>
              </w:numPr>
              <w:spacing w:after="200"/>
              <w:jc w:val="both"/>
              <w:rPr>
                <w:rFonts w:ascii="Calibri" w:hAnsi="Calibri" w:cs="Calibri"/>
                <w:sz w:val="20"/>
                <w:szCs w:val="20"/>
              </w:rPr>
            </w:pPr>
            <w:r>
              <w:rPr>
                <w:rFonts w:ascii="Calibri" w:hAnsi="Calibri" w:cs="Calibri"/>
                <w:sz w:val="20"/>
                <w:szCs w:val="20"/>
              </w:rPr>
              <w:t>Six</w:t>
            </w:r>
            <w:r w:rsidRPr="00200621">
              <w:rPr>
                <w:rFonts w:ascii="Calibri" w:hAnsi="Calibri" w:cs="Calibri"/>
                <w:sz w:val="20"/>
                <w:szCs w:val="20"/>
              </w:rPr>
              <w:t xml:space="preserve"> </w:t>
            </w:r>
            <w:r w:rsidRPr="008A3302">
              <w:rPr>
                <w:rFonts w:ascii="Calibri" w:hAnsi="Calibri" w:cs="Calibri"/>
                <w:sz w:val="20"/>
                <w:szCs w:val="20"/>
              </w:rPr>
              <w:t>PPAs</w:t>
            </w:r>
            <w:r>
              <w:rPr>
                <w:rFonts w:ascii="Calibri" w:hAnsi="Calibri" w:cs="Calibri"/>
                <w:sz w:val="20"/>
                <w:szCs w:val="20"/>
              </w:rPr>
              <w:t xml:space="preserve"> entered into</w:t>
            </w:r>
            <w:r w:rsidRPr="008A3302">
              <w:rPr>
                <w:rFonts w:ascii="Calibri" w:hAnsi="Calibri" w:cs="Calibri"/>
                <w:sz w:val="20"/>
                <w:szCs w:val="20"/>
              </w:rPr>
              <w:t xml:space="preserve"> since the Company launched its re-contracting strategy representing c20% of its 5-year merchant volumes </w:t>
            </w:r>
            <w:r w:rsidRPr="00E14D20">
              <w:rPr>
                <w:rFonts w:ascii="Calibri" w:hAnsi="Calibri" w:cs="Calibri"/>
                <w:sz w:val="20"/>
                <w:szCs w:val="20"/>
              </w:rPr>
              <w:t xml:space="preserve"> </w:t>
            </w:r>
          </w:p>
          <w:p w14:paraId="2B43BAC9" w14:textId="77777777" w:rsidR="00E14D20" w:rsidRPr="00E14D20" w:rsidRDefault="00E14D20" w:rsidP="00E14D20">
            <w:pPr>
              <w:pStyle w:val="ListParagraph"/>
              <w:spacing w:after="200"/>
              <w:ind w:left="1440"/>
              <w:jc w:val="both"/>
              <w:rPr>
                <w:rFonts w:ascii="Calibri" w:hAnsi="Calibri" w:cs="Calibri"/>
                <w:sz w:val="20"/>
                <w:szCs w:val="20"/>
              </w:rPr>
            </w:pPr>
          </w:p>
          <w:p w14:paraId="09246939" w14:textId="77777777" w:rsidR="00E14D20" w:rsidRPr="00FE667F" w:rsidRDefault="00E14D20" w:rsidP="00E14D20">
            <w:pPr>
              <w:pStyle w:val="ListParagraph"/>
              <w:numPr>
                <w:ilvl w:val="0"/>
                <w:numId w:val="7"/>
              </w:numPr>
              <w:spacing w:after="200"/>
              <w:jc w:val="both"/>
              <w:rPr>
                <w:rFonts w:ascii="Calibri" w:hAnsi="Calibri" w:cs="Calibri"/>
                <w:b/>
                <w:bCs/>
                <w:sz w:val="20"/>
                <w:szCs w:val="20"/>
              </w:rPr>
            </w:pPr>
            <w:r w:rsidRPr="00FE667F">
              <w:rPr>
                <w:rFonts w:ascii="Calibri" w:hAnsi="Calibri" w:cs="Calibri"/>
                <w:b/>
                <w:bCs/>
                <w:sz w:val="20"/>
                <w:szCs w:val="20"/>
              </w:rPr>
              <w:t>Q</w:t>
            </w:r>
            <w:r>
              <w:rPr>
                <w:rFonts w:ascii="Calibri" w:hAnsi="Calibri" w:cs="Calibri"/>
                <w:b/>
                <w:bCs/>
                <w:sz w:val="20"/>
                <w:szCs w:val="20"/>
              </w:rPr>
              <w:t>1</w:t>
            </w:r>
            <w:r w:rsidRPr="00FE667F">
              <w:rPr>
                <w:rFonts w:ascii="Calibri" w:hAnsi="Calibri" w:cs="Calibri"/>
                <w:b/>
                <w:bCs/>
                <w:sz w:val="20"/>
                <w:szCs w:val="20"/>
              </w:rPr>
              <w:t xml:space="preserve"> NAV </w:t>
            </w:r>
            <w:r>
              <w:rPr>
                <w:rFonts w:ascii="Calibri" w:hAnsi="Calibri" w:cs="Calibri"/>
                <w:b/>
                <w:bCs/>
                <w:sz w:val="20"/>
                <w:szCs w:val="20"/>
              </w:rPr>
              <w:t xml:space="preserve">impacted by decline in power prices in Sweden and Germany </w:t>
            </w:r>
          </w:p>
          <w:p w14:paraId="54E5602F" w14:textId="30A089B9" w:rsidR="00E14D20" w:rsidRPr="00235E0F" w:rsidRDefault="00E14D20" w:rsidP="00E14D20">
            <w:pPr>
              <w:pStyle w:val="ListParagraph"/>
              <w:numPr>
                <w:ilvl w:val="1"/>
                <w:numId w:val="7"/>
              </w:numPr>
              <w:spacing w:after="200"/>
              <w:jc w:val="both"/>
              <w:rPr>
                <w:rFonts w:ascii="Calibri" w:hAnsi="Calibri" w:cs="Calibri"/>
                <w:sz w:val="20"/>
                <w:szCs w:val="20"/>
              </w:rPr>
            </w:pPr>
            <w:r>
              <w:rPr>
                <w:rFonts w:ascii="Calibri" w:hAnsi="Calibri" w:cs="Calibri"/>
                <w:sz w:val="20"/>
                <w:szCs w:val="20"/>
              </w:rPr>
              <w:t>Q</w:t>
            </w:r>
            <w:r w:rsidR="000F3FCD">
              <w:rPr>
                <w:rFonts w:ascii="Calibri" w:hAnsi="Calibri" w:cs="Calibri"/>
                <w:sz w:val="20"/>
                <w:szCs w:val="20"/>
              </w:rPr>
              <w:t>1</w:t>
            </w:r>
            <w:r>
              <w:rPr>
                <w:rFonts w:ascii="Calibri" w:hAnsi="Calibri" w:cs="Calibri"/>
                <w:sz w:val="20"/>
                <w:szCs w:val="20"/>
              </w:rPr>
              <w:t xml:space="preserve"> NAV at 105.1c, due to:</w:t>
            </w:r>
          </w:p>
          <w:p w14:paraId="7EA7D8EA" w14:textId="77777777" w:rsidR="00E14D20" w:rsidRDefault="00E14D20" w:rsidP="00E14D20">
            <w:pPr>
              <w:pStyle w:val="ListParagraph"/>
              <w:numPr>
                <w:ilvl w:val="2"/>
                <w:numId w:val="7"/>
              </w:numPr>
              <w:spacing w:after="200"/>
              <w:jc w:val="both"/>
              <w:rPr>
                <w:rFonts w:ascii="Calibri" w:hAnsi="Calibri" w:cs="Calibri"/>
                <w:sz w:val="20"/>
                <w:szCs w:val="20"/>
              </w:rPr>
            </w:pPr>
            <w:r>
              <w:rPr>
                <w:rFonts w:ascii="Calibri" w:hAnsi="Calibri" w:cs="Calibri"/>
                <w:sz w:val="20"/>
                <w:szCs w:val="20"/>
              </w:rPr>
              <w:t xml:space="preserve"> +4.3c from Q1 net cash generation representing 3.9% return on opening NAV or 15.6% on an annualized basis </w:t>
            </w:r>
          </w:p>
          <w:p w14:paraId="08399427" w14:textId="77777777" w:rsidR="00E14D20" w:rsidRDefault="00E14D20" w:rsidP="00E14D20">
            <w:pPr>
              <w:pStyle w:val="ListParagraph"/>
              <w:numPr>
                <w:ilvl w:val="2"/>
                <w:numId w:val="7"/>
              </w:numPr>
              <w:spacing w:after="200"/>
              <w:jc w:val="both"/>
              <w:rPr>
                <w:rFonts w:ascii="Calibri" w:hAnsi="Calibri" w:cs="Calibri"/>
                <w:sz w:val="20"/>
                <w:szCs w:val="20"/>
              </w:rPr>
            </w:pPr>
            <w:r>
              <w:rPr>
                <w:rFonts w:ascii="Calibri" w:hAnsi="Calibri" w:cs="Calibri"/>
                <w:sz w:val="20"/>
                <w:szCs w:val="20"/>
              </w:rPr>
              <w:t xml:space="preserve">-4.5c relating to depreciation and Q4 2024 dividend paid in Q1 2025  </w:t>
            </w:r>
          </w:p>
          <w:p w14:paraId="23F55B7C" w14:textId="77777777" w:rsidR="00E14D20" w:rsidRDefault="00E14D20" w:rsidP="00E14D20">
            <w:pPr>
              <w:pStyle w:val="ListParagraph"/>
              <w:numPr>
                <w:ilvl w:val="2"/>
                <w:numId w:val="7"/>
              </w:numPr>
              <w:spacing w:after="200"/>
              <w:jc w:val="both"/>
              <w:rPr>
                <w:rFonts w:ascii="Calibri" w:hAnsi="Calibri" w:cs="Calibri"/>
                <w:sz w:val="20"/>
                <w:szCs w:val="20"/>
              </w:rPr>
            </w:pPr>
            <w:r>
              <w:rPr>
                <w:rFonts w:ascii="Calibri" w:hAnsi="Calibri" w:cs="Calibri"/>
                <w:sz w:val="20"/>
                <w:szCs w:val="20"/>
              </w:rPr>
              <w:t xml:space="preserve">-4.5c impact from power prices, due to drop in futures gas prices across Europe and continued low power prices in Northern Sweden  </w:t>
            </w:r>
          </w:p>
          <w:p w14:paraId="16C36A2F" w14:textId="17FF3845" w:rsidR="00E14D20" w:rsidRDefault="00E14D20" w:rsidP="00E14D20">
            <w:pPr>
              <w:pStyle w:val="ListParagraph"/>
              <w:numPr>
                <w:ilvl w:val="1"/>
                <w:numId w:val="7"/>
              </w:numPr>
              <w:spacing w:after="200"/>
              <w:jc w:val="both"/>
              <w:rPr>
                <w:rFonts w:ascii="Calibri" w:hAnsi="Calibri" w:cs="Calibri"/>
                <w:sz w:val="20"/>
                <w:szCs w:val="20"/>
              </w:rPr>
            </w:pPr>
            <w:r>
              <w:rPr>
                <w:rFonts w:ascii="Calibri" w:hAnsi="Calibri" w:cs="Calibri"/>
                <w:sz w:val="20"/>
                <w:szCs w:val="20"/>
              </w:rPr>
              <w:t>L</w:t>
            </w:r>
            <w:r w:rsidRPr="007970E9">
              <w:rPr>
                <w:rFonts w:ascii="Calibri" w:hAnsi="Calibri" w:cs="Calibri"/>
                <w:sz w:val="20"/>
                <w:szCs w:val="20"/>
              </w:rPr>
              <w:t>evered</w:t>
            </w:r>
            <w:r>
              <w:rPr>
                <w:rFonts w:ascii="Calibri" w:hAnsi="Calibri" w:cs="Calibri"/>
                <w:sz w:val="20"/>
                <w:szCs w:val="20"/>
              </w:rPr>
              <w:t xml:space="preserve"> portfolio</w:t>
            </w:r>
            <w:r w:rsidRPr="007970E9">
              <w:rPr>
                <w:rFonts w:ascii="Calibri" w:hAnsi="Calibri" w:cs="Calibri"/>
                <w:sz w:val="20"/>
                <w:szCs w:val="20"/>
              </w:rPr>
              <w:t xml:space="preserve"> IRR at 9</w:t>
            </w:r>
            <w:r>
              <w:rPr>
                <w:rFonts w:ascii="Calibri" w:hAnsi="Calibri" w:cs="Calibri"/>
                <w:sz w:val="20"/>
                <w:szCs w:val="20"/>
              </w:rPr>
              <w:t>.4</w:t>
            </w:r>
            <w:r w:rsidRPr="007970E9">
              <w:rPr>
                <w:rFonts w:ascii="Calibri" w:hAnsi="Calibri" w:cs="Calibri"/>
                <w:sz w:val="20"/>
                <w:szCs w:val="20"/>
              </w:rPr>
              <w:t>%</w:t>
            </w:r>
            <w:r>
              <w:rPr>
                <w:rStyle w:val="FootnoteReference"/>
                <w:rFonts w:ascii="Calibri" w:hAnsi="Calibri" w:cs="Calibri"/>
                <w:sz w:val="20"/>
                <w:szCs w:val="20"/>
              </w:rPr>
              <w:t>2</w:t>
            </w:r>
            <w:r>
              <w:rPr>
                <w:rFonts w:ascii="Calibri" w:hAnsi="Calibri" w:cs="Calibri"/>
                <w:sz w:val="20"/>
                <w:szCs w:val="20"/>
              </w:rPr>
              <w:t xml:space="preserve"> on NAV implying c.13% on a share price adjusted basis and c.10% spread over 10-year Euro sovereign debt</w:t>
            </w:r>
          </w:p>
          <w:p w14:paraId="61CD4126" w14:textId="77777777" w:rsidR="00E14D20" w:rsidRPr="00030813" w:rsidRDefault="00E14D20" w:rsidP="00E14D20">
            <w:pPr>
              <w:pStyle w:val="ListParagraph"/>
              <w:ind w:left="1440"/>
              <w:jc w:val="both"/>
              <w:rPr>
                <w:b/>
                <w:bCs/>
              </w:rPr>
            </w:pPr>
          </w:p>
          <w:p w14:paraId="1A4931DD" w14:textId="77777777" w:rsidR="00E14D20" w:rsidRPr="00477E86" w:rsidRDefault="00E14D20" w:rsidP="00E14D20">
            <w:pPr>
              <w:ind w:left="708"/>
              <w:jc w:val="both"/>
              <w:rPr>
                <w:rFonts w:ascii="Calibri" w:hAnsi="Calibri" w:cs="Calibri"/>
                <w:b/>
                <w:bCs/>
                <w:sz w:val="20"/>
                <w:szCs w:val="20"/>
              </w:rPr>
            </w:pPr>
            <w:r w:rsidRPr="00477E86">
              <w:rPr>
                <w:rFonts w:ascii="Calibri" w:hAnsi="Calibri" w:cs="Calibri"/>
                <w:b/>
                <w:bCs/>
                <w:sz w:val="20"/>
                <w:szCs w:val="20"/>
              </w:rPr>
              <w:lastRenderedPageBreak/>
              <w:t>Q</w:t>
            </w:r>
            <w:r>
              <w:rPr>
                <w:rFonts w:ascii="Calibri" w:hAnsi="Calibri" w:cs="Calibri"/>
                <w:b/>
                <w:bCs/>
                <w:sz w:val="20"/>
                <w:szCs w:val="20"/>
              </w:rPr>
              <w:t>1</w:t>
            </w:r>
            <w:r w:rsidRPr="00477E86">
              <w:rPr>
                <w:rFonts w:ascii="Calibri" w:hAnsi="Calibri" w:cs="Calibri"/>
                <w:b/>
                <w:bCs/>
                <w:sz w:val="20"/>
                <w:szCs w:val="20"/>
              </w:rPr>
              <w:t xml:space="preserve"> NAV per share movement</w:t>
            </w:r>
          </w:p>
          <w:tbl>
            <w:tblPr>
              <w:tblStyle w:val="TableGrid"/>
              <w:tblW w:w="6192" w:type="dxa"/>
              <w:tblInd w:w="641" w:type="dxa"/>
              <w:tblLayout w:type="fixed"/>
              <w:tblLook w:val="04A0" w:firstRow="1" w:lastRow="0" w:firstColumn="1" w:lastColumn="0" w:noHBand="0" w:noVBand="1"/>
            </w:tblPr>
            <w:tblGrid>
              <w:gridCol w:w="4917"/>
              <w:gridCol w:w="1275"/>
            </w:tblGrid>
            <w:tr w:rsidR="00E14D20" w:rsidRPr="00D92DDB" w14:paraId="530577C3" w14:textId="77777777" w:rsidTr="00B75744">
              <w:tc>
                <w:tcPr>
                  <w:tcW w:w="4917" w:type="dxa"/>
                </w:tcPr>
                <w:p w14:paraId="050AA3B6" w14:textId="77777777" w:rsidR="00E14D20" w:rsidRPr="00477E86" w:rsidRDefault="00E14D20" w:rsidP="00E14D20">
                  <w:pPr>
                    <w:rPr>
                      <w:rFonts w:ascii="Calibri" w:hAnsi="Calibri"/>
                      <w:b/>
                      <w:bCs/>
                      <w:sz w:val="20"/>
                      <w:szCs w:val="20"/>
                    </w:rPr>
                  </w:pPr>
                </w:p>
              </w:tc>
              <w:tc>
                <w:tcPr>
                  <w:tcW w:w="1275" w:type="dxa"/>
                </w:tcPr>
                <w:p w14:paraId="043727FB" w14:textId="77777777" w:rsidR="00E14D20" w:rsidRPr="00477E86" w:rsidRDefault="00E14D20" w:rsidP="00E14D20">
                  <w:pPr>
                    <w:jc w:val="right"/>
                    <w:rPr>
                      <w:rFonts w:ascii="Calibri" w:hAnsi="Calibri"/>
                      <w:b/>
                      <w:bCs/>
                      <w:sz w:val="20"/>
                      <w:szCs w:val="20"/>
                    </w:rPr>
                  </w:pPr>
                  <w:r w:rsidRPr="00477E86">
                    <w:rPr>
                      <w:rFonts w:ascii="Calibri" w:hAnsi="Calibri"/>
                      <w:b/>
                      <w:bCs/>
                      <w:sz w:val="20"/>
                      <w:szCs w:val="20"/>
                    </w:rPr>
                    <w:t>cents per share</w:t>
                  </w:r>
                </w:p>
              </w:tc>
            </w:tr>
            <w:tr w:rsidR="00E14D20" w:rsidRPr="00D92DDB" w14:paraId="6AAF635B" w14:textId="77777777" w:rsidTr="00B75744">
              <w:tc>
                <w:tcPr>
                  <w:tcW w:w="4917" w:type="dxa"/>
                </w:tcPr>
                <w:p w14:paraId="13D05ACB" w14:textId="77777777" w:rsidR="00E14D20" w:rsidRPr="00477E86" w:rsidRDefault="00E14D20" w:rsidP="00E14D20">
                  <w:pPr>
                    <w:rPr>
                      <w:rFonts w:ascii="Calibri" w:hAnsi="Calibri"/>
                      <w:b/>
                      <w:bCs/>
                      <w:sz w:val="20"/>
                      <w:szCs w:val="20"/>
                    </w:rPr>
                  </w:pPr>
                  <w:r w:rsidRPr="00477E86">
                    <w:rPr>
                      <w:rFonts w:ascii="Calibri" w:hAnsi="Calibri"/>
                      <w:b/>
                      <w:bCs/>
                      <w:sz w:val="20"/>
                      <w:szCs w:val="20"/>
                    </w:rPr>
                    <w:t xml:space="preserve">NAV as </w:t>
                  </w:r>
                  <w:proofErr w:type="gramStart"/>
                  <w:r w:rsidRPr="00477E86">
                    <w:rPr>
                      <w:rFonts w:ascii="Calibri" w:hAnsi="Calibri"/>
                      <w:b/>
                      <w:bCs/>
                      <w:sz w:val="20"/>
                      <w:szCs w:val="20"/>
                    </w:rPr>
                    <w:t>at</w:t>
                  </w:r>
                  <w:proofErr w:type="gramEnd"/>
                  <w:r w:rsidRPr="00477E86">
                    <w:rPr>
                      <w:rFonts w:ascii="Calibri" w:hAnsi="Calibri"/>
                      <w:b/>
                      <w:bCs/>
                      <w:sz w:val="20"/>
                      <w:szCs w:val="20"/>
                    </w:rPr>
                    <w:t xml:space="preserve"> 3</w:t>
                  </w:r>
                  <w:r>
                    <w:rPr>
                      <w:rFonts w:ascii="Calibri" w:hAnsi="Calibri"/>
                      <w:b/>
                      <w:bCs/>
                      <w:sz w:val="20"/>
                      <w:szCs w:val="20"/>
                    </w:rPr>
                    <w:t>1</w:t>
                  </w:r>
                  <w:r w:rsidRPr="00477E86">
                    <w:rPr>
                      <w:rFonts w:ascii="Calibri" w:hAnsi="Calibri"/>
                      <w:b/>
                      <w:bCs/>
                      <w:sz w:val="20"/>
                      <w:szCs w:val="20"/>
                    </w:rPr>
                    <w:t xml:space="preserve"> </w:t>
                  </w:r>
                  <w:r>
                    <w:rPr>
                      <w:rFonts w:ascii="Calibri" w:hAnsi="Calibri"/>
                      <w:b/>
                      <w:bCs/>
                      <w:sz w:val="20"/>
                      <w:szCs w:val="20"/>
                    </w:rPr>
                    <w:t>December</w:t>
                  </w:r>
                  <w:r w:rsidRPr="00477E86">
                    <w:rPr>
                      <w:rFonts w:ascii="Calibri" w:hAnsi="Calibri"/>
                      <w:b/>
                      <w:bCs/>
                      <w:sz w:val="20"/>
                      <w:szCs w:val="20"/>
                    </w:rPr>
                    <w:t xml:space="preserve"> 2024</w:t>
                  </w:r>
                </w:p>
              </w:tc>
              <w:tc>
                <w:tcPr>
                  <w:tcW w:w="1275" w:type="dxa"/>
                </w:tcPr>
                <w:p w14:paraId="3B37E740" w14:textId="77777777" w:rsidR="00E14D20" w:rsidRPr="00477E86" w:rsidRDefault="00E14D20" w:rsidP="00E14D20">
                  <w:pPr>
                    <w:jc w:val="right"/>
                    <w:rPr>
                      <w:rFonts w:ascii="Calibri" w:hAnsi="Calibri"/>
                      <w:b/>
                      <w:bCs/>
                      <w:sz w:val="20"/>
                      <w:szCs w:val="20"/>
                    </w:rPr>
                  </w:pPr>
                  <w:r w:rsidRPr="00477E86">
                    <w:rPr>
                      <w:rFonts w:ascii="Calibri" w:hAnsi="Calibri"/>
                      <w:b/>
                      <w:bCs/>
                      <w:sz w:val="20"/>
                      <w:szCs w:val="20"/>
                    </w:rPr>
                    <w:t>11</w:t>
                  </w:r>
                  <w:r>
                    <w:rPr>
                      <w:rFonts w:ascii="Calibri" w:hAnsi="Calibri"/>
                      <w:b/>
                      <w:bCs/>
                      <w:sz w:val="20"/>
                      <w:szCs w:val="20"/>
                    </w:rPr>
                    <w:t>0</w:t>
                  </w:r>
                  <w:r w:rsidRPr="00477E86">
                    <w:rPr>
                      <w:rFonts w:ascii="Calibri" w:hAnsi="Calibri"/>
                      <w:b/>
                      <w:bCs/>
                      <w:sz w:val="20"/>
                      <w:szCs w:val="20"/>
                    </w:rPr>
                    <w:t>.</w:t>
                  </w:r>
                  <w:r>
                    <w:rPr>
                      <w:rFonts w:ascii="Calibri" w:hAnsi="Calibri"/>
                      <w:b/>
                      <w:bCs/>
                      <w:sz w:val="20"/>
                      <w:szCs w:val="20"/>
                    </w:rPr>
                    <w:t>5</w:t>
                  </w:r>
                </w:p>
              </w:tc>
            </w:tr>
            <w:tr w:rsidR="00E14D20" w:rsidRPr="00D92DDB" w14:paraId="266B63B8" w14:textId="77777777" w:rsidTr="00B75744">
              <w:tc>
                <w:tcPr>
                  <w:tcW w:w="4917" w:type="dxa"/>
                </w:tcPr>
                <w:p w14:paraId="6583837B" w14:textId="77777777" w:rsidR="00E14D20" w:rsidRPr="00477E86" w:rsidRDefault="00E14D20" w:rsidP="00E14D20">
                  <w:pPr>
                    <w:rPr>
                      <w:rFonts w:ascii="Calibri" w:hAnsi="Calibri"/>
                      <w:sz w:val="20"/>
                      <w:szCs w:val="20"/>
                    </w:rPr>
                  </w:pPr>
                  <w:r w:rsidRPr="00477E86">
                    <w:rPr>
                      <w:rFonts w:ascii="Calibri" w:hAnsi="Calibri"/>
                      <w:sz w:val="20"/>
                      <w:szCs w:val="20"/>
                    </w:rPr>
                    <w:t>Net cash generation</w:t>
                  </w:r>
                </w:p>
              </w:tc>
              <w:tc>
                <w:tcPr>
                  <w:tcW w:w="1275" w:type="dxa"/>
                </w:tcPr>
                <w:p w14:paraId="0157F555" w14:textId="77777777" w:rsidR="00E14D20" w:rsidRPr="00477E86" w:rsidRDefault="00E14D20" w:rsidP="00E14D20">
                  <w:pPr>
                    <w:jc w:val="right"/>
                    <w:rPr>
                      <w:rFonts w:ascii="Calibri" w:hAnsi="Calibri"/>
                      <w:sz w:val="20"/>
                      <w:szCs w:val="20"/>
                    </w:rPr>
                  </w:pPr>
                  <w:r>
                    <w:rPr>
                      <w:rFonts w:ascii="Calibri" w:hAnsi="Calibri"/>
                      <w:sz w:val="20"/>
                      <w:szCs w:val="20"/>
                    </w:rPr>
                    <w:t>4.3</w:t>
                  </w:r>
                </w:p>
              </w:tc>
            </w:tr>
            <w:tr w:rsidR="00E14D20" w:rsidRPr="00D92DDB" w14:paraId="624EC19F" w14:textId="77777777" w:rsidTr="00B75744">
              <w:tc>
                <w:tcPr>
                  <w:tcW w:w="4917" w:type="dxa"/>
                </w:tcPr>
                <w:p w14:paraId="00DD5946" w14:textId="77777777" w:rsidR="00E14D20" w:rsidRPr="00477E86" w:rsidRDefault="00E14D20" w:rsidP="00E14D20">
                  <w:pPr>
                    <w:rPr>
                      <w:rFonts w:ascii="Calibri" w:hAnsi="Calibri"/>
                      <w:sz w:val="20"/>
                      <w:szCs w:val="20"/>
                    </w:rPr>
                  </w:pPr>
                  <w:r w:rsidRPr="00477E86">
                    <w:rPr>
                      <w:rFonts w:ascii="Calibri" w:hAnsi="Calibri"/>
                      <w:sz w:val="20"/>
                      <w:szCs w:val="20"/>
                    </w:rPr>
                    <w:t>Depreciation</w:t>
                  </w:r>
                </w:p>
              </w:tc>
              <w:tc>
                <w:tcPr>
                  <w:tcW w:w="1275" w:type="dxa"/>
                </w:tcPr>
                <w:p w14:paraId="46B67FB9" w14:textId="77777777" w:rsidR="00E14D20" w:rsidRPr="00477E86" w:rsidRDefault="00E14D20" w:rsidP="00E14D20">
                  <w:pPr>
                    <w:jc w:val="right"/>
                    <w:rPr>
                      <w:rFonts w:ascii="Calibri" w:hAnsi="Calibri"/>
                      <w:sz w:val="20"/>
                      <w:szCs w:val="20"/>
                    </w:rPr>
                  </w:pPr>
                  <w:r>
                    <w:rPr>
                      <w:rFonts w:ascii="Calibri" w:hAnsi="Calibri"/>
                      <w:sz w:val="20"/>
                      <w:szCs w:val="20"/>
                    </w:rPr>
                    <w:t>(2.8)</w:t>
                  </w:r>
                </w:p>
              </w:tc>
            </w:tr>
            <w:tr w:rsidR="00E14D20" w:rsidRPr="00D92DDB" w14:paraId="389B0F62" w14:textId="77777777" w:rsidTr="00B75744">
              <w:tc>
                <w:tcPr>
                  <w:tcW w:w="4917" w:type="dxa"/>
                </w:tcPr>
                <w:p w14:paraId="0266E38E" w14:textId="77777777" w:rsidR="00E14D20" w:rsidRPr="00477E86" w:rsidRDefault="00E14D20" w:rsidP="00E14D20">
                  <w:pPr>
                    <w:rPr>
                      <w:rFonts w:ascii="Calibri" w:hAnsi="Calibri"/>
                      <w:sz w:val="20"/>
                      <w:szCs w:val="20"/>
                    </w:rPr>
                  </w:pPr>
                  <w:r w:rsidRPr="00477E86">
                    <w:rPr>
                      <w:rFonts w:ascii="Calibri" w:hAnsi="Calibri"/>
                      <w:sz w:val="20"/>
                      <w:szCs w:val="20"/>
                    </w:rPr>
                    <w:t>Dividend</w:t>
                  </w:r>
                </w:p>
              </w:tc>
              <w:tc>
                <w:tcPr>
                  <w:tcW w:w="1275" w:type="dxa"/>
                </w:tcPr>
                <w:p w14:paraId="40347C8D" w14:textId="77777777" w:rsidR="00E14D20" w:rsidRPr="00477E86" w:rsidRDefault="00E14D20" w:rsidP="00E14D20">
                  <w:pPr>
                    <w:jc w:val="right"/>
                    <w:rPr>
                      <w:rFonts w:ascii="Calibri" w:hAnsi="Calibri"/>
                      <w:sz w:val="20"/>
                      <w:szCs w:val="20"/>
                    </w:rPr>
                  </w:pPr>
                  <w:r>
                    <w:rPr>
                      <w:rFonts w:ascii="Calibri" w:hAnsi="Calibri"/>
                      <w:sz w:val="20"/>
                      <w:szCs w:val="20"/>
                    </w:rPr>
                    <w:t>(1.7)</w:t>
                  </w:r>
                </w:p>
              </w:tc>
            </w:tr>
            <w:tr w:rsidR="00E14D20" w:rsidRPr="00D92DDB" w14:paraId="4D70A1DA" w14:textId="77777777" w:rsidTr="00B75744">
              <w:tc>
                <w:tcPr>
                  <w:tcW w:w="4917" w:type="dxa"/>
                </w:tcPr>
                <w:p w14:paraId="2FA9EB22" w14:textId="77777777" w:rsidR="00E14D20" w:rsidRPr="00477E86" w:rsidRDefault="00E14D20" w:rsidP="00E14D20">
                  <w:pPr>
                    <w:rPr>
                      <w:rFonts w:ascii="Calibri" w:hAnsi="Calibri" w:cs="Calibri"/>
                      <w:sz w:val="20"/>
                      <w:szCs w:val="20"/>
                    </w:rPr>
                  </w:pPr>
                  <w:r w:rsidRPr="00477E86">
                    <w:rPr>
                      <w:rFonts w:ascii="Calibri" w:hAnsi="Calibri" w:cs="Calibri"/>
                      <w:sz w:val="20"/>
                      <w:szCs w:val="20"/>
                    </w:rPr>
                    <w:t>Power price</w:t>
                  </w:r>
                  <w:r>
                    <w:rPr>
                      <w:rFonts w:ascii="Calibri" w:hAnsi="Calibri" w:cs="Calibri"/>
                      <w:sz w:val="20"/>
                      <w:szCs w:val="20"/>
                    </w:rPr>
                    <w:t xml:space="preserve"> (short and long term) </w:t>
                  </w:r>
                </w:p>
              </w:tc>
              <w:tc>
                <w:tcPr>
                  <w:tcW w:w="1275" w:type="dxa"/>
                </w:tcPr>
                <w:p w14:paraId="24AE4A99" w14:textId="77777777" w:rsidR="00E14D20" w:rsidRDefault="00E14D20" w:rsidP="00E14D20">
                  <w:pPr>
                    <w:jc w:val="right"/>
                    <w:rPr>
                      <w:rFonts w:ascii="Calibri" w:hAnsi="Calibri"/>
                      <w:sz w:val="20"/>
                      <w:szCs w:val="20"/>
                    </w:rPr>
                  </w:pPr>
                  <w:r>
                    <w:rPr>
                      <w:rFonts w:ascii="Calibri" w:hAnsi="Calibri"/>
                      <w:sz w:val="20"/>
                      <w:szCs w:val="20"/>
                    </w:rPr>
                    <w:t>(4.5)</w:t>
                  </w:r>
                </w:p>
              </w:tc>
            </w:tr>
            <w:tr w:rsidR="00E14D20" w:rsidRPr="00D92DDB" w14:paraId="44A5463B" w14:textId="77777777" w:rsidTr="00B75744">
              <w:tc>
                <w:tcPr>
                  <w:tcW w:w="4917" w:type="dxa"/>
                </w:tcPr>
                <w:p w14:paraId="74FE12F7" w14:textId="77777777" w:rsidR="00E14D20" w:rsidRPr="00477E86" w:rsidRDefault="00E14D20" w:rsidP="00E14D20">
                  <w:pPr>
                    <w:rPr>
                      <w:rFonts w:ascii="Calibri" w:hAnsi="Calibri" w:cs="Calibri"/>
                      <w:sz w:val="20"/>
                      <w:szCs w:val="20"/>
                    </w:rPr>
                  </w:pPr>
                  <w:r>
                    <w:rPr>
                      <w:rFonts w:ascii="Calibri" w:hAnsi="Calibri" w:cs="Calibri"/>
                      <w:sz w:val="20"/>
                      <w:szCs w:val="20"/>
                    </w:rPr>
                    <w:t>Operational update and miscellaneous</w:t>
                  </w:r>
                </w:p>
              </w:tc>
              <w:tc>
                <w:tcPr>
                  <w:tcW w:w="1275" w:type="dxa"/>
                </w:tcPr>
                <w:p w14:paraId="522A87B7" w14:textId="77777777" w:rsidR="00E14D20" w:rsidRDefault="00E14D20" w:rsidP="00E14D20">
                  <w:pPr>
                    <w:jc w:val="right"/>
                    <w:rPr>
                      <w:rFonts w:ascii="Calibri" w:hAnsi="Calibri"/>
                      <w:sz w:val="20"/>
                      <w:szCs w:val="20"/>
                    </w:rPr>
                  </w:pPr>
                  <w:r>
                    <w:rPr>
                      <w:rFonts w:ascii="Calibri" w:hAnsi="Calibri"/>
                      <w:sz w:val="20"/>
                      <w:szCs w:val="20"/>
                    </w:rPr>
                    <w:t>(0.7)</w:t>
                  </w:r>
                </w:p>
              </w:tc>
            </w:tr>
            <w:tr w:rsidR="00E14D20" w:rsidRPr="00D92DDB" w14:paraId="4B678431" w14:textId="77777777" w:rsidTr="00B75744">
              <w:tc>
                <w:tcPr>
                  <w:tcW w:w="4917" w:type="dxa"/>
                </w:tcPr>
                <w:p w14:paraId="13841B9B" w14:textId="77777777" w:rsidR="00E14D20" w:rsidRPr="00477E86" w:rsidDel="00B274A0" w:rsidRDefault="00E14D20" w:rsidP="00E14D20">
                  <w:pPr>
                    <w:rPr>
                      <w:rFonts w:ascii="Calibri" w:hAnsi="Calibri"/>
                      <w:sz w:val="20"/>
                      <w:szCs w:val="20"/>
                    </w:rPr>
                  </w:pPr>
                  <w:r w:rsidRPr="00477E86">
                    <w:rPr>
                      <w:rFonts w:ascii="Calibri" w:hAnsi="Calibri"/>
                      <w:b/>
                      <w:bCs/>
                      <w:sz w:val="20"/>
                      <w:szCs w:val="20"/>
                    </w:rPr>
                    <w:t xml:space="preserve">NAV as </w:t>
                  </w:r>
                  <w:proofErr w:type="gramStart"/>
                  <w:r w:rsidRPr="00477E86">
                    <w:rPr>
                      <w:rFonts w:ascii="Calibri" w:hAnsi="Calibri"/>
                      <w:b/>
                      <w:bCs/>
                      <w:sz w:val="20"/>
                      <w:szCs w:val="20"/>
                    </w:rPr>
                    <w:t>at</w:t>
                  </w:r>
                  <w:proofErr w:type="gramEnd"/>
                  <w:r w:rsidRPr="00477E86">
                    <w:rPr>
                      <w:rFonts w:ascii="Calibri" w:hAnsi="Calibri"/>
                      <w:b/>
                      <w:bCs/>
                      <w:sz w:val="20"/>
                      <w:szCs w:val="20"/>
                    </w:rPr>
                    <w:t xml:space="preserve"> 3</w:t>
                  </w:r>
                  <w:r>
                    <w:rPr>
                      <w:rFonts w:ascii="Calibri" w:hAnsi="Calibri"/>
                      <w:b/>
                      <w:bCs/>
                      <w:sz w:val="20"/>
                      <w:szCs w:val="20"/>
                    </w:rPr>
                    <w:t>1 March</w:t>
                  </w:r>
                  <w:r w:rsidRPr="00477E86">
                    <w:rPr>
                      <w:rFonts w:ascii="Calibri" w:hAnsi="Calibri"/>
                      <w:b/>
                      <w:bCs/>
                      <w:sz w:val="20"/>
                      <w:szCs w:val="20"/>
                    </w:rPr>
                    <w:t xml:space="preserve"> 202</w:t>
                  </w:r>
                  <w:r>
                    <w:rPr>
                      <w:rFonts w:ascii="Calibri" w:hAnsi="Calibri"/>
                      <w:b/>
                      <w:bCs/>
                      <w:sz w:val="20"/>
                      <w:szCs w:val="20"/>
                    </w:rPr>
                    <w:t>5</w:t>
                  </w:r>
                </w:p>
              </w:tc>
              <w:tc>
                <w:tcPr>
                  <w:tcW w:w="1275" w:type="dxa"/>
                </w:tcPr>
                <w:p w14:paraId="4E23B870" w14:textId="77777777" w:rsidR="00E14D20" w:rsidRPr="00477E86" w:rsidRDefault="00E14D20" w:rsidP="00E14D20">
                  <w:pPr>
                    <w:jc w:val="right"/>
                    <w:rPr>
                      <w:rFonts w:ascii="Calibri" w:hAnsi="Calibri"/>
                      <w:sz w:val="20"/>
                      <w:szCs w:val="20"/>
                    </w:rPr>
                  </w:pPr>
                  <w:r>
                    <w:rPr>
                      <w:rFonts w:ascii="Calibri" w:hAnsi="Calibri"/>
                      <w:b/>
                      <w:bCs/>
                      <w:sz w:val="20"/>
                      <w:szCs w:val="20"/>
                    </w:rPr>
                    <w:t>105.1</w:t>
                  </w:r>
                </w:p>
              </w:tc>
            </w:tr>
            <w:bookmarkEnd w:id="0"/>
            <w:bookmarkEnd w:id="1"/>
          </w:tbl>
          <w:p w14:paraId="5E8A9B6C" w14:textId="408FFDBD" w:rsidR="00E14D20" w:rsidRPr="00A73666" w:rsidRDefault="00E14D20" w:rsidP="00E14D20">
            <w:pPr>
              <w:jc w:val="both"/>
              <w:rPr>
                <w:rFonts w:ascii="Calibri" w:hAnsi="Calibri" w:cs="Calibri"/>
                <w:sz w:val="20"/>
                <w:szCs w:val="20"/>
              </w:rPr>
            </w:pPr>
          </w:p>
        </w:tc>
      </w:tr>
    </w:tbl>
    <w:p w14:paraId="43DA699E" w14:textId="509ACC2A" w:rsidR="00E07D1F" w:rsidRDefault="00E07D1F" w:rsidP="00E07D1F">
      <w:pPr>
        <w:pStyle w:val="FootnoteText"/>
        <w:rPr>
          <w:rFonts w:ascii="Calibri" w:hAnsi="Calibri" w:cs="Calibri"/>
          <w:sz w:val="16"/>
          <w:szCs w:val="16"/>
          <w:lang w:val="en-GB"/>
        </w:rPr>
      </w:pPr>
    </w:p>
    <w:p w14:paraId="2D129FA7" w14:textId="0F7DE430" w:rsidR="00E07D1F" w:rsidRDefault="00E07D1F" w:rsidP="00E07D1F">
      <w:pPr>
        <w:pStyle w:val="FootnoteText"/>
        <w:rPr>
          <w:rFonts w:ascii="Calibri" w:hAnsi="Calibri" w:cs="Calibri"/>
          <w:sz w:val="16"/>
          <w:szCs w:val="16"/>
          <w:lang w:val="en-GB"/>
        </w:rPr>
      </w:pPr>
      <w:r>
        <w:rPr>
          <w:rStyle w:val="FootnoteReference"/>
          <w:rFonts w:ascii="Calibri" w:hAnsi="Calibri" w:cs="Calibri"/>
          <w:sz w:val="16"/>
          <w:szCs w:val="16"/>
        </w:rPr>
        <w:t>1</w:t>
      </w:r>
      <w:r>
        <w:t xml:space="preserve"> </w:t>
      </w:r>
      <w:r>
        <w:rPr>
          <w:rFonts w:ascii="Calibri" w:hAnsi="Calibri" w:cs="Calibri"/>
          <w:sz w:val="16"/>
          <w:szCs w:val="16"/>
          <w:lang w:val="en-GB"/>
        </w:rPr>
        <w:t xml:space="preserve">Net cash generation after project level debt repayments amounted to €47m </w:t>
      </w:r>
    </w:p>
    <w:p w14:paraId="647CD67D" w14:textId="1CA73818" w:rsidR="00474CD4" w:rsidRDefault="00E07D1F" w:rsidP="00E07D1F">
      <w:pPr>
        <w:tabs>
          <w:tab w:val="left" w:pos="5760"/>
        </w:tabs>
        <w:contextualSpacing/>
        <w:jc w:val="both"/>
        <w:rPr>
          <w:rFonts w:ascii="Calibri" w:hAnsi="Calibri" w:cs="Calibri"/>
          <w:sz w:val="16"/>
          <w:szCs w:val="16"/>
        </w:rPr>
      </w:pPr>
      <w:r>
        <w:rPr>
          <w:rStyle w:val="FootnoteReference"/>
          <w:rFonts w:ascii="Calibri" w:hAnsi="Calibri" w:cs="Calibri"/>
          <w:sz w:val="16"/>
          <w:szCs w:val="16"/>
        </w:rPr>
        <w:t>2</w:t>
      </w:r>
      <w:r w:rsidRPr="002D4190">
        <w:rPr>
          <w:rStyle w:val="FootnoteReference"/>
        </w:rPr>
        <w:t xml:space="preserve"> </w:t>
      </w:r>
      <w:r w:rsidRPr="00481DD2">
        <w:rPr>
          <w:rFonts w:ascii="Calibri" w:hAnsi="Calibri" w:cs="Calibri"/>
          <w:sz w:val="16"/>
          <w:szCs w:val="16"/>
        </w:rPr>
        <w:t>Based on unlevered portfolio IRR of 7.</w:t>
      </w:r>
      <w:r>
        <w:rPr>
          <w:rFonts w:ascii="Calibri" w:hAnsi="Calibri" w:cs="Calibri"/>
          <w:sz w:val="16"/>
          <w:szCs w:val="16"/>
        </w:rPr>
        <w:t>3</w:t>
      </w:r>
      <w:r w:rsidRPr="00481DD2">
        <w:rPr>
          <w:rFonts w:ascii="Calibri" w:hAnsi="Calibri" w:cs="Calibri"/>
          <w:sz w:val="16"/>
          <w:szCs w:val="16"/>
        </w:rPr>
        <w:t>%, long term gearing assumption of 40% and cost of debt assumption of 4.</w:t>
      </w:r>
      <w:r>
        <w:rPr>
          <w:rFonts w:ascii="Calibri" w:hAnsi="Calibri" w:cs="Calibri"/>
          <w:sz w:val="16"/>
          <w:szCs w:val="16"/>
        </w:rPr>
        <w:t>7</w:t>
      </w:r>
      <w:r w:rsidRPr="00481DD2">
        <w:rPr>
          <w:rFonts w:ascii="Calibri" w:hAnsi="Calibri" w:cs="Calibri"/>
          <w:sz w:val="16"/>
          <w:szCs w:val="16"/>
        </w:rPr>
        <w:t>%.</w:t>
      </w:r>
    </w:p>
    <w:p w14:paraId="586D90AD" w14:textId="77777777" w:rsidR="00E07D1F" w:rsidRPr="00C118DE" w:rsidRDefault="00E07D1F" w:rsidP="00E07D1F">
      <w:pPr>
        <w:tabs>
          <w:tab w:val="left" w:pos="5760"/>
        </w:tabs>
        <w:contextualSpacing/>
        <w:jc w:val="both"/>
        <w:rPr>
          <w:rFonts w:ascii="Arial" w:hAnsi="Arial" w:cs="Arial"/>
          <w:sz w:val="20"/>
          <w:szCs w:val="20"/>
        </w:rPr>
      </w:pPr>
    </w:p>
    <w:p w14:paraId="2AD44159" w14:textId="034E063B" w:rsidR="00437B72" w:rsidRDefault="003E0231" w:rsidP="003E0231">
      <w:pPr>
        <w:tabs>
          <w:tab w:val="left" w:pos="5760"/>
        </w:tabs>
        <w:contextualSpacing/>
        <w:jc w:val="both"/>
        <w:rPr>
          <w:rFonts w:cstheme="minorHAnsi"/>
        </w:rPr>
      </w:pPr>
      <w:r w:rsidRPr="00511EC0">
        <w:rPr>
          <w:rFonts w:cstheme="minorHAnsi"/>
        </w:rPr>
        <w:t>The Company</w:t>
      </w:r>
      <w:r w:rsidR="00D26F2C" w:rsidRPr="00511EC0">
        <w:rPr>
          <w:rFonts w:cstheme="minorHAnsi"/>
        </w:rPr>
        <w:t>’</w:t>
      </w:r>
      <w:r w:rsidRPr="00511EC0">
        <w:rPr>
          <w:rFonts w:cstheme="minorHAnsi"/>
        </w:rPr>
        <w:t xml:space="preserve">s </w:t>
      </w:r>
      <w:r w:rsidR="003D3501">
        <w:rPr>
          <w:rFonts w:cstheme="minorHAnsi"/>
        </w:rPr>
        <w:t>Q</w:t>
      </w:r>
      <w:r w:rsidR="00E07D1F">
        <w:rPr>
          <w:rFonts w:cstheme="minorHAnsi"/>
        </w:rPr>
        <w:t>1</w:t>
      </w:r>
      <w:r w:rsidR="001F3526" w:rsidRPr="00511EC0">
        <w:rPr>
          <w:rFonts w:cstheme="minorHAnsi"/>
        </w:rPr>
        <w:t xml:space="preserve"> 202</w:t>
      </w:r>
      <w:r w:rsidR="00E07D1F">
        <w:rPr>
          <w:rFonts w:cstheme="minorHAnsi"/>
        </w:rPr>
        <w:t>5</w:t>
      </w:r>
      <w:r w:rsidRPr="00511EC0">
        <w:rPr>
          <w:rFonts w:cstheme="minorHAnsi"/>
        </w:rPr>
        <w:t xml:space="preserve"> Factsheet is available on the Company</w:t>
      </w:r>
      <w:r w:rsidR="00D26F2C" w:rsidRPr="00511EC0">
        <w:rPr>
          <w:rFonts w:cstheme="minorHAnsi"/>
        </w:rPr>
        <w:t>’</w:t>
      </w:r>
      <w:r w:rsidRPr="00511EC0">
        <w:rPr>
          <w:rFonts w:cstheme="minorHAnsi"/>
        </w:rPr>
        <w:t>s website,</w:t>
      </w:r>
    </w:p>
    <w:p w14:paraId="605EE841" w14:textId="63D292CD" w:rsidR="003E0231" w:rsidRPr="00511EC0" w:rsidRDefault="00437B72" w:rsidP="003E0231">
      <w:pPr>
        <w:tabs>
          <w:tab w:val="left" w:pos="5760"/>
        </w:tabs>
        <w:contextualSpacing/>
        <w:jc w:val="both"/>
        <w:rPr>
          <w:rFonts w:cstheme="minorHAnsi"/>
        </w:rPr>
      </w:pPr>
      <w:hyperlink r:id="rId11" w:history="1">
        <w:r w:rsidRPr="00437B72">
          <w:rPr>
            <w:rStyle w:val="Hyperlink"/>
            <w:rFonts w:cstheme="minorHAnsi"/>
          </w:rPr>
          <w:t>www.greencoat-renewables.com</w:t>
        </w:r>
      </w:hyperlink>
      <w:r w:rsidR="00635906" w:rsidRPr="00511EC0">
        <w:rPr>
          <w:rStyle w:val="Hyperlink"/>
          <w:rFonts w:cstheme="minorHAnsi"/>
        </w:rPr>
        <w:t>.</w:t>
      </w:r>
    </w:p>
    <w:p w14:paraId="52D7C25F" w14:textId="77777777" w:rsidR="00BB1065" w:rsidRPr="00511EC0" w:rsidRDefault="00BB1065" w:rsidP="002C2130">
      <w:pPr>
        <w:pStyle w:val="ListParagraph"/>
        <w:ind w:left="0"/>
        <w:jc w:val="both"/>
        <w:rPr>
          <w:rFonts w:cstheme="minorHAnsi"/>
          <w:bCs/>
        </w:rPr>
      </w:pPr>
    </w:p>
    <w:p w14:paraId="2E2048A3" w14:textId="38138CC0" w:rsidR="009020C7" w:rsidRPr="00511EC0" w:rsidRDefault="009020C7" w:rsidP="009020C7">
      <w:pPr>
        <w:pStyle w:val="ListParagraph"/>
        <w:numPr>
          <w:ilvl w:val="0"/>
          <w:numId w:val="4"/>
        </w:numPr>
        <w:tabs>
          <w:tab w:val="left" w:pos="5760"/>
        </w:tabs>
        <w:jc w:val="both"/>
        <w:rPr>
          <w:rFonts w:cstheme="minorHAnsi"/>
        </w:rPr>
      </w:pPr>
      <w:bookmarkStart w:id="2" w:name="_Hlk195618870"/>
      <w:r w:rsidRPr="00511EC0">
        <w:rPr>
          <w:rFonts w:cstheme="minorHAnsi"/>
        </w:rPr>
        <w:t>The Company also announces a quarterly interim dividend of 1.</w:t>
      </w:r>
      <w:r w:rsidR="00E07D1F">
        <w:rPr>
          <w:rFonts w:cstheme="minorHAnsi"/>
        </w:rPr>
        <w:t>702</w:t>
      </w:r>
      <w:r w:rsidR="00042C89">
        <w:rPr>
          <w:rFonts w:cstheme="minorHAnsi"/>
        </w:rPr>
        <w:t>5</w:t>
      </w:r>
      <w:r w:rsidRPr="00511EC0">
        <w:rPr>
          <w:rFonts w:cstheme="minorHAnsi"/>
        </w:rPr>
        <w:t>c per share with respect to the quarter ended 3</w:t>
      </w:r>
      <w:r w:rsidR="00746CEB">
        <w:rPr>
          <w:rFonts w:cstheme="minorHAnsi"/>
        </w:rPr>
        <w:t>1</w:t>
      </w:r>
      <w:r w:rsidRPr="00511EC0">
        <w:rPr>
          <w:rFonts w:cstheme="minorHAnsi"/>
        </w:rPr>
        <w:t xml:space="preserve"> </w:t>
      </w:r>
      <w:r w:rsidR="00E07D1F">
        <w:rPr>
          <w:rFonts w:cstheme="minorHAnsi"/>
        </w:rPr>
        <w:t>March</w:t>
      </w:r>
      <w:r w:rsidRPr="00511EC0">
        <w:rPr>
          <w:rFonts w:cstheme="minorHAnsi"/>
        </w:rPr>
        <w:t xml:space="preserve"> 202</w:t>
      </w:r>
      <w:r w:rsidR="00E07D1F">
        <w:rPr>
          <w:rFonts w:cstheme="minorHAnsi"/>
        </w:rPr>
        <w:t>5</w:t>
      </w:r>
      <w:r w:rsidRPr="00511EC0">
        <w:rPr>
          <w:rFonts w:cstheme="minorHAnsi"/>
        </w:rPr>
        <w:t>.</w:t>
      </w:r>
    </w:p>
    <w:p w14:paraId="443B3134" w14:textId="77777777" w:rsidR="00893CD6" w:rsidRPr="00511EC0" w:rsidRDefault="00893CD6" w:rsidP="001066AD">
      <w:pPr>
        <w:pStyle w:val="Default"/>
        <w:numPr>
          <w:ilvl w:val="0"/>
          <w:numId w:val="4"/>
        </w:numPr>
        <w:rPr>
          <w:rFonts w:asciiTheme="minorHAnsi" w:hAnsiTheme="minorHAnsi" w:cstheme="minorHAnsi"/>
        </w:rPr>
      </w:pPr>
    </w:p>
    <w:p w14:paraId="78897C30" w14:textId="449D8437" w:rsidR="009020C7" w:rsidRPr="00511EC0" w:rsidRDefault="009020C7" w:rsidP="009020C7">
      <w:pPr>
        <w:pStyle w:val="ListParagraph"/>
        <w:numPr>
          <w:ilvl w:val="0"/>
          <w:numId w:val="4"/>
        </w:numPr>
        <w:tabs>
          <w:tab w:val="left" w:pos="5760"/>
        </w:tabs>
        <w:jc w:val="both"/>
        <w:rPr>
          <w:rFonts w:cstheme="minorHAnsi"/>
          <w:b/>
        </w:rPr>
      </w:pPr>
      <w:bookmarkStart w:id="3" w:name="_Hlk171066094"/>
      <w:r w:rsidRPr="00511EC0">
        <w:rPr>
          <w:rFonts w:cstheme="minorHAnsi"/>
          <w:b/>
        </w:rPr>
        <w:t>Dividend Timetable</w:t>
      </w:r>
    </w:p>
    <w:p w14:paraId="4D6E3F83" w14:textId="68F46D3C"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Ex-Dividend Date:</w:t>
      </w:r>
      <w:r w:rsidR="001660C7" w:rsidRPr="00511EC0">
        <w:rPr>
          <w:rFonts w:cstheme="minorHAnsi"/>
        </w:rPr>
        <w:t xml:space="preserve"> </w:t>
      </w:r>
      <w:r w:rsidR="001660C7" w:rsidRPr="00511EC0">
        <w:rPr>
          <w:rFonts w:cstheme="minorHAnsi"/>
        </w:rPr>
        <w:tab/>
      </w:r>
      <w:r w:rsidR="00BF2486">
        <w:rPr>
          <w:rFonts w:cstheme="minorHAnsi"/>
        </w:rPr>
        <w:t>15 May</w:t>
      </w:r>
      <w:r w:rsidR="00ED455A" w:rsidRPr="00511EC0">
        <w:rPr>
          <w:rFonts w:cstheme="minorHAnsi"/>
        </w:rPr>
        <w:t xml:space="preserve"> </w:t>
      </w:r>
      <w:r w:rsidR="001660C7" w:rsidRPr="00511EC0">
        <w:rPr>
          <w:rFonts w:cstheme="minorHAnsi"/>
        </w:rPr>
        <w:t>202</w:t>
      </w:r>
      <w:r w:rsidR="00746CEB">
        <w:rPr>
          <w:rFonts w:cstheme="minorHAnsi"/>
        </w:rPr>
        <w:t>5</w:t>
      </w:r>
      <w:r w:rsidRPr="00511EC0">
        <w:rPr>
          <w:rFonts w:cstheme="minorHAnsi"/>
        </w:rPr>
        <w:tab/>
      </w:r>
    </w:p>
    <w:p w14:paraId="19876B05" w14:textId="14A12396"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Record Date:</w:t>
      </w:r>
      <w:r w:rsidR="001660C7" w:rsidRPr="00511EC0">
        <w:rPr>
          <w:rFonts w:cstheme="minorHAnsi"/>
        </w:rPr>
        <w:t xml:space="preserve"> </w:t>
      </w:r>
      <w:r w:rsidR="001660C7" w:rsidRPr="00511EC0">
        <w:rPr>
          <w:rFonts w:cstheme="minorHAnsi"/>
        </w:rPr>
        <w:tab/>
      </w:r>
      <w:r w:rsidR="00BF2486">
        <w:rPr>
          <w:rFonts w:cstheme="minorHAnsi"/>
        </w:rPr>
        <w:t>16 May</w:t>
      </w:r>
      <w:r w:rsidR="00ED455A" w:rsidRPr="00511EC0">
        <w:rPr>
          <w:rFonts w:cstheme="minorHAnsi"/>
        </w:rPr>
        <w:t xml:space="preserve"> </w:t>
      </w:r>
      <w:r w:rsidR="001660C7" w:rsidRPr="00511EC0">
        <w:rPr>
          <w:rFonts w:cstheme="minorHAnsi"/>
        </w:rPr>
        <w:t>202</w:t>
      </w:r>
      <w:r w:rsidR="00746CEB">
        <w:rPr>
          <w:rFonts w:cstheme="minorHAnsi"/>
        </w:rPr>
        <w:t>5</w:t>
      </w:r>
      <w:r w:rsidRPr="00511EC0">
        <w:rPr>
          <w:rFonts w:cstheme="minorHAnsi"/>
        </w:rPr>
        <w:tab/>
      </w:r>
    </w:p>
    <w:p w14:paraId="7B215DE7" w14:textId="3D311933"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Payment Date:</w:t>
      </w:r>
      <w:r w:rsidR="001660C7" w:rsidRPr="00511EC0">
        <w:rPr>
          <w:rFonts w:cstheme="minorHAnsi"/>
        </w:rPr>
        <w:t xml:space="preserve"> </w:t>
      </w:r>
      <w:r w:rsidR="001660C7" w:rsidRPr="00511EC0">
        <w:rPr>
          <w:rFonts w:cstheme="minorHAnsi"/>
        </w:rPr>
        <w:tab/>
      </w:r>
      <w:r w:rsidR="00BF2486">
        <w:rPr>
          <w:rFonts w:cstheme="minorHAnsi"/>
        </w:rPr>
        <w:t>6 June</w:t>
      </w:r>
      <w:r w:rsidR="004721C6">
        <w:rPr>
          <w:rFonts w:cstheme="minorHAnsi"/>
        </w:rPr>
        <w:t xml:space="preserve"> </w:t>
      </w:r>
      <w:r w:rsidR="001660C7" w:rsidRPr="00511EC0">
        <w:rPr>
          <w:rFonts w:cstheme="minorHAnsi"/>
        </w:rPr>
        <w:t>202</w:t>
      </w:r>
      <w:r w:rsidR="00746CEB">
        <w:rPr>
          <w:rFonts w:cstheme="minorHAnsi"/>
        </w:rPr>
        <w:t>5</w:t>
      </w:r>
      <w:bookmarkEnd w:id="2"/>
      <w:r w:rsidRPr="00511EC0">
        <w:rPr>
          <w:rFonts w:cstheme="minorHAnsi"/>
        </w:rPr>
        <w:tab/>
      </w:r>
    </w:p>
    <w:bookmarkEnd w:id="3"/>
    <w:p w14:paraId="1D892B6A" w14:textId="2EF16A70" w:rsidR="003450C3" w:rsidRPr="008D341B" w:rsidRDefault="003450C3" w:rsidP="009020C7">
      <w:pPr>
        <w:jc w:val="both"/>
        <w:rPr>
          <w:rFonts w:cstheme="minorHAnsi"/>
          <w:bCs/>
        </w:rPr>
      </w:pPr>
    </w:p>
    <w:p w14:paraId="3ED5A360" w14:textId="77777777" w:rsidR="00C118DE" w:rsidRPr="00C118DE" w:rsidRDefault="00C118DE" w:rsidP="00C118DE">
      <w:pPr>
        <w:spacing w:line="240" w:lineRule="exact"/>
        <w:ind w:right="-2"/>
        <w:jc w:val="center"/>
        <w:rPr>
          <w:rFonts w:eastAsia="SimSun" w:cstheme="minorHAnsi"/>
          <w14:ligatures w14:val="standardContextual"/>
        </w:rPr>
      </w:pPr>
      <w:r w:rsidRPr="00C118DE">
        <w:rPr>
          <w:rFonts w:eastAsia="SimSun" w:cstheme="minorHAnsi"/>
          <w14:ligatures w14:val="standardContextual"/>
        </w:rPr>
        <w:t>--- ENDS ---</w:t>
      </w:r>
    </w:p>
    <w:p w14:paraId="24E96BC6"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p w14:paraId="29D852DD"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r w:rsidRPr="00C118DE">
        <w:rPr>
          <w:rFonts w:eastAsia="Times New Roman" w:cstheme="minorHAnsi"/>
          <w:bCs/>
          <w:lang w:val="en-IE"/>
          <w14:ligatures w14:val="standardContextual"/>
        </w:rPr>
        <w:t>For further information, please contact:</w:t>
      </w:r>
    </w:p>
    <w:p w14:paraId="6AEFAA25"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C118DE" w:rsidRPr="00EF1F5C" w14:paraId="670ACA4A"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075F40A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6C413B2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D8685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CAC48A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086CEA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5754E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FFDB688"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23FF65D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17F253E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46898F3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264944E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E5CDD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2160B6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22C0D3B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5A864CF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C118DE" w:rsidRPr="00EF1F5C" w14:paraId="302E3200" w14:textId="77777777" w:rsidTr="00C118DE">
        <w:trPr>
          <w:tblCellSpacing w:w="0" w:type="dxa"/>
        </w:trPr>
        <w:tc>
          <w:tcPr>
            <w:tcW w:w="5772" w:type="dxa"/>
            <w:shd w:val="clear" w:color="auto" w:fill="FFFFFF"/>
            <w:vAlign w:val="bottom"/>
            <w:hideMark/>
          </w:tcPr>
          <w:p w14:paraId="235078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133E13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1E54DC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898C6F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16DB1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FE09D0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6F5304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6749A45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2F2C341"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77410975" w14:textId="4130B30F" w:rsidR="00C118DE" w:rsidRPr="00C118DE" w:rsidRDefault="00437B72"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Pr>
                <w:rFonts w:eastAsia="Times New Roman" w:cstheme="minorHAnsi"/>
                <w:lang w:val="en-IE"/>
                <w14:ligatures w14:val="standardContextual"/>
              </w:rPr>
              <w:t>Sam Moore</w:t>
            </w:r>
          </w:p>
        </w:tc>
        <w:tc>
          <w:tcPr>
            <w:tcW w:w="85" w:type="dxa"/>
            <w:shd w:val="clear" w:color="auto" w:fill="FFFFFF"/>
            <w:vAlign w:val="center"/>
            <w:hideMark/>
          </w:tcPr>
          <w:p w14:paraId="1514B7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6C0518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B05A5E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2B974C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FC2513B" w14:textId="5BA81FD5"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+353 </w:t>
            </w:r>
            <w:r w:rsidR="00437B72">
              <w:rPr>
                <w:rFonts w:eastAsia="Times New Roman" w:cstheme="minorHAnsi"/>
                <w:lang w:val="en-IE"/>
                <w14:ligatures w14:val="standardContextual"/>
              </w:rPr>
              <w:t>87 737 9089</w:t>
            </w:r>
          </w:p>
        </w:tc>
      </w:tr>
      <w:tr w:rsidR="00C118DE" w:rsidRPr="00EF1F5C" w14:paraId="7CD6E229"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46398980"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285CDB2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0D4F3C7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3D01D1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1F7DB9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2CB0BF9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2" w:history="1">
              <w:r w:rsidRPr="00C118DE">
                <w:rPr>
                  <w:rFonts w:eastAsia="DengXian Light" w:cstheme="minorHAnsi"/>
                  <w:color w:val="467886"/>
                  <w:u w:val="single"/>
                  <w:lang w:val="en-IE"/>
                  <w14:ligatures w14:val="standardContextual"/>
                </w:rPr>
                <w:t>greencoat@fticonsulting.com</w:t>
              </w:r>
            </w:hyperlink>
          </w:p>
        </w:tc>
      </w:tr>
      <w:tr w:rsidR="00C118DE" w:rsidRPr="00EF1F5C" w14:paraId="08C648FB" w14:textId="77777777" w:rsidTr="00C118DE">
        <w:trPr>
          <w:trHeight w:val="1287"/>
          <w:tblCellSpacing w:w="0" w:type="dxa"/>
        </w:trPr>
        <w:tc>
          <w:tcPr>
            <w:tcW w:w="5772" w:type="dxa"/>
            <w:shd w:val="clear" w:color="auto" w:fill="FFFFFF"/>
            <w:tcMar>
              <w:top w:w="15" w:type="dxa"/>
              <w:left w:w="0" w:type="dxa"/>
              <w:bottom w:w="15" w:type="dxa"/>
              <w:right w:w="15" w:type="dxa"/>
            </w:tcMar>
            <w:vAlign w:val="bottom"/>
          </w:tcPr>
          <w:p w14:paraId="5AAF2864"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CAD7AF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765237A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Dion Di </w:t>
            </w:r>
            <w:proofErr w:type="spellStart"/>
            <w:r w:rsidRPr="00C118DE">
              <w:rPr>
                <w:rFonts w:eastAsia="Times New Roman" w:cstheme="minorHAnsi"/>
                <w:lang w:val="fr-FR"/>
                <w14:ligatures w14:val="standardContextual"/>
              </w:rPr>
              <w:t>Miceli</w:t>
            </w:r>
            <w:proofErr w:type="spellEnd"/>
          </w:p>
          <w:p w14:paraId="4B2D11A6"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Stuart </w:t>
            </w:r>
            <w:proofErr w:type="spellStart"/>
            <w:r w:rsidRPr="00C118DE">
              <w:rPr>
                <w:rFonts w:eastAsia="Times New Roman" w:cstheme="minorHAnsi"/>
                <w:lang w:val="fr-FR"/>
                <w14:ligatures w14:val="standardContextual"/>
              </w:rPr>
              <w:t>Muress</w:t>
            </w:r>
            <w:proofErr w:type="spellEnd"/>
          </w:p>
          <w:p w14:paraId="1B0AF86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0EE76A5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5EE87CC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1807B5F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ADC65C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74393AB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28F4E6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EBEEA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C118DE" w:rsidRPr="00EF1F5C" w14:paraId="7B7A7B54" w14:textId="77777777" w:rsidTr="00C118DE">
        <w:trPr>
          <w:trHeight w:val="1287"/>
          <w:tblCellSpacing w:w="0" w:type="dxa"/>
        </w:trPr>
        <w:tc>
          <w:tcPr>
            <w:tcW w:w="5772" w:type="dxa"/>
            <w:shd w:val="clear" w:color="auto" w:fill="FFFFFF"/>
            <w:tcMar>
              <w:top w:w="15" w:type="dxa"/>
              <w:left w:w="0" w:type="dxa"/>
              <w:bottom w:w="15" w:type="dxa"/>
              <w:right w:w="15" w:type="dxa"/>
            </w:tcMar>
            <w:vAlign w:val="bottom"/>
            <w:hideMark/>
          </w:tcPr>
          <w:p w14:paraId="39EA7F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742F1109" w14:textId="4D307848"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sidR="0045113B">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4CAD866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809C1E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6960CCB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19AE78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B18F8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CDBBAD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049C3FC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9483F9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63BC4C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49CE252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29831861" w14:textId="77777777" w:rsidTr="00C118DE">
        <w:trPr>
          <w:tblCellSpacing w:w="0" w:type="dxa"/>
        </w:trPr>
        <w:tc>
          <w:tcPr>
            <w:tcW w:w="5772" w:type="dxa"/>
            <w:shd w:val="clear" w:color="auto" w:fill="FFFFFF"/>
            <w:noWrap/>
            <w:tcMar>
              <w:top w:w="15" w:type="dxa"/>
              <w:left w:w="0" w:type="dxa"/>
              <w:bottom w:w="15" w:type="dxa"/>
              <w:right w:w="0" w:type="dxa"/>
            </w:tcMar>
            <w:vAlign w:val="bottom"/>
          </w:tcPr>
          <w:p w14:paraId="24DA3C5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34A25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2E9A2DC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6BDA02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25A3B93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504A3C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0C09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EDDBE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7BDF025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4D913D7B" w14:textId="77777777" w:rsidR="00C118DE" w:rsidRPr="00EF1F5C" w:rsidRDefault="00C118DE" w:rsidP="00C118DE">
      <w:pPr>
        <w:spacing w:line="276" w:lineRule="auto"/>
        <w:rPr>
          <w:rFonts w:eastAsia="SimSun" w:cstheme="minorHAnsi"/>
          <w14:ligatures w14:val="standardContextual"/>
        </w:rPr>
      </w:pPr>
    </w:p>
    <w:p w14:paraId="097C5F9A" w14:textId="77777777" w:rsidR="00C118DE" w:rsidRPr="00EF1F5C" w:rsidRDefault="00C118DE" w:rsidP="00C118DE">
      <w:pPr>
        <w:spacing w:line="276" w:lineRule="auto"/>
        <w:rPr>
          <w:rFonts w:eastAsia="SimSun" w:cstheme="minorHAnsi"/>
          <w14:ligatures w14:val="standardContextual"/>
        </w:rPr>
      </w:pPr>
    </w:p>
    <w:p w14:paraId="6D83D67D" w14:textId="77777777" w:rsidR="00C118DE" w:rsidRPr="00C118DE" w:rsidRDefault="00C118DE" w:rsidP="00C118DE">
      <w:pPr>
        <w:spacing w:line="276" w:lineRule="auto"/>
        <w:rPr>
          <w:rFonts w:ascii="Calibri" w:eastAsia="Calibri" w:hAnsi="Calibri" w:cs="Times New Roman"/>
          <w:b/>
          <w:bCs/>
        </w:rPr>
      </w:pPr>
    </w:p>
    <w:p w14:paraId="4F32222F" w14:textId="77777777" w:rsidR="003450C3" w:rsidRPr="00EF1F5C" w:rsidRDefault="003450C3" w:rsidP="00C118DE">
      <w:pPr>
        <w:pStyle w:val="ListParagraph"/>
        <w:numPr>
          <w:ilvl w:val="0"/>
          <w:numId w:val="4"/>
        </w:numPr>
        <w:jc w:val="both"/>
        <w:rPr>
          <w:rFonts w:cstheme="minorHAnsi"/>
          <w:b/>
          <w:bCs/>
        </w:rPr>
      </w:pPr>
      <w:r w:rsidRPr="00EF1F5C">
        <w:rPr>
          <w:rFonts w:cstheme="minorHAnsi"/>
          <w:b/>
          <w:bCs/>
        </w:rPr>
        <w:t>About Greencoat Renewables PLC</w:t>
      </w:r>
    </w:p>
    <w:p w14:paraId="51564774" w14:textId="05BB867A" w:rsidR="003450C3" w:rsidRPr="00EF1F5C" w:rsidRDefault="003450C3" w:rsidP="00C118DE">
      <w:pPr>
        <w:pStyle w:val="ListParagraph"/>
        <w:numPr>
          <w:ilvl w:val="0"/>
          <w:numId w:val="4"/>
        </w:numPr>
        <w:jc w:val="both"/>
        <w:rPr>
          <w:rFonts w:cstheme="minorHAnsi"/>
        </w:rPr>
      </w:pPr>
      <w:r w:rsidRPr="00EF1F5C">
        <w:rPr>
          <w:rFonts w:cstheme="minorHAnsi"/>
        </w:rPr>
        <w:t>Greencoat Renewables PLC is an investor in euro-denominated renewable energy infrastructure assets. Initially focused solely on the acquisition and management of operating wind farms in</w:t>
      </w:r>
      <w:r w:rsidR="00962676" w:rsidRPr="00EF1F5C">
        <w:rPr>
          <w:rFonts w:cstheme="minorHAnsi"/>
        </w:rPr>
        <w:t xml:space="preserve"> </w:t>
      </w:r>
      <w:r w:rsidRPr="00EF1F5C">
        <w:rPr>
          <w:rFonts w:cstheme="minorHAnsi"/>
        </w:rPr>
        <w:t>Ireland, the Company also invest</w:t>
      </w:r>
      <w:r w:rsidR="006879C5" w:rsidRPr="00EF1F5C">
        <w:rPr>
          <w:rFonts w:cstheme="minorHAnsi"/>
        </w:rPr>
        <w:t>s</w:t>
      </w:r>
      <w:r w:rsidRPr="00EF1F5C">
        <w:rPr>
          <w:rFonts w:cstheme="minorHAnsi"/>
        </w:rPr>
        <w:t xml:space="preserve"> in wind and solar assets in certain other European countries with stable and robust renewable energy frameworks. It is managed by </w:t>
      </w:r>
      <w:r w:rsidR="00962676" w:rsidRPr="00EF1F5C">
        <w:rPr>
          <w:rFonts w:cstheme="minorHAnsi"/>
        </w:rPr>
        <w:t xml:space="preserve">Schroders </w:t>
      </w:r>
      <w:r w:rsidRPr="00EF1F5C">
        <w:rPr>
          <w:rFonts w:cstheme="minorHAnsi"/>
        </w:rPr>
        <w:t>Greencoat LLP, an experienced investment manager in the listed renewable energy infrastructure sector.</w:t>
      </w:r>
    </w:p>
    <w:p w14:paraId="7F301B60" w14:textId="77777777" w:rsidR="00043C71" w:rsidRPr="00EF1F5C" w:rsidRDefault="00043C71" w:rsidP="00C118DE">
      <w:pPr>
        <w:pStyle w:val="ListParagraph"/>
        <w:ind w:left="0"/>
        <w:jc w:val="both"/>
        <w:rPr>
          <w:rFonts w:cstheme="minorHAnsi"/>
        </w:rPr>
      </w:pPr>
    </w:p>
    <w:p w14:paraId="09D59E7D" w14:textId="77777777" w:rsidR="00EB7AC8" w:rsidRPr="00EF1F5C" w:rsidRDefault="007457E0" w:rsidP="00C118DE">
      <w:pPr>
        <w:jc w:val="both"/>
        <w:rPr>
          <w:rFonts w:cstheme="minorHAnsi"/>
          <w:b/>
        </w:rPr>
      </w:pPr>
      <w:r w:rsidRPr="00EF1F5C">
        <w:rPr>
          <w:rFonts w:cstheme="minorHAnsi"/>
          <w:b/>
        </w:rPr>
        <w:t xml:space="preserve">Forward Looking Statements and </w:t>
      </w:r>
      <w:r w:rsidR="00EB7AC8" w:rsidRPr="00EF1F5C">
        <w:rPr>
          <w:rFonts w:cstheme="minorHAnsi"/>
          <w:b/>
        </w:rPr>
        <w:t>Important Information</w:t>
      </w:r>
    </w:p>
    <w:p w14:paraId="632DCF7D" w14:textId="77777777" w:rsidR="007457E0" w:rsidRPr="00EF1F5C" w:rsidRDefault="007457E0" w:rsidP="00C118DE">
      <w:pPr>
        <w:jc w:val="both"/>
        <w:rPr>
          <w:rFonts w:cstheme="minorHAnsi"/>
        </w:rPr>
      </w:pPr>
    </w:p>
    <w:p w14:paraId="6F7DE372" w14:textId="2407AE8E" w:rsidR="007457E0" w:rsidRPr="00EF1F5C" w:rsidRDefault="007457E0" w:rsidP="00C118DE">
      <w:pPr>
        <w:jc w:val="both"/>
        <w:rPr>
          <w:rFonts w:cstheme="minorHAnsi"/>
        </w:rPr>
      </w:pPr>
      <w:r w:rsidRPr="00EF1F5C">
        <w:rPr>
          <w:rFonts w:cstheme="minorHAnsi"/>
        </w:rPr>
        <w:t>This announcement may include statements that are, or may be deemed to be</w:t>
      </w:r>
      <w:r w:rsidR="00882DAA" w:rsidRPr="00EF1F5C">
        <w:rPr>
          <w:rFonts w:cstheme="minorHAnsi"/>
        </w:rPr>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EF1F5C">
        <w:rPr>
          <w:rFonts w:cstheme="minorHAnsi"/>
        </w:rPr>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EF1F5C">
        <w:rPr>
          <w:rFonts w:cstheme="minorHAnsi"/>
        </w:rPr>
        <w:t xml:space="preserve"> </w:t>
      </w:r>
      <w:r w:rsidR="00D027A7" w:rsidRPr="00EF1F5C">
        <w:rPr>
          <w:rFonts w:cstheme="minorHAnsi"/>
        </w:rPr>
        <w:t xml:space="preserve">In addition, this announcement may include target figures for future financial periods. Any such figures are targets only and are not forecasts. </w:t>
      </w:r>
      <w:r w:rsidR="0083577D" w:rsidRPr="00EF1F5C">
        <w:rPr>
          <w:rFonts w:cstheme="minorHAnsi"/>
        </w:rPr>
        <w:t xml:space="preserve">Subject to their legal and regulatory obligations, Greencoat Renewables, the Directors and </w:t>
      </w:r>
      <w:r w:rsidR="00962676" w:rsidRPr="00EF1F5C">
        <w:rPr>
          <w:rFonts w:cstheme="minorHAnsi"/>
        </w:rPr>
        <w:t xml:space="preserve">Schroders </w:t>
      </w:r>
      <w:r w:rsidR="0083577D" w:rsidRPr="00EF1F5C">
        <w:rPr>
          <w:rFonts w:cstheme="minorHAnsi"/>
        </w:rPr>
        <w:t>Greencoat LLP</w:t>
      </w:r>
      <w:r w:rsidR="00791EA9" w:rsidRPr="00EF1F5C">
        <w:rPr>
          <w:rFonts w:cstheme="minorHAnsi"/>
        </w:rPr>
        <w:t xml:space="preserve">, </w:t>
      </w:r>
      <w:r w:rsidR="0083577D" w:rsidRPr="00EF1F5C">
        <w:rPr>
          <w:rFonts w:cstheme="minorHAnsi"/>
        </w:rPr>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Pr="00EF1F5C" w:rsidRDefault="0083577D" w:rsidP="00C118DE">
      <w:pPr>
        <w:pStyle w:val="NormalWeb"/>
        <w:jc w:val="both"/>
        <w:rPr>
          <w:rFonts w:asciiTheme="minorHAnsi" w:eastAsiaTheme="minorHAnsi" w:hAnsiTheme="minorHAnsi" w:cstheme="minorHAnsi"/>
          <w:lang w:val="en-GB" w:eastAsia="en-US"/>
        </w:rPr>
      </w:pPr>
      <w:r w:rsidRPr="00EF1F5C">
        <w:rPr>
          <w:rFonts w:asciiTheme="minorHAnsi" w:eastAsiaTheme="minorHAnsi" w:hAnsiTheme="minorHAnsi" w:cstheme="minorHAnsi"/>
          <w:lang w:val="en-GB" w:eastAsia="en-US"/>
        </w:rPr>
        <w:t xml:space="preserve">The financial information contained in this announcement has not </w:t>
      </w:r>
      <w:r w:rsidR="00C10C4A" w:rsidRPr="00EF1F5C">
        <w:rPr>
          <w:rFonts w:asciiTheme="minorHAnsi" w:eastAsiaTheme="minorHAnsi" w:hAnsiTheme="minorHAnsi" w:cstheme="minorHAnsi"/>
          <w:lang w:val="en-GB" w:eastAsia="en-US"/>
        </w:rPr>
        <w:t>been audited or reviewed by Greencoat Renewables’ a</w:t>
      </w:r>
      <w:r w:rsidRPr="00EF1F5C">
        <w:rPr>
          <w:rFonts w:asciiTheme="minorHAnsi" w:eastAsiaTheme="minorHAnsi" w:hAnsiTheme="minorHAnsi" w:cstheme="minorHAnsi"/>
          <w:lang w:val="en-GB" w:eastAsia="en-US"/>
        </w:rPr>
        <w:t>uditor</w:t>
      </w:r>
      <w:r w:rsidR="00C10C4A" w:rsidRPr="00EF1F5C">
        <w:rPr>
          <w:rFonts w:asciiTheme="minorHAnsi" w:eastAsiaTheme="minorHAnsi" w:hAnsiTheme="minorHAnsi" w:cstheme="minorHAnsi"/>
          <w:lang w:val="en-GB" w:eastAsia="en-US"/>
        </w:rPr>
        <w:t>s</w:t>
      </w:r>
      <w:r w:rsidRPr="00EF1F5C">
        <w:rPr>
          <w:rFonts w:asciiTheme="minorHAnsi" w:eastAsiaTheme="minorHAnsi" w:hAnsiTheme="minorHAnsi" w:cstheme="minorHAnsi"/>
          <w:lang w:val="en-GB" w:eastAsia="en-US"/>
        </w:rPr>
        <w:t xml:space="preserve"> in accordance with the International Standards on Auditing (Ireland) or International Standa</w:t>
      </w:r>
      <w:r w:rsidR="00C10C4A" w:rsidRPr="00EF1F5C">
        <w:rPr>
          <w:rFonts w:asciiTheme="minorHAnsi" w:eastAsiaTheme="minorHAnsi" w:hAnsiTheme="minorHAnsi" w:cstheme="minorHAnsi"/>
          <w:lang w:val="en-GB" w:eastAsia="en-US"/>
        </w:rPr>
        <w:t>rd on Review Engagements</w:t>
      </w:r>
      <w:r w:rsidRPr="00EF1F5C">
        <w:rPr>
          <w:rFonts w:asciiTheme="minorHAnsi" w:eastAsiaTheme="minorHAnsi" w:hAnsiTheme="minorHAnsi" w:cstheme="minorHAnsi"/>
          <w:lang w:val="en-GB" w:eastAsia="en-US"/>
        </w:rPr>
        <w:t>.</w:t>
      </w: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675CA8">
      <w:footerReference w:type="default" r:id="rId13"/>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861D" w14:textId="77777777" w:rsidR="00C01034" w:rsidRDefault="00C01034" w:rsidP="00ED62DE">
      <w:r>
        <w:separator/>
      </w:r>
    </w:p>
  </w:endnote>
  <w:endnote w:type="continuationSeparator" w:id="0">
    <w:p w14:paraId="5F345967" w14:textId="77777777" w:rsidR="00C01034" w:rsidRDefault="00C01034" w:rsidP="00ED62DE">
      <w:r>
        <w:continuationSeparator/>
      </w:r>
    </w:p>
  </w:endnote>
  <w:endnote w:type="continuationNotice" w:id="1">
    <w:p w14:paraId="777A53AF" w14:textId="77777777" w:rsidR="00C01034" w:rsidRDefault="00C01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E7F2" w14:textId="7D44A319" w:rsidR="005A320C" w:rsidRPr="00050515" w:rsidRDefault="005A320C" w:rsidP="005A320C">
    <w:pPr>
      <w:pStyle w:val="FootnoteText"/>
    </w:pPr>
  </w:p>
  <w:p w14:paraId="348E7529" w14:textId="77777777" w:rsidR="005A320C" w:rsidRPr="00B713E6" w:rsidRDefault="005A32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5F78" w14:textId="77777777" w:rsidR="00C01034" w:rsidRDefault="00C01034" w:rsidP="00ED62DE">
      <w:r>
        <w:separator/>
      </w:r>
    </w:p>
  </w:footnote>
  <w:footnote w:type="continuationSeparator" w:id="0">
    <w:p w14:paraId="20765E8C" w14:textId="77777777" w:rsidR="00C01034" w:rsidRDefault="00C01034" w:rsidP="00ED62DE">
      <w:r>
        <w:continuationSeparator/>
      </w:r>
    </w:p>
  </w:footnote>
  <w:footnote w:type="continuationNotice" w:id="1">
    <w:p w14:paraId="7D3142DA" w14:textId="77777777" w:rsidR="00C01034" w:rsidRDefault="00C010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6659A"/>
    <w:multiLevelType w:val="hybridMultilevel"/>
    <w:tmpl w:val="13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5"/>
  </w:num>
  <w:num w:numId="3" w16cid:durableId="1842160551">
    <w:abstractNumId w:val="8"/>
  </w:num>
  <w:num w:numId="4" w16cid:durableId="372048351">
    <w:abstractNumId w:val="0"/>
  </w:num>
  <w:num w:numId="5" w16cid:durableId="1945727216">
    <w:abstractNumId w:val="3"/>
  </w:num>
  <w:num w:numId="6" w16cid:durableId="1535072501">
    <w:abstractNumId w:val="7"/>
  </w:num>
  <w:num w:numId="7" w16cid:durableId="296494391">
    <w:abstractNumId w:val="6"/>
  </w:num>
  <w:num w:numId="8" w16cid:durableId="983778586">
    <w:abstractNumId w:val="2"/>
  </w:num>
  <w:num w:numId="9" w16cid:durableId="561990148">
    <w:abstractNumId w:val="4"/>
  </w:num>
  <w:num w:numId="10" w16cid:durableId="403114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5A94"/>
    <w:rsid w:val="00007724"/>
    <w:rsid w:val="000163FD"/>
    <w:rsid w:val="000323DD"/>
    <w:rsid w:val="0003640F"/>
    <w:rsid w:val="00036596"/>
    <w:rsid w:val="000408E3"/>
    <w:rsid w:val="00042C89"/>
    <w:rsid w:val="0004384F"/>
    <w:rsid w:val="00043C71"/>
    <w:rsid w:val="0004541B"/>
    <w:rsid w:val="00046B77"/>
    <w:rsid w:val="0005059B"/>
    <w:rsid w:val="00054753"/>
    <w:rsid w:val="00055E2C"/>
    <w:rsid w:val="00055EA5"/>
    <w:rsid w:val="00060DA4"/>
    <w:rsid w:val="00066080"/>
    <w:rsid w:val="00071653"/>
    <w:rsid w:val="0009105A"/>
    <w:rsid w:val="00097565"/>
    <w:rsid w:val="00097DF0"/>
    <w:rsid w:val="000A1C0F"/>
    <w:rsid w:val="000A5191"/>
    <w:rsid w:val="000F0E56"/>
    <w:rsid w:val="000F3FCD"/>
    <w:rsid w:val="0010201D"/>
    <w:rsid w:val="001066AD"/>
    <w:rsid w:val="00125263"/>
    <w:rsid w:val="001301B0"/>
    <w:rsid w:val="00131227"/>
    <w:rsid w:val="00131ED6"/>
    <w:rsid w:val="001377B0"/>
    <w:rsid w:val="0014419A"/>
    <w:rsid w:val="00152329"/>
    <w:rsid w:val="00154A1F"/>
    <w:rsid w:val="00165659"/>
    <w:rsid w:val="0016600B"/>
    <w:rsid w:val="001660C7"/>
    <w:rsid w:val="001721AE"/>
    <w:rsid w:val="001722B6"/>
    <w:rsid w:val="0017401F"/>
    <w:rsid w:val="00186F85"/>
    <w:rsid w:val="00193982"/>
    <w:rsid w:val="00194B85"/>
    <w:rsid w:val="001A0AC0"/>
    <w:rsid w:val="001A28A1"/>
    <w:rsid w:val="001A5F6E"/>
    <w:rsid w:val="001A6E56"/>
    <w:rsid w:val="001B2E1A"/>
    <w:rsid w:val="001B7827"/>
    <w:rsid w:val="001C332B"/>
    <w:rsid w:val="001E2D5B"/>
    <w:rsid w:val="001F0D24"/>
    <w:rsid w:val="001F3526"/>
    <w:rsid w:val="00203C9A"/>
    <w:rsid w:val="00214EF5"/>
    <w:rsid w:val="00220C2A"/>
    <w:rsid w:val="00227944"/>
    <w:rsid w:val="00231EF3"/>
    <w:rsid w:val="00232E55"/>
    <w:rsid w:val="00232F6B"/>
    <w:rsid w:val="00240470"/>
    <w:rsid w:val="00242B5F"/>
    <w:rsid w:val="00247DE0"/>
    <w:rsid w:val="0025451C"/>
    <w:rsid w:val="00254550"/>
    <w:rsid w:val="002554CA"/>
    <w:rsid w:val="0026247E"/>
    <w:rsid w:val="00263215"/>
    <w:rsid w:val="00270A4D"/>
    <w:rsid w:val="002765E9"/>
    <w:rsid w:val="00284028"/>
    <w:rsid w:val="00290E8F"/>
    <w:rsid w:val="00291D0A"/>
    <w:rsid w:val="00297CE7"/>
    <w:rsid w:val="002B2498"/>
    <w:rsid w:val="002B2E78"/>
    <w:rsid w:val="002B6D12"/>
    <w:rsid w:val="002B7E6B"/>
    <w:rsid w:val="002C10DC"/>
    <w:rsid w:val="002C2130"/>
    <w:rsid w:val="002D2556"/>
    <w:rsid w:val="002E1DCD"/>
    <w:rsid w:val="002E2409"/>
    <w:rsid w:val="00306179"/>
    <w:rsid w:val="0032652A"/>
    <w:rsid w:val="003364B3"/>
    <w:rsid w:val="00340C62"/>
    <w:rsid w:val="003450C3"/>
    <w:rsid w:val="00357659"/>
    <w:rsid w:val="0036135A"/>
    <w:rsid w:val="00362772"/>
    <w:rsid w:val="00366CF5"/>
    <w:rsid w:val="00380E3B"/>
    <w:rsid w:val="003818CB"/>
    <w:rsid w:val="003856D5"/>
    <w:rsid w:val="00385E51"/>
    <w:rsid w:val="0038789C"/>
    <w:rsid w:val="003A3AC9"/>
    <w:rsid w:val="003A7A98"/>
    <w:rsid w:val="003C332D"/>
    <w:rsid w:val="003C70D6"/>
    <w:rsid w:val="003D3501"/>
    <w:rsid w:val="003D6064"/>
    <w:rsid w:val="003D7851"/>
    <w:rsid w:val="003E0231"/>
    <w:rsid w:val="003E184E"/>
    <w:rsid w:val="003E5613"/>
    <w:rsid w:val="003F092A"/>
    <w:rsid w:val="0040219F"/>
    <w:rsid w:val="00412B3B"/>
    <w:rsid w:val="00416DA8"/>
    <w:rsid w:val="00423AAC"/>
    <w:rsid w:val="0043665A"/>
    <w:rsid w:val="00437B72"/>
    <w:rsid w:val="00441F69"/>
    <w:rsid w:val="004474CC"/>
    <w:rsid w:val="004476C3"/>
    <w:rsid w:val="0045113B"/>
    <w:rsid w:val="004650E7"/>
    <w:rsid w:val="00465160"/>
    <w:rsid w:val="004721C6"/>
    <w:rsid w:val="00472C28"/>
    <w:rsid w:val="00474CD4"/>
    <w:rsid w:val="00483680"/>
    <w:rsid w:val="00483B94"/>
    <w:rsid w:val="00493A64"/>
    <w:rsid w:val="00496A23"/>
    <w:rsid w:val="004A1292"/>
    <w:rsid w:val="004A2B7A"/>
    <w:rsid w:val="004D212E"/>
    <w:rsid w:val="004E6063"/>
    <w:rsid w:val="004F2ECC"/>
    <w:rsid w:val="005061C1"/>
    <w:rsid w:val="00511EC0"/>
    <w:rsid w:val="00513B67"/>
    <w:rsid w:val="00514EA0"/>
    <w:rsid w:val="005221DC"/>
    <w:rsid w:val="0052336F"/>
    <w:rsid w:val="0054248F"/>
    <w:rsid w:val="005431AA"/>
    <w:rsid w:val="00544922"/>
    <w:rsid w:val="00553976"/>
    <w:rsid w:val="00582B3D"/>
    <w:rsid w:val="0058413D"/>
    <w:rsid w:val="0058628B"/>
    <w:rsid w:val="00586FBF"/>
    <w:rsid w:val="00592EED"/>
    <w:rsid w:val="005A0431"/>
    <w:rsid w:val="005A1AEB"/>
    <w:rsid w:val="005A320C"/>
    <w:rsid w:val="005A5D3D"/>
    <w:rsid w:val="005A7AB8"/>
    <w:rsid w:val="005B4BA3"/>
    <w:rsid w:val="005C2FCE"/>
    <w:rsid w:val="005C46D3"/>
    <w:rsid w:val="005C7916"/>
    <w:rsid w:val="005D1098"/>
    <w:rsid w:val="005E0CC1"/>
    <w:rsid w:val="005E3668"/>
    <w:rsid w:val="005E414C"/>
    <w:rsid w:val="00617866"/>
    <w:rsid w:val="00635906"/>
    <w:rsid w:val="006412A9"/>
    <w:rsid w:val="00643F70"/>
    <w:rsid w:val="00644D19"/>
    <w:rsid w:val="006464A6"/>
    <w:rsid w:val="00665346"/>
    <w:rsid w:val="00675CA8"/>
    <w:rsid w:val="0067754C"/>
    <w:rsid w:val="00682820"/>
    <w:rsid w:val="00686B6A"/>
    <w:rsid w:val="006879C5"/>
    <w:rsid w:val="00690CD6"/>
    <w:rsid w:val="00691286"/>
    <w:rsid w:val="006A0FE6"/>
    <w:rsid w:val="006A3A2E"/>
    <w:rsid w:val="006A42F5"/>
    <w:rsid w:val="006B1E1C"/>
    <w:rsid w:val="006B2C87"/>
    <w:rsid w:val="006D2DEA"/>
    <w:rsid w:val="006F3CF5"/>
    <w:rsid w:val="0070121E"/>
    <w:rsid w:val="0070525C"/>
    <w:rsid w:val="0071149B"/>
    <w:rsid w:val="00725050"/>
    <w:rsid w:val="007255A8"/>
    <w:rsid w:val="00726295"/>
    <w:rsid w:val="00732D2E"/>
    <w:rsid w:val="00732D4A"/>
    <w:rsid w:val="00735CD7"/>
    <w:rsid w:val="007426E5"/>
    <w:rsid w:val="007457E0"/>
    <w:rsid w:val="00746CEB"/>
    <w:rsid w:val="00752CB3"/>
    <w:rsid w:val="007656FE"/>
    <w:rsid w:val="007673C4"/>
    <w:rsid w:val="00781F96"/>
    <w:rsid w:val="007861A1"/>
    <w:rsid w:val="007901AC"/>
    <w:rsid w:val="0079070B"/>
    <w:rsid w:val="00791EA9"/>
    <w:rsid w:val="00795708"/>
    <w:rsid w:val="00797659"/>
    <w:rsid w:val="007A13D2"/>
    <w:rsid w:val="007A4CC3"/>
    <w:rsid w:val="007B14A7"/>
    <w:rsid w:val="007B285C"/>
    <w:rsid w:val="007B4F1A"/>
    <w:rsid w:val="007B542A"/>
    <w:rsid w:val="007B732C"/>
    <w:rsid w:val="007E17FA"/>
    <w:rsid w:val="007E5B69"/>
    <w:rsid w:val="007E6D6F"/>
    <w:rsid w:val="007F0110"/>
    <w:rsid w:val="007F1DAE"/>
    <w:rsid w:val="007F6B81"/>
    <w:rsid w:val="0080202D"/>
    <w:rsid w:val="00804ED1"/>
    <w:rsid w:val="00807061"/>
    <w:rsid w:val="0081134F"/>
    <w:rsid w:val="008132FC"/>
    <w:rsid w:val="008177D4"/>
    <w:rsid w:val="00827EBF"/>
    <w:rsid w:val="0083577D"/>
    <w:rsid w:val="0084419F"/>
    <w:rsid w:val="008504AF"/>
    <w:rsid w:val="00852A74"/>
    <w:rsid w:val="00860B54"/>
    <w:rsid w:val="00861AD8"/>
    <w:rsid w:val="00871173"/>
    <w:rsid w:val="008721FD"/>
    <w:rsid w:val="008723BC"/>
    <w:rsid w:val="008809E0"/>
    <w:rsid w:val="00882DAA"/>
    <w:rsid w:val="00893CD6"/>
    <w:rsid w:val="008A652B"/>
    <w:rsid w:val="008B5DBB"/>
    <w:rsid w:val="008B778A"/>
    <w:rsid w:val="008C0A49"/>
    <w:rsid w:val="008C412D"/>
    <w:rsid w:val="008D341B"/>
    <w:rsid w:val="008E3BFA"/>
    <w:rsid w:val="008E78CE"/>
    <w:rsid w:val="008F06E7"/>
    <w:rsid w:val="008F5846"/>
    <w:rsid w:val="009001CC"/>
    <w:rsid w:val="009020C7"/>
    <w:rsid w:val="009034A5"/>
    <w:rsid w:val="00905C20"/>
    <w:rsid w:val="0091435E"/>
    <w:rsid w:val="00917F3A"/>
    <w:rsid w:val="00920F4A"/>
    <w:rsid w:val="009275D5"/>
    <w:rsid w:val="00927857"/>
    <w:rsid w:val="00930EDE"/>
    <w:rsid w:val="00943CC7"/>
    <w:rsid w:val="009469B3"/>
    <w:rsid w:val="00951027"/>
    <w:rsid w:val="00954739"/>
    <w:rsid w:val="009572BF"/>
    <w:rsid w:val="00960F00"/>
    <w:rsid w:val="00962676"/>
    <w:rsid w:val="00966F28"/>
    <w:rsid w:val="00984F7C"/>
    <w:rsid w:val="009A3BB2"/>
    <w:rsid w:val="009A4622"/>
    <w:rsid w:val="009A4B32"/>
    <w:rsid w:val="009A5FED"/>
    <w:rsid w:val="009B3197"/>
    <w:rsid w:val="009B342B"/>
    <w:rsid w:val="009B5E7A"/>
    <w:rsid w:val="009C659E"/>
    <w:rsid w:val="009D646A"/>
    <w:rsid w:val="009D7DFF"/>
    <w:rsid w:val="009E28AE"/>
    <w:rsid w:val="009E5EF1"/>
    <w:rsid w:val="009F1688"/>
    <w:rsid w:val="009F179A"/>
    <w:rsid w:val="00A00D82"/>
    <w:rsid w:val="00A10A1F"/>
    <w:rsid w:val="00A27338"/>
    <w:rsid w:val="00A30EB6"/>
    <w:rsid w:val="00A42A47"/>
    <w:rsid w:val="00A467AC"/>
    <w:rsid w:val="00A60BE5"/>
    <w:rsid w:val="00A7341D"/>
    <w:rsid w:val="00A73666"/>
    <w:rsid w:val="00A83A48"/>
    <w:rsid w:val="00A87E75"/>
    <w:rsid w:val="00A91F72"/>
    <w:rsid w:val="00A93773"/>
    <w:rsid w:val="00AA152D"/>
    <w:rsid w:val="00AB010B"/>
    <w:rsid w:val="00AB0616"/>
    <w:rsid w:val="00AB1601"/>
    <w:rsid w:val="00AB4A10"/>
    <w:rsid w:val="00AC4A76"/>
    <w:rsid w:val="00AC4E1C"/>
    <w:rsid w:val="00AD0D60"/>
    <w:rsid w:val="00AD614E"/>
    <w:rsid w:val="00AE26A1"/>
    <w:rsid w:val="00AE2A23"/>
    <w:rsid w:val="00AF2B23"/>
    <w:rsid w:val="00AF353B"/>
    <w:rsid w:val="00B01A86"/>
    <w:rsid w:val="00B03B4F"/>
    <w:rsid w:val="00B10FD4"/>
    <w:rsid w:val="00B1492B"/>
    <w:rsid w:val="00B16700"/>
    <w:rsid w:val="00B168B2"/>
    <w:rsid w:val="00B20F95"/>
    <w:rsid w:val="00B22844"/>
    <w:rsid w:val="00B244A7"/>
    <w:rsid w:val="00B2536D"/>
    <w:rsid w:val="00B37A0A"/>
    <w:rsid w:val="00B46654"/>
    <w:rsid w:val="00B65215"/>
    <w:rsid w:val="00B713E6"/>
    <w:rsid w:val="00B72586"/>
    <w:rsid w:val="00B80374"/>
    <w:rsid w:val="00B84514"/>
    <w:rsid w:val="00B91982"/>
    <w:rsid w:val="00B9582A"/>
    <w:rsid w:val="00BA3FC8"/>
    <w:rsid w:val="00BB0B24"/>
    <w:rsid w:val="00BB1065"/>
    <w:rsid w:val="00BC12BA"/>
    <w:rsid w:val="00BD1A38"/>
    <w:rsid w:val="00BE12F5"/>
    <w:rsid w:val="00BF2486"/>
    <w:rsid w:val="00BF3CB3"/>
    <w:rsid w:val="00BF5271"/>
    <w:rsid w:val="00BF59FD"/>
    <w:rsid w:val="00C01034"/>
    <w:rsid w:val="00C051B3"/>
    <w:rsid w:val="00C10C4A"/>
    <w:rsid w:val="00C118DE"/>
    <w:rsid w:val="00C3418F"/>
    <w:rsid w:val="00C41AC6"/>
    <w:rsid w:val="00C477F8"/>
    <w:rsid w:val="00C52B1C"/>
    <w:rsid w:val="00C5780D"/>
    <w:rsid w:val="00C644E4"/>
    <w:rsid w:val="00C80C26"/>
    <w:rsid w:val="00C8302B"/>
    <w:rsid w:val="00C834E8"/>
    <w:rsid w:val="00C96275"/>
    <w:rsid w:val="00CA167A"/>
    <w:rsid w:val="00CA2555"/>
    <w:rsid w:val="00CC2726"/>
    <w:rsid w:val="00CC67F5"/>
    <w:rsid w:val="00CE2BAC"/>
    <w:rsid w:val="00CF2292"/>
    <w:rsid w:val="00CF4BB3"/>
    <w:rsid w:val="00D00F81"/>
    <w:rsid w:val="00D027A7"/>
    <w:rsid w:val="00D07F81"/>
    <w:rsid w:val="00D105C3"/>
    <w:rsid w:val="00D1215C"/>
    <w:rsid w:val="00D26F2C"/>
    <w:rsid w:val="00D32C3A"/>
    <w:rsid w:val="00D35413"/>
    <w:rsid w:val="00D36D09"/>
    <w:rsid w:val="00D43FCC"/>
    <w:rsid w:val="00D500F8"/>
    <w:rsid w:val="00D50F0F"/>
    <w:rsid w:val="00D52CDC"/>
    <w:rsid w:val="00D54BB3"/>
    <w:rsid w:val="00D610B7"/>
    <w:rsid w:val="00D67B05"/>
    <w:rsid w:val="00D71CAD"/>
    <w:rsid w:val="00D742B4"/>
    <w:rsid w:val="00D90194"/>
    <w:rsid w:val="00D93EE9"/>
    <w:rsid w:val="00DA252B"/>
    <w:rsid w:val="00DA60CC"/>
    <w:rsid w:val="00DB150D"/>
    <w:rsid w:val="00DC301D"/>
    <w:rsid w:val="00DC7D23"/>
    <w:rsid w:val="00DD4709"/>
    <w:rsid w:val="00DF17A1"/>
    <w:rsid w:val="00DF38D7"/>
    <w:rsid w:val="00E07D1F"/>
    <w:rsid w:val="00E1423C"/>
    <w:rsid w:val="00E14D20"/>
    <w:rsid w:val="00E17019"/>
    <w:rsid w:val="00E26777"/>
    <w:rsid w:val="00E27B80"/>
    <w:rsid w:val="00E32528"/>
    <w:rsid w:val="00E514CA"/>
    <w:rsid w:val="00E603DB"/>
    <w:rsid w:val="00E72602"/>
    <w:rsid w:val="00E73132"/>
    <w:rsid w:val="00E87BE1"/>
    <w:rsid w:val="00E92DB1"/>
    <w:rsid w:val="00E94D5B"/>
    <w:rsid w:val="00EA4A72"/>
    <w:rsid w:val="00EB39A6"/>
    <w:rsid w:val="00EB5A42"/>
    <w:rsid w:val="00EB64F2"/>
    <w:rsid w:val="00EB7AC8"/>
    <w:rsid w:val="00EB7F61"/>
    <w:rsid w:val="00EC323B"/>
    <w:rsid w:val="00ED149E"/>
    <w:rsid w:val="00ED2B31"/>
    <w:rsid w:val="00ED455A"/>
    <w:rsid w:val="00ED4AF6"/>
    <w:rsid w:val="00ED62DE"/>
    <w:rsid w:val="00ED63DD"/>
    <w:rsid w:val="00EE25BB"/>
    <w:rsid w:val="00EE2980"/>
    <w:rsid w:val="00EE5B8B"/>
    <w:rsid w:val="00EE78C5"/>
    <w:rsid w:val="00EF1F5C"/>
    <w:rsid w:val="00EF2120"/>
    <w:rsid w:val="00EF6979"/>
    <w:rsid w:val="00F02D83"/>
    <w:rsid w:val="00F03FBE"/>
    <w:rsid w:val="00F04946"/>
    <w:rsid w:val="00F0789B"/>
    <w:rsid w:val="00F07E0B"/>
    <w:rsid w:val="00F22F04"/>
    <w:rsid w:val="00F3493C"/>
    <w:rsid w:val="00F50694"/>
    <w:rsid w:val="00F51BB7"/>
    <w:rsid w:val="00F6086F"/>
    <w:rsid w:val="00F63878"/>
    <w:rsid w:val="00F723D7"/>
    <w:rsid w:val="00F72B6F"/>
    <w:rsid w:val="00F76252"/>
    <w:rsid w:val="00F76EA7"/>
    <w:rsid w:val="00F835AF"/>
    <w:rsid w:val="00F8521A"/>
    <w:rsid w:val="00F92EAB"/>
    <w:rsid w:val="00F96268"/>
    <w:rsid w:val="00FB31BD"/>
    <w:rsid w:val="00FB5A9B"/>
    <w:rsid w:val="00FC329F"/>
    <w:rsid w:val="00FC5991"/>
    <w:rsid w:val="00FD1E54"/>
    <w:rsid w:val="00FE405E"/>
    <w:rsid w:val="00FE41C2"/>
    <w:rsid w:val="00FF0595"/>
    <w:rsid w:val="00FF25D7"/>
    <w:rsid w:val="00FF3457"/>
    <w:rsid w:val="00FF4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paragraph" w:styleId="Heading9">
    <w:name w:val="heading 9"/>
    <w:basedOn w:val="Normal"/>
    <w:next w:val="Normal"/>
    <w:link w:val="Heading9Char"/>
    <w:uiPriority w:val="9"/>
    <w:semiHidden/>
    <w:unhideWhenUsed/>
    <w:qFormat/>
    <w:rsid w:val="007673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nhideWhenUsed/>
    <w:rsid w:val="00ED62DE"/>
    <w:pPr>
      <w:tabs>
        <w:tab w:val="center" w:pos="4513"/>
        <w:tab w:val="right" w:pos="9026"/>
      </w:tabs>
    </w:pPr>
  </w:style>
  <w:style w:type="character" w:customStyle="1" w:styleId="HeaderChar">
    <w:name w:val="Header Char"/>
    <w:basedOn w:val="DefaultParagraphFont"/>
    <w:link w:val="Header"/>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 w:type="table" w:styleId="TableGrid">
    <w:name w:val="Table Grid"/>
    <w:basedOn w:val="TableNormal"/>
    <w:uiPriority w:val="39"/>
    <w:rsid w:val="0025451C"/>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55A"/>
    <w:pPr>
      <w:autoSpaceDE w:val="0"/>
      <w:autoSpaceDN w:val="0"/>
      <w:adjustRightInd w:val="0"/>
    </w:pPr>
    <w:rPr>
      <w:rFonts w:ascii="Calibri" w:hAnsi="Calibri" w:cs="Calibri"/>
      <w:color w:val="000000"/>
      <w:lang w:val="en-GB"/>
    </w:rPr>
  </w:style>
  <w:style w:type="character" w:customStyle="1" w:styleId="Heading9Char">
    <w:name w:val="Heading 9 Char"/>
    <w:basedOn w:val="DefaultParagraphFont"/>
    <w:link w:val="Heading9"/>
    <w:uiPriority w:val="9"/>
    <w:semiHidden/>
    <w:rsid w:val="007673C4"/>
    <w:rPr>
      <w:rFonts w:asciiTheme="majorHAnsi" w:eastAsiaTheme="majorEastAsia" w:hAnsiTheme="majorHAnsi" w:cstheme="majorBidi"/>
      <w:i/>
      <w:iCs/>
      <w:color w:val="272727" w:themeColor="text1" w:themeTint="D8"/>
      <w:sz w:val="21"/>
      <w:szCs w:val="21"/>
      <w:lang w:val="en-GB"/>
    </w:rPr>
  </w:style>
  <w:style w:type="paragraph" w:customStyle="1" w:styleId="KGContactTextBlue">
    <w:name w:val="KG_Contact Text Blue"/>
    <w:basedOn w:val="Normal"/>
    <w:qFormat/>
    <w:rsid w:val="00C118DE"/>
    <w:pPr>
      <w:spacing w:before="240" w:after="76" w:line="240" w:lineRule="exact"/>
      <w:jc w:val="both"/>
    </w:pPr>
    <w:rPr>
      <w:color w:val="44546A" w:themeColor="text2"/>
      <w:sz w:val="19"/>
      <w:szCs w:val="19"/>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570889341">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2025-05-06T13:00:49+00:00</DateReceived>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22C81-9B30-4EBB-86D1-90F0171DE9A3}">
  <ds:schemaRefs>
    <ds:schemaRef ds:uri="http://schemas.microsoft.com/sharepoint/v3/contenttype/forms"/>
  </ds:schemaRefs>
</ds:datastoreItem>
</file>

<file path=customXml/itemProps2.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customXml/itemProps3.xml><?xml version="1.0" encoding="utf-8"?>
<ds:datastoreItem xmlns:ds="http://schemas.openxmlformats.org/officeDocument/2006/customXml" ds:itemID="{0D11F215-E035-4CDC-9124-EC4F20EAAA34}">
  <ds:schemaRefs>
    <ds:schemaRef ds:uri="http://schemas.microsoft.com/office/2006/metadata/properties"/>
    <ds:schemaRef ds:uri="http://schemas.microsoft.com/office/infopath/2007/PartnerControls"/>
    <ds:schemaRef ds:uri="e1d438f5-7e8f-4486-a7ca-81405da6368d"/>
    <ds:schemaRef ds:uri="b9788881-0b14-4d8b-a5d4-0b7cb51b51a2"/>
  </ds:schemaRefs>
</ds:datastoreItem>
</file>

<file path=customXml/itemProps4.xml><?xml version="1.0" encoding="utf-8"?>
<ds:datastoreItem xmlns:ds="http://schemas.openxmlformats.org/officeDocument/2006/customXml" ds:itemID="{76FDB521-9384-4148-8175-8F33958882E9}"/>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Kelly, Diarmuid</cp:lastModifiedBy>
  <cp:revision>2</cp:revision>
  <cp:lastPrinted>2024-07-22T09:41:00Z</cp:lastPrinted>
  <dcterms:created xsi:type="dcterms:W3CDTF">2025-05-06T12:24:00Z</dcterms:created>
  <dcterms:modified xsi:type="dcterms:W3CDTF">2025-05-06T12:24:00Z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ies>
</file>