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0565" w14:textId="11799E43" w:rsidR="001B7C99" w:rsidRPr="001B7C99" w:rsidRDefault="00E74ED1" w:rsidP="001B7C99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ab/>
      </w:r>
    </w:p>
    <w:p w14:paraId="2931373B" w14:textId="5FF18D0E" w:rsidR="00CD4D9D" w:rsidRDefault="008916EC" w:rsidP="006313AD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C37298"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667DD711" wp14:editId="58930418">
            <wp:simplePos x="0" y="0"/>
            <wp:positionH relativeFrom="margin">
              <wp:posOffset>3784600</wp:posOffset>
            </wp:positionH>
            <wp:positionV relativeFrom="margin">
              <wp:posOffset>233680</wp:posOffset>
            </wp:positionV>
            <wp:extent cx="2484755" cy="721995"/>
            <wp:effectExtent l="0" t="0" r="0" b="1905"/>
            <wp:wrapSquare wrapText="bothSides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C99" w:rsidRPr="001B7C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p w14:paraId="06998F98" w14:textId="3F52A0D9" w:rsidR="006313AD" w:rsidRPr="006313AD" w:rsidRDefault="006313AD" w:rsidP="006313AD">
      <w:pPr>
        <w:shd w:val="clear" w:color="auto" w:fill="FFFFFF"/>
        <w:spacing w:after="0" w:line="214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</w:p>
    <w:p w14:paraId="081968EF" w14:textId="77777777" w:rsidR="008916EC" w:rsidRDefault="008916EC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629573F7" w14:textId="77777777" w:rsidR="008916EC" w:rsidRDefault="008916EC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704044B2" w14:textId="77777777" w:rsidR="008916EC" w:rsidRDefault="008916EC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7F65C0CC" w14:textId="6C9856C0" w:rsidR="001B7C99" w:rsidRPr="00C80794" w:rsidRDefault="00440920" w:rsidP="006313AD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</w:pPr>
      <w:proofErr w:type="spellStart"/>
      <w:r w:rsidRPr="00C80794"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  <w:t>Greencoat</w:t>
      </w:r>
      <w:proofErr w:type="spellEnd"/>
      <w:r w:rsidRPr="00C80794"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Renewables </w:t>
      </w:r>
      <w:r w:rsidR="00F759F0"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  <w:t>approval of</w:t>
      </w:r>
      <w:r w:rsidR="00527BC6" w:rsidRPr="00C80794"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 w:rsidR="00AF51B0" w:rsidRPr="00C80794"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  <w:t>s</w:t>
      </w:r>
      <w:r w:rsidR="001B7C99" w:rsidRPr="00C80794"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  <w:t>econdary listing on the Johannesburg Stock Exchange</w:t>
      </w:r>
    </w:p>
    <w:p w14:paraId="7DA23FF3" w14:textId="77777777" w:rsidR="001B7C99" w:rsidRPr="001B7C99" w:rsidRDefault="001B7C99" w:rsidP="001B7C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</w:pPr>
      <w:r w:rsidRPr="001B7C9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p w14:paraId="67FDF42B" w14:textId="37A13B7D" w:rsidR="00E01D88" w:rsidRPr="00C80794" w:rsidRDefault="003934D7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  <w:r w:rsidRPr="00C80794">
        <w:rPr>
          <w:rFonts w:ascii="Arial" w:hAnsi="Arial" w:cs="Arial"/>
          <w:b/>
          <w:sz w:val="20"/>
          <w:szCs w:val="20"/>
        </w:rPr>
        <w:t xml:space="preserve">Dublin, London </w:t>
      </w:r>
      <w:r w:rsidRPr="00C807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| </w:t>
      </w:r>
      <w:r w:rsidR="00F759F0">
        <w:rPr>
          <w:rFonts w:ascii="Arial" w:hAnsi="Arial" w:cs="Arial"/>
          <w:b/>
          <w:sz w:val="20"/>
          <w:szCs w:val="20"/>
        </w:rPr>
        <w:t>2</w:t>
      </w:r>
      <w:r w:rsidR="00350DAA">
        <w:rPr>
          <w:rFonts w:ascii="Arial" w:hAnsi="Arial" w:cs="Arial"/>
          <w:b/>
          <w:sz w:val="20"/>
          <w:szCs w:val="20"/>
        </w:rPr>
        <w:t>1</w:t>
      </w:r>
      <w:r w:rsidRPr="00C80794">
        <w:rPr>
          <w:rFonts w:ascii="Arial" w:hAnsi="Arial" w:cs="Arial"/>
          <w:b/>
          <w:sz w:val="20"/>
          <w:szCs w:val="20"/>
        </w:rPr>
        <w:t xml:space="preserve"> May</w:t>
      </w:r>
      <w:r w:rsidRPr="00C807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80794">
        <w:rPr>
          <w:rFonts w:ascii="Arial" w:hAnsi="Arial" w:cs="Arial"/>
          <w:b/>
          <w:sz w:val="20"/>
          <w:szCs w:val="20"/>
        </w:rPr>
        <w:t>2025</w:t>
      </w:r>
      <w:r w:rsidRPr="00C80794">
        <w:rPr>
          <w:rFonts w:ascii="Arial" w:hAnsi="Arial" w:cs="Arial"/>
          <w:sz w:val="20"/>
          <w:szCs w:val="20"/>
        </w:rPr>
        <w:t xml:space="preserve">: </w:t>
      </w:r>
      <w:r w:rsidR="001B7C99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Greencoat Renewables </w:t>
      </w:r>
      <w:r w:rsidR="00CD4D9D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PLC</w:t>
      </w:r>
      <w:r w:rsidR="001B7C99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(</w:t>
      </w:r>
      <w:r w:rsidR="00AF1A2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“</w:t>
      </w:r>
      <w:r w:rsidR="00AF1A24" w:rsidRPr="00274F0C">
        <w:rPr>
          <w:rFonts w:ascii="Arial" w:hAnsi="Arial" w:cs="Arial"/>
          <w:b/>
          <w:bCs/>
          <w:kern w:val="0"/>
          <w:sz w:val="20"/>
          <w:szCs w:val="20"/>
          <w:lang w:val="en-GB"/>
          <w14:ligatures w14:val="none"/>
        </w:rPr>
        <w:t>Greencoat</w:t>
      </w:r>
      <w:r w:rsidR="00AF1A2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” or “</w:t>
      </w:r>
      <w:r w:rsidR="00AF1A24" w:rsidRPr="00274F0C">
        <w:rPr>
          <w:rFonts w:ascii="Arial" w:hAnsi="Arial" w:cs="Arial"/>
          <w:b/>
          <w:bCs/>
          <w:kern w:val="0"/>
          <w:sz w:val="20"/>
          <w:szCs w:val="20"/>
          <w:lang w:val="en-GB"/>
          <w14:ligatures w14:val="none"/>
        </w:rPr>
        <w:t>the Company</w:t>
      </w:r>
      <w:r w:rsidR="00AF1A2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”</w:t>
      </w:r>
      <w:r w:rsidR="001B7C99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)</w:t>
      </w:r>
      <w:r w:rsidR="00D56FC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46154E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is </w:t>
      </w:r>
      <w:r w:rsidR="001F07FA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pleased to confirm </w:t>
      </w:r>
      <w:r w:rsidR="007C3FA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that </w:t>
      </w:r>
      <w:r w:rsidR="00500DD6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the Johannesburg Stock Exchange ("</w:t>
      </w:r>
      <w:r w:rsidR="00500DD6" w:rsidRPr="00274F0C">
        <w:rPr>
          <w:rFonts w:ascii="Arial" w:hAnsi="Arial" w:cs="Arial"/>
          <w:b/>
          <w:bCs/>
          <w:kern w:val="0"/>
          <w:sz w:val="20"/>
          <w:szCs w:val="20"/>
          <w:lang w:val="en-GB"/>
          <w14:ligatures w14:val="none"/>
        </w:rPr>
        <w:t>JSE</w:t>
      </w:r>
      <w:r w:rsidR="00500DD6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") has granted approval to Greencoat for a secondary listing on the Alternative Exchange (“</w:t>
      </w:r>
      <w:proofErr w:type="spellStart"/>
      <w:r w:rsidR="00500DD6" w:rsidRPr="00274F0C">
        <w:rPr>
          <w:rFonts w:ascii="Arial" w:hAnsi="Arial" w:cs="Arial"/>
          <w:b/>
          <w:bCs/>
          <w:kern w:val="0"/>
          <w:sz w:val="20"/>
          <w:szCs w:val="20"/>
          <w:lang w:val="en-GB"/>
          <w14:ligatures w14:val="none"/>
        </w:rPr>
        <w:t>AltX</w:t>
      </w:r>
      <w:proofErr w:type="spellEnd"/>
      <w:r w:rsidR="00500DD6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”) of the JSE. The listing and commencement of </w:t>
      </w:r>
      <w:r w:rsidR="008916EC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tradi</w:t>
      </w:r>
      <w:r w:rsidR="008916EC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ng</w:t>
      </w:r>
      <w:r w:rsidR="00500DD6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will take effect on </w:t>
      </w:r>
      <w:r w:rsid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Monday</w:t>
      </w:r>
      <w:r w:rsidR="00500DD6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, </w:t>
      </w:r>
      <w:r w:rsid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9 June </w:t>
      </w:r>
      <w:r w:rsidR="00500DD6" w:rsidRPr="00500DD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2025.</w:t>
      </w:r>
      <w:r w:rsidR="00AF51B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</w:t>
      </w:r>
    </w:p>
    <w:p w14:paraId="0F683E54" w14:textId="77777777" w:rsidR="00245F32" w:rsidRPr="00C80794" w:rsidRDefault="00245F32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</w:p>
    <w:p w14:paraId="07E0C599" w14:textId="5F36BF63" w:rsidR="005C4177" w:rsidRDefault="005C4177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  <w:r w:rsidRPr="005C417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The Company has released a pre-listing announcement </w:t>
      </w:r>
      <w:r w:rsidR="00346E1D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(“</w:t>
      </w:r>
      <w:r w:rsidR="00346E1D" w:rsidRPr="00346E1D">
        <w:rPr>
          <w:rFonts w:ascii="Arial" w:hAnsi="Arial" w:cs="Arial"/>
          <w:b/>
          <w:bCs/>
          <w:kern w:val="0"/>
          <w:sz w:val="20"/>
          <w:szCs w:val="20"/>
          <w:lang w:val="en-GB"/>
          <w14:ligatures w14:val="none"/>
        </w:rPr>
        <w:t>PLA</w:t>
      </w:r>
      <w:r w:rsidR="00346E1D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”) </w:t>
      </w:r>
      <w:r w:rsidRPr="005C417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on the Stock Exchange News Service of the JSE in relation to the secondary inward listing of the Company on the </w:t>
      </w:r>
      <w:proofErr w:type="spellStart"/>
      <w:r w:rsidRPr="005C417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AltX</w:t>
      </w:r>
      <w:proofErr w:type="spellEnd"/>
      <w:r w:rsidRPr="005C417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by way of an introduction (“</w:t>
      </w:r>
      <w:r w:rsidRPr="00274F0C">
        <w:rPr>
          <w:rFonts w:ascii="Arial" w:hAnsi="Arial" w:cs="Arial"/>
          <w:b/>
          <w:bCs/>
          <w:kern w:val="0"/>
          <w:sz w:val="20"/>
          <w:szCs w:val="20"/>
          <w:lang w:val="en-GB"/>
          <w14:ligatures w14:val="none"/>
        </w:rPr>
        <w:t>Listing</w:t>
      </w:r>
      <w:r w:rsidRPr="005C417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”).</w:t>
      </w:r>
      <w:r w:rsidR="00346E1D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The PLA can be found on the Company’s website: </w:t>
      </w:r>
      <w:hyperlink r:id="rId11" w:history="1">
        <w:r w:rsidR="003944C9" w:rsidRPr="003944C9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 xml:space="preserve">Report and Publications – </w:t>
        </w:r>
        <w:proofErr w:type="spellStart"/>
        <w:r w:rsidR="003944C9" w:rsidRPr="003944C9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Greencoat</w:t>
        </w:r>
        <w:proofErr w:type="spellEnd"/>
        <w:r w:rsidR="003944C9" w:rsidRPr="003944C9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 xml:space="preserve"> Renewables</w:t>
        </w:r>
      </w:hyperlink>
    </w:p>
    <w:p w14:paraId="79C06320" w14:textId="77777777" w:rsidR="005C4177" w:rsidRDefault="005C4177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</w:p>
    <w:p w14:paraId="0061B352" w14:textId="699D3F5F" w:rsidR="00AF51B0" w:rsidRPr="00C80794" w:rsidRDefault="004D3235" w:rsidP="00AF51B0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  <w:r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The</w:t>
      </w:r>
      <w:r w:rsidR="00AF51B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admission to trading of </w:t>
      </w:r>
      <w:r w:rsidR="00A078B1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its</w:t>
      </w:r>
      <w:r w:rsidR="00AF51B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shares on the JSE </w:t>
      </w:r>
      <w:r w:rsidR="00A042C5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is expected to</w:t>
      </w:r>
      <w:r w:rsidR="00AF51B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be beneficial to the Company</w:t>
      </w:r>
      <w:r w:rsidR="00A042C5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over time </w:t>
      </w:r>
      <w:r w:rsidR="00A078B1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as it</w:t>
      </w:r>
      <w:r w:rsidR="008D089A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350DAA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will </w:t>
      </w:r>
      <w:r w:rsidR="008D089A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enhance</w:t>
      </w:r>
      <w:r w:rsidR="00AF51B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liquidit</w:t>
      </w:r>
      <w:r w:rsidR="00A042C5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y</w:t>
      </w:r>
      <w:r w:rsidR="006B7A6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, </w:t>
      </w:r>
      <w:r w:rsidR="008D089A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diversif</w:t>
      </w:r>
      <w:r w:rsidR="00350DAA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y</w:t>
      </w:r>
      <w:r w:rsidR="008D089A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the shareholder base</w:t>
      </w:r>
      <w:r w:rsidR="006B7A6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and position </w:t>
      </w:r>
      <w:r w:rsidR="00E74ED1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Greencoat</w:t>
      </w:r>
      <w:r w:rsidR="006B7A6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for growth</w:t>
      </w:r>
      <w:r w:rsidR="003A386E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A76E1C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by providing access</w:t>
      </w:r>
      <w:r w:rsidR="006B7A6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A76E1C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to a new and deep</w:t>
      </w:r>
      <w:r w:rsidR="006B7A60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capital market. </w:t>
      </w:r>
    </w:p>
    <w:p w14:paraId="415EA64A" w14:textId="3F2906F6" w:rsidR="001B7C99" w:rsidRPr="00C80794" w:rsidRDefault="001B7C99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</w:p>
    <w:p w14:paraId="30F24660" w14:textId="5DF33C90" w:rsidR="0008126F" w:rsidRPr="00C80794" w:rsidRDefault="001B7C99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  <w:r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The Company will not place or issue any new GRP shares </w:t>
      </w:r>
      <w:r w:rsidR="00A2528E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as part of the </w:t>
      </w:r>
      <w:r w:rsidR="00CD3808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L</w:t>
      </w:r>
      <w:r w:rsidR="00A2528E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isting</w:t>
      </w:r>
      <w:r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and will remain listed on the </w:t>
      </w:r>
      <w:r w:rsidR="007E360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Euronext Growth Market in Dublin and the </w:t>
      </w:r>
      <w:r w:rsidR="007766B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Alternative Investment Market</w:t>
      </w:r>
      <w:r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in London</w:t>
      </w:r>
      <w:r w:rsidR="007E360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.</w:t>
      </w:r>
      <w:r w:rsidR="007766B4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</w:t>
      </w:r>
    </w:p>
    <w:p w14:paraId="37FCE7A2" w14:textId="77777777" w:rsidR="0008126F" w:rsidRPr="00C80794" w:rsidRDefault="0008126F" w:rsidP="001B7C99">
      <w:pPr>
        <w:shd w:val="clear" w:color="auto" w:fill="FFFFFF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</w:p>
    <w:p w14:paraId="39A5C4F7" w14:textId="77777777" w:rsidR="00AF51B0" w:rsidRPr="00C80794" w:rsidRDefault="001B7C99" w:rsidP="001B7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</w:pPr>
      <w:r w:rsidRPr="00C807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p w14:paraId="60BD9D0B" w14:textId="28FD95FA" w:rsidR="00853DE7" w:rsidRPr="00C80794" w:rsidRDefault="00E831C2" w:rsidP="001B7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</w:pPr>
      <w:r w:rsidRPr="00C8079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  <w14:ligatures w14:val="none"/>
        </w:rPr>
        <w:t>Ronan Murphy, Non-Executive Chairman of Greencoat Renewables, said:</w:t>
      </w:r>
    </w:p>
    <w:p w14:paraId="1A124AF6" w14:textId="77777777" w:rsidR="009D41A9" w:rsidRPr="00C80794" w:rsidRDefault="009D41A9" w:rsidP="001B7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</w:pPr>
    </w:p>
    <w:p w14:paraId="5010FCF3" w14:textId="03B223DF" w:rsidR="009D41A9" w:rsidRPr="002D0BE5" w:rsidRDefault="00986712" w:rsidP="00ED5B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“</w:t>
      </w:r>
      <w:r w:rsidR="00ED5B9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We are delighted to have been granted approval for a secondary listing on the JSE</w:t>
      </w:r>
      <w:r w:rsidR="002D0BE5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 w:rsidR="00ED5B9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Greencoat Renewable</w:t>
      </w:r>
      <w:r w:rsidR="002D0BE5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s’</w:t>
      </w:r>
      <w:r w:rsidR="00350DAA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return</w:t>
      </w:r>
      <w:r w:rsidR="002D0BE5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profile offers an attractive proposition to South African investors who we look forward to welcoming onto our share register. Our</w:t>
      </w:r>
      <w:r w:rsidR="00ED5B9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listing on the JSE </w:t>
      </w:r>
      <w:r w:rsidR="00350DAA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further</w:t>
      </w:r>
      <w:r w:rsidR="00ED5B9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 demonstrates our innovative and proactive approach to </w:t>
      </w:r>
      <w:r w:rsidR="00B41C76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improving liquidity</w:t>
      </w:r>
      <w:r w:rsidR="00ED5B97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’. </w:t>
      </w:r>
    </w:p>
    <w:p w14:paraId="266AB306" w14:textId="77777777" w:rsidR="00C80794" w:rsidRPr="00C80794" w:rsidRDefault="00C80794" w:rsidP="001B7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</w:pPr>
    </w:p>
    <w:p w14:paraId="271ECDC9" w14:textId="6FE1CDD5" w:rsidR="001B7C99" w:rsidRPr="00C80794" w:rsidRDefault="008D089A" w:rsidP="009B2523">
      <w:pPr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  <w14:ligatures w14:val="none"/>
        </w:rPr>
      </w:pPr>
      <w:r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For f</w:t>
      </w:r>
      <w:r w:rsidR="001B7C99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 xml:space="preserve">urther </w:t>
      </w:r>
      <w:r w:rsidR="00E94636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information</w:t>
      </w:r>
      <w:r w:rsidR="001B7C99" w:rsidRPr="00C80794">
        <w:rPr>
          <w:rFonts w:ascii="Arial" w:hAnsi="Arial" w:cs="Arial"/>
          <w:kern w:val="0"/>
          <w:sz w:val="20"/>
          <w:szCs w:val="20"/>
          <w:lang w:val="en-GB"/>
          <w14:ligatures w14:val="none"/>
        </w:rPr>
        <w:t>:</w:t>
      </w:r>
    </w:p>
    <w:p w14:paraId="63C94DE4" w14:textId="77777777" w:rsidR="001B7C99" w:rsidRPr="00C80794" w:rsidRDefault="001B7C99" w:rsidP="001B7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</w:pPr>
      <w:r w:rsidRPr="00C807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Style w:val="TableGridLight"/>
        <w:tblW w:w="89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7"/>
        <w:gridCol w:w="3428"/>
        <w:gridCol w:w="7"/>
      </w:tblGrid>
      <w:tr w:rsidR="00052161" w:rsidRPr="00052161" w14:paraId="21B0DFB0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080D9723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Schroders Greencoat LLP (Investment Manager)</w:t>
            </w:r>
          </w:p>
        </w:tc>
        <w:tc>
          <w:tcPr>
            <w:tcW w:w="3435" w:type="dxa"/>
            <w:gridSpan w:val="2"/>
          </w:tcPr>
          <w:p w14:paraId="0C6BE15A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7187D8F5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198219F0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Bertrand Gautier</w:t>
            </w:r>
          </w:p>
        </w:tc>
        <w:tc>
          <w:tcPr>
            <w:tcW w:w="3435" w:type="dxa"/>
            <w:gridSpan w:val="2"/>
          </w:tcPr>
          <w:p w14:paraId="2F29CC1A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7415B59C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039B3534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Paul O'Donnell</w:t>
            </w:r>
          </w:p>
        </w:tc>
        <w:tc>
          <w:tcPr>
            <w:tcW w:w="3435" w:type="dxa"/>
            <w:gridSpan w:val="2"/>
          </w:tcPr>
          <w:p w14:paraId="7454CBA7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38DD08AF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7FE509E5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John Musk</w:t>
            </w:r>
          </w:p>
        </w:tc>
        <w:tc>
          <w:tcPr>
            <w:tcW w:w="3435" w:type="dxa"/>
            <w:gridSpan w:val="2"/>
          </w:tcPr>
          <w:p w14:paraId="10B98982" w14:textId="57B7EF51" w:rsidR="00052161" w:rsidRPr="00052161" w:rsidRDefault="00BE00F8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BE00F8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eastAsia="en-GB"/>
                <w14:ligatures w14:val="none"/>
              </w:rPr>
              <w:t>+44 20 7832 9495</w:t>
            </w:r>
          </w:p>
        </w:tc>
      </w:tr>
      <w:tr w:rsidR="00052161" w:rsidRPr="00052161" w14:paraId="79B656E3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12A2EDDB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  <w:tc>
          <w:tcPr>
            <w:tcW w:w="3435" w:type="dxa"/>
            <w:gridSpan w:val="2"/>
          </w:tcPr>
          <w:p w14:paraId="0F8B9A97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6AA21FF1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63303FF8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Valeo Capital Proprietary Limited (Corporate Advisor &amp; JSE Sponsor)</w:t>
            </w:r>
          </w:p>
        </w:tc>
        <w:tc>
          <w:tcPr>
            <w:tcW w:w="3435" w:type="dxa"/>
            <w:gridSpan w:val="2"/>
          </w:tcPr>
          <w:p w14:paraId="4D12F086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3578B00D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68B04387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Johannes Human and David Tosi</w:t>
            </w:r>
          </w:p>
        </w:tc>
        <w:tc>
          <w:tcPr>
            <w:tcW w:w="3435" w:type="dxa"/>
            <w:gridSpan w:val="2"/>
          </w:tcPr>
          <w:p w14:paraId="4D1B9039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hyperlink r:id="rId12" w:history="1">
              <w:r w:rsidRPr="00052161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16"/>
                  <w:lang w:val="de-DE" w:eastAsia="en-GB"/>
                  <w14:ligatures w14:val="none"/>
                </w:rPr>
                <w:t>greencoat@valeocapital.co.za</w:t>
              </w:r>
            </w:hyperlink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 xml:space="preserve"> </w:t>
            </w:r>
          </w:p>
        </w:tc>
      </w:tr>
      <w:tr w:rsidR="00052161" w:rsidRPr="00052161" w14:paraId="4817563E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7206B84A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  <w:tc>
          <w:tcPr>
            <w:tcW w:w="3435" w:type="dxa"/>
            <w:gridSpan w:val="2"/>
          </w:tcPr>
          <w:p w14:paraId="06D8D95C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7E79B0D9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42546EBA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Prescient Securities (South African Stockbroker)</w:t>
            </w:r>
          </w:p>
        </w:tc>
        <w:tc>
          <w:tcPr>
            <w:tcW w:w="3435" w:type="dxa"/>
            <w:gridSpan w:val="2"/>
          </w:tcPr>
          <w:p w14:paraId="3C28A61E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5FD95089" w14:textId="77777777" w:rsidTr="00052161">
        <w:trPr>
          <w:gridAfter w:val="1"/>
          <w:wAfter w:w="7" w:type="dxa"/>
          <w:trHeight w:val="253"/>
        </w:trPr>
        <w:tc>
          <w:tcPr>
            <w:tcW w:w="5501" w:type="dxa"/>
          </w:tcPr>
          <w:p w14:paraId="1D8280E0" w14:textId="77777777" w:rsidR="00052161" w:rsidRPr="00052161" w:rsidRDefault="00052161" w:rsidP="00C9471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Stephen Heath and Surette Drew</w:t>
            </w:r>
          </w:p>
        </w:tc>
        <w:tc>
          <w:tcPr>
            <w:tcW w:w="3435" w:type="dxa"/>
            <w:gridSpan w:val="2"/>
          </w:tcPr>
          <w:p w14:paraId="3296D795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+27 21 700 3797</w:t>
            </w:r>
          </w:p>
        </w:tc>
      </w:tr>
      <w:tr w:rsidR="00052161" w:rsidRPr="00052161" w14:paraId="07F10CED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2EF376B4" w14:textId="77777777" w:rsidR="00052161" w:rsidRPr="00052161" w:rsidRDefault="00052161" w:rsidP="00C94718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3435" w:type="dxa"/>
            <w:gridSpan w:val="2"/>
          </w:tcPr>
          <w:p w14:paraId="4D1DB68D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2B5C7811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4589A16F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FTI Consulting (Investor Relations &amp; Media)</w:t>
            </w:r>
          </w:p>
        </w:tc>
        <w:tc>
          <w:tcPr>
            <w:tcW w:w="3435" w:type="dxa"/>
            <w:gridSpan w:val="2"/>
          </w:tcPr>
          <w:p w14:paraId="4C030826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38E9E1C9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1576EAFC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Sam Moore</w:t>
            </w:r>
          </w:p>
        </w:tc>
        <w:tc>
          <w:tcPr>
            <w:tcW w:w="3435" w:type="dxa"/>
            <w:gridSpan w:val="2"/>
          </w:tcPr>
          <w:p w14:paraId="0E2191FA" w14:textId="121C99B2" w:rsidR="00052161" w:rsidRPr="00052161" w:rsidRDefault="00BB2FC5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BB2FC5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eastAsia="en-GB"/>
                <w14:ligatures w14:val="none"/>
              </w:rPr>
              <w:t>+353 86 231 4135</w:t>
            </w:r>
          </w:p>
        </w:tc>
      </w:tr>
      <w:tr w:rsidR="00052161" w:rsidRPr="00052161" w14:paraId="7451AC8B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7F87BE2C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Aoife Mullen</w:t>
            </w:r>
          </w:p>
        </w:tc>
        <w:tc>
          <w:tcPr>
            <w:tcW w:w="3435" w:type="dxa"/>
            <w:gridSpan w:val="2"/>
          </w:tcPr>
          <w:p w14:paraId="15979C3E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hyperlink r:id="rId13" w:history="1">
              <w:r w:rsidRPr="00052161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16"/>
                  <w:lang w:val="de-DE" w:eastAsia="en-GB"/>
                  <w14:ligatures w14:val="none"/>
                </w:rPr>
                <w:t>greencoat@fticonsulting.com</w:t>
              </w:r>
            </w:hyperlink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 xml:space="preserve"> </w:t>
            </w:r>
          </w:p>
        </w:tc>
      </w:tr>
      <w:tr w:rsidR="00052161" w:rsidRPr="00052161" w14:paraId="76B83491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7C554F45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  <w:tc>
          <w:tcPr>
            <w:tcW w:w="3435" w:type="dxa"/>
            <w:gridSpan w:val="2"/>
          </w:tcPr>
          <w:p w14:paraId="6FCF1727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7E43C175" w14:textId="77777777" w:rsidTr="00052161">
        <w:tc>
          <w:tcPr>
            <w:tcW w:w="5508" w:type="dxa"/>
            <w:gridSpan w:val="2"/>
          </w:tcPr>
          <w:p w14:paraId="13C59331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Barclays Bank PLC (Joint Broker)</w:t>
            </w:r>
          </w:p>
        </w:tc>
        <w:tc>
          <w:tcPr>
            <w:tcW w:w="3435" w:type="dxa"/>
            <w:gridSpan w:val="2"/>
          </w:tcPr>
          <w:p w14:paraId="1DAC83AA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523E3924" w14:textId="77777777" w:rsidTr="00052161">
        <w:tc>
          <w:tcPr>
            <w:tcW w:w="5508" w:type="dxa"/>
            <w:gridSpan w:val="2"/>
          </w:tcPr>
          <w:p w14:paraId="0861A842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Dion Di Miceli</w:t>
            </w:r>
          </w:p>
        </w:tc>
        <w:tc>
          <w:tcPr>
            <w:tcW w:w="3435" w:type="dxa"/>
            <w:gridSpan w:val="2"/>
          </w:tcPr>
          <w:p w14:paraId="25809E1B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+44 20 7623 2323</w:t>
            </w:r>
          </w:p>
        </w:tc>
      </w:tr>
      <w:tr w:rsidR="00052161" w:rsidRPr="00052161" w14:paraId="0FAF03C3" w14:textId="77777777" w:rsidTr="00052161">
        <w:tc>
          <w:tcPr>
            <w:tcW w:w="5508" w:type="dxa"/>
            <w:gridSpan w:val="2"/>
          </w:tcPr>
          <w:p w14:paraId="3822F0EC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Stuart Muress</w:t>
            </w:r>
          </w:p>
        </w:tc>
        <w:tc>
          <w:tcPr>
            <w:tcW w:w="3435" w:type="dxa"/>
            <w:gridSpan w:val="2"/>
          </w:tcPr>
          <w:p w14:paraId="2F815538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2597E54F" w14:textId="77777777" w:rsidTr="00052161">
        <w:tc>
          <w:tcPr>
            <w:tcW w:w="5508" w:type="dxa"/>
            <w:gridSpan w:val="2"/>
          </w:tcPr>
          <w:p w14:paraId="48300F14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James Atkinson</w:t>
            </w:r>
          </w:p>
        </w:tc>
        <w:tc>
          <w:tcPr>
            <w:tcW w:w="3435" w:type="dxa"/>
            <w:gridSpan w:val="2"/>
          </w:tcPr>
          <w:p w14:paraId="76BF57CA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09905F17" w14:textId="77777777" w:rsidTr="00052161">
        <w:tc>
          <w:tcPr>
            <w:tcW w:w="5508" w:type="dxa"/>
            <w:gridSpan w:val="2"/>
          </w:tcPr>
          <w:p w14:paraId="4F44C42A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  <w:tc>
          <w:tcPr>
            <w:tcW w:w="3435" w:type="dxa"/>
            <w:gridSpan w:val="2"/>
          </w:tcPr>
          <w:p w14:paraId="1C266F81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0EA1F22C" w14:textId="77777777" w:rsidTr="00052161">
        <w:tc>
          <w:tcPr>
            <w:tcW w:w="5508" w:type="dxa"/>
            <w:gridSpan w:val="2"/>
          </w:tcPr>
          <w:p w14:paraId="029CA3D1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Davy (Joint Broker, NOMAD and Euronext Growth Listing Sponsor)</w:t>
            </w:r>
          </w:p>
        </w:tc>
        <w:tc>
          <w:tcPr>
            <w:tcW w:w="3435" w:type="dxa"/>
            <w:gridSpan w:val="2"/>
          </w:tcPr>
          <w:p w14:paraId="4E452DB7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  <w:p w14:paraId="4EF7A670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  <w:p w14:paraId="0DB9092E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3066A213" w14:textId="77777777" w:rsidTr="00052161">
        <w:tc>
          <w:tcPr>
            <w:tcW w:w="5508" w:type="dxa"/>
            <w:gridSpan w:val="2"/>
          </w:tcPr>
          <w:p w14:paraId="75D427E5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Brian Garrahy</w:t>
            </w:r>
          </w:p>
          <w:p w14:paraId="670B78F2" w14:textId="77777777" w:rsidR="00052161" w:rsidRPr="00052161" w:rsidRDefault="00052161" w:rsidP="00C947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Ronan Veale</w:t>
            </w:r>
          </w:p>
        </w:tc>
        <w:tc>
          <w:tcPr>
            <w:tcW w:w="3435" w:type="dxa"/>
            <w:gridSpan w:val="2"/>
          </w:tcPr>
          <w:p w14:paraId="3E2BC663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+353 1 679 6363</w:t>
            </w:r>
          </w:p>
        </w:tc>
      </w:tr>
      <w:tr w:rsidR="00052161" w:rsidRPr="00052161" w14:paraId="683F1C54" w14:textId="77777777" w:rsidTr="00052161">
        <w:tc>
          <w:tcPr>
            <w:tcW w:w="5508" w:type="dxa"/>
            <w:gridSpan w:val="2"/>
          </w:tcPr>
          <w:p w14:paraId="6C649222" w14:textId="77777777" w:rsidR="00052161" w:rsidRPr="00052161" w:rsidRDefault="00052161" w:rsidP="00C94718">
            <w:pPr>
              <w:spacing w:before="240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val="en-GB" w:eastAsia="en-GB"/>
                <w14:ligatures w14:val="none"/>
              </w:rPr>
              <w:t>RBC Capital Markets (Joint Broker)</w:t>
            </w:r>
          </w:p>
        </w:tc>
        <w:tc>
          <w:tcPr>
            <w:tcW w:w="3435" w:type="dxa"/>
            <w:gridSpan w:val="2"/>
          </w:tcPr>
          <w:p w14:paraId="69471D62" w14:textId="77777777" w:rsidR="00052161" w:rsidRPr="00052161" w:rsidRDefault="00052161" w:rsidP="00C9471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052161" w:rsidRPr="00052161" w14:paraId="584D3A92" w14:textId="77777777" w:rsidTr="00052161">
        <w:tc>
          <w:tcPr>
            <w:tcW w:w="5508" w:type="dxa"/>
            <w:gridSpan w:val="2"/>
          </w:tcPr>
          <w:p w14:paraId="582EB9A7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Matthew Coakes</w:t>
            </w:r>
          </w:p>
        </w:tc>
        <w:tc>
          <w:tcPr>
            <w:tcW w:w="3435" w:type="dxa"/>
            <w:gridSpan w:val="2"/>
          </w:tcPr>
          <w:p w14:paraId="13950E2B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052161" w:rsidRPr="00052161" w14:paraId="305FB9AC" w14:textId="77777777" w:rsidTr="00052161">
        <w:tc>
          <w:tcPr>
            <w:tcW w:w="5508" w:type="dxa"/>
            <w:gridSpan w:val="2"/>
          </w:tcPr>
          <w:p w14:paraId="25CCE0A9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Elizabeth Evans</w:t>
            </w:r>
          </w:p>
        </w:tc>
        <w:tc>
          <w:tcPr>
            <w:tcW w:w="3435" w:type="dxa"/>
            <w:gridSpan w:val="2"/>
          </w:tcPr>
          <w:p w14:paraId="3FD38345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+44 20 7653 4000</w:t>
            </w:r>
          </w:p>
        </w:tc>
      </w:tr>
      <w:tr w:rsidR="00052161" w:rsidRPr="00052161" w14:paraId="4DCDDC9B" w14:textId="77777777" w:rsidTr="00052161">
        <w:trPr>
          <w:gridAfter w:val="1"/>
          <w:wAfter w:w="7" w:type="dxa"/>
        </w:trPr>
        <w:tc>
          <w:tcPr>
            <w:tcW w:w="5501" w:type="dxa"/>
          </w:tcPr>
          <w:p w14:paraId="6362B986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  <w:tc>
          <w:tcPr>
            <w:tcW w:w="3435" w:type="dxa"/>
            <w:gridSpan w:val="2"/>
          </w:tcPr>
          <w:p w14:paraId="5D7432CD" w14:textId="77777777" w:rsidR="00052161" w:rsidRPr="00052161" w:rsidRDefault="00052161" w:rsidP="00C9471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</w:tbl>
    <w:p w14:paraId="1BED61CC" w14:textId="77777777" w:rsidR="0095584B" w:rsidRPr="00C80794" w:rsidRDefault="0095584B" w:rsidP="0095584B">
      <w:pPr>
        <w:rPr>
          <w:rFonts w:ascii="Arial" w:hAnsi="Arial" w:cs="Arial"/>
          <w:sz w:val="20"/>
          <w:szCs w:val="20"/>
        </w:rPr>
      </w:pPr>
    </w:p>
    <w:p w14:paraId="703FED9A" w14:textId="77777777" w:rsidR="009C3F8F" w:rsidRDefault="009C3F8F"/>
    <w:sectPr w:rsidR="009C3F8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7D58" w14:textId="77777777" w:rsidR="00996933" w:rsidRDefault="00996933" w:rsidP="00853DE7">
      <w:pPr>
        <w:spacing w:after="0" w:line="240" w:lineRule="auto"/>
      </w:pPr>
      <w:r>
        <w:separator/>
      </w:r>
    </w:p>
  </w:endnote>
  <w:endnote w:type="continuationSeparator" w:id="0">
    <w:p w14:paraId="058399F7" w14:textId="77777777" w:rsidR="00996933" w:rsidRDefault="00996933" w:rsidP="0085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893A8" w14:textId="77777777" w:rsidR="00996933" w:rsidRDefault="00996933" w:rsidP="00853DE7">
      <w:pPr>
        <w:spacing w:after="0" w:line="240" w:lineRule="auto"/>
      </w:pPr>
      <w:r>
        <w:separator/>
      </w:r>
    </w:p>
  </w:footnote>
  <w:footnote w:type="continuationSeparator" w:id="0">
    <w:p w14:paraId="1657BBB5" w14:textId="77777777" w:rsidR="00996933" w:rsidRDefault="00996933" w:rsidP="0085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A12B" w14:textId="6D26CE2D" w:rsidR="006A7725" w:rsidRDefault="006A7725" w:rsidP="006A77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4FBB"/>
    <w:multiLevelType w:val="multilevel"/>
    <w:tmpl w:val="3FF2AA52"/>
    <w:lvl w:ilvl="0">
      <w:start w:val="1"/>
      <w:numFmt w:val="decimal"/>
      <w:lvlText w:val="%1."/>
      <w:lvlJc w:val="left"/>
      <w:pPr>
        <w:ind w:left="76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8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ZA" w:eastAsia="en-US" w:bidi="ar-SA"/>
      </w:rPr>
    </w:lvl>
    <w:lvl w:ilvl="2">
      <w:start w:val="1"/>
      <w:numFmt w:val="decimal"/>
      <w:lvlText w:val="%1.%2.%3."/>
      <w:lvlJc w:val="left"/>
      <w:pPr>
        <w:ind w:left="1330" w:hanging="11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4">
      <w:numFmt w:val="none"/>
      <w:lvlText w:val="6.1.1.1"/>
      <w:lvlJc w:val="left"/>
      <w:pPr>
        <w:ind w:left="3526" w:hanging="11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9" w:hanging="11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3" w:hanging="11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11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9" w:hanging="1134"/>
      </w:pPr>
      <w:rPr>
        <w:rFonts w:hint="default"/>
        <w:lang w:val="en-US" w:eastAsia="en-US" w:bidi="ar-SA"/>
      </w:rPr>
    </w:lvl>
  </w:abstractNum>
  <w:num w:numId="1" w16cid:durableId="18842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9"/>
    <w:rsid w:val="00003F53"/>
    <w:rsid w:val="00022F91"/>
    <w:rsid w:val="000325C2"/>
    <w:rsid w:val="00052161"/>
    <w:rsid w:val="00061405"/>
    <w:rsid w:val="000729B0"/>
    <w:rsid w:val="00072F86"/>
    <w:rsid w:val="0008126F"/>
    <w:rsid w:val="000948FF"/>
    <w:rsid w:val="000D25BB"/>
    <w:rsid w:val="000F7275"/>
    <w:rsid w:val="00100879"/>
    <w:rsid w:val="00102BF9"/>
    <w:rsid w:val="0010555C"/>
    <w:rsid w:val="0011260F"/>
    <w:rsid w:val="0011539D"/>
    <w:rsid w:val="001521C5"/>
    <w:rsid w:val="00172572"/>
    <w:rsid w:val="00185CB3"/>
    <w:rsid w:val="001B4B4F"/>
    <w:rsid w:val="001B7C99"/>
    <w:rsid w:val="001C5A81"/>
    <w:rsid w:val="001D1256"/>
    <w:rsid w:val="001F07FA"/>
    <w:rsid w:val="001F1398"/>
    <w:rsid w:val="00232527"/>
    <w:rsid w:val="002402C8"/>
    <w:rsid w:val="00245F32"/>
    <w:rsid w:val="00261173"/>
    <w:rsid w:val="00274F0C"/>
    <w:rsid w:val="0027578E"/>
    <w:rsid w:val="0027700F"/>
    <w:rsid w:val="002923C0"/>
    <w:rsid w:val="002D0BE5"/>
    <w:rsid w:val="002D1105"/>
    <w:rsid w:val="00303EF4"/>
    <w:rsid w:val="00320D48"/>
    <w:rsid w:val="0033359A"/>
    <w:rsid w:val="00341A5D"/>
    <w:rsid w:val="00346E1D"/>
    <w:rsid w:val="00350DAA"/>
    <w:rsid w:val="00355C22"/>
    <w:rsid w:val="00374FE3"/>
    <w:rsid w:val="00391EA7"/>
    <w:rsid w:val="003934D7"/>
    <w:rsid w:val="003944C9"/>
    <w:rsid w:val="003A386E"/>
    <w:rsid w:val="003F0557"/>
    <w:rsid w:val="003F252A"/>
    <w:rsid w:val="003F6A0F"/>
    <w:rsid w:val="004132C0"/>
    <w:rsid w:val="00431B5A"/>
    <w:rsid w:val="0043691B"/>
    <w:rsid w:val="00440920"/>
    <w:rsid w:val="00456D8C"/>
    <w:rsid w:val="00460E76"/>
    <w:rsid w:val="0046154E"/>
    <w:rsid w:val="00465151"/>
    <w:rsid w:val="004770A6"/>
    <w:rsid w:val="00480D16"/>
    <w:rsid w:val="00483A85"/>
    <w:rsid w:val="00490271"/>
    <w:rsid w:val="004B47FC"/>
    <w:rsid w:val="004D3235"/>
    <w:rsid w:val="004E4F38"/>
    <w:rsid w:val="00500DD6"/>
    <w:rsid w:val="00510898"/>
    <w:rsid w:val="0051098B"/>
    <w:rsid w:val="00527BC6"/>
    <w:rsid w:val="0053345C"/>
    <w:rsid w:val="005339BA"/>
    <w:rsid w:val="00554C6D"/>
    <w:rsid w:val="00585A7D"/>
    <w:rsid w:val="005C0710"/>
    <w:rsid w:val="005C4177"/>
    <w:rsid w:val="005E2CCB"/>
    <w:rsid w:val="005F27DD"/>
    <w:rsid w:val="00607E46"/>
    <w:rsid w:val="0061203F"/>
    <w:rsid w:val="00626DF6"/>
    <w:rsid w:val="006313AD"/>
    <w:rsid w:val="00684556"/>
    <w:rsid w:val="00684AB5"/>
    <w:rsid w:val="006A7725"/>
    <w:rsid w:val="006B3A93"/>
    <w:rsid w:val="006B7A60"/>
    <w:rsid w:val="006D2128"/>
    <w:rsid w:val="006E29DD"/>
    <w:rsid w:val="0071050B"/>
    <w:rsid w:val="007108C6"/>
    <w:rsid w:val="007128A7"/>
    <w:rsid w:val="007206A1"/>
    <w:rsid w:val="0072199A"/>
    <w:rsid w:val="00744A43"/>
    <w:rsid w:val="00756660"/>
    <w:rsid w:val="00775072"/>
    <w:rsid w:val="0077603A"/>
    <w:rsid w:val="007766B4"/>
    <w:rsid w:val="007C3FA7"/>
    <w:rsid w:val="007E3604"/>
    <w:rsid w:val="007E68FF"/>
    <w:rsid w:val="00830455"/>
    <w:rsid w:val="00850B45"/>
    <w:rsid w:val="00853DE7"/>
    <w:rsid w:val="008916EC"/>
    <w:rsid w:val="00895B5F"/>
    <w:rsid w:val="008D089A"/>
    <w:rsid w:val="008E45CA"/>
    <w:rsid w:val="00923600"/>
    <w:rsid w:val="00940426"/>
    <w:rsid w:val="0095584B"/>
    <w:rsid w:val="009741CE"/>
    <w:rsid w:val="009741F4"/>
    <w:rsid w:val="00986712"/>
    <w:rsid w:val="00993204"/>
    <w:rsid w:val="00996933"/>
    <w:rsid w:val="009B2523"/>
    <w:rsid w:val="009C3F8F"/>
    <w:rsid w:val="009D41A9"/>
    <w:rsid w:val="009F11B7"/>
    <w:rsid w:val="009F19C3"/>
    <w:rsid w:val="00A02640"/>
    <w:rsid w:val="00A042C5"/>
    <w:rsid w:val="00A078B1"/>
    <w:rsid w:val="00A2528E"/>
    <w:rsid w:val="00A511ED"/>
    <w:rsid w:val="00A54B0B"/>
    <w:rsid w:val="00A76E1C"/>
    <w:rsid w:val="00A826B6"/>
    <w:rsid w:val="00A93994"/>
    <w:rsid w:val="00AB0A4C"/>
    <w:rsid w:val="00AF1A24"/>
    <w:rsid w:val="00AF1F97"/>
    <w:rsid w:val="00AF51B0"/>
    <w:rsid w:val="00B17A7C"/>
    <w:rsid w:val="00B212ED"/>
    <w:rsid w:val="00B22346"/>
    <w:rsid w:val="00B40235"/>
    <w:rsid w:val="00B4112C"/>
    <w:rsid w:val="00B41C76"/>
    <w:rsid w:val="00B50278"/>
    <w:rsid w:val="00B56CF1"/>
    <w:rsid w:val="00B6622F"/>
    <w:rsid w:val="00B96712"/>
    <w:rsid w:val="00BA2944"/>
    <w:rsid w:val="00BB2FC5"/>
    <w:rsid w:val="00BD5B8D"/>
    <w:rsid w:val="00BE00F8"/>
    <w:rsid w:val="00C2756B"/>
    <w:rsid w:val="00C33F2A"/>
    <w:rsid w:val="00C347CD"/>
    <w:rsid w:val="00C444AA"/>
    <w:rsid w:val="00C612F4"/>
    <w:rsid w:val="00C637E4"/>
    <w:rsid w:val="00C67705"/>
    <w:rsid w:val="00C80794"/>
    <w:rsid w:val="00C82C97"/>
    <w:rsid w:val="00C97563"/>
    <w:rsid w:val="00CA6963"/>
    <w:rsid w:val="00CD2156"/>
    <w:rsid w:val="00CD3808"/>
    <w:rsid w:val="00CD4D9D"/>
    <w:rsid w:val="00CD5ADB"/>
    <w:rsid w:val="00CF5A95"/>
    <w:rsid w:val="00D1104F"/>
    <w:rsid w:val="00D2147F"/>
    <w:rsid w:val="00D56FC4"/>
    <w:rsid w:val="00D65910"/>
    <w:rsid w:val="00D92154"/>
    <w:rsid w:val="00DA6B72"/>
    <w:rsid w:val="00DB2A40"/>
    <w:rsid w:val="00E01D88"/>
    <w:rsid w:val="00E06EE2"/>
    <w:rsid w:val="00E13BA2"/>
    <w:rsid w:val="00E54D5F"/>
    <w:rsid w:val="00E60FFD"/>
    <w:rsid w:val="00E6440E"/>
    <w:rsid w:val="00E65CB9"/>
    <w:rsid w:val="00E74ED1"/>
    <w:rsid w:val="00E831C2"/>
    <w:rsid w:val="00E94636"/>
    <w:rsid w:val="00ED5B97"/>
    <w:rsid w:val="00EF78E1"/>
    <w:rsid w:val="00F1142E"/>
    <w:rsid w:val="00F3134B"/>
    <w:rsid w:val="00F759F0"/>
    <w:rsid w:val="00F94802"/>
    <w:rsid w:val="00FA5C82"/>
    <w:rsid w:val="00FB2227"/>
    <w:rsid w:val="00FD6545"/>
    <w:rsid w:val="00FD6CDA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DAF4"/>
  <w15:chartTrackingRefBased/>
  <w15:docId w15:val="{3400D306-FABE-4732-8C8A-8BE759C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02"/>
  </w:style>
  <w:style w:type="paragraph" w:styleId="Heading1">
    <w:name w:val="heading 1"/>
    <w:basedOn w:val="Normal"/>
    <w:next w:val="Normal"/>
    <w:link w:val="Heading1Char"/>
    <w:uiPriority w:val="9"/>
    <w:qFormat/>
    <w:rsid w:val="001B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B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C99"/>
    <w:rPr>
      <w:b/>
      <w:bCs/>
      <w:sz w:val="20"/>
      <w:szCs w:val="20"/>
    </w:rPr>
  </w:style>
  <w:style w:type="paragraph" w:customStyle="1" w:styleId="CDH-ParagraphLevel0">
    <w:name w:val="CDH - Paragraph Level 0"/>
    <w:basedOn w:val="Normal"/>
    <w:qFormat/>
    <w:rsid w:val="008D089A"/>
    <w:pPr>
      <w:spacing w:after="200" w:line="360" w:lineRule="auto"/>
      <w:jc w:val="both"/>
    </w:pPr>
    <w:rPr>
      <w:rFonts w:ascii="Arial" w:eastAsia="Times New Roman" w:hAnsi="Arial" w:cs="Times New Roman"/>
      <w:kern w:val="0"/>
      <w:sz w:val="20"/>
      <w:lang w:eastAsia="en-ZA"/>
      <w14:ligatures w14:val="none"/>
    </w:rPr>
  </w:style>
  <w:style w:type="paragraph" w:styleId="Revision">
    <w:name w:val="Revision"/>
    <w:hidden/>
    <w:uiPriority w:val="99"/>
    <w:semiHidden/>
    <w:rsid w:val="006B7A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E7"/>
  </w:style>
  <w:style w:type="paragraph" w:styleId="Footer">
    <w:name w:val="footer"/>
    <w:basedOn w:val="Normal"/>
    <w:link w:val="FooterChar"/>
    <w:uiPriority w:val="99"/>
    <w:unhideWhenUsed/>
    <w:rsid w:val="0085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E7"/>
  </w:style>
  <w:style w:type="table" w:styleId="TableGridLight">
    <w:name w:val="Grid Table Light"/>
    <w:basedOn w:val="TableNormal"/>
    <w:uiPriority w:val="40"/>
    <w:rsid w:val="000521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eencoat@fticonsult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eencoat@valeocapital.co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encoat-renewables.com/investors/reports-and-publications/202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2025-05-20T17:10:11+00:00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0B1FF-FA94-440B-A70A-8CA2466F5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8F369-53DC-4E14-B314-4B39DCE5A999}">
  <ds:schemaRefs>
    <ds:schemaRef ds:uri="http://schemas.microsoft.com/office/2006/metadata/properties"/>
    <ds:schemaRef ds:uri="http://schemas.openxmlformats.org/package/2006/metadata/core-properties"/>
    <ds:schemaRef ds:uri="b9788881-0b14-4d8b-a5d4-0b7cb51b51a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1d438f5-7e8f-4486-a7ca-81405da6368d"/>
    <ds:schemaRef ds:uri="http://www.w3.org/XML/1998/namespace"/>
    <ds:schemaRef ds:uri="http://purl.org/dc/dcmitype/"/>
    <ds:schemaRef ds:uri="bf199d5d-9365-4f18-b43c-aee1868a8e0a"/>
    <ds:schemaRef ds:uri="dbfc03f3-afa5-45e9-834c-87a4b3bbcf86"/>
  </ds:schemaRefs>
</ds:datastoreItem>
</file>

<file path=customXml/itemProps3.xml><?xml version="1.0" encoding="utf-8"?>
<ds:datastoreItem xmlns:ds="http://schemas.openxmlformats.org/officeDocument/2006/customXml" ds:itemID="{7067BF8D-14AD-4533-BDFB-45A5A952D09B}"/>
</file>

<file path=docMetadata/LabelInfo.xml><?xml version="1.0" encoding="utf-8"?>
<clbl:labelList xmlns:clbl="http://schemas.microsoft.com/office/2020/mipLabelMetadata">
  <clbl:label id="{2f57b6c4-17e4-4965-ac1a-85ccccbe6c4a}" enabled="0" method="" siteId="{2f57b6c4-17e4-4965-ac1a-85ccccbe6c4a}" removed="1"/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2197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Edwards</dc:creator>
  <cp:keywords/>
  <dc:description/>
  <cp:lastModifiedBy>Catherine Carron</cp:lastModifiedBy>
  <cp:revision>2</cp:revision>
  <cp:lastPrinted>2025-05-16T06:45:00Z</cp:lastPrinted>
  <dcterms:created xsi:type="dcterms:W3CDTF">2025-05-20T16:54:00Z</dcterms:created>
  <dcterms:modified xsi:type="dcterms:W3CDTF">2025-05-20T16:54:00Z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1f261238-5cfc-436a-911b-0ade8fa10504</vt:lpwstr>
  </property>
  <property fmtid="{D5CDD505-2E9C-101B-9397-08002B2CF9AE}" pid="3" name="ContentTypeId">
    <vt:lpwstr>0x010100BE156B1CF39149A8843C57AB06C49AFE0011B886BEF4CCD94F85F46E94360FD412</vt:lpwstr>
  </property>
  <property fmtid="{D5CDD505-2E9C-101B-9397-08002B2CF9AE}" pid="4" name="MediaServiceImageTags">
    <vt:lpwstr/>
  </property>
</Properties>
</file>