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A49C" w14:textId="12C5D60B" w:rsidR="002D41BF" w:rsidRPr="00AB0C61" w:rsidRDefault="002D41BF" w:rsidP="00601E31">
      <w:pPr>
        <w:spacing w:line="360" w:lineRule="auto"/>
        <w:rPr>
          <w:rFonts w:ascii="Times New Roman" w:hAnsi="Times New Roman"/>
        </w:rPr>
      </w:pPr>
      <w:r w:rsidRPr="00ED63DD"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6080A9C" wp14:editId="6F7F6DF8">
            <wp:simplePos x="0" y="0"/>
            <wp:positionH relativeFrom="page">
              <wp:posOffset>4734307</wp:posOffset>
            </wp:positionH>
            <wp:positionV relativeFrom="margin">
              <wp:posOffset>115570</wp:posOffset>
            </wp:positionV>
            <wp:extent cx="2143125" cy="622300"/>
            <wp:effectExtent l="0" t="0" r="9525" b="6350"/>
            <wp:wrapSquare wrapText="bothSides"/>
            <wp:docPr id="1029090862" name="Picture 102909086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DB183" w14:textId="77777777" w:rsidR="00AB0C61" w:rsidRDefault="00AB0C61" w:rsidP="00601E3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A52AC59" w14:textId="063D81DF" w:rsidR="00AB0C61" w:rsidRPr="00C7427F" w:rsidRDefault="00AB0C61" w:rsidP="00EF695D">
      <w:pPr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</w:p>
    <w:p w14:paraId="6FB1703B" w14:textId="4287594F" w:rsidR="007B3B1D" w:rsidRPr="00EF695D" w:rsidRDefault="007B3B1D" w:rsidP="00EF695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F695D">
        <w:rPr>
          <w:rFonts w:ascii="Arial" w:hAnsi="Arial" w:cs="Arial"/>
          <w:b/>
          <w:bCs/>
          <w:sz w:val="20"/>
          <w:szCs w:val="20"/>
        </w:rPr>
        <w:t>Greencoat Renewables PLC</w:t>
      </w:r>
    </w:p>
    <w:p w14:paraId="2DAEEB3F" w14:textId="1D234B08" w:rsidR="007B3B1D" w:rsidRPr="00EF695D" w:rsidRDefault="007B3B1D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>(Incorporated in the Republic of Ireland)</w:t>
      </w:r>
    </w:p>
    <w:p w14:paraId="6401EB07" w14:textId="70AFC8B1" w:rsidR="007B3B1D" w:rsidRPr="00EF695D" w:rsidRDefault="007B3B1D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 xml:space="preserve">Registration Number: </w:t>
      </w:r>
      <w:r w:rsidR="00C06990" w:rsidRPr="00EF695D">
        <w:rPr>
          <w:rFonts w:ascii="Arial" w:hAnsi="Arial" w:cs="Arial"/>
          <w:sz w:val="20"/>
          <w:szCs w:val="20"/>
        </w:rPr>
        <w:t>598</w:t>
      </w:r>
      <w:r w:rsidR="00D1318F" w:rsidRPr="00EF695D">
        <w:rPr>
          <w:rFonts w:ascii="Arial" w:hAnsi="Arial" w:cs="Arial"/>
          <w:sz w:val="20"/>
          <w:szCs w:val="20"/>
        </w:rPr>
        <w:t>470</w:t>
      </w:r>
    </w:p>
    <w:p w14:paraId="4E3CE5EC" w14:textId="39F21BFE" w:rsidR="00D1318F" w:rsidRPr="00EF695D" w:rsidRDefault="00D1318F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>LSE Share Code: GRP</w:t>
      </w:r>
    </w:p>
    <w:p w14:paraId="6DED9839" w14:textId="6E3A0FD6" w:rsidR="00D1318F" w:rsidRPr="00EF695D" w:rsidRDefault="00D1318F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>Euronext Dublin Share</w:t>
      </w:r>
      <w:r w:rsidR="006D5D66" w:rsidRPr="00EF695D">
        <w:rPr>
          <w:rFonts w:ascii="Arial" w:hAnsi="Arial" w:cs="Arial"/>
          <w:sz w:val="20"/>
          <w:szCs w:val="20"/>
        </w:rPr>
        <w:t xml:space="preserve"> Code: GRP</w:t>
      </w:r>
    </w:p>
    <w:p w14:paraId="441E10E7" w14:textId="464760A0" w:rsidR="006D5D66" w:rsidRPr="00EF695D" w:rsidRDefault="006D5D66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>JSE Share Code: GCT</w:t>
      </w:r>
    </w:p>
    <w:p w14:paraId="6EFCDA55" w14:textId="714B44C3" w:rsidR="006D5D66" w:rsidRPr="00EF695D" w:rsidRDefault="006D5D66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>ISIN Code: IE00BF2NR112</w:t>
      </w:r>
    </w:p>
    <w:p w14:paraId="7C852C20" w14:textId="1898FB49" w:rsidR="007B3B1D" w:rsidRPr="00EF695D" w:rsidRDefault="006D5D66" w:rsidP="00EF695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695D">
        <w:rPr>
          <w:rFonts w:ascii="Arial" w:hAnsi="Arial" w:cs="Arial"/>
          <w:sz w:val="20"/>
          <w:szCs w:val="20"/>
        </w:rPr>
        <w:t>LEI: 635400TVSIFFQO</w:t>
      </w:r>
      <w:r w:rsidR="00EF695D" w:rsidRPr="00EF695D">
        <w:rPr>
          <w:rFonts w:ascii="Arial" w:hAnsi="Arial" w:cs="Arial"/>
          <w:sz w:val="20"/>
          <w:szCs w:val="20"/>
        </w:rPr>
        <w:t>B8RB67</w:t>
      </w:r>
    </w:p>
    <w:p w14:paraId="7A61BE13" w14:textId="77777777" w:rsidR="00EF695D" w:rsidRDefault="00EF695D" w:rsidP="00601E31">
      <w:pPr>
        <w:spacing w:line="360" w:lineRule="auto"/>
        <w:rPr>
          <w:rFonts w:ascii="Arial" w:hAnsi="Arial" w:cs="Arial"/>
          <w:sz w:val="24"/>
          <w:szCs w:val="24"/>
        </w:rPr>
      </w:pPr>
    </w:p>
    <w:p w14:paraId="63D160C0" w14:textId="3FECCC2D" w:rsidR="00601E31" w:rsidRPr="00C7427F" w:rsidRDefault="006F5C02" w:rsidP="00601E31">
      <w:pPr>
        <w:spacing w:line="360" w:lineRule="auto"/>
        <w:rPr>
          <w:rFonts w:ascii="Arial" w:hAnsi="Arial" w:cs="Arial"/>
          <w:sz w:val="24"/>
          <w:szCs w:val="24"/>
        </w:rPr>
      </w:pPr>
      <w:r w:rsidRPr="00C7427F">
        <w:rPr>
          <w:rFonts w:ascii="Arial" w:hAnsi="Arial" w:cs="Arial"/>
          <w:sz w:val="24"/>
          <w:szCs w:val="24"/>
        </w:rPr>
        <w:t>0</w:t>
      </w:r>
      <w:r w:rsidR="00F75EC6">
        <w:rPr>
          <w:rFonts w:ascii="Arial" w:hAnsi="Arial" w:cs="Arial"/>
          <w:sz w:val="24"/>
          <w:szCs w:val="24"/>
        </w:rPr>
        <w:t>9</w:t>
      </w:r>
      <w:r w:rsidR="00F406D9" w:rsidRPr="00C7427F">
        <w:rPr>
          <w:rFonts w:ascii="Arial" w:hAnsi="Arial" w:cs="Arial"/>
          <w:sz w:val="24"/>
          <w:szCs w:val="24"/>
        </w:rPr>
        <w:t xml:space="preserve"> June 2025</w:t>
      </w:r>
    </w:p>
    <w:p w14:paraId="72798D4C" w14:textId="1A01A0A3" w:rsidR="00601E31" w:rsidRPr="00C7427F" w:rsidRDefault="00C538C2" w:rsidP="00601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C7427F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Greencoat Renewables </w:t>
      </w:r>
      <w:r w:rsidR="00601E31" w:rsidRPr="00C7427F">
        <w:rPr>
          <w:rFonts w:ascii="Arial" w:hAnsi="Arial" w:cs="Arial"/>
          <w:b/>
          <w:color w:val="000000"/>
          <w:sz w:val="24"/>
          <w:szCs w:val="24"/>
          <w:lang w:eastAsia="en-GB"/>
        </w:rPr>
        <w:t>PLC</w:t>
      </w:r>
    </w:p>
    <w:p w14:paraId="3C2E9DDC" w14:textId="77777777" w:rsidR="00601E31" w:rsidRPr="00C7427F" w:rsidRDefault="00601E31" w:rsidP="00601E3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C7427F">
        <w:rPr>
          <w:rFonts w:ascii="Arial" w:hAnsi="Arial" w:cs="Arial"/>
          <w:b/>
          <w:sz w:val="24"/>
          <w:szCs w:val="24"/>
          <w:lang w:eastAsia="en-GB"/>
        </w:rPr>
        <w:t xml:space="preserve"> (the “Company”)</w:t>
      </w:r>
    </w:p>
    <w:p w14:paraId="19EBE9C0" w14:textId="77777777" w:rsidR="00A033DB" w:rsidRPr="00C7427F" w:rsidRDefault="00C8182E" w:rsidP="00C8182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en-IE"/>
          <w14:ligatures w14:val="standardContextual"/>
        </w:rPr>
      </w:pPr>
      <w:r w:rsidRPr="00C7427F">
        <w:rPr>
          <w:rFonts w:ascii="Arial" w:eastAsia="MS Mincho" w:hAnsi="Arial" w:cs="Arial"/>
          <w:b/>
          <w:sz w:val="24"/>
          <w:szCs w:val="24"/>
          <w:lang w:eastAsia="ja-JP"/>
        </w:rPr>
        <w:t xml:space="preserve">SECONDARY LISTING </w:t>
      </w:r>
      <w:r w:rsidR="00A033DB" w:rsidRPr="00C7427F">
        <w:rPr>
          <w:rFonts w:ascii="Arial" w:eastAsia="MS Mincho" w:hAnsi="Arial" w:cs="Arial"/>
          <w:b/>
          <w:sz w:val="24"/>
          <w:szCs w:val="24"/>
          <w:lang w:eastAsia="ja-JP"/>
        </w:rPr>
        <w:t>ON THE ALTERNATIVE EXCHANGE</w:t>
      </w:r>
      <w:r w:rsidR="00A033DB" w:rsidRPr="005F27DD">
        <w:rPr>
          <w:rFonts w:ascii="Arial" w:hAnsi="Arial" w:cs="Arial"/>
          <w:sz w:val="24"/>
          <w:szCs w:val="24"/>
        </w:rPr>
        <w:t xml:space="preserve"> </w:t>
      </w:r>
    </w:p>
    <w:p w14:paraId="449478C1" w14:textId="69F5E8AB" w:rsidR="00C8182E" w:rsidRPr="00C7427F" w:rsidRDefault="00C8182E" w:rsidP="00C8182E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en-IE"/>
          <w14:ligatures w14:val="standardContextual"/>
        </w:rPr>
      </w:pPr>
      <w:r w:rsidRPr="00C7427F">
        <w:rPr>
          <w:rFonts w:ascii="Arial" w:eastAsia="MS Mincho" w:hAnsi="Arial" w:cs="Arial"/>
          <w:b/>
          <w:sz w:val="24"/>
          <w:szCs w:val="24"/>
          <w:lang w:eastAsia="ja-JP"/>
        </w:rPr>
        <w:t>OF THE JOHANNESBURG STOCK EXCHANGE</w:t>
      </w:r>
    </w:p>
    <w:p w14:paraId="271735B0" w14:textId="77777777" w:rsidR="00C8182E" w:rsidRPr="00C8182E" w:rsidRDefault="00C8182E" w:rsidP="002A44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n-IE"/>
          <w14:ligatures w14:val="standardContextual"/>
        </w:rPr>
      </w:pPr>
    </w:p>
    <w:p w14:paraId="26151A2E" w14:textId="0DC9BC39" w:rsidR="00C8182E" w:rsidRPr="00C7427F" w:rsidRDefault="00C7427F" w:rsidP="002A44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27DD">
        <w:rPr>
          <w:rFonts w:ascii="Arial" w:hAnsi="Arial" w:cs="Arial"/>
          <w:b/>
          <w:sz w:val="24"/>
          <w:szCs w:val="24"/>
        </w:rPr>
        <w:t xml:space="preserve">Dublin, London </w:t>
      </w:r>
      <w:r w:rsidRPr="005F27D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| </w:t>
      </w:r>
      <w:r>
        <w:rPr>
          <w:rFonts w:ascii="Arial" w:hAnsi="Arial" w:cs="Arial"/>
          <w:b/>
          <w:sz w:val="24"/>
          <w:szCs w:val="24"/>
        </w:rPr>
        <w:t xml:space="preserve">09 June </w:t>
      </w:r>
      <w:r w:rsidRPr="005F27DD">
        <w:rPr>
          <w:rFonts w:ascii="Arial" w:hAnsi="Arial" w:cs="Arial"/>
          <w:b/>
          <w:sz w:val="24"/>
          <w:szCs w:val="24"/>
        </w:rPr>
        <w:t>2025</w:t>
      </w:r>
      <w:r w:rsidRPr="005F27DD">
        <w:rPr>
          <w:rFonts w:ascii="Arial" w:hAnsi="Arial" w:cs="Arial"/>
          <w:sz w:val="24"/>
          <w:szCs w:val="24"/>
        </w:rPr>
        <w:t>: Greencoat Renewables PLC (“Greencoat”</w:t>
      </w:r>
      <w:r>
        <w:rPr>
          <w:rFonts w:ascii="Arial" w:hAnsi="Arial" w:cs="Arial"/>
          <w:sz w:val="24"/>
          <w:szCs w:val="24"/>
        </w:rPr>
        <w:t>,</w:t>
      </w:r>
      <w:r w:rsidRPr="005F27DD">
        <w:rPr>
          <w:rFonts w:ascii="Arial" w:hAnsi="Arial" w:cs="Arial"/>
          <w:sz w:val="24"/>
          <w:szCs w:val="24"/>
        </w:rPr>
        <w:t xml:space="preserve"> “</w:t>
      </w:r>
      <w:r w:rsidR="004B073D" w:rsidRPr="005F27DD">
        <w:rPr>
          <w:rFonts w:ascii="Arial" w:hAnsi="Arial" w:cs="Arial"/>
          <w:sz w:val="24"/>
          <w:szCs w:val="24"/>
        </w:rPr>
        <w:t xml:space="preserve">the </w:t>
      </w:r>
      <w:r w:rsidRPr="005F27DD">
        <w:rPr>
          <w:rFonts w:ascii="Arial" w:hAnsi="Arial" w:cs="Arial"/>
          <w:sz w:val="24"/>
          <w:szCs w:val="24"/>
        </w:rPr>
        <w:t>Company”</w:t>
      </w:r>
      <w:r>
        <w:rPr>
          <w:rFonts w:ascii="Arial" w:hAnsi="Arial" w:cs="Arial"/>
          <w:sz w:val="24"/>
          <w:szCs w:val="24"/>
        </w:rPr>
        <w:t xml:space="preserve"> or “GRP”</w:t>
      </w:r>
      <w:r w:rsidRPr="005F27DD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the</w:t>
      </w:r>
      <w:r w:rsidRPr="005F27DD">
        <w:rPr>
          <w:rFonts w:ascii="Arial" w:hAnsi="Arial" w:cs="Arial"/>
          <w:sz w:val="24"/>
          <w:szCs w:val="24"/>
        </w:rPr>
        <w:t xml:space="preserve"> renewable energy infrastructure company investing in European renewable </w:t>
      </w:r>
      <w:r>
        <w:rPr>
          <w:rFonts w:ascii="Arial" w:hAnsi="Arial" w:cs="Arial"/>
          <w:sz w:val="24"/>
          <w:szCs w:val="24"/>
        </w:rPr>
        <w:t>energy</w:t>
      </w:r>
      <w:r w:rsidRPr="005F27DD">
        <w:rPr>
          <w:rFonts w:ascii="Arial" w:hAnsi="Arial" w:cs="Arial"/>
          <w:sz w:val="24"/>
          <w:szCs w:val="24"/>
        </w:rPr>
        <w:t xml:space="preserve"> genera</w:t>
      </w:r>
      <w:r>
        <w:rPr>
          <w:rFonts w:ascii="Arial" w:hAnsi="Arial" w:cs="Arial"/>
          <w:sz w:val="24"/>
          <w:szCs w:val="24"/>
        </w:rPr>
        <w:t>tion</w:t>
      </w:r>
      <w:r w:rsidRPr="005F27DD">
        <w:rPr>
          <w:rFonts w:ascii="Arial" w:hAnsi="Arial" w:cs="Arial"/>
          <w:sz w:val="24"/>
          <w:szCs w:val="24"/>
        </w:rPr>
        <w:t xml:space="preserve"> assets</w:t>
      </w:r>
      <w:r w:rsidR="004B073D" w:rsidRPr="00C7427F">
        <w:rPr>
          <w:rFonts w:ascii="Arial" w:hAnsi="Arial" w:cs="Arial"/>
          <w:sz w:val="24"/>
          <w:szCs w:val="24"/>
        </w:rPr>
        <w:t>, is pleased to confirm that, subsequent to the announcement published on</w:t>
      </w:r>
      <w:r w:rsidR="004B073D">
        <w:rPr>
          <w:rFonts w:ascii="Arial" w:hAnsi="Arial" w:cs="Arial"/>
          <w:sz w:val="24"/>
          <w:szCs w:val="24"/>
        </w:rPr>
        <w:t xml:space="preserve"> </w:t>
      </w:r>
      <w:r w:rsidR="007A7482">
        <w:rPr>
          <w:rFonts w:ascii="Arial" w:hAnsi="Arial" w:cs="Arial"/>
          <w:sz w:val="24"/>
          <w:szCs w:val="24"/>
        </w:rPr>
        <w:t>19 May 2025</w:t>
      </w:r>
      <w:r w:rsidR="004B073D" w:rsidRPr="00C7427F">
        <w:rPr>
          <w:rFonts w:ascii="Arial" w:hAnsi="Arial" w:cs="Arial"/>
          <w:sz w:val="24"/>
          <w:szCs w:val="24"/>
        </w:rPr>
        <w:t xml:space="preserve">, its secondary listing on the </w:t>
      </w:r>
      <w:r w:rsidR="007A7482">
        <w:rPr>
          <w:rFonts w:ascii="Arial" w:hAnsi="Arial" w:cs="Arial"/>
          <w:sz w:val="24"/>
          <w:szCs w:val="24"/>
        </w:rPr>
        <w:t>Alternative Exchange</w:t>
      </w:r>
      <w:r w:rsidR="004B073D">
        <w:rPr>
          <w:rFonts w:ascii="Arial" w:hAnsi="Arial" w:cs="Arial"/>
          <w:sz w:val="24"/>
          <w:szCs w:val="24"/>
        </w:rPr>
        <w:t xml:space="preserve"> </w:t>
      </w:r>
      <w:r w:rsidR="004B073D" w:rsidRPr="00C7427F">
        <w:rPr>
          <w:rFonts w:ascii="Arial" w:hAnsi="Arial" w:cs="Arial"/>
          <w:sz w:val="24"/>
          <w:szCs w:val="24"/>
        </w:rPr>
        <w:t>of the JSE Limited ("</w:t>
      </w:r>
      <w:r w:rsidR="004B073D" w:rsidRPr="007A7482">
        <w:rPr>
          <w:rFonts w:ascii="Arial" w:hAnsi="Arial" w:cs="Arial"/>
          <w:b/>
          <w:sz w:val="24"/>
          <w:szCs w:val="24"/>
        </w:rPr>
        <w:t>JSE</w:t>
      </w:r>
      <w:r w:rsidR="004B073D" w:rsidRPr="00C7427F">
        <w:rPr>
          <w:rFonts w:ascii="Arial" w:hAnsi="Arial" w:cs="Arial"/>
          <w:sz w:val="24"/>
          <w:szCs w:val="24"/>
        </w:rPr>
        <w:t>") has become effective as at the opening of trading on the JSE this morning</w:t>
      </w:r>
      <w:r w:rsidR="00F75EC6">
        <w:rPr>
          <w:rFonts w:ascii="Arial" w:hAnsi="Arial" w:cs="Arial"/>
          <w:sz w:val="24"/>
          <w:szCs w:val="24"/>
        </w:rPr>
        <w:t>.</w:t>
      </w:r>
    </w:p>
    <w:p w14:paraId="36F30B5E" w14:textId="77777777" w:rsidR="00322E8D" w:rsidRPr="00AB0C61" w:rsidRDefault="00322E8D" w:rsidP="00AB0C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n-IE"/>
          <w14:ligatures w14:val="standardContextual"/>
        </w:rPr>
      </w:pPr>
    </w:p>
    <w:p w14:paraId="2EEDE3B4" w14:textId="77777777" w:rsidR="00C8182E" w:rsidRPr="00C8182E" w:rsidRDefault="00C8182E" w:rsidP="002A44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n-IE"/>
          <w14:ligatures w14:val="standardContextual"/>
        </w:rPr>
      </w:pPr>
    </w:p>
    <w:p w14:paraId="485C539B" w14:textId="796B92DB" w:rsidR="002A44D8" w:rsidRPr="002A44D8" w:rsidRDefault="002A44D8" w:rsidP="002A44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n-IE"/>
          <w14:ligatures w14:val="standardContextual"/>
        </w:rPr>
      </w:pPr>
      <w:r w:rsidRPr="002A44D8">
        <w:rPr>
          <w:rFonts w:ascii="Arial" w:eastAsia="Times New Roman" w:hAnsi="Arial" w:cs="Arial"/>
          <w:bCs/>
          <w:sz w:val="18"/>
          <w:szCs w:val="18"/>
          <w:lang w:val="en-IE"/>
          <w14:ligatures w14:val="standardContextual"/>
        </w:rPr>
        <w:t>For further information, please contact:</w:t>
      </w:r>
    </w:p>
    <w:p w14:paraId="19003B86" w14:textId="77777777" w:rsidR="002A44D8" w:rsidRPr="002A44D8" w:rsidRDefault="002A44D8" w:rsidP="002A44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n-IE"/>
          <w14:ligatures w14:val="standardContextual"/>
        </w:rPr>
      </w:pPr>
    </w:p>
    <w:tbl>
      <w:tblPr>
        <w:tblStyle w:val="TableGrid1"/>
        <w:tblW w:w="922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5"/>
        <w:gridCol w:w="7"/>
      </w:tblGrid>
      <w:tr w:rsidR="002A44D8" w:rsidRPr="002A44D8" w14:paraId="1A33A45C" w14:textId="77777777" w:rsidTr="00061BA2">
        <w:tc>
          <w:tcPr>
            <w:tcW w:w="5778" w:type="dxa"/>
            <w:vAlign w:val="bottom"/>
          </w:tcPr>
          <w:p w14:paraId="38F851D5" w14:textId="77777777" w:rsidR="002A44D8" w:rsidRPr="00B81DA4" w:rsidRDefault="002A44D8" w:rsidP="002A44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A44D8">
              <w:rPr>
                <w:rFonts w:ascii="Arial" w:hAnsi="Arial" w:cs="Arial"/>
                <w:b/>
                <w:bCs/>
                <w:sz w:val="18"/>
                <w:szCs w:val="18"/>
              </w:rPr>
              <w:t>Schroders Greencoat LLP (Investment</w:t>
            </w:r>
            <w:r w:rsidRPr="002A44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4D8">
              <w:rPr>
                <w:rFonts w:ascii="Arial" w:hAnsi="Arial" w:cs="Arial"/>
                <w:b/>
                <w:bCs/>
                <w:sz w:val="18"/>
                <w:szCs w:val="18"/>
              </w:rPr>
              <w:t>Manager)</w:t>
            </w:r>
          </w:p>
        </w:tc>
        <w:tc>
          <w:tcPr>
            <w:tcW w:w="3442" w:type="dxa"/>
            <w:gridSpan w:val="2"/>
          </w:tcPr>
          <w:p w14:paraId="29681D2A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4D8" w:rsidRPr="002A44D8" w14:paraId="7D24440D" w14:textId="77777777" w:rsidTr="00061BA2">
        <w:tc>
          <w:tcPr>
            <w:tcW w:w="5778" w:type="dxa"/>
          </w:tcPr>
          <w:p w14:paraId="4A351791" w14:textId="77777777" w:rsidR="002A44D8" w:rsidRPr="002A44D8" w:rsidRDefault="002A44D8" w:rsidP="002A44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A44D8">
              <w:rPr>
                <w:rFonts w:ascii="Arial" w:hAnsi="Arial" w:cs="Arial"/>
                <w:sz w:val="18"/>
                <w:szCs w:val="18"/>
                <w:lang w:val="de-DE"/>
              </w:rPr>
              <w:t>Bertrand Gautier</w:t>
            </w:r>
          </w:p>
          <w:p w14:paraId="71D5EDB7" w14:textId="77777777" w:rsidR="002A44D8" w:rsidRPr="002A44D8" w:rsidRDefault="002A44D8" w:rsidP="002A44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A44D8">
              <w:rPr>
                <w:rFonts w:ascii="Arial" w:hAnsi="Arial" w:cs="Arial"/>
                <w:sz w:val="18"/>
                <w:szCs w:val="18"/>
                <w:lang w:val="de-DE"/>
              </w:rPr>
              <w:t>Paul O’Donnell</w:t>
            </w:r>
          </w:p>
          <w:p w14:paraId="370D6FBB" w14:textId="77777777" w:rsidR="002A44D8" w:rsidRPr="002A44D8" w:rsidRDefault="002A44D8" w:rsidP="002A44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A44D8">
              <w:rPr>
                <w:rFonts w:ascii="Arial" w:hAnsi="Arial" w:cs="Arial"/>
                <w:sz w:val="18"/>
                <w:szCs w:val="18"/>
                <w:lang w:val="de-DE"/>
              </w:rPr>
              <w:t>John Musk</w:t>
            </w:r>
          </w:p>
        </w:tc>
        <w:tc>
          <w:tcPr>
            <w:tcW w:w="3442" w:type="dxa"/>
            <w:gridSpan w:val="2"/>
          </w:tcPr>
          <w:p w14:paraId="1984224B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hAnsi="Arial" w:cs="Arial"/>
                <w:sz w:val="18"/>
                <w:szCs w:val="18"/>
              </w:rPr>
              <w:t>+44 20 7832 9400</w:t>
            </w:r>
          </w:p>
        </w:tc>
      </w:tr>
      <w:tr w:rsidR="002A44D8" w:rsidRPr="002A44D8" w14:paraId="3F39371D" w14:textId="77777777" w:rsidTr="00061BA2">
        <w:tc>
          <w:tcPr>
            <w:tcW w:w="5778" w:type="dxa"/>
          </w:tcPr>
          <w:p w14:paraId="73539863" w14:textId="77777777" w:rsidR="002A44D8" w:rsidRPr="002A44D8" w:rsidRDefault="002A44D8" w:rsidP="002A44D8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Valeo Capital Proprietary Limited (Corporate Advisor &amp; JSE Sponsor)</w:t>
            </w:r>
          </w:p>
        </w:tc>
        <w:tc>
          <w:tcPr>
            <w:tcW w:w="3442" w:type="dxa"/>
            <w:gridSpan w:val="2"/>
          </w:tcPr>
          <w:p w14:paraId="6909FCEE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2A44D8" w:rsidRPr="002A44D8" w14:paraId="6D69F9D3" w14:textId="77777777" w:rsidTr="00061BA2">
        <w:tc>
          <w:tcPr>
            <w:tcW w:w="5778" w:type="dxa"/>
          </w:tcPr>
          <w:p w14:paraId="110428A8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 xml:space="preserve">Johannes Human </w:t>
            </w:r>
          </w:p>
          <w:p w14:paraId="679875B1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David Tosi</w:t>
            </w:r>
          </w:p>
        </w:tc>
        <w:tc>
          <w:tcPr>
            <w:tcW w:w="3442" w:type="dxa"/>
            <w:gridSpan w:val="2"/>
          </w:tcPr>
          <w:p w14:paraId="5EE7FE23" w14:textId="77777777" w:rsidR="002A44D8" w:rsidRPr="002A44D8" w:rsidRDefault="002A44D8" w:rsidP="002A44D8">
            <w:pPr>
              <w:spacing w:after="0" w:line="240" w:lineRule="auto"/>
              <w:ind w:hanging="29"/>
              <w:rPr>
                <w:sz w:val="18"/>
                <w:szCs w:val="18"/>
              </w:rPr>
            </w:pPr>
          </w:p>
          <w:p w14:paraId="050D61B4" w14:textId="77777777" w:rsidR="002A44D8" w:rsidRPr="002A44D8" w:rsidRDefault="002A44D8" w:rsidP="002A44D8">
            <w:pPr>
              <w:spacing w:after="0" w:line="240" w:lineRule="auto"/>
              <w:ind w:hanging="29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hyperlink r:id="rId12" w:history="1">
              <w:r w:rsidRPr="002A44D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de-DE"/>
                </w:rPr>
                <w:t>greencoat@valeocapital.co.za</w:t>
              </w:r>
            </w:hyperlink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</w:tr>
      <w:tr w:rsidR="002A44D8" w:rsidRPr="002A44D8" w14:paraId="206FD800" w14:textId="77777777" w:rsidTr="00061BA2">
        <w:tc>
          <w:tcPr>
            <w:tcW w:w="5778" w:type="dxa"/>
          </w:tcPr>
          <w:p w14:paraId="15A1FFC7" w14:textId="77777777" w:rsidR="002A44D8" w:rsidRPr="002A44D8" w:rsidRDefault="002A44D8" w:rsidP="002A44D8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FTI Consulting (Investor Relations &amp; Media)</w:t>
            </w:r>
          </w:p>
        </w:tc>
        <w:tc>
          <w:tcPr>
            <w:tcW w:w="3442" w:type="dxa"/>
            <w:gridSpan w:val="2"/>
          </w:tcPr>
          <w:p w14:paraId="02DE2CF8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2A44D8" w:rsidRPr="002A44D8" w14:paraId="6E52B445" w14:textId="77777777" w:rsidTr="00061BA2">
        <w:trPr>
          <w:trHeight w:val="470"/>
        </w:trPr>
        <w:tc>
          <w:tcPr>
            <w:tcW w:w="5778" w:type="dxa"/>
          </w:tcPr>
          <w:p w14:paraId="7DBE2A6D" w14:textId="5E3CAAC1" w:rsidR="002A44D8" w:rsidRPr="002A44D8" w:rsidRDefault="00B81DA4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Aoife Mullen</w:t>
            </w:r>
          </w:p>
          <w:p w14:paraId="036E91CF" w14:textId="586F86E7" w:rsidR="002A44D8" w:rsidRPr="002A44D8" w:rsidRDefault="00B81DA4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Jonathan Neilan</w:t>
            </w:r>
          </w:p>
        </w:tc>
        <w:tc>
          <w:tcPr>
            <w:tcW w:w="3442" w:type="dxa"/>
            <w:gridSpan w:val="2"/>
          </w:tcPr>
          <w:p w14:paraId="43DC6F91" w14:textId="49972F1F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+353 8</w:t>
            </w:r>
            <w:r w:rsidR="00B81DA4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6 058 3443</w:t>
            </w:r>
          </w:p>
          <w:p w14:paraId="7AB0DE72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hyperlink r:id="rId13" w:history="1">
              <w:r w:rsidRPr="002A44D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de-DE"/>
                </w:rPr>
                <w:t>greencoat@fticonsulting.com</w:t>
              </w:r>
            </w:hyperlink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</w:tr>
      <w:tr w:rsidR="002A44D8" w:rsidRPr="002A44D8" w14:paraId="56AAEBA6" w14:textId="77777777" w:rsidTr="00061BA2">
        <w:trPr>
          <w:gridAfter w:val="1"/>
          <w:wAfter w:w="7" w:type="dxa"/>
        </w:trPr>
        <w:tc>
          <w:tcPr>
            <w:tcW w:w="5778" w:type="dxa"/>
          </w:tcPr>
          <w:p w14:paraId="75DABAD1" w14:textId="77777777" w:rsidR="002A44D8" w:rsidRPr="002A44D8" w:rsidRDefault="002A44D8" w:rsidP="002A44D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Barclays Bank PLC (Joint Broker)</w:t>
            </w:r>
          </w:p>
        </w:tc>
        <w:tc>
          <w:tcPr>
            <w:tcW w:w="3435" w:type="dxa"/>
          </w:tcPr>
          <w:p w14:paraId="633DD896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2A44D8" w:rsidRPr="002A44D8" w14:paraId="238F347B" w14:textId="77777777" w:rsidTr="00061BA2">
        <w:trPr>
          <w:gridAfter w:val="1"/>
          <w:wAfter w:w="7" w:type="dxa"/>
          <w:trHeight w:val="710"/>
        </w:trPr>
        <w:tc>
          <w:tcPr>
            <w:tcW w:w="5778" w:type="dxa"/>
          </w:tcPr>
          <w:p w14:paraId="761F347D" w14:textId="77777777" w:rsidR="002A44D8" w:rsidRPr="00B81DA4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B81DA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Dion Di </w:t>
            </w:r>
            <w:proofErr w:type="spellStart"/>
            <w:r w:rsidRPr="00B81DA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Miceli</w:t>
            </w:r>
            <w:proofErr w:type="spellEnd"/>
          </w:p>
          <w:p w14:paraId="262DA2E9" w14:textId="77777777" w:rsidR="002A44D8" w:rsidRPr="00B81DA4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B81DA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Stuart </w:t>
            </w:r>
            <w:proofErr w:type="spellStart"/>
            <w:r w:rsidRPr="00B81DA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Muress</w:t>
            </w:r>
            <w:proofErr w:type="spellEnd"/>
          </w:p>
          <w:p w14:paraId="3FCF9618" w14:textId="77777777" w:rsidR="002A44D8" w:rsidRPr="00B81DA4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B81DA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James Atkinson</w:t>
            </w:r>
          </w:p>
        </w:tc>
        <w:tc>
          <w:tcPr>
            <w:tcW w:w="3435" w:type="dxa"/>
            <w:vAlign w:val="bottom"/>
          </w:tcPr>
          <w:p w14:paraId="19BDDB35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+44 20 7623 2323</w:t>
            </w:r>
          </w:p>
        </w:tc>
      </w:tr>
      <w:tr w:rsidR="002A44D8" w:rsidRPr="002A44D8" w14:paraId="6B04CA43" w14:textId="77777777" w:rsidTr="00061BA2">
        <w:trPr>
          <w:gridAfter w:val="1"/>
          <w:wAfter w:w="7" w:type="dxa"/>
        </w:trPr>
        <w:tc>
          <w:tcPr>
            <w:tcW w:w="5778" w:type="dxa"/>
          </w:tcPr>
          <w:p w14:paraId="47DD1D50" w14:textId="77777777" w:rsidR="002A44D8" w:rsidRPr="002A44D8" w:rsidRDefault="002A44D8" w:rsidP="002A44D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Davy (Joint Broker, NOMAD and Euronext Growth Listing Sponsor)</w:t>
            </w:r>
          </w:p>
        </w:tc>
        <w:tc>
          <w:tcPr>
            <w:tcW w:w="3435" w:type="dxa"/>
          </w:tcPr>
          <w:p w14:paraId="08BA5C9C" w14:textId="77777777" w:rsidR="002A44D8" w:rsidRPr="00B81DA4" w:rsidRDefault="002A44D8" w:rsidP="002A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  <w:p w14:paraId="707F7847" w14:textId="77777777" w:rsidR="002A44D8" w:rsidRPr="00B81DA4" w:rsidRDefault="002A44D8" w:rsidP="002A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  <w:p w14:paraId="6536310E" w14:textId="77777777" w:rsidR="002A44D8" w:rsidRPr="00B81DA4" w:rsidRDefault="002A44D8" w:rsidP="002A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2A44D8" w:rsidRPr="002A44D8" w14:paraId="2741731C" w14:textId="77777777" w:rsidTr="00061BA2">
        <w:trPr>
          <w:gridAfter w:val="1"/>
          <w:wAfter w:w="7" w:type="dxa"/>
        </w:trPr>
        <w:tc>
          <w:tcPr>
            <w:tcW w:w="5778" w:type="dxa"/>
          </w:tcPr>
          <w:p w14:paraId="31D066EC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Brian Garrahy</w:t>
            </w:r>
          </w:p>
          <w:p w14:paraId="23094BDF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Ronan Veale</w:t>
            </w:r>
          </w:p>
        </w:tc>
        <w:tc>
          <w:tcPr>
            <w:tcW w:w="3435" w:type="dxa"/>
          </w:tcPr>
          <w:p w14:paraId="36B05F36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+353 1 679 6363</w:t>
            </w:r>
          </w:p>
        </w:tc>
      </w:tr>
      <w:tr w:rsidR="002A44D8" w:rsidRPr="002A44D8" w14:paraId="7A81463B" w14:textId="77777777" w:rsidTr="00061BA2">
        <w:trPr>
          <w:gridAfter w:val="1"/>
          <w:wAfter w:w="7" w:type="dxa"/>
        </w:trPr>
        <w:tc>
          <w:tcPr>
            <w:tcW w:w="5778" w:type="dxa"/>
          </w:tcPr>
          <w:p w14:paraId="14E9C082" w14:textId="77777777" w:rsidR="002A44D8" w:rsidRPr="002A44D8" w:rsidRDefault="002A44D8" w:rsidP="002A44D8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  <w:r w:rsidRPr="002A4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RBC Capital Markets (Joint Broker)</w:t>
            </w:r>
          </w:p>
        </w:tc>
        <w:tc>
          <w:tcPr>
            <w:tcW w:w="3435" w:type="dxa"/>
          </w:tcPr>
          <w:p w14:paraId="668AEBB4" w14:textId="77777777" w:rsidR="002A44D8" w:rsidRPr="002A44D8" w:rsidRDefault="002A44D8" w:rsidP="002A44D8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ZA"/>
              </w:rPr>
            </w:pPr>
          </w:p>
        </w:tc>
      </w:tr>
      <w:tr w:rsidR="002A44D8" w:rsidRPr="002A44D8" w14:paraId="63EB1747" w14:textId="77777777" w:rsidTr="00061BA2">
        <w:trPr>
          <w:gridAfter w:val="1"/>
          <w:wAfter w:w="7" w:type="dxa"/>
          <w:trHeight w:val="470"/>
        </w:trPr>
        <w:tc>
          <w:tcPr>
            <w:tcW w:w="5778" w:type="dxa"/>
          </w:tcPr>
          <w:p w14:paraId="4C705093" w14:textId="77777777" w:rsidR="002A44D8" w:rsidRPr="002A44D8" w:rsidRDefault="002A44D8" w:rsidP="002A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Matthew Coakes</w:t>
            </w:r>
          </w:p>
          <w:p w14:paraId="0BCFFD15" w14:textId="4E659587" w:rsidR="001A11C9" w:rsidRPr="002A44D8" w:rsidRDefault="002A44D8" w:rsidP="002A4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Elizabeth Evans</w:t>
            </w:r>
          </w:p>
        </w:tc>
        <w:tc>
          <w:tcPr>
            <w:tcW w:w="3435" w:type="dxa"/>
            <w:vAlign w:val="bottom"/>
          </w:tcPr>
          <w:p w14:paraId="452CD4C3" w14:textId="77777777"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 w:rsidRPr="002A44D8"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+44 20 7653 4000</w:t>
            </w:r>
          </w:p>
        </w:tc>
      </w:tr>
      <w:tr w:rsidR="001A11C9" w:rsidRPr="002A44D8" w14:paraId="13F75F25" w14:textId="77777777" w:rsidTr="00F70281">
        <w:trPr>
          <w:gridAfter w:val="1"/>
          <w:wAfter w:w="7" w:type="dxa"/>
          <w:trHeight w:val="470"/>
        </w:trPr>
        <w:tc>
          <w:tcPr>
            <w:tcW w:w="5778" w:type="dxa"/>
            <w:vAlign w:val="bottom"/>
          </w:tcPr>
          <w:p w14:paraId="1F5DD1DB" w14:textId="49DA5BA4" w:rsidR="001A11C9" w:rsidRPr="00F70281" w:rsidRDefault="001A11C9" w:rsidP="00F70281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702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Prescient Securities (South African Stockbroker)</w:t>
            </w:r>
          </w:p>
        </w:tc>
        <w:tc>
          <w:tcPr>
            <w:tcW w:w="3435" w:type="dxa"/>
            <w:vAlign w:val="bottom"/>
          </w:tcPr>
          <w:p w14:paraId="6D489134" w14:textId="77777777" w:rsidR="001A11C9" w:rsidRPr="002A44D8" w:rsidRDefault="001A11C9" w:rsidP="002A4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1A11C9" w:rsidRPr="002A44D8" w14:paraId="551D5C63" w14:textId="77777777" w:rsidTr="00F70281">
        <w:trPr>
          <w:gridAfter w:val="1"/>
          <w:wAfter w:w="7" w:type="dxa"/>
          <w:trHeight w:val="60"/>
        </w:trPr>
        <w:tc>
          <w:tcPr>
            <w:tcW w:w="5778" w:type="dxa"/>
          </w:tcPr>
          <w:p w14:paraId="59039071" w14:textId="77D3A437" w:rsidR="001A11C9" w:rsidRPr="002A44D8" w:rsidRDefault="001A11C9" w:rsidP="001A11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Stephern Heath and Surette Drew</w:t>
            </w:r>
          </w:p>
        </w:tc>
        <w:tc>
          <w:tcPr>
            <w:tcW w:w="3435" w:type="dxa"/>
            <w:vAlign w:val="bottom"/>
          </w:tcPr>
          <w:p w14:paraId="713A000F" w14:textId="77777777" w:rsidR="001A11C9" w:rsidRDefault="001A11C9" w:rsidP="001A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  <w:t>+27 21 700 3797</w:t>
            </w:r>
          </w:p>
          <w:p w14:paraId="78C91451" w14:textId="49DEAA1B" w:rsidR="000312F1" w:rsidRPr="002A44D8" w:rsidRDefault="000312F1" w:rsidP="001A1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7A2DF508" w14:textId="3289CBC4" w:rsidR="00601E31" w:rsidRPr="002A44D8" w:rsidRDefault="00601E31" w:rsidP="00F70281">
      <w:pPr>
        <w:spacing w:line="240" w:lineRule="auto"/>
        <w:rPr>
          <w:rFonts w:ascii="Arial" w:hAnsi="Arial" w:cs="Arial"/>
          <w:iCs/>
          <w:sz w:val="18"/>
          <w:szCs w:val="18"/>
        </w:rPr>
      </w:pPr>
    </w:p>
    <w:sectPr w:rsidR="00601E31" w:rsidRPr="002A44D8" w:rsidSect="00AB0C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A279" w14:textId="77777777" w:rsidR="003E08B8" w:rsidRDefault="003E08B8" w:rsidP="009D7133">
      <w:pPr>
        <w:spacing w:after="0" w:line="240" w:lineRule="auto"/>
      </w:pPr>
      <w:r>
        <w:separator/>
      </w:r>
    </w:p>
  </w:endnote>
  <w:endnote w:type="continuationSeparator" w:id="0">
    <w:p w14:paraId="5B5E3493" w14:textId="77777777" w:rsidR="003E08B8" w:rsidRDefault="003E08B8" w:rsidP="009D7133">
      <w:pPr>
        <w:spacing w:after="0" w:line="240" w:lineRule="auto"/>
      </w:pPr>
      <w:r>
        <w:continuationSeparator/>
      </w:r>
    </w:p>
  </w:endnote>
  <w:endnote w:type="continuationNotice" w:id="1">
    <w:p w14:paraId="3B0C7B7A" w14:textId="77777777" w:rsidR="003E08B8" w:rsidRDefault="003E0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B451" w14:textId="77777777" w:rsidR="009D7133" w:rsidRDefault="009D7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0B88" w14:textId="77777777" w:rsidR="009D7133" w:rsidRDefault="009D71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5FC0" w14:textId="77777777" w:rsidR="009D7133" w:rsidRDefault="009D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31D2" w14:textId="77777777" w:rsidR="003E08B8" w:rsidRDefault="003E08B8" w:rsidP="009D7133">
      <w:pPr>
        <w:spacing w:after="0" w:line="240" w:lineRule="auto"/>
      </w:pPr>
      <w:r>
        <w:separator/>
      </w:r>
    </w:p>
  </w:footnote>
  <w:footnote w:type="continuationSeparator" w:id="0">
    <w:p w14:paraId="4918E264" w14:textId="77777777" w:rsidR="003E08B8" w:rsidRDefault="003E08B8" w:rsidP="009D7133">
      <w:pPr>
        <w:spacing w:after="0" w:line="240" w:lineRule="auto"/>
      </w:pPr>
      <w:r>
        <w:continuationSeparator/>
      </w:r>
    </w:p>
  </w:footnote>
  <w:footnote w:type="continuationNotice" w:id="1">
    <w:p w14:paraId="79E3F5EF" w14:textId="77777777" w:rsidR="003E08B8" w:rsidRDefault="003E0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882D" w14:textId="77777777" w:rsidR="009D7133" w:rsidRDefault="009D7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8596" w14:textId="77777777" w:rsidR="009D7133" w:rsidRDefault="009D7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CEDE" w14:textId="77777777" w:rsidR="009D7133" w:rsidRDefault="009D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3A4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56C26"/>
    <w:multiLevelType w:val="hybridMultilevel"/>
    <w:tmpl w:val="6784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387E"/>
    <w:multiLevelType w:val="hybridMultilevel"/>
    <w:tmpl w:val="85DEF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49000">
    <w:abstractNumId w:val="1"/>
  </w:num>
  <w:num w:numId="2" w16cid:durableId="418525811">
    <w:abstractNumId w:val="2"/>
  </w:num>
  <w:num w:numId="3" w16cid:durableId="53107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31"/>
    <w:rsid w:val="000226C9"/>
    <w:rsid w:val="00027B37"/>
    <w:rsid w:val="000312F1"/>
    <w:rsid w:val="00047687"/>
    <w:rsid w:val="00061BA2"/>
    <w:rsid w:val="00063D33"/>
    <w:rsid w:val="00081DD6"/>
    <w:rsid w:val="000956B7"/>
    <w:rsid w:val="000B60FD"/>
    <w:rsid w:val="000D2578"/>
    <w:rsid w:val="000E4E25"/>
    <w:rsid w:val="00103209"/>
    <w:rsid w:val="00107067"/>
    <w:rsid w:val="00107FEA"/>
    <w:rsid w:val="00124D4A"/>
    <w:rsid w:val="00131436"/>
    <w:rsid w:val="00141243"/>
    <w:rsid w:val="001630D1"/>
    <w:rsid w:val="0017106B"/>
    <w:rsid w:val="001740B8"/>
    <w:rsid w:val="00174693"/>
    <w:rsid w:val="001A11C9"/>
    <w:rsid w:val="001E4E9D"/>
    <w:rsid w:val="001F3526"/>
    <w:rsid w:val="00273980"/>
    <w:rsid w:val="00275613"/>
    <w:rsid w:val="002A44D8"/>
    <w:rsid w:val="002B620A"/>
    <w:rsid w:val="002C0E54"/>
    <w:rsid w:val="002C3569"/>
    <w:rsid w:val="002C4084"/>
    <w:rsid w:val="002D41BF"/>
    <w:rsid w:val="002D43E8"/>
    <w:rsid w:val="002F3D7F"/>
    <w:rsid w:val="002F48EE"/>
    <w:rsid w:val="002F7DAE"/>
    <w:rsid w:val="00306C32"/>
    <w:rsid w:val="00322E8D"/>
    <w:rsid w:val="00324E8C"/>
    <w:rsid w:val="003354F0"/>
    <w:rsid w:val="00344FB6"/>
    <w:rsid w:val="00366F87"/>
    <w:rsid w:val="00381984"/>
    <w:rsid w:val="003952B4"/>
    <w:rsid w:val="003961B6"/>
    <w:rsid w:val="003A3737"/>
    <w:rsid w:val="003B728F"/>
    <w:rsid w:val="003E08B8"/>
    <w:rsid w:val="00460535"/>
    <w:rsid w:val="004911F5"/>
    <w:rsid w:val="004B073D"/>
    <w:rsid w:val="004F14B7"/>
    <w:rsid w:val="004F196E"/>
    <w:rsid w:val="004F51F6"/>
    <w:rsid w:val="00543285"/>
    <w:rsid w:val="00550C24"/>
    <w:rsid w:val="00557FCD"/>
    <w:rsid w:val="0058156C"/>
    <w:rsid w:val="00585B91"/>
    <w:rsid w:val="005A7A5A"/>
    <w:rsid w:val="00601E31"/>
    <w:rsid w:val="006041B5"/>
    <w:rsid w:val="0061381E"/>
    <w:rsid w:val="00635794"/>
    <w:rsid w:val="00641CA1"/>
    <w:rsid w:val="00657A25"/>
    <w:rsid w:val="0069171F"/>
    <w:rsid w:val="006A0BDF"/>
    <w:rsid w:val="006D5092"/>
    <w:rsid w:val="006D5D66"/>
    <w:rsid w:val="006E5821"/>
    <w:rsid w:val="006F5C02"/>
    <w:rsid w:val="00713E3C"/>
    <w:rsid w:val="0071412E"/>
    <w:rsid w:val="00791723"/>
    <w:rsid w:val="007A7482"/>
    <w:rsid w:val="007B3B1D"/>
    <w:rsid w:val="007B6E98"/>
    <w:rsid w:val="007D2110"/>
    <w:rsid w:val="007D3AC2"/>
    <w:rsid w:val="007F5D1F"/>
    <w:rsid w:val="0080521D"/>
    <w:rsid w:val="00835FB9"/>
    <w:rsid w:val="008429AF"/>
    <w:rsid w:val="00854386"/>
    <w:rsid w:val="00875D51"/>
    <w:rsid w:val="00877BAE"/>
    <w:rsid w:val="008861EE"/>
    <w:rsid w:val="008A0356"/>
    <w:rsid w:val="008A251D"/>
    <w:rsid w:val="008C66A9"/>
    <w:rsid w:val="008D457E"/>
    <w:rsid w:val="008F5E5A"/>
    <w:rsid w:val="00936896"/>
    <w:rsid w:val="009662EF"/>
    <w:rsid w:val="00976839"/>
    <w:rsid w:val="00987EE5"/>
    <w:rsid w:val="00991F1D"/>
    <w:rsid w:val="00992ED9"/>
    <w:rsid w:val="009D3C1F"/>
    <w:rsid w:val="009D518E"/>
    <w:rsid w:val="009D7133"/>
    <w:rsid w:val="00A033DB"/>
    <w:rsid w:val="00A11FF7"/>
    <w:rsid w:val="00A37277"/>
    <w:rsid w:val="00A40B0A"/>
    <w:rsid w:val="00A47144"/>
    <w:rsid w:val="00A475C1"/>
    <w:rsid w:val="00A663F0"/>
    <w:rsid w:val="00AB0C61"/>
    <w:rsid w:val="00AB451E"/>
    <w:rsid w:val="00AC261F"/>
    <w:rsid w:val="00AC65D4"/>
    <w:rsid w:val="00B0424F"/>
    <w:rsid w:val="00B10224"/>
    <w:rsid w:val="00B1346F"/>
    <w:rsid w:val="00B175BF"/>
    <w:rsid w:val="00B52C37"/>
    <w:rsid w:val="00B53C78"/>
    <w:rsid w:val="00B61776"/>
    <w:rsid w:val="00B81DA4"/>
    <w:rsid w:val="00B95B90"/>
    <w:rsid w:val="00BD7649"/>
    <w:rsid w:val="00C0179C"/>
    <w:rsid w:val="00C06990"/>
    <w:rsid w:val="00C2577B"/>
    <w:rsid w:val="00C538C2"/>
    <w:rsid w:val="00C7427F"/>
    <w:rsid w:val="00C8182E"/>
    <w:rsid w:val="00CB749A"/>
    <w:rsid w:val="00CC5F6A"/>
    <w:rsid w:val="00D1318F"/>
    <w:rsid w:val="00D15D2B"/>
    <w:rsid w:val="00D217DC"/>
    <w:rsid w:val="00D249E7"/>
    <w:rsid w:val="00D43E15"/>
    <w:rsid w:val="00DC3482"/>
    <w:rsid w:val="00E04220"/>
    <w:rsid w:val="00E23639"/>
    <w:rsid w:val="00E25A2D"/>
    <w:rsid w:val="00E71007"/>
    <w:rsid w:val="00E76609"/>
    <w:rsid w:val="00E81CEC"/>
    <w:rsid w:val="00ED0D95"/>
    <w:rsid w:val="00EE1805"/>
    <w:rsid w:val="00EE7269"/>
    <w:rsid w:val="00EF695D"/>
    <w:rsid w:val="00F11BEE"/>
    <w:rsid w:val="00F406D9"/>
    <w:rsid w:val="00F70281"/>
    <w:rsid w:val="00F743FD"/>
    <w:rsid w:val="00F75EC6"/>
    <w:rsid w:val="00F80313"/>
    <w:rsid w:val="00F81B92"/>
    <w:rsid w:val="00FA0694"/>
    <w:rsid w:val="00FA275D"/>
    <w:rsid w:val="00FC7B29"/>
    <w:rsid w:val="00FD63C8"/>
    <w:rsid w:val="027D7A21"/>
    <w:rsid w:val="0FF418CD"/>
    <w:rsid w:val="18B092BA"/>
    <w:rsid w:val="308872DD"/>
    <w:rsid w:val="451AB452"/>
    <w:rsid w:val="49BF55CC"/>
    <w:rsid w:val="5243BD57"/>
    <w:rsid w:val="55D003EA"/>
    <w:rsid w:val="5FE2C9D7"/>
    <w:rsid w:val="708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F2BA"/>
  <w15:chartTrackingRefBased/>
  <w15:docId w15:val="{8C248E73-082D-4CB2-A849-2DEF8206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3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E31"/>
    <w:rPr>
      <w:b/>
      <w:bCs/>
      <w:smallCaps/>
      <w:color w:val="0F4761" w:themeColor="accent1" w:themeShade="BF"/>
      <w:spacing w:val="5"/>
    </w:rPr>
  </w:style>
  <w:style w:type="paragraph" w:customStyle="1" w:styleId="c7">
    <w:name w:val="c7"/>
    <w:basedOn w:val="Normal"/>
    <w:rsid w:val="00601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">
    <w:name w:val="d"/>
    <w:basedOn w:val="Normal"/>
    <w:rsid w:val="00601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">
    <w:name w:val="a"/>
    <w:basedOn w:val="Normal"/>
    <w:rsid w:val="00601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1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13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1EE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A44D8"/>
    <w:pPr>
      <w:spacing w:after="0" w:line="240" w:lineRule="auto"/>
    </w:pPr>
    <w:rPr>
      <w:kern w:val="2"/>
      <w:lang w:val="en-Z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">
    <w:name w:val="bl"/>
    <w:basedOn w:val="Normal"/>
    <w:rsid w:val="004B0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h">
    <w:name w:val="bh"/>
    <w:basedOn w:val="DefaultParagraphFont"/>
    <w:rsid w:val="004B073D"/>
  </w:style>
  <w:style w:type="paragraph" w:styleId="Revision">
    <w:name w:val="Revision"/>
    <w:hidden/>
    <w:uiPriority w:val="99"/>
    <w:semiHidden/>
    <w:rsid w:val="00B81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encoat@fticonsulting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eencoat@valeocapital.co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TaxCatchAll xmlns="801a3cf6-255d-4ff5-98fe-b4415afa84b5" xsi:nil="true"/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2025-06-06T15:09:03+00:00</DateRecei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7047-568C-4919-B104-125DAB5431FC}">
  <ds:schemaRefs>
    <ds:schemaRef ds:uri="http://schemas.microsoft.com/office/2006/metadata/properties"/>
    <ds:schemaRef ds:uri="http://schemas.microsoft.com/office/infopath/2007/PartnerControls"/>
    <ds:schemaRef ds:uri="dbfc03f3-afa5-45e9-834c-87a4b3bbcf86"/>
    <ds:schemaRef ds:uri="bf199d5d-9365-4f18-b43c-aee1868a8e0a"/>
  </ds:schemaRefs>
</ds:datastoreItem>
</file>

<file path=customXml/itemProps2.xml><?xml version="1.0" encoding="utf-8"?>
<ds:datastoreItem xmlns:ds="http://schemas.openxmlformats.org/officeDocument/2006/customXml" ds:itemID="{8EF01636-3837-4858-9859-BF0D28CC1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B6928-DDC2-4CD5-9BFA-E0476EDDB123}"/>
</file>

<file path=customXml/itemProps4.xml><?xml version="1.0" encoding="utf-8"?>
<ds:datastoreItem xmlns:ds="http://schemas.openxmlformats.org/officeDocument/2006/customXml" ds:itemID="{208E28C3-0F36-4BFA-A612-511D5233D0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1436</Characters>
  <Application>Microsoft Office Word</Application>
  <DocSecurity>0</DocSecurity>
  <Lines>119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Laverty</dc:creator>
  <cp:keywords/>
  <dc:description/>
  <cp:lastModifiedBy>Catherine Carron</cp:lastModifiedBy>
  <cp:revision>2</cp:revision>
  <dcterms:created xsi:type="dcterms:W3CDTF">2025-06-06T13:41:00Z</dcterms:created>
  <dcterms:modified xsi:type="dcterms:W3CDTF">2025-06-06T13:41:00Z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506623.0000/279271774.1</vt:lpwstr>
  </property>
  <property fmtid="{D5CDD505-2E9C-101B-9397-08002B2CF9AE}" pid="3" name="ContentTypeId">
    <vt:lpwstr>0x010100BE156B1CF39149A8843C57AB06C49AFE0011B886BEF4CCD94F85F46E94360FD412</vt:lpwstr>
  </property>
  <property fmtid="{D5CDD505-2E9C-101B-9397-08002B2CF9AE}" pid="4" name="MediaServiceImageTags">
    <vt:lpwstr/>
  </property>
</Properties>
</file>