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1C3E" w14:textId="627BE870" w:rsidR="00D54BB3" w:rsidRPr="00ED63DD" w:rsidRDefault="00D54BB3" w:rsidP="00ED63DD">
      <w:pPr>
        <w:tabs>
          <w:tab w:val="left" w:pos="870"/>
          <w:tab w:val="center" w:pos="3063"/>
        </w:tabs>
        <w:rPr>
          <w:b/>
          <w:bCs/>
          <w:sz w:val="22"/>
          <w:szCs w:val="22"/>
        </w:rPr>
      </w:pPr>
    </w:p>
    <w:p w14:paraId="320E28E5" w14:textId="1189AF20" w:rsidR="00BA3FC8" w:rsidRDefault="00BA3FC8" w:rsidP="009275D5">
      <w:pPr>
        <w:rPr>
          <w:rFonts w:ascii="TimesNewRomanPS-BoldMT" w:hAnsi="TimesNewRomanPS-BoldMT"/>
          <w:b/>
          <w:bCs/>
          <w:sz w:val="17"/>
          <w:szCs w:val="17"/>
          <w:lang w:eastAsia="en-GB"/>
        </w:rPr>
      </w:pPr>
    </w:p>
    <w:p w14:paraId="1D61C1D4" w14:textId="115C786A" w:rsidR="001722B6" w:rsidRPr="00227944" w:rsidRDefault="003E0231" w:rsidP="001722B6">
      <w:pPr>
        <w:jc w:val="both"/>
        <w:rPr>
          <w:rFonts w:cstheme="minorHAnsi"/>
          <w:sz w:val="20"/>
          <w:szCs w:val="20"/>
        </w:rPr>
      </w:pPr>
      <w:r w:rsidRPr="00227944">
        <w:rPr>
          <w:rFonts w:cstheme="minorHAnsi"/>
          <w:sz w:val="20"/>
          <w:szCs w:val="20"/>
        </w:rPr>
        <w:t xml:space="preserve">THIS ANNOUNCEMENT IS NOT FOR RELEASE, PUBLICATION OR DISTRIBUTION IN WHOLE OR IN PART, DIRECTLY OR INDIRECTLY, BY ANY MEANS OR MEDIA, IN OR INTO OR FROM THE UNITED STATES, CANADA, AUSTRALIA, </w:t>
      </w:r>
      <w:r w:rsidR="00ED62DE" w:rsidRPr="00227944">
        <w:rPr>
          <w:rFonts w:cstheme="minorHAnsi"/>
          <w:sz w:val="20"/>
          <w:szCs w:val="20"/>
        </w:rPr>
        <w:t xml:space="preserve">NEW ZEALAND, </w:t>
      </w:r>
      <w:r w:rsidRPr="00227944">
        <w:rPr>
          <w:rFonts w:cstheme="minorHAnsi"/>
          <w:sz w:val="20"/>
          <w:szCs w:val="20"/>
        </w:rPr>
        <w:t>JAPAN OR ANY OTHER JURISDICTION IN WHICH RELEASE, PUBLICATION OR DISTRIBUTION WOULD BE UNLAWFUL.</w:t>
      </w:r>
      <w:r w:rsidR="00C118DE" w:rsidRPr="00227944">
        <w:rPr>
          <w:rFonts w:cstheme="minorHAnsi"/>
          <w:noProof/>
          <w:sz w:val="20"/>
          <w:szCs w:val="20"/>
          <w:lang w:eastAsia="en-IE"/>
        </w:rPr>
        <w:t xml:space="preserve"> </w:t>
      </w:r>
    </w:p>
    <w:p w14:paraId="797E9FFE" w14:textId="122D3796" w:rsidR="00C118DE" w:rsidRPr="00C118DE" w:rsidRDefault="00C118DE" w:rsidP="00EF6979">
      <w:pPr>
        <w:pStyle w:val="KGContactTextBlue"/>
        <w:spacing w:before="0" w:after="0"/>
        <w:ind w:right="-2"/>
        <w:rPr>
          <w:rFonts w:ascii="Arial" w:eastAsia="SimSun" w:hAnsi="Arial" w:cs="Arial"/>
          <w:color w:val="000000" w:themeColor="text1"/>
          <w:sz w:val="20"/>
          <w:szCs w:val="20"/>
          <w:lang w:val="en-GB"/>
        </w:rPr>
      </w:pPr>
    </w:p>
    <w:p w14:paraId="2CD93C1A" w14:textId="77777777" w:rsidR="00C118DE" w:rsidRPr="007B4F1A" w:rsidRDefault="00C118DE" w:rsidP="00D54BB3">
      <w:pPr>
        <w:jc w:val="center"/>
        <w:rPr>
          <w:rFonts w:cstheme="minorHAnsi"/>
          <w:b/>
          <w:bCs/>
          <w:sz w:val="20"/>
          <w:szCs w:val="20"/>
        </w:rPr>
      </w:pPr>
    </w:p>
    <w:p w14:paraId="51464995" w14:textId="37AFDCE6" w:rsidR="00D54BB3" w:rsidRPr="007B4F1A" w:rsidRDefault="00917F3A" w:rsidP="00D54BB3">
      <w:pPr>
        <w:jc w:val="center"/>
        <w:rPr>
          <w:rFonts w:cstheme="minorHAnsi"/>
          <w:b/>
          <w:bCs/>
        </w:rPr>
      </w:pPr>
      <w:r w:rsidRPr="007B4F1A">
        <w:rPr>
          <w:rFonts w:cstheme="minorHAnsi"/>
          <w:b/>
          <w:bCs/>
        </w:rPr>
        <w:t xml:space="preserve">Net Asset Value </w:t>
      </w:r>
      <w:r w:rsidR="003E0231" w:rsidRPr="007B4F1A">
        <w:rPr>
          <w:rFonts w:cstheme="minorHAnsi"/>
          <w:b/>
          <w:bCs/>
        </w:rPr>
        <w:t xml:space="preserve">and Dividend </w:t>
      </w:r>
      <w:r w:rsidRPr="007B4F1A">
        <w:rPr>
          <w:rFonts w:cstheme="minorHAnsi"/>
          <w:b/>
          <w:bCs/>
        </w:rPr>
        <w:t>Announcement</w:t>
      </w:r>
    </w:p>
    <w:p w14:paraId="5A87E818" w14:textId="6D829D07" w:rsidR="00A7341D" w:rsidRPr="00C118DE" w:rsidRDefault="00A7341D" w:rsidP="00A7341D">
      <w:pPr>
        <w:jc w:val="both"/>
        <w:rPr>
          <w:rFonts w:ascii="Arial" w:hAnsi="Arial" w:cs="Arial"/>
          <w:sz w:val="20"/>
          <w:szCs w:val="20"/>
        </w:rPr>
      </w:pPr>
    </w:p>
    <w:p w14:paraId="2ADFB790" w14:textId="6F441BAA" w:rsidR="00EB39A6" w:rsidRPr="009B5E7A" w:rsidRDefault="00A7341D" w:rsidP="00A7341D">
      <w:pPr>
        <w:jc w:val="both"/>
        <w:rPr>
          <w:rFonts w:cstheme="minorHAnsi"/>
        </w:rPr>
      </w:pPr>
      <w:r w:rsidRPr="009B5E7A">
        <w:rPr>
          <w:rFonts w:cstheme="minorHAnsi"/>
          <w:b/>
        </w:rPr>
        <w:t>Dublin</w:t>
      </w:r>
      <w:r w:rsidR="00F02D83" w:rsidRPr="009B5E7A">
        <w:rPr>
          <w:rFonts w:cstheme="minorHAnsi"/>
          <w:b/>
        </w:rPr>
        <w:t xml:space="preserve">, </w:t>
      </w:r>
      <w:r w:rsidR="003E0231" w:rsidRPr="009B5E7A">
        <w:rPr>
          <w:rFonts w:cstheme="minorHAnsi"/>
          <w:b/>
        </w:rPr>
        <w:t>London</w:t>
      </w:r>
      <w:r w:rsidR="000B7209">
        <w:rPr>
          <w:rFonts w:cstheme="minorHAnsi"/>
          <w:b/>
        </w:rPr>
        <w:t>, Johannesburg</w:t>
      </w:r>
      <w:r w:rsidR="00A467AC">
        <w:rPr>
          <w:rFonts w:cstheme="minorHAnsi"/>
          <w:b/>
        </w:rPr>
        <w:t>|</w:t>
      </w:r>
      <w:r w:rsidR="003E0231" w:rsidRPr="009B5E7A">
        <w:rPr>
          <w:rFonts w:cstheme="minorHAnsi"/>
          <w:b/>
        </w:rPr>
        <w:t xml:space="preserve"> </w:t>
      </w:r>
      <w:r w:rsidR="008B3D4C">
        <w:rPr>
          <w:rFonts w:cstheme="minorHAnsi"/>
          <w:b/>
        </w:rPr>
        <w:t>30</w:t>
      </w:r>
      <w:r w:rsidR="005438B2">
        <w:rPr>
          <w:rFonts w:cstheme="minorHAnsi"/>
          <w:b/>
        </w:rPr>
        <w:t xml:space="preserve"> </w:t>
      </w:r>
      <w:r w:rsidR="008B3D4C">
        <w:rPr>
          <w:rFonts w:cstheme="minorHAnsi"/>
          <w:b/>
        </w:rPr>
        <w:t>October</w:t>
      </w:r>
      <w:r w:rsidR="005438B2">
        <w:rPr>
          <w:rFonts w:cstheme="minorHAnsi"/>
          <w:b/>
        </w:rPr>
        <w:t xml:space="preserve"> </w:t>
      </w:r>
      <w:r w:rsidR="003856D5" w:rsidRPr="009B5E7A">
        <w:rPr>
          <w:rFonts w:cstheme="minorHAnsi"/>
          <w:b/>
        </w:rPr>
        <w:t>202</w:t>
      </w:r>
      <w:r w:rsidR="00746CEB">
        <w:rPr>
          <w:rFonts w:cstheme="minorHAnsi"/>
          <w:b/>
        </w:rPr>
        <w:t>5</w:t>
      </w:r>
      <w:r w:rsidR="00917F3A" w:rsidRPr="009B5E7A">
        <w:rPr>
          <w:rFonts w:cstheme="minorHAnsi"/>
          <w:b/>
        </w:rPr>
        <w:t>:</w:t>
      </w:r>
      <w:r w:rsidR="00752CB3" w:rsidRPr="009B5E7A">
        <w:rPr>
          <w:rFonts w:cstheme="minorHAnsi"/>
          <w:b/>
        </w:rPr>
        <w:t xml:space="preserve"> </w:t>
      </w:r>
      <w:r w:rsidRPr="009B5E7A">
        <w:rPr>
          <w:rFonts w:cstheme="minorHAnsi"/>
        </w:rPr>
        <w:t>Greencoat Renewables</w:t>
      </w:r>
      <w:r w:rsidR="00752CB3" w:rsidRPr="009B5E7A">
        <w:rPr>
          <w:rFonts w:cstheme="minorHAnsi"/>
        </w:rPr>
        <w:t xml:space="preserve"> PLC (“</w:t>
      </w:r>
      <w:r w:rsidR="00752CB3" w:rsidRPr="009B5E7A">
        <w:rPr>
          <w:rFonts w:cstheme="minorHAnsi"/>
          <w:b/>
        </w:rPr>
        <w:t>G</w:t>
      </w:r>
      <w:r w:rsidR="00412B3B" w:rsidRPr="009B5E7A">
        <w:rPr>
          <w:rFonts w:cstheme="minorHAnsi"/>
          <w:b/>
        </w:rPr>
        <w:t>reencoat Renewables</w:t>
      </w:r>
      <w:r w:rsidR="00752CB3" w:rsidRPr="009B5E7A">
        <w:rPr>
          <w:rFonts w:cstheme="minorHAnsi"/>
        </w:rPr>
        <w:t>”</w:t>
      </w:r>
      <w:r w:rsidR="00635906" w:rsidRPr="009B5E7A">
        <w:rPr>
          <w:rFonts w:cstheme="minorHAnsi"/>
        </w:rPr>
        <w:t xml:space="preserve"> or the “</w:t>
      </w:r>
      <w:r w:rsidR="00635906" w:rsidRPr="009B5E7A">
        <w:rPr>
          <w:rFonts w:cstheme="minorHAnsi"/>
          <w:b/>
        </w:rPr>
        <w:t>Company</w:t>
      </w:r>
      <w:r w:rsidR="00635906" w:rsidRPr="009B5E7A">
        <w:rPr>
          <w:rFonts w:cstheme="minorHAnsi"/>
        </w:rPr>
        <w:t>”</w:t>
      </w:r>
      <w:r w:rsidR="00752CB3" w:rsidRPr="009B5E7A">
        <w:rPr>
          <w:rFonts w:cstheme="minorHAnsi"/>
        </w:rPr>
        <w:t xml:space="preserve">) </w:t>
      </w:r>
      <w:r w:rsidR="00357659" w:rsidRPr="009B5E7A">
        <w:rPr>
          <w:rFonts w:cstheme="minorHAnsi"/>
        </w:rPr>
        <w:t xml:space="preserve">today </w:t>
      </w:r>
      <w:r w:rsidR="007861A1" w:rsidRPr="009B5E7A">
        <w:rPr>
          <w:rFonts w:cstheme="minorHAnsi"/>
        </w:rPr>
        <w:t>announces</w:t>
      </w:r>
      <w:r w:rsidR="005E0CC1" w:rsidRPr="009B5E7A">
        <w:rPr>
          <w:rFonts w:cstheme="minorHAnsi"/>
        </w:rPr>
        <w:t xml:space="preserve"> </w:t>
      </w:r>
      <w:r w:rsidR="00917F3A" w:rsidRPr="009B5E7A">
        <w:rPr>
          <w:rFonts w:cstheme="minorHAnsi"/>
        </w:rPr>
        <w:t>that its unaudited Net Asset Va</w:t>
      </w:r>
      <w:r w:rsidR="00544922" w:rsidRPr="009B5E7A">
        <w:rPr>
          <w:rFonts w:cstheme="minorHAnsi"/>
        </w:rPr>
        <w:t xml:space="preserve">lue as </w:t>
      </w:r>
      <w:r w:rsidR="000163FD" w:rsidRPr="009B5E7A">
        <w:rPr>
          <w:rFonts w:cstheme="minorHAnsi"/>
        </w:rPr>
        <w:t xml:space="preserve">of </w:t>
      </w:r>
      <w:r w:rsidR="00531000">
        <w:rPr>
          <w:rFonts w:cstheme="minorHAnsi"/>
        </w:rPr>
        <w:t xml:space="preserve">30 </w:t>
      </w:r>
      <w:r w:rsidR="008B3D4C">
        <w:rPr>
          <w:rFonts w:cstheme="minorHAnsi"/>
        </w:rPr>
        <w:t>September</w:t>
      </w:r>
      <w:r w:rsidR="000B7209">
        <w:rPr>
          <w:rFonts w:cstheme="minorHAnsi"/>
        </w:rPr>
        <w:t xml:space="preserve"> </w:t>
      </w:r>
      <w:r w:rsidR="00005A94" w:rsidRPr="009B5E7A">
        <w:rPr>
          <w:rFonts w:cstheme="minorHAnsi"/>
        </w:rPr>
        <w:t>2</w:t>
      </w:r>
      <w:r w:rsidR="003450C3" w:rsidRPr="009B5E7A">
        <w:rPr>
          <w:rFonts w:cstheme="minorHAnsi"/>
        </w:rPr>
        <w:t>02</w:t>
      </w:r>
      <w:r w:rsidR="00CF4BB3">
        <w:rPr>
          <w:rFonts w:cstheme="minorHAnsi"/>
        </w:rPr>
        <w:t>5</w:t>
      </w:r>
      <w:r w:rsidR="003E0231" w:rsidRPr="009B5E7A">
        <w:rPr>
          <w:rFonts w:cstheme="minorHAnsi"/>
        </w:rPr>
        <w:t xml:space="preserve"> is</w:t>
      </w:r>
      <w:r w:rsidR="00804ED1" w:rsidRPr="009B5E7A">
        <w:rPr>
          <w:rFonts w:cstheme="minorHAnsi"/>
        </w:rPr>
        <w:t xml:space="preserve"> </w:t>
      </w:r>
      <w:r w:rsidR="003E0231" w:rsidRPr="009B5E7A">
        <w:rPr>
          <w:rFonts w:cstheme="minorHAnsi"/>
        </w:rPr>
        <w:t>€</w:t>
      </w:r>
      <w:r w:rsidR="00014473">
        <w:rPr>
          <w:rFonts w:cstheme="minorHAnsi"/>
        </w:rPr>
        <w:t>1,</w:t>
      </w:r>
      <w:r w:rsidR="008B3D4C">
        <w:rPr>
          <w:rFonts w:cstheme="minorHAnsi"/>
        </w:rPr>
        <w:t>130</w:t>
      </w:r>
      <w:r w:rsidR="00531000">
        <w:rPr>
          <w:rFonts w:cstheme="minorHAnsi"/>
        </w:rPr>
        <w:t xml:space="preserve"> </w:t>
      </w:r>
      <w:r w:rsidR="003E0231" w:rsidRPr="009B5E7A">
        <w:rPr>
          <w:rFonts w:cstheme="minorHAnsi"/>
        </w:rPr>
        <w:t>million (</w:t>
      </w:r>
      <w:r w:rsidR="00014473">
        <w:rPr>
          <w:rFonts w:cstheme="minorHAnsi"/>
        </w:rPr>
        <w:t>101.</w:t>
      </w:r>
      <w:r w:rsidR="008B3D4C">
        <w:rPr>
          <w:rFonts w:cstheme="minorHAnsi"/>
        </w:rPr>
        <w:t>5</w:t>
      </w:r>
      <w:r w:rsidR="003E0231" w:rsidRPr="009B5E7A">
        <w:rPr>
          <w:rFonts w:cstheme="minorHAnsi"/>
        </w:rPr>
        <w:t>c per share).</w:t>
      </w:r>
      <w:r w:rsidR="00F835AF" w:rsidRPr="009B5E7A">
        <w:rPr>
          <w:rFonts w:cstheme="minorHAnsi"/>
        </w:rPr>
        <w:t xml:space="preserve"> </w:t>
      </w:r>
    </w:p>
    <w:p w14:paraId="6391D6CB" w14:textId="77777777" w:rsidR="00917F3A" w:rsidRPr="00C118DE" w:rsidRDefault="00917F3A" w:rsidP="00A7341D">
      <w:pPr>
        <w:jc w:val="both"/>
        <w:rPr>
          <w:rFonts w:ascii="Arial" w:hAnsi="Arial" w:cs="Arial"/>
          <w:sz w:val="20"/>
          <w:szCs w:val="20"/>
        </w:rPr>
      </w:pPr>
    </w:p>
    <w:p w14:paraId="6CEA0E86" w14:textId="77777777" w:rsidR="00917F3A" w:rsidRPr="007B4F1A" w:rsidRDefault="00917F3A" w:rsidP="00917F3A">
      <w:pPr>
        <w:autoSpaceDE w:val="0"/>
        <w:autoSpaceDN w:val="0"/>
        <w:adjustRightInd w:val="0"/>
        <w:jc w:val="both"/>
        <w:rPr>
          <w:rFonts w:cstheme="minorHAnsi"/>
          <w:b/>
        </w:rPr>
      </w:pPr>
      <w:r w:rsidRPr="007B4F1A">
        <w:rPr>
          <w:rFonts w:cstheme="minorHAnsi"/>
          <w:b/>
        </w:rPr>
        <w:t>Net Asset Value</w:t>
      </w:r>
    </w:p>
    <w:p w14:paraId="6A3C1048" w14:textId="77777777" w:rsidR="00917F3A" w:rsidRPr="007B4F1A" w:rsidRDefault="00917F3A" w:rsidP="00917F3A">
      <w:pPr>
        <w:autoSpaceDE w:val="0"/>
        <w:autoSpaceDN w:val="0"/>
        <w:adjustRightInd w:val="0"/>
        <w:jc w:val="both"/>
        <w:rPr>
          <w:rFonts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3830"/>
      </w:tblGrid>
      <w:tr w:rsidR="00917F3A" w:rsidRPr="007B4F1A" w14:paraId="484D6A08" w14:textId="77777777" w:rsidTr="003E0231">
        <w:trPr>
          <w:trHeight w:val="70"/>
          <w:jc w:val="center"/>
        </w:trPr>
        <w:tc>
          <w:tcPr>
            <w:tcW w:w="4735" w:type="dxa"/>
          </w:tcPr>
          <w:p w14:paraId="1D497FB0" w14:textId="77777777" w:rsidR="00917F3A" w:rsidRPr="007B4F1A" w:rsidRDefault="00917F3A" w:rsidP="00FF489E">
            <w:pPr>
              <w:jc w:val="both"/>
              <w:rPr>
                <w:rFonts w:cstheme="minorHAnsi"/>
                <w:b/>
                <w:bCs/>
              </w:rPr>
            </w:pPr>
            <w:r w:rsidRPr="007B4F1A">
              <w:rPr>
                <w:rFonts w:cstheme="minorHAnsi"/>
                <w:b/>
                <w:bCs/>
              </w:rPr>
              <w:t>Net Asset Value / Net Asset Value per share</w:t>
            </w:r>
          </w:p>
        </w:tc>
        <w:tc>
          <w:tcPr>
            <w:tcW w:w="3830" w:type="dxa"/>
          </w:tcPr>
          <w:p w14:paraId="27B43B23" w14:textId="74A15888" w:rsidR="00917F3A" w:rsidRPr="007B4F1A" w:rsidRDefault="00917F3A" w:rsidP="00483680">
            <w:pPr>
              <w:jc w:val="both"/>
              <w:rPr>
                <w:rFonts w:cstheme="minorHAnsi"/>
                <w:bCs/>
              </w:rPr>
            </w:pPr>
            <w:r w:rsidRPr="007B4F1A">
              <w:rPr>
                <w:rFonts w:cstheme="minorHAnsi"/>
                <w:bCs/>
              </w:rPr>
              <w:t>€</w:t>
            </w:r>
            <w:r w:rsidR="00014473">
              <w:rPr>
                <w:rFonts w:cstheme="minorHAnsi"/>
                <w:bCs/>
              </w:rPr>
              <w:t>1,</w:t>
            </w:r>
            <w:r w:rsidR="00CD1B8A">
              <w:rPr>
                <w:rFonts w:cstheme="minorHAnsi"/>
                <w:bCs/>
              </w:rPr>
              <w:t>1</w:t>
            </w:r>
            <w:r w:rsidR="008B3D4C">
              <w:rPr>
                <w:rFonts w:cstheme="minorHAnsi"/>
                <w:bCs/>
              </w:rPr>
              <w:t>30</w:t>
            </w:r>
            <w:r w:rsidR="00014473">
              <w:rPr>
                <w:rFonts w:cstheme="minorHAnsi"/>
                <w:bCs/>
              </w:rPr>
              <w:t xml:space="preserve"> </w:t>
            </w:r>
            <w:r w:rsidR="003E0231" w:rsidRPr="007B4F1A">
              <w:rPr>
                <w:rFonts w:cstheme="minorHAnsi"/>
                <w:bCs/>
              </w:rPr>
              <w:t>million /</w:t>
            </w:r>
            <w:r w:rsidR="00014473">
              <w:rPr>
                <w:rFonts w:cstheme="minorHAnsi"/>
                <w:bCs/>
              </w:rPr>
              <w:t>101.</w:t>
            </w:r>
            <w:r w:rsidR="008B3D4C">
              <w:rPr>
                <w:rFonts w:cstheme="minorHAnsi"/>
                <w:bCs/>
              </w:rPr>
              <w:t>5</w:t>
            </w:r>
            <w:r w:rsidR="00193982" w:rsidRPr="007B4F1A">
              <w:rPr>
                <w:rFonts w:cstheme="minorHAnsi"/>
                <w:bCs/>
              </w:rPr>
              <w:t>c</w:t>
            </w:r>
            <w:r w:rsidR="003E0231" w:rsidRPr="007B4F1A">
              <w:rPr>
                <w:rFonts w:cstheme="minorHAnsi"/>
                <w:bCs/>
              </w:rPr>
              <w:t xml:space="preserve"> per share</w:t>
            </w:r>
          </w:p>
        </w:tc>
      </w:tr>
      <w:tr w:rsidR="003E0231" w:rsidRPr="007B4F1A" w14:paraId="202E617C" w14:textId="77777777" w:rsidTr="003E0231">
        <w:trPr>
          <w:trHeight w:val="70"/>
          <w:jc w:val="center"/>
        </w:trPr>
        <w:tc>
          <w:tcPr>
            <w:tcW w:w="4735" w:type="dxa"/>
          </w:tcPr>
          <w:p w14:paraId="5CE99736" w14:textId="6CCE5257" w:rsidR="003E0231" w:rsidRPr="007B4F1A" w:rsidRDefault="00852A74" w:rsidP="003E0231">
            <w:pPr>
              <w:jc w:val="both"/>
              <w:rPr>
                <w:rFonts w:cstheme="minorHAnsi"/>
                <w:b/>
                <w:bCs/>
              </w:rPr>
            </w:pPr>
            <w:r w:rsidRPr="007B4F1A">
              <w:rPr>
                <w:rFonts w:cstheme="minorHAnsi"/>
                <w:b/>
                <w:bCs/>
              </w:rPr>
              <w:t>Q</w:t>
            </w:r>
            <w:r w:rsidR="008B3D4C">
              <w:rPr>
                <w:rFonts w:cstheme="minorHAnsi"/>
                <w:b/>
                <w:bCs/>
              </w:rPr>
              <w:t>3</w:t>
            </w:r>
            <w:r w:rsidRPr="007B4F1A">
              <w:rPr>
                <w:rFonts w:cstheme="minorHAnsi"/>
                <w:b/>
                <w:bCs/>
              </w:rPr>
              <w:t xml:space="preserve"> </w:t>
            </w:r>
            <w:r w:rsidR="003E0231" w:rsidRPr="007B4F1A">
              <w:rPr>
                <w:rFonts w:cstheme="minorHAnsi"/>
                <w:b/>
                <w:bCs/>
              </w:rPr>
              <w:t>Dividend/Dividend per share</w:t>
            </w:r>
            <w:r w:rsidR="003E0231" w:rsidRPr="007B4F1A">
              <w:rPr>
                <w:rFonts w:cstheme="minorHAnsi"/>
                <w:b/>
                <w:bCs/>
              </w:rPr>
              <w:tab/>
            </w:r>
          </w:p>
        </w:tc>
        <w:tc>
          <w:tcPr>
            <w:tcW w:w="3830" w:type="dxa"/>
          </w:tcPr>
          <w:p w14:paraId="085AD873" w14:textId="39D06BD9" w:rsidR="003E0231" w:rsidRPr="007B4F1A" w:rsidRDefault="004A2B7A" w:rsidP="00635906">
            <w:pPr>
              <w:jc w:val="both"/>
              <w:rPr>
                <w:rFonts w:cstheme="minorHAnsi"/>
                <w:bCs/>
              </w:rPr>
            </w:pPr>
            <w:r w:rsidRPr="007B4F1A">
              <w:rPr>
                <w:rFonts w:cstheme="minorHAnsi"/>
                <w:bCs/>
              </w:rPr>
              <w:t>€</w:t>
            </w:r>
            <w:r w:rsidR="00014473">
              <w:rPr>
                <w:rFonts w:cstheme="minorHAnsi"/>
                <w:bCs/>
              </w:rPr>
              <w:t xml:space="preserve">19.0 </w:t>
            </w:r>
            <w:r w:rsidRPr="007B4F1A">
              <w:rPr>
                <w:rFonts w:cstheme="minorHAnsi"/>
                <w:bCs/>
              </w:rPr>
              <w:t xml:space="preserve">million / </w:t>
            </w:r>
            <w:r w:rsidR="00014473">
              <w:rPr>
                <w:rFonts w:cstheme="minorHAnsi"/>
                <w:bCs/>
              </w:rPr>
              <w:t>1.70250</w:t>
            </w:r>
            <w:r w:rsidRPr="007B4F1A">
              <w:rPr>
                <w:rFonts w:cstheme="minorHAnsi"/>
                <w:bCs/>
              </w:rPr>
              <w:t>c per share</w:t>
            </w:r>
          </w:p>
        </w:tc>
      </w:tr>
    </w:tbl>
    <w:p w14:paraId="2E5EA43F" w14:textId="77777777" w:rsidR="003E0231" w:rsidRPr="00C118DE" w:rsidRDefault="003E0231" w:rsidP="003E0231">
      <w:pPr>
        <w:tabs>
          <w:tab w:val="left" w:pos="5760"/>
        </w:tabs>
        <w:contextualSpacing/>
        <w:jc w:val="both"/>
        <w:rPr>
          <w:rFonts w:ascii="Arial" w:hAnsi="Arial" w:cs="Arial"/>
          <w:b/>
          <w:bCs/>
          <w:sz w:val="20"/>
          <w:szCs w:val="20"/>
        </w:rPr>
      </w:pPr>
    </w:p>
    <w:p w14:paraId="5CBDD131" w14:textId="1792E1F2" w:rsidR="00F8521A" w:rsidRDefault="00D837E2" w:rsidP="003E0231">
      <w:pPr>
        <w:tabs>
          <w:tab w:val="left" w:pos="5760"/>
        </w:tabs>
        <w:contextualSpacing/>
        <w:jc w:val="both"/>
        <w:rPr>
          <w:rFonts w:cstheme="minorHAnsi"/>
          <w:b/>
          <w:bCs/>
          <w:sz w:val="20"/>
          <w:szCs w:val="20"/>
        </w:rPr>
      </w:pPr>
      <w:r w:rsidRPr="008D341B">
        <w:rPr>
          <w:rFonts w:cstheme="minorHAnsi"/>
          <w:b/>
          <w:bCs/>
          <w:sz w:val="20"/>
          <w:szCs w:val="20"/>
        </w:rPr>
        <w:t>Financial and Operational Highlights</w:t>
      </w:r>
    </w:p>
    <w:p w14:paraId="2CEBB9E7" w14:textId="77777777" w:rsidR="008B3D4C" w:rsidRDefault="008B3D4C" w:rsidP="003E0231">
      <w:pPr>
        <w:tabs>
          <w:tab w:val="left" w:pos="5760"/>
        </w:tabs>
        <w:contextualSpacing/>
        <w:jc w:val="both"/>
        <w:rPr>
          <w:rFonts w:cstheme="minorHAnsi"/>
          <w:b/>
          <w:bCs/>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8B3D4C" w:rsidRPr="00F46E3C" w14:paraId="5239081C" w14:textId="77777777" w:rsidTr="00392F02">
        <w:trPr>
          <w:trHeight w:val="1560"/>
        </w:trPr>
        <w:tc>
          <w:tcPr>
            <w:tcW w:w="7230" w:type="dxa"/>
          </w:tcPr>
          <w:p w14:paraId="7664FC0C" w14:textId="77777777" w:rsidR="008B3D4C" w:rsidRDefault="008B3D4C" w:rsidP="00392F02">
            <w:pPr>
              <w:pStyle w:val="ListParagraph"/>
              <w:spacing w:after="200" w:line="276" w:lineRule="auto"/>
              <w:jc w:val="both"/>
              <w:rPr>
                <w:rFonts w:ascii="Calibri" w:hAnsi="Calibri" w:cs="Calibri"/>
                <w:b/>
                <w:bCs/>
                <w:sz w:val="20"/>
                <w:szCs w:val="20"/>
              </w:rPr>
            </w:pPr>
            <w:bookmarkStart w:id="0" w:name="_Hlk77830528"/>
            <w:bookmarkStart w:id="1" w:name="_Hlk140564947"/>
          </w:p>
          <w:p w14:paraId="1B2660E2" w14:textId="77777777" w:rsidR="008B3D4C" w:rsidRPr="00FE667F" w:rsidRDefault="008B3D4C" w:rsidP="00CD1FCD">
            <w:pPr>
              <w:pStyle w:val="ListParagraph"/>
              <w:numPr>
                <w:ilvl w:val="0"/>
                <w:numId w:val="7"/>
              </w:numPr>
              <w:spacing w:after="200" w:line="276" w:lineRule="auto"/>
              <w:jc w:val="both"/>
              <w:rPr>
                <w:rFonts w:ascii="Calibri" w:hAnsi="Calibri" w:cs="Calibri"/>
                <w:b/>
                <w:bCs/>
                <w:sz w:val="20"/>
                <w:szCs w:val="20"/>
              </w:rPr>
            </w:pPr>
            <w:r>
              <w:rPr>
                <w:rFonts w:ascii="Calibri" w:hAnsi="Calibri" w:cs="Calibri"/>
                <w:b/>
                <w:bCs/>
                <w:sz w:val="20"/>
                <w:szCs w:val="20"/>
              </w:rPr>
              <w:t xml:space="preserve">Strong cash generation and dividend cover in low generation period </w:t>
            </w:r>
          </w:p>
          <w:p w14:paraId="2A5F6FC8" w14:textId="34AE5FF7" w:rsidR="008B3D4C" w:rsidRPr="00C542BE" w:rsidRDefault="008B3D4C" w:rsidP="00CD1FCD">
            <w:pPr>
              <w:pStyle w:val="ListParagraph"/>
              <w:numPr>
                <w:ilvl w:val="1"/>
                <w:numId w:val="7"/>
              </w:numPr>
              <w:spacing w:after="200"/>
              <w:jc w:val="both"/>
            </w:pPr>
            <w:r>
              <w:rPr>
                <w:rFonts w:ascii="Calibri" w:hAnsi="Calibri" w:cs="Calibri"/>
                <w:sz w:val="20"/>
                <w:szCs w:val="20"/>
              </w:rPr>
              <w:t>Q3 gross cash generation of €23.2 million</w:t>
            </w:r>
            <w:r>
              <w:rPr>
                <w:rStyle w:val="FootnoteReference"/>
                <w:rFonts w:ascii="Calibri" w:hAnsi="Calibri" w:cs="Calibri"/>
                <w:sz w:val="16"/>
                <w:szCs w:val="16"/>
              </w:rPr>
              <w:t>1</w:t>
            </w:r>
            <w:r>
              <w:rPr>
                <w:rFonts w:ascii="Calibri" w:hAnsi="Calibri" w:cs="Calibri"/>
                <w:sz w:val="20"/>
                <w:szCs w:val="20"/>
              </w:rPr>
              <w:t xml:space="preserve"> equating to 1.2x gross dividend cover in a low generation period </w:t>
            </w:r>
          </w:p>
          <w:p w14:paraId="2A500F8B" w14:textId="77777777" w:rsidR="008B3D4C" w:rsidRPr="003A7696" w:rsidRDefault="008B3D4C" w:rsidP="00CD1FCD">
            <w:pPr>
              <w:pStyle w:val="ListParagraph"/>
              <w:numPr>
                <w:ilvl w:val="1"/>
                <w:numId w:val="7"/>
              </w:numPr>
              <w:spacing w:after="200"/>
              <w:jc w:val="both"/>
              <w:rPr>
                <w:rFonts w:ascii="Calibri" w:hAnsi="Calibri" w:cs="Calibri"/>
                <w:sz w:val="20"/>
                <w:szCs w:val="20"/>
              </w:rPr>
            </w:pPr>
            <w:r>
              <w:rPr>
                <w:rFonts w:ascii="Calibri" w:hAnsi="Calibri" w:cs="Calibri"/>
                <w:sz w:val="20"/>
                <w:szCs w:val="20"/>
              </w:rPr>
              <w:t xml:space="preserve">Q3 generation 2% below budget </w:t>
            </w:r>
          </w:p>
          <w:p w14:paraId="5C7110B3" w14:textId="77777777" w:rsidR="008B3D4C" w:rsidRPr="00FD6829" w:rsidRDefault="008B3D4C" w:rsidP="00CD1FCD">
            <w:pPr>
              <w:pStyle w:val="ListParagraph"/>
              <w:numPr>
                <w:ilvl w:val="1"/>
                <w:numId w:val="7"/>
              </w:numPr>
              <w:jc w:val="both"/>
              <w:rPr>
                <w:rFonts w:ascii="Calibri" w:hAnsi="Calibri" w:cs="Calibri"/>
                <w:sz w:val="20"/>
                <w:szCs w:val="20"/>
              </w:rPr>
            </w:pPr>
            <w:r w:rsidRPr="00FD6829">
              <w:rPr>
                <w:rFonts w:ascii="Calibri" w:hAnsi="Calibri" w:cs="Calibri"/>
                <w:sz w:val="20"/>
                <w:szCs w:val="20"/>
              </w:rPr>
              <w:t>6.81 cent per share target dividend for 2025</w:t>
            </w:r>
            <w:r>
              <w:rPr>
                <w:rFonts w:ascii="Calibri" w:hAnsi="Calibri" w:cs="Calibri"/>
                <w:sz w:val="20"/>
                <w:szCs w:val="20"/>
              </w:rPr>
              <w:t>, with full year gross dividend cover anticipated to be 1.6x</w:t>
            </w:r>
          </w:p>
          <w:p w14:paraId="789A8E9F" w14:textId="77777777" w:rsidR="008B3D4C" w:rsidRPr="00FD6829" w:rsidRDefault="008B3D4C" w:rsidP="00392F02">
            <w:pPr>
              <w:pStyle w:val="ListParagraph"/>
              <w:spacing w:after="200"/>
              <w:ind w:left="1440"/>
              <w:jc w:val="both"/>
              <w:rPr>
                <w:rFonts w:ascii="Calibri" w:hAnsi="Calibri" w:cs="Calibri"/>
                <w:sz w:val="20"/>
                <w:szCs w:val="20"/>
              </w:rPr>
            </w:pPr>
          </w:p>
          <w:p w14:paraId="5C5E63AB" w14:textId="77777777" w:rsidR="008B3D4C" w:rsidRPr="00554BA0" w:rsidRDefault="008B3D4C" w:rsidP="00CD1FCD">
            <w:pPr>
              <w:pStyle w:val="ListParagraph"/>
              <w:numPr>
                <w:ilvl w:val="0"/>
                <w:numId w:val="7"/>
              </w:numPr>
              <w:spacing w:after="200"/>
              <w:jc w:val="both"/>
              <w:rPr>
                <w:b/>
                <w:bCs/>
              </w:rPr>
            </w:pPr>
            <w:r>
              <w:rPr>
                <w:rFonts w:ascii="Calibri" w:hAnsi="Calibri" w:cs="Calibri"/>
                <w:b/>
                <w:bCs/>
                <w:sz w:val="20"/>
                <w:szCs w:val="20"/>
              </w:rPr>
              <w:t xml:space="preserve">Completion of accretive disposals and reduced gearing  </w:t>
            </w:r>
          </w:p>
          <w:p w14:paraId="2C228558" w14:textId="77777777" w:rsidR="008B3D4C" w:rsidRDefault="008B3D4C" w:rsidP="00CD1FCD">
            <w:pPr>
              <w:pStyle w:val="ListParagraph"/>
              <w:numPr>
                <w:ilvl w:val="1"/>
                <w:numId w:val="7"/>
              </w:numPr>
              <w:jc w:val="both"/>
              <w:rPr>
                <w:rFonts w:ascii="Calibri" w:hAnsi="Calibri" w:cs="Calibri"/>
                <w:sz w:val="20"/>
                <w:szCs w:val="20"/>
              </w:rPr>
            </w:pPr>
            <w:r>
              <w:rPr>
                <w:rFonts w:ascii="Calibri" w:hAnsi="Calibri" w:cs="Calibri"/>
                <w:sz w:val="20"/>
                <w:szCs w:val="20"/>
              </w:rPr>
              <w:t xml:space="preserve">Completed the disposal of a 116MW portfolio of six Irish assets for total proceeds of €156 million, representing a 4% premium to last reported net asset value </w:t>
            </w:r>
          </w:p>
          <w:p w14:paraId="43623BDD" w14:textId="77777777" w:rsidR="008B3D4C" w:rsidRPr="004C59C7" w:rsidRDefault="008B3D4C" w:rsidP="00CD1FCD">
            <w:pPr>
              <w:pStyle w:val="ListParagraph"/>
              <w:numPr>
                <w:ilvl w:val="1"/>
                <w:numId w:val="7"/>
              </w:numPr>
              <w:jc w:val="both"/>
              <w:rPr>
                <w:rFonts w:ascii="Calibri" w:hAnsi="Calibri" w:cs="Calibri"/>
                <w:sz w:val="20"/>
                <w:szCs w:val="20"/>
              </w:rPr>
            </w:pPr>
            <w:r>
              <w:rPr>
                <w:rFonts w:ascii="Calibri" w:hAnsi="Calibri" w:cs="Calibri"/>
                <w:sz w:val="20"/>
                <w:szCs w:val="20"/>
              </w:rPr>
              <w:t>Proceeds used for debt repayment resulting in a reduction in total debt to</w:t>
            </w:r>
            <w:r w:rsidRPr="004C59C7">
              <w:rPr>
                <w:rFonts w:ascii="Calibri" w:hAnsi="Calibri" w:cs="Calibri"/>
                <w:sz w:val="20"/>
                <w:szCs w:val="20"/>
              </w:rPr>
              <w:t xml:space="preserve"> €1,209 million </w:t>
            </w:r>
            <w:r>
              <w:rPr>
                <w:rFonts w:ascii="Calibri" w:hAnsi="Calibri" w:cs="Calibri"/>
                <w:sz w:val="20"/>
                <w:szCs w:val="20"/>
              </w:rPr>
              <w:t>with gearing down to 51.7% from 54.6% at Q2</w:t>
            </w:r>
          </w:p>
          <w:p w14:paraId="2A9F5E49" w14:textId="77777777" w:rsidR="008B3D4C" w:rsidRPr="00554BA0" w:rsidRDefault="008B3D4C" w:rsidP="00CD1FCD">
            <w:pPr>
              <w:pStyle w:val="ListParagraph"/>
              <w:numPr>
                <w:ilvl w:val="1"/>
                <w:numId w:val="7"/>
              </w:numPr>
              <w:jc w:val="both"/>
              <w:rPr>
                <w:rFonts w:ascii="Calibri" w:hAnsi="Calibri" w:cs="Calibri"/>
                <w:sz w:val="20"/>
                <w:szCs w:val="20"/>
              </w:rPr>
            </w:pPr>
            <w:r>
              <w:rPr>
                <w:rFonts w:ascii="Calibri" w:hAnsi="Calibri" w:cs="Calibri"/>
                <w:sz w:val="20"/>
                <w:szCs w:val="20"/>
              </w:rPr>
              <w:t xml:space="preserve">Weighted average cost of debt of 2.9% increasing to 3.4% on a pro-forma basis from October 2025 post the extension of Facility A </w:t>
            </w:r>
          </w:p>
          <w:p w14:paraId="3EF0D78F" w14:textId="77777777" w:rsidR="008B3D4C" w:rsidRPr="003A7696" w:rsidRDefault="008B3D4C" w:rsidP="00392F02">
            <w:pPr>
              <w:jc w:val="both"/>
              <w:rPr>
                <w:rFonts w:ascii="Calibri" w:hAnsi="Calibri" w:cs="Calibri"/>
                <w:sz w:val="20"/>
                <w:szCs w:val="20"/>
              </w:rPr>
            </w:pPr>
          </w:p>
          <w:p w14:paraId="388A55E7" w14:textId="77777777" w:rsidR="008B3D4C" w:rsidRPr="00DA2FCA" w:rsidRDefault="008B3D4C" w:rsidP="00CD1FCD">
            <w:pPr>
              <w:pStyle w:val="ListParagraph"/>
              <w:numPr>
                <w:ilvl w:val="0"/>
                <w:numId w:val="7"/>
              </w:numPr>
              <w:jc w:val="both"/>
              <w:rPr>
                <w:rFonts w:ascii="Calibri" w:hAnsi="Calibri" w:cs="Calibri"/>
                <w:b/>
                <w:bCs/>
                <w:sz w:val="20"/>
                <w:szCs w:val="20"/>
              </w:rPr>
            </w:pPr>
            <w:r w:rsidRPr="00DA2FCA">
              <w:rPr>
                <w:rFonts w:ascii="Calibri" w:hAnsi="Calibri" w:cs="Calibri"/>
                <w:b/>
                <w:bCs/>
                <w:sz w:val="20"/>
                <w:szCs w:val="20"/>
              </w:rPr>
              <w:t xml:space="preserve">Additional listing supporting improved liquidity for shareholders </w:t>
            </w:r>
          </w:p>
          <w:p w14:paraId="2E0E474D" w14:textId="77777777" w:rsidR="008B3D4C" w:rsidRPr="00297891" w:rsidRDefault="008B3D4C" w:rsidP="00CD1FCD">
            <w:pPr>
              <w:pStyle w:val="ListParagraph"/>
              <w:numPr>
                <w:ilvl w:val="1"/>
                <w:numId w:val="7"/>
              </w:numPr>
              <w:spacing w:after="200"/>
              <w:jc w:val="both"/>
              <w:rPr>
                <w:rFonts w:ascii="Calibri" w:hAnsi="Calibri" w:cs="Calibri"/>
                <w:sz w:val="20"/>
                <w:szCs w:val="20"/>
              </w:rPr>
            </w:pPr>
            <w:r>
              <w:rPr>
                <w:rFonts w:ascii="Calibri" w:hAnsi="Calibri" w:cs="Calibri"/>
                <w:sz w:val="20"/>
                <w:szCs w:val="20"/>
              </w:rPr>
              <w:t xml:space="preserve">The Company’s </w:t>
            </w:r>
            <w:r w:rsidRPr="00DA2FCA">
              <w:rPr>
                <w:rFonts w:ascii="Calibri" w:hAnsi="Calibri" w:cs="Calibri"/>
                <w:sz w:val="20"/>
                <w:szCs w:val="20"/>
              </w:rPr>
              <w:t>JSE listing</w:t>
            </w:r>
            <w:r>
              <w:rPr>
                <w:rFonts w:ascii="Calibri" w:hAnsi="Calibri" w:cs="Calibri"/>
                <w:sz w:val="20"/>
                <w:szCs w:val="20"/>
              </w:rPr>
              <w:t xml:space="preserve"> is</w:t>
            </w:r>
            <w:r w:rsidRPr="00DA2FCA">
              <w:rPr>
                <w:rFonts w:ascii="Calibri" w:hAnsi="Calibri" w:cs="Calibri"/>
                <w:sz w:val="20"/>
                <w:szCs w:val="20"/>
              </w:rPr>
              <w:t xml:space="preserve"> driving increased liquidity</w:t>
            </w:r>
            <w:r>
              <w:rPr>
                <w:rFonts w:ascii="Calibri" w:hAnsi="Calibri" w:cs="Calibri"/>
                <w:sz w:val="20"/>
                <w:szCs w:val="20"/>
              </w:rPr>
              <w:t xml:space="preserve"> representing 14% of total volumes in Q3</w:t>
            </w:r>
          </w:p>
          <w:p w14:paraId="313D8825" w14:textId="02C2E6FB" w:rsidR="008B3D4C" w:rsidRDefault="00CD1FCD" w:rsidP="00392F02">
            <w:pPr>
              <w:pStyle w:val="ListParagraph"/>
              <w:numPr>
                <w:ilvl w:val="1"/>
                <w:numId w:val="7"/>
              </w:numPr>
              <w:spacing w:after="200"/>
              <w:jc w:val="both"/>
              <w:rPr>
                <w:rFonts w:ascii="Calibri" w:hAnsi="Calibri" w:cs="Calibri"/>
                <w:sz w:val="20"/>
                <w:szCs w:val="20"/>
              </w:rPr>
            </w:pPr>
            <w:r w:rsidRPr="00CD1FCD">
              <w:rPr>
                <w:rFonts w:ascii="Calibri" w:hAnsi="Calibri" w:cs="Calibri"/>
                <w:sz w:val="20"/>
                <w:szCs w:val="20"/>
              </w:rPr>
              <w:t xml:space="preserve">The Company expects to seek JSE approval to list on the Main Board, </w:t>
            </w:r>
            <w:proofErr w:type="gramStart"/>
            <w:r w:rsidRPr="00CD1FCD">
              <w:rPr>
                <w:rFonts w:ascii="Calibri" w:hAnsi="Calibri" w:cs="Calibri"/>
                <w:sz w:val="20"/>
                <w:szCs w:val="20"/>
              </w:rPr>
              <w:t>in order to</w:t>
            </w:r>
            <w:proofErr w:type="gramEnd"/>
            <w:r w:rsidRPr="00CD1FCD">
              <w:rPr>
                <w:rFonts w:ascii="Calibri" w:hAnsi="Calibri" w:cs="Calibri"/>
                <w:sz w:val="20"/>
                <w:szCs w:val="20"/>
              </w:rPr>
              <w:t xml:space="preserve"> achieve index inclusion and expand its access to a wider investor base in due course </w:t>
            </w:r>
          </w:p>
          <w:p w14:paraId="1A366CB2" w14:textId="77777777" w:rsidR="00AC281F" w:rsidRPr="00AC281F" w:rsidRDefault="00AC281F" w:rsidP="00AC281F">
            <w:pPr>
              <w:pStyle w:val="ListParagraph"/>
              <w:spacing w:after="200"/>
              <w:ind w:left="1440"/>
              <w:jc w:val="both"/>
              <w:rPr>
                <w:rFonts w:ascii="Calibri" w:hAnsi="Calibri" w:cs="Calibri"/>
                <w:sz w:val="20"/>
                <w:szCs w:val="20"/>
              </w:rPr>
            </w:pPr>
          </w:p>
          <w:p w14:paraId="209CCE1B" w14:textId="7AEF2C65" w:rsidR="008B3D4C" w:rsidRPr="00FE667F" w:rsidRDefault="00026823" w:rsidP="00CD1FCD">
            <w:pPr>
              <w:pStyle w:val="ListParagraph"/>
              <w:numPr>
                <w:ilvl w:val="0"/>
                <w:numId w:val="7"/>
              </w:numPr>
              <w:spacing w:after="200"/>
              <w:jc w:val="both"/>
              <w:rPr>
                <w:rFonts w:ascii="Calibri" w:hAnsi="Calibri" w:cs="Calibri"/>
                <w:b/>
                <w:bCs/>
                <w:sz w:val="20"/>
                <w:szCs w:val="20"/>
              </w:rPr>
            </w:pPr>
            <w:r>
              <w:rPr>
                <w:rFonts w:ascii="Calibri" w:hAnsi="Calibri" w:cs="Calibri"/>
                <w:b/>
                <w:bCs/>
                <w:sz w:val="20"/>
                <w:szCs w:val="20"/>
              </w:rPr>
              <w:t xml:space="preserve">Robust </w:t>
            </w:r>
            <w:r w:rsidR="008B3D4C" w:rsidRPr="00FE667F">
              <w:rPr>
                <w:rFonts w:ascii="Calibri" w:hAnsi="Calibri" w:cs="Calibri"/>
                <w:b/>
                <w:bCs/>
                <w:sz w:val="20"/>
                <w:szCs w:val="20"/>
              </w:rPr>
              <w:t>NAV</w:t>
            </w:r>
            <w:r w:rsidR="008B3D4C">
              <w:rPr>
                <w:rFonts w:ascii="Calibri" w:hAnsi="Calibri" w:cs="Calibri"/>
                <w:b/>
                <w:bCs/>
                <w:sz w:val="20"/>
                <w:szCs w:val="20"/>
              </w:rPr>
              <w:t xml:space="preserve"> and operational performance </w:t>
            </w:r>
          </w:p>
          <w:p w14:paraId="3A9BB368" w14:textId="77777777" w:rsidR="008B3D4C" w:rsidRPr="00235E0F" w:rsidRDefault="008B3D4C" w:rsidP="00CD1FCD">
            <w:pPr>
              <w:pStyle w:val="ListParagraph"/>
              <w:numPr>
                <w:ilvl w:val="1"/>
                <w:numId w:val="7"/>
              </w:numPr>
              <w:spacing w:after="200"/>
              <w:jc w:val="both"/>
              <w:rPr>
                <w:rFonts w:ascii="Calibri" w:hAnsi="Calibri" w:cs="Calibri"/>
                <w:sz w:val="20"/>
                <w:szCs w:val="20"/>
              </w:rPr>
            </w:pPr>
            <w:r>
              <w:rPr>
                <w:rFonts w:ascii="Calibri" w:hAnsi="Calibri" w:cs="Calibri"/>
                <w:sz w:val="20"/>
                <w:szCs w:val="20"/>
              </w:rPr>
              <w:t>Q3 NAV up 0.5c at 101.5c:</w:t>
            </w:r>
          </w:p>
          <w:p w14:paraId="023E6F35" w14:textId="77777777" w:rsidR="008B3D4C" w:rsidRDefault="008B3D4C" w:rsidP="00CD1FCD">
            <w:pPr>
              <w:pStyle w:val="ListParagraph"/>
              <w:numPr>
                <w:ilvl w:val="2"/>
                <w:numId w:val="7"/>
              </w:numPr>
              <w:spacing w:after="200"/>
              <w:jc w:val="both"/>
              <w:rPr>
                <w:rFonts w:ascii="Calibri" w:hAnsi="Calibri" w:cs="Calibri"/>
                <w:sz w:val="20"/>
                <w:szCs w:val="20"/>
              </w:rPr>
            </w:pPr>
            <w:r>
              <w:rPr>
                <w:rFonts w:ascii="Calibri" w:hAnsi="Calibri" w:cs="Calibri"/>
                <w:sz w:val="20"/>
                <w:szCs w:val="20"/>
              </w:rPr>
              <w:t>+2.1c from Q3 net cash generation, offset by -1.7c of dividends paid, -0.2c for depreciation and -0.7c accruals movement</w:t>
            </w:r>
          </w:p>
          <w:p w14:paraId="303CF03D" w14:textId="77777777" w:rsidR="008B3D4C" w:rsidRDefault="008B3D4C" w:rsidP="00CD1FCD">
            <w:pPr>
              <w:pStyle w:val="ListParagraph"/>
              <w:numPr>
                <w:ilvl w:val="2"/>
                <w:numId w:val="7"/>
              </w:numPr>
              <w:spacing w:after="200"/>
              <w:jc w:val="both"/>
              <w:rPr>
                <w:rFonts w:ascii="Calibri" w:hAnsi="Calibri" w:cs="Calibri"/>
                <w:sz w:val="20"/>
                <w:szCs w:val="20"/>
              </w:rPr>
            </w:pPr>
            <w:r>
              <w:rPr>
                <w:rFonts w:ascii="Calibri" w:hAnsi="Calibri" w:cs="Calibri"/>
                <w:sz w:val="20"/>
                <w:szCs w:val="20"/>
              </w:rPr>
              <w:t xml:space="preserve">+1.5c short and long-term power price increase </w:t>
            </w:r>
          </w:p>
          <w:p w14:paraId="2CD91F8B" w14:textId="77777777" w:rsidR="008B3D4C" w:rsidRDefault="008B3D4C" w:rsidP="00CD1FCD">
            <w:pPr>
              <w:pStyle w:val="ListParagraph"/>
              <w:numPr>
                <w:ilvl w:val="2"/>
                <w:numId w:val="7"/>
              </w:numPr>
              <w:spacing w:after="200"/>
              <w:jc w:val="both"/>
              <w:rPr>
                <w:rFonts w:ascii="Calibri" w:hAnsi="Calibri" w:cs="Calibri"/>
                <w:sz w:val="20"/>
                <w:szCs w:val="20"/>
              </w:rPr>
            </w:pPr>
            <w:r>
              <w:rPr>
                <w:rFonts w:ascii="Calibri" w:hAnsi="Calibri" w:cs="Calibri"/>
                <w:sz w:val="20"/>
                <w:szCs w:val="20"/>
              </w:rPr>
              <w:t>+0.3c impact from higher near-term CPI</w:t>
            </w:r>
          </w:p>
          <w:p w14:paraId="209BD7A3" w14:textId="77777777" w:rsidR="008B3D4C" w:rsidRDefault="008B3D4C" w:rsidP="00CD1FCD">
            <w:pPr>
              <w:pStyle w:val="ListParagraph"/>
              <w:numPr>
                <w:ilvl w:val="2"/>
                <w:numId w:val="7"/>
              </w:numPr>
              <w:spacing w:after="200"/>
              <w:jc w:val="both"/>
              <w:rPr>
                <w:rFonts w:ascii="Calibri" w:hAnsi="Calibri" w:cs="Calibri"/>
                <w:sz w:val="20"/>
                <w:szCs w:val="20"/>
              </w:rPr>
            </w:pPr>
            <w:r>
              <w:rPr>
                <w:rFonts w:ascii="Calibri" w:hAnsi="Calibri" w:cs="Calibri"/>
                <w:sz w:val="20"/>
                <w:szCs w:val="20"/>
              </w:rPr>
              <w:t xml:space="preserve">-0.5c reduction of </w:t>
            </w:r>
            <w:proofErr w:type="spellStart"/>
            <w:r>
              <w:rPr>
                <w:rFonts w:ascii="Calibri" w:hAnsi="Calibri" w:cs="Calibri"/>
                <w:sz w:val="20"/>
                <w:szCs w:val="20"/>
              </w:rPr>
              <w:t>GoOs</w:t>
            </w:r>
            <w:proofErr w:type="spellEnd"/>
            <w:r>
              <w:rPr>
                <w:rFonts w:ascii="Calibri" w:hAnsi="Calibri" w:cs="Calibri"/>
                <w:sz w:val="20"/>
                <w:szCs w:val="20"/>
              </w:rPr>
              <w:t xml:space="preserve"> forecasts (across Europe)</w:t>
            </w:r>
          </w:p>
          <w:p w14:paraId="15AC4E47" w14:textId="77777777" w:rsidR="008B3D4C" w:rsidRDefault="008B3D4C" w:rsidP="00CD1FCD">
            <w:pPr>
              <w:pStyle w:val="ListParagraph"/>
              <w:numPr>
                <w:ilvl w:val="2"/>
                <w:numId w:val="7"/>
              </w:numPr>
              <w:spacing w:after="200"/>
              <w:jc w:val="both"/>
              <w:rPr>
                <w:rFonts w:ascii="Calibri" w:hAnsi="Calibri" w:cs="Calibri"/>
                <w:sz w:val="20"/>
                <w:szCs w:val="20"/>
              </w:rPr>
            </w:pPr>
            <w:r>
              <w:rPr>
                <w:rFonts w:ascii="Calibri" w:hAnsi="Calibri" w:cs="Calibri"/>
                <w:sz w:val="20"/>
                <w:szCs w:val="20"/>
              </w:rPr>
              <w:t>-0.3c miscellaneous operating updates</w:t>
            </w:r>
          </w:p>
          <w:p w14:paraId="0E43A6E7" w14:textId="77777777" w:rsidR="008B3D4C" w:rsidRDefault="008B3D4C" w:rsidP="00392F02">
            <w:pPr>
              <w:pStyle w:val="ListParagraph"/>
              <w:spacing w:after="200"/>
              <w:ind w:left="1440"/>
              <w:jc w:val="both"/>
              <w:rPr>
                <w:rFonts w:ascii="Calibri" w:hAnsi="Calibri" w:cs="Calibri"/>
                <w:sz w:val="20"/>
                <w:szCs w:val="20"/>
              </w:rPr>
            </w:pPr>
          </w:p>
          <w:p w14:paraId="5466ACBB" w14:textId="4A531CB0" w:rsidR="008B3D4C" w:rsidRPr="003A7696" w:rsidRDefault="008B3D4C" w:rsidP="00392F02">
            <w:pPr>
              <w:pStyle w:val="ListParagraph"/>
              <w:spacing w:after="200"/>
              <w:ind w:left="1440"/>
              <w:jc w:val="both"/>
              <w:rPr>
                <w:rFonts w:ascii="Calibri" w:hAnsi="Calibri" w:cs="Calibri"/>
                <w:b/>
                <w:bCs/>
                <w:sz w:val="20"/>
                <w:szCs w:val="20"/>
              </w:rPr>
            </w:pPr>
            <w:r>
              <w:rPr>
                <w:rFonts w:ascii="Calibri" w:hAnsi="Calibri" w:cs="Calibri"/>
                <w:sz w:val="20"/>
                <w:szCs w:val="20"/>
              </w:rPr>
              <w:t>L</w:t>
            </w:r>
            <w:r w:rsidRPr="007970E9">
              <w:rPr>
                <w:rFonts w:ascii="Calibri" w:hAnsi="Calibri" w:cs="Calibri"/>
                <w:sz w:val="20"/>
                <w:szCs w:val="20"/>
              </w:rPr>
              <w:t>evered</w:t>
            </w:r>
            <w:r>
              <w:rPr>
                <w:rFonts w:ascii="Calibri" w:hAnsi="Calibri" w:cs="Calibri"/>
                <w:sz w:val="20"/>
                <w:szCs w:val="20"/>
              </w:rPr>
              <w:t xml:space="preserve"> portfolio</w:t>
            </w:r>
            <w:r w:rsidRPr="007970E9">
              <w:rPr>
                <w:rFonts w:ascii="Calibri" w:hAnsi="Calibri" w:cs="Calibri"/>
                <w:sz w:val="20"/>
                <w:szCs w:val="20"/>
              </w:rPr>
              <w:t xml:space="preserve"> IRR at 9</w:t>
            </w:r>
            <w:r>
              <w:rPr>
                <w:rFonts w:ascii="Calibri" w:hAnsi="Calibri" w:cs="Calibri"/>
                <w:sz w:val="20"/>
                <w:szCs w:val="20"/>
              </w:rPr>
              <w:t>.3</w:t>
            </w:r>
            <w:r w:rsidRPr="007970E9">
              <w:rPr>
                <w:rFonts w:ascii="Calibri" w:hAnsi="Calibri" w:cs="Calibri"/>
                <w:sz w:val="20"/>
                <w:szCs w:val="20"/>
              </w:rPr>
              <w:t>%</w:t>
            </w:r>
            <w:r>
              <w:rPr>
                <w:rFonts w:ascii="Calibri" w:hAnsi="Calibri" w:cs="Calibri"/>
                <w:sz w:val="20"/>
                <w:szCs w:val="20"/>
                <w:vertAlign w:val="superscript"/>
              </w:rPr>
              <w:t>2</w:t>
            </w:r>
            <w:r>
              <w:rPr>
                <w:rFonts w:ascii="Calibri" w:hAnsi="Calibri" w:cs="Calibri"/>
                <w:sz w:val="20"/>
                <w:szCs w:val="20"/>
              </w:rPr>
              <w:t xml:space="preserve"> on NAV implying c.</w:t>
            </w:r>
            <w:r w:rsidRPr="00DA2FCA">
              <w:rPr>
                <w:rFonts w:ascii="Calibri" w:hAnsi="Calibri" w:cs="Calibri"/>
                <w:sz w:val="20"/>
                <w:szCs w:val="20"/>
              </w:rPr>
              <w:t>13</w:t>
            </w:r>
            <w:r>
              <w:rPr>
                <w:rFonts w:ascii="Calibri" w:hAnsi="Calibri" w:cs="Calibri"/>
                <w:sz w:val="20"/>
                <w:szCs w:val="20"/>
              </w:rPr>
              <w:t>% on a share price adjusted basis and c.10% spread over 10-year Euro sovereign debt</w:t>
            </w:r>
          </w:p>
          <w:p w14:paraId="1D84A350" w14:textId="77777777" w:rsidR="008B3D4C" w:rsidRDefault="008B3D4C" w:rsidP="00392F02">
            <w:pPr>
              <w:ind w:left="708"/>
              <w:jc w:val="both"/>
              <w:rPr>
                <w:rFonts w:ascii="Calibri" w:hAnsi="Calibri" w:cs="Calibri"/>
                <w:b/>
                <w:bCs/>
                <w:sz w:val="20"/>
                <w:szCs w:val="20"/>
              </w:rPr>
            </w:pPr>
          </w:p>
          <w:p w14:paraId="70606C44" w14:textId="77777777" w:rsidR="00AC281F" w:rsidRDefault="00AC281F" w:rsidP="00392F02">
            <w:pPr>
              <w:ind w:left="708"/>
              <w:jc w:val="both"/>
              <w:rPr>
                <w:rFonts w:ascii="Calibri" w:hAnsi="Calibri" w:cs="Calibri"/>
                <w:b/>
                <w:bCs/>
                <w:sz w:val="20"/>
                <w:szCs w:val="20"/>
              </w:rPr>
            </w:pPr>
          </w:p>
          <w:p w14:paraId="01FD6059" w14:textId="6475FD55" w:rsidR="008B3D4C" w:rsidRPr="00477E86" w:rsidRDefault="008B3D4C" w:rsidP="00392F02">
            <w:pPr>
              <w:ind w:left="708"/>
              <w:jc w:val="both"/>
              <w:rPr>
                <w:rFonts w:ascii="Calibri" w:hAnsi="Calibri" w:cs="Calibri"/>
                <w:b/>
                <w:bCs/>
                <w:sz w:val="20"/>
                <w:szCs w:val="20"/>
              </w:rPr>
            </w:pPr>
            <w:r w:rsidRPr="00477E86">
              <w:rPr>
                <w:rFonts w:ascii="Calibri" w:hAnsi="Calibri" w:cs="Calibri"/>
                <w:b/>
                <w:bCs/>
                <w:sz w:val="20"/>
                <w:szCs w:val="20"/>
              </w:rPr>
              <w:lastRenderedPageBreak/>
              <w:t>Q</w:t>
            </w:r>
            <w:r>
              <w:rPr>
                <w:rFonts w:ascii="Calibri" w:hAnsi="Calibri" w:cs="Calibri"/>
                <w:b/>
                <w:bCs/>
                <w:sz w:val="20"/>
                <w:szCs w:val="20"/>
              </w:rPr>
              <w:t>3</w:t>
            </w:r>
            <w:r w:rsidRPr="00477E86">
              <w:rPr>
                <w:rFonts w:ascii="Calibri" w:hAnsi="Calibri" w:cs="Calibri"/>
                <w:b/>
                <w:bCs/>
                <w:sz w:val="20"/>
                <w:szCs w:val="20"/>
              </w:rPr>
              <w:t xml:space="preserve"> NAV per share movement</w:t>
            </w:r>
          </w:p>
          <w:tbl>
            <w:tblPr>
              <w:tblStyle w:val="TableGrid"/>
              <w:tblW w:w="6192" w:type="dxa"/>
              <w:tblInd w:w="641" w:type="dxa"/>
              <w:tblLayout w:type="fixed"/>
              <w:tblLook w:val="04A0" w:firstRow="1" w:lastRow="0" w:firstColumn="1" w:lastColumn="0" w:noHBand="0" w:noVBand="1"/>
            </w:tblPr>
            <w:tblGrid>
              <w:gridCol w:w="4917"/>
              <w:gridCol w:w="1275"/>
            </w:tblGrid>
            <w:tr w:rsidR="008B3D4C" w:rsidRPr="00D92DDB" w14:paraId="0533E9EB" w14:textId="77777777" w:rsidTr="00392F02">
              <w:tc>
                <w:tcPr>
                  <w:tcW w:w="4917" w:type="dxa"/>
                </w:tcPr>
                <w:p w14:paraId="7065E4B6" w14:textId="77777777" w:rsidR="008B3D4C" w:rsidRPr="00477E86" w:rsidRDefault="008B3D4C" w:rsidP="00392F02">
                  <w:pPr>
                    <w:rPr>
                      <w:rFonts w:ascii="Calibri" w:hAnsi="Calibri"/>
                      <w:b/>
                      <w:bCs/>
                      <w:sz w:val="20"/>
                      <w:szCs w:val="20"/>
                    </w:rPr>
                  </w:pPr>
                </w:p>
              </w:tc>
              <w:tc>
                <w:tcPr>
                  <w:tcW w:w="1275" w:type="dxa"/>
                </w:tcPr>
                <w:p w14:paraId="100404AC" w14:textId="77777777" w:rsidR="008B3D4C" w:rsidRPr="00477E86" w:rsidRDefault="008B3D4C" w:rsidP="00392F02">
                  <w:pPr>
                    <w:jc w:val="right"/>
                    <w:rPr>
                      <w:rFonts w:ascii="Calibri" w:hAnsi="Calibri"/>
                      <w:b/>
                      <w:bCs/>
                      <w:sz w:val="20"/>
                      <w:szCs w:val="20"/>
                    </w:rPr>
                  </w:pPr>
                  <w:r w:rsidRPr="00477E86">
                    <w:rPr>
                      <w:rFonts w:ascii="Calibri" w:hAnsi="Calibri"/>
                      <w:b/>
                      <w:bCs/>
                      <w:sz w:val="20"/>
                      <w:szCs w:val="20"/>
                    </w:rPr>
                    <w:t>cents per share</w:t>
                  </w:r>
                </w:p>
              </w:tc>
            </w:tr>
            <w:tr w:rsidR="008B3D4C" w:rsidRPr="00D92DDB" w14:paraId="79C22674" w14:textId="77777777" w:rsidTr="00392F02">
              <w:tc>
                <w:tcPr>
                  <w:tcW w:w="4917" w:type="dxa"/>
                </w:tcPr>
                <w:p w14:paraId="33A18F06" w14:textId="319C52DA" w:rsidR="008B3D4C" w:rsidRPr="00477E86" w:rsidRDefault="008B3D4C" w:rsidP="00392F02">
                  <w:pPr>
                    <w:rPr>
                      <w:rFonts w:ascii="Calibri" w:hAnsi="Calibri"/>
                      <w:b/>
                      <w:bCs/>
                      <w:sz w:val="20"/>
                      <w:szCs w:val="20"/>
                    </w:rPr>
                  </w:pPr>
                  <w:r w:rsidRPr="00477E86">
                    <w:rPr>
                      <w:rFonts w:ascii="Calibri" w:hAnsi="Calibri"/>
                      <w:b/>
                      <w:bCs/>
                      <w:sz w:val="20"/>
                      <w:szCs w:val="20"/>
                    </w:rPr>
                    <w:t xml:space="preserve">NAV as </w:t>
                  </w:r>
                  <w:proofErr w:type="gramStart"/>
                  <w:r w:rsidRPr="00477E86">
                    <w:rPr>
                      <w:rFonts w:ascii="Calibri" w:hAnsi="Calibri"/>
                      <w:b/>
                      <w:bCs/>
                      <w:sz w:val="20"/>
                      <w:szCs w:val="20"/>
                    </w:rPr>
                    <w:t>at</w:t>
                  </w:r>
                  <w:proofErr w:type="gramEnd"/>
                  <w:r w:rsidRPr="00477E86">
                    <w:rPr>
                      <w:rFonts w:ascii="Calibri" w:hAnsi="Calibri"/>
                      <w:b/>
                      <w:bCs/>
                      <w:sz w:val="20"/>
                      <w:szCs w:val="20"/>
                    </w:rPr>
                    <w:t xml:space="preserve"> 3</w:t>
                  </w:r>
                  <w:r w:rsidR="00DE3C17">
                    <w:rPr>
                      <w:rFonts w:ascii="Calibri" w:hAnsi="Calibri"/>
                      <w:b/>
                      <w:bCs/>
                      <w:sz w:val="20"/>
                      <w:szCs w:val="20"/>
                    </w:rPr>
                    <w:t>0</w:t>
                  </w:r>
                  <w:r w:rsidRPr="00477E86">
                    <w:rPr>
                      <w:rFonts w:ascii="Calibri" w:hAnsi="Calibri"/>
                      <w:b/>
                      <w:bCs/>
                      <w:sz w:val="20"/>
                      <w:szCs w:val="20"/>
                    </w:rPr>
                    <w:t xml:space="preserve"> </w:t>
                  </w:r>
                  <w:r w:rsidR="00DE3C17">
                    <w:rPr>
                      <w:rFonts w:ascii="Calibri" w:hAnsi="Calibri"/>
                      <w:b/>
                      <w:bCs/>
                      <w:sz w:val="20"/>
                      <w:szCs w:val="20"/>
                    </w:rPr>
                    <w:t>June</w:t>
                  </w:r>
                  <w:r w:rsidRPr="00477E86">
                    <w:rPr>
                      <w:rFonts w:ascii="Calibri" w:hAnsi="Calibri"/>
                      <w:b/>
                      <w:bCs/>
                      <w:sz w:val="20"/>
                      <w:szCs w:val="20"/>
                    </w:rPr>
                    <w:t xml:space="preserve"> 202</w:t>
                  </w:r>
                  <w:r>
                    <w:rPr>
                      <w:rFonts w:ascii="Calibri" w:hAnsi="Calibri"/>
                      <w:b/>
                      <w:bCs/>
                      <w:sz w:val="20"/>
                      <w:szCs w:val="20"/>
                    </w:rPr>
                    <w:t>5</w:t>
                  </w:r>
                </w:p>
              </w:tc>
              <w:tc>
                <w:tcPr>
                  <w:tcW w:w="1275" w:type="dxa"/>
                </w:tcPr>
                <w:p w14:paraId="57F8AAED" w14:textId="77777777" w:rsidR="008B3D4C" w:rsidRPr="00477E86" w:rsidRDefault="008B3D4C" w:rsidP="00392F02">
                  <w:pPr>
                    <w:jc w:val="right"/>
                    <w:rPr>
                      <w:rFonts w:ascii="Calibri" w:hAnsi="Calibri"/>
                      <w:b/>
                      <w:bCs/>
                      <w:sz w:val="20"/>
                      <w:szCs w:val="20"/>
                    </w:rPr>
                  </w:pPr>
                  <w:r w:rsidRPr="00477E86">
                    <w:rPr>
                      <w:rFonts w:ascii="Calibri" w:hAnsi="Calibri"/>
                      <w:b/>
                      <w:bCs/>
                      <w:sz w:val="20"/>
                      <w:szCs w:val="20"/>
                    </w:rPr>
                    <w:t>1</w:t>
                  </w:r>
                  <w:r>
                    <w:rPr>
                      <w:rFonts w:ascii="Calibri" w:hAnsi="Calibri"/>
                      <w:b/>
                      <w:bCs/>
                      <w:sz w:val="20"/>
                      <w:szCs w:val="20"/>
                    </w:rPr>
                    <w:t>01.0</w:t>
                  </w:r>
                </w:p>
              </w:tc>
            </w:tr>
            <w:tr w:rsidR="008B3D4C" w:rsidRPr="00D92DDB" w14:paraId="11AD7CCD" w14:textId="77777777" w:rsidTr="00392F02">
              <w:tc>
                <w:tcPr>
                  <w:tcW w:w="4917" w:type="dxa"/>
                </w:tcPr>
                <w:p w14:paraId="284A209C" w14:textId="77777777" w:rsidR="008B3D4C" w:rsidRPr="00477E86" w:rsidRDefault="008B3D4C" w:rsidP="00392F02">
                  <w:pPr>
                    <w:rPr>
                      <w:rFonts w:ascii="Calibri" w:hAnsi="Calibri"/>
                      <w:sz w:val="20"/>
                      <w:szCs w:val="20"/>
                    </w:rPr>
                  </w:pPr>
                  <w:r w:rsidRPr="00477E86">
                    <w:rPr>
                      <w:rFonts w:ascii="Calibri" w:hAnsi="Calibri"/>
                      <w:sz w:val="20"/>
                      <w:szCs w:val="20"/>
                    </w:rPr>
                    <w:t>Net cash generation</w:t>
                  </w:r>
                </w:p>
              </w:tc>
              <w:tc>
                <w:tcPr>
                  <w:tcW w:w="1275" w:type="dxa"/>
                </w:tcPr>
                <w:p w14:paraId="3ED1CCE0" w14:textId="77777777" w:rsidR="008B3D4C" w:rsidRPr="00477E86" w:rsidRDefault="008B3D4C" w:rsidP="00392F02">
                  <w:pPr>
                    <w:jc w:val="right"/>
                    <w:rPr>
                      <w:rFonts w:ascii="Calibri" w:hAnsi="Calibri"/>
                      <w:sz w:val="20"/>
                      <w:szCs w:val="20"/>
                    </w:rPr>
                  </w:pPr>
                  <w:r>
                    <w:rPr>
                      <w:rFonts w:ascii="Calibri" w:hAnsi="Calibri"/>
                      <w:sz w:val="20"/>
                      <w:szCs w:val="20"/>
                    </w:rPr>
                    <w:t>2.1</w:t>
                  </w:r>
                </w:p>
              </w:tc>
            </w:tr>
            <w:tr w:rsidR="008B3D4C" w:rsidRPr="00D92DDB" w14:paraId="7C194B7D" w14:textId="77777777" w:rsidTr="00392F02">
              <w:tc>
                <w:tcPr>
                  <w:tcW w:w="4917" w:type="dxa"/>
                </w:tcPr>
                <w:p w14:paraId="47998CA1" w14:textId="77777777" w:rsidR="008B3D4C" w:rsidRPr="00477E86" w:rsidRDefault="008B3D4C" w:rsidP="00392F02">
                  <w:pPr>
                    <w:rPr>
                      <w:rFonts w:ascii="Calibri" w:hAnsi="Calibri"/>
                      <w:sz w:val="20"/>
                      <w:szCs w:val="20"/>
                    </w:rPr>
                  </w:pPr>
                  <w:r w:rsidRPr="00477E86">
                    <w:rPr>
                      <w:rFonts w:ascii="Calibri" w:hAnsi="Calibri"/>
                      <w:sz w:val="20"/>
                      <w:szCs w:val="20"/>
                    </w:rPr>
                    <w:t>Depreciation</w:t>
                  </w:r>
                </w:p>
              </w:tc>
              <w:tc>
                <w:tcPr>
                  <w:tcW w:w="1275" w:type="dxa"/>
                </w:tcPr>
                <w:p w14:paraId="68B4D341" w14:textId="77777777" w:rsidR="008B3D4C" w:rsidRPr="00477E86" w:rsidRDefault="008B3D4C" w:rsidP="00392F02">
                  <w:pPr>
                    <w:jc w:val="right"/>
                    <w:rPr>
                      <w:rFonts w:ascii="Calibri" w:hAnsi="Calibri"/>
                      <w:sz w:val="20"/>
                      <w:szCs w:val="20"/>
                    </w:rPr>
                  </w:pPr>
                  <w:r>
                    <w:rPr>
                      <w:rFonts w:ascii="Calibri" w:hAnsi="Calibri"/>
                      <w:sz w:val="20"/>
                      <w:szCs w:val="20"/>
                    </w:rPr>
                    <w:t>(0.2)</w:t>
                  </w:r>
                </w:p>
              </w:tc>
            </w:tr>
            <w:tr w:rsidR="008B3D4C" w:rsidRPr="00D92DDB" w14:paraId="22F09739" w14:textId="77777777" w:rsidTr="00392F02">
              <w:tc>
                <w:tcPr>
                  <w:tcW w:w="4917" w:type="dxa"/>
                </w:tcPr>
                <w:p w14:paraId="7171E34F" w14:textId="77777777" w:rsidR="008B3D4C" w:rsidRPr="00477E86" w:rsidRDefault="008B3D4C" w:rsidP="00392F02">
                  <w:pPr>
                    <w:rPr>
                      <w:rFonts w:ascii="Calibri" w:hAnsi="Calibri"/>
                      <w:sz w:val="20"/>
                      <w:szCs w:val="20"/>
                    </w:rPr>
                  </w:pPr>
                  <w:r w:rsidRPr="00477E86">
                    <w:rPr>
                      <w:rFonts w:ascii="Calibri" w:hAnsi="Calibri"/>
                      <w:sz w:val="20"/>
                      <w:szCs w:val="20"/>
                    </w:rPr>
                    <w:t>Dividend</w:t>
                  </w:r>
                </w:p>
              </w:tc>
              <w:tc>
                <w:tcPr>
                  <w:tcW w:w="1275" w:type="dxa"/>
                </w:tcPr>
                <w:p w14:paraId="392A32EE" w14:textId="77777777" w:rsidR="008B3D4C" w:rsidRPr="00477E86" w:rsidRDefault="008B3D4C" w:rsidP="00392F02">
                  <w:pPr>
                    <w:jc w:val="right"/>
                    <w:rPr>
                      <w:rFonts w:ascii="Calibri" w:hAnsi="Calibri"/>
                      <w:sz w:val="20"/>
                      <w:szCs w:val="20"/>
                    </w:rPr>
                  </w:pPr>
                  <w:r>
                    <w:rPr>
                      <w:rFonts w:ascii="Calibri" w:hAnsi="Calibri"/>
                      <w:sz w:val="20"/>
                      <w:szCs w:val="20"/>
                    </w:rPr>
                    <w:t>(1.7)</w:t>
                  </w:r>
                </w:p>
              </w:tc>
            </w:tr>
            <w:tr w:rsidR="008B3D4C" w:rsidRPr="00D92DDB" w14:paraId="5AB34CA7" w14:textId="77777777" w:rsidTr="00392F02">
              <w:tc>
                <w:tcPr>
                  <w:tcW w:w="4917" w:type="dxa"/>
                </w:tcPr>
                <w:p w14:paraId="02E6397B" w14:textId="77777777" w:rsidR="008B3D4C" w:rsidRDefault="008B3D4C" w:rsidP="00392F02">
                  <w:pPr>
                    <w:rPr>
                      <w:rFonts w:ascii="Calibri" w:hAnsi="Calibri" w:cs="Calibri"/>
                      <w:sz w:val="20"/>
                      <w:szCs w:val="20"/>
                    </w:rPr>
                  </w:pPr>
                  <w:r>
                    <w:rPr>
                      <w:rFonts w:ascii="Calibri" w:hAnsi="Calibri" w:cs="Calibri"/>
                      <w:sz w:val="20"/>
                      <w:szCs w:val="20"/>
                    </w:rPr>
                    <w:t>Accruals movement</w:t>
                  </w:r>
                </w:p>
              </w:tc>
              <w:tc>
                <w:tcPr>
                  <w:tcW w:w="1275" w:type="dxa"/>
                </w:tcPr>
                <w:p w14:paraId="5537DA01" w14:textId="77777777" w:rsidR="008B3D4C" w:rsidRDefault="008B3D4C" w:rsidP="00392F02">
                  <w:pPr>
                    <w:jc w:val="right"/>
                    <w:rPr>
                      <w:rFonts w:ascii="Calibri" w:hAnsi="Calibri"/>
                      <w:sz w:val="20"/>
                      <w:szCs w:val="20"/>
                    </w:rPr>
                  </w:pPr>
                  <w:r>
                    <w:rPr>
                      <w:rFonts w:ascii="Calibri" w:hAnsi="Calibri"/>
                      <w:sz w:val="20"/>
                      <w:szCs w:val="20"/>
                    </w:rPr>
                    <w:t>(0.7)</w:t>
                  </w:r>
                </w:p>
              </w:tc>
            </w:tr>
            <w:tr w:rsidR="008B3D4C" w:rsidRPr="00D92DDB" w14:paraId="366D6AA0" w14:textId="77777777" w:rsidTr="00392F02">
              <w:tc>
                <w:tcPr>
                  <w:tcW w:w="4917" w:type="dxa"/>
                </w:tcPr>
                <w:p w14:paraId="2B908FEA" w14:textId="77777777" w:rsidR="008B3D4C" w:rsidRDefault="008B3D4C" w:rsidP="00392F02">
                  <w:pPr>
                    <w:rPr>
                      <w:rFonts w:ascii="Calibri" w:hAnsi="Calibri" w:cs="Calibri"/>
                      <w:sz w:val="20"/>
                      <w:szCs w:val="20"/>
                    </w:rPr>
                  </w:pPr>
                  <w:r>
                    <w:rPr>
                      <w:rFonts w:ascii="Calibri" w:hAnsi="Calibri" w:cs="Calibri"/>
                      <w:sz w:val="20"/>
                      <w:szCs w:val="20"/>
                    </w:rPr>
                    <w:t>Power price</w:t>
                  </w:r>
                </w:p>
              </w:tc>
              <w:tc>
                <w:tcPr>
                  <w:tcW w:w="1275" w:type="dxa"/>
                </w:tcPr>
                <w:p w14:paraId="63EDD767" w14:textId="77777777" w:rsidR="008B3D4C" w:rsidRDefault="008B3D4C" w:rsidP="00392F02">
                  <w:pPr>
                    <w:jc w:val="right"/>
                    <w:rPr>
                      <w:rFonts w:ascii="Calibri" w:hAnsi="Calibri"/>
                      <w:sz w:val="20"/>
                      <w:szCs w:val="20"/>
                    </w:rPr>
                  </w:pPr>
                  <w:r>
                    <w:rPr>
                      <w:rFonts w:ascii="Calibri" w:hAnsi="Calibri"/>
                      <w:sz w:val="20"/>
                      <w:szCs w:val="20"/>
                    </w:rPr>
                    <w:t>1.5</w:t>
                  </w:r>
                </w:p>
              </w:tc>
            </w:tr>
            <w:tr w:rsidR="008B3D4C" w:rsidRPr="00D92DDB" w14:paraId="2F606220" w14:textId="77777777" w:rsidTr="00392F02">
              <w:tc>
                <w:tcPr>
                  <w:tcW w:w="4917" w:type="dxa"/>
                </w:tcPr>
                <w:p w14:paraId="1EA05EA8" w14:textId="77777777" w:rsidR="008B3D4C" w:rsidRDefault="008B3D4C" w:rsidP="00392F02">
                  <w:pPr>
                    <w:rPr>
                      <w:rFonts w:ascii="Calibri" w:hAnsi="Calibri" w:cs="Calibri"/>
                      <w:sz w:val="20"/>
                      <w:szCs w:val="20"/>
                    </w:rPr>
                  </w:pPr>
                  <w:proofErr w:type="spellStart"/>
                  <w:r>
                    <w:rPr>
                      <w:rFonts w:ascii="Calibri" w:hAnsi="Calibri" w:cs="Calibri"/>
                      <w:sz w:val="20"/>
                      <w:szCs w:val="20"/>
                    </w:rPr>
                    <w:t>GoOs</w:t>
                  </w:r>
                  <w:proofErr w:type="spellEnd"/>
                  <w:r>
                    <w:rPr>
                      <w:rFonts w:ascii="Calibri" w:hAnsi="Calibri" w:cs="Calibri"/>
                      <w:sz w:val="20"/>
                      <w:szCs w:val="20"/>
                    </w:rPr>
                    <w:t xml:space="preserve"> forecast</w:t>
                  </w:r>
                </w:p>
              </w:tc>
              <w:tc>
                <w:tcPr>
                  <w:tcW w:w="1275" w:type="dxa"/>
                </w:tcPr>
                <w:p w14:paraId="095C2767" w14:textId="77777777" w:rsidR="008B3D4C" w:rsidRDefault="008B3D4C" w:rsidP="00392F02">
                  <w:pPr>
                    <w:jc w:val="right"/>
                    <w:rPr>
                      <w:rFonts w:ascii="Calibri" w:hAnsi="Calibri"/>
                      <w:sz w:val="20"/>
                      <w:szCs w:val="20"/>
                    </w:rPr>
                  </w:pPr>
                  <w:r>
                    <w:rPr>
                      <w:rFonts w:ascii="Calibri" w:hAnsi="Calibri"/>
                      <w:sz w:val="20"/>
                      <w:szCs w:val="20"/>
                    </w:rPr>
                    <w:t>(0.5)</w:t>
                  </w:r>
                </w:p>
              </w:tc>
            </w:tr>
            <w:tr w:rsidR="008B3D4C" w:rsidRPr="00D92DDB" w14:paraId="6A253FD1" w14:textId="77777777" w:rsidTr="00392F02">
              <w:tc>
                <w:tcPr>
                  <w:tcW w:w="4917" w:type="dxa"/>
                </w:tcPr>
                <w:p w14:paraId="1FA138F3" w14:textId="77777777" w:rsidR="008B3D4C" w:rsidRPr="00477E86" w:rsidRDefault="008B3D4C" w:rsidP="00392F02">
                  <w:pPr>
                    <w:rPr>
                      <w:rFonts w:ascii="Calibri" w:hAnsi="Calibri" w:cs="Calibri"/>
                      <w:sz w:val="20"/>
                      <w:szCs w:val="20"/>
                    </w:rPr>
                  </w:pPr>
                  <w:r>
                    <w:rPr>
                      <w:rFonts w:ascii="Calibri" w:hAnsi="Calibri" w:cs="Calibri"/>
                      <w:sz w:val="20"/>
                      <w:szCs w:val="20"/>
                    </w:rPr>
                    <w:t>CPI</w:t>
                  </w:r>
                </w:p>
              </w:tc>
              <w:tc>
                <w:tcPr>
                  <w:tcW w:w="1275" w:type="dxa"/>
                </w:tcPr>
                <w:p w14:paraId="07127528" w14:textId="77777777" w:rsidR="008B3D4C" w:rsidRDefault="008B3D4C" w:rsidP="00392F02">
                  <w:pPr>
                    <w:jc w:val="right"/>
                    <w:rPr>
                      <w:rFonts w:ascii="Calibri" w:hAnsi="Calibri"/>
                      <w:sz w:val="20"/>
                      <w:szCs w:val="20"/>
                    </w:rPr>
                  </w:pPr>
                  <w:r>
                    <w:rPr>
                      <w:rFonts w:ascii="Calibri" w:hAnsi="Calibri"/>
                      <w:sz w:val="20"/>
                      <w:szCs w:val="20"/>
                    </w:rPr>
                    <w:t>0.3</w:t>
                  </w:r>
                </w:p>
              </w:tc>
            </w:tr>
            <w:tr w:rsidR="008B3D4C" w:rsidRPr="00D92DDB" w14:paraId="4F605D50" w14:textId="77777777" w:rsidTr="00392F02">
              <w:tc>
                <w:tcPr>
                  <w:tcW w:w="4917" w:type="dxa"/>
                </w:tcPr>
                <w:p w14:paraId="320E2F49" w14:textId="168804EE" w:rsidR="008B3D4C" w:rsidRPr="00477E86" w:rsidRDefault="008B3D4C" w:rsidP="00392F02">
                  <w:pPr>
                    <w:rPr>
                      <w:rFonts w:ascii="Calibri" w:hAnsi="Calibri" w:cs="Calibri"/>
                      <w:sz w:val="20"/>
                      <w:szCs w:val="20"/>
                    </w:rPr>
                  </w:pPr>
                  <w:r>
                    <w:rPr>
                      <w:rFonts w:ascii="Calibri" w:hAnsi="Calibri" w:cs="Calibri"/>
                      <w:sz w:val="20"/>
                      <w:szCs w:val="20"/>
                    </w:rPr>
                    <w:t>Misc</w:t>
                  </w:r>
                  <w:r w:rsidR="00C800A9">
                    <w:rPr>
                      <w:rFonts w:ascii="Calibri" w:hAnsi="Calibri" w:cs="Calibri"/>
                      <w:sz w:val="20"/>
                      <w:szCs w:val="20"/>
                    </w:rPr>
                    <w:t>ellan</w:t>
                  </w:r>
                  <w:r w:rsidR="00CD7B45">
                    <w:rPr>
                      <w:rFonts w:ascii="Calibri" w:hAnsi="Calibri" w:cs="Calibri"/>
                      <w:sz w:val="20"/>
                      <w:szCs w:val="20"/>
                    </w:rPr>
                    <w:t>eous</w:t>
                  </w:r>
                </w:p>
              </w:tc>
              <w:tc>
                <w:tcPr>
                  <w:tcW w:w="1275" w:type="dxa"/>
                </w:tcPr>
                <w:p w14:paraId="6538CEBF" w14:textId="77777777" w:rsidR="008B3D4C" w:rsidRDefault="008B3D4C" w:rsidP="00392F02">
                  <w:pPr>
                    <w:jc w:val="right"/>
                    <w:rPr>
                      <w:rFonts w:ascii="Calibri" w:hAnsi="Calibri"/>
                      <w:sz w:val="20"/>
                      <w:szCs w:val="20"/>
                    </w:rPr>
                  </w:pPr>
                  <w:r>
                    <w:rPr>
                      <w:rFonts w:ascii="Calibri" w:hAnsi="Calibri"/>
                      <w:sz w:val="20"/>
                      <w:szCs w:val="20"/>
                    </w:rPr>
                    <w:t>(0.3)</w:t>
                  </w:r>
                </w:p>
              </w:tc>
            </w:tr>
            <w:tr w:rsidR="008B3D4C" w:rsidRPr="00D92DDB" w14:paraId="11CCFDDB" w14:textId="77777777" w:rsidTr="00392F02">
              <w:tc>
                <w:tcPr>
                  <w:tcW w:w="4917" w:type="dxa"/>
                </w:tcPr>
                <w:p w14:paraId="3EE89D6E" w14:textId="77777777" w:rsidR="008B3D4C" w:rsidRPr="00477E86" w:rsidRDefault="008B3D4C" w:rsidP="00392F02">
                  <w:pPr>
                    <w:rPr>
                      <w:rFonts w:ascii="Calibri" w:hAnsi="Calibri" w:cs="Calibri"/>
                      <w:sz w:val="20"/>
                      <w:szCs w:val="20"/>
                    </w:rPr>
                  </w:pPr>
                  <w:r w:rsidRPr="00477E86">
                    <w:rPr>
                      <w:rFonts w:ascii="Calibri" w:hAnsi="Calibri"/>
                      <w:b/>
                      <w:bCs/>
                      <w:sz w:val="20"/>
                      <w:szCs w:val="20"/>
                    </w:rPr>
                    <w:t xml:space="preserve">NAV as </w:t>
                  </w:r>
                  <w:proofErr w:type="gramStart"/>
                  <w:r w:rsidRPr="00477E86">
                    <w:rPr>
                      <w:rFonts w:ascii="Calibri" w:hAnsi="Calibri"/>
                      <w:b/>
                      <w:bCs/>
                      <w:sz w:val="20"/>
                      <w:szCs w:val="20"/>
                    </w:rPr>
                    <w:t>at</w:t>
                  </w:r>
                  <w:proofErr w:type="gramEnd"/>
                  <w:r w:rsidRPr="00477E86">
                    <w:rPr>
                      <w:rFonts w:ascii="Calibri" w:hAnsi="Calibri"/>
                      <w:b/>
                      <w:bCs/>
                      <w:sz w:val="20"/>
                      <w:szCs w:val="20"/>
                    </w:rPr>
                    <w:t xml:space="preserve"> 3</w:t>
                  </w:r>
                  <w:r>
                    <w:rPr>
                      <w:rFonts w:ascii="Calibri" w:hAnsi="Calibri"/>
                      <w:b/>
                      <w:bCs/>
                      <w:sz w:val="20"/>
                      <w:szCs w:val="20"/>
                    </w:rPr>
                    <w:t>0 September</w:t>
                  </w:r>
                  <w:r w:rsidRPr="00477E86">
                    <w:rPr>
                      <w:rFonts w:ascii="Calibri" w:hAnsi="Calibri"/>
                      <w:b/>
                      <w:bCs/>
                      <w:sz w:val="20"/>
                      <w:szCs w:val="20"/>
                    </w:rPr>
                    <w:t xml:space="preserve"> 202</w:t>
                  </w:r>
                  <w:r>
                    <w:rPr>
                      <w:rFonts w:ascii="Calibri" w:hAnsi="Calibri"/>
                      <w:b/>
                      <w:bCs/>
                      <w:sz w:val="20"/>
                      <w:szCs w:val="20"/>
                    </w:rPr>
                    <w:t>5</w:t>
                  </w:r>
                </w:p>
              </w:tc>
              <w:tc>
                <w:tcPr>
                  <w:tcW w:w="1275" w:type="dxa"/>
                </w:tcPr>
                <w:p w14:paraId="7CEC56DB" w14:textId="77777777" w:rsidR="008B3D4C" w:rsidRDefault="008B3D4C" w:rsidP="00392F02">
                  <w:pPr>
                    <w:jc w:val="right"/>
                    <w:rPr>
                      <w:rFonts w:ascii="Calibri" w:hAnsi="Calibri"/>
                      <w:sz w:val="20"/>
                      <w:szCs w:val="20"/>
                    </w:rPr>
                  </w:pPr>
                  <w:r>
                    <w:rPr>
                      <w:rFonts w:ascii="Calibri" w:hAnsi="Calibri"/>
                      <w:b/>
                      <w:bCs/>
                      <w:sz w:val="20"/>
                      <w:szCs w:val="20"/>
                    </w:rPr>
                    <w:t>101.5</w:t>
                  </w:r>
                </w:p>
              </w:tc>
            </w:tr>
            <w:bookmarkEnd w:id="0"/>
            <w:bookmarkEnd w:id="1"/>
          </w:tbl>
          <w:p w14:paraId="00337C6D" w14:textId="77777777" w:rsidR="008B3D4C" w:rsidRPr="00F46E3C" w:rsidRDefault="008B3D4C" w:rsidP="00392F02">
            <w:pPr>
              <w:jc w:val="both"/>
              <w:rPr>
                <w:rFonts w:ascii="Calibri" w:hAnsi="Calibri" w:cs="Calibri"/>
                <w:sz w:val="20"/>
                <w:szCs w:val="20"/>
              </w:rPr>
            </w:pPr>
          </w:p>
        </w:tc>
      </w:tr>
    </w:tbl>
    <w:p w14:paraId="235CBD05" w14:textId="77777777" w:rsidR="008B3D4C" w:rsidRDefault="008B3D4C" w:rsidP="003E0231">
      <w:pPr>
        <w:tabs>
          <w:tab w:val="left" w:pos="5760"/>
        </w:tabs>
        <w:contextualSpacing/>
        <w:jc w:val="both"/>
        <w:rPr>
          <w:rFonts w:cstheme="minorHAnsi"/>
          <w:b/>
          <w:bCs/>
          <w:sz w:val="20"/>
          <w:szCs w:val="20"/>
        </w:rPr>
      </w:pPr>
    </w:p>
    <w:p w14:paraId="2FC6452A" w14:textId="77777777" w:rsidR="00F8521A" w:rsidRDefault="00F8521A" w:rsidP="003E0231">
      <w:pPr>
        <w:tabs>
          <w:tab w:val="left" w:pos="5760"/>
        </w:tabs>
        <w:contextualSpacing/>
        <w:jc w:val="both"/>
        <w:rPr>
          <w:rFonts w:cstheme="minorHAnsi"/>
          <w:b/>
          <w:bCs/>
          <w:sz w:val="20"/>
          <w:szCs w:val="20"/>
        </w:rPr>
      </w:pPr>
    </w:p>
    <w:p w14:paraId="26FB3CC3" w14:textId="2F39916E" w:rsidR="004679FF" w:rsidRDefault="004679FF" w:rsidP="004679FF">
      <w:pPr>
        <w:pStyle w:val="FootnoteText"/>
        <w:rPr>
          <w:rFonts w:ascii="Calibri" w:hAnsi="Calibri" w:cs="Calibri"/>
          <w:sz w:val="16"/>
          <w:szCs w:val="16"/>
          <w:lang w:val="en-GB"/>
        </w:rPr>
      </w:pPr>
      <w:r w:rsidRPr="004679FF">
        <w:rPr>
          <w:rFonts w:ascii="Calibri" w:hAnsi="Calibri" w:cs="Calibri"/>
          <w:sz w:val="16"/>
          <w:szCs w:val="16"/>
          <w:vertAlign w:val="superscript"/>
        </w:rPr>
        <w:t>1</w:t>
      </w:r>
      <w:r>
        <w:t xml:space="preserve"> </w:t>
      </w:r>
      <w:r>
        <w:rPr>
          <w:rFonts w:ascii="Calibri" w:hAnsi="Calibri" w:cs="Calibri"/>
          <w:sz w:val="16"/>
          <w:szCs w:val="16"/>
          <w:lang w:val="en-GB"/>
        </w:rPr>
        <w:t>Net cash generation after project level debt repayments amounted to €</w:t>
      </w:r>
      <w:r w:rsidR="008B3D4C">
        <w:rPr>
          <w:rFonts w:ascii="Calibri" w:hAnsi="Calibri" w:cs="Calibri"/>
          <w:sz w:val="16"/>
          <w:szCs w:val="16"/>
          <w:lang w:val="en-GB"/>
        </w:rPr>
        <w:t>22.1</w:t>
      </w:r>
      <w:r>
        <w:rPr>
          <w:rFonts w:ascii="Calibri" w:hAnsi="Calibri" w:cs="Calibri"/>
          <w:sz w:val="16"/>
          <w:szCs w:val="16"/>
          <w:lang w:val="en-GB"/>
        </w:rPr>
        <w:t>m</w:t>
      </w:r>
    </w:p>
    <w:p w14:paraId="6B9BF5FB" w14:textId="3A28D63C" w:rsidR="00E11571" w:rsidRDefault="008B3D4C" w:rsidP="004679FF">
      <w:pPr>
        <w:tabs>
          <w:tab w:val="left" w:pos="5760"/>
        </w:tabs>
        <w:contextualSpacing/>
        <w:jc w:val="both"/>
        <w:rPr>
          <w:rFonts w:cstheme="minorHAnsi"/>
          <w:b/>
          <w:bCs/>
          <w:sz w:val="20"/>
          <w:szCs w:val="20"/>
        </w:rPr>
      </w:pPr>
      <w:r>
        <w:rPr>
          <w:rFonts w:ascii="Calibri" w:hAnsi="Calibri" w:cs="Calibri"/>
          <w:sz w:val="16"/>
          <w:szCs w:val="16"/>
          <w:vertAlign w:val="superscript"/>
        </w:rPr>
        <w:t>2</w:t>
      </w:r>
      <w:r w:rsidR="004679FF" w:rsidRPr="002D4190">
        <w:rPr>
          <w:rStyle w:val="FootnoteReference"/>
        </w:rPr>
        <w:t xml:space="preserve"> </w:t>
      </w:r>
      <w:r w:rsidR="004679FF" w:rsidRPr="00481DD2">
        <w:rPr>
          <w:rFonts w:ascii="Calibri" w:hAnsi="Calibri" w:cs="Calibri"/>
          <w:sz w:val="16"/>
          <w:szCs w:val="16"/>
        </w:rPr>
        <w:t>Based on unlevered portfolio IRR of 7.</w:t>
      </w:r>
      <w:r>
        <w:rPr>
          <w:rFonts w:ascii="Calibri" w:hAnsi="Calibri" w:cs="Calibri"/>
          <w:sz w:val="16"/>
          <w:szCs w:val="16"/>
        </w:rPr>
        <w:t>5</w:t>
      </w:r>
      <w:r w:rsidR="004679FF" w:rsidRPr="00481DD2">
        <w:rPr>
          <w:rFonts w:ascii="Calibri" w:hAnsi="Calibri" w:cs="Calibri"/>
          <w:sz w:val="16"/>
          <w:szCs w:val="16"/>
        </w:rPr>
        <w:t xml:space="preserve">%, long term gearing assumption of </w:t>
      </w:r>
      <w:r>
        <w:rPr>
          <w:rFonts w:ascii="Calibri" w:hAnsi="Calibri" w:cs="Calibri"/>
          <w:sz w:val="16"/>
          <w:szCs w:val="16"/>
        </w:rPr>
        <w:t>35</w:t>
      </w:r>
      <w:r w:rsidR="004679FF" w:rsidRPr="00481DD2">
        <w:rPr>
          <w:rFonts w:ascii="Calibri" w:hAnsi="Calibri" w:cs="Calibri"/>
          <w:sz w:val="16"/>
          <w:szCs w:val="16"/>
        </w:rPr>
        <w:t>%</w:t>
      </w:r>
      <w:r>
        <w:rPr>
          <w:rFonts w:ascii="Calibri" w:hAnsi="Calibri" w:cs="Calibri"/>
          <w:sz w:val="16"/>
          <w:szCs w:val="16"/>
        </w:rPr>
        <w:t xml:space="preserve"> (down from 40%)</w:t>
      </w:r>
      <w:r w:rsidR="004679FF" w:rsidRPr="00481DD2">
        <w:rPr>
          <w:rFonts w:ascii="Calibri" w:hAnsi="Calibri" w:cs="Calibri"/>
          <w:sz w:val="16"/>
          <w:szCs w:val="16"/>
        </w:rPr>
        <w:t xml:space="preserve"> and cost of debt assumption of 4.</w:t>
      </w:r>
      <w:r w:rsidR="004679FF">
        <w:rPr>
          <w:rFonts w:ascii="Calibri" w:hAnsi="Calibri" w:cs="Calibri"/>
          <w:sz w:val="16"/>
          <w:szCs w:val="16"/>
        </w:rPr>
        <w:t>7</w:t>
      </w:r>
      <w:r w:rsidR="004679FF" w:rsidRPr="00481DD2">
        <w:rPr>
          <w:rFonts w:ascii="Calibri" w:hAnsi="Calibri" w:cs="Calibri"/>
          <w:sz w:val="16"/>
          <w:szCs w:val="16"/>
        </w:rPr>
        <w:t>%.</w:t>
      </w:r>
    </w:p>
    <w:p w14:paraId="7EDA3D1E" w14:textId="77777777" w:rsidR="00E11571" w:rsidRDefault="00E11571" w:rsidP="003E0231">
      <w:pPr>
        <w:tabs>
          <w:tab w:val="left" w:pos="5760"/>
        </w:tabs>
        <w:contextualSpacing/>
        <w:jc w:val="both"/>
        <w:rPr>
          <w:rFonts w:cstheme="minorHAnsi"/>
          <w:b/>
          <w:bCs/>
          <w:sz w:val="20"/>
          <w:szCs w:val="20"/>
        </w:rPr>
      </w:pPr>
    </w:p>
    <w:p w14:paraId="02C797C9" w14:textId="77777777" w:rsidR="00F12CF2" w:rsidRDefault="00F12CF2" w:rsidP="00F12CF2">
      <w:pPr>
        <w:pStyle w:val="FootnoteText"/>
        <w:rPr>
          <w:rFonts w:ascii="Calibri" w:hAnsi="Calibri" w:cs="Calibri"/>
          <w:sz w:val="16"/>
          <w:szCs w:val="16"/>
        </w:rPr>
      </w:pPr>
    </w:p>
    <w:p w14:paraId="2AD44159" w14:textId="4BAF8B38" w:rsidR="00437B72" w:rsidRDefault="003E0231" w:rsidP="003E0231">
      <w:pPr>
        <w:tabs>
          <w:tab w:val="left" w:pos="5760"/>
        </w:tabs>
        <w:contextualSpacing/>
        <w:jc w:val="both"/>
        <w:rPr>
          <w:rFonts w:cstheme="minorHAnsi"/>
        </w:rPr>
      </w:pPr>
      <w:r w:rsidRPr="00511EC0">
        <w:rPr>
          <w:rFonts w:cstheme="minorHAnsi"/>
        </w:rPr>
        <w:t>The Company</w:t>
      </w:r>
      <w:r w:rsidR="00D26F2C" w:rsidRPr="00511EC0">
        <w:rPr>
          <w:rFonts w:cstheme="minorHAnsi"/>
        </w:rPr>
        <w:t>’</w:t>
      </w:r>
      <w:r w:rsidRPr="00511EC0">
        <w:rPr>
          <w:rFonts w:cstheme="minorHAnsi"/>
        </w:rPr>
        <w:t xml:space="preserve">s </w:t>
      </w:r>
      <w:r w:rsidR="003D3501">
        <w:rPr>
          <w:rFonts w:cstheme="minorHAnsi"/>
        </w:rPr>
        <w:t>Q</w:t>
      </w:r>
      <w:r w:rsidR="008B3D4C">
        <w:rPr>
          <w:rFonts w:cstheme="minorHAnsi"/>
        </w:rPr>
        <w:t>3</w:t>
      </w:r>
      <w:r w:rsidR="001F3526" w:rsidRPr="00511EC0">
        <w:rPr>
          <w:rFonts w:cstheme="minorHAnsi"/>
        </w:rPr>
        <w:t xml:space="preserve"> 202</w:t>
      </w:r>
      <w:r w:rsidR="00E07D1F">
        <w:rPr>
          <w:rFonts w:cstheme="minorHAnsi"/>
        </w:rPr>
        <w:t>5</w:t>
      </w:r>
      <w:r w:rsidRPr="00511EC0">
        <w:rPr>
          <w:rFonts w:cstheme="minorHAnsi"/>
        </w:rPr>
        <w:t xml:space="preserve"> Factsheet is available on the Company</w:t>
      </w:r>
      <w:r w:rsidR="00D26F2C" w:rsidRPr="00511EC0">
        <w:rPr>
          <w:rFonts w:cstheme="minorHAnsi"/>
        </w:rPr>
        <w:t>’</w:t>
      </w:r>
      <w:r w:rsidRPr="00511EC0">
        <w:rPr>
          <w:rFonts w:cstheme="minorHAnsi"/>
        </w:rPr>
        <w:t>s website,</w:t>
      </w:r>
    </w:p>
    <w:p w14:paraId="605EE841" w14:textId="63D292CD" w:rsidR="003E0231" w:rsidRPr="00511EC0" w:rsidRDefault="00437B72" w:rsidP="003E0231">
      <w:pPr>
        <w:tabs>
          <w:tab w:val="left" w:pos="5760"/>
        </w:tabs>
        <w:contextualSpacing/>
        <w:jc w:val="both"/>
        <w:rPr>
          <w:rFonts w:cstheme="minorHAnsi"/>
        </w:rPr>
      </w:pPr>
      <w:hyperlink r:id="rId12" w:history="1">
        <w:r w:rsidRPr="00437B72">
          <w:rPr>
            <w:rStyle w:val="Hyperlink"/>
            <w:rFonts w:cstheme="minorHAnsi"/>
          </w:rPr>
          <w:t>www.greencoat-renewables.com</w:t>
        </w:r>
      </w:hyperlink>
      <w:r w:rsidR="00635906" w:rsidRPr="00511EC0">
        <w:rPr>
          <w:rStyle w:val="Hyperlink"/>
          <w:rFonts w:cstheme="minorHAnsi"/>
        </w:rPr>
        <w:t>.</w:t>
      </w:r>
    </w:p>
    <w:p w14:paraId="52D7C25F" w14:textId="77777777" w:rsidR="00BB1065" w:rsidRPr="00511EC0" w:rsidRDefault="00BB1065" w:rsidP="002C2130">
      <w:pPr>
        <w:pStyle w:val="ListParagraph"/>
        <w:ind w:left="0"/>
        <w:jc w:val="both"/>
        <w:rPr>
          <w:rFonts w:cstheme="minorHAnsi"/>
          <w:bCs/>
        </w:rPr>
      </w:pPr>
    </w:p>
    <w:p w14:paraId="2E2048A3" w14:textId="287CD1DD" w:rsidR="009020C7" w:rsidRDefault="009020C7" w:rsidP="009020C7">
      <w:pPr>
        <w:pStyle w:val="ListParagraph"/>
        <w:numPr>
          <w:ilvl w:val="0"/>
          <w:numId w:val="4"/>
        </w:numPr>
        <w:tabs>
          <w:tab w:val="left" w:pos="5760"/>
        </w:tabs>
        <w:jc w:val="both"/>
        <w:rPr>
          <w:rFonts w:cstheme="minorHAnsi"/>
        </w:rPr>
      </w:pPr>
      <w:bookmarkStart w:id="2" w:name="_Hlk195618870"/>
      <w:r w:rsidRPr="00511EC0">
        <w:rPr>
          <w:rFonts w:cstheme="minorHAnsi"/>
        </w:rPr>
        <w:t>The Company also announces a quarterly interim dividend of 1.</w:t>
      </w:r>
      <w:r w:rsidR="00E07D1F">
        <w:rPr>
          <w:rFonts w:cstheme="minorHAnsi"/>
        </w:rPr>
        <w:t>702</w:t>
      </w:r>
      <w:r w:rsidR="00042C89">
        <w:rPr>
          <w:rFonts w:cstheme="minorHAnsi"/>
        </w:rPr>
        <w:t>5</w:t>
      </w:r>
      <w:r w:rsidR="00014473">
        <w:rPr>
          <w:rFonts w:cstheme="minorHAnsi"/>
        </w:rPr>
        <w:t>0</w:t>
      </w:r>
      <w:r w:rsidRPr="00511EC0">
        <w:rPr>
          <w:rFonts w:cstheme="minorHAnsi"/>
        </w:rPr>
        <w:t xml:space="preserve">c per share with respect to the quarter ended </w:t>
      </w:r>
      <w:r w:rsidR="00163602">
        <w:rPr>
          <w:rFonts w:cstheme="minorHAnsi"/>
        </w:rPr>
        <w:t xml:space="preserve">30 </w:t>
      </w:r>
      <w:r w:rsidR="008B3D4C">
        <w:rPr>
          <w:rFonts w:cstheme="minorHAnsi"/>
        </w:rPr>
        <w:t>September</w:t>
      </w:r>
      <w:r w:rsidRPr="00511EC0">
        <w:rPr>
          <w:rFonts w:cstheme="minorHAnsi"/>
        </w:rPr>
        <w:t xml:space="preserve"> 202</w:t>
      </w:r>
      <w:r w:rsidR="00E07D1F">
        <w:rPr>
          <w:rFonts w:cstheme="minorHAnsi"/>
        </w:rPr>
        <w:t>5</w:t>
      </w:r>
      <w:r w:rsidRPr="00511EC0">
        <w:rPr>
          <w:rFonts w:cstheme="minorHAnsi"/>
        </w:rPr>
        <w:t>.</w:t>
      </w:r>
    </w:p>
    <w:p w14:paraId="1766B3AE" w14:textId="77777777" w:rsidR="008B3D4C" w:rsidRPr="00D837E2" w:rsidRDefault="008B3D4C" w:rsidP="00D837E2">
      <w:pPr>
        <w:tabs>
          <w:tab w:val="left" w:pos="5760"/>
        </w:tabs>
        <w:jc w:val="both"/>
        <w:rPr>
          <w:rFonts w:cstheme="minorHAnsi"/>
        </w:rPr>
      </w:pPr>
    </w:p>
    <w:p w14:paraId="443B3134" w14:textId="77777777" w:rsidR="00893CD6" w:rsidRPr="00511EC0" w:rsidRDefault="00893CD6" w:rsidP="001066AD">
      <w:pPr>
        <w:pStyle w:val="Default"/>
        <w:numPr>
          <w:ilvl w:val="0"/>
          <w:numId w:val="4"/>
        </w:numPr>
        <w:rPr>
          <w:rFonts w:asciiTheme="minorHAnsi" w:hAnsiTheme="minorHAnsi" w:cstheme="minorHAnsi"/>
        </w:rPr>
      </w:pPr>
    </w:p>
    <w:p w14:paraId="78897C30" w14:textId="507BC1A5" w:rsidR="009020C7" w:rsidRDefault="009020C7" w:rsidP="009020C7">
      <w:pPr>
        <w:pStyle w:val="ListParagraph"/>
        <w:numPr>
          <w:ilvl w:val="0"/>
          <w:numId w:val="4"/>
        </w:numPr>
        <w:tabs>
          <w:tab w:val="left" w:pos="5760"/>
        </w:tabs>
        <w:jc w:val="both"/>
        <w:rPr>
          <w:rFonts w:cstheme="minorHAnsi"/>
          <w:b/>
        </w:rPr>
      </w:pPr>
      <w:bookmarkStart w:id="3" w:name="_Hlk171066094"/>
      <w:r w:rsidRPr="00511EC0">
        <w:rPr>
          <w:rFonts w:cstheme="minorHAnsi"/>
          <w:b/>
        </w:rPr>
        <w:t>Dividend Timetable</w:t>
      </w:r>
      <w:r w:rsidR="00D065FD">
        <w:rPr>
          <w:rFonts w:cstheme="minorHAnsi"/>
          <w:b/>
        </w:rPr>
        <w:t xml:space="preserve"> </w:t>
      </w:r>
    </w:p>
    <w:p w14:paraId="39F1DD71" w14:textId="77777777" w:rsidR="00B859FF" w:rsidRPr="00511EC0" w:rsidRDefault="00B859FF" w:rsidP="00B859FF">
      <w:pPr>
        <w:pStyle w:val="ListParagraph"/>
        <w:tabs>
          <w:tab w:val="left" w:pos="5760"/>
        </w:tabs>
        <w:ind w:left="0"/>
        <w:jc w:val="both"/>
        <w:rPr>
          <w:rFonts w:cstheme="minorHAnsi"/>
          <w: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268"/>
      </w:tblGrid>
      <w:tr w:rsidR="00A561BF" w14:paraId="177AD7CD" w14:textId="77777777" w:rsidTr="00176483">
        <w:trPr>
          <w:trHeight w:val="483"/>
        </w:trPr>
        <w:tc>
          <w:tcPr>
            <w:tcW w:w="6946" w:type="dxa"/>
          </w:tcPr>
          <w:p w14:paraId="2E22D755" w14:textId="77777777" w:rsidR="00A561BF" w:rsidRPr="00787528" w:rsidRDefault="00A561BF" w:rsidP="00176483">
            <w:pPr>
              <w:pStyle w:val="ListParagraph"/>
              <w:numPr>
                <w:ilvl w:val="0"/>
                <w:numId w:val="4"/>
              </w:numPr>
              <w:tabs>
                <w:tab w:val="left" w:pos="2835"/>
                <w:tab w:val="left" w:pos="5760"/>
              </w:tabs>
              <w:jc w:val="both"/>
              <w:rPr>
                <w:rFonts w:cstheme="minorHAnsi"/>
                <w:sz w:val="24"/>
                <w:szCs w:val="24"/>
              </w:rPr>
            </w:pPr>
            <w:r w:rsidRPr="00787528">
              <w:rPr>
                <w:rFonts w:cstheme="minorHAnsi"/>
                <w:sz w:val="24"/>
                <w:szCs w:val="24"/>
              </w:rPr>
              <w:t>Currency conversion announcement (by 11h00 South African (“</w:t>
            </w:r>
            <w:r w:rsidRPr="00787528">
              <w:rPr>
                <w:rFonts w:cstheme="minorHAnsi"/>
                <w:b/>
                <w:bCs/>
                <w:sz w:val="24"/>
                <w:szCs w:val="24"/>
              </w:rPr>
              <w:t>SA</w:t>
            </w:r>
            <w:r w:rsidRPr="00787528">
              <w:rPr>
                <w:rFonts w:cstheme="minorHAnsi"/>
                <w:sz w:val="24"/>
                <w:szCs w:val="24"/>
              </w:rPr>
              <w:t>”) time)</w:t>
            </w:r>
            <w:r>
              <w:rPr>
                <w:rFonts w:cstheme="minorHAnsi"/>
                <w:sz w:val="24"/>
                <w:szCs w:val="24"/>
              </w:rPr>
              <w:t xml:space="preserve"> for SA register:</w:t>
            </w:r>
          </w:p>
        </w:tc>
        <w:tc>
          <w:tcPr>
            <w:tcW w:w="2268" w:type="dxa"/>
          </w:tcPr>
          <w:p w14:paraId="09AB9B8B" w14:textId="77777777" w:rsidR="00A561BF" w:rsidRPr="00787528" w:rsidRDefault="00A561BF" w:rsidP="00176483">
            <w:pPr>
              <w:pStyle w:val="ListParagraph"/>
              <w:numPr>
                <w:ilvl w:val="0"/>
                <w:numId w:val="4"/>
              </w:numPr>
              <w:tabs>
                <w:tab w:val="left" w:pos="2835"/>
                <w:tab w:val="left" w:pos="5760"/>
              </w:tabs>
              <w:rPr>
                <w:rFonts w:cstheme="minorHAnsi"/>
                <w:sz w:val="24"/>
                <w:szCs w:val="24"/>
              </w:rPr>
            </w:pPr>
            <w:r w:rsidRPr="00787528">
              <w:rPr>
                <w:rFonts w:cstheme="minorHAnsi"/>
                <w:sz w:val="24"/>
                <w:szCs w:val="24"/>
              </w:rPr>
              <w:t>1</w:t>
            </w:r>
            <w:r>
              <w:rPr>
                <w:rFonts w:cstheme="minorHAnsi"/>
                <w:sz w:val="24"/>
                <w:szCs w:val="24"/>
              </w:rPr>
              <w:t>7 November</w:t>
            </w:r>
            <w:r w:rsidRPr="00787528">
              <w:rPr>
                <w:rFonts w:cstheme="minorHAnsi"/>
                <w:sz w:val="24"/>
                <w:szCs w:val="24"/>
              </w:rPr>
              <w:t xml:space="preserve"> 2025</w:t>
            </w:r>
          </w:p>
        </w:tc>
      </w:tr>
      <w:tr w:rsidR="00A561BF" w14:paraId="430868B2" w14:textId="77777777" w:rsidTr="00176483">
        <w:tc>
          <w:tcPr>
            <w:tcW w:w="6946" w:type="dxa"/>
          </w:tcPr>
          <w:p w14:paraId="5EB57EB4" w14:textId="77777777" w:rsidR="00A561BF" w:rsidRPr="00787528" w:rsidRDefault="00A561BF" w:rsidP="00176483">
            <w:pPr>
              <w:pStyle w:val="ListParagraph"/>
              <w:numPr>
                <w:ilvl w:val="0"/>
                <w:numId w:val="4"/>
              </w:numPr>
              <w:tabs>
                <w:tab w:val="left" w:pos="2835"/>
                <w:tab w:val="left" w:pos="5760"/>
              </w:tabs>
              <w:jc w:val="both"/>
              <w:rPr>
                <w:rFonts w:cstheme="minorHAnsi"/>
                <w:sz w:val="24"/>
                <w:szCs w:val="24"/>
              </w:rPr>
            </w:pPr>
            <w:r w:rsidRPr="00787528">
              <w:rPr>
                <w:rFonts w:cstheme="minorHAnsi"/>
                <w:sz w:val="24"/>
                <w:szCs w:val="24"/>
              </w:rPr>
              <w:t>Last day to trade for SA register:</w:t>
            </w:r>
          </w:p>
        </w:tc>
        <w:tc>
          <w:tcPr>
            <w:tcW w:w="2268" w:type="dxa"/>
          </w:tcPr>
          <w:p w14:paraId="73CAB82C" w14:textId="334863B6" w:rsidR="00A561BF" w:rsidRPr="00787528" w:rsidRDefault="00A561BF" w:rsidP="00176483">
            <w:pPr>
              <w:pStyle w:val="ListParagraph"/>
              <w:numPr>
                <w:ilvl w:val="0"/>
                <w:numId w:val="4"/>
              </w:numPr>
              <w:tabs>
                <w:tab w:val="left" w:pos="2835"/>
                <w:tab w:val="left" w:pos="5760"/>
              </w:tabs>
              <w:rPr>
                <w:rFonts w:cstheme="minorHAnsi"/>
                <w:sz w:val="24"/>
                <w:szCs w:val="24"/>
              </w:rPr>
            </w:pPr>
            <w:r>
              <w:rPr>
                <w:rFonts w:cstheme="minorHAnsi"/>
                <w:sz w:val="24"/>
                <w:szCs w:val="24"/>
              </w:rPr>
              <w:t>1</w:t>
            </w:r>
            <w:r w:rsidR="00420920">
              <w:rPr>
                <w:rFonts w:cstheme="minorHAnsi"/>
                <w:sz w:val="24"/>
                <w:szCs w:val="24"/>
              </w:rPr>
              <w:t>8</w:t>
            </w:r>
            <w:r>
              <w:rPr>
                <w:rFonts w:cstheme="minorHAnsi"/>
                <w:sz w:val="24"/>
                <w:szCs w:val="24"/>
              </w:rPr>
              <w:t xml:space="preserve"> November 2025</w:t>
            </w:r>
          </w:p>
        </w:tc>
      </w:tr>
      <w:tr w:rsidR="00A561BF" w14:paraId="19040228" w14:textId="77777777" w:rsidTr="00176483">
        <w:tc>
          <w:tcPr>
            <w:tcW w:w="6946" w:type="dxa"/>
          </w:tcPr>
          <w:p w14:paraId="34A5401E" w14:textId="77777777" w:rsidR="00A561BF" w:rsidRPr="00787528" w:rsidRDefault="00A561BF" w:rsidP="00176483">
            <w:pPr>
              <w:pStyle w:val="ListParagraph"/>
              <w:numPr>
                <w:ilvl w:val="0"/>
                <w:numId w:val="4"/>
              </w:numPr>
              <w:tabs>
                <w:tab w:val="left" w:pos="2835"/>
                <w:tab w:val="left" w:pos="5760"/>
              </w:tabs>
              <w:jc w:val="both"/>
              <w:rPr>
                <w:rFonts w:cstheme="minorHAnsi"/>
                <w:sz w:val="24"/>
                <w:szCs w:val="24"/>
              </w:rPr>
            </w:pPr>
            <w:r w:rsidRPr="00787528">
              <w:rPr>
                <w:rFonts w:cstheme="minorHAnsi"/>
                <w:sz w:val="24"/>
                <w:szCs w:val="24"/>
              </w:rPr>
              <w:t>Ex-Dividend Date for SA register:</w:t>
            </w:r>
          </w:p>
        </w:tc>
        <w:tc>
          <w:tcPr>
            <w:tcW w:w="2268" w:type="dxa"/>
          </w:tcPr>
          <w:p w14:paraId="4299955E" w14:textId="77777777" w:rsidR="00A561BF" w:rsidRPr="00787528" w:rsidRDefault="00A561BF" w:rsidP="00176483">
            <w:pPr>
              <w:pStyle w:val="ListParagraph"/>
              <w:numPr>
                <w:ilvl w:val="0"/>
                <w:numId w:val="4"/>
              </w:numPr>
              <w:tabs>
                <w:tab w:val="left" w:pos="2835"/>
                <w:tab w:val="left" w:pos="5760"/>
              </w:tabs>
              <w:rPr>
                <w:rFonts w:cstheme="minorHAnsi"/>
                <w:sz w:val="24"/>
                <w:szCs w:val="24"/>
              </w:rPr>
            </w:pPr>
            <w:r w:rsidRPr="00787528">
              <w:rPr>
                <w:rFonts w:cstheme="minorHAnsi"/>
                <w:sz w:val="24"/>
                <w:szCs w:val="24"/>
              </w:rPr>
              <w:t>1</w:t>
            </w:r>
            <w:r>
              <w:rPr>
                <w:rFonts w:cstheme="minorHAnsi"/>
                <w:sz w:val="24"/>
                <w:szCs w:val="24"/>
              </w:rPr>
              <w:t>9 November</w:t>
            </w:r>
            <w:r w:rsidRPr="00787528">
              <w:rPr>
                <w:rFonts w:cstheme="minorHAnsi"/>
                <w:sz w:val="24"/>
                <w:szCs w:val="24"/>
              </w:rPr>
              <w:t xml:space="preserve"> 2025</w:t>
            </w:r>
          </w:p>
        </w:tc>
      </w:tr>
      <w:tr w:rsidR="00A561BF" w14:paraId="50083065" w14:textId="77777777" w:rsidTr="00176483">
        <w:tc>
          <w:tcPr>
            <w:tcW w:w="6946" w:type="dxa"/>
          </w:tcPr>
          <w:p w14:paraId="49D36530" w14:textId="77777777" w:rsidR="00A561BF" w:rsidRPr="00787528" w:rsidRDefault="00A561BF" w:rsidP="00176483">
            <w:pPr>
              <w:pStyle w:val="ListParagraph"/>
              <w:numPr>
                <w:ilvl w:val="0"/>
                <w:numId w:val="4"/>
              </w:numPr>
              <w:tabs>
                <w:tab w:val="left" w:pos="2835"/>
                <w:tab w:val="left" w:pos="5760"/>
              </w:tabs>
              <w:jc w:val="both"/>
              <w:rPr>
                <w:rFonts w:cstheme="minorHAnsi"/>
              </w:rPr>
            </w:pPr>
            <w:r w:rsidRPr="00787528">
              <w:rPr>
                <w:rFonts w:cstheme="minorHAnsi"/>
                <w:sz w:val="24"/>
                <w:szCs w:val="24"/>
              </w:rPr>
              <w:t>Ex-Dividend Date for United Kingdom (“</w:t>
            </w:r>
            <w:r w:rsidRPr="00787528">
              <w:rPr>
                <w:rFonts w:cstheme="minorHAnsi"/>
                <w:b/>
                <w:bCs/>
                <w:sz w:val="24"/>
                <w:szCs w:val="24"/>
              </w:rPr>
              <w:t>UK</w:t>
            </w:r>
            <w:r w:rsidRPr="00787528">
              <w:rPr>
                <w:rFonts w:cstheme="minorHAnsi"/>
                <w:sz w:val="24"/>
                <w:szCs w:val="24"/>
              </w:rPr>
              <w:t>”) and Ireland register</w:t>
            </w:r>
            <w:r>
              <w:rPr>
                <w:rFonts w:cstheme="minorHAnsi"/>
                <w:sz w:val="24"/>
                <w:szCs w:val="24"/>
              </w:rPr>
              <w:t>:</w:t>
            </w:r>
          </w:p>
        </w:tc>
        <w:tc>
          <w:tcPr>
            <w:tcW w:w="2268" w:type="dxa"/>
          </w:tcPr>
          <w:p w14:paraId="4DDDC62B" w14:textId="77777777" w:rsidR="00A561BF" w:rsidRPr="00787528" w:rsidRDefault="00A561BF" w:rsidP="00176483">
            <w:pPr>
              <w:pStyle w:val="ListParagraph"/>
              <w:numPr>
                <w:ilvl w:val="0"/>
                <w:numId w:val="4"/>
              </w:numPr>
              <w:tabs>
                <w:tab w:val="left" w:pos="2835"/>
                <w:tab w:val="left" w:pos="5760"/>
              </w:tabs>
              <w:rPr>
                <w:rFonts w:cstheme="minorHAnsi"/>
              </w:rPr>
            </w:pPr>
            <w:r>
              <w:rPr>
                <w:rFonts w:cstheme="minorHAnsi"/>
                <w:sz w:val="24"/>
                <w:szCs w:val="24"/>
              </w:rPr>
              <w:t>20 November</w:t>
            </w:r>
            <w:r w:rsidRPr="00787528">
              <w:rPr>
                <w:rFonts w:cstheme="minorHAnsi"/>
                <w:sz w:val="24"/>
                <w:szCs w:val="24"/>
              </w:rPr>
              <w:t xml:space="preserve"> 2025</w:t>
            </w:r>
          </w:p>
        </w:tc>
      </w:tr>
      <w:tr w:rsidR="00A561BF" w14:paraId="286AA25F" w14:textId="77777777" w:rsidTr="00176483">
        <w:tc>
          <w:tcPr>
            <w:tcW w:w="6946" w:type="dxa"/>
          </w:tcPr>
          <w:p w14:paraId="6535652F" w14:textId="77777777" w:rsidR="00A561BF" w:rsidRPr="00787528" w:rsidRDefault="00A561BF" w:rsidP="00176483">
            <w:pPr>
              <w:pStyle w:val="ListParagraph"/>
              <w:numPr>
                <w:ilvl w:val="0"/>
                <w:numId w:val="4"/>
              </w:numPr>
              <w:tabs>
                <w:tab w:val="left" w:pos="2835"/>
                <w:tab w:val="left" w:pos="5587"/>
              </w:tabs>
              <w:jc w:val="both"/>
              <w:rPr>
                <w:rFonts w:cstheme="minorHAnsi"/>
                <w:sz w:val="24"/>
                <w:szCs w:val="24"/>
              </w:rPr>
            </w:pPr>
            <w:r w:rsidRPr="00787528">
              <w:rPr>
                <w:rFonts w:cstheme="minorHAnsi"/>
                <w:sz w:val="24"/>
                <w:szCs w:val="24"/>
              </w:rPr>
              <w:t xml:space="preserve">Record Date: </w:t>
            </w:r>
          </w:p>
        </w:tc>
        <w:tc>
          <w:tcPr>
            <w:tcW w:w="2268" w:type="dxa"/>
          </w:tcPr>
          <w:p w14:paraId="4C77BBC0" w14:textId="77777777" w:rsidR="00A561BF" w:rsidRPr="00787528" w:rsidRDefault="00A561BF" w:rsidP="00176483">
            <w:pPr>
              <w:pStyle w:val="ListParagraph"/>
              <w:numPr>
                <w:ilvl w:val="0"/>
                <w:numId w:val="4"/>
              </w:numPr>
              <w:tabs>
                <w:tab w:val="left" w:pos="2835"/>
                <w:tab w:val="left" w:pos="5760"/>
              </w:tabs>
              <w:rPr>
                <w:rFonts w:cstheme="minorHAnsi"/>
                <w:sz w:val="24"/>
                <w:szCs w:val="24"/>
              </w:rPr>
            </w:pPr>
            <w:r>
              <w:rPr>
                <w:rFonts w:cstheme="minorHAnsi"/>
                <w:sz w:val="24"/>
                <w:szCs w:val="24"/>
              </w:rPr>
              <w:t>21 November</w:t>
            </w:r>
            <w:r w:rsidRPr="00787528">
              <w:rPr>
                <w:rFonts w:cstheme="minorHAnsi"/>
                <w:sz w:val="24"/>
                <w:szCs w:val="24"/>
              </w:rPr>
              <w:t xml:space="preserve"> 2025</w:t>
            </w:r>
          </w:p>
        </w:tc>
      </w:tr>
      <w:tr w:rsidR="00A561BF" w14:paraId="60CFB214" w14:textId="77777777" w:rsidTr="00176483">
        <w:tc>
          <w:tcPr>
            <w:tcW w:w="6946" w:type="dxa"/>
          </w:tcPr>
          <w:p w14:paraId="1DE3E663" w14:textId="77777777" w:rsidR="00A561BF" w:rsidRPr="00787528" w:rsidRDefault="00A561BF" w:rsidP="00176483">
            <w:pPr>
              <w:pStyle w:val="ListParagraph"/>
              <w:numPr>
                <w:ilvl w:val="0"/>
                <w:numId w:val="4"/>
              </w:numPr>
              <w:tabs>
                <w:tab w:val="left" w:pos="2835"/>
                <w:tab w:val="left" w:pos="5760"/>
              </w:tabs>
              <w:jc w:val="both"/>
              <w:rPr>
                <w:rFonts w:cstheme="minorHAnsi"/>
                <w:sz w:val="24"/>
                <w:szCs w:val="24"/>
              </w:rPr>
            </w:pPr>
            <w:r w:rsidRPr="00787528">
              <w:rPr>
                <w:rFonts w:cstheme="minorHAnsi"/>
                <w:sz w:val="24"/>
                <w:szCs w:val="24"/>
              </w:rPr>
              <w:t xml:space="preserve">Payment Date: </w:t>
            </w:r>
          </w:p>
        </w:tc>
        <w:tc>
          <w:tcPr>
            <w:tcW w:w="2268" w:type="dxa"/>
          </w:tcPr>
          <w:p w14:paraId="4B0A2F91" w14:textId="77777777" w:rsidR="00A561BF" w:rsidRPr="00787528" w:rsidRDefault="00A561BF" w:rsidP="00176483">
            <w:pPr>
              <w:pStyle w:val="ListParagraph"/>
              <w:numPr>
                <w:ilvl w:val="0"/>
                <w:numId w:val="4"/>
              </w:numPr>
              <w:tabs>
                <w:tab w:val="left" w:pos="2835"/>
                <w:tab w:val="left" w:pos="5760"/>
              </w:tabs>
              <w:rPr>
                <w:rFonts w:cstheme="minorHAnsi"/>
                <w:sz w:val="24"/>
                <w:szCs w:val="24"/>
              </w:rPr>
            </w:pPr>
            <w:r>
              <w:rPr>
                <w:rFonts w:cstheme="minorHAnsi"/>
                <w:sz w:val="24"/>
                <w:szCs w:val="24"/>
              </w:rPr>
              <w:t>12 December</w:t>
            </w:r>
            <w:r w:rsidRPr="00787528">
              <w:rPr>
                <w:rFonts w:cstheme="minorHAnsi"/>
                <w:sz w:val="24"/>
                <w:szCs w:val="24"/>
              </w:rPr>
              <w:t xml:space="preserve"> 2025</w:t>
            </w:r>
          </w:p>
        </w:tc>
      </w:tr>
      <w:tr w:rsidR="00B859FF" w14:paraId="7BF3D8FC" w14:textId="77777777" w:rsidTr="00787528">
        <w:tc>
          <w:tcPr>
            <w:tcW w:w="6946" w:type="dxa"/>
          </w:tcPr>
          <w:p w14:paraId="5C1242B8" w14:textId="5E7D4E86" w:rsidR="00B859FF" w:rsidRPr="008B3D4C" w:rsidRDefault="00B859FF" w:rsidP="00163602">
            <w:pPr>
              <w:pStyle w:val="ListParagraph"/>
              <w:numPr>
                <w:ilvl w:val="0"/>
                <w:numId w:val="4"/>
              </w:numPr>
              <w:tabs>
                <w:tab w:val="left" w:pos="2835"/>
                <w:tab w:val="left" w:pos="5760"/>
              </w:tabs>
              <w:jc w:val="both"/>
              <w:rPr>
                <w:rFonts w:cstheme="minorHAnsi"/>
                <w:sz w:val="24"/>
                <w:szCs w:val="24"/>
                <w:highlight w:val="yellow"/>
              </w:rPr>
            </w:pPr>
          </w:p>
        </w:tc>
        <w:tc>
          <w:tcPr>
            <w:tcW w:w="2268" w:type="dxa"/>
          </w:tcPr>
          <w:p w14:paraId="439666D5" w14:textId="083A5E4C" w:rsidR="00B859FF" w:rsidRPr="008B3D4C" w:rsidRDefault="00B859FF" w:rsidP="00787528">
            <w:pPr>
              <w:pStyle w:val="ListParagraph"/>
              <w:numPr>
                <w:ilvl w:val="0"/>
                <w:numId w:val="4"/>
              </w:numPr>
              <w:tabs>
                <w:tab w:val="left" w:pos="2835"/>
                <w:tab w:val="left" w:pos="5760"/>
              </w:tabs>
              <w:rPr>
                <w:rFonts w:cstheme="minorHAnsi"/>
                <w:sz w:val="24"/>
                <w:szCs w:val="24"/>
                <w:highlight w:val="yellow"/>
              </w:rPr>
            </w:pPr>
          </w:p>
        </w:tc>
      </w:tr>
      <w:bookmarkEnd w:id="2"/>
      <w:bookmarkEnd w:id="3"/>
    </w:tbl>
    <w:p w14:paraId="28D07155" w14:textId="77777777" w:rsidR="007118EF" w:rsidRDefault="007118EF" w:rsidP="009020C7">
      <w:pPr>
        <w:jc w:val="both"/>
        <w:rPr>
          <w:rFonts w:cstheme="minorHAnsi"/>
          <w:b/>
        </w:rPr>
      </w:pPr>
    </w:p>
    <w:p w14:paraId="33D55B74" w14:textId="77E1B457" w:rsidR="007118EF" w:rsidRDefault="007118EF" w:rsidP="009020C7">
      <w:pPr>
        <w:jc w:val="both"/>
        <w:rPr>
          <w:rFonts w:cstheme="minorHAnsi"/>
          <w:b/>
        </w:rPr>
      </w:pPr>
      <w:r w:rsidRPr="007118EF">
        <w:rPr>
          <w:rFonts w:cstheme="minorHAnsi"/>
          <w:b/>
        </w:rPr>
        <w:t>Irish Dividend Withholding Tax</w:t>
      </w:r>
    </w:p>
    <w:p w14:paraId="219607B1" w14:textId="77777777" w:rsidR="007118EF" w:rsidRDefault="007118EF" w:rsidP="009020C7">
      <w:pPr>
        <w:jc w:val="both"/>
        <w:rPr>
          <w:rFonts w:cstheme="minorHAnsi"/>
          <w:bCs/>
        </w:rPr>
      </w:pPr>
    </w:p>
    <w:p w14:paraId="47BEEEDE" w14:textId="6002EF5C" w:rsidR="009374FC" w:rsidRDefault="007118EF" w:rsidP="009374FC">
      <w:pPr>
        <w:jc w:val="both"/>
      </w:pPr>
      <w:r w:rsidRPr="245F6BCA">
        <w:t>The gross dividend will be subject to Irish Dividend Withholding Tax (</w:t>
      </w:r>
      <w:r w:rsidR="004126B8" w:rsidRPr="245F6BCA">
        <w:t>“</w:t>
      </w:r>
      <w:r w:rsidR="009374FC" w:rsidRPr="245F6BCA">
        <w:rPr>
          <w:b/>
        </w:rPr>
        <w:t xml:space="preserve">Irish </w:t>
      </w:r>
      <w:r w:rsidRPr="245F6BCA">
        <w:rPr>
          <w:b/>
        </w:rPr>
        <w:t>DWT</w:t>
      </w:r>
      <w:r w:rsidR="004126B8" w:rsidRPr="245F6BCA">
        <w:t>”</w:t>
      </w:r>
      <w:r w:rsidRPr="245F6BCA">
        <w:t>) at a rate of 25%, which will be deducted from the amount paid to shareholders.</w:t>
      </w:r>
      <w:r w:rsidR="009374FC" w:rsidRPr="245F6BCA">
        <w:t xml:space="preserve"> Shareholders who are not </w:t>
      </w:r>
      <w:r w:rsidR="00E76704">
        <w:t xml:space="preserve">tax </w:t>
      </w:r>
      <w:r w:rsidR="009374FC" w:rsidRPr="245F6BCA">
        <w:t xml:space="preserve">resident or ordinarily resident in Ireland and who meet certain conditions </w:t>
      </w:r>
      <w:r w:rsidR="009374FC" w:rsidRPr="245F6BCA" w:rsidDel="006664DE">
        <w:t xml:space="preserve">may </w:t>
      </w:r>
      <w:r w:rsidR="009374FC" w:rsidRPr="245F6BCA">
        <w:t xml:space="preserve">be entitled to claim a refund of </w:t>
      </w:r>
      <w:r w:rsidR="00001EAF" w:rsidRPr="245F6BCA">
        <w:t xml:space="preserve">Irish </w:t>
      </w:r>
      <w:r w:rsidR="009374FC" w:rsidRPr="245F6BCA">
        <w:t xml:space="preserve">DWT </w:t>
      </w:r>
      <w:r w:rsidR="00F40349">
        <w:t xml:space="preserve">(being the full amount of the Irish DWT deducted) </w:t>
      </w:r>
      <w:r w:rsidR="009374FC" w:rsidRPr="245F6BCA">
        <w:t>withheld from the Irish Revenue Commissioners.</w:t>
      </w:r>
      <w:r w:rsidR="006E682F" w:rsidRPr="245F6BCA">
        <w:t xml:space="preserve"> </w:t>
      </w:r>
    </w:p>
    <w:p w14:paraId="02DEA8DF" w14:textId="77777777" w:rsidR="009374FC" w:rsidRPr="00C364B2" w:rsidRDefault="009374FC" w:rsidP="009374FC">
      <w:pPr>
        <w:jc w:val="both"/>
        <w:rPr>
          <w:rFonts w:cstheme="minorHAnsi"/>
          <w:bCs/>
        </w:rPr>
      </w:pPr>
    </w:p>
    <w:p w14:paraId="33012DE8" w14:textId="332ABC81" w:rsidR="009374FC" w:rsidRDefault="0038000A" w:rsidP="009374FC">
      <w:pPr>
        <w:jc w:val="both"/>
        <w:rPr>
          <w:rFonts w:cstheme="minorHAnsi"/>
          <w:bCs/>
        </w:rPr>
      </w:pPr>
      <w:r>
        <w:rPr>
          <w:rFonts w:cstheme="minorHAnsi"/>
          <w:bCs/>
        </w:rPr>
        <w:t xml:space="preserve">Shareholders </w:t>
      </w:r>
      <w:r w:rsidR="00E34BFF">
        <w:rPr>
          <w:rFonts w:cstheme="minorHAnsi"/>
          <w:bCs/>
        </w:rPr>
        <w:t>beneficially entitled to the dividend</w:t>
      </w:r>
      <w:r w:rsidR="009374FC" w:rsidRPr="00C364B2">
        <w:rPr>
          <w:rFonts w:cstheme="minorHAnsi"/>
          <w:bCs/>
        </w:rPr>
        <w:t xml:space="preserve"> who are not companies, are not resident or ordinarily resident </w:t>
      </w:r>
      <w:r w:rsidR="007A7955">
        <w:rPr>
          <w:rFonts w:cstheme="minorHAnsi"/>
          <w:bCs/>
        </w:rPr>
        <w:t xml:space="preserve">for the purposes of tax </w:t>
      </w:r>
      <w:r w:rsidR="009374FC" w:rsidRPr="00C364B2">
        <w:rPr>
          <w:rFonts w:cstheme="minorHAnsi"/>
          <w:bCs/>
        </w:rPr>
        <w:t>in Ireland, and are tax resident in a relevant territory (such as South Africa)</w:t>
      </w:r>
      <w:r>
        <w:rPr>
          <w:rFonts w:cstheme="minorHAnsi"/>
          <w:bCs/>
        </w:rPr>
        <w:t xml:space="preserve"> can apply for a refund of Irish DWT</w:t>
      </w:r>
      <w:r w:rsidR="009374FC" w:rsidRPr="00C364B2">
        <w:rPr>
          <w:rFonts w:cstheme="minorHAnsi"/>
          <w:bCs/>
        </w:rPr>
        <w:t xml:space="preserve">. Companies </w:t>
      </w:r>
      <w:r>
        <w:rPr>
          <w:rFonts w:cstheme="minorHAnsi"/>
          <w:bCs/>
        </w:rPr>
        <w:t xml:space="preserve">can </w:t>
      </w:r>
      <w:r w:rsidR="009374FC" w:rsidRPr="00C364B2">
        <w:rPr>
          <w:rFonts w:cstheme="minorHAnsi"/>
          <w:bCs/>
        </w:rPr>
        <w:t>also</w:t>
      </w:r>
      <w:r>
        <w:rPr>
          <w:rFonts w:cstheme="minorHAnsi"/>
          <w:bCs/>
        </w:rPr>
        <w:t xml:space="preserve"> apply for a </w:t>
      </w:r>
      <w:r w:rsidR="009374FC" w:rsidRPr="00C364B2">
        <w:rPr>
          <w:rFonts w:cstheme="minorHAnsi"/>
          <w:bCs/>
        </w:rPr>
        <w:t xml:space="preserve">refund if they are tax resident in South Africa and not under the direct or indirect control of Irish tax residents; are controlled by persons who are tax resident in South Africa (or another country with which Ireland has a double taxation agreement) and not controlled </w:t>
      </w:r>
      <w:r w:rsidR="005D6936">
        <w:rPr>
          <w:rFonts w:cstheme="minorHAnsi"/>
          <w:bCs/>
        </w:rPr>
        <w:lastRenderedPageBreak/>
        <w:t xml:space="preserve">directly or indirectly </w:t>
      </w:r>
      <w:r w:rsidR="009374FC" w:rsidRPr="00C364B2">
        <w:rPr>
          <w:rFonts w:cstheme="minorHAnsi"/>
          <w:bCs/>
        </w:rPr>
        <w:t>by others; or if their principal class of shares (or those of their parent company) are substantially and regularly traded on a recognised stock exchange in Ireland or in a country with which Ireland has a double taxation agreement.</w:t>
      </w:r>
      <w:r w:rsidR="00587293">
        <w:rPr>
          <w:rFonts w:cstheme="minorHAnsi"/>
          <w:bCs/>
        </w:rPr>
        <w:t xml:space="preserve"> </w:t>
      </w:r>
      <w:r w:rsidR="00682A48">
        <w:rPr>
          <w:rFonts w:cstheme="minorHAnsi"/>
          <w:bCs/>
        </w:rPr>
        <w:t>Such shareholders are not generally expected to have any Irish tax charge on dividends.</w:t>
      </w:r>
    </w:p>
    <w:p w14:paraId="1B363688" w14:textId="77777777" w:rsidR="00786690" w:rsidRDefault="00786690" w:rsidP="009374FC">
      <w:pPr>
        <w:jc w:val="both"/>
        <w:rPr>
          <w:rFonts w:cstheme="minorHAnsi"/>
          <w:bCs/>
        </w:rPr>
      </w:pPr>
    </w:p>
    <w:p w14:paraId="0617D70B" w14:textId="7692FA4D" w:rsidR="00786690" w:rsidRDefault="00682A48" w:rsidP="009374FC">
      <w:pPr>
        <w:jc w:val="both"/>
        <w:rPr>
          <w:rFonts w:cstheme="minorHAnsi"/>
          <w:bCs/>
        </w:rPr>
      </w:pPr>
      <w:r>
        <w:rPr>
          <w:rFonts w:cstheme="minorHAnsi"/>
          <w:bCs/>
        </w:rPr>
        <w:t xml:space="preserve">A refund of </w:t>
      </w:r>
      <w:r w:rsidR="003E3C37">
        <w:rPr>
          <w:rFonts w:cstheme="minorHAnsi"/>
          <w:bCs/>
        </w:rPr>
        <w:t xml:space="preserve">Irish </w:t>
      </w:r>
      <w:r>
        <w:rPr>
          <w:rFonts w:cstheme="minorHAnsi"/>
          <w:bCs/>
        </w:rPr>
        <w:t>DWT withheld</w:t>
      </w:r>
      <w:r w:rsidR="00D56C7D">
        <w:rPr>
          <w:rFonts w:cstheme="minorHAnsi"/>
          <w:bCs/>
        </w:rPr>
        <w:t xml:space="preserve"> can be applied for </w:t>
      </w:r>
      <w:r w:rsidR="00256BFD">
        <w:rPr>
          <w:rFonts w:cstheme="minorHAnsi"/>
          <w:bCs/>
        </w:rPr>
        <w:t xml:space="preserve">with the </w:t>
      </w:r>
      <w:r w:rsidR="00256BFD" w:rsidRPr="00256BFD">
        <w:rPr>
          <w:rFonts w:cstheme="minorHAnsi"/>
          <w:bCs/>
        </w:rPr>
        <w:t>Claim for refund of Dividend Withholding Tax</w:t>
      </w:r>
      <w:r w:rsidR="00256BFD">
        <w:rPr>
          <w:rFonts w:cstheme="minorHAnsi"/>
          <w:bCs/>
        </w:rPr>
        <w:t xml:space="preserve"> available </w:t>
      </w:r>
      <w:r w:rsidR="00E97C37">
        <w:rPr>
          <w:rFonts w:cstheme="minorHAnsi"/>
          <w:bCs/>
        </w:rPr>
        <w:t xml:space="preserve">on the </w:t>
      </w:r>
      <w:r w:rsidR="00525C88">
        <w:rPr>
          <w:rFonts w:cstheme="minorHAnsi"/>
          <w:bCs/>
        </w:rPr>
        <w:t xml:space="preserve">Irish </w:t>
      </w:r>
      <w:r w:rsidR="001D6A41">
        <w:rPr>
          <w:rFonts w:cstheme="minorHAnsi"/>
          <w:bCs/>
        </w:rPr>
        <w:t>Re</w:t>
      </w:r>
      <w:r w:rsidR="00832424">
        <w:rPr>
          <w:rFonts w:cstheme="minorHAnsi"/>
          <w:bCs/>
        </w:rPr>
        <w:t>ve</w:t>
      </w:r>
      <w:r w:rsidR="001D6A41">
        <w:rPr>
          <w:rFonts w:cstheme="minorHAnsi"/>
          <w:bCs/>
        </w:rPr>
        <w:t>nue</w:t>
      </w:r>
      <w:r w:rsidR="001C5F6C">
        <w:rPr>
          <w:rFonts w:cstheme="minorHAnsi"/>
          <w:bCs/>
        </w:rPr>
        <w:t xml:space="preserve"> Commissioner</w:t>
      </w:r>
      <w:r w:rsidR="00832424">
        <w:rPr>
          <w:rFonts w:cstheme="minorHAnsi"/>
          <w:bCs/>
        </w:rPr>
        <w:t>’s</w:t>
      </w:r>
      <w:r w:rsidR="000A7925">
        <w:rPr>
          <w:rFonts w:cstheme="minorHAnsi"/>
          <w:bCs/>
        </w:rPr>
        <w:t xml:space="preserve"> </w:t>
      </w:r>
      <w:r w:rsidR="00A60EDF">
        <w:rPr>
          <w:rFonts w:cstheme="minorHAnsi"/>
          <w:bCs/>
        </w:rPr>
        <w:t xml:space="preserve">official website </w:t>
      </w:r>
      <w:r w:rsidR="00525C88">
        <w:rPr>
          <w:rFonts w:cstheme="minorHAnsi"/>
          <w:bCs/>
        </w:rPr>
        <w:t>and the following link:</w:t>
      </w:r>
    </w:p>
    <w:p w14:paraId="3E0238D0" w14:textId="77777777" w:rsidR="00525C88" w:rsidRDefault="00525C88" w:rsidP="009374FC">
      <w:pPr>
        <w:jc w:val="both"/>
        <w:rPr>
          <w:rFonts w:cstheme="minorHAnsi"/>
          <w:bCs/>
        </w:rPr>
      </w:pPr>
    </w:p>
    <w:p w14:paraId="33B73826" w14:textId="044B30C3" w:rsidR="003D7CBA" w:rsidRDefault="00AC281F" w:rsidP="009374FC">
      <w:pPr>
        <w:jc w:val="both"/>
      </w:pPr>
      <w:hyperlink r:id="rId13" w:history="1">
        <w:r w:rsidRPr="00C7527E">
          <w:rPr>
            <w:rStyle w:val="Hyperlink"/>
          </w:rPr>
          <w:t>https://www.revenue.ie/en/companies-and-charities/documents/dwt/dwt-claim-for-refund.pdf</w:t>
        </w:r>
      </w:hyperlink>
      <w:r>
        <w:t xml:space="preserve"> </w:t>
      </w:r>
    </w:p>
    <w:p w14:paraId="6F239A1D" w14:textId="77777777" w:rsidR="00AC281F" w:rsidRDefault="00AC281F" w:rsidP="009374FC">
      <w:pPr>
        <w:jc w:val="both"/>
        <w:rPr>
          <w:rFonts w:cstheme="minorHAnsi"/>
          <w:bCs/>
        </w:rPr>
      </w:pPr>
    </w:p>
    <w:p w14:paraId="239AEF6C" w14:textId="77777777" w:rsidR="00871693" w:rsidRDefault="00D61132" w:rsidP="009020C7">
      <w:pPr>
        <w:jc w:val="both"/>
        <w:rPr>
          <w:rFonts w:cstheme="minorHAnsi"/>
          <w:bCs/>
        </w:rPr>
      </w:pPr>
      <w:r>
        <w:rPr>
          <w:rFonts w:cstheme="minorHAnsi"/>
          <w:bCs/>
        </w:rPr>
        <w:t xml:space="preserve">Shareholders should </w:t>
      </w:r>
      <w:r w:rsidR="00EC0CFB">
        <w:rPr>
          <w:rFonts w:cstheme="minorHAnsi"/>
          <w:bCs/>
        </w:rPr>
        <w:t xml:space="preserve">complete the required details and </w:t>
      </w:r>
      <w:r>
        <w:rPr>
          <w:rFonts w:cstheme="minorHAnsi"/>
          <w:bCs/>
        </w:rPr>
        <w:t>select</w:t>
      </w:r>
      <w:r w:rsidR="00EC0CFB">
        <w:rPr>
          <w:rFonts w:cstheme="minorHAnsi"/>
          <w:bCs/>
        </w:rPr>
        <w:t xml:space="preserve"> Option A or Option B as appropriate. </w:t>
      </w:r>
      <w:r w:rsidR="00161005">
        <w:rPr>
          <w:rFonts w:cstheme="minorHAnsi"/>
          <w:bCs/>
        </w:rPr>
        <w:t xml:space="preserve">Shareholders will also be required to provide the </w:t>
      </w:r>
      <w:r w:rsidR="00522A20">
        <w:rPr>
          <w:rFonts w:cstheme="minorHAnsi"/>
          <w:bCs/>
        </w:rPr>
        <w:t xml:space="preserve">relevant Exemption Declaration with the form (Form V2A for individuals, Form V2B for companies and Form V2C </w:t>
      </w:r>
      <w:r w:rsidR="007A3240">
        <w:rPr>
          <w:rFonts w:cstheme="minorHAnsi"/>
          <w:bCs/>
        </w:rPr>
        <w:t xml:space="preserve">for other </w:t>
      </w:r>
      <w:r w:rsidR="00D458C9">
        <w:rPr>
          <w:rFonts w:cstheme="minorHAnsi"/>
          <w:bCs/>
        </w:rPr>
        <w:t>unincorporated shareholders</w:t>
      </w:r>
      <w:r w:rsidR="007A3240">
        <w:rPr>
          <w:rFonts w:cstheme="minorHAnsi"/>
          <w:bCs/>
        </w:rPr>
        <w:t>). The Forms V2A and V2C</w:t>
      </w:r>
      <w:r w:rsidR="00D458C9">
        <w:rPr>
          <w:rFonts w:cstheme="minorHAnsi"/>
          <w:bCs/>
        </w:rPr>
        <w:t xml:space="preserve"> require confirmation from the local tax authority that the shareholder is tax resident in that jurisdiction. </w:t>
      </w:r>
      <w:r w:rsidR="00774BF4">
        <w:rPr>
          <w:rFonts w:cstheme="minorHAnsi"/>
          <w:bCs/>
        </w:rPr>
        <w:t xml:space="preserve">The relevant forms can be found at this link: </w:t>
      </w:r>
    </w:p>
    <w:p w14:paraId="301C7566" w14:textId="77777777" w:rsidR="00871693" w:rsidRDefault="00871693" w:rsidP="009020C7">
      <w:pPr>
        <w:jc w:val="both"/>
        <w:rPr>
          <w:rFonts w:cstheme="minorHAnsi"/>
          <w:bCs/>
        </w:rPr>
      </w:pPr>
    </w:p>
    <w:p w14:paraId="33568BED" w14:textId="5E3DBF4E" w:rsidR="00D458C9" w:rsidRDefault="00AC281F" w:rsidP="009020C7">
      <w:pPr>
        <w:jc w:val="both"/>
      </w:pPr>
      <w:r>
        <w:fldChar w:fldCharType="begin"/>
      </w:r>
      <w:r>
        <w:instrText>HYPERLINK "</w:instrText>
      </w:r>
      <w:r w:rsidRPr="00AC281F">
        <w:instrText>https://www.revenue.ie/en/companies-and-charities/dividend-withholding-tax/exemptions-for-non-residents.aspx</w:instrText>
      </w:r>
      <w:r>
        <w:instrText>"</w:instrText>
      </w:r>
      <w:r>
        <w:fldChar w:fldCharType="separate"/>
      </w:r>
      <w:r w:rsidRPr="00C7527E">
        <w:rPr>
          <w:rStyle w:val="Hyperlink"/>
        </w:rPr>
        <w:t>https://www.revenue.ie/en/companies-and-charities/dividend-withholding-tax/exemptions-for-non-residents.aspx</w:t>
      </w:r>
      <w:r>
        <w:fldChar w:fldCharType="end"/>
      </w:r>
      <w:r>
        <w:t xml:space="preserve"> </w:t>
      </w:r>
    </w:p>
    <w:p w14:paraId="6CBB3BC3" w14:textId="77777777" w:rsidR="00AC281F" w:rsidRDefault="00AC281F" w:rsidP="009020C7">
      <w:pPr>
        <w:jc w:val="both"/>
        <w:rPr>
          <w:rFonts w:cstheme="minorHAnsi"/>
          <w:bCs/>
        </w:rPr>
      </w:pPr>
    </w:p>
    <w:p w14:paraId="2C674CDB" w14:textId="7B47F950" w:rsidR="007118EF" w:rsidRDefault="00791773" w:rsidP="009020C7">
      <w:pPr>
        <w:jc w:val="both"/>
        <w:rPr>
          <w:rFonts w:cstheme="minorHAnsi"/>
          <w:bCs/>
        </w:rPr>
      </w:pPr>
      <w:r>
        <w:rPr>
          <w:rFonts w:cstheme="minorHAnsi"/>
          <w:bCs/>
        </w:rPr>
        <w:t xml:space="preserve">The </w:t>
      </w:r>
      <w:r w:rsidR="00AB1AC1">
        <w:rPr>
          <w:rFonts w:cstheme="minorHAnsi"/>
          <w:bCs/>
        </w:rPr>
        <w:t xml:space="preserve">relevant form must be filed with </w:t>
      </w:r>
      <w:r w:rsidR="00832424">
        <w:rPr>
          <w:rFonts w:cstheme="minorHAnsi"/>
          <w:bCs/>
        </w:rPr>
        <w:t xml:space="preserve">Irish Revenue before the </w:t>
      </w:r>
      <w:r w:rsidR="00001EAF">
        <w:rPr>
          <w:rFonts w:cstheme="minorHAnsi"/>
          <w:bCs/>
        </w:rPr>
        <w:t>expiry</w:t>
      </w:r>
      <w:r w:rsidR="00832424">
        <w:rPr>
          <w:rFonts w:cstheme="minorHAnsi"/>
          <w:bCs/>
        </w:rPr>
        <w:t xml:space="preserve"> of</w:t>
      </w:r>
      <w:r w:rsidR="007E1E29">
        <w:rPr>
          <w:rFonts w:cstheme="minorHAnsi"/>
          <w:bCs/>
        </w:rPr>
        <w:t xml:space="preserve"> </w:t>
      </w:r>
      <w:r w:rsidR="00474A76">
        <w:rPr>
          <w:rFonts w:cstheme="minorHAnsi"/>
          <w:bCs/>
        </w:rPr>
        <w:t>four</w:t>
      </w:r>
      <w:r w:rsidR="007E1E29">
        <w:rPr>
          <w:rFonts w:cstheme="minorHAnsi"/>
          <w:bCs/>
        </w:rPr>
        <w:t xml:space="preserve"> years from the year </w:t>
      </w:r>
      <w:r w:rsidR="00C86BA3">
        <w:rPr>
          <w:rFonts w:cstheme="minorHAnsi"/>
          <w:bCs/>
        </w:rPr>
        <w:t xml:space="preserve">in which the Irish DWT was </w:t>
      </w:r>
      <w:r w:rsidR="00620899">
        <w:rPr>
          <w:rFonts w:cstheme="minorHAnsi"/>
          <w:bCs/>
        </w:rPr>
        <w:t xml:space="preserve">deducted </w:t>
      </w:r>
      <w:proofErr w:type="gramStart"/>
      <w:r w:rsidR="00BA5FB9">
        <w:rPr>
          <w:rFonts w:cstheme="minorHAnsi"/>
          <w:bCs/>
        </w:rPr>
        <w:t>in order to</w:t>
      </w:r>
      <w:proofErr w:type="gramEnd"/>
      <w:r w:rsidR="00BA5FB9">
        <w:rPr>
          <w:rFonts w:cstheme="minorHAnsi"/>
          <w:bCs/>
        </w:rPr>
        <w:t xml:space="preserve"> claim the refund.</w:t>
      </w:r>
      <w:r w:rsidR="00832424">
        <w:rPr>
          <w:rFonts w:cstheme="minorHAnsi"/>
          <w:bCs/>
        </w:rPr>
        <w:t xml:space="preserve"> </w:t>
      </w:r>
    </w:p>
    <w:p w14:paraId="6EE38353" w14:textId="77777777" w:rsidR="00A60EDF" w:rsidRDefault="00A60EDF" w:rsidP="009020C7">
      <w:pPr>
        <w:jc w:val="both"/>
        <w:rPr>
          <w:rFonts w:cstheme="minorHAnsi"/>
          <w:bCs/>
        </w:rPr>
      </w:pPr>
    </w:p>
    <w:p w14:paraId="0955030D" w14:textId="504C4C48" w:rsidR="008C4BD7" w:rsidRDefault="008C4BD7" w:rsidP="009020C7">
      <w:pPr>
        <w:jc w:val="both"/>
        <w:rPr>
          <w:rFonts w:cstheme="minorHAnsi"/>
          <w:b/>
        </w:rPr>
      </w:pPr>
      <w:r>
        <w:rPr>
          <w:rFonts w:cstheme="minorHAnsi"/>
          <w:b/>
        </w:rPr>
        <w:t xml:space="preserve">South African income tax and dividends tax </w:t>
      </w:r>
      <w:r w:rsidR="00F93C7F">
        <w:rPr>
          <w:rFonts w:cstheme="minorHAnsi"/>
          <w:b/>
        </w:rPr>
        <w:t>consequences</w:t>
      </w:r>
    </w:p>
    <w:p w14:paraId="365AB67C" w14:textId="77777777" w:rsidR="008C4BD7" w:rsidRDefault="008C4BD7" w:rsidP="009020C7">
      <w:pPr>
        <w:jc w:val="both"/>
        <w:rPr>
          <w:rFonts w:cstheme="minorHAnsi"/>
          <w:b/>
        </w:rPr>
      </w:pPr>
    </w:p>
    <w:p w14:paraId="06DCA683" w14:textId="66389A4A" w:rsidR="00B65EAC" w:rsidRPr="00B65EAC" w:rsidRDefault="00B65EAC" w:rsidP="00B65EAC">
      <w:pPr>
        <w:jc w:val="both"/>
        <w:rPr>
          <w:rFonts w:cstheme="minorHAnsi"/>
          <w:bCs/>
          <w:lang w:val="en-ZA"/>
        </w:rPr>
      </w:pPr>
      <w:r w:rsidRPr="00B65EAC">
        <w:rPr>
          <w:rFonts w:cstheme="minorHAnsi"/>
          <w:bCs/>
          <w:lang w:val="en-ZA"/>
        </w:rPr>
        <w:t xml:space="preserve">The </w:t>
      </w:r>
      <w:r>
        <w:rPr>
          <w:rFonts w:cstheme="minorHAnsi"/>
          <w:bCs/>
          <w:lang w:val="en-ZA"/>
        </w:rPr>
        <w:t>d</w:t>
      </w:r>
      <w:r w:rsidRPr="00B65EAC">
        <w:rPr>
          <w:rFonts w:cstheme="minorHAnsi"/>
          <w:bCs/>
          <w:lang w:val="en-ZA"/>
        </w:rPr>
        <w:t>ividend should be regarded as a ‘foreign dividend’ for South African income tax and South African dividends tax purposes</w:t>
      </w:r>
      <w:r w:rsidR="00F40349">
        <w:rPr>
          <w:rFonts w:cstheme="minorHAnsi"/>
          <w:bCs/>
          <w:lang w:val="en-ZA"/>
        </w:rPr>
        <w:t>, paid from Ireland</w:t>
      </w:r>
      <w:r w:rsidRPr="00B65EAC">
        <w:rPr>
          <w:rFonts w:cstheme="minorHAnsi"/>
          <w:bCs/>
          <w:lang w:val="en-ZA"/>
        </w:rPr>
        <w:t xml:space="preserve">. </w:t>
      </w:r>
    </w:p>
    <w:p w14:paraId="520E2D75" w14:textId="77777777" w:rsidR="00B65EAC" w:rsidRDefault="00B65EAC" w:rsidP="00B65EAC">
      <w:pPr>
        <w:jc w:val="both"/>
        <w:rPr>
          <w:rFonts w:cstheme="minorHAnsi"/>
          <w:bCs/>
          <w:lang w:val="en-ZA"/>
        </w:rPr>
      </w:pPr>
    </w:p>
    <w:p w14:paraId="59ECAD8E" w14:textId="7D768902" w:rsidR="00B65EAC" w:rsidRPr="00B65EAC" w:rsidRDefault="00B65EAC" w:rsidP="00B65EAC">
      <w:pPr>
        <w:jc w:val="both"/>
        <w:rPr>
          <w:rFonts w:cstheme="minorHAnsi"/>
          <w:bCs/>
          <w:lang w:val="en-ZA"/>
        </w:rPr>
      </w:pPr>
      <w:r w:rsidRPr="00B65EAC">
        <w:rPr>
          <w:rFonts w:cstheme="minorHAnsi"/>
          <w:bCs/>
          <w:lang w:val="en-ZA"/>
        </w:rPr>
        <w:t xml:space="preserve">Foreign dividends received in respect of shares which are </w:t>
      </w:r>
      <w:proofErr w:type="gramStart"/>
      <w:r w:rsidRPr="00B65EAC">
        <w:rPr>
          <w:rFonts w:cstheme="minorHAnsi"/>
          <w:bCs/>
          <w:lang w:val="en-ZA"/>
        </w:rPr>
        <w:t>dual-listed</w:t>
      </w:r>
      <w:proofErr w:type="gramEnd"/>
      <w:r w:rsidRPr="00B65EAC">
        <w:rPr>
          <w:rFonts w:cstheme="minorHAnsi"/>
          <w:bCs/>
          <w:lang w:val="en-ZA"/>
        </w:rPr>
        <w:t xml:space="preserve"> on the JSE are, however, exempt from income tax. Consequently, no South African income tax should be incurred by the shareholders in respect of the </w:t>
      </w:r>
      <w:r w:rsidR="003A7B52">
        <w:rPr>
          <w:rFonts w:cstheme="minorHAnsi"/>
          <w:bCs/>
          <w:lang w:val="en-ZA"/>
        </w:rPr>
        <w:t>d</w:t>
      </w:r>
      <w:r w:rsidRPr="00B65EAC">
        <w:rPr>
          <w:rFonts w:cstheme="minorHAnsi"/>
          <w:bCs/>
          <w:lang w:val="en-ZA"/>
        </w:rPr>
        <w:t xml:space="preserve">ividend received. </w:t>
      </w:r>
    </w:p>
    <w:p w14:paraId="33A0A184" w14:textId="77777777" w:rsidR="00B65EAC" w:rsidRDefault="00B65EAC" w:rsidP="00B65EAC">
      <w:pPr>
        <w:jc w:val="both"/>
        <w:rPr>
          <w:rFonts w:cstheme="minorHAnsi"/>
          <w:bCs/>
          <w:lang w:val="en-ZA"/>
        </w:rPr>
      </w:pPr>
    </w:p>
    <w:p w14:paraId="270BCD0C" w14:textId="6A141A3B" w:rsidR="008C4BD7" w:rsidRDefault="008C4BD7" w:rsidP="008C4BD7">
      <w:pPr>
        <w:jc w:val="both"/>
        <w:rPr>
          <w:rFonts w:cstheme="minorHAnsi"/>
          <w:bCs/>
        </w:rPr>
      </w:pPr>
      <w:r w:rsidRPr="00C364B2">
        <w:rPr>
          <w:rFonts w:cstheme="minorHAnsi"/>
          <w:bCs/>
        </w:rPr>
        <w:t>For shareholders on the South African register, the dividend is subject to South African dividend tax at a rate of 20%</w:t>
      </w:r>
      <w:r w:rsidR="00942886">
        <w:rPr>
          <w:rFonts w:cstheme="minorHAnsi"/>
          <w:bCs/>
        </w:rPr>
        <w:t xml:space="preserve"> (“</w:t>
      </w:r>
      <w:r w:rsidR="00942886" w:rsidRPr="00942886">
        <w:rPr>
          <w:rFonts w:cstheme="minorHAnsi"/>
          <w:b/>
        </w:rPr>
        <w:t>SA DWT</w:t>
      </w:r>
      <w:r w:rsidR="00942886">
        <w:rPr>
          <w:rFonts w:cstheme="minorHAnsi"/>
          <w:bCs/>
        </w:rPr>
        <w:t>”)</w:t>
      </w:r>
      <w:r w:rsidRPr="00C364B2">
        <w:rPr>
          <w:rFonts w:cstheme="minorHAnsi"/>
          <w:bCs/>
        </w:rPr>
        <w:t xml:space="preserve">, unless the shareholder qualifies for an exemption. </w:t>
      </w:r>
    </w:p>
    <w:p w14:paraId="51B7441C" w14:textId="77777777" w:rsidR="00F95639" w:rsidRDefault="00F95639" w:rsidP="008C4BD7">
      <w:pPr>
        <w:jc w:val="both"/>
        <w:rPr>
          <w:rFonts w:cstheme="minorHAnsi"/>
          <w:bCs/>
        </w:rPr>
      </w:pPr>
    </w:p>
    <w:p w14:paraId="2B588EEA" w14:textId="2136730F" w:rsidR="008C4BD7" w:rsidRDefault="00FC7824" w:rsidP="009020C7">
      <w:pPr>
        <w:jc w:val="both"/>
        <w:rPr>
          <w:rFonts w:cstheme="minorHAnsi"/>
          <w:bCs/>
        </w:rPr>
      </w:pPr>
      <w:r w:rsidRPr="00FC7824">
        <w:rPr>
          <w:rFonts w:cstheme="minorHAnsi"/>
          <w:bCs/>
        </w:rPr>
        <w:t>Any shareholder who receives a dividend which is subject to SA DWT (i.e</w:t>
      </w:r>
      <w:r w:rsidR="000C712E">
        <w:rPr>
          <w:rFonts w:cstheme="minorHAnsi"/>
          <w:bCs/>
        </w:rPr>
        <w:t>.</w:t>
      </w:r>
      <w:r w:rsidRPr="00FC7824">
        <w:rPr>
          <w:rFonts w:cstheme="minorHAnsi"/>
          <w:bCs/>
        </w:rPr>
        <w:t xml:space="preserve"> where no exemption is available) will qualify for a reduction in SA DWT in respect of Irish DWT</w:t>
      </w:r>
      <w:r w:rsidR="005B375A">
        <w:rPr>
          <w:rFonts w:cstheme="minorHAnsi"/>
          <w:bCs/>
        </w:rPr>
        <w:t xml:space="preserve">, </w:t>
      </w:r>
      <w:r w:rsidR="005B375A" w:rsidRPr="005B375A">
        <w:rPr>
          <w:rFonts w:cstheme="minorHAnsi"/>
          <w:bCs/>
        </w:rPr>
        <w:t>to the extent that the Irish Revenue Commissioners does not allow the refund of the Irish DWT after application for same</w:t>
      </w:r>
      <w:r w:rsidR="00EC080E">
        <w:rPr>
          <w:rFonts w:cstheme="minorHAnsi"/>
          <w:bCs/>
        </w:rPr>
        <w:t xml:space="preserve"> </w:t>
      </w:r>
      <w:r w:rsidR="00EC080E" w:rsidRPr="00EC080E">
        <w:rPr>
          <w:rFonts w:cstheme="minorHAnsi"/>
          <w:bCs/>
        </w:rPr>
        <w:t>(i.e</w:t>
      </w:r>
      <w:r w:rsidR="00EC080E">
        <w:rPr>
          <w:rFonts w:cstheme="minorHAnsi"/>
          <w:bCs/>
        </w:rPr>
        <w:t>.</w:t>
      </w:r>
      <w:r w:rsidR="00EC080E" w:rsidRPr="00EC080E">
        <w:rPr>
          <w:rFonts w:cstheme="minorHAnsi"/>
          <w:bCs/>
        </w:rPr>
        <w:t xml:space="preserve"> where there is no right of recovery).</w:t>
      </w:r>
    </w:p>
    <w:p w14:paraId="5CD758C4" w14:textId="77777777" w:rsidR="00BE010D" w:rsidRDefault="00BE010D" w:rsidP="009020C7">
      <w:pPr>
        <w:jc w:val="both"/>
        <w:rPr>
          <w:rFonts w:cstheme="minorHAnsi"/>
          <w:bCs/>
        </w:rPr>
      </w:pPr>
    </w:p>
    <w:p w14:paraId="495148DD" w14:textId="177B6BEB" w:rsidR="00BE010D" w:rsidRPr="00BE010D" w:rsidRDefault="00BE010D" w:rsidP="009020C7">
      <w:pPr>
        <w:jc w:val="both"/>
        <w:rPr>
          <w:rFonts w:cstheme="minorHAnsi"/>
          <w:bCs/>
        </w:rPr>
      </w:pPr>
      <w:r w:rsidRPr="00F17422">
        <w:rPr>
          <w:rFonts w:cstheme="minorHAnsi"/>
          <w:bCs/>
        </w:rPr>
        <w:t>The ultimate result</w:t>
      </w:r>
      <w:r>
        <w:rPr>
          <w:rFonts w:cstheme="minorHAnsi"/>
          <w:bCs/>
        </w:rPr>
        <w:t>, should Irish DWT</w:t>
      </w:r>
      <w:r w:rsidRPr="00F17422">
        <w:rPr>
          <w:rFonts w:cstheme="minorHAnsi"/>
          <w:bCs/>
        </w:rPr>
        <w:t xml:space="preserve"> </w:t>
      </w:r>
      <w:r>
        <w:rPr>
          <w:rFonts w:cstheme="minorHAnsi"/>
          <w:bCs/>
        </w:rPr>
        <w:t xml:space="preserve">be refunded, </w:t>
      </w:r>
      <w:r w:rsidRPr="00F17422">
        <w:rPr>
          <w:rFonts w:cstheme="minorHAnsi"/>
          <w:bCs/>
        </w:rPr>
        <w:t>is tha</w:t>
      </w:r>
      <w:r>
        <w:rPr>
          <w:rFonts w:cstheme="minorHAnsi"/>
          <w:bCs/>
        </w:rPr>
        <w:t xml:space="preserve">t </w:t>
      </w:r>
      <w:r w:rsidRPr="00F17422">
        <w:rPr>
          <w:rFonts w:cstheme="minorHAnsi"/>
          <w:bCs/>
        </w:rPr>
        <w:t xml:space="preserve">the </w:t>
      </w:r>
      <w:r>
        <w:rPr>
          <w:rFonts w:cstheme="minorHAnsi"/>
          <w:bCs/>
        </w:rPr>
        <w:t>d</w:t>
      </w:r>
      <w:r w:rsidRPr="00F17422">
        <w:rPr>
          <w:rFonts w:cstheme="minorHAnsi"/>
          <w:bCs/>
        </w:rPr>
        <w:t>ividend will be subject to SA D</w:t>
      </w:r>
      <w:r>
        <w:rPr>
          <w:rFonts w:cstheme="minorHAnsi"/>
          <w:bCs/>
        </w:rPr>
        <w:t>WT</w:t>
      </w:r>
      <w:r w:rsidRPr="00F17422">
        <w:rPr>
          <w:rFonts w:cstheme="minorHAnsi"/>
          <w:bCs/>
        </w:rPr>
        <w:t xml:space="preserve"> at a rate of </w:t>
      </w:r>
      <w:r>
        <w:rPr>
          <w:rFonts w:cstheme="minorHAnsi"/>
          <w:bCs/>
        </w:rPr>
        <w:t>20</w:t>
      </w:r>
      <w:r w:rsidRPr="00F17422">
        <w:rPr>
          <w:rFonts w:cstheme="minorHAnsi"/>
          <w:bCs/>
        </w:rPr>
        <w:t>% (unless a shareholder qualifies for an exemption from SA D</w:t>
      </w:r>
      <w:r>
        <w:rPr>
          <w:rFonts w:cstheme="minorHAnsi"/>
          <w:bCs/>
        </w:rPr>
        <w:t>WT</w:t>
      </w:r>
      <w:r w:rsidRPr="00F17422">
        <w:rPr>
          <w:rFonts w:cstheme="minorHAnsi"/>
          <w:bCs/>
        </w:rPr>
        <w:t>).</w:t>
      </w:r>
      <w:r w:rsidRPr="00F17422">
        <w:rPr>
          <w:rFonts w:cstheme="minorHAnsi"/>
          <w:bCs/>
          <w:lang w:val="en-ZA"/>
        </w:rPr>
        <w:t xml:space="preserve"> </w:t>
      </w:r>
    </w:p>
    <w:p w14:paraId="07012DC1" w14:textId="77777777" w:rsidR="00FE4563" w:rsidRDefault="00FE4563" w:rsidP="009020C7">
      <w:pPr>
        <w:jc w:val="both"/>
        <w:rPr>
          <w:rFonts w:cstheme="minorHAnsi"/>
          <w:b/>
        </w:rPr>
      </w:pPr>
    </w:p>
    <w:p w14:paraId="6F61CA3E" w14:textId="61FECCBC" w:rsidR="007118EF" w:rsidRPr="007118EF" w:rsidRDefault="00CD06A5" w:rsidP="009020C7">
      <w:pPr>
        <w:jc w:val="both"/>
        <w:rPr>
          <w:rFonts w:cstheme="minorHAnsi"/>
          <w:b/>
        </w:rPr>
      </w:pPr>
      <w:r>
        <w:rPr>
          <w:rFonts w:cstheme="minorHAnsi"/>
          <w:b/>
        </w:rPr>
        <w:t xml:space="preserve">Additional information for shareholders on the </w:t>
      </w:r>
      <w:r w:rsidR="00F14C97">
        <w:rPr>
          <w:rFonts w:cstheme="minorHAnsi"/>
          <w:b/>
        </w:rPr>
        <w:t>South African</w:t>
      </w:r>
      <w:r>
        <w:rPr>
          <w:rFonts w:cstheme="minorHAnsi"/>
          <w:b/>
        </w:rPr>
        <w:t xml:space="preserve"> Register</w:t>
      </w:r>
    </w:p>
    <w:p w14:paraId="164A552D" w14:textId="77777777" w:rsidR="007118EF" w:rsidRDefault="007118EF" w:rsidP="009020C7">
      <w:pPr>
        <w:jc w:val="both"/>
        <w:rPr>
          <w:rFonts w:cstheme="minorHAnsi"/>
          <w:bCs/>
        </w:rPr>
      </w:pPr>
    </w:p>
    <w:p w14:paraId="0D18B5E5" w14:textId="07CFCD1D" w:rsidR="00A561BF" w:rsidRDefault="00A561BF" w:rsidP="00A561BF">
      <w:pPr>
        <w:jc w:val="both"/>
        <w:rPr>
          <w:rFonts w:cstheme="minorHAnsi"/>
          <w:bCs/>
        </w:rPr>
      </w:pPr>
      <w:r w:rsidRPr="00163602">
        <w:rPr>
          <w:rFonts w:cstheme="minorHAnsi"/>
          <w:bCs/>
        </w:rPr>
        <w:t xml:space="preserve">To facilitate settlement of the dividend to entitled SA </w:t>
      </w:r>
      <w:r>
        <w:rPr>
          <w:rFonts w:cstheme="minorHAnsi"/>
          <w:bCs/>
        </w:rPr>
        <w:t>s</w:t>
      </w:r>
      <w:r w:rsidRPr="00163602">
        <w:rPr>
          <w:rFonts w:cstheme="minorHAnsi"/>
          <w:bCs/>
        </w:rPr>
        <w:t>hareholders, share</w:t>
      </w:r>
      <w:r>
        <w:rPr>
          <w:rFonts w:cstheme="minorHAnsi"/>
          <w:bCs/>
        </w:rPr>
        <w:t>s</w:t>
      </w:r>
      <w:r w:rsidRPr="00163602">
        <w:rPr>
          <w:rFonts w:cstheme="minorHAnsi"/>
          <w:bCs/>
        </w:rPr>
        <w:t xml:space="preserve"> may not be dematerialised or </w:t>
      </w:r>
      <w:proofErr w:type="spellStart"/>
      <w:r w:rsidRPr="00163602">
        <w:rPr>
          <w:rFonts w:cstheme="minorHAnsi"/>
          <w:bCs/>
        </w:rPr>
        <w:t>rematerialised</w:t>
      </w:r>
      <w:proofErr w:type="spellEnd"/>
      <w:r w:rsidRPr="00163602">
        <w:rPr>
          <w:rFonts w:cstheme="minorHAnsi"/>
          <w:bCs/>
        </w:rPr>
        <w:t xml:space="preserve"> between</w:t>
      </w:r>
      <w:r>
        <w:rPr>
          <w:rFonts w:cstheme="minorHAnsi"/>
          <w:bCs/>
        </w:rPr>
        <w:t xml:space="preserve"> </w:t>
      </w:r>
      <w:r w:rsidR="00420920" w:rsidRPr="00026823">
        <w:rPr>
          <w:rFonts w:cstheme="minorHAnsi"/>
          <w:bCs/>
        </w:rPr>
        <w:t>Wednesday</w:t>
      </w:r>
      <w:r w:rsidRPr="00026823">
        <w:rPr>
          <w:rFonts w:cstheme="minorHAnsi"/>
          <w:bCs/>
        </w:rPr>
        <w:t>, 1</w:t>
      </w:r>
      <w:r w:rsidR="00420920" w:rsidRPr="00026823">
        <w:rPr>
          <w:rFonts w:cstheme="minorHAnsi"/>
          <w:bCs/>
        </w:rPr>
        <w:t>9</w:t>
      </w:r>
      <w:r w:rsidRPr="00026823">
        <w:rPr>
          <w:rFonts w:cstheme="minorHAnsi"/>
          <w:bCs/>
        </w:rPr>
        <w:t xml:space="preserve"> November 2025 (the SA Ex-Dividend Date) and </w:t>
      </w:r>
      <w:r w:rsidR="007A4AF7" w:rsidRPr="00026823">
        <w:rPr>
          <w:rFonts w:cstheme="minorHAnsi"/>
          <w:bCs/>
        </w:rPr>
        <w:t>Friday</w:t>
      </w:r>
      <w:r w:rsidRPr="00026823">
        <w:rPr>
          <w:rFonts w:cstheme="minorHAnsi"/>
          <w:bCs/>
        </w:rPr>
        <w:t>, 2</w:t>
      </w:r>
      <w:r w:rsidR="007A4AF7" w:rsidRPr="00026823">
        <w:rPr>
          <w:rFonts w:cstheme="minorHAnsi"/>
          <w:bCs/>
        </w:rPr>
        <w:t>1</w:t>
      </w:r>
      <w:r w:rsidRPr="00026823">
        <w:rPr>
          <w:rFonts w:cstheme="minorHAnsi"/>
          <w:bCs/>
        </w:rPr>
        <w:t xml:space="preserve"> November 2025 (the Record Date). The</w:t>
      </w:r>
      <w:r>
        <w:rPr>
          <w:rFonts w:cstheme="minorHAnsi"/>
          <w:bCs/>
        </w:rPr>
        <w:t xml:space="preserve"> exchange rate for determining the </w:t>
      </w:r>
      <w:r w:rsidRPr="00026823">
        <w:rPr>
          <w:rFonts w:cstheme="minorHAnsi"/>
          <w:bCs/>
        </w:rPr>
        <w:t>quarterly dividend paid in rand will be confirmed by way of an announcement on Monday, 17 November 2025. Shares cannot be moved between the SA Share Register, or between the SA, UK and Ireland register, between Monday, 17 November 2025 and Friday, 21 November 2025. All dates are inclusive.</w:t>
      </w:r>
    </w:p>
    <w:p w14:paraId="04D10CA8" w14:textId="77777777" w:rsidR="004E0986" w:rsidRDefault="004E0986" w:rsidP="009020C7">
      <w:pPr>
        <w:jc w:val="both"/>
        <w:rPr>
          <w:rFonts w:cstheme="minorHAnsi"/>
          <w:bCs/>
        </w:rPr>
      </w:pPr>
    </w:p>
    <w:p w14:paraId="4BA4681B" w14:textId="6B2092A0" w:rsidR="00C364B2" w:rsidRPr="00C364B2" w:rsidRDefault="00C364B2" w:rsidP="00C364B2">
      <w:pPr>
        <w:jc w:val="both"/>
        <w:rPr>
          <w:rFonts w:cstheme="minorHAnsi"/>
          <w:bCs/>
        </w:rPr>
      </w:pPr>
      <w:r w:rsidRPr="00C364B2">
        <w:rPr>
          <w:rFonts w:cstheme="minorHAnsi"/>
          <w:bCs/>
        </w:rPr>
        <w:t xml:space="preserve">The Company has a total of 1,113,535,009 shares in issue, of which 200,000 are held in treasury. The dividend will be distributed by the Company (Irish tax registration number </w:t>
      </w:r>
      <w:r w:rsidR="00274843" w:rsidRPr="00274843">
        <w:rPr>
          <w:rFonts w:cstheme="minorHAnsi"/>
          <w:bCs/>
        </w:rPr>
        <w:t>598470</w:t>
      </w:r>
      <w:r w:rsidRPr="00C364B2">
        <w:rPr>
          <w:rFonts w:cstheme="minorHAnsi"/>
          <w:bCs/>
        </w:rPr>
        <w:t>) and is regarded as a foreign dividend for shareholders on the South African register.</w:t>
      </w:r>
    </w:p>
    <w:p w14:paraId="5129F3B2" w14:textId="26E4F2DF" w:rsidR="00C364B2" w:rsidRDefault="00C364B2" w:rsidP="00CD70CB">
      <w:pPr>
        <w:jc w:val="both"/>
        <w:rPr>
          <w:rFonts w:cstheme="minorHAnsi"/>
          <w:bCs/>
        </w:rPr>
      </w:pPr>
    </w:p>
    <w:p w14:paraId="2403A214" w14:textId="77777777" w:rsidR="00C364B2" w:rsidRPr="00C364B2" w:rsidRDefault="00C364B2" w:rsidP="00C364B2">
      <w:pPr>
        <w:jc w:val="both"/>
        <w:rPr>
          <w:rFonts w:cstheme="minorHAnsi"/>
          <w:bCs/>
        </w:rPr>
      </w:pPr>
    </w:p>
    <w:p w14:paraId="17648C1B" w14:textId="000F2284" w:rsidR="00C364B2" w:rsidRPr="00F14C97" w:rsidRDefault="00F14C97" w:rsidP="00C364B2">
      <w:pPr>
        <w:jc w:val="both"/>
        <w:rPr>
          <w:rFonts w:cstheme="minorHAnsi"/>
          <w:b/>
        </w:rPr>
      </w:pPr>
      <w:r w:rsidRPr="00F14C97">
        <w:rPr>
          <w:rFonts w:cstheme="minorHAnsi"/>
          <w:b/>
        </w:rPr>
        <w:t xml:space="preserve">General </w:t>
      </w:r>
    </w:p>
    <w:p w14:paraId="74A8C617" w14:textId="77777777" w:rsidR="00F14C97" w:rsidRPr="00C364B2" w:rsidRDefault="00F14C97" w:rsidP="00C364B2">
      <w:pPr>
        <w:jc w:val="both"/>
        <w:rPr>
          <w:rFonts w:cstheme="minorHAnsi"/>
          <w:bCs/>
        </w:rPr>
      </w:pPr>
    </w:p>
    <w:p w14:paraId="597C7415" w14:textId="77777777" w:rsidR="00C364B2" w:rsidRPr="00C364B2" w:rsidRDefault="00C364B2" w:rsidP="00C364B2">
      <w:pPr>
        <w:jc w:val="both"/>
        <w:rPr>
          <w:rFonts w:cstheme="minorHAnsi"/>
          <w:bCs/>
        </w:rPr>
      </w:pPr>
      <w:r w:rsidRPr="00C364B2">
        <w:rPr>
          <w:rFonts w:cstheme="minorHAnsi"/>
          <w:bCs/>
        </w:rPr>
        <w:t>These comments are provided for general information purposes only. Shareholders should seek independent professional tax advice if they are uncertain about their tax position.</w:t>
      </w:r>
    </w:p>
    <w:p w14:paraId="1234D23C" w14:textId="77777777" w:rsidR="00C364B2" w:rsidRDefault="00C364B2" w:rsidP="004E0986">
      <w:pPr>
        <w:jc w:val="both"/>
        <w:rPr>
          <w:rFonts w:cstheme="minorHAnsi"/>
          <w:bCs/>
        </w:rPr>
      </w:pPr>
    </w:p>
    <w:p w14:paraId="65B733DD" w14:textId="77777777" w:rsidR="00163602" w:rsidRPr="008D341B" w:rsidRDefault="00163602" w:rsidP="009020C7">
      <w:pPr>
        <w:jc w:val="both"/>
        <w:rPr>
          <w:rFonts w:cstheme="minorHAnsi"/>
          <w:bCs/>
        </w:rPr>
      </w:pPr>
    </w:p>
    <w:p w14:paraId="3ED5A360" w14:textId="77777777" w:rsidR="00C118DE" w:rsidRPr="00C118DE" w:rsidRDefault="00C118DE" w:rsidP="00C118DE">
      <w:pPr>
        <w:spacing w:line="240" w:lineRule="exact"/>
        <w:ind w:right="-2"/>
        <w:jc w:val="center"/>
        <w:rPr>
          <w:rFonts w:eastAsia="SimSun" w:cstheme="minorHAnsi"/>
          <w14:ligatures w14:val="standardContextual"/>
        </w:rPr>
      </w:pPr>
      <w:r w:rsidRPr="00C118DE">
        <w:rPr>
          <w:rFonts w:eastAsia="SimSun" w:cstheme="minorHAnsi"/>
          <w14:ligatures w14:val="standardContextual"/>
        </w:rPr>
        <w:t>--- ENDS ---</w:t>
      </w:r>
    </w:p>
    <w:p w14:paraId="24E96BC6"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p>
    <w:p w14:paraId="29D852DD"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r w:rsidRPr="00C118DE">
        <w:rPr>
          <w:rFonts w:eastAsia="Times New Roman" w:cstheme="minorHAnsi"/>
          <w:bCs/>
          <w:lang w:val="en-IE"/>
          <w14:ligatures w14:val="standardContextual"/>
        </w:rPr>
        <w:t>For further information, please contact:</w:t>
      </w:r>
    </w:p>
    <w:p w14:paraId="6AEFAA25"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p>
    <w:tbl>
      <w:tblPr>
        <w:tblStyle w:val="TableGridLight"/>
        <w:tblW w:w="893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1"/>
        <w:gridCol w:w="3435"/>
      </w:tblGrid>
      <w:tr w:rsidR="004E1AF5" w:rsidRPr="00052161" w14:paraId="7A97EA2E" w14:textId="77777777" w:rsidTr="008577B5">
        <w:tc>
          <w:tcPr>
            <w:tcW w:w="5501" w:type="dxa"/>
          </w:tcPr>
          <w:p w14:paraId="2C459E05" w14:textId="77777777" w:rsidR="004E1AF5" w:rsidRPr="00ED091C" w:rsidRDefault="004E1AF5">
            <w:pPr>
              <w:pStyle w:val="ListParagraph"/>
              <w:numPr>
                <w:ilvl w:val="0"/>
                <w:numId w:val="4"/>
              </w:numPr>
              <w:spacing w:before="240"/>
              <w:rPr>
                <w:rFonts w:ascii="Calibri" w:eastAsia="Times New Roman" w:hAnsi="Calibri" w:cs="Calibri"/>
                <w:b/>
                <w:bCs/>
                <w:color w:val="000000"/>
                <w:sz w:val="20"/>
                <w:szCs w:val="16"/>
                <w:lang w:eastAsia="en-ZA"/>
              </w:rPr>
            </w:pPr>
            <w:r w:rsidRPr="00ED091C">
              <w:rPr>
                <w:rFonts w:ascii="Arial" w:eastAsia="Times New Roman" w:hAnsi="Arial" w:cs="Arial"/>
                <w:b/>
                <w:bCs/>
                <w:color w:val="000000"/>
                <w:sz w:val="20"/>
                <w:szCs w:val="16"/>
                <w:lang w:eastAsia="en-GB"/>
              </w:rPr>
              <w:t>Schroders Greencoat LLP (Investment Manager)</w:t>
            </w:r>
          </w:p>
        </w:tc>
        <w:tc>
          <w:tcPr>
            <w:tcW w:w="3435" w:type="dxa"/>
          </w:tcPr>
          <w:p w14:paraId="05CBE835" w14:textId="77777777" w:rsidR="004E1AF5" w:rsidRPr="00052161" w:rsidRDefault="004E1AF5">
            <w:pPr>
              <w:spacing w:before="240"/>
              <w:jc w:val="both"/>
              <w:rPr>
                <w:rFonts w:ascii="Calibri" w:eastAsia="Times New Roman" w:hAnsi="Calibri" w:cs="Calibri"/>
                <w:b/>
                <w:bCs/>
                <w:color w:val="000000"/>
                <w:kern w:val="0"/>
                <w:sz w:val="20"/>
                <w:szCs w:val="16"/>
                <w:lang w:eastAsia="en-ZA"/>
                <w14:ligatures w14:val="none"/>
              </w:rPr>
            </w:pPr>
          </w:p>
        </w:tc>
      </w:tr>
      <w:tr w:rsidR="004E1AF5" w:rsidRPr="00052161" w14:paraId="5E154C5B" w14:textId="77777777" w:rsidTr="008577B5">
        <w:tc>
          <w:tcPr>
            <w:tcW w:w="5501" w:type="dxa"/>
          </w:tcPr>
          <w:p w14:paraId="30FFD801" w14:textId="77777777" w:rsidR="004E1AF5" w:rsidRPr="00052161" w:rsidRDefault="004E1AF5">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Bertrand Gautier</w:t>
            </w:r>
          </w:p>
        </w:tc>
        <w:tc>
          <w:tcPr>
            <w:tcW w:w="3435" w:type="dxa"/>
          </w:tcPr>
          <w:p w14:paraId="620E6A6A" w14:textId="77777777" w:rsidR="004E1AF5" w:rsidRPr="00052161" w:rsidRDefault="004E1AF5">
            <w:pPr>
              <w:rPr>
                <w:rFonts w:ascii="Arial" w:eastAsia="Times New Roman" w:hAnsi="Arial" w:cs="Arial"/>
                <w:color w:val="000000"/>
                <w:kern w:val="0"/>
                <w:sz w:val="20"/>
                <w:szCs w:val="16"/>
                <w:lang w:val="de-DE" w:eastAsia="en-GB"/>
                <w14:ligatures w14:val="none"/>
              </w:rPr>
            </w:pPr>
          </w:p>
        </w:tc>
      </w:tr>
      <w:tr w:rsidR="004E1AF5" w:rsidRPr="00052161" w14:paraId="3D669142" w14:textId="77777777" w:rsidTr="008577B5">
        <w:tc>
          <w:tcPr>
            <w:tcW w:w="5501" w:type="dxa"/>
          </w:tcPr>
          <w:p w14:paraId="721F35D1" w14:textId="77777777" w:rsidR="004E1AF5" w:rsidRPr="00052161" w:rsidRDefault="004E1AF5">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Paul O'Donnell</w:t>
            </w:r>
          </w:p>
        </w:tc>
        <w:tc>
          <w:tcPr>
            <w:tcW w:w="3435" w:type="dxa"/>
          </w:tcPr>
          <w:p w14:paraId="32608F4F" w14:textId="77777777" w:rsidR="004E1AF5" w:rsidRPr="00052161" w:rsidRDefault="004E1AF5">
            <w:pPr>
              <w:rPr>
                <w:rFonts w:ascii="Arial" w:eastAsia="Times New Roman" w:hAnsi="Arial" w:cs="Arial"/>
                <w:color w:val="000000"/>
                <w:kern w:val="0"/>
                <w:sz w:val="20"/>
                <w:szCs w:val="16"/>
                <w:lang w:val="de-DE" w:eastAsia="en-GB"/>
                <w14:ligatures w14:val="none"/>
              </w:rPr>
            </w:pPr>
          </w:p>
        </w:tc>
      </w:tr>
      <w:tr w:rsidR="004E1AF5" w:rsidRPr="00052161" w14:paraId="56F3CBD2" w14:textId="77777777" w:rsidTr="008577B5">
        <w:tc>
          <w:tcPr>
            <w:tcW w:w="5501" w:type="dxa"/>
          </w:tcPr>
          <w:p w14:paraId="22DF565D" w14:textId="77777777" w:rsidR="004E1AF5" w:rsidRPr="00052161" w:rsidRDefault="004E1AF5">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John Musk</w:t>
            </w:r>
          </w:p>
        </w:tc>
        <w:tc>
          <w:tcPr>
            <w:tcW w:w="3435" w:type="dxa"/>
          </w:tcPr>
          <w:p w14:paraId="6D00E8E7" w14:textId="77777777" w:rsidR="004E1AF5" w:rsidRPr="00052161" w:rsidRDefault="004E1AF5">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+44 20 7832 9400</w:t>
            </w:r>
          </w:p>
        </w:tc>
      </w:tr>
      <w:tr w:rsidR="004E1AF5" w:rsidRPr="00052161" w14:paraId="3937480D" w14:textId="77777777" w:rsidTr="008577B5">
        <w:tc>
          <w:tcPr>
            <w:tcW w:w="5501" w:type="dxa"/>
          </w:tcPr>
          <w:p w14:paraId="5DAD5F83" w14:textId="77777777" w:rsidR="004E1AF5" w:rsidRPr="00052161" w:rsidRDefault="004E1AF5">
            <w:pPr>
              <w:spacing w:before="240"/>
              <w:rPr>
                <w:rFonts w:ascii="Arial" w:eastAsia="Times New Roman" w:hAnsi="Arial" w:cs="Arial"/>
                <w:b/>
                <w:bCs/>
                <w:color w:val="000000"/>
                <w:kern w:val="0"/>
                <w:sz w:val="20"/>
                <w:szCs w:val="16"/>
                <w:lang w:eastAsia="en-GB"/>
                <w14:ligatures w14:val="none"/>
              </w:rPr>
            </w:pPr>
          </w:p>
        </w:tc>
        <w:tc>
          <w:tcPr>
            <w:tcW w:w="3435" w:type="dxa"/>
          </w:tcPr>
          <w:p w14:paraId="5F3617AE" w14:textId="77777777" w:rsidR="004E1AF5" w:rsidRPr="00052161" w:rsidRDefault="004E1AF5">
            <w:pPr>
              <w:rPr>
                <w:rFonts w:ascii="Arial" w:eastAsia="Times New Roman" w:hAnsi="Arial" w:cs="Arial"/>
                <w:color w:val="000000"/>
                <w:kern w:val="0"/>
                <w:sz w:val="20"/>
                <w:szCs w:val="16"/>
                <w:lang w:val="de-DE" w:eastAsia="en-GB"/>
                <w14:ligatures w14:val="none"/>
              </w:rPr>
            </w:pPr>
          </w:p>
        </w:tc>
      </w:tr>
      <w:tr w:rsidR="004E1AF5" w:rsidRPr="00052161" w14:paraId="2342CBDB" w14:textId="77777777" w:rsidTr="008577B5">
        <w:tc>
          <w:tcPr>
            <w:tcW w:w="5501" w:type="dxa"/>
          </w:tcPr>
          <w:p w14:paraId="18D3EC66" w14:textId="77777777" w:rsidR="004E1AF5" w:rsidRPr="00052161" w:rsidRDefault="004E1AF5">
            <w:pPr>
              <w:spacing w:before="240"/>
              <w:rPr>
                <w:rFonts w:ascii="Calibri" w:eastAsia="Times New Roman" w:hAnsi="Calibri" w:cs="Calibri"/>
                <w:b/>
                <w:bCs/>
                <w:color w:val="000000"/>
                <w:kern w:val="0"/>
                <w:sz w:val="20"/>
                <w:szCs w:val="16"/>
                <w:lang w:eastAsia="en-ZA"/>
                <w14:ligatures w14:val="none"/>
              </w:rPr>
            </w:pPr>
            <w:r w:rsidRPr="00052161">
              <w:rPr>
                <w:rFonts w:ascii="Arial" w:eastAsia="Times New Roman" w:hAnsi="Arial" w:cs="Arial"/>
                <w:b/>
                <w:bCs/>
                <w:color w:val="000000"/>
                <w:kern w:val="0"/>
                <w:sz w:val="20"/>
                <w:szCs w:val="16"/>
                <w:lang w:eastAsia="en-GB"/>
                <w14:ligatures w14:val="none"/>
              </w:rPr>
              <w:t>FTI Consulting (Investor Relations &amp; Media)</w:t>
            </w:r>
          </w:p>
        </w:tc>
        <w:tc>
          <w:tcPr>
            <w:tcW w:w="3435" w:type="dxa"/>
          </w:tcPr>
          <w:p w14:paraId="1520B815" w14:textId="77777777" w:rsidR="004E1AF5" w:rsidRPr="00052161" w:rsidRDefault="004E1AF5">
            <w:pPr>
              <w:rPr>
                <w:rFonts w:ascii="Arial" w:eastAsia="Times New Roman" w:hAnsi="Arial" w:cs="Arial"/>
                <w:color w:val="000000"/>
                <w:kern w:val="0"/>
                <w:sz w:val="20"/>
                <w:szCs w:val="16"/>
                <w:lang w:val="de-DE" w:eastAsia="en-GB"/>
                <w14:ligatures w14:val="none"/>
              </w:rPr>
            </w:pPr>
          </w:p>
        </w:tc>
      </w:tr>
      <w:tr w:rsidR="004E1AF5" w:rsidRPr="00052161" w14:paraId="7784A183" w14:textId="77777777" w:rsidTr="008577B5">
        <w:tc>
          <w:tcPr>
            <w:tcW w:w="5501" w:type="dxa"/>
          </w:tcPr>
          <w:p w14:paraId="54935C4F" w14:textId="77777777" w:rsidR="004E1AF5" w:rsidRPr="00052161" w:rsidRDefault="004E1AF5">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Sam Moore</w:t>
            </w:r>
          </w:p>
        </w:tc>
        <w:tc>
          <w:tcPr>
            <w:tcW w:w="3435" w:type="dxa"/>
          </w:tcPr>
          <w:p w14:paraId="3449350A" w14:textId="77777777" w:rsidR="004E1AF5" w:rsidRPr="00052161" w:rsidRDefault="004E1AF5">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+353 87 737 9089</w:t>
            </w:r>
          </w:p>
        </w:tc>
      </w:tr>
      <w:tr w:rsidR="004E1AF5" w:rsidRPr="00052161" w14:paraId="78333B05" w14:textId="77777777" w:rsidTr="008577B5">
        <w:tc>
          <w:tcPr>
            <w:tcW w:w="5501" w:type="dxa"/>
          </w:tcPr>
          <w:p w14:paraId="36351979" w14:textId="77777777" w:rsidR="004E1AF5" w:rsidRPr="00052161" w:rsidRDefault="004E1AF5">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Aoife Mullen</w:t>
            </w:r>
          </w:p>
        </w:tc>
        <w:tc>
          <w:tcPr>
            <w:tcW w:w="3435" w:type="dxa"/>
          </w:tcPr>
          <w:p w14:paraId="2E1F0C9A" w14:textId="77777777" w:rsidR="004E1AF5" w:rsidRPr="00052161" w:rsidRDefault="004E1AF5">
            <w:pPr>
              <w:rPr>
                <w:rFonts w:ascii="Arial" w:eastAsia="Times New Roman" w:hAnsi="Arial" w:cs="Arial"/>
                <w:color w:val="000000"/>
                <w:kern w:val="0"/>
                <w:sz w:val="20"/>
                <w:szCs w:val="16"/>
                <w:lang w:val="de-DE" w:eastAsia="en-GB"/>
                <w14:ligatures w14:val="none"/>
              </w:rPr>
            </w:pPr>
            <w:hyperlink r:id="rId14" w:history="1">
              <w:r w:rsidRPr="00052161">
                <w:rPr>
                  <w:rStyle w:val="Hyperlink"/>
                  <w:rFonts w:ascii="Arial" w:eastAsia="Times New Roman" w:hAnsi="Arial" w:cs="Arial"/>
                  <w:kern w:val="0"/>
                  <w:sz w:val="20"/>
                  <w:szCs w:val="16"/>
                  <w:lang w:val="de-DE" w:eastAsia="en-GB"/>
                  <w14:ligatures w14:val="none"/>
                </w:rPr>
                <w:t>greencoat@fticonsulting.com</w:t>
              </w:r>
            </w:hyperlink>
            <w:r w:rsidRPr="00052161">
              <w:rPr>
                <w:rFonts w:ascii="Arial" w:eastAsia="Times New Roman" w:hAnsi="Arial" w:cs="Arial"/>
                <w:color w:val="000000"/>
                <w:kern w:val="0"/>
                <w:sz w:val="20"/>
                <w:szCs w:val="16"/>
                <w:lang w:val="de-DE" w:eastAsia="en-GB"/>
                <w14:ligatures w14:val="none"/>
              </w:rPr>
              <w:t xml:space="preserve"> </w:t>
            </w:r>
          </w:p>
        </w:tc>
      </w:tr>
      <w:tr w:rsidR="004E1AF5" w:rsidRPr="00052161" w14:paraId="73C6DC73" w14:textId="77777777" w:rsidTr="008577B5">
        <w:tc>
          <w:tcPr>
            <w:tcW w:w="5501" w:type="dxa"/>
          </w:tcPr>
          <w:p w14:paraId="606C2F2B" w14:textId="77777777" w:rsidR="004E1AF5" w:rsidRPr="00052161" w:rsidRDefault="004E1AF5">
            <w:pPr>
              <w:spacing w:before="240"/>
              <w:jc w:val="both"/>
              <w:rPr>
                <w:rFonts w:ascii="Calibri" w:eastAsia="Times New Roman" w:hAnsi="Calibri" w:cs="Calibri"/>
                <w:color w:val="000000"/>
                <w:kern w:val="0"/>
                <w:sz w:val="20"/>
                <w:szCs w:val="16"/>
                <w:lang w:eastAsia="en-ZA"/>
                <w14:ligatures w14:val="none"/>
              </w:rPr>
            </w:pPr>
          </w:p>
        </w:tc>
        <w:tc>
          <w:tcPr>
            <w:tcW w:w="3435" w:type="dxa"/>
          </w:tcPr>
          <w:p w14:paraId="315A644E" w14:textId="77777777" w:rsidR="004E1AF5" w:rsidRPr="00052161" w:rsidRDefault="004E1AF5">
            <w:pPr>
              <w:spacing w:before="240"/>
              <w:jc w:val="both"/>
              <w:rPr>
                <w:rFonts w:ascii="Calibri" w:eastAsia="Times New Roman" w:hAnsi="Calibri" w:cs="Calibri"/>
                <w:color w:val="000000"/>
                <w:kern w:val="0"/>
                <w:sz w:val="20"/>
                <w:szCs w:val="16"/>
                <w:lang w:eastAsia="en-ZA"/>
                <w14:ligatures w14:val="none"/>
              </w:rPr>
            </w:pPr>
          </w:p>
        </w:tc>
      </w:tr>
      <w:tr w:rsidR="004E1AF5" w:rsidRPr="00052161" w14:paraId="3A6B8CA7" w14:textId="77777777" w:rsidTr="008577B5">
        <w:tc>
          <w:tcPr>
            <w:tcW w:w="5501" w:type="dxa"/>
          </w:tcPr>
          <w:p w14:paraId="63A7B192" w14:textId="77777777" w:rsidR="004E1AF5" w:rsidRPr="00052161" w:rsidRDefault="004E1AF5">
            <w:pPr>
              <w:jc w:val="both"/>
              <w:rPr>
                <w:rFonts w:ascii="Arial" w:eastAsia="Times New Roman" w:hAnsi="Arial" w:cs="Arial"/>
                <w:color w:val="000000"/>
                <w:kern w:val="0"/>
                <w:sz w:val="20"/>
                <w:szCs w:val="16"/>
                <w:lang w:val="de-DE" w:eastAsia="en-GB"/>
                <w14:ligatures w14:val="none"/>
              </w:rPr>
            </w:pPr>
          </w:p>
        </w:tc>
        <w:tc>
          <w:tcPr>
            <w:tcW w:w="3435" w:type="dxa"/>
          </w:tcPr>
          <w:p w14:paraId="33540C60" w14:textId="77777777" w:rsidR="004E1AF5" w:rsidRPr="00052161" w:rsidRDefault="004E1AF5">
            <w:pPr>
              <w:jc w:val="both"/>
              <w:rPr>
                <w:rFonts w:ascii="Arial" w:eastAsia="Times New Roman" w:hAnsi="Arial" w:cs="Arial"/>
                <w:color w:val="000000"/>
                <w:kern w:val="0"/>
                <w:sz w:val="20"/>
                <w:szCs w:val="16"/>
                <w:lang w:val="de-DE" w:eastAsia="en-GB"/>
                <w14:ligatures w14:val="none"/>
              </w:rPr>
            </w:pPr>
          </w:p>
        </w:tc>
      </w:tr>
    </w:tbl>
    <w:p w14:paraId="6D83D67D" w14:textId="77777777" w:rsidR="00C118DE" w:rsidRPr="00C118DE" w:rsidRDefault="00C118DE" w:rsidP="00C118DE">
      <w:pPr>
        <w:spacing w:line="276" w:lineRule="auto"/>
        <w:rPr>
          <w:rFonts w:ascii="Calibri" w:eastAsia="Calibri" w:hAnsi="Calibri" w:cs="Times New Roman"/>
          <w:b/>
          <w:bCs/>
        </w:rPr>
      </w:pPr>
    </w:p>
    <w:p w14:paraId="3666E3C8" w14:textId="77777777" w:rsidR="00630396" w:rsidRDefault="00630396" w:rsidP="00C118DE">
      <w:pPr>
        <w:pStyle w:val="ListParagraph"/>
        <w:numPr>
          <w:ilvl w:val="0"/>
          <w:numId w:val="4"/>
        </w:numPr>
        <w:jc w:val="both"/>
        <w:rPr>
          <w:rFonts w:cstheme="minorHAnsi"/>
          <w:b/>
          <w:bCs/>
        </w:rPr>
      </w:pPr>
    </w:p>
    <w:p w14:paraId="4F32222F" w14:textId="206DFBF0" w:rsidR="003450C3" w:rsidRPr="00EF1F5C" w:rsidRDefault="003450C3" w:rsidP="00C118DE">
      <w:pPr>
        <w:pStyle w:val="ListParagraph"/>
        <w:numPr>
          <w:ilvl w:val="0"/>
          <w:numId w:val="4"/>
        </w:numPr>
        <w:jc w:val="both"/>
        <w:rPr>
          <w:rFonts w:cstheme="minorHAnsi"/>
          <w:b/>
          <w:bCs/>
        </w:rPr>
      </w:pPr>
      <w:r w:rsidRPr="00EF1F5C">
        <w:rPr>
          <w:rFonts w:cstheme="minorHAnsi"/>
          <w:b/>
          <w:bCs/>
        </w:rPr>
        <w:t>About Greencoat Renewables PLC</w:t>
      </w:r>
    </w:p>
    <w:p w14:paraId="51564774" w14:textId="05BB867A" w:rsidR="003450C3" w:rsidRPr="00EF1F5C" w:rsidRDefault="003450C3" w:rsidP="00C118DE">
      <w:pPr>
        <w:pStyle w:val="ListParagraph"/>
        <w:numPr>
          <w:ilvl w:val="0"/>
          <w:numId w:val="4"/>
        </w:numPr>
        <w:jc w:val="both"/>
        <w:rPr>
          <w:rFonts w:cstheme="minorHAnsi"/>
        </w:rPr>
      </w:pPr>
      <w:r w:rsidRPr="00EF1F5C">
        <w:rPr>
          <w:rFonts w:cstheme="minorHAnsi"/>
        </w:rPr>
        <w:t>Greencoat Renewables PLC is an investor in euro-denominated renewable energy infrastructure assets. Initially focused solely on the acquisition and management of operating wind farms in</w:t>
      </w:r>
      <w:r w:rsidR="00962676" w:rsidRPr="00EF1F5C">
        <w:rPr>
          <w:rFonts w:cstheme="minorHAnsi"/>
        </w:rPr>
        <w:t xml:space="preserve"> </w:t>
      </w:r>
      <w:r w:rsidRPr="00EF1F5C">
        <w:rPr>
          <w:rFonts w:cstheme="minorHAnsi"/>
        </w:rPr>
        <w:t>Ireland, the Company also invest</w:t>
      </w:r>
      <w:r w:rsidR="006879C5" w:rsidRPr="00EF1F5C">
        <w:rPr>
          <w:rFonts w:cstheme="minorHAnsi"/>
        </w:rPr>
        <w:t>s</w:t>
      </w:r>
      <w:r w:rsidRPr="00EF1F5C">
        <w:rPr>
          <w:rFonts w:cstheme="minorHAnsi"/>
        </w:rPr>
        <w:t xml:space="preserve"> in wind and solar assets in certain other European countries with stable and robust renewable energy frameworks. It is managed by </w:t>
      </w:r>
      <w:r w:rsidR="00962676" w:rsidRPr="00EF1F5C">
        <w:rPr>
          <w:rFonts w:cstheme="minorHAnsi"/>
        </w:rPr>
        <w:t xml:space="preserve">Schroders </w:t>
      </w:r>
      <w:r w:rsidRPr="00EF1F5C">
        <w:rPr>
          <w:rFonts w:cstheme="minorHAnsi"/>
        </w:rPr>
        <w:t>Greencoat LLP, an experienced investment manager in the listed renewable energy infrastructure sector.</w:t>
      </w:r>
    </w:p>
    <w:p w14:paraId="7F301B60" w14:textId="77777777" w:rsidR="00043C71" w:rsidRPr="00EF1F5C" w:rsidRDefault="00043C71" w:rsidP="00C118DE">
      <w:pPr>
        <w:pStyle w:val="ListParagraph"/>
        <w:ind w:left="0"/>
        <w:jc w:val="both"/>
        <w:rPr>
          <w:rFonts w:cstheme="minorHAnsi"/>
        </w:rPr>
      </w:pPr>
    </w:p>
    <w:p w14:paraId="09D59E7D" w14:textId="77777777" w:rsidR="00EB7AC8" w:rsidRPr="00EF1F5C" w:rsidRDefault="007457E0" w:rsidP="00C118DE">
      <w:pPr>
        <w:jc w:val="both"/>
        <w:rPr>
          <w:rFonts w:cstheme="minorHAnsi"/>
          <w:b/>
        </w:rPr>
      </w:pPr>
      <w:r w:rsidRPr="00EF1F5C">
        <w:rPr>
          <w:rFonts w:cstheme="minorHAnsi"/>
          <w:b/>
        </w:rPr>
        <w:t xml:space="preserve">Forward Looking Statements and </w:t>
      </w:r>
      <w:r w:rsidR="00EB7AC8" w:rsidRPr="00EF1F5C">
        <w:rPr>
          <w:rFonts w:cstheme="minorHAnsi"/>
          <w:b/>
        </w:rPr>
        <w:t>Important Information</w:t>
      </w:r>
    </w:p>
    <w:p w14:paraId="632DCF7D" w14:textId="77777777" w:rsidR="007457E0" w:rsidRPr="00EF1F5C" w:rsidRDefault="007457E0" w:rsidP="00C118DE">
      <w:pPr>
        <w:jc w:val="both"/>
        <w:rPr>
          <w:rFonts w:cstheme="minorHAnsi"/>
        </w:rPr>
      </w:pPr>
    </w:p>
    <w:p w14:paraId="6F7DE372" w14:textId="2407AE8E" w:rsidR="007457E0" w:rsidRPr="00EF1F5C" w:rsidRDefault="007457E0" w:rsidP="00C118DE">
      <w:pPr>
        <w:jc w:val="both"/>
        <w:rPr>
          <w:rFonts w:cstheme="minorHAnsi"/>
        </w:rPr>
      </w:pPr>
      <w:r w:rsidRPr="00EF1F5C">
        <w:rPr>
          <w:rFonts w:cstheme="minorHAnsi"/>
        </w:rPr>
        <w:t>This announcement may include statements that are, or may be deemed to be</w:t>
      </w:r>
      <w:r w:rsidR="00882DAA" w:rsidRPr="00EF1F5C">
        <w:rPr>
          <w:rFonts w:cstheme="minorHAnsi"/>
        </w:rPr>
        <w:t xml:space="preserve">, “forward-looking statements”, including terms such as “believes”, “estimates”, “anticipates”, “expects”, “intends”, “may”, “plans”, “projects”, “will”, “explore” or “should” or, in each case, their negative or other variations or comparable terminology or by discussions of strategy, plans, objectives, goals, future events or intentions. </w:t>
      </w:r>
      <w:r w:rsidRPr="00EF1F5C">
        <w:rPr>
          <w:rFonts w:cstheme="minorHAnsi"/>
        </w:rPr>
        <w:t>Forward-looking statements include all matters that are not historical facts. By their nature, forward-looking statements involve risks and uncertainties because they relate to future events and depend on circumstances that may or may not occur in the future. Forward-looking statements are not guarantees of future performance. The Company’s actual investment performance, results of operations, financial condition, liquidity, distribution policy and the development of its financing strategies may differ materially from the impression created by, or described in or suggested by, the forward-looking statements contained in this announcement.</w:t>
      </w:r>
      <w:r w:rsidR="0083577D" w:rsidRPr="00EF1F5C">
        <w:rPr>
          <w:rFonts w:cstheme="minorHAnsi"/>
        </w:rPr>
        <w:t xml:space="preserve"> </w:t>
      </w:r>
      <w:r w:rsidR="00D027A7" w:rsidRPr="00EF1F5C">
        <w:rPr>
          <w:rFonts w:cstheme="minorHAnsi"/>
        </w:rPr>
        <w:t xml:space="preserve">In addition, this announcement may include target figures for future financial periods. Any such figures are targets only and are not forecasts. </w:t>
      </w:r>
      <w:r w:rsidR="0083577D" w:rsidRPr="00EF1F5C">
        <w:rPr>
          <w:rFonts w:cstheme="minorHAnsi"/>
        </w:rPr>
        <w:t xml:space="preserve">Subject to their legal and regulatory obligations, Greencoat Renewables, the Directors and </w:t>
      </w:r>
      <w:r w:rsidR="00962676" w:rsidRPr="00EF1F5C">
        <w:rPr>
          <w:rFonts w:cstheme="minorHAnsi"/>
        </w:rPr>
        <w:t xml:space="preserve">Schroders </w:t>
      </w:r>
      <w:r w:rsidR="0083577D" w:rsidRPr="00EF1F5C">
        <w:rPr>
          <w:rFonts w:cstheme="minorHAnsi"/>
        </w:rPr>
        <w:t>Greencoat LLP</w:t>
      </w:r>
      <w:r w:rsidR="00791EA9" w:rsidRPr="00EF1F5C">
        <w:rPr>
          <w:rFonts w:cstheme="minorHAnsi"/>
        </w:rPr>
        <w:t xml:space="preserve">, </w:t>
      </w:r>
      <w:r w:rsidR="0083577D" w:rsidRPr="00EF1F5C">
        <w:rPr>
          <w:rFonts w:cstheme="minorHAnsi"/>
        </w:rPr>
        <w:t>expressly disclaim any obligations to update or revise any forward-looking statement contained herein to reflect any change in expectations with regard thereto or any change in events, conditions or circumstances on which any statement is based.</w:t>
      </w:r>
    </w:p>
    <w:p w14:paraId="4B8B81FA" w14:textId="2396CA5D" w:rsidR="003A7A98" w:rsidRPr="00EF1F5C" w:rsidRDefault="0083577D" w:rsidP="00C118DE">
      <w:pPr>
        <w:pStyle w:val="NormalWeb"/>
        <w:jc w:val="both"/>
        <w:rPr>
          <w:rFonts w:asciiTheme="minorHAnsi" w:eastAsiaTheme="minorHAnsi" w:hAnsiTheme="minorHAnsi" w:cstheme="minorHAnsi"/>
          <w:lang w:val="en-GB" w:eastAsia="en-US"/>
        </w:rPr>
      </w:pPr>
      <w:r w:rsidRPr="00EF1F5C">
        <w:rPr>
          <w:rFonts w:asciiTheme="minorHAnsi" w:eastAsiaTheme="minorHAnsi" w:hAnsiTheme="minorHAnsi" w:cstheme="minorHAnsi"/>
          <w:lang w:val="en-GB" w:eastAsia="en-US"/>
        </w:rPr>
        <w:t xml:space="preserve">The financial information contained in this announcement has not </w:t>
      </w:r>
      <w:r w:rsidR="00C10C4A" w:rsidRPr="00EF1F5C">
        <w:rPr>
          <w:rFonts w:asciiTheme="minorHAnsi" w:eastAsiaTheme="minorHAnsi" w:hAnsiTheme="minorHAnsi" w:cstheme="minorHAnsi"/>
          <w:lang w:val="en-GB" w:eastAsia="en-US"/>
        </w:rPr>
        <w:t>been audited or reviewed by Greencoat Renewables’ a</w:t>
      </w:r>
      <w:r w:rsidRPr="00EF1F5C">
        <w:rPr>
          <w:rFonts w:asciiTheme="minorHAnsi" w:eastAsiaTheme="minorHAnsi" w:hAnsiTheme="minorHAnsi" w:cstheme="minorHAnsi"/>
          <w:lang w:val="en-GB" w:eastAsia="en-US"/>
        </w:rPr>
        <w:t>uditor</w:t>
      </w:r>
      <w:r w:rsidR="00C10C4A" w:rsidRPr="00EF1F5C">
        <w:rPr>
          <w:rFonts w:asciiTheme="minorHAnsi" w:eastAsiaTheme="minorHAnsi" w:hAnsiTheme="minorHAnsi" w:cstheme="minorHAnsi"/>
          <w:lang w:val="en-GB" w:eastAsia="en-US"/>
        </w:rPr>
        <w:t>s</w:t>
      </w:r>
      <w:r w:rsidRPr="00EF1F5C">
        <w:rPr>
          <w:rFonts w:asciiTheme="minorHAnsi" w:eastAsiaTheme="minorHAnsi" w:hAnsiTheme="minorHAnsi" w:cstheme="minorHAnsi"/>
          <w:lang w:val="en-GB" w:eastAsia="en-US"/>
        </w:rPr>
        <w:t xml:space="preserve"> in accordance with the International Standards on Auditing (Ireland) or International Standa</w:t>
      </w:r>
      <w:r w:rsidR="00C10C4A" w:rsidRPr="00EF1F5C">
        <w:rPr>
          <w:rFonts w:asciiTheme="minorHAnsi" w:eastAsiaTheme="minorHAnsi" w:hAnsiTheme="minorHAnsi" w:cstheme="minorHAnsi"/>
          <w:lang w:val="en-GB" w:eastAsia="en-US"/>
        </w:rPr>
        <w:t>rd on Review Engagements</w:t>
      </w:r>
      <w:r w:rsidRPr="00EF1F5C">
        <w:rPr>
          <w:rFonts w:asciiTheme="minorHAnsi" w:eastAsiaTheme="minorHAnsi" w:hAnsiTheme="minorHAnsi" w:cstheme="minorHAnsi"/>
          <w:lang w:val="en-GB" w:eastAsia="en-US"/>
        </w:rPr>
        <w:t>.</w:t>
      </w:r>
    </w:p>
    <w:p w14:paraId="088AA585" w14:textId="49FC9FFB" w:rsidR="00BB1065" w:rsidRDefault="00BB1065" w:rsidP="00ED63DD">
      <w:pPr>
        <w:pStyle w:val="NormalWeb"/>
        <w:rPr>
          <w:rFonts w:asciiTheme="minorHAnsi" w:eastAsiaTheme="minorHAnsi" w:hAnsiTheme="minorHAnsi" w:cstheme="minorBidi"/>
          <w:lang w:val="en-GB" w:eastAsia="en-US"/>
        </w:rPr>
      </w:pPr>
    </w:p>
    <w:p w14:paraId="7B9230A7" w14:textId="32617A05" w:rsidR="00BB1065" w:rsidRDefault="00BB1065" w:rsidP="00ED63DD">
      <w:pPr>
        <w:pStyle w:val="NormalWeb"/>
        <w:rPr>
          <w:rFonts w:asciiTheme="minorHAnsi" w:eastAsiaTheme="minorHAnsi" w:hAnsiTheme="minorHAnsi" w:cstheme="minorBidi"/>
          <w:lang w:val="en-GB" w:eastAsia="en-US"/>
        </w:rPr>
      </w:pPr>
    </w:p>
    <w:p w14:paraId="5D8B585C" w14:textId="45C9B988" w:rsidR="00BB1065" w:rsidRDefault="00BB1065" w:rsidP="00ED63DD">
      <w:pPr>
        <w:pStyle w:val="NormalWeb"/>
        <w:rPr>
          <w:rFonts w:asciiTheme="minorHAnsi" w:eastAsiaTheme="minorHAnsi" w:hAnsiTheme="minorHAnsi" w:cstheme="minorBidi"/>
          <w:lang w:val="en-GB" w:eastAsia="en-US"/>
        </w:rPr>
      </w:pPr>
    </w:p>
    <w:p w14:paraId="66DF76C3" w14:textId="73BA6F0A" w:rsidR="00BB1065" w:rsidRPr="00BB1065" w:rsidRDefault="00BB1065" w:rsidP="00ED63DD">
      <w:pPr>
        <w:pStyle w:val="ListParagraph"/>
        <w:numPr>
          <w:ilvl w:val="0"/>
          <w:numId w:val="4"/>
        </w:numPr>
        <w:jc w:val="center"/>
        <w:rPr>
          <w:b/>
        </w:rPr>
      </w:pPr>
    </w:p>
    <w:sectPr w:rsidR="00BB1065" w:rsidRPr="00BB1065" w:rsidSect="00675CA8">
      <w:headerReference w:type="default" r:id="rId15"/>
      <w:footerReference w:type="default" r:id="rId16"/>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BADF" w14:textId="77777777" w:rsidR="00AC281F" w:rsidRDefault="00AC281F" w:rsidP="00ED62DE">
      <w:r>
        <w:separator/>
      </w:r>
    </w:p>
  </w:endnote>
  <w:endnote w:type="continuationSeparator" w:id="0">
    <w:p w14:paraId="7CD331C2" w14:textId="77777777" w:rsidR="00AC281F" w:rsidRDefault="00AC281F" w:rsidP="00ED62DE">
      <w:r>
        <w:continuationSeparator/>
      </w:r>
    </w:p>
  </w:endnote>
  <w:endnote w:type="continuationNotice" w:id="1">
    <w:p w14:paraId="34986245" w14:textId="77777777" w:rsidR="00AC281F" w:rsidRDefault="00AC2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E7F2" w14:textId="7D44A319" w:rsidR="005A320C" w:rsidRPr="00050515" w:rsidRDefault="005A320C" w:rsidP="005A320C">
    <w:pPr>
      <w:pStyle w:val="FootnoteText"/>
    </w:pPr>
  </w:p>
  <w:p w14:paraId="348E7529" w14:textId="77777777" w:rsidR="005A320C" w:rsidRPr="00B713E6" w:rsidRDefault="005A320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9180" w14:textId="77777777" w:rsidR="00AC281F" w:rsidRDefault="00AC281F" w:rsidP="00ED62DE">
      <w:r>
        <w:separator/>
      </w:r>
    </w:p>
  </w:footnote>
  <w:footnote w:type="continuationSeparator" w:id="0">
    <w:p w14:paraId="6BC9F368" w14:textId="77777777" w:rsidR="00AC281F" w:rsidRDefault="00AC281F" w:rsidP="00ED62DE">
      <w:r>
        <w:continuationSeparator/>
      </w:r>
    </w:p>
  </w:footnote>
  <w:footnote w:type="continuationNotice" w:id="1">
    <w:p w14:paraId="39E8BE73" w14:textId="77777777" w:rsidR="00AC281F" w:rsidRDefault="00AC2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2D6B" w14:textId="77777777" w:rsidR="00AC281F" w:rsidRDefault="00AC2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7F41C2"/>
    <w:multiLevelType w:val="hybridMultilevel"/>
    <w:tmpl w:val="8A3815CE"/>
    <w:lvl w:ilvl="0" w:tplc="736ED25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B28DF"/>
    <w:multiLevelType w:val="hybridMultilevel"/>
    <w:tmpl w:val="20E2E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16659A"/>
    <w:multiLevelType w:val="hybridMultilevel"/>
    <w:tmpl w:val="139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A0811"/>
    <w:multiLevelType w:val="hybridMultilevel"/>
    <w:tmpl w:val="4C861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87277"/>
    <w:multiLevelType w:val="hybridMultilevel"/>
    <w:tmpl w:val="B44C397E"/>
    <w:lvl w:ilvl="0" w:tplc="D6E487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680414">
    <w:abstractNumId w:val="1"/>
  </w:num>
  <w:num w:numId="2" w16cid:durableId="978462167">
    <w:abstractNumId w:val="5"/>
  </w:num>
  <w:num w:numId="3" w16cid:durableId="1842160551">
    <w:abstractNumId w:val="8"/>
  </w:num>
  <w:num w:numId="4" w16cid:durableId="372048351">
    <w:abstractNumId w:val="0"/>
  </w:num>
  <w:num w:numId="5" w16cid:durableId="1945727216">
    <w:abstractNumId w:val="3"/>
  </w:num>
  <w:num w:numId="6" w16cid:durableId="1535072501">
    <w:abstractNumId w:val="7"/>
  </w:num>
  <w:num w:numId="7" w16cid:durableId="296494391">
    <w:abstractNumId w:val="6"/>
  </w:num>
  <w:num w:numId="8" w16cid:durableId="983778586">
    <w:abstractNumId w:val="2"/>
  </w:num>
  <w:num w:numId="9" w16cid:durableId="561990148">
    <w:abstractNumId w:val="4"/>
  </w:num>
  <w:num w:numId="10" w16cid:durableId="403114705">
    <w:abstractNumId w:val="6"/>
  </w:num>
  <w:num w:numId="11" w16cid:durableId="867334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en-ZA" w:vendorID="64" w:dllVersion="0" w:nlCheck="1" w:checkStyle="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1EAF"/>
    <w:rsid w:val="00005A94"/>
    <w:rsid w:val="000074DD"/>
    <w:rsid w:val="00007724"/>
    <w:rsid w:val="0001207F"/>
    <w:rsid w:val="00014473"/>
    <w:rsid w:val="000163FD"/>
    <w:rsid w:val="0002207A"/>
    <w:rsid w:val="00026823"/>
    <w:rsid w:val="000323DD"/>
    <w:rsid w:val="0003640F"/>
    <w:rsid w:val="00036596"/>
    <w:rsid w:val="000408E3"/>
    <w:rsid w:val="00042C89"/>
    <w:rsid w:val="0004384F"/>
    <w:rsid w:val="00043C71"/>
    <w:rsid w:val="0004541B"/>
    <w:rsid w:val="00046B77"/>
    <w:rsid w:val="0005059B"/>
    <w:rsid w:val="000520B3"/>
    <w:rsid w:val="00054753"/>
    <w:rsid w:val="00055E2C"/>
    <w:rsid w:val="00055EA5"/>
    <w:rsid w:val="00060DA4"/>
    <w:rsid w:val="00066080"/>
    <w:rsid w:val="00071653"/>
    <w:rsid w:val="00075B44"/>
    <w:rsid w:val="0007799B"/>
    <w:rsid w:val="00084496"/>
    <w:rsid w:val="0009105A"/>
    <w:rsid w:val="00097565"/>
    <w:rsid w:val="00097DF0"/>
    <w:rsid w:val="000A1C0F"/>
    <w:rsid w:val="000A5191"/>
    <w:rsid w:val="000A5743"/>
    <w:rsid w:val="000A68A8"/>
    <w:rsid w:val="000A7925"/>
    <w:rsid w:val="000B7209"/>
    <w:rsid w:val="000B7502"/>
    <w:rsid w:val="000C712E"/>
    <w:rsid w:val="000D750E"/>
    <w:rsid w:val="000E3935"/>
    <w:rsid w:val="000F0E56"/>
    <w:rsid w:val="000F367F"/>
    <w:rsid w:val="000F3FCD"/>
    <w:rsid w:val="000F7704"/>
    <w:rsid w:val="0010201D"/>
    <w:rsid w:val="001066AD"/>
    <w:rsid w:val="00122DBD"/>
    <w:rsid w:val="00125263"/>
    <w:rsid w:val="001301B0"/>
    <w:rsid w:val="00131227"/>
    <w:rsid w:val="00131ED6"/>
    <w:rsid w:val="001377B0"/>
    <w:rsid w:val="0014419A"/>
    <w:rsid w:val="00152329"/>
    <w:rsid w:val="00154A1F"/>
    <w:rsid w:val="00161005"/>
    <w:rsid w:val="00163602"/>
    <w:rsid w:val="00165659"/>
    <w:rsid w:val="0016600B"/>
    <w:rsid w:val="001660C7"/>
    <w:rsid w:val="001721AE"/>
    <w:rsid w:val="001722B6"/>
    <w:rsid w:val="0017401F"/>
    <w:rsid w:val="0017640F"/>
    <w:rsid w:val="00186F85"/>
    <w:rsid w:val="00193982"/>
    <w:rsid w:val="00194B85"/>
    <w:rsid w:val="001A0AC0"/>
    <w:rsid w:val="001A28A1"/>
    <w:rsid w:val="001A5F6E"/>
    <w:rsid w:val="001A685E"/>
    <w:rsid w:val="001A6E56"/>
    <w:rsid w:val="001B2E1A"/>
    <w:rsid w:val="001B3AE9"/>
    <w:rsid w:val="001B7827"/>
    <w:rsid w:val="001C332B"/>
    <w:rsid w:val="001C49BF"/>
    <w:rsid w:val="001C5F6C"/>
    <w:rsid w:val="001D1F0B"/>
    <w:rsid w:val="001D6A41"/>
    <w:rsid w:val="001E2D5B"/>
    <w:rsid w:val="001F0324"/>
    <w:rsid w:val="001F0D24"/>
    <w:rsid w:val="001F3526"/>
    <w:rsid w:val="00203C9A"/>
    <w:rsid w:val="00214EF5"/>
    <w:rsid w:val="00220C2A"/>
    <w:rsid w:val="00224412"/>
    <w:rsid w:val="00227944"/>
    <w:rsid w:val="00231EF3"/>
    <w:rsid w:val="00232E55"/>
    <w:rsid w:val="00232F6B"/>
    <w:rsid w:val="00240470"/>
    <w:rsid w:val="00242B5F"/>
    <w:rsid w:val="00245D5F"/>
    <w:rsid w:val="00246166"/>
    <w:rsid w:val="00247DE0"/>
    <w:rsid w:val="0025451C"/>
    <w:rsid w:val="00254550"/>
    <w:rsid w:val="002554CA"/>
    <w:rsid w:val="00256BFD"/>
    <w:rsid w:val="002610CF"/>
    <w:rsid w:val="0026247E"/>
    <w:rsid w:val="002630A9"/>
    <w:rsid w:val="00263215"/>
    <w:rsid w:val="002672A9"/>
    <w:rsid w:val="00270A4D"/>
    <w:rsid w:val="00274843"/>
    <w:rsid w:val="002765E9"/>
    <w:rsid w:val="00284028"/>
    <w:rsid w:val="0028505B"/>
    <w:rsid w:val="00290E8F"/>
    <w:rsid w:val="00291D0A"/>
    <w:rsid w:val="00297CE7"/>
    <w:rsid w:val="002A266C"/>
    <w:rsid w:val="002A37E4"/>
    <w:rsid w:val="002B2498"/>
    <w:rsid w:val="002B2E78"/>
    <w:rsid w:val="002B6D12"/>
    <w:rsid w:val="002B7E6B"/>
    <w:rsid w:val="002C00A3"/>
    <w:rsid w:val="002C10DC"/>
    <w:rsid w:val="002C2130"/>
    <w:rsid w:val="002D2556"/>
    <w:rsid w:val="002D6914"/>
    <w:rsid w:val="002E1DCD"/>
    <w:rsid w:val="002E2409"/>
    <w:rsid w:val="002E727C"/>
    <w:rsid w:val="002F1A21"/>
    <w:rsid w:val="00300752"/>
    <w:rsid w:val="003025BD"/>
    <w:rsid w:val="00306179"/>
    <w:rsid w:val="00316E55"/>
    <w:rsid w:val="0032652A"/>
    <w:rsid w:val="00331448"/>
    <w:rsid w:val="003364B3"/>
    <w:rsid w:val="00340C62"/>
    <w:rsid w:val="0034455D"/>
    <w:rsid w:val="003450C3"/>
    <w:rsid w:val="00357659"/>
    <w:rsid w:val="0036135A"/>
    <w:rsid w:val="00362772"/>
    <w:rsid w:val="00364C91"/>
    <w:rsid w:val="00366CF5"/>
    <w:rsid w:val="00367C78"/>
    <w:rsid w:val="0038000A"/>
    <w:rsid w:val="00380E3B"/>
    <w:rsid w:val="003818CB"/>
    <w:rsid w:val="003856D5"/>
    <w:rsid w:val="00385E51"/>
    <w:rsid w:val="0038789C"/>
    <w:rsid w:val="003A3AC9"/>
    <w:rsid w:val="003A7A98"/>
    <w:rsid w:val="003A7B52"/>
    <w:rsid w:val="003A7E28"/>
    <w:rsid w:val="003C332D"/>
    <w:rsid w:val="003C70D6"/>
    <w:rsid w:val="003D3501"/>
    <w:rsid w:val="003D6064"/>
    <w:rsid w:val="003D7851"/>
    <w:rsid w:val="003D7CBA"/>
    <w:rsid w:val="003E0231"/>
    <w:rsid w:val="003E184E"/>
    <w:rsid w:val="003E3C37"/>
    <w:rsid w:val="003E4FD2"/>
    <w:rsid w:val="003E5613"/>
    <w:rsid w:val="003F092A"/>
    <w:rsid w:val="003F5691"/>
    <w:rsid w:val="0040219F"/>
    <w:rsid w:val="004126B8"/>
    <w:rsid w:val="00412B3B"/>
    <w:rsid w:val="00416DA8"/>
    <w:rsid w:val="00420920"/>
    <w:rsid w:val="00423AAC"/>
    <w:rsid w:val="00432DA3"/>
    <w:rsid w:val="00433751"/>
    <w:rsid w:val="0043665A"/>
    <w:rsid w:val="00437B72"/>
    <w:rsid w:val="00441F69"/>
    <w:rsid w:val="004428F5"/>
    <w:rsid w:val="004474CC"/>
    <w:rsid w:val="004476C3"/>
    <w:rsid w:val="0045113B"/>
    <w:rsid w:val="00452483"/>
    <w:rsid w:val="00462CFF"/>
    <w:rsid w:val="004650E7"/>
    <w:rsid w:val="00465160"/>
    <w:rsid w:val="004678DB"/>
    <w:rsid w:val="004679FF"/>
    <w:rsid w:val="004721C6"/>
    <w:rsid w:val="00472C28"/>
    <w:rsid w:val="00474A76"/>
    <w:rsid w:val="00474CD4"/>
    <w:rsid w:val="00477850"/>
    <w:rsid w:val="00483680"/>
    <w:rsid w:val="00483B94"/>
    <w:rsid w:val="00493A64"/>
    <w:rsid w:val="00496A23"/>
    <w:rsid w:val="004A1292"/>
    <w:rsid w:val="004A2B7A"/>
    <w:rsid w:val="004A3F91"/>
    <w:rsid w:val="004C707A"/>
    <w:rsid w:val="004D212E"/>
    <w:rsid w:val="004E0986"/>
    <w:rsid w:val="004E1AF5"/>
    <w:rsid w:val="004E6063"/>
    <w:rsid w:val="004F2ECC"/>
    <w:rsid w:val="005061C1"/>
    <w:rsid w:val="00511EC0"/>
    <w:rsid w:val="00513B67"/>
    <w:rsid w:val="00514EA0"/>
    <w:rsid w:val="005221DC"/>
    <w:rsid w:val="00522A20"/>
    <w:rsid w:val="0052336F"/>
    <w:rsid w:val="00525C88"/>
    <w:rsid w:val="00526243"/>
    <w:rsid w:val="00531000"/>
    <w:rsid w:val="00531D02"/>
    <w:rsid w:val="00534CDE"/>
    <w:rsid w:val="00540DF6"/>
    <w:rsid w:val="0054248F"/>
    <w:rsid w:val="005431AA"/>
    <w:rsid w:val="005438B2"/>
    <w:rsid w:val="00544922"/>
    <w:rsid w:val="00550519"/>
    <w:rsid w:val="00553976"/>
    <w:rsid w:val="005571D8"/>
    <w:rsid w:val="00566A76"/>
    <w:rsid w:val="00582B3D"/>
    <w:rsid w:val="0058413D"/>
    <w:rsid w:val="0058628B"/>
    <w:rsid w:val="00586FBF"/>
    <w:rsid w:val="0058716F"/>
    <w:rsid w:val="00587293"/>
    <w:rsid w:val="00592EED"/>
    <w:rsid w:val="005A0431"/>
    <w:rsid w:val="005A1AEB"/>
    <w:rsid w:val="005A320C"/>
    <w:rsid w:val="005A5D3D"/>
    <w:rsid w:val="005A7A1E"/>
    <w:rsid w:val="005A7AB8"/>
    <w:rsid w:val="005B0863"/>
    <w:rsid w:val="005B375A"/>
    <w:rsid w:val="005B4BA3"/>
    <w:rsid w:val="005B71FE"/>
    <w:rsid w:val="005C2FCE"/>
    <w:rsid w:val="005C46D3"/>
    <w:rsid w:val="005C7916"/>
    <w:rsid w:val="005D1098"/>
    <w:rsid w:val="005D17D1"/>
    <w:rsid w:val="005D6936"/>
    <w:rsid w:val="005E0CC1"/>
    <w:rsid w:val="005E3668"/>
    <w:rsid w:val="005E414C"/>
    <w:rsid w:val="005F5982"/>
    <w:rsid w:val="00617866"/>
    <w:rsid w:val="00620899"/>
    <w:rsid w:val="00630396"/>
    <w:rsid w:val="00635906"/>
    <w:rsid w:val="006412A9"/>
    <w:rsid w:val="00643F70"/>
    <w:rsid w:val="00644D19"/>
    <w:rsid w:val="006464A6"/>
    <w:rsid w:val="00651BA1"/>
    <w:rsid w:val="00651F07"/>
    <w:rsid w:val="00665346"/>
    <w:rsid w:val="006664DE"/>
    <w:rsid w:val="00671962"/>
    <w:rsid w:val="00675CA8"/>
    <w:rsid w:val="0067754C"/>
    <w:rsid w:val="00682820"/>
    <w:rsid w:val="00682A48"/>
    <w:rsid w:val="00684476"/>
    <w:rsid w:val="00686B6A"/>
    <w:rsid w:val="006879C5"/>
    <w:rsid w:val="00690CD6"/>
    <w:rsid w:val="00691286"/>
    <w:rsid w:val="006A0FE6"/>
    <w:rsid w:val="006A3A2E"/>
    <w:rsid w:val="006A3C16"/>
    <w:rsid w:val="006A42F5"/>
    <w:rsid w:val="006B1E1C"/>
    <w:rsid w:val="006B2C87"/>
    <w:rsid w:val="006B42BA"/>
    <w:rsid w:val="006B6A60"/>
    <w:rsid w:val="006D2DEA"/>
    <w:rsid w:val="006E682F"/>
    <w:rsid w:val="006F3CF5"/>
    <w:rsid w:val="006F3D4B"/>
    <w:rsid w:val="0070121E"/>
    <w:rsid w:val="0070525C"/>
    <w:rsid w:val="0071149B"/>
    <w:rsid w:val="007118EF"/>
    <w:rsid w:val="00725050"/>
    <w:rsid w:val="007255A8"/>
    <w:rsid w:val="00726295"/>
    <w:rsid w:val="007318AA"/>
    <w:rsid w:val="00732D2E"/>
    <w:rsid w:val="00732D4A"/>
    <w:rsid w:val="00735CD7"/>
    <w:rsid w:val="007426E5"/>
    <w:rsid w:val="00744770"/>
    <w:rsid w:val="007457E0"/>
    <w:rsid w:val="00746CEB"/>
    <w:rsid w:val="00751E03"/>
    <w:rsid w:val="00752CB3"/>
    <w:rsid w:val="0075420C"/>
    <w:rsid w:val="007656FE"/>
    <w:rsid w:val="007673C4"/>
    <w:rsid w:val="00774BF4"/>
    <w:rsid w:val="00781F96"/>
    <w:rsid w:val="007861A1"/>
    <w:rsid w:val="00786690"/>
    <w:rsid w:val="00787528"/>
    <w:rsid w:val="00787740"/>
    <w:rsid w:val="007901AC"/>
    <w:rsid w:val="0079070B"/>
    <w:rsid w:val="00791773"/>
    <w:rsid w:val="00791EA9"/>
    <w:rsid w:val="00795708"/>
    <w:rsid w:val="00797659"/>
    <w:rsid w:val="007A13D2"/>
    <w:rsid w:val="007A3240"/>
    <w:rsid w:val="007A4AF7"/>
    <w:rsid w:val="007A4CC3"/>
    <w:rsid w:val="007A7955"/>
    <w:rsid w:val="007B14A7"/>
    <w:rsid w:val="007B285C"/>
    <w:rsid w:val="007B4F1A"/>
    <w:rsid w:val="007B542A"/>
    <w:rsid w:val="007B732C"/>
    <w:rsid w:val="007C4932"/>
    <w:rsid w:val="007E17FA"/>
    <w:rsid w:val="007E1E29"/>
    <w:rsid w:val="007E2569"/>
    <w:rsid w:val="007E5B69"/>
    <w:rsid w:val="007E6D6F"/>
    <w:rsid w:val="007F0110"/>
    <w:rsid w:val="007F1DAE"/>
    <w:rsid w:val="007F34AE"/>
    <w:rsid w:val="007F5825"/>
    <w:rsid w:val="007F6B81"/>
    <w:rsid w:val="0080202D"/>
    <w:rsid w:val="00804ED1"/>
    <w:rsid w:val="00807061"/>
    <w:rsid w:val="0081134F"/>
    <w:rsid w:val="008132FC"/>
    <w:rsid w:val="008177D4"/>
    <w:rsid w:val="0081782A"/>
    <w:rsid w:val="00824679"/>
    <w:rsid w:val="00827DE8"/>
    <w:rsid w:val="00827EBF"/>
    <w:rsid w:val="00832424"/>
    <w:rsid w:val="00833D9B"/>
    <w:rsid w:val="0083577D"/>
    <w:rsid w:val="0084419F"/>
    <w:rsid w:val="008443CC"/>
    <w:rsid w:val="008504AF"/>
    <w:rsid w:val="00852A74"/>
    <w:rsid w:val="008577B5"/>
    <w:rsid w:val="00860B54"/>
    <w:rsid w:val="00861AD8"/>
    <w:rsid w:val="00863EA2"/>
    <w:rsid w:val="00871173"/>
    <w:rsid w:val="00871693"/>
    <w:rsid w:val="008721FD"/>
    <w:rsid w:val="008723BC"/>
    <w:rsid w:val="008809E0"/>
    <w:rsid w:val="00882DAA"/>
    <w:rsid w:val="00884347"/>
    <w:rsid w:val="00886E13"/>
    <w:rsid w:val="00892089"/>
    <w:rsid w:val="00893CD6"/>
    <w:rsid w:val="00895703"/>
    <w:rsid w:val="008A652B"/>
    <w:rsid w:val="008A762E"/>
    <w:rsid w:val="008B3D4C"/>
    <w:rsid w:val="008B5DBB"/>
    <w:rsid w:val="008B63A7"/>
    <w:rsid w:val="008B778A"/>
    <w:rsid w:val="008C0A49"/>
    <w:rsid w:val="008C2224"/>
    <w:rsid w:val="008C412D"/>
    <w:rsid w:val="008C4BD7"/>
    <w:rsid w:val="008D341B"/>
    <w:rsid w:val="008E14D4"/>
    <w:rsid w:val="008E3BFA"/>
    <w:rsid w:val="008E78CE"/>
    <w:rsid w:val="008F06E7"/>
    <w:rsid w:val="008F5350"/>
    <w:rsid w:val="008F5846"/>
    <w:rsid w:val="008F68FB"/>
    <w:rsid w:val="009001CC"/>
    <w:rsid w:val="009020C7"/>
    <w:rsid w:val="00902B7A"/>
    <w:rsid w:val="009034A5"/>
    <w:rsid w:val="00905C20"/>
    <w:rsid w:val="0091435E"/>
    <w:rsid w:val="00917F3A"/>
    <w:rsid w:val="00920879"/>
    <w:rsid w:val="00920F4A"/>
    <w:rsid w:val="0092280F"/>
    <w:rsid w:val="00923E53"/>
    <w:rsid w:val="009275D5"/>
    <w:rsid w:val="00927857"/>
    <w:rsid w:val="00930EDE"/>
    <w:rsid w:val="009374FC"/>
    <w:rsid w:val="00942886"/>
    <w:rsid w:val="00943CC7"/>
    <w:rsid w:val="009469B3"/>
    <w:rsid w:val="00951027"/>
    <w:rsid w:val="00954739"/>
    <w:rsid w:val="009572BF"/>
    <w:rsid w:val="00960F00"/>
    <w:rsid w:val="00962676"/>
    <w:rsid w:val="00966F28"/>
    <w:rsid w:val="00984F7C"/>
    <w:rsid w:val="00997256"/>
    <w:rsid w:val="009A3BB2"/>
    <w:rsid w:val="009A4622"/>
    <w:rsid w:val="009A4B32"/>
    <w:rsid w:val="009A5FED"/>
    <w:rsid w:val="009B235E"/>
    <w:rsid w:val="009B3197"/>
    <w:rsid w:val="009B342B"/>
    <w:rsid w:val="009B5E7A"/>
    <w:rsid w:val="009C659E"/>
    <w:rsid w:val="009D646A"/>
    <w:rsid w:val="009D72CA"/>
    <w:rsid w:val="009D7DFF"/>
    <w:rsid w:val="009E28AE"/>
    <w:rsid w:val="009E5EF1"/>
    <w:rsid w:val="009F1688"/>
    <w:rsid w:val="009F179A"/>
    <w:rsid w:val="00A00D82"/>
    <w:rsid w:val="00A061F8"/>
    <w:rsid w:val="00A10A1F"/>
    <w:rsid w:val="00A22E2E"/>
    <w:rsid w:val="00A27338"/>
    <w:rsid w:val="00A30EB6"/>
    <w:rsid w:val="00A42A47"/>
    <w:rsid w:val="00A467AC"/>
    <w:rsid w:val="00A561BF"/>
    <w:rsid w:val="00A60BE5"/>
    <w:rsid w:val="00A60EDF"/>
    <w:rsid w:val="00A66D81"/>
    <w:rsid w:val="00A7341D"/>
    <w:rsid w:val="00A73666"/>
    <w:rsid w:val="00A83A48"/>
    <w:rsid w:val="00A87E75"/>
    <w:rsid w:val="00A91F72"/>
    <w:rsid w:val="00A93773"/>
    <w:rsid w:val="00A973C5"/>
    <w:rsid w:val="00AA1356"/>
    <w:rsid w:val="00AA152D"/>
    <w:rsid w:val="00AB010B"/>
    <w:rsid w:val="00AB0616"/>
    <w:rsid w:val="00AB1601"/>
    <w:rsid w:val="00AB1AC1"/>
    <w:rsid w:val="00AB4A10"/>
    <w:rsid w:val="00AC281F"/>
    <w:rsid w:val="00AC4A76"/>
    <w:rsid w:val="00AC4E1C"/>
    <w:rsid w:val="00AD0D60"/>
    <w:rsid w:val="00AD614E"/>
    <w:rsid w:val="00AE26A1"/>
    <w:rsid w:val="00AE2A23"/>
    <w:rsid w:val="00AF2B23"/>
    <w:rsid w:val="00AF353B"/>
    <w:rsid w:val="00B01A86"/>
    <w:rsid w:val="00B03B4F"/>
    <w:rsid w:val="00B05147"/>
    <w:rsid w:val="00B10FD4"/>
    <w:rsid w:val="00B1492B"/>
    <w:rsid w:val="00B16700"/>
    <w:rsid w:val="00B168B2"/>
    <w:rsid w:val="00B20F95"/>
    <w:rsid w:val="00B22844"/>
    <w:rsid w:val="00B244A7"/>
    <w:rsid w:val="00B2536D"/>
    <w:rsid w:val="00B27CCB"/>
    <w:rsid w:val="00B328E0"/>
    <w:rsid w:val="00B37A0A"/>
    <w:rsid w:val="00B40128"/>
    <w:rsid w:val="00B46654"/>
    <w:rsid w:val="00B5355F"/>
    <w:rsid w:val="00B65215"/>
    <w:rsid w:val="00B65EAC"/>
    <w:rsid w:val="00B713E6"/>
    <w:rsid w:val="00B72586"/>
    <w:rsid w:val="00B80374"/>
    <w:rsid w:val="00B84514"/>
    <w:rsid w:val="00B859FF"/>
    <w:rsid w:val="00B91982"/>
    <w:rsid w:val="00B9582A"/>
    <w:rsid w:val="00B95BDF"/>
    <w:rsid w:val="00BA3FC8"/>
    <w:rsid w:val="00BA5FB9"/>
    <w:rsid w:val="00BB0B24"/>
    <w:rsid w:val="00BB1065"/>
    <w:rsid w:val="00BC12BA"/>
    <w:rsid w:val="00BD1A38"/>
    <w:rsid w:val="00BD659C"/>
    <w:rsid w:val="00BD7249"/>
    <w:rsid w:val="00BE010D"/>
    <w:rsid w:val="00BE12F5"/>
    <w:rsid w:val="00BF2486"/>
    <w:rsid w:val="00BF3CB3"/>
    <w:rsid w:val="00BF5271"/>
    <w:rsid w:val="00BF59FD"/>
    <w:rsid w:val="00BF698C"/>
    <w:rsid w:val="00C01034"/>
    <w:rsid w:val="00C051B3"/>
    <w:rsid w:val="00C10C4A"/>
    <w:rsid w:val="00C118DE"/>
    <w:rsid w:val="00C244C4"/>
    <w:rsid w:val="00C3418F"/>
    <w:rsid w:val="00C364B2"/>
    <w:rsid w:val="00C41AC6"/>
    <w:rsid w:val="00C42787"/>
    <w:rsid w:val="00C445F1"/>
    <w:rsid w:val="00C460BA"/>
    <w:rsid w:val="00C477F8"/>
    <w:rsid w:val="00C51821"/>
    <w:rsid w:val="00C5250F"/>
    <w:rsid w:val="00C52B1C"/>
    <w:rsid w:val="00C5780D"/>
    <w:rsid w:val="00C644E4"/>
    <w:rsid w:val="00C65F7C"/>
    <w:rsid w:val="00C800A9"/>
    <w:rsid w:val="00C80C26"/>
    <w:rsid w:val="00C8302B"/>
    <w:rsid w:val="00C834E8"/>
    <w:rsid w:val="00C86BA3"/>
    <w:rsid w:val="00C9043F"/>
    <w:rsid w:val="00C9498E"/>
    <w:rsid w:val="00C96275"/>
    <w:rsid w:val="00CA167A"/>
    <w:rsid w:val="00CA2555"/>
    <w:rsid w:val="00CC2726"/>
    <w:rsid w:val="00CC3341"/>
    <w:rsid w:val="00CC67F5"/>
    <w:rsid w:val="00CD06A5"/>
    <w:rsid w:val="00CD1B8A"/>
    <w:rsid w:val="00CD1BA0"/>
    <w:rsid w:val="00CD1FCD"/>
    <w:rsid w:val="00CD70CB"/>
    <w:rsid w:val="00CD7B45"/>
    <w:rsid w:val="00CE0BD0"/>
    <w:rsid w:val="00CE2BAC"/>
    <w:rsid w:val="00CF2292"/>
    <w:rsid w:val="00CF4BB3"/>
    <w:rsid w:val="00D00F81"/>
    <w:rsid w:val="00D01204"/>
    <w:rsid w:val="00D027A7"/>
    <w:rsid w:val="00D065FD"/>
    <w:rsid w:val="00D07F81"/>
    <w:rsid w:val="00D105C3"/>
    <w:rsid w:val="00D1215C"/>
    <w:rsid w:val="00D26F2C"/>
    <w:rsid w:val="00D32C3A"/>
    <w:rsid w:val="00D32CBA"/>
    <w:rsid w:val="00D335E6"/>
    <w:rsid w:val="00D35413"/>
    <w:rsid w:val="00D36D09"/>
    <w:rsid w:val="00D43FCC"/>
    <w:rsid w:val="00D458C9"/>
    <w:rsid w:val="00D500F8"/>
    <w:rsid w:val="00D50F0F"/>
    <w:rsid w:val="00D51CC8"/>
    <w:rsid w:val="00D52CDC"/>
    <w:rsid w:val="00D542A1"/>
    <w:rsid w:val="00D54BB3"/>
    <w:rsid w:val="00D56C7D"/>
    <w:rsid w:val="00D5775D"/>
    <w:rsid w:val="00D610B7"/>
    <w:rsid w:val="00D61132"/>
    <w:rsid w:val="00D621F7"/>
    <w:rsid w:val="00D67B05"/>
    <w:rsid w:val="00D71CAD"/>
    <w:rsid w:val="00D742B4"/>
    <w:rsid w:val="00D837E2"/>
    <w:rsid w:val="00D90194"/>
    <w:rsid w:val="00D93EE9"/>
    <w:rsid w:val="00DA252B"/>
    <w:rsid w:val="00DA60CC"/>
    <w:rsid w:val="00DB150D"/>
    <w:rsid w:val="00DB2E38"/>
    <w:rsid w:val="00DC301D"/>
    <w:rsid w:val="00DC3F94"/>
    <w:rsid w:val="00DC7D23"/>
    <w:rsid w:val="00DD4709"/>
    <w:rsid w:val="00DD4C08"/>
    <w:rsid w:val="00DE22F8"/>
    <w:rsid w:val="00DE3C17"/>
    <w:rsid w:val="00DE6841"/>
    <w:rsid w:val="00DF17A1"/>
    <w:rsid w:val="00DF38D7"/>
    <w:rsid w:val="00DF7AE4"/>
    <w:rsid w:val="00E07D1F"/>
    <w:rsid w:val="00E11571"/>
    <w:rsid w:val="00E1423C"/>
    <w:rsid w:val="00E14D20"/>
    <w:rsid w:val="00E17019"/>
    <w:rsid w:val="00E20C40"/>
    <w:rsid w:val="00E26777"/>
    <w:rsid w:val="00E27578"/>
    <w:rsid w:val="00E27B80"/>
    <w:rsid w:val="00E32528"/>
    <w:rsid w:val="00E33A92"/>
    <w:rsid w:val="00E34BFF"/>
    <w:rsid w:val="00E45CE0"/>
    <w:rsid w:val="00E514CA"/>
    <w:rsid w:val="00E51CC8"/>
    <w:rsid w:val="00E54BF2"/>
    <w:rsid w:val="00E603DB"/>
    <w:rsid w:val="00E72602"/>
    <w:rsid w:val="00E73132"/>
    <w:rsid w:val="00E76704"/>
    <w:rsid w:val="00E83F67"/>
    <w:rsid w:val="00E87BE1"/>
    <w:rsid w:val="00E92DB1"/>
    <w:rsid w:val="00E93F1F"/>
    <w:rsid w:val="00E94D5B"/>
    <w:rsid w:val="00E97C37"/>
    <w:rsid w:val="00EA1647"/>
    <w:rsid w:val="00EA4A72"/>
    <w:rsid w:val="00EB39A6"/>
    <w:rsid w:val="00EB5A42"/>
    <w:rsid w:val="00EB64F2"/>
    <w:rsid w:val="00EB7AC8"/>
    <w:rsid w:val="00EB7F61"/>
    <w:rsid w:val="00EC080E"/>
    <w:rsid w:val="00EC0CFB"/>
    <w:rsid w:val="00EC323B"/>
    <w:rsid w:val="00ED149E"/>
    <w:rsid w:val="00ED2B31"/>
    <w:rsid w:val="00ED455A"/>
    <w:rsid w:val="00ED4AF6"/>
    <w:rsid w:val="00ED62DE"/>
    <w:rsid w:val="00ED63DD"/>
    <w:rsid w:val="00EE25BB"/>
    <w:rsid w:val="00EE2980"/>
    <w:rsid w:val="00EE5B8B"/>
    <w:rsid w:val="00EE78C5"/>
    <w:rsid w:val="00EE7F96"/>
    <w:rsid w:val="00EF1F5C"/>
    <w:rsid w:val="00EF2120"/>
    <w:rsid w:val="00EF3E00"/>
    <w:rsid w:val="00EF6979"/>
    <w:rsid w:val="00F02D83"/>
    <w:rsid w:val="00F03FBE"/>
    <w:rsid w:val="00F04946"/>
    <w:rsid w:val="00F0789B"/>
    <w:rsid w:val="00F07E0B"/>
    <w:rsid w:val="00F12CF2"/>
    <w:rsid w:val="00F14C97"/>
    <w:rsid w:val="00F22F04"/>
    <w:rsid w:val="00F3493C"/>
    <w:rsid w:val="00F3557E"/>
    <w:rsid w:val="00F40349"/>
    <w:rsid w:val="00F43202"/>
    <w:rsid w:val="00F50694"/>
    <w:rsid w:val="00F51BB7"/>
    <w:rsid w:val="00F6086F"/>
    <w:rsid w:val="00F63878"/>
    <w:rsid w:val="00F723D7"/>
    <w:rsid w:val="00F72B6F"/>
    <w:rsid w:val="00F76252"/>
    <w:rsid w:val="00F76EA7"/>
    <w:rsid w:val="00F835AF"/>
    <w:rsid w:val="00F8521A"/>
    <w:rsid w:val="00F92EAB"/>
    <w:rsid w:val="00F93C7F"/>
    <w:rsid w:val="00F953D7"/>
    <w:rsid w:val="00F95639"/>
    <w:rsid w:val="00F96268"/>
    <w:rsid w:val="00FA6E3A"/>
    <w:rsid w:val="00FB31BD"/>
    <w:rsid w:val="00FB5A9B"/>
    <w:rsid w:val="00FC20A5"/>
    <w:rsid w:val="00FC329F"/>
    <w:rsid w:val="00FC5991"/>
    <w:rsid w:val="00FC7824"/>
    <w:rsid w:val="00FD0B29"/>
    <w:rsid w:val="00FD1E54"/>
    <w:rsid w:val="00FE0DBC"/>
    <w:rsid w:val="00FE405E"/>
    <w:rsid w:val="00FE41C2"/>
    <w:rsid w:val="00FE4563"/>
    <w:rsid w:val="00FF0595"/>
    <w:rsid w:val="00FF25D7"/>
    <w:rsid w:val="00FF3457"/>
    <w:rsid w:val="00FF489E"/>
    <w:rsid w:val="167761C7"/>
    <w:rsid w:val="245F6BCA"/>
    <w:rsid w:val="27151DD7"/>
    <w:rsid w:val="370DD3ED"/>
    <w:rsid w:val="42A3299E"/>
    <w:rsid w:val="55278B9A"/>
    <w:rsid w:val="6A435E6A"/>
    <w:rsid w:val="7239BF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09A43"/>
  <w15:docId w15:val="{341BF409-9678-49F6-8510-708B875D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EF"/>
    <w:rPr>
      <w:lang w:val="en-GB"/>
    </w:rPr>
  </w:style>
  <w:style w:type="paragraph" w:styleId="Heading1">
    <w:name w:val="heading 1"/>
    <w:aliases w:val="Section Heading,Section,1,Heading,heading,h1,main,section,H1,Heading 1 Char1,Heading 1 Char Char,Heading 1 Char2 Char Char,Heading 1 Char1 Char Char Char,Heading 1 Char Char Char Char Char,Heading 1 Char Char1 Char Char,sub para,Heading apps"/>
    <w:basedOn w:val="Normal"/>
    <w:next w:val="Normal"/>
    <w:link w:val="Heading1Char"/>
    <w:qFormat/>
    <w:rsid w:val="00043C71"/>
    <w:pPr>
      <w:outlineLvl w:val="0"/>
    </w:pPr>
    <w:rPr>
      <w:rFonts w:ascii="Arial" w:hAnsi="Arial"/>
      <w:b/>
      <w:caps/>
      <w:sz w:val="26"/>
    </w:rPr>
  </w:style>
  <w:style w:type="paragraph" w:styleId="Heading9">
    <w:name w:val="heading 9"/>
    <w:basedOn w:val="Normal"/>
    <w:next w:val="Normal"/>
    <w:link w:val="Heading9Char"/>
    <w:uiPriority w:val="9"/>
    <w:semiHidden/>
    <w:unhideWhenUsed/>
    <w:qFormat/>
    <w:rsid w:val="007673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nhideWhenUsed/>
    <w:rsid w:val="00ED62DE"/>
    <w:pPr>
      <w:tabs>
        <w:tab w:val="center" w:pos="4513"/>
        <w:tab w:val="right" w:pos="9026"/>
      </w:tabs>
    </w:pPr>
  </w:style>
  <w:style w:type="character" w:customStyle="1" w:styleId="HeaderChar">
    <w:name w:val="Header Char"/>
    <w:basedOn w:val="DefaultParagraphFont"/>
    <w:link w:val="Header"/>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character" w:customStyle="1" w:styleId="Heading1Char">
    <w:name w:val="Heading 1 Char"/>
    <w:aliases w:val="Section Heading Char,Section Char,1 Char,Heading Char,heading Char,h1 Char,main Char,section Char,H1 Char,Heading 1 Char1 Char,Heading 1 Char Char Char,Heading 1 Char2 Char Char Char,Heading 1 Char1 Char Char Char Char,sub para Char"/>
    <w:basedOn w:val="DefaultParagraphFont"/>
    <w:link w:val="Heading1"/>
    <w:rsid w:val="00043C71"/>
    <w:rPr>
      <w:rFonts w:ascii="Arial" w:hAnsi="Arial"/>
      <w:b/>
      <w:caps/>
      <w:sz w:val="26"/>
      <w:lang w:val="en-GB"/>
    </w:rPr>
  </w:style>
  <w:style w:type="paragraph" w:styleId="Revision">
    <w:name w:val="Revision"/>
    <w:hidden/>
    <w:uiPriority w:val="99"/>
    <w:semiHidden/>
    <w:rsid w:val="007E17FA"/>
    <w:rPr>
      <w:lang w:val="en-GB"/>
    </w:rPr>
  </w:style>
  <w:style w:type="character" w:styleId="UnresolvedMention">
    <w:name w:val="Unresolved Mention"/>
    <w:basedOn w:val="DefaultParagraphFont"/>
    <w:uiPriority w:val="99"/>
    <w:semiHidden/>
    <w:unhideWhenUsed/>
    <w:rsid w:val="00B16700"/>
    <w:rPr>
      <w:color w:val="605E5C"/>
      <w:shd w:val="clear" w:color="auto" w:fill="E1DFDD"/>
    </w:rPr>
  </w:style>
  <w:style w:type="character" w:styleId="FootnoteReference">
    <w:name w:val="footnote reference"/>
    <w:basedOn w:val="DefaultParagraphFont"/>
    <w:uiPriority w:val="99"/>
    <w:semiHidden/>
    <w:unhideWhenUsed/>
    <w:rsid w:val="00B65215"/>
    <w:rPr>
      <w:vertAlign w:val="superscript"/>
    </w:rPr>
  </w:style>
  <w:style w:type="paragraph" w:styleId="FootnoteText">
    <w:name w:val="footnote text"/>
    <w:basedOn w:val="Normal"/>
    <w:link w:val="FootnoteTextChar"/>
    <w:uiPriority w:val="99"/>
    <w:unhideWhenUsed/>
    <w:rsid w:val="00BB1065"/>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B1065"/>
    <w:rPr>
      <w:rFonts w:eastAsiaTheme="minorEastAsia"/>
      <w:sz w:val="20"/>
      <w:szCs w:val="20"/>
      <w:lang w:eastAsia="ja-JP"/>
    </w:rPr>
  </w:style>
  <w:style w:type="table" w:styleId="TableGrid">
    <w:name w:val="Table Grid"/>
    <w:basedOn w:val="TableNormal"/>
    <w:uiPriority w:val="39"/>
    <w:rsid w:val="0025451C"/>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55A"/>
    <w:pPr>
      <w:autoSpaceDE w:val="0"/>
      <w:autoSpaceDN w:val="0"/>
      <w:adjustRightInd w:val="0"/>
    </w:pPr>
    <w:rPr>
      <w:rFonts w:ascii="Calibri" w:hAnsi="Calibri" w:cs="Calibri"/>
      <w:color w:val="000000"/>
      <w:lang w:val="en-GB"/>
    </w:rPr>
  </w:style>
  <w:style w:type="character" w:customStyle="1" w:styleId="Heading9Char">
    <w:name w:val="Heading 9 Char"/>
    <w:basedOn w:val="DefaultParagraphFont"/>
    <w:link w:val="Heading9"/>
    <w:uiPriority w:val="9"/>
    <w:semiHidden/>
    <w:rsid w:val="007673C4"/>
    <w:rPr>
      <w:rFonts w:asciiTheme="majorHAnsi" w:eastAsiaTheme="majorEastAsia" w:hAnsiTheme="majorHAnsi" w:cstheme="majorBidi"/>
      <w:i/>
      <w:iCs/>
      <w:color w:val="272727" w:themeColor="text1" w:themeTint="D8"/>
      <w:sz w:val="21"/>
      <w:szCs w:val="21"/>
      <w:lang w:val="en-GB"/>
    </w:rPr>
  </w:style>
  <w:style w:type="paragraph" w:customStyle="1" w:styleId="KGContactTextBlue">
    <w:name w:val="KG_Contact Text Blue"/>
    <w:basedOn w:val="Normal"/>
    <w:qFormat/>
    <w:rsid w:val="00C118DE"/>
    <w:pPr>
      <w:spacing w:before="240" w:after="76" w:line="240" w:lineRule="exact"/>
      <w:jc w:val="both"/>
    </w:pPr>
    <w:rPr>
      <w:color w:val="44546A" w:themeColor="text2"/>
      <w:sz w:val="19"/>
      <w:szCs w:val="19"/>
      <w:lang w:val="en-IE"/>
      <w14:ligatures w14:val="standardContextual"/>
    </w:rPr>
  </w:style>
  <w:style w:type="table" w:styleId="TableGridLight">
    <w:name w:val="Grid Table Light"/>
    <w:basedOn w:val="TableNormal"/>
    <w:uiPriority w:val="40"/>
    <w:rsid w:val="004E1AF5"/>
    <w:rPr>
      <w:kern w:val="2"/>
      <w:sz w:val="22"/>
      <w:szCs w:val="22"/>
      <w:lang w:val="en-ZA"/>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E3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8393">
      <w:bodyDiv w:val="1"/>
      <w:marLeft w:val="0"/>
      <w:marRight w:val="0"/>
      <w:marTop w:val="0"/>
      <w:marBottom w:val="0"/>
      <w:divBdr>
        <w:top w:val="none" w:sz="0" w:space="0" w:color="auto"/>
        <w:left w:val="none" w:sz="0" w:space="0" w:color="auto"/>
        <w:bottom w:val="none" w:sz="0" w:space="0" w:color="auto"/>
        <w:right w:val="none" w:sz="0" w:space="0" w:color="auto"/>
      </w:divBdr>
    </w:div>
    <w:div w:id="319309590">
      <w:bodyDiv w:val="1"/>
      <w:marLeft w:val="0"/>
      <w:marRight w:val="0"/>
      <w:marTop w:val="0"/>
      <w:marBottom w:val="0"/>
      <w:divBdr>
        <w:top w:val="none" w:sz="0" w:space="0" w:color="auto"/>
        <w:left w:val="none" w:sz="0" w:space="0" w:color="auto"/>
        <w:bottom w:val="none" w:sz="0" w:space="0" w:color="auto"/>
        <w:right w:val="none" w:sz="0" w:space="0" w:color="auto"/>
      </w:divBdr>
    </w:div>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570889341">
      <w:bodyDiv w:val="1"/>
      <w:marLeft w:val="0"/>
      <w:marRight w:val="0"/>
      <w:marTop w:val="0"/>
      <w:marBottom w:val="0"/>
      <w:divBdr>
        <w:top w:val="none" w:sz="0" w:space="0" w:color="auto"/>
        <w:left w:val="none" w:sz="0" w:space="0" w:color="auto"/>
        <w:bottom w:val="none" w:sz="0" w:space="0" w:color="auto"/>
        <w:right w:val="none" w:sz="0" w:space="0" w:color="auto"/>
      </w:divBdr>
    </w:div>
    <w:div w:id="801535780">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049956242">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235121146">
      <w:bodyDiv w:val="1"/>
      <w:marLeft w:val="0"/>
      <w:marRight w:val="0"/>
      <w:marTop w:val="0"/>
      <w:marBottom w:val="0"/>
      <w:divBdr>
        <w:top w:val="none" w:sz="0" w:space="0" w:color="auto"/>
        <w:left w:val="none" w:sz="0" w:space="0" w:color="auto"/>
        <w:bottom w:val="none" w:sz="0" w:space="0" w:color="auto"/>
        <w:right w:val="none" w:sz="0" w:space="0" w:color="auto"/>
      </w:divBdr>
    </w:div>
    <w:div w:id="1242641884">
      <w:bodyDiv w:val="1"/>
      <w:marLeft w:val="0"/>
      <w:marRight w:val="0"/>
      <w:marTop w:val="0"/>
      <w:marBottom w:val="0"/>
      <w:divBdr>
        <w:top w:val="none" w:sz="0" w:space="0" w:color="auto"/>
        <w:left w:val="none" w:sz="0" w:space="0" w:color="auto"/>
        <w:bottom w:val="none" w:sz="0" w:space="0" w:color="auto"/>
        <w:right w:val="none" w:sz="0" w:space="0" w:color="auto"/>
      </w:divBdr>
    </w:div>
    <w:div w:id="1277564352">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venue.ie/en/companies-and-charities/documents/dwt/dwt-claim-for-refund.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reencoat-renewabl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eencoat@fti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1464D1FED85844BBAA9693C557EAE5" ma:contentTypeVersion="21" ma:contentTypeDescription="Create a new document." ma:contentTypeScope="" ma:versionID="c3871d6d94b25ec88164c5bc66a1f88e">
  <xsd:schema xmlns:xsd="http://www.w3.org/2001/XMLSchema" xmlns:xs="http://www.w3.org/2001/XMLSchema" xmlns:p="http://schemas.microsoft.com/office/2006/metadata/properties" xmlns:ns2="b9788881-0b14-4d8b-a5d4-0b7cb51b51a2" xmlns:ns3="e1d438f5-7e8f-4486-a7ca-81405da6368d" targetNamespace="http://schemas.microsoft.com/office/2006/metadata/properties" ma:root="true" ma:fieldsID="4df0b9755fe18942ebbeedeb4b1d82be" ns2:_="" ns3:_="">
    <xsd:import namespace="b9788881-0b14-4d8b-a5d4-0b7cb51b51a2"/>
    <xsd:import namespace="e1d438f5-7e8f-4486-a7ca-81405da6368d"/>
    <xsd:element name="properties">
      <xsd:complexType>
        <xsd:sequence>
          <xsd:element name="documentManagement">
            <xsd:complexType>
              <xsd:all>
                <xsd:element ref="ns2:_x006a_nt0"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88881-0b14-4d8b-a5d4-0b7cb51b51a2" elementFormDefault="qualified">
    <xsd:import namespace="http://schemas.microsoft.com/office/2006/documentManagement/types"/>
    <xsd:import namespace="http://schemas.microsoft.com/office/infopath/2007/PartnerControls"/>
    <xsd:element name="_x006a_nt0" ma:index="5" nillable="true" ma:displayName="Date and Time" ma:format="DateTime" ma:internalName="_x006a_nt0"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a287bc-b1b6-41d7-8d56-bdab4dbf7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438f5-7e8f-4486-a7ca-81405da6368d"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6693574-fca5-49b4-896f-d5d3de872f08}" ma:internalName="TaxCatchAll" ma:showField="CatchAllData" ma:web="e1d438f5-7e8f-4486-a7ca-81405da63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2025-10-30T13:53:00+00:00</DateReceiv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F4C94-8BD3-482E-91EA-16099B81F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88881-0b14-4d8b-a5d4-0b7cb51b51a2"/>
    <ds:schemaRef ds:uri="e1d438f5-7e8f-4486-a7ca-81405da63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22C81-9B30-4EBB-86D1-90F0171DE9A3}">
  <ds:schemaRefs>
    <ds:schemaRef ds:uri="http://schemas.microsoft.com/sharepoint/v3/contenttype/forms"/>
  </ds:schemaRefs>
</ds:datastoreItem>
</file>

<file path=customXml/itemProps3.xml><?xml version="1.0" encoding="utf-8"?>
<ds:datastoreItem xmlns:ds="http://schemas.openxmlformats.org/officeDocument/2006/customXml" ds:itemID="{0D11F215-E035-4CDC-9124-EC4F20EAAA34}">
  <ds:schemaRefs>
    <ds:schemaRef ds:uri="http://schemas.microsoft.com/office/2006/metadata/properties"/>
    <ds:schemaRef ds:uri="http://schemas.microsoft.com/office/infopath/2007/PartnerControls"/>
    <ds:schemaRef ds:uri="e1d438f5-7e8f-4486-a7ca-81405da6368d"/>
    <ds:schemaRef ds:uri="b9788881-0b14-4d8b-a5d4-0b7cb51b51a2"/>
  </ds:schemaRefs>
</ds:datastoreItem>
</file>

<file path=customXml/itemProps4.xml><?xml version="1.0" encoding="utf-8"?>
<ds:datastoreItem xmlns:ds="http://schemas.openxmlformats.org/officeDocument/2006/customXml" ds:itemID="{BC150E9E-70F2-4E3D-A2B3-F7ACCA0228D9}">
  <ds:schemaRefs>
    <ds:schemaRef ds:uri="http://schemas.openxmlformats.org/officeDocument/2006/bibliography"/>
  </ds:schemaRefs>
</ds:datastoreItem>
</file>

<file path=customXml/itemProps5.xml><?xml version="1.0" encoding="utf-8"?>
<ds:datastoreItem xmlns:ds="http://schemas.openxmlformats.org/officeDocument/2006/customXml" ds:itemID="{2242D43C-C79F-4E67-8C17-239DF2DFA075}"/>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1643</Words>
  <Characters>9462</Characters>
  <Application>Microsoft Office Word</Application>
  <DocSecurity>0</DocSecurity>
  <Lines>270</Lines>
  <Paragraphs>127</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10978</CharactersWithSpaces>
  <SharedDoc>false</SharedDoc>
  <HLinks>
    <vt:vector size="18" baseType="variant">
      <vt:variant>
        <vt:i4>6946888</vt:i4>
      </vt:variant>
      <vt:variant>
        <vt:i4>6</vt:i4>
      </vt:variant>
      <vt:variant>
        <vt:i4>0</vt:i4>
      </vt:variant>
      <vt:variant>
        <vt:i4>5</vt:i4>
      </vt:variant>
      <vt:variant>
        <vt:lpwstr>mailto:greencoat@fticonsulting.com</vt:lpwstr>
      </vt:variant>
      <vt:variant>
        <vt:lpwstr/>
      </vt:variant>
      <vt:variant>
        <vt:i4>3276893</vt:i4>
      </vt:variant>
      <vt:variant>
        <vt:i4>3</vt:i4>
      </vt:variant>
      <vt:variant>
        <vt:i4>0</vt:i4>
      </vt:variant>
      <vt:variant>
        <vt:i4>5</vt:i4>
      </vt:variant>
      <vt:variant>
        <vt:lpwstr>mailto:greencoat@valeocapital.co.za</vt:lpwstr>
      </vt:variant>
      <vt:variant>
        <vt:lpwstr/>
      </vt:variant>
      <vt:variant>
        <vt:i4>6160408</vt:i4>
      </vt:variant>
      <vt:variant>
        <vt:i4>0</vt:i4>
      </vt:variant>
      <vt:variant>
        <vt:i4>0</vt:i4>
      </vt:variant>
      <vt:variant>
        <vt:i4>5</vt:i4>
      </vt:variant>
      <vt:variant>
        <vt:lpwstr>http://www.greencoat-renewables.com/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 Daniel</dc:creator>
  <cp:keywords/>
  <cp:lastModifiedBy>Catherine Carron</cp:lastModifiedBy>
  <cp:revision>1</cp:revision>
  <cp:lastPrinted>2025-10-22T09:43:00Z</cp:lastPrinted>
  <dcterms:created xsi:type="dcterms:W3CDTF">2025-10-29T14:32:00Z</dcterms:created>
  <dcterms:modified xsi:type="dcterms:W3CDTF">2025-10-30T13:35:00Z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adb97b82-a821-407f-91d3-0855ba7a6994</vt:lpwstr>
  </property>
  <property fmtid="{D5CDD505-2E9C-101B-9397-08002B2CF9AE}" pid="6" name="docLang">
    <vt:lpwstr>en</vt:lpwstr>
  </property>
</Properties>
</file>