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51E5" w14:textId="77777777" w:rsidR="007110CC" w:rsidRPr="00C14C28" w:rsidRDefault="00B4378D">
      <w:pPr>
        <w:pStyle w:val="Heading1"/>
        <w:kinsoku w:val="0"/>
        <w:overflowPunct w:val="0"/>
        <w:spacing w:before="23"/>
        <w:rPr>
          <w:sz w:val="22"/>
          <w:szCs w:val="22"/>
        </w:rPr>
      </w:pPr>
      <w:r w:rsidRPr="00C14C28">
        <w:rPr>
          <w:sz w:val="22"/>
          <w:szCs w:val="22"/>
        </w:rPr>
        <w:t>2 June</w:t>
      </w:r>
      <w:r w:rsidR="00D53EC1" w:rsidRPr="00C14C28">
        <w:rPr>
          <w:spacing w:val="-10"/>
          <w:sz w:val="22"/>
          <w:szCs w:val="22"/>
        </w:rPr>
        <w:t xml:space="preserve"> </w:t>
      </w:r>
      <w:r w:rsidR="00D53EC1" w:rsidRPr="00C14C28">
        <w:rPr>
          <w:sz w:val="22"/>
          <w:szCs w:val="22"/>
        </w:rPr>
        <w:t>2022</w:t>
      </w:r>
    </w:p>
    <w:p w14:paraId="1A40A957" w14:textId="77777777" w:rsidR="007110CC" w:rsidRPr="00C14C28" w:rsidRDefault="00D53EC1">
      <w:pPr>
        <w:pStyle w:val="BodyText"/>
        <w:kinsoku w:val="0"/>
        <w:overflowPunct w:val="0"/>
        <w:spacing w:before="24"/>
        <w:rPr>
          <w:b/>
          <w:bCs/>
          <w:sz w:val="22"/>
          <w:szCs w:val="22"/>
        </w:rPr>
      </w:pPr>
      <w:r w:rsidRPr="00C14C28">
        <w:rPr>
          <w:b/>
          <w:bCs/>
          <w:sz w:val="22"/>
          <w:szCs w:val="22"/>
        </w:rPr>
        <w:t>HealthBeacon</w:t>
      </w:r>
      <w:r w:rsidRPr="00C14C28">
        <w:rPr>
          <w:b/>
          <w:bCs/>
          <w:spacing w:val="-6"/>
          <w:sz w:val="22"/>
          <w:szCs w:val="22"/>
        </w:rPr>
        <w:t xml:space="preserve"> </w:t>
      </w:r>
      <w:r w:rsidRPr="00C14C28">
        <w:rPr>
          <w:b/>
          <w:bCs/>
          <w:sz w:val="22"/>
          <w:szCs w:val="22"/>
        </w:rPr>
        <w:t>plc</w:t>
      </w:r>
    </w:p>
    <w:p w14:paraId="3DAD3EDB" w14:textId="77777777" w:rsidR="00B4378D" w:rsidRPr="00C14C28" w:rsidRDefault="00B4378D">
      <w:pPr>
        <w:pStyle w:val="BodyText"/>
        <w:kinsoku w:val="0"/>
        <w:overflowPunct w:val="0"/>
        <w:spacing w:before="24"/>
        <w:rPr>
          <w:b/>
          <w:bCs/>
          <w:sz w:val="22"/>
          <w:szCs w:val="22"/>
        </w:rPr>
      </w:pPr>
    </w:p>
    <w:p w14:paraId="3A511FA4" w14:textId="77777777" w:rsidR="007110CC" w:rsidRPr="00C14C28" w:rsidRDefault="00B4378D" w:rsidP="00B4378D">
      <w:pPr>
        <w:pStyle w:val="BodyText"/>
        <w:jc w:val="center"/>
        <w:rPr>
          <w:b/>
          <w:sz w:val="22"/>
          <w:szCs w:val="22"/>
        </w:rPr>
      </w:pPr>
      <w:r w:rsidRPr="00C14C28">
        <w:rPr>
          <w:b/>
          <w:sz w:val="22"/>
          <w:szCs w:val="22"/>
        </w:rPr>
        <w:t>Results of</w:t>
      </w:r>
      <w:r w:rsidR="00892090" w:rsidRPr="00C14C28">
        <w:rPr>
          <w:b/>
          <w:sz w:val="22"/>
          <w:szCs w:val="22"/>
        </w:rPr>
        <w:t xml:space="preserve"> Annual</w:t>
      </w:r>
      <w:r w:rsidR="00D53EC1" w:rsidRPr="00C14C28">
        <w:rPr>
          <w:b/>
          <w:sz w:val="22"/>
          <w:szCs w:val="22"/>
        </w:rPr>
        <w:t xml:space="preserve"> General</w:t>
      </w:r>
      <w:r w:rsidR="00D53EC1" w:rsidRPr="00C14C28">
        <w:rPr>
          <w:b/>
          <w:spacing w:val="-25"/>
          <w:sz w:val="22"/>
          <w:szCs w:val="22"/>
        </w:rPr>
        <w:t xml:space="preserve"> </w:t>
      </w:r>
      <w:r w:rsidR="00D53EC1" w:rsidRPr="00C14C28">
        <w:rPr>
          <w:b/>
          <w:sz w:val="22"/>
          <w:szCs w:val="22"/>
        </w:rPr>
        <w:t>Meeting</w:t>
      </w:r>
    </w:p>
    <w:p w14:paraId="5537A660" w14:textId="77777777" w:rsidR="00B4378D" w:rsidRPr="00C14C28" w:rsidRDefault="00B4378D" w:rsidP="00B4378D">
      <w:pPr>
        <w:pStyle w:val="BodyText"/>
        <w:jc w:val="center"/>
        <w:rPr>
          <w:b/>
          <w:sz w:val="22"/>
          <w:szCs w:val="22"/>
        </w:rPr>
      </w:pPr>
    </w:p>
    <w:p w14:paraId="52F69BDF" w14:textId="77777777" w:rsidR="00B4378D" w:rsidRPr="00C14C28" w:rsidRDefault="00B4378D" w:rsidP="00B4378D">
      <w:pPr>
        <w:ind w:left="120"/>
      </w:pPr>
      <w:r w:rsidRPr="00C14C28">
        <w:t xml:space="preserve">Each of the resolutions proposed at the Company’s Annual General Meeting, held on 2 June 2022, was passed by way of poll. The table below sets out the results of the poll on each resolution as set out in the 2022 Notice of Annual General Meeting, which is available on the Company’s website </w:t>
      </w:r>
      <w:hyperlink r:id="rId6" w:history="1">
        <w:r w:rsidRPr="00C14C28">
          <w:rPr>
            <w:rStyle w:val="Hyperlink"/>
          </w:rPr>
          <w:t>www.healthbeacon.com</w:t>
        </w:r>
      </w:hyperlink>
      <w:r w:rsidRPr="00C14C28">
        <w:t xml:space="preserve"> </w:t>
      </w:r>
    </w:p>
    <w:p w14:paraId="34564A85" w14:textId="343AFEBA" w:rsidR="00B4378D" w:rsidRPr="00C14C28" w:rsidRDefault="00B4378D" w:rsidP="00B4378D">
      <w:pPr>
        <w:jc w:val="center"/>
      </w:pPr>
    </w:p>
    <w:tbl>
      <w:tblPr>
        <w:tblStyle w:val="TableGrid"/>
        <w:tblW w:w="10055" w:type="dxa"/>
        <w:tblLook w:val="04A0" w:firstRow="1" w:lastRow="0" w:firstColumn="1" w:lastColumn="0" w:noHBand="0" w:noVBand="1"/>
      </w:tblPr>
      <w:tblGrid>
        <w:gridCol w:w="661"/>
        <w:gridCol w:w="3051"/>
        <w:gridCol w:w="1190"/>
        <w:gridCol w:w="1134"/>
        <w:gridCol w:w="1134"/>
        <w:gridCol w:w="992"/>
        <w:gridCol w:w="850"/>
        <w:gridCol w:w="1043"/>
      </w:tblGrid>
      <w:tr w:rsidR="005205A1" w:rsidRPr="00460565" w14:paraId="51CD1356" w14:textId="77777777" w:rsidTr="00A65978">
        <w:trPr>
          <w:trHeight w:val="205"/>
        </w:trPr>
        <w:tc>
          <w:tcPr>
            <w:tcW w:w="687" w:type="dxa"/>
          </w:tcPr>
          <w:p w14:paraId="6B8A8EE2" w14:textId="77777777" w:rsidR="005205A1" w:rsidRPr="00460565" w:rsidRDefault="005205A1" w:rsidP="00B81144">
            <w:pPr>
              <w:rPr>
                <w:rFonts w:eastAsia="Times New Roman"/>
                <w:color w:val="222222"/>
              </w:rPr>
            </w:pPr>
          </w:p>
        </w:tc>
        <w:tc>
          <w:tcPr>
            <w:tcW w:w="3051" w:type="dxa"/>
            <w:noWrap/>
            <w:hideMark/>
          </w:tcPr>
          <w:p w14:paraId="3D985EA6" w14:textId="77777777" w:rsidR="005205A1" w:rsidRPr="00460565" w:rsidRDefault="005205A1" w:rsidP="00B81144">
            <w:pPr>
              <w:rPr>
                <w:rFonts w:eastAsia="Times New Roman"/>
                <w:color w:val="222222"/>
              </w:rPr>
            </w:pPr>
            <w:r>
              <w:rPr>
                <w:rFonts w:eastAsia="Times New Roman"/>
                <w:color w:val="222222"/>
              </w:rPr>
              <w:t>Resolution</w:t>
            </w:r>
          </w:p>
        </w:tc>
        <w:tc>
          <w:tcPr>
            <w:tcW w:w="1214" w:type="dxa"/>
          </w:tcPr>
          <w:p w14:paraId="1973EB89" w14:textId="77777777" w:rsidR="005205A1" w:rsidRPr="00460565" w:rsidRDefault="005205A1" w:rsidP="00B81144">
            <w:pPr>
              <w:jc w:val="center"/>
              <w:rPr>
                <w:rFonts w:eastAsia="Times New Roman"/>
                <w:color w:val="222222"/>
              </w:rPr>
            </w:pPr>
            <w:r w:rsidRPr="00460565">
              <w:rPr>
                <w:rFonts w:eastAsia="Times New Roman"/>
                <w:color w:val="222222"/>
              </w:rPr>
              <w:t>Total Votes</w:t>
            </w:r>
          </w:p>
        </w:tc>
        <w:tc>
          <w:tcPr>
            <w:tcW w:w="1134" w:type="dxa"/>
            <w:noWrap/>
            <w:hideMark/>
          </w:tcPr>
          <w:p w14:paraId="0F1FA976" w14:textId="77777777" w:rsidR="005205A1" w:rsidRPr="00460565" w:rsidRDefault="005205A1" w:rsidP="00B81144">
            <w:pPr>
              <w:jc w:val="center"/>
              <w:rPr>
                <w:rFonts w:eastAsia="Times New Roman"/>
                <w:color w:val="222222"/>
              </w:rPr>
            </w:pPr>
            <w:r w:rsidRPr="00460565">
              <w:rPr>
                <w:rFonts w:eastAsia="Times New Roman"/>
                <w:color w:val="222222"/>
              </w:rPr>
              <w:t>For</w:t>
            </w:r>
          </w:p>
        </w:tc>
        <w:tc>
          <w:tcPr>
            <w:tcW w:w="1134" w:type="dxa"/>
            <w:noWrap/>
            <w:hideMark/>
          </w:tcPr>
          <w:p w14:paraId="4CB4BA4E" w14:textId="77777777" w:rsidR="005205A1" w:rsidRPr="00460565" w:rsidRDefault="005205A1" w:rsidP="00B81144">
            <w:pPr>
              <w:jc w:val="center"/>
              <w:rPr>
                <w:rFonts w:eastAsia="Times New Roman"/>
                <w:color w:val="222222"/>
              </w:rPr>
            </w:pPr>
            <w:r>
              <w:rPr>
                <w:rFonts w:eastAsia="Times New Roman"/>
                <w:color w:val="222222"/>
              </w:rPr>
              <w:t>%</w:t>
            </w:r>
          </w:p>
        </w:tc>
        <w:tc>
          <w:tcPr>
            <w:tcW w:w="992" w:type="dxa"/>
            <w:noWrap/>
            <w:hideMark/>
          </w:tcPr>
          <w:p w14:paraId="4C5C2325" w14:textId="77777777" w:rsidR="005205A1" w:rsidRPr="00460565" w:rsidRDefault="005205A1" w:rsidP="00B81144">
            <w:pPr>
              <w:jc w:val="center"/>
              <w:rPr>
                <w:rFonts w:eastAsia="Times New Roman"/>
                <w:color w:val="222222"/>
              </w:rPr>
            </w:pPr>
            <w:r w:rsidRPr="00460565">
              <w:rPr>
                <w:rFonts w:eastAsia="Times New Roman"/>
                <w:color w:val="222222"/>
              </w:rPr>
              <w:t>Against</w:t>
            </w:r>
          </w:p>
        </w:tc>
        <w:tc>
          <w:tcPr>
            <w:tcW w:w="850" w:type="dxa"/>
            <w:noWrap/>
            <w:hideMark/>
          </w:tcPr>
          <w:p w14:paraId="05BD0FFF" w14:textId="77777777" w:rsidR="005205A1" w:rsidRPr="00460565" w:rsidRDefault="005205A1" w:rsidP="00B81144">
            <w:pPr>
              <w:jc w:val="center"/>
              <w:rPr>
                <w:rFonts w:eastAsia="Times New Roman"/>
                <w:color w:val="222222"/>
              </w:rPr>
            </w:pPr>
            <w:r>
              <w:rPr>
                <w:rFonts w:eastAsia="Times New Roman"/>
                <w:color w:val="222222"/>
              </w:rPr>
              <w:t>%</w:t>
            </w:r>
          </w:p>
        </w:tc>
        <w:tc>
          <w:tcPr>
            <w:tcW w:w="993" w:type="dxa"/>
            <w:noWrap/>
            <w:hideMark/>
          </w:tcPr>
          <w:p w14:paraId="411B5D0A" w14:textId="77777777" w:rsidR="005205A1" w:rsidRPr="00460565" w:rsidRDefault="005205A1" w:rsidP="00B81144">
            <w:pPr>
              <w:jc w:val="center"/>
              <w:rPr>
                <w:rFonts w:eastAsia="Times New Roman"/>
                <w:color w:val="222222"/>
              </w:rPr>
            </w:pPr>
            <w:r w:rsidRPr="00460565">
              <w:rPr>
                <w:rFonts w:eastAsia="Times New Roman"/>
                <w:color w:val="222222"/>
              </w:rPr>
              <w:t>Withheld</w:t>
            </w:r>
          </w:p>
        </w:tc>
      </w:tr>
      <w:tr w:rsidR="005205A1" w:rsidRPr="00460565" w14:paraId="6743A9B9" w14:textId="77777777" w:rsidTr="00A65978">
        <w:trPr>
          <w:trHeight w:val="205"/>
        </w:trPr>
        <w:tc>
          <w:tcPr>
            <w:tcW w:w="687" w:type="dxa"/>
          </w:tcPr>
          <w:p w14:paraId="436BA7C1" w14:textId="44687AD5" w:rsidR="005205A1" w:rsidRPr="00460565" w:rsidRDefault="005205A1" w:rsidP="00B81144">
            <w:pPr>
              <w:jc w:val="right"/>
              <w:rPr>
                <w:rFonts w:eastAsia="Times New Roman"/>
                <w:color w:val="222222"/>
              </w:rPr>
            </w:pPr>
            <w:r w:rsidRPr="00460565">
              <w:rPr>
                <w:rFonts w:eastAsia="Times New Roman"/>
                <w:color w:val="222222"/>
              </w:rPr>
              <w:t>01</w:t>
            </w:r>
          </w:p>
        </w:tc>
        <w:tc>
          <w:tcPr>
            <w:tcW w:w="3051" w:type="dxa"/>
            <w:noWrap/>
            <w:hideMark/>
          </w:tcPr>
          <w:p w14:paraId="140F64F7" w14:textId="773D0C5A" w:rsidR="005205A1" w:rsidRPr="00460565" w:rsidRDefault="00E83A43" w:rsidP="00B81144">
            <w:pPr>
              <w:rPr>
                <w:rFonts w:eastAsia="Times New Roman"/>
                <w:color w:val="222222"/>
              </w:rPr>
            </w:pPr>
            <w:r>
              <w:rPr>
                <w:rFonts w:eastAsia="Times New Roman"/>
                <w:color w:val="222222"/>
              </w:rPr>
              <w:t>Approval of financial statements and reports</w:t>
            </w:r>
          </w:p>
        </w:tc>
        <w:tc>
          <w:tcPr>
            <w:tcW w:w="1214" w:type="dxa"/>
          </w:tcPr>
          <w:p w14:paraId="2DA12702" w14:textId="77777777" w:rsidR="005205A1" w:rsidRPr="00460565" w:rsidRDefault="005205A1" w:rsidP="00B81144">
            <w:pPr>
              <w:jc w:val="center"/>
              <w:rPr>
                <w:rFonts w:eastAsia="Times New Roman"/>
                <w:color w:val="222222"/>
              </w:rPr>
            </w:pPr>
            <w:r w:rsidRPr="00460565">
              <w:rPr>
                <w:rFonts w:eastAsia="Times New Roman"/>
                <w:color w:val="222222"/>
              </w:rPr>
              <w:t>9,584,386</w:t>
            </w:r>
          </w:p>
        </w:tc>
        <w:tc>
          <w:tcPr>
            <w:tcW w:w="1134" w:type="dxa"/>
            <w:noWrap/>
            <w:hideMark/>
          </w:tcPr>
          <w:p w14:paraId="1A6231F3" w14:textId="77777777" w:rsidR="005205A1" w:rsidRPr="00460565" w:rsidRDefault="005205A1" w:rsidP="00B81144">
            <w:pPr>
              <w:jc w:val="center"/>
              <w:rPr>
                <w:rFonts w:eastAsia="Times New Roman"/>
                <w:color w:val="222222"/>
              </w:rPr>
            </w:pPr>
            <w:r w:rsidRPr="00460565">
              <w:rPr>
                <w:rFonts w:eastAsia="Times New Roman"/>
                <w:color w:val="222222"/>
              </w:rPr>
              <w:t>9,584,386</w:t>
            </w:r>
          </w:p>
        </w:tc>
        <w:tc>
          <w:tcPr>
            <w:tcW w:w="1134" w:type="dxa"/>
            <w:noWrap/>
            <w:hideMark/>
          </w:tcPr>
          <w:p w14:paraId="4422EFEC"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0B5B16DD"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4088E5DD"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5EE7375C"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75256BE8" w14:textId="77777777" w:rsidTr="00A65978">
        <w:trPr>
          <w:trHeight w:val="205"/>
        </w:trPr>
        <w:tc>
          <w:tcPr>
            <w:tcW w:w="687" w:type="dxa"/>
          </w:tcPr>
          <w:p w14:paraId="29D30E3A" w14:textId="7C0FC3C4" w:rsidR="005205A1" w:rsidRPr="00460565" w:rsidRDefault="005205A1" w:rsidP="00B81144">
            <w:pPr>
              <w:jc w:val="right"/>
              <w:rPr>
                <w:rFonts w:eastAsia="Times New Roman"/>
                <w:color w:val="222222"/>
              </w:rPr>
            </w:pPr>
            <w:r w:rsidRPr="00460565">
              <w:rPr>
                <w:rFonts w:eastAsia="Times New Roman"/>
                <w:color w:val="222222"/>
              </w:rPr>
              <w:t>02</w:t>
            </w:r>
          </w:p>
        </w:tc>
        <w:tc>
          <w:tcPr>
            <w:tcW w:w="3051" w:type="dxa"/>
            <w:noWrap/>
            <w:hideMark/>
          </w:tcPr>
          <w:p w14:paraId="20D58FC1" w14:textId="03D625C6" w:rsidR="005205A1" w:rsidRPr="00460565" w:rsidRDefault="00E83A43" w:rsidP="00B81144">
            <w:pPr>
              <w:rPr>
                <w:rFonts w:eastAsia="Times New Roman"/>
                <w:color w:val="222222"/>
              </w:rPr>
            </w:pPr>
            <w:r>
              <w:rPr>
                <w:rFonts w:eastAsia="Times New Roman"/>
                <w:color w:val="222222"/>
              </w:rPr>
              <w:t>Approval of remuneration report</w:t>
            </w:r>
          </w:p>
        </w:tc>
        <w:tc>
          <w:tcPr>
            <w:tcW w:w="1214" w:type="dxa"/>
          </w:tcPr>
          <w:p w14:paraId="3BF899EF"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4B362FDA" w14:textId="77777777" w:rsidR="005205A1" w:rsidRPr="00460565" w:rsidRDefault="005205A1" w:rsidP="00B81144">
            <w:pPr>
              <w:jc w:val="center"/>
              <w:rPr>
                <w:rFonts w:eastAsia="Times New Roman"/>
                <w:color w:val="222222"/>
              </w:rPr>
            </w:pPr>
            <w:r w:rsidRPr="00460565">
              <w:rPr>
                <w:rFonts w:eastAsia="Times New Roman"/>
                <w:color w:val="222222"/>
              </w:rPr>
              <w:t>9,445,114</w:t>
            </w:r>
          </w:p>
        </w:tc>
        <w:tc>
          <w:tcPr>
            <w:tcW w:w="1134" w:type="dxa"/>
            <w:noWrap/>
            <w:hideMark/>
          </w:tcPr>
          <w:p w14:paraId="78D6A9B7" w14:textId="77777777" w:rsidR="005205A1" w:rsidRPr="00460565" w:rsidRDefault="005205A1" w:rsidP="00B81144">
            <w:pPr>
              <w:jc w:val="center"/>
              <w:rPr>
                <w:rFonts w:eastAsia="Times New Roman"/>
                <w:color w:val="222222"/>
              </w:rPr>
            </w:pPr>
            <w:r w:rsidRPr="00460565">
              <w:rPr>
                <w:rFonts w:eastAsia="Times New Roman"/>
                <w:color w:val="222222"/>
              </w:rPr>
              <w:t>98.71%</w:t>
            </w:r>
          </w:p>
        </w:tc>
        <w:tc>
          <w:tcPr>
            <w:tcW w:w="992" w:type="dxa"/>
            <w:noWrap/>
            <w:hideMark/>
          </w:tcPr>
          <w:p w14:paraId="5E39C46B" w14:textId="77777777" w:rsidR="005205A1" w:rsidRPr="00460565" w:rsidRDefault="005205A1" w:rsidP="00B81144">
            <w:pPr>
              <w:jc w:val="center"/>
              <w:rPr>
                <w:rFonts w:eastAsia="Times New Roman"/>
                <w:color w:val="222222"/>
              </w:rPr>
            </w:pPr>
            <w:r w:rsidRPr="00460565">
              <w:rPr>
                <w:rFonts w:eastAsia="Times New Roman"/>
                <w:color w:val="222222"/>
              </w:rPr>
              <w:t>123,110</w:t>
            </w:r>
          </w:p>
        </w:tc>
        <w:tc>
          <w:tcPr>
            <w:tcW w:w="850" w:type="dxa"/>
            <w:noWrap/>
            <w:hideMark/>
          </w:tcPr>
          <w:p w14:paraId="69312F49" w14:textId="77777777" w:rsidR="005205A1" w:rsidRPr="00460565" w:rsidRDefault="005205A1" w:rsidP="00B81144">
            <w:pPr>
              <w:jc w:val="center"/>
              <w:rPr>
                <w:rFonts w:eastAsia="Times New Roman"/>
                <w:color w:val="222222"/>
              </w:rPr>
            </w:pPr>
            <w:r w:rsidRPr="00460565">
              <w:rPr>
                <w:rFonts w:eastAsia="Times New Roman"/>
                <w:color w:val="222222"/>
              </w:rPr>
              <w:t>1.29%</w:t>
            </w:r>
          </w:p>
        </w:tc>
        <w:tc>
          <w:tcPr>
            <w:tcW w:w="993" w:type="dxa"/>
            <w:noWrap/>
            <w:hideMark/>
          </w:tcPr>
          <w:p w14:paraId="1EEFEB5F"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491068C2" w14:textId="77777777" w:rsidTr="00A65978">
        <w:trPr>
          <w:trHeight w:val="205"/>
        </w:trPr>
        <w:tc>
          <w:tcPr>
            <w:tcW w:w="687" w:type="dxa"/>
          </w:tcPr>
          <w:p w14:paraId="37A99FAA" w14:textId="4973E23D" w:rsidR="005205A1" w:rsidRPr="00460565" w:rsidRDefault="005205A1" w:rsidP="00B81144">
            <w:pPr>
              <w:jc w:val="right"/>
              <w:rPr>
                <w:rFonts w:eastAsia="Times New Roman"/>
                <w:color w:val="222222"/>
              </w:rPr>
            </w:pPr>
            <w:r w:rsidRPr="00460565">
              <w:rPr>
                <w:rFonts w:eastAsia="Times New Roman"/>
                <w:color w:val="222222"/>
              </w:rPr>
              <w:t>03A</w:t>
            </w:r>
          </w:p>
        </w:tc>
        <w:tc>
          <w:tcPr>
            <w:tcW w:w="3051" w:type="dxa"/>
            <w:noWrap/>
            <w:hideMark/>
          </w:tcPr>
          <w:p w14:paraId="015F0452" w14:textId="7DBB18AC" w:rsidR="005205A1" w:rsidRPr="00460565" w:rsidRDefault="00E83A43" w:rsidP="00B81144">
            <w:pPr>
              <w:rPr>
                <w:rFonts w:eastAsia="Times New Roman"/>
                <w:color w:val="222222"/>
              </w:rPr>
            </w:pPr>
            <w:r>
              <w:rPr>
                <w:rFonts w:eastAsia="Times New Roman"/>
                <w:color w:val="222222"/>
              </w:rPr>
              <w:t>Re-elect Robert Garber</w:t>
            </w:r>
          </w:p>
        </w:tc>
        <w:tc>
          <w:tcPr>
            <w:tcW w:w="1214" w:type="dxa"/>
          </w:tcPr>
          <w:p w14:paraId="35355CCF"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5B3652AE" w14:textId="77777777" w:rsidR="005205A1" w:rsidRPr="00460565" w:rsidRDefault="005205A1" w:rsidP="00B81144">
            <w:pPr>
              <w:jc w:val="center"/>
              <w:rPr>
                <w:rFonts w:eastAsia="Times New Roman"/>
                <w:color w:val="222222"/>
              </w:rPr>
            </w:pPr>
            <w:r w:rsidRPr="00460565">
              <w:rPr>
                <w:rFonts w:eastAsia="Times New Roman"/>
                <w:color w:val="222222"/>
              </w:rPr>
              <w:t>9,559,021</w:t>
            </w:r>
          </w:p>
        </w:tc>
        <w:tc>
          <w:tcPr>
            <w:tcW w:w="1134" w:type="dxa"/>
            <w:noWrap/>
            <w:hideMark/>
          </w:tcPr>
          <w:p w14:paraId="4E0ECE9D" w14:textId="77777777" w:rsidR="005205A1" w:rsidRPr="00460565" w:rsidRDefault="005205A1" w:rsidP="00B81144">
            <w:pPr>
              <w:jc w:val="center"/>
              <w:rPr>
                <w:rFonts w:eastAsia="Times New Roman"/>
                <w:color w:val="222222"/>
              </w:rPr>
            </w:pPr>
            <w:r w:rsidRPr="00460565">
              <w:rPr>
                <w:rFonts w:eastAsia="Times New Roman"/>
                <w:color w:val="222222"/>
              </w:rPr>
              <w:t>99.90%</w:t>
            </w:r>
          </w:p>
        </w:tc>
        <w:tc>
          <w:tcPr>
            <w:tcW w:w="992" w:type="dxa"/>
            <w:noWrap/>
            <w:hideMark/>
          </w:tcPr>
          <w:p w14:paraId="291946B0" w14:textId="77777777" w:rsidR="005205A1" w:rsidRPr="00460565" w:rsidRDefault="005205A1" w:rsidP="00B81144">
            <w:pPr>
              <w:jc w:val="center"/>
              <w:rPr>
                <w:rFonts w:eastAsia="Times New Roman"/>
                <w:color w:val="222222"/>
              </w:rPr>
            </w:pPr>
            <w:r w:rsidRPr="00460565">
              <w:rPr>
                <w:rFonts w:eastAsia="Times New Roman"/>
                <w:color w:val="222222"/>
              </w:rPr>
              <w:t>9,203</w:t>
            </w:r>
          </w:p>
        </w:tc>
        <w:tc>
          <w:tcPr>
            <w:tcW w:w="850" w:type="dxa"/>
            <w:noWrap/>
            <w:hideMark/>
          </w:tcPr>
          <w:p w14:paraId="49B985C2" w14:textId="77777777" w:rsidR="005205A1" w:rsidRPr="00460565" w:rsidRDefault="005205A1" w:rsidP="00B81144">
            <w:pPr>
              <w:jc w:val="center"/>
              <w:rPr>
                <w:rFonts w:eastAsia="Times New Roman"/>
                <w:color w:val="222222"/>
              </w:rPr>
            </w:pPr>
            <w:r w:rsidRPr="00460565">
              <w:rPr>
                <w:rFonts w:eastAsia="Times New Roman"/>
                <w:color w:val="222222"/>
              </w:rPr>
              <w:t>0.10%</w:t>
            </w:r>
          </w:p>
        </w:tc>
        <w:tc>
          <w:tcPr>
            <w:tcW w:w="993" w:type="dxa"/>
            <w:noWrap/>
            <w:hideMark/>
          </w:tcPr>
          <w:p w14:paraId="6D4D49AD"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2E1577BE" w14:textId="77777777" w:rsidTr="00A65978">
        <w:trPr>
          <w:trHeight w:val="205"/>
        </w:trPr>
        <w:tc>
          <w:tcPr>
            <w:tcW w:w="687" w:type="dxa"/>
          </w:tcPr>
          <w:p w14:paraId="158FBE82" w14:textId="0DAE6883" w:rsidR="005205A1" w:rsidRPr="00460565" w:rsidRDefault="005205A1" w:rsidP="00B81144">
            <w:pPr>
              <w:jc w:val="right"/>
              <w:rPr>
                <w:rFonts w:eastAsia="Times New Roman"/>
                <w:color w:val="222222"/>
              </w:rPr>
            </w:pPr>
            <w:r w:rsidRPr="00460565">
              <w:rPr>
                <w:rFonts w:eastAsia="Times New Roman"/>
                <w:color w:val="222222"/>
              </w:rPr>
              <w:t>03B</w:t>
            </w:r>
          </w:p>
        </w:tc>
        <w:tc>
          <w:tcPr>
            <w:tcW w:w="3051" w:type="dxa"/>
            <w:noWrap/>
            <w:hideMark/>
          </w:tcPr>
          <w:p w14:paraId="468C4782" w14:textId="76EC1DF6" w:rsidR="005205A1" w:rsidRPr="00460565" w:rsidRDefault="00E83A43" w:rsidP="00B81144">
            <w:pPr>
              <w:rPr>
                <w:rFonts w:eastAsia="Times New Roman"/>
                <w:color w:val="222222"/>
              </w:rPr>
            </w:pPr>
            <w:r>
              <w:rPr>
                <w:rFonts w:eastAsia="Times New Roman"/>
                <w:color w:val="222222"/>
              </w:rPr>
              <w:t>Re-elect Jim Joyce</w:t>
            </w:r>
          </w:p>
        </w:tc>
        <w:tc>
          <w:tcPr>
            <w:tcW w:w="1214" w:type="dxa"/>
          </w:tcPr>
          <w:p w14:paraId="0EA02E9B"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3228A4C2"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5C458602"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7232EB44"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2678892A"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7932D4AA"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79359A55" w14:textId="77777777" w:rsidTr="00A65978">
        <w:trPr>
          <w:trHeight w:val="205"/>
        </w:trPr>
        <w:tc>
          <w:tcPr>
            <w:tcW w:w="687" w:type="dxa"/>
          </w:tcPr>
          <w:p w14:paraId="089F82C7" w14:textId="5B46654B" w:rsidR="005205A1" w:rsidRPr="00460565" w:rsidRDefault="005205A1" w:rsidP="00B81144">
            <w:pPr>
              <w:jc w:val="right"/>
              <w:rPr>
                <w:rFonts w:eastAsia="Times New Roman"/>
                <w:color w:val="222222"/>
              </w:rPr>
            </w:pPr>
            <w:r w:rsidRPr="00460565">
              <w:rPr>
                <w:rFonts w:eastAsia="Times New Roman"/>
                <w:color w:val="222222"/>
              </w:rPr>
              <w:t>03C</w:t>
            </w:r>
          </w:p>
        </w:tc>
        <w:tc>
          <w:tcPr>
            <w:tcW w:w="3051" w:type="dxa"/>
            <w:noWrap/>
            <w:hideMark/>
          </w:tcPr>
          <w:p w14:paraId="6A68BC18" w14:textId="36A8E30F" w:rsidR="005205A1" w:rsidRPr="00460565" w:rsidRDefault="00E83A43" w:rsidP="00B81144">
            <w:pPr>
              <w:rPr>
                <w:rFonts w:eastAsia="Times New Roman"/>
                <w:color w:val="222222"/>
              </w:rPr>
            </w:pPr>
            <w:r>
              <w:rPr>
                <w:rFonts w:eastAsia="Times New Roman"/>
                <w:color w:val="222222"/>
              </w:rPr>
              <w:t>Re-elect Laurence Flavin</w:t>
            </w:r>
          </w:p>
        </w:tc>
        <w:tc>
          <w:tcPr>
            <w:tcW w:w="1214" w:type="dxa"/>
          </w:tcPr>
          <w:p w14:paraId="4F04E093"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09284AE9"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69CE8883"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3357E873"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4E7D5BF8"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3A3E0AEB"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76A3120D" w14:textId="77777777" w:rsidTr="00A65978">
        <w:trPr>
          <w:trHeight w:val="205"/>
        </w:trPr>
        <w:tc>
          <w:tcPr>
            <w:tcW w:w="687" w:type="dxa"/>
          </w:tcPr>
          <w:p w14:paraId="186E9B3A" w14:textId="081B971C" w:rsidR="005205A1" w:rsidRPr="00460565" w:rsidRDefault="005205A1" w:rsidP="00B81144">
            <w:pPr>
              <w:jc w:val="right"/>
              <w:rPr>
                <w:rFonts w:eastAsia="Times New Roman"/>
                <w:color w:val="222222"/>
              </w:rPr>
            </w:pPr>
            <w:r w:rsidRPr="00460565">
              <w:rPr>
                <w:rFonts w:eastAsia="Times New Roman"/>
                <w:color w:val="222222"/>
              </w:rPr>
              <w:t>03D</w:t>
            </w:r>
          </w:p>
        </w:tc>
        <w:tc>
          <w:tcPr>
            <w:tcW w:w="3051" w:type="dxa"/>
            <w:noWrap/>
            <w:hideMark/>
          </w:tcPr>
          <w:p w14:paraId="6645CCB8" w14:textId="2580CCCA" w:rsidR="005205A1" w:rsidRPr="00460565" w:rsidRDefault="00E83A43" w:rsidP="00B81144">
            <w:pPr>
              <w:rPr>
                <w:rFonts w:eastAsia="Times New Roman"/>
                <w:color w:val="222222"/>
              </w:rPr>
            </w:pPr>
            <w:r>
              <w:rPr>
                <w:rFonts w:eastAsia="Times New Roman"/>
                <w:color w:val="222222"/>
              </w:rPr>
              <w:t xml:space="preserve">Re-elect Mary </w:t>
            </w:r>
            <w:proofErr w:type="spellStart"/>
            <w:r>
              <w:rPr>
                <w:rFonts w:eastAsia="Times New Roman"/>
                <w:color w:val="222222"/>
              </w:rPr>
              <w:t>Harney</w:t>
            </w:r>
            <w:proofErr w:type="spellEnd"/>
          </w:p>
        </w:tc>
        <w:tc>
          <w:tcPr>
            <w:tcW w:w="1214" w:type="dxa"/>
          </w:tcPr>
          <w:p w14:paraId="1ECBA814" w14:textId="77777777" w:rsidR="005205A1" w:rsidRPr="00460565" w:rsidRDefault="005205A1" w:rsidP="00B81144">
            <w:pPr>
              <w:jc w:val="center"/>
              <w:rPr>
                <w:rFonts w:eastAsia="Times New Roman"/>
                <w:color w:val="222222"/>
              </w:rPr>
            </w:pPr>
            <w:r w:rsidRPr="00460565">
              <w:rPr>
                <w:rFonts w:eastAsia="Times New Roman"/>
                <w:color w:val="222222"/>
              </w:rPr>
              <w:t>9,584,386</w:t>
            </w:r>
          </w:p>
        </w:tc>
        <w:tc>
          <w:tcPr>
            <w:tcW w:w="1134" w:type="dxa"/>
            <w:noWrap/>
            <w:hideMark/>
          </w:tcPr>
          <w:p w14:paraId="05FBDD10" w14:textId="77777777" w:rsidR="005205A1" w:rsidRPr="00460565" w:rsidRDefault="005205A1" w:rsidP="00B81144">
            <w:pPr>
              <w:jc w:val="center"/>
              <w:rPr>
                <w:rFonts w:eastAsia="Times New Roman"/>
                <w:color w:val="222222"/>
              </w:rPr>
            </w:pPr>
            <w:r w:rsidRPr="00460565">
              <w:rPr>
                <w:rFonts w:eastAsia="Times New Roman"/>
                <w:color w:val="222222"/>
              </w:rPr>
              <w:t>9,584,386</w:t>
            </w:r>
          </w:p>
        </w:tc>
        <w:tc>
          <w:tcPr>
            <w:tcW w:w="1134" w:type="dxa"/>
            <w:noWrap/>
            <w:hideMark/>
          </w:tcPr>
          <w:p w14:paraId="2A5C6177"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3513E3FA"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571DCE2D"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2D7B84D1"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73FDB94D" w14:textId="77777777" w:rsidTr="00A65978">
        <w:trPr>
          <w:trHeight w:val="205"/>
        </w:trPr>
        <w:tc>
          <w:tcPr>
            <w:tcW w:w="687" w:type="dxa"/>
          </w:tcPr>
          <w:p w14:paraId="68F86B8A" w14:textId="593D1D06" w:rsidR="005205A1" w:rsidRPr="00460565" w:rsidRDefault="005205A1" w:rsidP="00B81144">
            <w:pPr>
              <w:jc w:val="right"/>
              <w:rPr>
                <w:rFonts w:eastAsia="Times New Roman"/>
                <w:color w:val="222222"/>
              </w:rPr>
            </w:pPr>
            <w:r w:rsidRPr="00460565">
              <w:rPr>
                <w:rFonts w:eastAsia="Times New Roman"/>
                <w:color w:val="222222"/>
              </w:rPr>
              <w:t>03E</w:t>
            </w:r>
          </w:p>
        </w:tc>
        <w:tc>
          <w:tcPr>
            <w:tcW w:w="3051" w:type="dxa"/>
            <w:noWrap/>
            <w:hideMark/>
          </w:tcPr>
          <w:p w14:paraId="1D427FDA" w14:textId="4F4F6FB1" w:rsidR="005205A1" w:rsidRPr="00460565" w:rsidRDefault="00E83A43" w:rsidP="00B81144">
            <w:pPr>
              <w:rPr>
                <w:rFonts w:eastAsia="Times New Roman"/>
                <w:color w:val="222222"/>
              </w:rPr>
            </w:pPr>
            <w:r>
              <w:rPr>
                <w:rFonts w:eastAsia="Times New Roman"/>
                <w:color w:val="222222"/>
              </w:rPr>
              <w:t>Re-elect Rebecca Shanahan</w:t>
            </w:r>
          </w:p>
        </w:tc>
        <w:tc>
          <w:tcPr>
            <w:tcW w:w="1214" w:type="dxa"/>
          </w:tcPr>
          <w:p w14:paraId="1B2F8532"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09158F15"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1B1EC9C9"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072FDD7E"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5250EA76"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053F99D8"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5D356C0D" w14:textId="77777777" w:rsidTr="00A65978">
        <w:trPr>
          <w:trHeight w:val="205"/>
        </w:trPr>
        <w:tc>
          <w:tcPr>
            <w:tcW w:w="687" w:type="dxa"/>
          </w:tcPr>
          <w:p w14:paraId="67BAA3E6" w14:textId="357CAA00" w:rsidR="005205A1" w:rsidRPr="00460565" w:rsidRDefault="005205A1" w:rsidP="00B81144">
            <w:pPr>
              <w:jc w:val="right"/>
              <w:rPr>
                <w:rFonts w:eastAsia="Times New Roman"/>
                <w:color w:val="222222"/>
              </w:rPr>
            </w:pPr>
            <w:r w:rsidRPr="00460565">
              <w:rPr>
                <w:rFonts w:eastAsia="Times New Roman"/>
                <w:color w:val="222222"/>
              </w:rPr>
              <w:t>03F</w:t>
            </w:r>
          </w:p>
        </w:tc>
        <w:tc>
          <w:tcPr>
            <w:tcW w:w="3051" w:type="dxa"/>
            <w:noWrap/>
            <w:hideMark/>
          </w:tcPr>
          <w:p w14:paraId="7E2EA22A" w14:textId="0A928D88" w:rsidR="005205A1" w:rsidRPr="00460565" w:rsidRDefault="00E83A43" w:rsidP="00B81144">
            <w:pPr>
              <w:rPr>
                <w:rFonts w:eastAsia="Times New Roman"/>
                <w:color w:val="222222"/>
              </w:rPr>
            </w:pPr>
            <w:r>
              <w:rPr>
                <w:rFonts w:eastAsia="Times New Roman"/>
                <w:color w:val="222222"/>
              </w:rPr>
              <w:t>Re-elect Orla O’Gorman</w:t>
            </w:r>
          </w:p>
        </w:tc>
        <w:tc>
          <w:tcPr>
            <w:tcW w:w="1214" w:type="dxa"/>
          </w:tcPr>
          <w:p w14:paraId="5E102FE0"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2E097FB7"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3D755311"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590086DF"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0442EEBC"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16CD4DFC"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2D4692B0" w14:textId="77777777" w:rsidTr="00A65978">
        <w:trPr>
          <w:trHeight w:val="205"/>
        </w:trPr>
        <w:tc>
          <w:tcPr>
            <w:tcW w:w="687" w:type="dxa"/>
          </w:tcPr>
          <w:p w14:paraId="657F0EB4" w14:textId="334C517B" w:rsidR="005205A1" w:rsidRPr="00460565" w:rsidRDefault="005205A1" w:rsidP="00B81144">
            <w:pPr>
              <w:jc w:val="right"/>
              <w:rPr>
                <w:rFonts w:eastAsia="Times New Roman"/>
                <w:color w:val="222222"/>
              </w:rPr>
            </w:pPr>
            <w:r w:rsidRPr="00460565">
              <w:rPr>
                <w:rFonts w:eastAsia="Times New Roman"/>
                <w:color w:val="222222"/>
              </w:rPr>
              <w:t>04</w:t>
            </w:r>
          </w:p>
        </w:tc>
        <w:tc>
          <w:tcPr>
            <w:tcW w:w="3051" w:type="dxa"/>
            <w:noWrap/>
            <w:hideMark/>
          </w:tcPr>
          <w:p w14:paraId="56640361" w14:textId="11DEA292" w:rsidR="005205A1" w:rsidRPr="00460565" w:rsidRDefault="00E83A43" w:rsidP="00B81144">
            <w:pPr>
              <w:rPr>
                <w:rFonts w:eastAsia="Times New Roman"/>
                <w:color w:val="222222"/>
              </w:rPr>
            </w:pPr>
            <w:r>
              <w:rPr>
                <w:rFonts w:eastAsia="Times New Roman"/>
                <w:color w:val="222222"/>
              </w:rPr>
              <w:t>Remuneration of auditors</w:t>
            </w:r>
          </w:p>
        </w:tc>
        <w:tc>
          <w:tcPr>
            <w:tcW w:w="1214" w:type="dxa"/>
          </w:tcPr>
          <w:p w14:paraId="55E280F8"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6D7A9709"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13013885"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30E210B9"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6BA84AD8"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324C1ECE"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269FBB29" w14:textId="77777777" w:rsidTr="00A65978">
        <w:trPr>
          <w:trHeight w:val="205"/>
        </w:trPr>
        <w:tc>
          <w:tcPr>
            <w:tcW w:w="687" w:type="dxa"/>
          </w:tcPr>
          <w:p w14:paraId="07763937" w14:textId="250F6813" w:rsidR="005205A1" w:rsidRPr="00460565" w:rsidRDefault="005205A1" w:rsidP="00B81144">
            <w:pPr>
              <w:jc w:val="right"/>
              <w:rPr>
                <w:rFonts w:eastAsia="Times New Roman"/>
                <w:color w:val="222222"/>
              </w:rPr>
            </w:pPr>
            <w:r w:rsidRPr="00460565">
              <w:rPr>
                <w:rFonts w:eastAsia="Times New Roman"/>
                <w:color w:val="222222"/>
              </w:rPr>
              <w:t>05</w:t>
            </w:r>
          </w:p>
        </w:tc>
        <w:tc>
          <w:tcPr>
            <w:tcW w:w="3051" w:type="dxa"/>
            <w:noWrap/>
            <w:hideMark/>
          </w:tcPr>
          <w:p w14:paraId="5D7DAD33" w14:textId="5B185ABF" w:rsidR="005205A1" w:rsidRPr="00460565" w:rsidRDefault="00E83A43" w:rsidP="00B81144">
            <w:pPr>
              <w:rPr>
                <w:rFonts w:eastAsia="Times New Roman"/>
                <w:color w:val="222222"/>
              </w:rPr>
            </w:pPr>
            <w:r>
              <w:rPr>
                <w:rFonts w:eastAsia="Times New Roman"/>
                <w:color w:val="222222"/>
              </w:rPr>
              <w:t>Authority to allot shares</w:t>
            </w:r>
          </w:p>
        </w:tc>
        <w:tc>
          <w:tcPr>
            <w:tcW w:w="1214" w:type="dxa"/>
          </w:tcPr>
          <w:p w14:paraId="396A5C8A"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406CD9E6"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2AF01623"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578DFE6D"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7D6680E6"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606BE792"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3ED1C28E" w14:textId="77777777" w:rsidTr="00A65978">
        <w:trPr>
          <w:trHeight w:val="205"/>
        </w:trPr>
        <w:tc>
          <w:tcPr>
            <w:tcW w:w="687" w:type="dxa"/>
          </w:tcPr>
          <w:p w14:paraId="58DBD5AE" w14:textId="505E33EB" w:rsidR="005205A1" w:rsidRPr="00460565" w:rsidRDefault="005205A1" w:rsidP="00B81144">
            <w:pPr>
              <w:jc w:val="right"/>
              <w:rPr>
                <w:rFonts w:eastAsia="Times New Roman"/>
                <w:color w:val="222222"/>
              </w:rPr>
            </w:pPr>
            <w:r w:rsidRPr="00460565">
              <w:rPr>
                <w:rFonts w:eastAsia="Times New Roman"/>
                <w:color w:val="222222"/>
              </w:rPr>
              <w:t>06</w:t>
            </w:r>
          </w:p>
        </w:tc>
        <w:tc>
          <w:tcPr>
            <w:tcW w:w="3051" w:type="dxa"/>
            <w:noWrap/>
            <w:hideMark/>
          </w:tcPr>
          <w:p w14:paraId="04A1607C" w14:textId="48FA92BD" w:rsidR="005205A1" w:rsidRPr="00460565" w:rsidRDefault="00E83A43" w:rsidP="00B81144">
            <w:pPr>
              <w:rPr>
                <w:rFonts w:eastAsia="Times New Roman"/>
                <w:color w:val="222222"/>
              </w:rPr>
            </w:pPr>
            <w:r>
              <w:rPr>
                <w:rFonts w:eastAsia="Times New Roman"/>
                <w:color w:val="222222"/>
              </w:rPr>
              <w:t>Adoption of LTIP</w:t>
            </w:r>
          </w:p>
        </w:tc>
        <w:tc>
          <w:tcPr>
            <w:tcW w:w="1214" w:type="dxa"/>
          </w:tcPr>
          <w:p w14:paraId="3DFF3A95"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03772F30" w14:textId="77777777" w:rsidR="005205A1" w:rsidRPr="00460565" w:rsidRDefault="005205A1" w:rsidP="00B81144">
            <w:pPr>
              <w:jc w:val="center"/>
              <w:rPr>
                <w:rFonts w:eastAsia="Times New Roman"/>
                <w:color w:val="222222"/>
              </w:rPr>
            </w:pPr>
            <w:r w:rsidRPr="00460565">
              <w:rPr>
                <w:rFonts w:eastAsia="Times New Roman"/>
                <w:color w:val="222222"/>
              </w:rPr>
              <w:t>9,445,114</w:t>
            </w:r>
          </w:p>
        </w:tc>
        <w:tc>
          <w:tcPr>
            <w:tcW w:w="1134" w:type="dxa"/>
            <w:noWrap/>
            <w:hideMark/>
          </w:tcPr>
          <w:p w14:paraId="0E59FBBD" w14:textId="77777777" w:rsidR="005205A1" w:rsidRPr="00460565" w:rsidRDefault="005205A1" w:rsidP="00B81144">
            <w:pPr>
              <w:jc w:val="center"/>
              <w:rPr>
                <w:rFonts w:eastAsia="Times New Roman"/>
                <w:color w:val="222222"/>
              </w:rPr>
            </w:pPr>
            <w:r w:rsidRPr="00460565">
              <w:rPr>
                <w:rFonts w:eastAsia="Times New Roman"/>
                <w:color w:val="222222"/>
              </w:rPr>
              <w:t>98.71%</w:t>
            </w:r>
          </w:p>
        </w:tc>
        <w:tc>
          <w:tcPr>
            <w:tcW w:w="992" w:type="dxa"/>
            <w:noWrap/>
            <w:hideMark/>
          </w:tcPr>
          <w:p w14:paraId="2D1B3716" w14:textId="77777777" w:rsidR="005205A1" w:rsidRPr="00460565" w:rsidRDefault="005205A1" w:rsidP="00B81144">
            <w:pPr>
              <w:jc w:val="center"/>
              <w:rPr>
                <w:rFonts w:eastAsia="Times New Roman"/>
                <w:color w:val="222222"/>
              </w:rPr>
            </w:pPr>
            <w:r w:rsidRPr="00460565">
              <w:rPr>
                <w:rFonts w:eastAsia="Times New Roman"/>
                <w:color w:val="222222"/>
              </w:rPr>
              <w:t>123,110</w:t>
            </w:r>
          </w:p>
        </w:tc>
        <w:tc>
          <w:tcPr>
            <w:tcW w:w="850" w:type="dxa"/>
            <w:noWrap/>
            <w:hideMark/>
          </w:tcPr>
          <w:p w14:paraId="081D0E07" w14:textId="77777777" w:rsidR="005205A1" w:rsidRPr="00460565" w:rsidRDefault="005205A1" w:rsidP="00B81144">
            <w:pPr>
              <w:jc w:val="center"/>
              <w:rPr>
                <w:rFonts w:eastAsia="Times New Roman"/>
                <w:color w:val="222222"/>
              </w:rPr>
            </w:pPr>
            <w:r w:rsidRPr="00460565">
              <w:rPr>
                <w:rFonts w:eastAsia="Times New Roman"/>
                <w:color w:val="222222"/>
              </w:rPr>
              <w:t>1.29%</w:t>
            </w:r>
          </w:p>
        </w:tc>
        <w:tc>
          <w:tcPr>
            <w:tcW w:w="993" w:type="dxa"/>
            <w:noWrap/>
            <w:hideMark/>
          </w:tcPr>
          <w:p w14:paraId="5DAFDD83"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5E9C434C" w14:textId="77777777" w:rsidTr="00A65978">
        <w:trPr>
          <w:trHeight w:val="205"/>
        </w:trPr>
        <w:tc>
          <w:tcPr>
            <w:tcW w:w="687" w:type="dxa"/>
          </w:tcPr>
          <w:p w14:paraId="1021A4DF" w14:textId="4FDC4ABB" w:rsidR="005205A1" w:rsidRPr="00460565" w:rsidRDefault="005205A1" w:rsidP="00B81144">
            <w:pPr>
              <w:jc w:val="right"/>
              <w:rPr>
                <w:rFonts w:eastAsia="Times New Roman"/>
                <w:color w:val="222222"/>
              </w:rPr>
            </w:pPr>
            <w:r w:rsidRPr="00460565">
              <w:rPr>
                <w:rFonts w:eastAsia="Times New Roman"/>
                <w:color w:val="222222"/>
              </w:rPr>
              <w:t>07</w:t>
            </w:r>
          </w:p>
        </w:tc>
        <w:tc>
          <w:tcPr>
            <w:tcW w:w="3051" w:type="dxa"/>
            <w:noWrap/>
            <w:hideMark/>
          </w:tcPr>
          <w:p w14:paraId="75BEA5F9" w14:textId="512BBB41" w:rsidR="005205A1" w:rsidRPr="00460565" w:rsidRDefault="00E83A43" w:rsidP="00B81144">
            <w:pPr>
              <w:rPr>
                <w:rFonts w:eastAsia="Times New Roman"/>
                <w:color w:val="222222"/>
              </w:rPr>
            </w:pPr>
            <w:r>
              <w:rPr>
                <w:rFonts w:eastAsia="Times New Roman"/>
                <w:color w:val="222222"/>
              </w:rPr>
              <w:t xml:space="preserve">Disapplication of pre-emption up to 5% </w:t>
            </w:r>
          </w:p>
        </w:tc>
        <w:tc>
          <w:tcPr>
            <w:tcW w:w="1214" w:type="dxa"/>
          </w:tcPr>
          <w:p w14:paraId="2DF22CAE"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3EA8E65A"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7099EE0C"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5C4E3D04"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4087A9A1"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2F8363E6"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0A1E55AB" w14:textId="77777777" w:rsidTr="00A65978">
        <w:trPr>
          <w:trHeight w:val="205"/>
        </w:trPr>
        <w:tc>
          <w:tcPr>
            <w:tcW w:w="687" w:type="dxa"/>
          </w:tcPr>
          <w:p w14:paraId="2BCEA529" w14:textId="15BB85DB" w:rsidR="005205A1" w:rsidRPr="00460565" w:rsidRDefault="005205A1" w:rsidP="00B81144">
            <w:pPr>
              <w:jc w:val="right"/>
              <w:rPr>
                <w:rFonts w:eastAsia="Times New Roman"/>
                <w:color w:val="222222"/>
              </w:rPr>
            </w:pPr>
            <w:r w:rsidRPr="00460565">
              <w:rPr>
                <w:rFonts w:eastAsia="Times New Roman"/>
                <w:color w:val="222222"/>
              </w:rPr>
              <w:t>08</w:t>
            </w:r>
          </w:p>
        </w:tc>
        <w:tc>
          <w:tcPr>
            <w:tcW w:w="3051" w:type="dxa"/>
            <w:noWrap/>
            <w:hideMark/>
          </w:tcPr>
          <w:p w14:paraId="31A2D49C" w14:textId="560AE2D9" w:rsidR="005205A1" w:rsidRPr="00460565" w:rsidRDefault="00E83A43" w:rsidP="00B81144">
            <w:pPr>
              <w:rPr>
                <w:rFonts w:eastAsia="Times New Roman"/>
                <w:color w:val="222222"/>
              </w:rPr>
            </w:pPr>
            <w:r>
              <w:rPr>
                <w:rFonts w:eastAsia="Times New Roman"/>
                <w:color w:val="222222"/>
              </w:rPr>
              <w:t>Disapplication of pre-emption up to an additional 5%</w:t>
            </w:r>
          </w:p>
        </w:tc>
        <w:tc>
          <w:tcPr>
            <w:tcW w:w="1214" w:type="dxa"/>
          </w:tcPr>
          <w:p w14:paraId="4EC33FC9"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3372D710"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57B160DF"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4ADE1F9B"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466F59EB"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38D979B1"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2409DEBC" w14:textId="77777777" w:rsidTr="00A65978">
        <w:trPr>
          <w:trHeight w:val="205"/>
        </w:trPr>
        <w:tc>
          <w:tcPr>
            <w:tcW w:w="687" w:type="dxa"/>
          </w:tcPr>
          <w:p w14:paraId="48C936D8" w14:textId="7AAD72D3" w:rsidR="005205A1" w:rsidRPr="00460565" w:rsidRDefault="005205A1" w:rsidP="00B81144">
            <w:pPr>
              <w:jc w:val="right"/>
              <w:rPr>
                <w:rFonts w:eastAsia="Times New Roman"/>
                <w:color w:val="222222"/>
              </w:rPr>
            </w:pPr>
            <w:r w:rsidRPr="00460565">
              <w:rPr>
                <w:rFonts w:eastAsia="Times New Roman"/>
                <w:color w:val="222222"/>
              </w:rPr>
              <w:t>09</w:t>
            </w:r>
          </w:p>
        </w:tc>
        <w:tc>
          <w:tcPr>
            <w:tcW w:w="3051" w:type="dxa"/>
            <w:noWrap/>
            <w:hideMark/>
          </w:tcPr>
          <w:p w14:paraId="6A49DF5F" w14:textId="6B1AFA3E" w:rsidR="005205A1" w:rsidRPr="00460565" w:rsidRDefault="00E83A43" w:rsidP="00B81144">
            <w:pPr>
              <w:rPr>
                <w:rFonts w:eastAsia="Times New Roman"/>
                <w:color w:val="222222"/>
              </w:rPr>
            </w:pPr>
            <w:r>
              <w:rPr>
                <w:rFonts w:eastAsia="Times New Roman"/>
                <w:color w:val="222222"/>
              </w:rPr>
              <w:t>Authority to purchase the Company’s ordinary shares</w:t>
            </w:r>
          </w:p>
        </w:tc>
        <w:tc>
          <w:tcPr>
            <w:tcW w:w="1214" w:type="dxa"/>
          </w:tcPr>
          <w:p w14:paraId="2F0B36B9"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5C3F30AC"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7F3B0BAD"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173BD9D8"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6E20FFD1"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0302F8A7" w14:textId="77777777" w:rsidR="005205A1" w:rsidRPr="00460565" w:rsidRDefault="005205A1" w:rsidP="00B81144">
            <w:pPr>
              <w:jc w:val="center"/>
              <w:rPr>
                <w:rFonts w:eastAsia="Times New Roman"/>
                <w:color w:val="222222"/>
              </w:rPr>
            </w:pPr>
            <w:r w:rsidRPr="00460565">
              <w:rPr>
                <w:rFonts w:eastAsia="Times New Roman"/>
                <w:color w:val="222222"/>
              </w:rPr>
              <w:t>-</w:t>
            </w:r>
          </w:p>
        </w:tc>
      </w:tr>
      <w:tr w:rsidR="005205A1" w:rsidRPr="00460565" w14:paraId="08117828" w14:textId="77777777" w:rsidTr="00A65978">
        <w:trPr>
          <w:trHeight w:val="205"/>
        </w:trPr>
        <w:tc>
          <w:tcPr>
            <w:tcW w:w="687" w:type="dxa"/>
          </w:tcPr>
          <w:p w14:paraId="29B29164" w14:textId="04FF0474" w:rsidR="005205A1" w:rsidRPr="00460565" w:rsidRDefault="005205A1" w:rsidP="00B81144">
            <w:pPr>
              <w:jc w:val="right"/>
              <w:rPr>
                <w:rFonts w:eastAsia="Times New Roman"/>
                <w:color w:val="222222"/>
              </w:rPr>
            </w:pPr>
            <w:r w:rsidRPr="00460565">
              <w:rPr>
                <w:rFonts w:eastAsia="Times New Roman"/>
                <w:color w:val="222222"/>
              </w:rPr>
              <w:t>10</w:t>
            </w:r>
          </w:p>
        </w:tc>
        <w:tc>
          <w:tcPr>
            <w:tcW w:w="3051" w:type="dxa"/>
            <w:noWrap/>
            <w:hideMark/>
          </w:tcPr>
          <w:p w14:paraId="4280718F" w14:textId="465A8738" w:rsidR="005205A1" w:rsidRPr="00460565" w:rsidRDefault="00E83A43" w:rsidP="00B81144">
            <w:pPr>
              <w:rPr>
                <w:rFonts w:eastAsia="Times New Roman"/>
                <w:color w:val="222222"/>
              </w:rPr>
            </w:pPr>
            <w:r>
              <w:rPr>
                <w:rFonts w:eastAsia="Times New Roman"/>
                <w:color w:val="222222"/>
              </w:rPr>
              <w:t>Authority to re-issue treasury shares</w:t>
            </w:r>
          </w:p>
        </w:tc>
        <w:tc>
          <w:tcPr>
            <w:tcW w:w="1214" w:type="dxa"/>
          </w:tcPr>
          <w:p w14:paraId="549158AF"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67041454" w14:textId="77777777" w:rsidR="005205A1" w:rsidRPr="00460565" w:rsidRDefault="005205A1" w:rsidP="00B81144">
            <w:pPr>
              <w:jc w:val="center"/>
              <w:rPr>
                <w:rFonts w:eastAsia="Times New Roman"/>
                <w:color w:val="222222"/>
              </w:rPr>
            </w:pPr>
            <w:r w:rsidRPr="00460565">
              <w:rPr>
                <w:rFonts w:eastAsia="Times New Roman"/>
                <w:color w:val="222222"/>
              </w:rPr>
              <w:t>9,568,224</w:t>
            </w:r>
          </w:p>
        </w:tc>
        <w:tc>
          <w:tcPr>
            <w:tcW w:w="1134" w:type="dxa"/>
            <w:noWrap/>
            <w:hideMark/>
          </w:tcPr>
          <w:p w14:paraId="228CC3CB" w14:textId="77777777" w:rsidR="005205A1" w:rsidRPr="00460565" w:rsidRDefault="005205A1" w:rsidP="00B81144">
            <w:pPr>
              <w:jc w:val="center"/>
              <w:rPr>
                <w:rFonts w:eastAsia="Times New Roman"/>
                <w:color w:val="222222"/>
              </w:rPr>
            </w:pPr>
            <w:r w:rsidRPr="00460565">
              <w:rPr>
                <w:rFonts w:eastAsia="Times New Roman"/>
                <w:color w:val="222222"/>
              </w:rPr>
              <w:t>100.00%</w:t>
            </w:r>
          </w:p>
        </w:tc>
        <w:tc>
          <w:tcPr>
            <w:tcW w:w="992" w:type="dxa"/>
            <w:noWrap/>
            <w:hideMark/>
          </w:tcPr>
          <w:p w14:paraId="0D3FFE18" w14:textId="77777777" w:rsidR="005205A1" w:rsidRPr="00460565" w:rsidRDefault="005205A1" w:rsidP="00B81144">
            <w:pPr>
              <w:jc w:val="center"/>
              <w:rPr>
                <w:rFonts w:eastAsia="Times New Roman"/>
                <w:color w:val="222222"/>
              </w:rPr>
            </w:pPr>
            <w:r w:rsidRPr="00460565">
              <w:rPr>
                <w:rFonts w:eastAsia="Times New Roman"/>
                <w:color w:val="222222"/>
              </w:rPr>
              <w:t>-</w:t>
            </w:r>
          </w:p>
        </w:tc>
        <w:tc>
          <w:tcPr>
            <w:tcW w:w="850" w:type="dxa"/>
            <w:noWrap/>
            <w:hideMark/>
          </w:tcPr>
          <w:p w14:paraId="6B038CCC" w14:textId="77777777" w:rsidR="005205A1" w:rsidRPr="00460565" w:rsidRDefault="005205A1" w:rsidP="00B81144">
            <w:pPr>
              <w:jc w:val="center"/>
              <w:rPr>
                <w:rFonts w:eastAsia="Times New Roman"/>
                <w:color w:val="222222"/>
              </w:rPr>
            </w:pPr>
            <w:r w:rsidRPr="00460565">
              <w:rPr>
                <w:rFonts w:eastAsia="Times New Roman"/>
                <w:color w:val="222222"/>
              </w:rPr>
              <w:t>0.00%</w:t>
            </w:r>
          </w:p>
        </w:tc>
        <w:tc>
          <w:tcPr>
            <w:tcW w:w="993" w:type="dxa"/>
            <w:noWrap/>
            <w:hideMark/>
          </w:tcPr>
          <w:p w14:paraId="023D6327" w14:textId="77777777" w:rsidR="005205A1" w:rsidRPr="00460565" w:rsidRDefault="005205A1" w:rsidP="00B81144">
            <w:pPr>
              <w:jc w:val="center"/>
              <w:rPr>
                <w:rFonts w:eastAsia="Times New Roman"/>
                <w:color w:val="222222"/>
              </w:rPr>
            </w:pPr>
            <w:r w:rsidRPr="00460565">
              <w:rPr>
                <w:rFonts w:eastAsia="Times New Roman"/>
                <w:color w:val="222222"/>
              </w:rPr>
              <w:t>-</w:t>
            </w:r>
          </w:p>
        </w:tc>
      </w:tr>
    </w:tbl>
    <w:p w14:paraId="153E277E" w14:textId="77777777" w:rsidR="007110CC" w:rsidRPr="00C14C28" w:rsidRDefault="00D53EC1" w:rsidP="00FA042C">
      <w:pPr>
        <w:pStyle w:val="BodyText"/>
        <w:kinsoku w:val="0"/>
        <w:overflowPunct w:val="0"/>
        <w:spacing w:before="200"/>
        <w:ind w:left="0"/>
        <w:jc w:val="both"/>
        <w:rPr>
          <w:sz w:val="22"/>
          <w:szCs w:val="22"/>
        </w:rPr>
      </w:pPr>
      <w:r w:rsidRPr="00C14C28">
        <w:rPr>
          <w:sz w:val="22"/>
          <w:szCs w:val="22"/>
        </w:rPr>
        <w:t>For further information,</w:t>
      </w:r>
      <w:r w:rsidRPr="00C14C28">
        <w:rPr>
          <w:spacing w:val="-15"/>
          <w:sz w:val="22"/>
          <w:szCs w:val="22"/>
        </w:rPr>
        <w:t xml:space="preserve"> </w:t>
      </w:r>
      <w:r w:rsidRPr="00C14C28">
        <w:rPr>
          <w:sz w:val="22"/>
          <w:szCs w:val="22"/>
        </w:rPr>
        <w:t>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C14C28" w:rsidRPr="00C14C28" w14:paraId="49C5C389" w14:textId="77777777" w:rsidTr="00B81144">
        <w:tc>
          <w:tcPr>
            <w:tcW w:w="5103" w:type="dxa"/>
          </w:tcPr>
          <w:p w14:paraId="33D3895B" w14:textId="77777777" w:rsidR="00C14C28" w:rsidRPr="00C14C28" w:rsidRDefault="00C14C28" w:rsidP="00C14C28">
            <w:pPr>
              <w:widowControl/>
              <w:autoSpaceDE/>
              <w:autoSpaceDN/>
              <w:adjustRightInd/>
              <w:jc w:val="both"/>
              <w:rPr>
                <w:rFonts w:cs="Times New Roman"/>
                <w:b/>
                <w:bCs/>
              </w:rPr>
            </w:pPr>
            <w:r w:rsidRPr="00C14C28">
              <w:rPr>
                <w:rFonts w:cs="Times New Roman"/>
                <w:b/>
                <w:bCs/>
              </w:rPr>
              <w:t>Enquiries:</w:t>
            </w:r>
          </w:p>
          <w:p w14:paraId="55493BAD" w14:textId="77777777" w:rsidR="00C14C28" w:rsidRPr="00C14C28" w:rsidRDefault="00C14C28" w:rsidP="00C14C28">
            <w:pPr>
              <w:widowControl/>
              <w:autoSpaceDE/>
              <w:autoSpaceDN/>
              <w:adjustRightInd/>
              <w:jc w:val="both"/>
              <w:rPr>
                <w:rFonts w:cs="Times New Roman"/>
              </w:rPr>
            </w:pPr>
          </w:p>
        </w:tc>
        <w:tc>
          <w:tcPr>
            <w:tcW w:w="3913" w:type="dxa"/>
          </w:tcPr>
          <w:p w14:paraId="758350F5" w14:textId="77777777" w:rsidR="00C14C28" w:rsidRPr="00C14C28" w:rsidRDefault="00C14C28" w:rsidP="00C14C28">
            <w:pPr>
              <w:widowControl/>
              <w:autoSpaceDE/>
              <w:autoSpaceDN/>
              <w:adjustRightInd/>
              <w:jc w:val="both"/>
              <w:rPr>
                <w:rFonts w:cs="Times New Roman"/>
                <w:b/>
                <w:bCs/>
                <w:lang w:val="en-GB"/>
              </w:rPr>
            </w:pPr>
          </w:p>
        </w:tc>
      </w:tr>
      <w:tr w:rsidR="00C14C28" w:rsidRPr="00C14C28" w14:paraId="74752D64" w14:textId="77777777" w:rsidTr="00B81144">
        <w:tc>
          <w:tcPr>
            <w:tcW w:w="5103" w:type="dxa"/>
          </w:tcPr>
          <w:p w14:paraId="42EB346A" w14:textId="77777777" w:rsidR="00C14C28" w:rsidRPr="00C14C28" w:rsidRDefault="00C14C28" w:rsidP="00C14C28">
            <w:pPr>
              <w:widowControl/>
              <w:autoSpaceDE/>
              <w:autoSpaceDN/>
              <w:adjustRightInd/>
              <w:jc w:val="both"/>
              <w:rPr>
                <w:rFonts w:cs="Times New Roman"/>
                <w:b/>
                <w:bCs/>
              </w:rPr>
            </w:pPr>
            <w:r w:rsidRPr="00C14C28">
              <w:rPr>
                <w:rFonts w:cs="Times New Roman"/>
                <w:b/>
                <w:bCs/>
              </w:rPr>
              <w:t>HealthBeacon:</w:t>
            </w:r>
          </w:p>
          <w:p w14:paraId="54469196" w14:textId="77777777" w:rsidR="00C14C28" w:rsidRPr="00C14C28" w:rsidRDefault="00C14C28" w:rsidP="00C14C28">
            <w:pPr>
              <w:widowControl/>
              <w:autoSpaceDE/>
              <w:autoSpaceDN/>
              <w:adjustRightInd/>
              <w:jc w:val="both"/>
              <w:rPr>
                <w:rFonts w:cs="Times New Roman"/>
              </w:rPr>
            </w:pPr>
            <w:r w:rsidRPr="00C14C28">
              <w:rPr>
                <w:rFonts w:cs="Times New Roman"/>
              </w:rPr>
              <w:t>Laurence Flavin</w:t>
            </w:r>
          </w:p>
          <w:p w14:paraId="324C017B" w14:textId="77777777" w:rsidR="00C14C28" w:rsidRPr="00C14C28" w:rsidRDefault="00C14C28" w:rsidP="00C14C28">
            <w:pPr>
              <w:widowControl/>
              <w:autoSpaceDE/>
              <w:autoSpaceDN/>
              <w:adjustRightInd/>
              <w:jc w:val="both"/>
              <w:rPr>
                <w:rFonts w:cs="Times New Roman"/>
                <w:b/>
                <w:bCs/>
                <w:lang w:val="en-GB"/>
              </w:rPr>
            </w:pPr>
          </w:p>
        </w:tc>
        <w:tc>
          <w:tcPr>
            <w:tcW w:w="3913" w:type="dxa"/>
          </w:tcPr>
          <w:p w14:paraId="28E1AB4B" w14:textId="108DCCD1" w:rsidR="00C14C28" w:rsidRPr="00C14C28" w:rsidRDefault="00C14C28" w:rsidP="00C14C28">
            <w:pPr>
              <w:widowControl/>
              <w:autoSpaceDE/>
              <w:autoSpaceDN/>
              <w:adjustRightInd/>
              <w:jc w:val="both"/>
              <w:rPr>
                <w:rFonts w:cs="Times New Roman"/>
                <w:b/>
                <w:bCs/>
                <w:lang w:val="en-GB"/>
              </w:rPr>
            </w:pPr>
            <w:r>
              <w:rPr>
                <w:rFonts w:cs="Times New Roman"/>
                <w:color w:val="0563C1"/>
                <w:u w:val="single"/>
              </w:rPr>
              <w:t>Company.Secretary@HealthBeacon.com</w:t>
            </w:r>
          </w:p>
        </w:tc>
      </w:tr>
      <w:tr w:rsidR="00C14C28" w:rsidRPr="00C14C28" w14:paraId="16338DA4" w14:textId="77777777" w:rsidTr="00B81144">
        <w:tc>
          <w:tcPr>
            <w:tcW w:w="5103" w:type="dxa"/>
          </w:tcPr>
          <w:p w14:paraId="4E5B4AAA" w14:textId="3F2FB0BA" w:rsidR="00C14C28" w:rsidRPr="00C14C28" w:rsidRDefault="00C14C28" w:rsidP="00C14C28">
            <w:pPr>
              <w:widowControl/>
              <w:autoSpaceDE/>
              <w:autoSpaceDN/>
              <w:adjustRightInd/>
              <w:jc w:val="both"/>
              <w:rPr>
                <w:rFonts w:cs="Times New Roman"/>
                <w:b/>
                <w:bCs/>
              </w:rPr>
            </w:pPr>
            <w:r w:rsidRPr="00C14C28">
              <w:rPr>
                <w:rFonts w:cs="Times New Roman"/>
                <w:b/>
                <w:bCs/>
              </w:rPr>
              <w:t>Goodbody (Euronext Listing Sponsor and Broker):</w:t>
            </w:r>
          </w:p>
          <w:p w14:paraId="1F4C46FC"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rPr>
              <w:t xml:space="preserve">David Kearney </w:t>
            </w:r>
          </w:p>
        </w:tc>
        <w:tc>
          <w:tcPr>
            <w:tcW w:w="3913" w:type="dxa"/>
          </w:tcPr>
          <w:p w14:paraId="4C4BE240"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rPr>
              <w:t>+353 (1) 667 0420</w:t>
            </w:r>
          </w:p>
        </w:tc>
      </w:tr>
      <w:tr w:rsidR="00C14C28" w:rsidRPr="00C14C28" w14:paraId="31F091F2" w14:textId="77777777" w:rsidTr="00B81144">
        <w:tc>
          <w:tcPr>
            <w:tcW w:w="5103" w:type="dxa"/>
          </w:tcPr>
          <w:p w14:paraId="52CD7EA1"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rPr>
              <w:t xml:space="preserve">Stephen Kane </w:t>
            </w:r>
          </w:p>
        </w:tc>
        <w:tc>
          <w:tcPr>
            <w:tcW w:w="3913" w:type="dxa"/>
          </w:tcPr>
          <w:p w14:paraId="307FCD37" w14:textId="77777777" w:rsidR="00C14C28" w:rsidRPr="00C14C28" w:rsidRDefault="00C14C28" w:rsidP="00C14C28">
            <w:pPr>
              <w:widowControl/>
              <w:autoSpaceDE/>
              <w:autoSpaceDN/>
              <w:adjustRightInd/>
              <w:jc w:val="both"/>
              <w:rPr>
                <w:rFonts w:cs="Times New Roman"/>
                <w:b/>
                <w:bCs/>
                <w:lang w:val="en-GB"/>
              </w:rPr>
            </w:pPr>
          </w:p>
        </w:tc>
      </w:tr>
      <w:tr w:rsidR="00C14C28" w:rsidRPr="00C14C28" w14:paraId="46ABA6AE" w14:textId="77777777" w:rsidTr="00B81144">
        <w:tc>
          <w:tcPr>
            <w:tcW w:w="5103" w:type="dxa"/>
          </w:tcPr>
          <w:p w14:paraId="751BB805" w14:textId="77777777" w:rsidR="00C14C28" w:rsidRPr="00C14C28" w:rsidRDefault="00C14C28" w:rsidP="00C14C28">
            <w:pPr>
              <w:widowControl/>
              <w:autoSpaceDE/>
              <w:autoSpaceDN/>
              <w:adjustRightInd/>
              <w:jc w:val="both"/>
              <w:rPr>
                <w:rFonts w:cs="Times New Roman"/>
                <w:b/>
                <w:bCs/>
              </w:rPr>
            </w:pPr>
          </w:p>
          <w:p w14:paraId="436F801E"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b/>
                <w:bCs/>
              </w:rPr>
              <w:t>Drury (Public Relations):</w:t>
            </w:r>
          </w:p>
        </w:tc>
        <w:tc>
          <w:tcPr>
            <w:tcW w:w="3913" w:type="dxa"/>
          </w:tcPr>
          <w:p w14:paraId="2792D2BF" w14:textId="77777777" w:rsidR="00C14C28" w:rsidRPr="00C14C28" w:rsidRDefault="00C14C28" w:rsidP="00C14C28">
            <w:pPr>
              <w:widowControl/>
              <w:autoSpaceDE/>
              <w:autoSpaceDN/>
              <w:adjustRightInd/>
              <w:jc w:val="both"/>
              <w:rPr>
                <w:rFonts w:cs="Times New Roman"/>
                <w:b/>
                <w:bCs/>
                <w:lang w:val="en-GB"/>
              </w:rPr>
            </w:pPr>
          </w:p>
        </w:tc>
      </w:tr>
      <w:tr w:rsidR="00C14C28" w:rsidRPr="00C14C28" w14:paraId="2047FE7B" w14:textId="77777777" w:rsidTr="00B81144">
        <w:tc>
          <w:tcPr>
            <w:tcW w:w="5103" w:type="dxa"/>
          </w:tcPr>
          <w:p w14:paraId="42262B04"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rPr>
              <w:t>Billy Murphy</w:t>
            </w:r>
          </w:p>
        </w:tc>
        <w:tc>
          <w:tcPr>
            <w:tcW w:w="3913" w:type="dxa"/>
          </w:tcPr>
          <w:p w14:paraId="4D4D0F12"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rPr>
              <w:t>+353 (0) 87 231 3085</w:t>
            </w:r>
          </w:p>
        </w:tc>
      </w:tr>
      <w:tr w:rsidR="00C14C28" w:rsidRPr="00C14C28" w14:paraId="18783E10" w14:textId="77777777" w:rsidTr="00B81144">
        <w:tc>
          <w:tcPr>
            <w:tcW w:w="5103" w:type="dxa"/>
          </w:tcPr>
          <w:p w14:paraId="04FA7F77"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rPr>
              <w:t>Cathal Barry</w:t>
            </w:r>
          </w:p>
        </w:tc>
        <w:tc>
          <w:tcPr>
            <w:tcW w:w="3913" w:type="dxa"/>
          </w:tcPr>
          <w:p w14:paraId="18F8B659" w14:textId="77777777" w:rsidR="00C14C28" w:rsidRPr="00C14C28" w:rsidRDefault="00C14C28" w:rsidP="00C14C28">
            <w:pPr>
              <w:widowControl/>
              <w:autoSpaceDE/>
              <w:autoSpaceDN/>
              <w:adjustRightInd/>
              <w:jc w:val="both"/>
              <w:rPr>
                <w:rFonts w:cs="Times New Roman"/>
                <w:b/>
                <w:bCs/>
                <w:lang w:val="en-GB"/>
              </w:rPr>
            </w:pPr>
            <w:r w:rsidRPr="00C14C28">
              <w:rPr>
                <w:rFonts w:cs="Times New Roman"/>
              </w:rPr>
              <w:t>+353 (0) 87 227 9281</w:t>
            </w:r>
          </w:p>
        </w:tc>
      </w:tr>
    </w:tbl>
    <w:p w14:paraId="3DEB7090" w14:textId="77777777" w:rsidR="007110CC" w:rsidRPr="00C14C28" w:rsidRDefault="007110CC">
      <w:pPr>
        <w:pStyle w:val="BodyText"/>
        <w:kinsoku w:val="0"/>
        <w:overflowPunct w:val="0"/>
        <w:spacing w:before="11"/>
        <w:ind w:left="0"/>
        <w:rPr>
          <w:sz w:val="22"/>
          <w:szCs w:val="22"/>
        </w:rPr>
      </w:pPr>
    </w:p>
    <w:p w14:paraId="0C4A0E7F" w14:textId="77777777" w:rsidR="007110CC" w:rsidRPr="00C14C28" w:rsidRDefault="00D53EC1">
      <w:pPr>
        <w:pStyle w:val="Heading1"/>
        <w:kinsoku w:val="0"/>
        <w:overflowPunct w:val="0"/>
        <w:jc w:val="both"/>
        <w:rPr>
          <w:sz w:val="22"/>
          <w:szCs w:val="22"/>
        </w:rPr>
      </w:pPr>
      <w:r w:rsidRPr="00C14C28">
        <w:rPr>
          <w:sz w:val="22"/>
          <w:szCs w:val="22"/>
        </w:rPr>
        <w:t>About</w:t>
      </w:r>
      <w:r w:rsidRPr="00C14C28">
        <w:rPr>
          <w:spacing w:val="-9"/>
          <w:sz w:val="22"/>
          <w:szCs w:val="22"/>
        </w:rPr>
        <w:t xml:space="preserve"> </w:t>
      </w:r>
      <w:r w:rsidRPr="00C14C28">
        <w:rPr>
          <w:sz w:val="22"/>
          <w:szCs w:val="22"/>
        </w:rPr>
        <w:t>HealthBeacon</w:t>
      </w:r>
    </w:p>
    <w:p w14:paraId="101ACADF" w14:textId="6C7FB062" w:rsidR="007110CC" w:rsidRPr="00C14C28" w:rsidRDefault="00D53EC1">
      <w:pPr>
        <w:pStyle w:val="BodyText"/>
        <w:kinsoku w:val="0"/>
        <w:overflowPunct w:val="0"/>
        <w:spacing w:before="24" w:line="259" w:lineRule="auto"/>
        <w:ind w:right="111"/>
        <w:jc w:val="both"/>
        <w:rPr>
          <w:sz w:val="22"/>
          <w:szCs w:val="22"/>
        </w:rPr>
      </w:pPr>
      <w:r w:rsidRPr="00C14C28">
        <w:rPr>
          <w:sz w:val="22"/>
          <w:szCs w:val="22"/>
        </w:rPr>
        <w:t>Headquartered</w:t>
      </w:r>
      <w:r w:rsidRPr="00C14C28">
        <w:rPr>
          <w:spacing w:val="-11"/>
          <w:sz w:val="22"/>
          <w:szCs w:val="22"/>
        </w:rPr>
        <w:t xml:space="preserve"> </w:t>
      </w:r>
      <w:r w:rsidRPr="00C14C28">
        <w:rPr>
          <w:sz w:val="22"/>
          <w:szCs w:val="22"/>
        </w:rPr>
        <w:t>in</w:t>
      </w:r>
      <w:r w:rsidRPr="00C14C28">
        <w:rPr>
          <w:spacing w:val="-15"/>
          <w:sz w:val="22"/>
          <w:szCs w:val="22"/>
        </w:rPr>
        <w:t xml:space="preserve"> </w:t>
      </w:r>
      <w:r w:rsidRPr="00C14C28">
        <w:rPr>
          <w:sz w:val="22"/>
          <w:szCs w:val="22"/>
        </w:rPr>
        <w:t>Dublin,</w:t>
      </w:r>
      <w:r w:rsidRPr="00C14C28">
        <w:rPr>
          <w:spacing w:val="-12"/>
          <w:sz w:val="22"/>
          <w:szCs w:val="22"/>
        </w:rPr>
        <w:t xml:space="preserve"> </w:t>
      </w:r>
      <w:r w:rsidRPr="00C14C28">
        <w:rPr>
          <w:sz w:val="22"/>
          <w:szCs w:val="22"/>
        </w:rPr>
        <w:t>HealthBeacon</w:t>
      </w:r>
      <w:r w:rsidRPr="00C14C28">
        <w:rPr>
          <w:spacing w:val="-15"/>
          <w:sz w:val="22"/>
          <w:szCs w:val="22"/>
        </w:rPr>
        <w:t xml:space="preserve"> </w:t>
      </w:r>
      <w:r w:rsidRPr="00C14C28">
        <w:rPr>
          <w:sz w:val="22"/>
          <w:szCs w:val="22"/>
        </w:rPr>
        <w:t>is</w:t>
      </w:r>
      <w:r w:rsidRPr="00C14C28">
        <w:rPr>
          <w:spacing w:val="-12"/>
          <w:sz w:val="22"/>
          <w:szCs w:val="22"/>
        </w:rPr>
        <w:t xml:space="preserve"> </w:t>
      </w:r>
      <w:r w:rsidRPr="00C14C28">
        <w:rPr>
          <w:sz w:val="22"/>
          <w:szCs w:val="22"/>
        </w:rPr>
        <w:t>an</w:t>
      </w:r>
      <w:r w:rsidRPr="00C14C28">
        <w:rPr>
          <w:spacing w:val="-15"/>
          <w:sz w:val="22"/>
          <w:szCs w:val="22"/>
        </w:rPr>
        <w:t xml:space="preserve"> </w:t>
      </w:r>
      <w:r w:rsidRPr="00C14C28">
        <w:rPr>
          <w:sz w:val="22"/>
          <w:szCs w:val="22"/>
        </w:rPr>
        <w:t>Irish</w:t>
      </w:r>
      <w:r w:rsidRPr="00C14C28">
        <w:rPr>
          <w:spacing w:val="-20"/>
          <w:sz w:val="22"/>
          <w:szCs w:val="22"/>
        </w:rPr>
        <w:t xml:space="preserve"> </w:t>
      </w:r>
      <w:r w:rsidRPr="00C14C28">
        <w:rPr>
          <w:sz w:val="22"/>
          <w:szCs w:val="22"/>
        </w:rPr>
        <w:t>digital</w:t>
      </w:r>
      <w:r w:rsidRPr="00C14C28">
        <w:rPr>
          <w:spacing w:val="-12"/>
          <w:sz w:val="22"/>
          <w:szCs w:val="22"/>
        </w:rPr>
        <w:t xml:space="preserve"> </w:t>
      </w:r>
      <w:r w:rsidRPr="00C14C28">
        <w:rPr>
          <w:sz w:val="22"/>
          <w:szCs w:val="22"/>
        </w:rPr>
        <w:t>therapeutics</w:t>
      </w:r>
      <w:r w:rsidRPr="00C14C28">
        <w:rPr>
          <w:spacing w:val="-11"/>
          <w:sz w:val="22"/>
          <w:szCs w:val="22"/>
        </w:rPr>
        <w:t xml:space="preserve"> </w:t>
      </w:r>
      <w:r w:rsidRPr="00C14C28">
        <w:rPr>
          <w:sz w:val="22"/>
          <w:szCs w:val="22"/>
        </w:rPr>
        <w:t>company</w:t>
      </w:r>
      <w:r w:rsidRPr="00C14C28">
        <w:rPr>
          <w:spacing w:val="-13"/>
          <w:sz w:val="22"/>
          <w:szCs w:val="22"/>
        </w:rPr>
        <w:t xml:space="preserve"> </w:t>
      </w:r>
      <w:r w:rsidRPr="00C14C28">
        <w:rPr>
          <w:sz w:val="22"/>
          <w:szCs w:val="22"/>
        </w:rPr>
        <w:t>that</w:t>
      </w:r>
      <w:r w:rsidRPr="00C14C28">
        <w:rPr>
          <w:spacing w:val="-12"/>
          <w:sz w:val="22"/>
          <w:szCs w:val="22"/>
        </w:rPr>
        <w:t xml:space="preserve"> </w:t>
      </w:r>
      <w:r w:rsidRPr="00C14C28">
        <w:rPr>
          <w:sz w:val="22"/>
          <w:szCs w:val="22"/>
        </w:rPr>
        <w:t>develops products for managing injectable medications for patients in the home. The HealthBeacon Injection Care Management System tracks adherence and persistence with medication schedules</w:t>
      </w:r>
      <w:r w:rsidRPr="00C14C28">
        <w:rPr>
          <w:spacing w:val="-3"/>
          <w:sz w:val="22"/>
          <w:szCs w:val="22"/>
        </w:rPr>
        <w:t xml:space="preserve"> </w:t>
      </w:r>
      <w:r w:rsidRPr="00C14C28">
        <w:rPr>
          <w:sz w:val="22"/>
          <w:szCs w:val="22"/>
        </w:rPr>
        <w:t>through</w:t>
      </w:r>
      <w:r w:rsidRPr="00C14C28">
        <w:rPr>
          <w:spacing w:val="-6"/>
          <w:sz w:val="22"/>
          <w:szCs w:val="22"/>
        </w:rPr>
        <w:t xml:space="preserve"> </w:t>
      </w:r>
      <w:r w:rsidRPr="00C14C28">
        <w:rPr>
          <w:sz w:val="22"/>
          <w:szCs w:val="22"/>
        </w:rPr>
        <w:t>the</w:t>
      </w:r>
      <w:r w:rsidRPr="00C14C28">
        <w:rPr>
          <w:spacing w:val="-5"/>
          <w:sz w:val="22"/>
          <w:szCs w:val="22"/>
        </w:rPr>
        <w:t xml:space="preserve"> </w:t>
      </w:r>
      <w:r w:rsidRPr="00C14C28">
        <w:rPr>
          <w:sz w:val="22"/>
          <w:szCs w:val="22"/>
        </w:rPr>
        <w:t>provision</w:t>
      </w:r>
      <w:r w:rsidRPr="00C14C28">
        <w:rPr>
          <w:spacing w:val="-5"/>
          <w:sz w:val="22"/>
          <w:szCs w:val="22"/>
        </w:rPr>
        <w:t xml:space="preserve"> </w:t>
      </w:r>
      <w:r w:rsidRPr="00C14C28">
        <w:rPr>
          <w:sz w:val="22"/>
          <w:szCs w:val="22"/>
        </w:rPr>
        <w:t>of</w:t>
      </w:r>
      <w:r w:rsidRPr="00C14C28">
        <w:rPr>
          <w:spacing w:val="-6"/>
          <w:sz w:val="22"/>
          <w:szCs w:val="22"/>
        </w:rPr>
        <w:t xml:space="preserve"> </w:t>
      </w:r>
      <w:r w:rsidRPr="00C14C28">
        <w:rPr>
          <w:sz w:val="22"/>
          <w:szCs w:val="22"/>
        </w:rPr>
        <w:t>medication</w:t>
      </w:r>
      <w:r w:rsidRPr="00C14C28">
        <w:rPr>
          <w:spacing w:val="-6"/>
          <w:sz w:val="22"/>
          <w:szCs w:val="22"/>
        </w:rPr>
        <w:t xml:space="preserve"> </w:t>
      </w:r>
      <w:r w:rsidRPr="00C14C28">
        <w:rPr>
          <w:sz w:val="22"/>
          <w:szCs w:val="22"/>
        </w:rPr>
        <w:t>management</w:t>
      </w:r>
      <w:r w:rsidRPr="00C14C28">
        <w:rPr>
          <w:spacing w:val="-4"/>
          <w:sz w:val="22"/>
          <w:szCs w:val="22"/>
        </w:rPr>
        <w:t xml:space="preserve"> </w:t>
      </w:r>
      <w:r w:rsidRPr="00C14C28">
        <w:rPr>
          <w:sz w:val="22"/>
          <w:szCs w:val="22"/>
        </w:rPr>
        <w:t>reminders,</w:t>
      </w:r>
      <w:r w:rsidRPr="00C14C28">
        <w:rPr>
          <w:spacing w:val="-2"/>
          <w:sz w:val="22"/>
          <w:szCs w:val="22"/>
        </w:rPr>
        <w:t xml:space="preserve"> </w:t>
      </w:r>
      <w:r w:rsidRPr="00C14C28">
        <w:rPr>
          <w:sz w:val="22"/>
          <w:szCs w:val="22"/>
        </w:rPr>
        <w:t>safe</w:t>
      </w:r>
      <w:r w:rsidRPr="00C14C28">
        <w:rPr>
          <w:spacing w:val="-4"/>
          <w:sz w:val="22"/>
          <w:szCs w:val="22"/>
        </w:rPr>
        <w:t xml:space="preserve"> </w:t>
      </w:r>
      <w:r w:rsidRPr="00C14C28">
        <w:rPr>
          <w:sz w:val="22"/>
          <w:szCs w:val="22"/>
        </w:rPr>
        <w:t>and</w:t>
      </w:r>
      <w:r w:rsidRPr="00C14C28">
        <w:rPr>
          <w:spacing w:val="-6"/>
          <w:sz w:val="22"/>
          <w:szCs w:val="22"/>
        </w:rPr>
        <w:t xml:space="preserve"> </w:t>
      </w:r>
      <w:r w:rsidRPr="00C14C28">
        <w:rPr>
          <w:sz w:val="22"/>
          <w:szCs w:val="22"/>
        </w:rPr>
        <w:t>sustainable sharps</w:t>
      </w:r>
      <w:r w:rsidRPr="00C14C28">
        <w:rPr>
          <w:spacing w:val="-9"/>
          <w:sz w:val="22"/>
          <w:szCs w:val="22"/>
        </w:rPr>
        <w:t xml:space="preserve"> </w:t>
      </w:r>
      <w:r w:rsidRPr="00C14C28">
        <w:rPr>
          <w:sz w:val="22"/>
          <w:szCs w:val="22"/>
        </w:rPr>
        <w:t>disposal</w:t>
      </w:r>
      <w:r w:rsidRPr="00C14C28">
        <w:rPr>
          <w:spacing w:val="-7"/>
          <w:sz w:val="22"/>
          <w:szCs w:val="22"/>
        </w:rPr>
        <w:t xml:space="preserve"> </w:t>
      </w:r>
      <w:r w:rsidRPr="00C14C28">
        <w:rPr>
          <w:sz w:val="22"/>
          <w:szCs w:val="22"/>
        </w:rPr>
        <w:t>devices,</w:t>
      </w:r>
      <w:r w:rsidRPr="00C14C28">
        <w:rPr>
          <w:spacing w:val="-8"/>
          <w:sz w:val="22"/>
          <w:szCs w:val="22"/>
        </w:rPr>
        <w:t xml:space="preserve"> </w:t>
      </w:r>
      <w:r w:rsidRPr="00C14C28">
        <w:rPr>
          <w:sz w:val="22"/>
          <w:szCs w:val="22"/>
        </w:rPr>
        <w:t>educational</w:t>
      </w:r>
      <w:r w:rsidRPr="00C14C28">
        <w:rPr>
          <w:spacing w:val="-7"/>
          <w:sz w:val="22"/>
          <w:szCs w:val="22"/>
        </w:rPr>
        <w:t xml:space="preserve"> </w:t>
      </w:r>
      <w:r w:rsidRPr="00C14C28">
        <w:rPr>
          <w:sz w:val="22"/>
          <w:szCs w:val="22"/>
        </w:rPr>
        <w:t>tools,</w:t>
      </w:r>
      <w:r w:rsidRPr="00C14C28">
        <w:rPr>
          <w:spacing w:val="-7"/>
          <w:sz w:val="22"/>
          <w:szCs w:val="22"/>
        </w:rPr>
        <w:t xml:space="preserve"> </w:t>
      </w:r>
      <w:r w:rsidRPr="00C14C28">
        <w:rPr>
          <w:sz w:val="22"/>
          <w:szCs w:val="22"/>
        </w:rPr>
        <w:t>and</w:t>
      </w:r>
      <w:r w:rsidRPr="00C14C28">
        <w:rPr>
          <w:spacing w:val="-11"/>
          <w:sz w:val="22"/>
          <w:szCs w:val="22"/>
        </w:rPr>
        <w:t xml:space="preserve"> </w:t>
      </w:r>
      <w:r w:rsidRPr="00C14C28">
        <w:rPr>
          <w:sz w:val="22"/>
          <w:szCs w:val="22"/>
        </w:rPr>
        <w:t>artificial</w:t>
      </w:r>
      <w:r w:rsidRPr="00C14C28">
        <w:rPr>
          <w:spacing w:val="-12"/>
          <w:sz w:val="22"/>
          <w:szCs w:val="22"/>
        </w:rPr>
        <w:t xml:space="preserve"> </w:t>
      </w:r>
      <w:r w:rsidRPr="00C14C28">
        <w:rPr>
          <w:sz w:val="22"/>
          <w:szCs w:val="22"/>
        </w:rPr>
        <w:t>intelligence</w:t>
      </w:r>
      <w:r w:rsidRPr="00C14C28">
        <w:rPr>
          <w:spacing w:val="-10"/>
          <w:sz w:val="22"/>
          <w:szCs w:val="22"/>
        </w:rPr>
        <w:t xml:space="preserve"> </w:t>
      </w:r>
      <w:r w:rsidRPr="00C14C28">
        <w:rPr>
          <w:sz w:val="22"/>
          <w:szCs w:val="22"/>
        </w:rPr>
        <w:t>(AI)</w:t>
      </w:r>
      <w:r w:rsidRPr="00C14C28">
        <w:rPr>
          <w:spacing w:val="-11"/>
          <w:sz w:val="22"/>
          <w:szCs w:val="22"/>
        </w:rPr>
        <w:t xml:space="preserve"> </w:t>
      </w:r>
      <w:r w:rsidRPr="00C14C28">
        <w:rPr>
          <w:sz w:val="22"/>
          <w:szCs w:val="22"/>
        </w:rPr>
        <w:t>driven</w:t>
      </w:r>
      <w:r w:rsidRPr="00C14C28">
        <w:rPr>
          <w:spacing w:val="-11"/>
          <w:sz w:val="22"/>
          <w:szCs w:val="22"/>
        </w:rPr>
        <w:t xml:space="preserve"> </w:t>
      </w:r>
      <w:r w:rsidRPr="00C14C28">
        <w:rPr>
          <w:sz w:val="22"/>
          <w:szCs w:val="22"/>
        </w:rPr>
        <w:t>data</w:t>
      </w:r>
      <w:r w:rsidRPr="00C14C28">
        <w:rPr>
          <w:spacing w:val="-10"/>
          <w:sz w:val="22"/>
          <w:szCs w:val="22"/>
        </w:rPr>
        <w:t xml:space="preserve"> </w:t>
      </w:r>
      <w:r w:rsidRPr="00C14C28">
        <w:rPr>
          <w:sz w:val="22"/>
          <w:szCs w:val="22"/>
        </w:rPr>
        <w:t>analytics. The</w:t>
      </w:r>
      <w:r w:rsidRPr="00C14C28">
        <w:rPr>
          <w:spacing w:val="-15"/>
          <w:sz w:val="22"/>
          <w:szCs w:val="22"/>
        </w:rPr>
        <w:t xml:space="preserve"> </w:t>
      </w:r>
      <w:r w:rsidRPr="00C14C28">
        <w:rPr>
          <w:sz w:val="22"/>
          <w:szCs w:val="22"/>
        </w:rPr>
        <w:t>Company</w:t>
      </w:r>
      <w:r w:rsidRPr="00C14C28">
        <w:rPr>
          <w:spacing w:val="-13"/>
          <w:sz w:val="22"/>
          <w:szCs w:val="22"/>
        </w:rPr>
        <w:t xml:space="preserve"> </w:t>
      </w:r>
      <w:r w:rsidRPr="00C14C28">
        <w:rPr>
          <w:sz w:val="22"/>
          <w:szCs w:val="22"/>
        </w:rPr>
        <w:t>operates</w:t>
      </w:r>
      <w:r w:rsidRPr="00C14C28">
        <w:rPr>
          <w:spacing w:val="-12"/>
          <w:sz w:val="22"/>
          <w:szCs w:val="22"/>
        </w:rPr>
        <w:t xml:space="preserve"> </w:t>
      </w:r>
      <w:r w:rsidRPr="00C14C28">
        <w:rPr>
          <w:sz w:val="22"/>
          <w:szCs w:val="22"/>
        </w:rPr>
        <w:t>across</w:t>
      </w:r>
      <w:r w:rsidRPr="00C14C28">
        <w:rPr>
          <w:spacing w:val="-12"/>
          <w:sz w:val="22"/>
          <w:szCs w:val="22"/>
        </w:rPr>
        <w:t xml:space="preserve"> </w:t>
      </w:r>
      <w:r w:rsidRPr="00C14C28">
        <w:rPr>
          <w:sz w:val="22"/>
          <w:szCs w:val="22"/>
        </w:rPr>
        <w:t>Europe,</w:t>
      </w:r>
      <w:r w:rsidRPr="00C14C28">
        <w:rPr>
          <w:spacing w:val="-13"/>
          <w:sz w:val="22"/>
          <w:szCs w:val="22"/>
        </w:rPr>
        <w:t xml:space="preserve"> </w:t>
      </w:r>
      <w:r w:rsidRPr="00C14C28">
        <w:rPr>
          <w:sz w:val="22"/>
          <w:szCs w:val="22"/>
        </w:rPr>
        <w:t>North</w:t>
      </w:r>
      <w:r w:rsidRPr="00C14C28">
        <w:rPr>
          <w:spacing w:val="-16"/>
          <w:sz w:val="22"/>
          <w:szCs w:val="22"/>
        </w:rPr>
        <w:t xml:space="preserve"> </w:t>
      </w:r>
      <w:r w:rsidRPr="00C14C28">
        <w:rPr>
          <w:sz w:val="22"/>
          <w:szCs w:val="22"/>
        </w:rPr>
        <w:t>America</w:t>
      </w:r>
      <w:r w:rsidRPr="00C14C28">
        <w:rPr>
          <w:spacing w:val="-14"/>
          <w:sz w:val="22"/>
          <w:szCs w:val="22"/>
        </w:rPr>
        <w:t xml:space="preserve"> </w:t>
      </w:r>
      <w:r w:rsidRPr="00C14C28">
        <w:rPr>
          <w:sz w:val="22"/>
          <w:szCs w:val="22"/>
        </w:rPr>
        <w:t>and</w:t>
      </w:r>
      <w:r w:rsidRPr="00C14C28">
        <w:rPr>
          <w:spacing w:val="-16"/>
          <w:sz w:val="22"/>
          <w:szCs w:val="22"/>
        </w:rPr>
        <w:t xml:space="preserve"> </w:t>
      </w:r>
      <w:r w:rsidRPr="00C14C28">
        <w:rPr>
          <w:sz w:val="22"/>
          <w:szCs w:val="22"/>
        </w:rPr>
        <w:t>the</w:t>
      </w:r>
      <w:r w:rsidRPr="00C14C28">
        <w:rPr>
          <w:spacing w:val="-14"/>
          <w:sz w:val="22"/>
          <w:szCs w:val="22"/>
        </w:rPr>
        <w:t xml:space="preserve"> </w:t>
      </w:r>
      <w:r w:rsidRPr="00C14C28">
        <w:rPr>
          <w:sz w:val="22"/>
          <w:szCs w:val="22"/>
        </w:rPr>
        <w:t xml:space="preserve">United Kingdom </w:t>
      </w:r>
      <w:r w:rsidR="00994338" w:rsidRPr="00C14C28">
        <w:rPr>
          <w:sz w:val="22"/>
          <w:szCs w:val="22"/>
        </w:rPr>
        <w:t xml:space="preserve">and </w:t>
      </w:r>
      <w:r w:rsidRPr="00C14C28">
        <w:rPr>
          <w:sz w:val="22"/>
          <w:szCs w:val="22"/>
        </w:rPr>
        <w:t xml:space="preserve">employs more than 70 people and has obtained </w:t>
      </w:r>
      <w:r w:rsidRPr="00C14C28">
        <w:rPr>
          <w:sz w:val="22"/>
          <w:szCs w:val="22"/>
        </w:rPr>
        <w:lastRenderedPageBreak/>
        <w:t xml:space="preserve">more than 30 design and utility patents. Peer reviewed evidence supports a 19% improvement in therapy persistence by patients and </w:t>
      </w:r>
      <w:r w:rsidR="00994338" w:rsidRPr="00C14C28">
        <w:rPr>
          <w:sz w:val="22"/>
          <w:szCs w:val="22"/>
        </w:rPr>
        <w:t>up to</w:t>
      </w:r>
      <w:r w:rsidRPr="00C14C28">
        <w:rPr>
          <w:sz w:val="22"/>
          <w:szCs w:val="22"/>
        </w:rPr>
        <w:t xml:space="preserve"> 26% improvement in adherence to therapy, which improves clinical outcomes and significantly improves efficiency in health systems. The Company’s mission is to become the world’s leading digital therapeutics platform for injectable</w:t>
      </w:r>
      <w:r w:rsidRPr="00C14C28">
        <w:rPr>
          <w:spacing w:val="-13"/>
          <w:sz w:val="22"/>
          <w:szCs w:val="22"/>
        </w:rPr>
        <w:t xml:space="preserve"> </w:t>
      </w:r>
      <w:r w:rsidRPr="00C14C28">
        <w:rPr>
          <w:sz w:val="22"/>
          <w:szCs w:val="22"/>
        </w:rPr>
        <w:t>medications.</w:t>
      </w:r>
    </w:p>
    <w:p w14:paraId="6EE59158" w14:textId="77777777" w:rsidR="007110CC" w:rsidRPr="00C14C28" w:rsidRDefault="007110CC">
      <w:pPr>
        <w:pStyle w:val="BodyText"/>
        <w:kinsoku w:val="0"/>
        <w:overflowPunct w:val="0"/>
        <w:spacing w:before="11"/>
        <w:ind w:left="0"/>
        <w:rPr>
          <w:sz w:val="22"/>
          <w:szCs w:val="22"/>
        </w:rPr>
      </w:pPr>
    </w:p>
    <w:p w14:paraId="7805CFFB" w14:textId="77777777" w:rsidR="007110CC" w:rsidRPr="00C14C28" w:rsidRDefault="00D53EC1">
      <w:pPr>
        <w:pStyle w:val="Heading1"/>
        <w:kinsoku w:val="0"/>
        <w:overflowPunct w:val="0"/>
        <w:rPr>
          <w:sz w:val="22"/>
          <w:szCs w:val="22"/>
        </w:rPr>
      </w:pPr>
      <w:r w:rsidRPr="00C14C28">
        <w:rPr>
          <w:sz w:val="22"/>
          <w:szCs w:val="22"/>
        </w:rPr>
        <w:t>Ends</w:t>
      </w:r>
    </w:p>
    <w:sectPr w:rsidR="007110CC" w:rsidRPr="00C14C28">
      <w:type w:val="continuous"/>
      <w:pgSz w:w="11910" w:h="16840"/>
      <w:pgMar w:top="1400" w:right="132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8D4A" w14:textId="77777777" w:rsidR="00D35A55" w:rsidRDefault="00D35A55" w:rsidP="00D53EC1">
      <w:r>
        <w:separator/>
      </w:r>
    </w:p>
  </w:endnote>
  <w:endnote w:type="continuationSeparator" w:id="0">
    <w:p w14:paraId="0F6E808D" w14:textId="77777777" w:rsidR="00D35A55" w:rsidRDefault="00D35A55" w:rsidP="00D5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D3C7" w14:textId="77777777" w:rsidR="00D35A55" w:rsidRDefault="00D35A55" w:rsidP="00D53EC1">
      <w:r>
        <w:separator/>
      </w:r>
    </w:p>
  </w:footnote>
  <w:footnote w:type="continuationSeparator" w:id="0">
    <w:p w14:paraId="30DCCFBB" w14:textId="77777777" w:rsidR="00D35A55" w:rsidRDefault="00D35A55" w:rsidP="00D5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C1"/>
    <w:rsid w:val="000C3A8B"/>
    <w:rsid w:val="00171C15"/>
    <w:rsid w:val="00416020"/>
    <w:rsid w:val="004F51EC"/>
    <w:rsid w:val="005205A1"/>
    <w:rsid w:val="0055424F"/>
    <w:rsid w:val="0062715E"/>
    <w:rsid w:val="006579C2"/>
    <w:rsid w:val="006B2AE9"/>
    <w:rsid w:val="007110CC"/>
    <w:rsid w:val="00723483"/>
    <w:rsid w:val="00892090"/>
    <w:rsid w:val="00994338"/>
    <w:rsid w:val="00A60A86"/>
    <w:rsid w:val="00A65978"/>
    <w:rsid w:val="00AB5B3E"/>
    <w:rsid w:val="00B4378D"/>
    <w:rsid w:val="00B727C1"/>
    <w:rsid w:val="00BB64EF"/>
    <w:rsid w:val="00BC2A58"/>
    <w:rsid w:val="00C14C28"/>
    <w:rsid w:val="00C555FD"/>
    <w:rsid w:val="00CA1621"/>
    <w:rsid w:val="00D2012F"/>
    <w:rsid w:val="00D35A55"/>
    <w:rsid w:val="00D5130D"/>
    <w:rsid w:val="00D53EC1"/>
    <w:rsid w:val="00E83A43"/>
    <w:rsid w:val="00EB7687"/>
    <w:rsid w:val="00ED4C93"/>
    <w:rsid w:val="00FA0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DE633"/>
  <w14:defaultImageDpi w14:val="0"/>
  <w15:docId w15:val="{1451F0DE-A280-4A4E-9F88-2DC1707B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D53EC1"/>
    <w:pPr>
      <w:tabs>
        <w:tab w:val="center" w:pos="4513"/>
        <w:tab w:val="right" w:pos="9026"/>
      </w:tabs>
    </w:pPr>
  </w:style>
  <w:style w:type="character" w:customStyle="1" w:styleId="HeaderChar">
    <w:name w:val="Header Char"/>
    <w:basedOn w:val="DefaultParagraphFont"/>
    <w:link w:val="Header"/>
    <w:uiPriority w:val="99"/>
    <w:rsid w:val="00D53EC1"/>
    <w:rPr>
      <w:rFonts w:ascii="Calibri" w:hAnsi="Calibri" w:cs="Calibri"/>
    </w:rPr>
  </w:style>
  <w:style w:type="paragraph" w:styleId="Footer">
    <w:name w:val="footer"/>
    <w:basedOn w:val="Normal"/>
    <w:link w:val="FooterChar"/>
    <w:uiPriority w:val="99"/>
    <w:unhideWhenUsed/>
    <w:rsid w:val="00D53EC1"/>
    <w:pPr>
      <w:tabs>
        <w:tab w:val="center" w:pos="4513"/>
        <w:tab w:val="right" w:pos="9026"/>
      </w:tabs>
    </w:pPr>
  </w:style>
  <w:style w:type="character" w:customStyle="1" w:styleId="FooterChar">
    <w:name w:val="Footer Char"/>
    <w:basedOn w:val="DefaultParagraphFont"/>
    <w:link w:val="Footer"/>
    <w:uiPriority w:val="99"/>
    <w:rsid w:val="00D53EC1"/>
    <w:rPr>
      <w:rFonts w:ascii="Calibri" w:hAnsi="Calibri" w:cs="Calibri"/>
    </w:rPr>
  </w:style>
  <w:style w:type="character" w:styleId="Hyperlink">
    <w:name w:val="Hyperlink"/>
    <w:basedOn w:val="DefaultParagraphFont"/>
    <w:uiPriority w:val="99"/>
    <w:unhideWhenUsed/>
    <w:rsid w:val="00B4378D"/>
    <w:rPr>
      <w:color w:val="0563C1" w:themeColor="hyperlink"/>
      <w:u w:val="single"/>
    </w:rPr>
  </w:style>
  <w:style w:type="table" w:styleId="TableGrid">
    <w:name w:val="Table Grid"/>
    <w:basedOn w:val="TableNormal"/>
    <w:uiPriority w:val="39"/>
    <w:rsid w:val="00C14C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348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beacon.com"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2022-06-02T15:02:36+00:00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529B365-CEAB-4FF3-8710-39D6E95C1A89}"/>
</file>

<file path=customXml/itemProps2.xml><?xml version="1.0" encoding="utf-8"?>
<ds:datastoreItem xmlns:ds="http://schemas.openxmlformats.org/officeDocument/2006/customXml" ds:itemID="{D0C5F2E4-96E5-4EE3-A5FF-BF6F45124158}"/>
</file>

<file path=customXml/itemProps3.xml><?xml version="1.0" encoding="utf-8"?>
<ds:datastoreItem xmlns:ds="http://schemas.openxmlformats.org/officeDocument/2006/customXml" ds:itemID="{CE503452-640F-4EE4-99BC-F6E1CA8D472B}"/>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Cathal Barry</dc:creator>
  <cp:keywords/>
  <dc:description/>
  <cp:lastModifiedBy>Kieran Lyons</cp:lastModifiedBy>
  <cp:revision>3</cp:revision>
  <dcterms:created xsi:type="dcterms:W3CDTF">2022-06-02T13:15:00Z</dcterms:created>
  <dcterms:modified xsi:type="dcterms:W3CDTF">2022-06-02T13:16:00Z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22 for Word</vt:lpwstr>
  </property>
  <property fmtid="{D5CDD505-2E9C-101B-9397-08002B2CF9AE}" pid="3" name="ContentTypeId">
    <vt:lpwstr>0x010100BE156B1CF39149A8843C57AB06C49AFE0011B886BEF4CCD94F85F46E94360FD412</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181848200</vt:r8>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JobType">
    <vt:lpwstr/>
  </property>
  <property fmtid="{D5CDD505-2E9C-101B-9397-08002B2CF9AE}" pid="14" name="MediaServiceImageTags">
    <vt:lpwstr/>
  </property>
</Properties>
</file>