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0371"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9590372"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9590374" w14:textId="77777777" w:rsidTr="00F1736C">
        <w:trPr>
          <w:trHeight w:val="422"/>
        </w:trPr>
        <w:tc>
          <w:tcPr>
            <w:tcW w:w="10620" w:type="dxa"/>
            <w:gridSpan w:val="6"/>
            <w:vAlign w:val="center"/>
          </w:tcPr>
          <w:p w14:paraId="39590373"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9590376" w14:textId="77777777" w:rsidTr="00C055A5">
        <w:trPr>
          <w:trHeight w:val="325"/>
        </w:trPr>
        <w:tc>
          <w:tcPr>
            <w:tcW w:w="10620" w:type="dxa"/>
            <w:gridSpan w:val="6"/>
            <w:tcBorders>
              <w:left w:val="nil"/>
              <w:right w:val="nil"/>
            </w:tcBorders>
            <w:vAlign w:val="center"/>
          </w:tcPr>
          <w:p w14:paraId="39590375" w14:textId="77777777" w:rsidR="00C5065C" w:rsidRPr="00C055A5" w:rsidRDefault="00C5065C" w:rsidP="00C055A5">
            <w:pPr>
              <w:spacing w:after="0"/>
              <w:rPr>
                <w:rFonts w:ascii="Helvetica" w:hAnsi="Helvetica" w:cs="Helvetica"/>
                <w:lang w:val="en-GB"/>
              </w:rPr>
            </w:pPr>
          </w:p>
        </w:tc>
      </w:tr>
      <w:tr w:rsidR="00C5065C" w:rsidRPr="00C055A5" w14:paraId="39590379" w14:textId="77777777" w:rsidTr="00F1736C">
        <w:trPr>
          <w:trHeight w:val="732"/>
        </w:trPr>
        <w:tc>
          <w:tcPr>
            <w:tcW w:w="10620" w:type="dxa"/>
            <w:gridSpan w:val="6"/>
            <w:vAlign w:val="center"/>
          </w:tcPr>
          <w:p w14:paraId="39590377" w14:textId="77777777" w:rsidR="00535D98" w:rsidRDefault="00C5065C" w:rsidP="00535D98">
            <w:pPr>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9590378" w14:textId="77777777" w:rsidR="00C5065C" w:rsidRPr="00535D98" w:rsidRDefault="00535D98" w:rsidP="008F0490">
            <w:pPr>
              <w:rPr>
                <w:rFonts w:ascii="Helvetica" w:hAnsi="Helvetica" w:cs="Helvetica"/>
                <w:vertAlign w:val="superscript"/>
                <w:lang w:val="en-GB"/>
              </w:rPr>
            </w:pPr>
            <w:r>
              <w:rPr>
                <w:rFonts w:ascii="Helvetica" w:hAnsi="Helvetica" w:cs="Helvetica"/>
                <w:sz w:val="36"/>
                <w:szCs w:val="36"/>
                <w:vertAlign w:val="superscript"/>
                <w:lang w:val="en-GB"/>
              </w:rPr>
              <w:t xml:space="preserve">Glenveagh Properties </w:t>
            </w:r>
            <w:r w:rsidR="008F0490">
              <w:rPr>
                <w:rFonts w:ascii="Helvetica" w:hAnsi="Helvetica" w:cs="Helvetica"/>
                <w:sz w:val="36"/>
                <w:szCs w:val="36"/>
                <w:vertAlign w:val="superscript"/>
                <w:lang w:val="en-GB"/>
              </w:rPr>
              <w:t>PLC</w:t>
            </w:r>
          </w:p>
        </w:tc>
      </w:tr>
      <w:tr w:rsidR="00C5065C" w:rsidRPr="00C055A5" w14:paraId="39590380" w14:textId="77777777" w:rsidTr="00D2326B">
        <w:trPr>
          <w:trHeight w:val="2109"/>
        </w:trPr>
        <w:tc>
          <w:tcPr>
            <w:tcW w:w="10620" w:type="dxa"/>
            <w:gridSpan w:val="6"/>
            <w:vAlign w:val="center"/>
          </w:tcPr>
          <w:p w14:paraId="3959037A"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959037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E234F">
              <w:rPr>
                <w:rFonts w:ascii="Helvetica" w:hAnsi="Helvetica" w:cs="Helvetica"/>
                <w:lang w:val="en-GB"/>
              </w:rPr>
              <w:t>X</w:t>
            </w:r>
            <w:r w:rsidRPr="00C055A5">
              <w:rPr>
                <w:rFonts w:ascii="Helvetica" w:hAnsi="Helvetica" w:cs="Helvetica"/>
                <w:lang w:val="en-GB"/>
              </w:rPr>
              <w:t>] An acquisition or disposal of voting rights</w:t>
            </w:r>
          </w:p>
          <w:p w14:paraId="3959037C"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3959037D"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3959037E"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959037F" w14:textId="77777777" w:rsidR="00C055A5" w:rsidRPr="00C055A5" w:rsidRDefault="00C055A5" w:rsidP="00C055A5">
            <w:pPr>
              <w:rPr>
                <w:rFonts w:ascii="Helvetica" w:hAnsi="Helvetica" w:cs="Helvetica"/>
                <w:lang w:val="en-GB"/>
              </w:rPr>
            </w:pPr>
          </w:p>
        </w:tc>
      </w:tr>
      <w:tr w:rsidR="00C5065C" w:rsidRPr="00C055A5" w14:paraId="39590382" w14:textId="77777777" w:rsidTr="00F1736C">
        <w:trPr>
          <w:trHeight w:val="390"/>
        </w:trPr>
        <w:tc>
          <w:tcPr>
            <w:tcW w:w="10620" w:type="dxa"/>
            <w:gridSpan w:val="6"/>
            <w:tcBorders>
              <w:bottom w:val="nil"/>
            </w:tcBorders>
            <w:vAlign w:val="center"/>
          </w:tcPr>
          <w:p w14:paraId="3959038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9590386" w14:textId="77777777" w:rsidTr="00F1736C">
        <w:trPr>
          <w:trHeight w:val="390"/>
        </w:trPr>
        <w:tc>
          <w:tcPr>
            <w:tcW w:w="4151" w:type="dxa"/>
            <w:gridSpan w:val="2"/>
            <w:tcBorders>
              <w:top w:val="nil"/>
            </w:tcBorders>
          </w:tcPr>
          <w:p w14:paraId="39590383"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5E234F" w:rsidRPr="001C2454">
              <w:rPr>
                <w:rFonts w:ascii="Helvetica" w:hAnsi="Helvetica" w:cs="Helvetica"/>
                <w:b/>
                <w:lang w:val="en-GB"/>
              </w:rPr>
              <w:t xml:space="preserve"> </w:t>
            </w:r>
            <w:r w:rsidR="005E234F" w:rsidRPr="00535D98">
              <w:rPr>
                <w:rFonts w:ascii="Helvetica" w:hAnsi="Helvetica" w:cs="Helvetica"/>
                <w:lang w:val="en-GB"/>
              </w:rPr>
              <w:t>HSBC Holdings PLC</w:t>
            </w:r>
          </w:p>
        </w:tc>
        <w:tc>
          <w:tcPr>
            <w:tcW w:w="6469" w:type="dxa"/>
            <w:gridSpan w:val="4"/>
            <w:tcBorders>
              <w:top w:val="nil"/>
            </w:tcBorders>
            <w:vAlign w:val="center"/>
          </w:tcPr>
          <w:p w14:paraId="3959038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39590385" w14:textId="77777777" w:rsidR="00C5065C" w:rsidRPr="00535D98" w:rsidRDefault="005E234F" w:rsidP="00C5065C">
            <w:pPr>
              <w:rPr>
                <w:rFonts w:ascii="Helvetica" w:hAnsi="Helvetica" w:cs="Helvetica"/>
                <w:lang w:val="en-GB"/>
              </w:rPr>
            </w:pPr>
            <w:r w:rsidRPr="00535D98">
              <w:rPr>
                <w:rFonts w:ascii="Helvetica" w:hAnsi="Helvetica" w:cs="Helvetica"/>
                <w:lang w:val="en-GB"/>
              </w:rPr>
              <w:t>London, United Kingdom</w:t>
            </w:r>
          </w:p>
        </w:tc>
      </w:tr>
      <w:tr w:rsidR="00C5065C" w:rsidRPr="00C055A5" w14:paraId="3959038C" w14:textId="77777777" w:rsidTr="00F1736C">
        <w:trPr>
          <w:trHeight w:val="537"/>
        </w:trPr>
        <w:tc>
          <w:tcPr>
            <w:tcW w:w="10620" w:type="dxa"/>
            <w:gridSpan w:val="6"/>
            <w:vAlign w:val="center"/>
          </w:tcPr>
          <w:p w14:paraId="39590387"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39590388" w14:textId="77777777" w:rsidR="005E234F" w:rsidRPr="00535D98" w:rsidRDefault="005E234F" w:rsidP="00535D98">
            <w:pPr>
              <w:rPr>
                <w:rFonts w:ascii="Helvetica" w:hAnsi="Helvetica" w:cs="Helvetica"/>
                <w:lang w:val="en-GB"/>
              </w:rPr>
            </w:pPr>
            <w:r w:rsidRPr="00535D98">
              <w:rPr>
                <w:rFonts w:ascii="Helvetica" w:hAnsi="Helvetica" w:cs="Helvetica"/>
                <w:lang w:val="en-GB"/>
              </w:rPr>
              <w:t>HSBC Bank plc</w:t>
            </w:r>
          </w:p>
          <w:p w14:paraId="39590389" w14:textId="77777777" w:rsidR="005E234F" w:rsidRPr="00535D98" w:rsidRDefault="005E234F" w:rsidP="00535D98">
            <w:pPr>
              <w:rPr>
                <w:rFonts w:ascii="Helvetica" w:hAnsi="Helvetica" w:cs="Helvetica"/>
                <w:lang w:val="en-GB"/>
              </w:rPr>
            </w:pPr>
            <w:r w:rsidRPr="00535D98">
              <w:rPr>
                <w:rFonts w:ascii="Helvetica" w:hAnsi="Helvetica" w:cs="Helvetica"/>
                <w:lang w:val="en-GB"/>
              </w:rPr>
              <w:t>HSBC Global Asset Management (France)</w:t>
            </w:r>
          </w:p>
          <w:p w14:paraId="3959038A" w14:textId="77777777" w:rsidR="005E234F" w:rsidRPr="00535D98" w:rsidRDefault="005E234F" w:rsidP="00535D98">
            <w:pPr>
              <w:rPr>
                <w:rFonts w:ascii="Helvetica" w:hAnsi="Helvetica" w:cs="Helvetica"/>
                <w:lang w:val="en-GB"/>
              </w:rPr>
            </w:pPr>
            <w:r w:rsidRPr="00535D98">
              <w:rPr>
                <w:rFonts w:ascii="Helvetica" w:hAnsi="Helvetica" w:cs="Helvetica"/>
                <w:lang w:val="en-GB"/>
              </w:rPr>
              <w:t xml:space="preserve">INKA Internationale </w:t>
            </w:r>
            <w:proofErr w:type="spellStart"/>
            <w:r w:rsidRPr="00535D98">
              <w:rPr>
                <w:rFonts w:ascii="Helvetica" w:hAnsi="Helvetica" w:cs="Helvetica"/>
                <w:lang w:val="en-GB"/>
              </w:rPr>
              <w:t>Kapitalanlagegesellschft</w:t>
            </w:r>
            <w:proofErr w:type="spellEnd"/>
            <w:r w:rsidRPr="00535D98">
              <w:rPr>
                <w:rFonts w:ascii="Helvetica" w:hAnsi="Helvetica" w:cs="Helvetica"/>
                <w:lang w:val="en-GB"/>
              </w:rPr>
              <w:t xml:space="preserve"> </w:t>
            </w:r>
            <w:proofErr w:type="spellStart"/>
            <w:r w:rsidRPr="00535D98">
              <w:rPr>
                <w:rFonts w:ascii="Helvetica" w:hAnsi="Helvetica" w:cs="Helvetica"/>
                <w:lang w:val="en-GB"/>
              </w:rPr>
              <w:t>mbH</w:t>
            </w:r>
            <w:proofErr w:type="spellEnd"/>
            <w:r w:rsidRPr="00535D98">
              <w:rPr>
                <w:rFonts w:ascii="Helvetica" w:hAnsi="Helvetica" w:cs="Helvetica"/>
                <w:lang w:val="en-GB"/>
              </w:rPr>
              <w:t>, Dusseldorf</w:t>
            </w:r>
          </w:p>
          <w:p w14:paraId="3959038B" w14:textId="77777777" w:rsidR="00C5065C" w:rsidRPr="00C055A5" w:rsidRDefault="00C5065C" w:rsidP="00D2326B">
            <w:pPr>
              <w:spacing w:after="0"/>
              <w:rPr>
                <w:rFonts w:ascii="Helvetica" w:hAnsi="Helvetica" w:cs="Helvetica"/>
                <w:lang w:val="en-GB"/>
              </w:rPr>
            </w:pPr>
          </w:p>
        </w:tc>
      </w:tr>
      <w:tr w:rsidR="00C5065C" w:rsidRPr="00C055A5" w14:paraId="3959038F" w14:textId="77777777" w:rsidTr="00F1736C">
        <w:trPr>
          <w:trHeight w:val="419"/>
        </w:trPr>
        <w:tc>
          <w:tcPr>
            <w:tcW w:w="10620" w:type="dxa"/>
            <w:gridSpan w:val="6"/>
            <w:vAlign w:val="center"/>
          </w:tcPr>
          <w:p w14:paraId="3959038D"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3959038E" w14:textId="77777777" w:rsidR="00BA72A7" w:rsidRPr="00C055A5" w:rsidRDefault="002668A4" w:rsidP="00BA72A7">
            <w:pPr>
              <w:spacing w:after="0"/>
              <w:rPr>
                <w:rFonts w:ascii="Helvetica" w:hAnsi="Helvetica" w:cs="Helvetica"/>
                <w:lang w:val="en-GB"/>
              </w:rPr>
            </w:pPr>
            <w:r>
              <w:rPr>
                <w:rFonts w:ascii="Helvetica" w:hAnsi="Helvetica" w:cs="Helvetica"/>
                <w:lang w:val="en-GB"/>
              </w:rPr>
              <w:t>15</w:t>
            </w:r>
            <w:r w:rsidR="00D7155C">
              <w:rPr>
                <w:rFonts w:ascii="Helvetica" w:hAnsi="Helvetica" w:cs="Helvetica"/>
                <w:lang w:val="en-GB"/>
              </w:rPr>
              <w:t xml:space="preserve"> January 2019</w:t>
            </w:r>
          </w:p>
        </w:tc>
      </w:tr>
      <w:tr w:rsidR="00521E70" w:rsidRPr="00C055A5" w14:paraId="39590392" w14:textId="77777777" w:rsidTr="00306839">
        <w:trPr>
          <w:trHeight w:val="419"/>
        </w:trPr>
        <w:tc>
          <w:tcPr>
            <w:tcW w:w="10620" w:type="dxa"/>
            <w:gridSpan w:val="6"/>
            <w:vAlign w:val="center"/>
          </w:tcPr>
          <w:p w14:paraId="39590390"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39590391" w14:textId="77777777" w:rsidR="00D2326B" w:rsidRPr="00C055A5" w:rsidRDefault="00D7155C" w:rsidP="00161A54">
            <w:pPr>
              <w:spacing w:after="0"/>
              <w:rPr>
                <w:rFonts w:ascii="Helvetica" w:hAnsi="Helvetica" w:cs="Helvetica"/>
                <w:b/>
                <w:lang w:val="en-GB"/>
              </w:rPr>
            </w:pPr>
            <w:r>
              <w:rPr>
                <w:rFonts w:ascii="Helvetica" w:hAnsi="Helvetica" w:cs="Helvetica"/>
                <w:lang w:val="en-GB"/>
              </w:rPr>
              <w:t>1</w:t>
            </w:r>
            <w:r w:rsidR="00161A54">
              <w:rPr>
                <w:rFonts w:ascii="Helvetica" w:hAnsi="Helvetica" w:cs="Helvetica"/>
                <w:lang w:val="en-GB"/>
              </w:rPr>
              <w:t>7</w:t>
            </w:r>
            <w:r>
              <w:rPr>
                <w:rFonts w:ascii="Helvetica" w:hAnsi="Helvetica" w:cs="Helvetica"/>
                <w:lang w:val="en-GB"/>
              </w:rPr>
              <w:t xml:space="preserve"> January 2019</w:t>
            </w:r>
          </w:p>
        </w:tc>
      </w:tr>
      <w:tr w:rsidR="00521E70" w:rsidRPr="00C055A5" w14:paraId="39590395" w14:textId="77777777" w:rsidTr="00306839">
        <w:trPr>
          <w:trHeight w:val="419"/>
        </w:trPr>
        <w:tc>
          <w:tcPr>
            <w:tcW w:w="10620" w:type="dxa"/>
            <w:gridSpan w:val="6"/>
            <w:vAlign w:val="center"/>
          </w:tcPr>
          <w:p w14:paraId="39590393"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D7155C">
              <w:rPr>
                <w:rFonts w:ascii="Helvetica" w:hAnsi="Helvetica" w:cs="Helvetica"/>
                <w:lang w:val="en-GB"/>
              </w:rPr>
              <w:t xml:space="preserve"> Below 7</w:t>
            </w:r>
            <w:r w:rsidR="005E234F" w:rsidRPr="00570D05">
              <w:rPr>
                <w:rFonts w:ascii="Helvetica" w:hAnsi="Helvetica" w:cs="Helvetica"/>
                <w:lang w:val="en-GB"/>
              </w:rPr>
              <w:t>%</w:t>
            </w:r>
          </w:p>
          <w:p w14:paraId="39590394" w14:textId="77777777" w:rsidR="00D2326B" w:rsidRPr="00C055A5" w:rsidRDefault="00D2326B" w:rsidP="00D2326B">
            <w:pPr>
              <w:spacing w:after="0"/>
              <w:rPr>
                <w:rFonts w:ascii="Helvetica" w:hAnsi="Helvetica" w:cs="Helvetica"/>
                <w:b/>
                <w:lang w:val="en-GB"/>
              </w:rPr>
            </w:pPr>
          </w:p>
        </w:tc>
      </w:tr>
      <w:tr w:rsidR="00C5065C" w:rsidRPr="00C055A5" w14:paraId="39590397" w14:textId="77777777" w:rsidTr="00F1736C">
        <w:trPr>
          <w:trHeight w:val="555"/>
        </w:trPr>
        <w:tc>
          <w:tcPr>
            <w:tcW w:w="10620" w:type="dxa"/>
            <w:gridSpan w:val="6"/>
            <w:vAlign w:val="center"/>
          </w:tcPr>
          <w:p w14:paraId="39590396"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959039D" w14:textId="77777777" w:rsidTr="00F1736C">
        <w:trPr>
          <w:trHeight w:val="555"/>
        </w:trPr>
        <w:tc>
          <w:tcPr>
            <w:tcW w:w="2124" w:type="dxa"/>
            <w:vAlign w:val="center"/>
          </w:tcPr>
          <w:p w14:paraId="39590398" w14:textId="77777777" w:rsidR="00C5065C" w:rsidRPr="00C055A5" w:rsidRDefault="00C5065C" w:rsidP="00C5065C">
            <w:pPr>
              <w:rPr>
                <w:rFonts w:ascii="Helvetica" w:hAnsi="Helvetica" w:cs="Helvetica"/>
                <w:lang w:val="en-GB"/>
              </w:rPr>
            </w:pPr>
          </w:p>
        </w:tc>
        <w:tc>
          <w:tcPr>
            <w:tcW w:w="2124" w:type="dxa"/>
            <w:gridSpan w:val="2"/>
            <w:vAlign w:val="center"/>
          </w:tcPr>
          <w:p w14:paraId="3959039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959039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959039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959039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95903A6" w14:textId="77777777" w:rsidTr="00F1736C">
        <w:trPr>
          <w:trHeight w:val="555"/>
        </w:trPr>
        <w:tc>
          <w:tcPr>
            <w:tcW w:w="2124" w:type="dxa"/>
            <w:vAlign w:val="center"/>
          </w:tcPr>
          <w:p w14:paraId="3959039E"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3959039F" w14:textId="77777777" w:rsidR="00C5065C" w:rsidRPr="00D7155C" w:rsidRDefault="00D7155C" w:rsidP="00D7155C">
            <w:pPr>
              <w:jc w:val="center"/>
              <w:rPr>
                <w:rFonts w:ascii="Calibri" w:hAnsi="Calibri"/>
                <w:color w:val="000000"/>
              </w:rPr>
            </w:pPr>
            <w:r w:rsidRPr="00D7155C">
              <w:rPr>
                <w:rFonts w:ascii="Calibri" w:hAnsi="Calibri"/>
                <w:color w:val="000000"/>
              </w:rPr>
              <w:t>6.994%</w:t>
            </w:r>
          </w:p>
        </w:tc>
        <w:tc>
          <w:tcPr>
            <w:tcW w:w="2313" w:type="dxa"/>
            <w:vAlign w:val="center"/>
          </w:tcPr>
          <w:p w14:paraId="395903A0" w14:textId="77777777" w:rsidR="00C5065C" w:rsidRPr="00A738CD" w:rsidRDefault="00D7155C" w:rsidP="00D7155C">
            <w:pPr>
              <w:jc w:val="center"/>
              <w:rPr>
                <w:rFonts w:ascii="Calibri" w:hAnsi="Calibri"/>
                <w:color w:val="000000"/>
              </w:rPr>
            </w:pPr>
            <w:r>
              <w:rPr>
                <w:rFonts w:ascii="Calibri" w:hAnsi="Calibri"/>
                <w:color w:val="000000"/>
              </w:rPr>
              <w:t xml:space="preserve">NIL </w:t>
            </w:r>
          </w:p>
        </w:tc>
        <w:tc>
          <w:tcPr>
            <w:tcW w:w="2126" w:type="dxa"/>
            <w:vAlign w:val="center"/>
          </w:tcPr>
          <w:p w14:paraId="395903A1" w14:textId="77777777" w:rsidR="00C5065C" w:rsidRPr="00A738CD" w:rsidRDefault="00D7155C" w:rsidP="00D7155C">
            <w:pPr>
              <w:jc w:val="center"/>
              <w:rPr>
                <w:rFonts w:ascii="Calibri" w:hAnsi="Calibri"/>
                <w:color w:val="000000"/>
              </w:rPr>
            </w:pPr>
            <w:r>
              <w:rPr>
                <w:rFonts w:ascii="Calibri" w:hAnsi="Calibri"/>
                <w:color w:val="000000"/>
              </w:rPr>
              <w:t>6.994%</w:t>
            </w:r>
          </w:p>
        </w:tc>
        <w:tc>
          <w:tcPr>
            <w:tcW w:w="1933" w:type="dxa"/>
            <w:vAlign w:val="center"/>
          </w:tcPr>
          <w:p w14:paraId="395903A2" w14:textId="77777777" w:rsidR="005E234F" w:rsidRDefault="005E234F" w:rsidP="00A738CD">
            <w:pPr>
              <w:jc w:val="center"/>
              <w:rPr>
                <w:rFonts w:ascii="Calibri" w:hAnsi="Calibri"/>
                <w:color w:val="000000"/>
              </w:rPr>
            </w:pPr>
          </w:p>
          <w:p w14:paraId="395903A3" w14:textId="77777777" w:rsidR="00A738CD" w:rsidRDefault="00A738CD" w:rsidP="00A738CD">
            <w:pPr>
              <w:jc w:val="center"/>
              <w:rPr>
                <w:rFonts w:ascii="Calibri" w:hAnsi="Calibri"/>
                <w:color w:val="000000"/>
              </w:rPr>
            </w:pPr>
          </w:p>
          <w:p w14:paraId="395903A4" w14:textId="77777777" w:rsidR="005E234F" w:rsidRDefault="005E234F" w:rsidP="00A738CD">
            <w:pPr>
              <w:jc w:val="center"/>
              <w:rPr>
                <w:rFonts w:ascii="Calibri" w:hAnsi="Calibri"/>
                <w:color w:val="000000"/>
              </w:rPr>
            </w:pPr>
            <w:r>
              <w:rPr>
                <w:rFonts w:ascii="Calibri" w:hAnsi="Calibri"/>
                <w:color w:val="000000"/>
              </w:rPr>
              <w:t>871,333,550</w:t>
            </w:r>
          </w:p>
          <w:p w14:paraId="395903A5" w14:textId="77777777" w:rsidR="00C5065C" w:rsidRPr="00C055A5" w:rsidRDefault="00C5065C" w:rsidP="00A738CD">
            <w:pPr>
              <w:jc w:val="center"/>
              <w:rPr>
                <w:rFonts w:ascii="Helvetica" w:hAnsi="Helvetica" w:cs="Helvetica"/>
                <w:lang w:val="en-GB"/>
              </w:rPr>
            </w:pPr>
          </w:p>
        </w:tc>
      </w:tr>
      <w:tr w:rsidR="00D7155C" w:rsidRPr="00C055A5" w14:paraId="395903AF" w14:textId="77777777" w:rsidTr="00F1736C">
        <w:trPr>
          <w:trHeight w:val="555"/>
        </w:trPr>
        <w:tc>
          <w:tcPr>
            <w:tcW w:w="2124" w:type="dxa"/>
            <w:vAlign w:val="center"/>
          </w:tcPr>
          <w:p w14:paraId="395903A7" w14:textId="77777777" w:rsidR="00D7155C" w:rsidRPr="008F18BE" w:rsidRDefault="00D7155C" w:rsidP="00D7155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395903A8" w14:textId="77777777" w:rsidR="00D7155C" w:rsidRDefault="00D7155C" w:rsidP="00D7155C">
            <w:pPr>
              <w:jc w:val="center"/>
              <w:rPr>
                <w:rFonts w:ascii="Calibri" w:hAnsi="Calibri"/>
                <w:color w:val="000000"/>
              </w:rPr>
            </w:pPr>
          </w:p>
          <w:p w14:paraId="395903A9" w14:textId="77777777" w:rsidR="00D7155C" w:rsidRPr="00C055A5" w:rsidRDefault="00D7155C" w:rsidP="00D7155C">
            <w:pPr>
              <w:jc w:val="center"/>
              <w:rPr>
                <w:rFonts w:ascii="Helvetica" w:hAnsi="Helvetica" w:cs="Helvetica"/>
                <w:lang w:val="en-GB"/>
              </w:rPr>
            </w:pPr>
            <w:r w:rsidRPr="00A738CD">
              <w:rPr>
                <w:rFonts w:ascii="Calibri" w:hAnsi="Calibri"/>
                <w:color w:val="000000"/>
              </w:rPr>
              <w:t>7.076</w:t>
            </w:r>
            <w:r>
              <w:rPr>
                <w:rFonts w:ascii="Calibri" w:hAnsi="Calibri"/>
                <w:color w:val="000000"/>
              </w:rPr>
              <w:t>%</w:t>
            </w:r>
          </w:p>
        </w:tc>
        <w:tc>
          <w:tcPr>
            <w:tcW w:w="2313" w:type="dxa"/>
            <w:vAlign w:val="center"/>
          </w:tcPr>
          <w:p w14:paraId="395903AA" w14:textId="77777777" w:rsidR="00D7155C" w:rsidRPr="00A738CD" w:rsidRDefault="00D7155C" w:rsidP="00D7155C">
            <w:pPr>
              <w:jc w:val="center"/>
              <w:rPr>
                <w:rFonts w:ascii="Calibri" w:hAnsi="Calibri"/>
                <w:color w:val="000000"/>
              </w:rPr>
            </w:pPr>
          </w:p>
          <w:p w14:paraId="395903AB" w14:textId="77777777" w:rsidR="00D7155C" w:rsidRPr="00A738CD" w:rsidRDefault="00D7155C" w:rsidP="00D7155C">
            <w:pPr>
              <w:jc w:val="center"/>
              <w:rPr>
                <w:rFonts w:ascii="Calibri" w:hAnsi="Calibri"/>
                <w:color w:val="000000"/>
              </w:rPr>
            </w:pPr>
            <w:r w:rsidRPr="00A738CD">
              <w:rPr>
                <w:rFonts w:ascii="Calibri" w:hAnsi="Calibri"/>
                <w:color w:val="000000"/>
              </w:rPr>
              <w:t>0.018</w:t>
            </w:r>
            <w:r>
              <w:rPr>
                <w:rFonts w:ascii="Calibri" w:hAnsi="Calibri"/>
                <w:color w:val="000000"/>
              </w:rPr>
              <w:t>%</w:t>
            </w:r>
          </w:p>
        </w:tc>
        <w:tc>
          <w:tcPr>
            <w:tcW w:w="2126" w:type="dxa"/>
            <w:vAlign w:val="center"/>
          </w:tcPr>
          <w:p w14:paraId="395903AC" w14:textId="77777777" w:rsidR="00D7155C" w:rsidRDefault="00D7155C" w:rsidP="00D7155C">
            <w:pPr>
              <w:jc w:val="center"/>
              <w:rPr>
                <w:rFonts w:ascii="Calibri" w:hAnsi="Calibri"/>
                <w:color w:val="000000"/>
              </w:rPr>
            </w:pPr>
          </w:p>
          <w:p w14:paraId="395903AD" w14:textId="77777777" w:rsidR="00D7155C" w:rsidRPr="00A738CD" w:rsidRDefault="00D7155C" w:rsidP="00D7155C">
            <w:pPr>
              <w:jc w:val="center"/>
              <w:rPr>
                <w:rFonts w:ascii="Calibri" w:hAnsi="Calibri"/>
                <w:color w:val="000000"/>
              </w:rPr>
            </w:pPr>
            <w:r w:rsidRPr="00A738CD">
              <w:rPr>
                <w:rFonts w:ascii="Calibri" w:hAnsi="Calibri"/>
                <w:color w:val="000000"/>
              </w:rPr>
              <w:t>7.094</w:t>
            </w:r>
            <w:r>
              <w:rPr>
                <w:rFonts w:ascii="Calibri" w:hAnsi="Calibri"/>
                <w:color w:val="000000"/>
              </w:rPr>
              <w:t>%</w:t>
            </w:r>
          </w:p>
        </w:tc>
        <w:tc>
          <w:tcPr>
            <w:tcW w:w="1933" w:type="dxa"/>
            <w:shd w:val="thinDiagStripe" w:color="auto" w:fill="auto"/>
            <w:vAlign w:val="center"/>
          </w:tcPr>
          <w:p w14:paraId="395903AE" w14:textId="77777777" w:rsidR="00D7155C" w:rsidRPr="00C055A5" w:rsidRDefault="00D7155C" w:rsidP="00D7155C">
            <w:pPr>
              <w:rPr>
                <w:rFonts w:ascii="Helvetica" w:hAnsi="Helvetica" w:cs="Helvetica"/>
                <w:lang w:val="en-GB"/>
              </w:rPr>
            </w:pPr>
          </w:p>
        </w:tc>
      </w:tr>
    </w:tbl>
    <w:p w14:paraId="395903B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95903B2" w14:textId="77777777" w:rsidTr="005E234F">
        <w:trPr>
          <w:trHeight w:val="326"/>
          <w:jc w:val="center"/>
        </w:trPr>
        <w:tc>
          <w:tcPr>
            <w:tcW w:w="10620" w:type="dxa"/>
            <w:gridSpan w:val="11"/>
            <w:tcBorders>
              <w:top w:val="single" w:sz="4" w:space="0" w:color="auto"/>
              <w:bottom w:val="single" w:sz="4" w:space="0" w:color="auto"/>
            </w:tcBorders>
          </w:tcPr>
          <w:p w14:paraId="395903B1"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95903B4" w14:textId="77777777" w:rsidTr="005E234F">
        <w:trPr>
          <w:trHeight w:val="458"/>
          <w:jc w:val="center"/>
        </w:trPr>
        <w:tc>
          <w:tcPr>
            <w:tcW w:w="10620" w:type="dxa"/>
            <w:gridSpan w:val="11"/>
            <w:tcBorders>
              <w:top w:val="single" w:sz="4" w:space="0" w:color="auto"/>
              <w:bottom w:val="single" w:sz="4" w:space="0" w:color="auto"/>
            </w:tcBorders>
            <w:vAlign w:val="center"/>
          </w:tcPr>
          <w:p w14:paraId="395903B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395903B9" w14:textId="77777777" w:rsidTr="005E234F">
        <w:trPr>
          <w:trHeight w:val="386"/>
          <w:jc w:val="center"/>
        </w:trPr>
        <w:tc>
          <w:tcPr>
            <w:tcW w:w="1861" w:type="dxa"/>
            <w:vMerge w:val="restart"/>
            <w:tcBorders>
              <w:top w:val="single" w:sz="4" w:space="0" w:color="auto"/>
              <w:bottom w:val="single" w:sz="4" w:space="0" w:color="auto"/>
              <w:right w:val="single" w:sz="4" w:space="0" w:color="auto"/>
            </w:tcBorders>
          </w:tcPr>
          <w:p w14:paraId="395903B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95903B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95903B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95903B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95903C7" w14:textId="77777777" w:rsidTr="005E234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395903B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95903BB" w14:textId="77777777" w:rsidR="00F26D04" w:rsidRDefault="00F26D04" w:rsidP="00C055A5">
            <w:pPr>
              <w:spacing w:after="0"/>
              <w:jc w:val="center"/>
              <w:rPr>
                <w:rFonts w:ascii="Helvetica" w:hAnsi="Helvetica" w:cs="Helvetica"/>
                <w:b/>
                <w:sz w:val="20"/>
                <w:szCs w:val="20"/>
                <w:lang w:val="en-GB"/>
              </w:rPr>
            </w:pPr>
          </w:p>
          <w:p w14:paraId="395903B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95903BD"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95903BE" w14:textId="77777777" w:rsidR="00F26D04" w:rsidRDefault="00F26D04" w:rsidP="00C055A5">
            <w:pPr>
              <w:spacing w:after="0"/>
              <w:jc w:val="center"/>
              <w:rPr>
                <w:rFonts w:ascii="Helvetica" w:hAnsi="Helvetica" w:cs="Helvetica"/>
                <w:b/>
                <w:sz w:val="20"/>
                <w:szCs w:val="20"/>
                <w:lang w:val="en-GB"/>
              </w:rPr>
            </w:pPr>
          </w:p>
          <w:p w14:paraId="395903BF"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95903C0"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5903C1" w14:textId="77777777" w:rsidR="00F26D04" w:rsidRDefault="00F26D04" w:rsidP="00C055A5">
            <w:pPr>
              <w:spacing w:after="0"/>
              <w:jc w:val="center"/>
              <w:rPr>
                <w:rFonts w:ascii="Helvetica" w:hAnsi="Helvetica" w:cs="Helvetica"/>
                <w:b/>
                <w:sz w:val="20"/>
                <w:szCs w:val="20"/>
                <w:lang w:val="en-GB"/>
              </w:rPr>
            </w:pPr>
          </w:p>
          <w:p w14:paraId="395903C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95903C3"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95903C4" w14:textId="77777777" w:rsidR="00F26D04" w:rsidRDefault="00F26D04" w:rsidP="00C055A5">
            <w:pPr>
              <w:spacing w:after="0"/>
              <w:jc w:val="center"/>
              <w:rPr>
                <w:rFonts w:ascii="Helvetica" w:hAnsi="Helvetica" w:cs="Helvetica"/>
                <w:b/>
                <w:sz w:val="20"/>
                <w:szCs w:val="20"/>
                <w:lang w:val="en-GB"/>
              </w:rPr>
            </w:pPr>
          </w:p>
          <w:p w14:paraId="395903C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95903C6"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395903CD" w14:textId="77777777" w:rsidTr="005E23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5903C8" w14:textId="77777777" w:rsidR="00C5065C" w:rsidRPr="00C055A5" w:rsidRDefault="005E234F" w:rsidP="00C5065C">
            <w:pPr>
              <w:rPr>
                <w:rFonts w:ascii="Helvetica" w:hAnsi="Helvetica" w:cs="Helvetica"/>
                <w:lang w:val="en-GB"/>
              </w:rPr>
            </w:pPr>
            <w:r w:rsidRPr="005E234F">
              <w:rPr>
                <w:rFonts w:ascii="Helvetica" w:hAnsi="Helvetica" w:cs="Helvetica"/>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395903C9"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95903CA" w14:textId="77777777" w:rsidR="00C5065C" w:rsidRPr="005E234F" w:rsidRDefault="00D7155C" w:rsidP="00C5065C">
            <w:pPr>
              <w:rPr>
                <w:rFonts w:ascii="Calibri" w:hAnsi="Calibri"/>
                <w:color w:val="000000"/>
              </w:rPr>
            </w:pPr>
            <w:r>
              <w:rPr>
                <w:rFonts w:ascii="Calibri" w:hAnsi="Calibri"/>
                <w:color w:val="000000"/>
              </w:rPr>
              <w:t xml:space="preserve">         60</w:t>
            </w:r>
            <w:r w:rsidR="00161A54">
              <w:rPr>
                <w:rFonts w:ascii="Calibri" w:hAnsi="Calibri"/>
                <w:color w:val="000000"/>
              </w:rPr>
              <w:t>,</w:t>
            </w:r>
            <w:r>
              <w:rPr>
                <w:rFonts w:ascii="Calibri" w:hAnsi="Calibri"/>
                <w:color w:val="000000"/>
              </w:rPr>
              <w:t>942</w:t>
            </w:r>
            <w:r w:rsidR="00161A54">
              <w:rPr>
                <w:rFonts w:ascii="Calibri" w:hAnsi="Calibri"/>
                <w:color w:val="000000"/>
              </w:rPr>
              <w:t>,</w:t>
            </w:r>
            <w:r>
              <w:rPr>
                <w:rFonts w:ascii="Calibri" w:hAnsi="Calibri"/>
                <w:color w:val="000000"/>
              </w:rPr>
              <w:t>888</w:t>
            </w:r>
          </w:p>
        </w:tc>
        <w:tc>
          <w:tcPr>
            <w:tcW w:w="2347" w:type="dxa"/>
            <w:gridSpan w:val="2"/>
            <w:tcBorders>
              <w:top w:val="single" w:sz="4" w:space="0" w:color="auto"/>
              <w:left w:val="single" w:sz="4" w:space="0" w:color="auto"/>
              <w:bottom w:val="single" w:sz="4" w:space="0" w:color="auto"/>
              <w:right w:val="single" w:sz="4" w:space="0" w:color="auto"/>
            </w:tcBorders>
          </w:tcPr>
          <w:p w14:paraId="395903CB"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95903CC" w14:textId="77777777" w:rsidR="00C5065C" w:rsidRPr="00C055A5" w:rsidRDefault="00D7155C" w:rsidP="00535D98">
            <w:pPr>
              <w:rPr>
                <w:rFonts w:ascii="Helvetica" w:hAnsi="Helvetica" w:cs="Helvetica"/>
                <w:lang w:val="en-GB"/>
              </w:rPr>
            </w:pPr>
            <w:r>
              <w:rPr>
                <w:rFonts w:ascii="Calibri" w:hAnsi="Calibri"/>
                <w:color w:val="000000"/>
              </w:rPr>
              <w:t xml:space="preserve">            6.994%</w:t>
            </w:r>
          </w:p>
        </w:tc>
      </w:tr>
      <w:tr w:rsidR="00C5065C" w:rsidRPr="00C055A5" w14:paraId="395903D3" w14:textId="77777777" w:rsidTr="005E23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5903C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95903CF"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95903D0"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5903D1"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95903D2" w14:textId="77777777" w:rsidR="00C5065C" w:rsidRPr="00C055A5" w:rsidRDefault="00C5065C" w:rsidP="00C5065C">
            <w:pPr>
              <w:rPr>
                <w:rFonts w:ascii="Helvetica" w:hAnsi="Helvetica" w:cs="Helvetica"/>
                <w:lang w:val="en-GB"/>
              </w:rPr>
            </w:pPr>
          </w:p>
        </w:tc>
      </w:tr>
      <w:tr w:rsidR="00C5065C" w:rsidRPr="00C055A5" w14:paraId="395903D9" w14:textId="77777777" w:rsidTr="005E23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5903D4"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95903D5"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95903D6"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5903D7"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95903D8" w14:textId="77777777" w:rsidR="00C5065C" w:rsidRPr="00C055A5" w:rsidRDefault="00C5065C" w:rsidP="00C5065C">
            <w:pPr>
              <w:rPr>
                <w:rFonts w:ascii="Helvetica" w:hAnsi="Helvetica" w:cs="Helvetica"/>
                <w:lang w:val="en-GB"/>
              </w:rPr>
            </w:pPr>
          </w:p>
        </w:tc>
      </w:tr>
      <w:tr w:rsidR="00535D98" w:rsidRPr="00C055A5" w14:paraId="395903DF" w14:textId="77777777" w:rsidTr="005E23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5903DA" w14:textId="77777777" w:rsidR="00535D98" w:rsidRPr="00C055A5" w:rsidRDefault="00535D98" w:rsidP="00535D9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395903DB" w14:textId="77777777" w:rsidR="00535D98" w:rsidRPr="00C055A5" w:rsidRDefault="00535D98" w:rsidP="00161A54">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395903DC" w14:textId="77777777" w:rsidR="00535D98" w:rsidRPr="005E234F" w:rsidRDefault="00D7155C" w:rsidP="00161A54">
            <w:pPr>
              <w:rPr>
                <w:rFonts w:ascii="Calibri" w:hAnsi="Calibri"/>
                <w:color w:val="000000"/>
              </w:rPr>
            </w:pPr>
            <w:r>
              <w:rPr>
                <w:rFonts w:ascii="Calibri" w:hAnsi="Calibri"/>
                <w:color w:val="000000"/>
              </w:rPr>
              <w:t>60</w:t>
            </w:r>
            <w:r w:rsidR="00161A54">
              <w:rPr>
                <w:rFonts w:ascii="Calibri" w:hAnsi="Calibri"/>
                <w:color w:val="000000"/>
              </w:rPr>
              <w:t>,</w:t>
            </w:r>
            <w:r>
              <w:rPr>
                <w:rFonts w:ascii="Calibri" w:hAnsi="Calibri"/>
                <w:color w:val="000000"/>
              </w:rPr>
              <w:t>942</w:t>
            </w:r>
            <w:r w:rsidR="00161A54">
              <w:rPr>
                <w:rFonts w:ascii="Calibri" w:hAnsi="Calibri"/>
                <w:color w:val="000000"/>
              </w:rPr>
              <w:t>,</w:t>
            </w:r>
            <w:r>
              <w:rPr>
                <w:rFonts w:ascii="Calibri" w:hAnsi="Calibri"/>
                <w:color w:val="000000"/>
              </w:rPr>
              <w:t>888</w:t>
            </w:r>
          </w:p>
        </w:tc>
        <w:tc>
          <w:tcPr>
            <w:tcW w:w="2347" w:type="dxa"/>
            <w:gridSpan w:val="2"/>
            <w:tcBorders>
              <w:top w:val="single" w:sz="4" w:space="0" w:color="auto"/>
              <w:left w:val="single" w:sz="4" w:space="0" w:color="auto"/>
              <w:bottom w:val="single" w:sz="4" w:space="0" w:color="auto"/>
            </w:tcBorders>
          </w:tcPr>
          <w:p w14:paraId="395903DD" w14:textId="77777777" w:rsidR="00535D98" w:rsidRPr="00C055A5" w:rsidRDefault="00535D98" w:rsidP="00535D98">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395903DE" w14:textId="77777777" w:rsidR="00535D98" w:rsidRPr="00C055A5" w:rsidRDefault="00D7155C" w:rsidP="00535D98">
            <w:pPr>
              <w:rPr>
                <w:rFonts w:ascii="Helvetica" w:hAnsi="Helvetica" w:cs="Helvetica"/>
                <w:lang w:val="en-GB"/>
              </w:rPr>
            </w:pPr>
            <w:r>
              <w:rPr>
                <w:rFonts w:ascii="Calibri" w:hAnsi="Calibri"/>
                <w:color w:val="000000"/>
              </w:rPr>
              <w:t xml:space="preserve">            6.994%</w:t>
            </w:r>
          </w:p>
        </w:tc>
      </w:tr>
      <w:tr w:rsidR="005E234F" w:rsidRPr="00C055A5" w14:paraId="395903E1" w14:textId="77777777" w:rsidTr="005E234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95903E0" w14:textId="77777777" w:rsidR="005E234F" w:rsidRPr="00C055A5" w:rsidRDefault="005E234F" w:rsidP="005E234F">
            <w:pPr>
              <w:rPr>
                <w:rFonts w:ascii="Helvetica" w:hAnsi="Helvetica" w:cs="Helvetica"/>
                <w:lang w:val="en-GB"/>
              </w:rPr>
            </w:pPr>
          </w:p>
        </w:tc>
      </w:tr>
      <w:tr w:rsidR="005E234F" w:rsidRPr="00C055A5" w14:paraId="395903E3" w14:textId="77777777" w:rsidTr="005E234F">
        <w:trPr>
          <w:trHeight w:val="530"/>
          <w:jc w:val="center"/>
        </w:trPr>
        <w:tc>
          <w:tcPr>
            <w:tcW w:w="10620" w:type="dxa"/>
            <w:gridSpan w:val="11"/>
            <w:tcBorders>
              <w:top w:val="single" w:sz="4" w:space="0" w:color="auto"/>
              <w:bottom w:val="single" w:sz="4" w:space="0" w:color="auto"/>
            </w:tcBorders>
            <w:vAlign w:val="center"/>
          </w:tcPr>
          <w:p w14:paraId="395903E2" w14:textId="77777777" w:rsidR="005E234F" w:rsidRPr="00C055A5" w:rsidRDefault="005E234F" w:rsidP="005E234F">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5E234F" w:rsidRPr="00C055A5" w14:paraId="395903E9" w14:textId="77777777" w:rsidTr="005E234F">
        <w:trPr>
          <w:jc w:val="center"/>
        </w:trPr>
        <w:tc>
          <w:tcPr>
            <w:tcW w:w="2081" w:type="dxa"/>
            <w:gridSpan w:val="2"/>
            <w:tcBorders>
              <w:top w:val="single" w:sz="4" w:space="0" w:color="auto"/>
              <w:bottom w:val="single" w:sz="4" w:space="0" w:color="auto"/>
              <w:right w:val="single" w:sz="4" w:space="0" w:color="auto"/>
            </w:tcBorders>
            <w:vAlign w:val="center"/>
          </w:tcPr>
          <w:p w14:paraId="395903E4"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95903E5"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95903E6"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95903E7"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395903E8"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E234F" w:rsidRPr="00C055A5" w14:paraId="395903EF" w14:textId="77777777" w:rsidTr="005E234F">
        <w:trPr>
          <w:trHeight w:val="481"/>
          <w:jc w:val="center"/>
        </w:trPr>
        <w:tc>
          <w:tcPr>
            <w:tcW w:w="2081" w:type="dxa"/>
            <w:gridSpan w:val="2"/>
            <w:tcBorders>
              <w:top w:val="single" w:sz="4" w:space="0" w:color="auto"/>
              <w:bottom w:val="single" w:sz="4" w:space="0" w:color="auto"/>
              <w:right w:val="single" w:sz="4" w:space="0" w:color="auto"/>
            </w:tcBorders>
          </w:tcPr>
          <w:p w14:paraId="395903EA" w14:textId="77777777" w:rsidR="005E234F" w:rsidRPr="00C055A5" w:rsidRDefault="005E234F" w:rsidP="005E234F">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95903EB" w14:textId="77777777" w:rsidR="005E234F" w:rsidRPr="00C055A5" w:rsidRDefault="005E234F" w:rsidP="005E234F">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95903EC" w14:textId="77777777" w:rsidR="005E234F" w:rsidRPr="00C055A5" w:rsidRDefault="005E234F" w:rsidP="005E234F">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95903ED" w14:textId="77777777" w:rsidR="005E234F" w:rsidRPr="00C055A5" w:rsidRDefault="005E234F" w:rsidP="005E234F">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95903EE" w14:textId="77777777" w:rsidR="005E234F" w:rsidRPr="00C055A5" w:rsidRDefault="005E234F" w:rsidP="005E234F">
            <w:pPr>
              <w:rPr>
                <w:rFonts w:ascii="Helvetica" w:hAnsi="Helvetica" w:cs="Helvetica"/>
                <w:lang w:val="en-GB"/>
              </w:rPr>
            </w:pPr>
          </w:p>
        </w:tc>
      </w:tr>
      <w:tr w:rsidR="005E234F" w:rsidRPr="00C055A5" w14:paraId="395903F5" w14:textId="77777777" w:rsidTr="005E234F">
        <w:trPr>
          <w:trHeight w:val="481"/>
          <w:jc w:val="center"/>
        </w:trPr>
        <w:tc>
          <w:tcPr>
            <w:tcW w:w="2081" w:type="dxa"/>
            <w:gridSpan w:val="2"/>
            <w:tcBorders>
              <w:top w:val="single" w:sz="4" w:space="0" w:color="auto"/>
              <w:bottom w:val="single" w:sz="4" w:space="0" w:color="auto"/>
              <w:right w:val="single" w:sz="4" w:space="0" w:color="auto"/>
            </w:tcBorders>
          </w:tcPr>
          <w:p w14:paraId="395903F0" w14:textId="77777777" w:rsidR="005E234F" w:rsidRPr="00C055A5" w:rsidRDefault="005E234F" w:rsidP="005E234F">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95903F1" w14:textId="77777777" w:rsidR="005E234F" w:rsidRPr="00C055A5" w:rsidRDefault="005E234F" w:rsidP="005E234F">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95903F2" w14:textId="77777777" w:rsidR="005E234F" w:rsidRPr="00C055A5" w:rsidRDefault="005E234F" w:rsidP="005E234F">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95903F3" w14:textId="77777777" w:rsidR="005E234F" w:rsidRPr="00C055A5" w:rsidRDefault="005E234F" w:rsidP="005E234F">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95903F4" w14:textId="77777777" w:rsidR="005E234F" w:rsidRPr="00C055A5" w:rsidRDefault="005E234F" w:rsidP="005E234F">
            <w:pPr>
              <w:rPr>
                <w:rFonts w:ascii="Helvetica" w:hAnsi="Helvetica" w:cs="Helvetica"/>
                <w:lang w:val="en-GB"/>
              </w:rPr>
            </w:pPr>
          </w:p>
        </w:tc>
      </w:tr>
      <w:tr w:rsidR="005E234F" w:rsidRPr="00C055A5" w14:paraId="395903FB" w14:textId="77777777" w:rsidTr="005E234F">
        <w:trPr>
          <w:trHeight w:val="481"/>
          <w:jc w:val="center"/>
        </w:trPr>
        <w:tc>
          <w:tcPr>
            <w:tcW w:w="2081" w:type="dxa"/>
            <w:gridSpan w:val="2"/>
            <w:tcBorders>
              <w:top w:val="single" w:sz="4" w:space="0" w:color="auto"/>
              <w:bottom w:val="single" w:sz="4" w:space="0" w:color="auto"/>
              <w:right w:val="single" w:sz="4" w:space="0" w:color="auto"/>
            </w:tcBorders>
          </w:tcPr>
          <w:p w14:paraId="395903F6" w14:textId="77777777" w:rsidR="005E234F" w:rsidRPr="00C055A5" w:rsidRDefault="005E234F" w:rsidP="005E234F">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95903F7" w14:textId="77777777" w:rsidR="005E234F" w:rsidRPr="00C055A5" w:rsidRDefault="005E234F" w:rsidP="005E234F">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95903F8" w14:textId="77777777" w:rsidR="005E234F" w:rsidRPr="00C055A5" w:rsidRDefault="005E234F" w:rsidP="005E234F">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95903F9" w14:textId="77777777" w:rsidR="005E234F" w:rsidRPr="00C055A5" w:rsidRDefault="005E234F" w:rsidP="005E234F">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95903FA" w14:textId="77777777" w:rsidR="005E234F" w:rsidRPr="00C055A5" w:rsidRDefault="005E234F" w:rsidP="005E234F">
            <w:pPr>
              <w:rPr>
                <w:rFonts w:ascii="Helvetica" w:hAnsi="Helvetica" w:cs="Helvetica"/>
                <w:lang w:val="en-GB"/>
              </w:rPr>
            </w:pPr>
          </w:p>
        </w:tc>
      </w:tr>
      <w:tr w:rsidR="005E234F" w:rsidRPr="00C055A5" w14:paraId="39590401" w14:textId="77777777" w:rsidTr="005E234F">
        <w:trPr>
          <w:trHeight w:val="481"/>
          <w:jc w:val="center"/>
        </w:trPr>
        <w:tc>
          <w:tcPr>
            <w:tcW w:w="2081" w:type="dxa"/>
            <w:gridSpan w:val="2"/>
            <w:tcBorders>
              <w:top w:val="single" w:sz="4" w:space="0" w:color="auto"/>
              <w:left w:val="nil"/>
              <w:bottom w:val="nil"/>
              <w:right w:val="nil"/>
            </w:tcBorders>
          </w:tcPr>
          <w:p w14:paraId="395903FC" w14:textId="77777777" w:rsidR="005E234F" w:rsidRPr="00C055A5" w:rsidRDefault="005E234F" w:rsidP="005E234F">
            <w:pPr>
              <w:rPr>
                <w:rFonts w:ascii="Helvetica" w:hAnsi="Helvetica" w:cs="Helvetica"/>
                <w:lang w:val="en-GB"/>
              </w:rPr>
            </w:pPr>
          </w:p>
        </w:tc>
        <w:tc>
          <w:tcPr>
            <w:tcW w:w="1437" w:type="dxa"/>
            <w:tcBorders>
              <w:top w:val="single" w:sz="4" w:space="0" w:color="auto"/>
              <w:left w:val="nil"/>
              <w:bottom w:val="nil"/>
              <w:right w:val="single" w:sz="4" w:space="0" w:color="auto"/>
            </w:tcBorders>
          </w:tcPr>
          <w:p w14:paraId="395903FD" w14:textId="77777777" w:rsidR="005E234F" w:rsidRPr="00C055A5" w:rsidRDefault="005E234F" w:rsidP="005E234F">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95903FE" w14:textId="77777777" w:rsidR="005E234F" w:rsidRPr="00C055A5" w:rsidRDefault="005E234F" w:rsidP="005E234F">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95903FF" w14:textId="77777777" w:rsidR="005E234F" w:rsidRPr="00C055A5" w:rsidRDefault="00535D98" w:rsidP="00535D98">
            <w:pPr>
              <w:jc w:val="center"/>
              <w:rPr>
                <w:rFonts w:ascii="Helvetica" w:hAnsi="Helvetica" w:cs="Helvetica"/>
                <w:lang w:val="en-GB"/>
              </w:rPr>
            </w:pPr>
            <w:r>
              <w:rPr>
                <w:rFonts w:ascii="Helvetica" w:hAnsi="Helvetica" w:cs="Helvetica"/>
                <w:lang w:val="en-GB"/>
              </w:rPr>
              <w:t>NIL</w:t>
            </w:r>
          </w:p>
        </w:tc>
        <w:tc>
          <w:tcPr>
            <w:tcW w:w="2077" w:type="dxa"/>
            <w:gridSpan w:val="2"/>
            <w:tcBorders>
              <w:top w:val="single" w:sz="4" w:space="0" w:color="auto"/>
              <w:left w:val="single" w:sz="4" w:space="0" w:color="auto"/>
              <w:bottom w:val="single" w:sz="4" w:space="0" w:color="auto"/>
            </w:tcBorders>
          </w:tcPr>
          <w:p w14:paraId="39590400" w14:textId="77777777" w:rsidR="005E234F" w:rsidRPr="00C055A5" w:rsidRDefault="00535D98" w:rsidP="00535D98">
            <w:pPr>
              <w:jc w:val="center"/>
              <w:rPr>
                <w:rFonts w:ascii="Helvetica" w:hAnsi="Helvetica" w:cs="Helvetica"/>
                <w:lang w:val="en-GB"/>
              </w:rPr>
            </w:pPr>
            <w:r>
              <w:rPr>
                <w:rFonts w:ascii="Helvetica" w:hAnsi="Helvetica" w:cs="Helvetica"/>
                <w:lang w:val="en-GB"/>
              </w:rPr>
              <w:t>NIL</w:t>
            </w:r>
          </w:p>
        </w:tc>
      </w:tr>
      <w:tr w:rsidR="005E234F" w:rsidRPr="00C055A5" w14:paraId="39590403" w14:textId="77777777" w:rsidTr="005E234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9590402" w14:textId="77777777" w:rsidR="005E234F" w:rsidRPr="00C055A5" w:rsidRDefault="005E234F" w:rsidP="005E234F">
            <w:pPr>
              <w:rPr>
                <w:rFonts w:ascii="Helvetica" w:hAnsi="Helvetica" w:cs="Helvetica"/>
                <w:lang w:val="en-GB"/>
              </w:rPr>
            </w:pPr>
          </w:p>
        </w:tc>
      </w:tr>
      <w:tr w:rsidR="005E234F" w:rsidRPr="00C055A5" w14:paraId="39590405" w14:textId="77777777" w:rsidTr="005E234F">
        <w:trPr>
          <w:trHeight w:val="408"/>
          <w:jc w:val="center"/>
        </w:trPr>
        <w:tc>
          <w:tcPr>
            <w:tcW w:w="10620" w:type="dxa"/>
            <w:gridSpan w:val="11"/>
            <w:tcBorders>
              <w:top w:val="single" w:sz="4" w:space="0" w:color="auto"/>
              <w:bottom w:val="single" w:sz="4" w:space="0" w:color="auto"/>
            </w:tcBorders>
            <w:vAlign w:val="center"/>
          </w:tcPr>
          <w:p w14:paraId="39590404" w14:textId="77777777" w:rsidR="005E234F" w:rsidRPr="00C055A5" w:rsidRDefault="005E234F" w:rsidP="005E234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5E234F" w:rsidRPr="00C055A5" w14:paraId="3959040C" w14:textId="77777777" w:rsidTr="005E234F">
        <w:trPr>
          <w:jc w:val="center"/>
        </w:trPr>
        <w:tc>
          <w:tcPr>
            <w:tcW w:w="1861" w:type="dxa"/>
            <w:tcBorders>
              <w:top w:val="single" w:sz="4" w:space="0" w:color="auto"/>
              <w:bottom w:val="single" w:sz="4" w:space="0" w:color="auto"/>
              <w:right w:val="single" w:sz="4" w:space="0" w:color="auto"/>
            </w:tcBorders>
            <w:vAlign w:val="center"/>
          </w:tcPr>
          <w:p w14:paraId="39590406"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lastRenderedPageBreak/>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9590407"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9590408"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590409"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959040A"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959040B" w14:textId="77777777" w:rsidR="005E234F" w:rsidRPr="008F18BE" w:rsidRDefault="005E234F" w:rsidP="005E234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E234F" w:rsidRPr="00C055A5" w14:paraId="39590413" w14:textId="77777777" w:rsidTr="005E234F">
        <w:trPr>
          <w:trHeight w:val="481"/>
          <w:jc w:val="center"/>
        </w:trPr>
        <w:tc>
          <w:tcPr>
            <w:tcW w:w="1861" w:type="dxa"/>
            <w:tcBorders>
              <w:top w:val="single" w:sz="4" w:space="0" w:color="auto"/>
              <w:bottom w:val="single" w:sz="4" w:space="0" w:color="auto"/>
              <w:right w:val="single" w:sz="4" w:space="0" w:color="auto"/>
            </w:tcBorders>
          </w:tcPr>
          <w:p w14:paraId="3959040D" w14:textId="77777777" w:rsidR="00535D98" w:rsidRPr="00C055A5" w:rsidRDefault="00535D98" w:rsidP="005E234F">
            <w:pPr>
              <w:rPr>
                <w:rFonts w:ascii="Helvetica" w:hAnsi="Helvetica" w:cs="Helvetica"/>
                <w:lang w:val="en-GB"/>
              </w:rPr>
            </w:pPr>
            <w:r>
              <w:rPr>
                <w:rFonts w:ascii="Helvetica" w:hAnsi="Helvetica"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3959040E" w14:textId="77777777" w:rsidR="005E234F" w:rsidRPr="00C055A5" w:rsidRDefault="005E234F" w:rsidP="005E234F">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959040F" w14:textId="77777777" w:rsidR="005E234F" w:rsidRPr="00C055A5" w:rsidRDefault="005E234F" w:rsidP="005E234F">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590410" w14:textId="77777777" w:rsidR="005E234F" w:rsidRPr="00C055A5" w:rsidRDefault="005E234F" w:rsidP="005E234F">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9590411" w14:textId="77777777" w:rsidR="00D7155C" w:rsidRPr="00A738CD" w:rsidRDefault="00D7155C" w:rsidP="00D7155C">
            <w:pPr>
              <w:jc w:val="center"/>
              <w:rPr>
                <w:rFonts w:ascii="Calibri" w:hAnsi="Calibri"/>
                <w:color w:val="000000"/>
              </w:rPr>
            </w:pPr>
            <w:r>
              <w:rPr>
                <w:rFonts w:ascii="Calibri" w:hAnsi="Calibri"/>
                <w:color w:val="000000"/>
              </w:rPr>
              <w:t>NIL</w:t>
            </w:r>
          </w:p>
        </w:tc>
        <w:tc>
          <w:tcPr>
            <w:tcW w:w="1992" w:type="dxa"/>
            <w:tcBorders>
              <w:top w:val="single" w:sz="4" w:space="0" w:color="auto"/>
              <w:left w:val="single" w:sz="4" w:space="0" w:color="auto"/>
              <w:bottom w:val="single" w:sz="4" w:space="0" w:color="auto"/>
            </w:tcBorders>
            <w:vAlign w:val="center"/>
          </w:tcPr>
          <w:p w14:paraId="39590412" w14:textId="77777777" w:rsidR="005E234F" w:rsidRPr="00A738CD" w:rsidRDefault="00D7155C" w:rsidP="00A738CD">
            <w:pPr>
              <w:jc w:val="center"/>
              <w:rPr>
                <w:rFonts w:ascii="Calibri" w:hAnsi="Calibri"/>
                <w:color w:val="000000"/>
              </w:rPr>
            </w:pPr>
            <w:r>
              <w:rPr>
                <w:rFonts w:ascii="Calibri" w:hAnsi="Calibri"/>
                <w:color w:val="000000"/>
              </w:rPr>
              <w:t>NIL</w:t>
            </w:r>
          </w:p>
        </w:tc>
      </w:tr>
      <w:tr w:rsidR="005E234F" w:rsidRPr="00C055A5" w14:paraId="3959041A" w14:textId="77777777" w:rsidTr="005E234F">
        <w:trPr>
          <w:trHeight w:val="481"/>
          <w:jc w:val="center"/>
        </w:trPr>
        <w:tc>
          <w:tcPr>
            <w:tcW w:w="1861" w:type="dxa"/>
            <w:tcBorders>
              <w:top w:val="single" w:sz="4" w:space="0" w:color="auto"/>
              <w:bottom w:val="single" w:sz="4" w:space="0" w:color="auto"/>
              <w:right w:val="single" w:sz="4" w:space="0" w:color="auto"/>
            </w:tcBorders>
          </w:tcPr>
          <w:p w14:paraId="39590414" w14:textId="77777777" w:rsidR="005E234F" w:rsidRPr="00C055A5" w:rsidRDefault="005E234F" w:rsidP="005E234F">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39590415" w14:textId="77777777" w:rsidR="005E234F" w:rsidRPr="00C055A5" w:rsidRDefault="005E234F" w:rsidP="005E234F">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9590416" w14:textId="77777777" w:rsidR="005E234F" w:rsidRPr="00C055A5" w:rsidRDefault="005E234F" w:rsidP="005E234F">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590417" w14:textId="77777777" w:rsidR="005E234F" w:rsidRPr="00C055A5" w:rsidRDefault="005E234F" w:rsidP="005E234F">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9590418" w14:textId="77777777" w:rsidR="005E234F" w:rsidRPr="00C055A5" w:rsidRDefault="005E234F" w:rsidP="005E234F">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39590419" w14:textId="77777777" w:rsidR="005E234F" w:rsidRPr="00C055A5" w:rsidRDefault="005E234F" w:rsidP="005E234F">
            <w:pPr>
              <w:rPr>
                <w:rFonts w:ascii="Helvetica" w:hAnsi="Helvetica" w:cs="Helvetica"/>
                <w:lang w:val="en-GB"/>
              </w:rPr>
            </w:pPr>
          </w:p>
        </w:tc>
      </w:tr>
      <w:tr w:rsidR="005E234F" w:rsidRPr="00C055A5" w14:paraId="39590421" w14:textId="77777777" w:rsidTr="005E234F">
        <w:trPr>
          <w:trHeight w:val="481"/>
          <w:jc w:val="center"/>
        </w:trPr>
        <w:tc>
          <w:tcPr>
            <w:tcW w:w="1861" w:type="dxa"/>
            <w:tcBorders>
              <w:top w:val="single" w:sz="4" w:space="0" w:color="auto"/>
              <w:bottom w:val="single" w:sz="4" w:space="0" w:color="auto"/>
              <w:right w:val="single" w:sz="4" w:space="0" w:color="auto"/>
            </w:tcBorders>
          </w:tcPr>
          <w:p w14:paraId="3959041B" w14:textId="77777777" w:rsidR="005E234F" w:rsidRPr="00C055A5" w:rsidRDefault="005E234F" w:rsidP="005E234F">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3959041C" w14:textId="77777777" w:rsidR="005E234F" w:rsidRPr="00C055A5" w:rsidRDefault="005E234F" w:rsidP="005E234F">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959041D" w14:textId="77777777" w:rsidR="005E234F" w:rsidRPr="00C055A5" w:rsidRDefault="005E234F" w:rsidP="005E234F">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59041E" w14:textId="77777777" w:rsidR="005E234F" w:rsidRPr="00C055A5" w:rsidRDefault="005E234F" w:rsidP="005E234F">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959041F" w14:textId="77777777" w:rsidR="005E234F" w:rsidRPr="00C055A5" w:rsidRDefault="005E234F" w:rsidP="005E234F">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39590420" w14:textId="77777777" w:rsidR="005E234F" w:rsidRPr="00C055A5" w:rsidRDefault="005E234F" w:rsidP="005E234F">
            <w:pPr>
              <w:rPr>
                <w:rFonts w:ascii="Helvetica" w:hAnsi="Helvetica" w:cs="Helvetica"/>
                <w:lang w:val="en-GB"/>
              </w:rPr>
            </w:pPr>
          </w:p>
        </w:tc>
      </w:tr>
      <w:tr w:rsidR="00A738CD" w:rsidRPr="00C055A5" w14:paraId="39590428" w14:textId="77777777" w:rsidTr="009C0DF8">
        <w:trPr>
          <w:trHeight w:val="481"/>
          <w:jc w:val="center"/>
        </w:trPr>
        <w:tc>
          <w:tcPr>
            <w:tcW w:w="1861" w:type="dxa"/>
            <w:tcBorders>
              <w:top w:val="single" w:sz="4" w:space="0" w:color="auto"/>
              <w:left w:val="nil"/>
              <w:bottom w:val="nil"/>
              <w:right w:val="nil"/>
            </w:tcBorders>
          </w:tcPr>
          <w:p w14:paraId="39590422" w14:textId="77777777" w:rsidR="00A738CD" w:rsidRPr="00C055A5" w:rsidRDefault="00A738CD" w:rsidP="00A738CD">
            <w:pPr>
              <w:rPr>
                <w:rFonts w:ascii="Helvetica" w:hAnsi="Helvetica" w:cs="Helvetica"/>
                <w:lang w:val="en-GB"/>
              </w:rPr>
            </w:pPr>
          </w:p>
        </w:tc>
        <w:tc>
          <w:tcPr>
            <w:tcW w:w="1657" w:type="dxa"/>
            <w:gridSpan w:val="2"/>
            <w:tcBorders>
              <w:top w:val="single" w:sz="4" w:space="0" w:color="auto"/>
              <w:left w:val="nil"/>
              <w:bottom w:val="nil"/>
              <w:right w:val="nil"/>
            </w:tcBorders>
          </w:tcPr>
          <w:p w14:paraId="39590423" w14:textId="77777777" w:rsidR="00A738CD" w:rsidRPr="00C055A5" w:rsidRDefault="00A738CD" w:rsidP="00A738CD">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9590424" w14:textId="77777777" w:rsidR="00A738CD" w:rsidRPr="00C055A5" w:rsidRDefault="00A738CD" w:rsidP="00A738CD">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590425" w14:textId="77777777" w:rsidR="00A738CD" w:rsidRPr="00C055A5" w:rsidRDefault="00A738CD" w:rsidP="00A738CD">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39590426" w14:textId="77777777" w:rsidR="00A738CD" w:rsidRPr="00A738CD" w:rsidRDefault="00D7155C" w:rsidP="00A738CD">
            <w:pPr>
              <w:jc w:val="center"/>
              <w:rPr>
                <w:rFonts w:ascii="Calibri" w:hAnsi="Calibri"/>
                <w:color w:val="000000"/>
              </w:rPr>
            </w:pPr>
            <w:r>
              <w:rPr>
                <w:rFonts w:ascii="Calibri" w:hAnsi="Calibri"/>
                <w:color w:val="000000"/>
              </w:rPr>
              <w:t>NIL</w:t>
            </w:r>
          </w:p>
        </w:tc>
        <w:tc>
          <w:tcPr>
            <w:tcW w:w="1992" w:type="dxa"/>
            <w:tcBorders>
              <w:top w:val="single" w:sz="4" w:space="0" w:color="auto"/>
              <w:left w:val="single" w:sz="4" w:space="0" w:color="auto"/>
              <w:bottom w:val="single" w:sz="4" w:space="0" w:color="auto"/>
              <w:right w:val="single" w:sz="4" w:space="0" w:color="auto"/>
            </w:tcBorders>
            <w:vAlign w:val="center"/>
          </w:tcPr>
          <w:p w14:paraId="39590427" w14:textId="77777777" w:rsidR="00A738CD" w:rsidRPr="00A738CD" w:rsidRDefault="00D7155C" w:rsidP="00A738CD">
            <w:pPr>
              <w:jc w:val="center"/>
              <w:rPr>
                <w:rFonts w:ascii="Calibri" w:hAnsi="Calibri"/>
                <w:color w:val="000000"/>
              </w:rPr>
            </w:pPr>
            <w:r>
              <w:rPr>
                <w:rFonts w:ascii="Calibri" w:hAnsi="Calibri"/>
                <w:color w:val="000000"/>
              </w:rPr>
              <w:t>NIL</w:t>
            </w:r>
          </w:p>
        </w:tc>
      </w:tr>
    </w:tbl>
    <w:p w14:paraId="3959042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39590430" w14:textId="77777777" w:rsidTr="00F1736C">
        <w:trPr>
          <w:trHeight w:val="1047"/>
        </w:trPr>
        <w:tc>
          <w:tcPr>
            <w:tcW w:w="10620" w:type="dxa"/>
            <w:gridSpan w:val="4"/>
            <w:tcBorders>
              <w:bottom w:val="nil"/>
            </w:tcBorders>
          </w:tcPr>
          <w:p w14:paraId="3959042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959042B" w14:textId="77777777" w:rsidR="00C5065C" w:rsidRPr="00C055A5" w:rsidRDefault="00C5065C" w:rsidP="008F18BE">
            <w:pPr>
              <w:spacing w:after="0"/>
              <w:rPr>
                <w:rFonts w:ascii="Helvetica" w:hAnsi="Helvetica" w:cs="Helvetica"/>
                <w:b/>
                <w:lang w:val="en-GB"/>
              </w:rPr>
            </w:pPr>
          </w:p>
          <w:p w14:paraId="3959042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9042D" w14:textId="77777777" w:rsidR="00C5065C" w:rsidRPr="008F18BE" w:rsidRDefault="00C5065C" w:rsidP="008F18BE">
            <w:pPr>
              <w:spacing w:after="0"/>
              <w:rPr>
                <w:rFonts w:ascii="Helvetica" w:hAnsi="Helvetica" w:cs="Helvetica"/>
                <w:b/>
                <w:lang w:val="en-GB"/>
              </w:rPr>
            </w:pPr>
          </w:p>
          <w:p w14:paraId="3959042E"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959042F" w14:textId="77777777" w:rsidR="00C5065C" w:rsidRPr="00C055A5" w:rsidRDefault="00C5065C" w:rsidP="00C5065C">
            <w:pPr>
              <w:rPr>
                <w:rFonts w:ascii="Helvetica" w:hAnsi="Helvetica" w:cs="Helvetica"/>
                <w:b/>
                <w:lang w:val="en-GB"/>
              </w:rPr>
            </w:pPr>
          </w:p>
        </w:tc>
      </w:tr>
      <w:tr w:rsidR="00C5065C" w:rsidRPr="00C055A5" w14:paraId="39590435" w14:textId="77777777" w:rsidTr="00F1736C">
        <w:trPr>
          <w:trHeight w:val="1149"/>
        </w:trPr>
        <w:tc>
          <w:tcPr>
            <w:tcW w:w="2655" w:type="dxa"/>
            <w:tcBorders>
              <w:top w:val="nil"/>
            </w:tcBorders>
            <w:vAlign w:val="center"/>
          </w:tcPr>
          <w:p w14:paraId="39590431"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959043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959043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959043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E234F" w:rsidRPr="00C055A5" w14:paraId="3959043A" w14:textId="77777777" w:rsidTr="00F1736C">
        <w:trPr>
          <w:trHeight w:val="440"/>
        </w:trPr>
        <w:tc>
          <w:tcPr>
            <w:tcW w:w="2655" w:type="dxa"/>
          </w:tcPr>
          <w:p w14:paraId="39590436" w14:textId="77777777" w:rsidR="005E234F" w:rsidRPr="00D01DB4" w:rsidRDefault="005E234F" w:rsidP="005E234F">
            <w:pPr>
              <w:spacing w:after="0"/>
              <w:rPr>
                <w:rFonts w:ascii="Helvetica" w:hAnsi="Helvetica" w:cs="Helvetica"/>
                <w:sz w:val="20"/>
                <w:szCs w:val="20"/>
                <w:lang w:val="en-GB"/>
              </w:rPr>
            </w:pPr>
            <w:r>
              <w:rPr>
                <w:rFonts w:ascii="Helvetica" w:hAnsi="Helvetica" w:cs="Helvetica"/>
                <w:sz w:val="20"/>
                <w:szCs w:val="20"/>
                <w:lang w:val="en-GB"/>
              </w:rPr>
              <w:t>HSBC H</w:t>
            </w:r>
            <w:r w:rsidRPr="00D01DB4">
              <w:rPr>
                <w:rFonts w:ascii="Helvetica" w:hAnsi="Helvetica" w:cs="Helvetica"/>
                <w:sz w:val="20"/>
                <w:szCs w:val="20"/>
                <w:lang w:val="en-GB"/>
              </w:rPr>
              <w:t>oldings Plc</w:t>
            </w:r>
          </w:p>
        </w:tc>
        <w:tc>
          <w:tcPr>
            <w:tcW w:w="2655" w:type="dxa"/>
          </w:tcPr>
          <w:p w14:paraId="39590437" w14:textId="77777777" w:rsidR="005E234F" w:rsidRPr="005E234F" w:rsidRDefault="005E234F" w:rsidP="005E234F">
            <w:pPr>
              <w:jc w:val="center"/>
              <w:rPr>
                <w:rFonts w:ascii="Calibri" w:hAnsi="Calibri"/>
                <w:color w:val="000000"/>
              </w:rPr>
            </w:pPr>
          </w:p>
        </w:tc>
        <w:tc>
          <w:tcPr>
            <w:tcW w:w="2655" w:type="dxa"/>
          </w:tcPr>
          <w:p w14:paraId="39590438" w14:textId="77777777" w:rsidR="005E234F" w:rsidRPr="00C055A5" w:rsidRDefault="005E234F" w:rsidP="005E234F">
            <w:pPr>
              <w:jc w:val="center"/>
              <w:rPr>
                <w:rFonts w:ascii="Helvetica" w:hAnsi="Helvetica" w:cs="Helvetica"/>
                <w:b/>
                <w:lang w:val="en-GB"/>
              </w:rPr>
            </w:pPr>
          </w:p>
        </w:tc>
        <w:tc>
          <w:tcPr>
            <w:tcW w:w="2655" w:type="dxa"/>
          </w:tcPr>
          <w:p w14:paraId="39590439" w14:textId="77777777" w:rsidR="005E234F" w:rsidRPr="005E234F" w:rsidRDefault="005E234F" w:rsidP="005E234F">
            <w:pPr>
              <w:jc w:val="center"/>
              <w:rPr>
                <w:rFonts w:ascii="Calibri" w:hAnsi="Calibri"/>
                <w:color w:val="000000"/>
              </w:rPr>
            </w:pPr>
          </w:p>
        </w:tc>
      </w:tr>
      <w:tr w:rsidR="005E234F" w:rsidRPr="00C055A5" w14:paraId="3959043F" w14:textId="77777777" w:rsidTr="00F1736C">
        <w:trPr>
          <w:trHeight w:val="440"/>
        </w:trPr>
        <w:tc>
          <w:tcPr>
            <w:tcW w:w="2655" w:type="dxa"/>
          </w:tcPr>
          <w:p w14:paraId="3959043B" w14:textId="77777777" w:rsidR="005E234F" w:rsidRPr="00D01DB4" w:rsidRDefault="005E234F" w:rsidP="005E234F">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14:paraId="3959043C" w14:textId="77777777" w:rsidR="005E234F" w:rsidRPr="00A738CD" w:rsidRDefault="00D7155C" w:rsidP="00A738CD">
            <w:pPr>
              <w:jc w:val="center"/>
              <w:rPr>
                <w:rFonts w:ascii="Helvetica" w:hAnsi="Helvetica" w:cs="Helvetica"/>
                <w:lang w:val="en-GB"/>
              </w:rPr>
            </w:pPr>
            <w:r>
              <w:rPr>
                <w:rFonts w:ascii="Helvetica" w:hAnsi="Helvetica" w:cs="Helvetica"/>
                <w:lang w:val="en-GB"/>
              </w:rPr>
              <w:t>6.617%</w:t>
            </w:r>
          </w:p>
        </w:tc>
        <w:tc>
          <w:tcPr>
            <w:tcW w:w="2655" w:type="dxa"/>
          </w:tcPr>
          <w:p w14:paraId="3959043D" w14:textId="77777777" w:rsidR="005E234F" w:rsidRPr="00A738CD" w:rsidRDefault="00D7155C" w:rsidP="00A738CD">
            <w:pPr>
              <w:jc w:val="center"/>
              <w:rPr>
                <w:rFonts w:ascii="Helvetica" w:hAnsi="Helvetica" w:cs="Helvetica"/>
                <w:lang w:val="en-GB"/>
              </w:rPr>
            </w:pPr>
            <w:r>
              <w:rPr>
                <w:rFonts w:ascii="Helvetica" w:hAnsi="Helvetica" w:cs="Helvetica"/>
                <w:lang w:val="en-GB"/>
              </w:rPr>
              <w:t xml:space="preserve">NIL </w:t>
            </w:r>
          </w:p>
        </w:tc>
        <w:tc>
          <w:tcPr>
            <w:tcW w:w="2655" w:type="dxa"/>
          </w:tcPr>
          <w:p w14:paraId="3959043E" w14:textId="77777777" w:rsidR="005E234F" w:rsidRPr="00A738CD" w:rsidRDefault="00D7155C" w:rsidP="00A738CD">
            <w:pPr>
              <w:jc w:val="center"/>
              <w:rPr>
                <w:rFonts w:ascii="Helvetica" w:hAnsi="Helvetica" w:cs="Helvetica"/>
                <w:lang w:val="en-GB"/>
              </w:rPr>
            </w:pPr>
            <w:r>
              <w:rPr>
                <w:rFonts w:ascii="Helvetica" w:hAnsi="Helvetica" w:cs="Helvetica"/>
                <w:lang w:val="en-GB"/>
              </w:rPr>
              <w:t>6.617%</w:t>
            </w:r>
          </w:p>
        </w:tc>
      </w:tr>
      <w:tr w:rsidR="00E756BE" w:rsidRPr="00C055A5" w14:paraId="39590444" w14:textId="77777777" w:rsidTr="00F1736C">
        <w:trPr>
          <w:trHeight w:val="440"/>
        </w:trPr>
        <w:tc>
          <w:tcPr>
            <w:tcW w:w="2655" w:type="dxa"/>
          </w:tcPr>
          <w:p w14:paraId="39590440" w14:textId="77777777" w:rsidR="00E756BE" w:rsidRPr="00D01DB4" w:rsidRDefault="00E756BE" w:rsidP="005E234F">
            <w:pPr>
              <w:rPr>
                <w:rFonts w:ascii="Helvetica" w:hAnsi="Helvetica" w:cs="Helvetica"/>
                <w:sz w:val="20"/>
                <w:szCs w:val="20"/>
                <w:lang w:val="en-GB"/>
              </w:rPr>
            </w:pPr>
          </w:p>
        </w:tc>
        <w:tc>
          <w:tcPr>
            <w:tcW w:w="2655" w:type="dxa"/>
          </w:tcPr>
          <w:p w14:paraId="39590441" w14:textId="77777777" w:rsidR="00E756BE" w:rsidRPr="00C055A5" w:rsidRDefault="00E756BE" w:rsidP="005E234F">
            <w:pPr>
              <w:rPr>
                <w:rFonts w:ascii="Helvetica" w:hAnsi="Helvetica" w:cs="Helvetica"/>
                <w:b/>
                <w:lang w:val="en-GB"/>
              </w:rPr>
            </w:pPr>
          </w:p>
        </w:tc>
        <w:tc>
          <w:tcPr>
            <w:tcW w:w="2655" w:type="dxa"/>
          </w:tcPr>
          <w:p w14:paraId="39590442" w14:textId="77777777" w:rsidR="00E756BE" w:rsidRPr="00C055A5" w:rsidRDefault="00E756BE" w:rsidP="005E234F">
            <w:pPr>
              <w:rPr>
                <w:rFonts w:ascii="Helvetica" w:hAnsi="Helvetica" w:cs="Helvetica"/>
                <w:b/>
                <w:lang w:val="en-GB"/>
              </w:rPr>
            </w:pPr>
          </w:p>
        </w:tc>
        <w:tc>
          <w:tcPr>
            <w:tcW w:w="2655" w:type="dxa"/>
          </w:tcPr>
          <w:p w14:paraId="39590443" w14:textId="77777777" w:rsidR="00E756BE" w:rsidRPr="00C055A5" w:rsidRDefault="00E756BE" w:rsidP="005E234F">
            <w:pPr>
              <w:rPr>
                <w:rFonts w:ascii="Helvetica" w:hAnsi="Helvetica" w:cs="Helvetica"/>
                <w:b/>
                <w:lang w:val="en-GB"/>
              </w:rPr>
            </w:pPr>
          </w:p>
        </w:tc>
      </w:tr>
      <w:tr w:rsidR="00E756BE" w:rsidRPr="00C055A5" w14:paraId="39590449" w14:textId="77777777" w:rsidTr="00F1736C">
        <w:trPr>
          <w:trHeight w:val="440"/>
        </w:trPr>
        <w:tc>
          <w:tcPr>
            <w:tcW w:w="2655" w:type="dxa"/>
          </w:tcPr>
          <w:p w14:paraId="39590445" w14:textId="77777777" w:rsidR="00E756BE" w:rsidRPr="00D01DB4" w:rsidRDefault="00E756BE" w:rsidP="005E234F">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14:paraId="39590446" w14:textId="77777777" w:rsidR="00E756BE" w:rsidRPr="00C055A5" w:rsidRDefault="00E756BE" w:rsidP="005E234F">
            <w:pPr>
              <w:rPr>
                <w:rFonts w:ascii="Helvetica" w:hAnsi="Helvetica" w:cs="Helvetica"/>
                <w:b/>
                <w:lang w:val="en-GB"/>
              </w:rPr>
            </w:pPr>
          </w:p>
        </w:tc>
        <w:tc>
          <w:tcPr>
            <w:tcW w:w="2655" w:type="dxa"/>
          </w:tcPr>
          <w:p w14:paraId="39590447" w14:textId="77777777" w:rsidR="00E756BE" w:rsidRPr="00C055A5" w:rsidRDefault="00E756BE" w:rsidP="005E234F">
            <w:pPr>
              <w:rPr>
                <w:rFonts w:ascii="Helvetica" w:hAnsi="Helvetica" w:cs="Helvetica"/>
                <w:b/>
                <w:lang w:val="en-GB"/>
              </w:rPr>
            </w:pPr>
          </w:p>
        </w:tc>
        <w:tc>
          <w:tcPr>
            <w:tcW w:w="2655" w:type="dxa"/>
          </w:tcPr>
          <w:p w14:paraId="39590448" w14:textId="77777777" w:rsidR="00E756BE" w:rsidRPr="00C055A5" w:rsidRDefault="00E756BE" w:rsidP="005E234F">
            <w:pPr>
              <w:rPr>
                <w:rFonts w:ascii="Helvetica" w:hAnsi="Helvetica" w:cs="Helvetica"/>
                <w:b/>
                <w:lang w:val="en-GB"/>
              </w:rPr>
            </w:pPr>
          </w:p>
        </w:tc>
      </w:tr>
      <w:tr w:rsidR="00E756BE" w:rsidRPr="00C055A5" w14:paraId="3959044E" w14:textId="77777777" w:rsidTr="00F1736C">
        <w:trPr>
          <w:trHeight w:val="440"/>
        </w:trPr>
        <w:tc>
          <w:tcPr>
            <w:tcW w:w="2655" w:type="dxa"/>
          </w:tcPr>
          <w:p w14:paraId="3959044A" w14:textId="77777777" w:rsidR="00E756BE" w:rsidRPr="00D01DB4" w:rsidRDefault="00E756BE" w:rsidP="005E234F">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14:paraId="3959044B" w14:textId="77777777" w:rsidR="00E756BE" w:rsidRPr="00C055A5" w:rsidRDefault="00E756BE" w:rsidP="005E234F">
            <w:pPr>
              <w:rPr>
                <w:rFonts w:ascii="Helvetica" w:hAnsi="Helvetica" w:cs="Helvetica"/>
                <w:b/>
                <w:lang w:val="en-GB"/>
              </w:rPr>
            </w:pPr>
          </w:p>
        </w:tc>
        <w:tc>
          <w:tcPr>
            <w:tcW w:w="2655" w:type="dxa"/>
          </w:tcPr>
          <w:p w14:paraId="3959044C" w14:textId="77777777" w:rsidR="00E756BE" w:rsidRPr="00C055A5" w:rsidRDefault="00E756BE" w:rsidP="005E234F">
            <w:pPr>
              <w:rPr>
                <w:rFonts w:ascii="Helvetica" w:hAnsi="Helvetica" w:cs="Helvetica"/>
                <w:b/>
                <w:lang w:val="en-GB"/>
              </w:rPr>
            </w:pPr>
          </w:p>
        </w:tc>
        <w:tc>
          <w:tcPr>
            <w:tcW w:w="2655" w:type="dxa"/>
          </w:tcPr>
          <w:p w14:paraId="3959044D" w14:textId="77777777" w:rsidR="00E756BE" w:rsidRPr="00C055A5" w:rsidRDefault="00E756BE" w:rsidP="005E234F">
            <w:pPr>
              <w:rPr>
                <w:rFonts w:ascii="Helvetica" w:hAnsi="Helvetica" w:cs="Helvetica"/>
                <w:b/>
                <w:lang w:val="en-GB"/>
              </w:rPr>
            </w:pPr>
          </w:p>
        </w:tc>
      </w:tr>
      <w:tr w:rsidR="00E756BE" w:rsidRPr="00C055A5" w14:paraId="39590453" w14:textId="77777777" w:rsidTr="00F1736C">
        <w:trPr>
          <w:trHeight w:val="440"/>
        </w:trPr>
        <w:tc>
          <w:tcPr>
            <w:tcW w:w="2655" w:type="dxa"/>
          </w:tcPr>
          <w:p w14:paraId="3959044F" w14:textId="77777777" w:rsidR="00E756BE" w:rsidRPr="00D01DB4" w:rsidRDefault="00E756BE" w:rsidP="005E234F">
            <w:pPr>
              <w:rPr>
                <w:rFonts w:ascii="Helvetica" w:hAnsi="Helvetica" w:cs="Helvetica"/>
                <w:sz w:val="20"/>
                <w:szCs w:val="20"/>
                <w:lang w:val="en-GB"/>
              </w:rPr>
            </w:pPr>
            <w:r w:rsidRPr="00D01DB4">
              <w:rPr>
                <w:rFonts w:ascii="Helvetica" w:hAnsi="Helvetica" w:cs="Helvetica"/>
                <w:sz w:val="20"/>
                <w:szCs w:val="20"/>
                <w:lang w:val="en-GB"/>
              </w:rPr>
              <w:t>HSBC Germany Holdings GmbH</w:t>
            </w:r>
          </w:p>
        </w:tc>
        <w:tc>
          <w:tcPr>
            <w:tcW w:w="2655" w:type="dxa"/>
          </w:tcPr>
          <w:p w14:paraId="39590450" w14:textId="77777777" w:rsidR="00E756BE" w:rsidRPr="00C055A5" w:rsidRDefault="00E756BE" w:rsidP="005E234F">
            <w:pPr>
              <w:rPr>
                <w:rFonts w:ascii="Helvetica" w:hAnsi="Helvetica" w:cs="Helvetica"/>
                <w:b/>
                <w:lang w:val="en-GB"/>
              </w:rPr>
            </w:pPr>
          </w:p>
        </w:tc>
        <w:tc>
          <w:tcPr>
            <w:tcW w:w="2655" w:type="dxa"/>
          </w:tcPr>
          <w:p w14:paraId="39590451" w14:textId="77777777" w:rsidR="00E756BE" w:rsidRPr="00C055A5" w:rsidRDefault="00E756BE" w:rsidP="005E234F">
            <w:pPr>
              <w:rPr>
                <w:rFonts w:ascii="Helvetica" w:hAnsi="Helvetica" w:cs="Helvetica"/>
                <w:b/>
                <w:lang w:val="en-GB"/>
              </w:rPr>
            </w:pPr>
          </w:p>
        </w:tc>
        <w:tc>
          <w:tcPr>
            <w:tcW w:w="2655" w:type="dxa"/>
          </w:tcPr>
          <w:p w14:paraId="39590452" w14:textId="77777777" w:rsidR="00E756BE" w:rsidRPr="00C055A5" w:rsidRDefault="00E756BE" w:rsidP="005E234F">
            <w:pPr>
              <w:rPr>
                <w:rFonts w:ascii="Helvetica" w:hAnsi="Helvetica" w:cs="Helvetica"/>
                <w:b/>
                <w:lang w:val="en-GB"/>
              </w:rPr>
            </w:pPr>
          </w:p>
        </w:tc>
      </w:tr>
      <w:tr w:rsidR="00E756BE" w:rsidRPr="00C055A5" w14:paraId="39590458" w14:textId="77777777" w:rsidTr="00F1736C">
        <w:trPr>
          <w:trHeight w:val="440"/>
        </w:trPr>
        <w:tc>
          <w:tcPr>
            <w:tcW w:w="2655" w:type="dxa"/>
          </w:tcPr>
          <w:p w14:paraId="39590454" w14:textId="77777777" w:rsidR="00E756BE" w:rsidRPr="00C055A5" w:rsidRDefault="00E756BE" w:rsidP="005E234F">
            <w:pPr>
              <w:rPr>
                <w:rFonts w:ascii="Helvetica" w:hAnsi="Helvetica" w:cs="Helvetica"/>
                <w:b/>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AG</w:t>
            </w:r>
          </w:p>
        </w:tc>
        <w:tc>
          <w:tcPr>
            <w:tcW w:w="2655" w:type="dxa"/>
          </w:tcPr>
          <w:p w14:paraId="39590455" w14:textId="77777777" w:rsidR="00E756BE" w:rsidRPr="00C055A5" w:rsidRDefault="00E756BE" w:rsidP="005E234F">
            <w:pPr>
              <w:rPr>
                <w:rFonts w:ascii="Helvetica" w:hAnsi="Helvetica" w:cs="Helvetica"/>
                <w:b/>
                <w:lang w:val="en-GB"/>
              </w:rPr>
            </w:pPr>
          </w:p>
        </w:tc>
        <w:tc>
          <w:tcPr>
            <w:tcW w:w="2655" w:type="dxa"/>
          </w:tcPr>
          <w:p w14:paraId="39590456" w14:textId="77777777" w:rsidR="00E756BE" w:rsidRPr="00C055A5" w:rsidRDefault="00E756BE" w:rsidP="005E234F">
            <w:pPr>
              <w:rPr>
                <w:rFonts w:ascii="Helvetica" w:hAnsi="Helvetica" w:cs="Helvetica"/>
                <w:b/>
                <w:lang w:val="en-GB"/>
              </w:rPr>
            </w:pPr>
          </w:p>
        </w:tc>
        <w:tc>
          <w:tcPr>
            <w:tcW w:w="2655" w:type="dxa"/>
          </w:tcPr>
          <w:p w14:paraId="39590457" w14:textId="77777777" w:rsidR="00E756BE" w:rsidRPr="00C055A5" w:rsidRDefault="00E756BE" w:rsidP="005E234F">
            <w:pPr>
              <w:rPr>
                <w:rFonts w:ascii="Helvetica" w:hAnsi="Helvetica" w:cs="Helvetica"/>
                <w:b/>
                <w:lang w:val="en-GB"/>
              </w:rPr>
            </w:pPr>
          </w:p>
        </w:tc>
      </w:tr>
      <w:tr w:rsidR="00E756BE" w:rsidRPr="00C055A5" w14:paraId="3959045D" w14:textId="77777777" w:rsidTr="00F1736C">
        <w:trPr>
          <w:trHeight w:val="440"/>
        </w:trPr>
        <w:tc>
          <w:tcPr>
            <w:tcW w:w="2655" w:type="dxa"/>
          </w:tcPr>
          <w:p w14:paraId="39590459" w14:textId="77777777" w:rsidR="00E756BE" w:rsidRPr="00D01DB4" w:rsidRDefault="00E756BE" w:rsidP="005E234F">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Gesellschaft fur </w:t>
            </w:r>
            <w:proofErr w:type="spellStart"/>
            <w:r w:rsidRPr="00D01DB4">
              <w:rPr>
                <w:rFonts w:ascii="Helvetica" w:hAnsi="Helvetica" w:cs="Helvetica"/>
                <w:sz w:val="20"/>
                <w:szCs w:val="20"/>
                <w:lang w:val="en-GB"/>
              </w:rPr>
              <w:t>Bankbeteiligungen</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p>
        </w:tc>
        <w:tc>
          <w:tcPr>
            <w:tcW w:w="2655" w:type="dxa"/>
          </w:tcPr>
          <w:p w14:paraId="3959045A" w14:textId="77777777" w:rsidR="00E756BE" w:rsidRPr="00C055A5" w:rsidRDefault="00E756BE" w:rsidP="005E234F">
            <w:pPr>
              <w:rPr>
                <w:rFonts w:ascii="Helvetica" w:hAnsi="Helvetica" w:cs="Helvetica"/>
                <w:b/>
                <w:lang w:val="en-GB"/>
              </w:rPr>
            </w:pPr>
          </w:p>
        </w:tc>
        <w:tc>
          <w:tcPr>
            <w:tcW w:w="2655" w:type="dxa"/>
          </w:tcPr>
          <w:p w14:paraId="3959045B" w14:textId="77777777" w:rsidR="00E756BE" w:rsidRPr="00C055A5" w:rsidRDefault="00E756BE" w:rsidP="005E234F">
            <w:pPr>
              <w:rPr>
                <w:rFonts w:ascii="Helvetica" w:hAnsi="Helvetica" w:cs="Helvetica"/>
                <w:b/>
                <w:lang w:val="en-GB"/>
              </w:rPr>
            </w:pPr>
          </w:p>
        </w:tc>
        <w:tc>
          <w:tcPr>
            <w:tcW w:w="2655" w:type="dxa"/>
          </w:tcPr>
          <w:p w14:paraId="3959045C" w14:textId="77777777" w:rsidR="00E756BE" w:rsidRPr="00C055A5" w:rsidRDefault="00E756BE" w:rsidP="005E234F">
            <w:pPr>
              <w:rPr>
                <w:rFonts w:ascii="Helvetica" w:hAnsi="Helvetica" w:cs="Helvetica"/>
                <w:b/>
                <w:lang w:val="en-GB"/>
              </w:rPr>
            </w:pPr>
          </w:p>
        </w:tc>
      </w:tr>
      <w:tr w:rsidR="00E756BE" w:rsidRPr="00C055A5" w14:paraId="39590464" w14:textId="77777777" w:rsidTr="00F1736C">
        <w:trPr>
          <w:trHeight w:val="440"/>
        </w:trPr>
        <w:tc>
          <w:tcPr>
            <w:tcW w:w="2655" w:type="dxa"/>
          </w:tcPr>
          <w:p w14:paraId="3959045E" w14:textId="77777777" w:rsidR="00E756BE" w:rsidRPr="00D01DB4" w:rsidRDefault="00E756BE" w:rsidP="005E234F">
            <w:pPr>
              <w:rPr>
                <w:rFonts w:ascii="Helvetica" w:hAnsi="Helvetica" w:cs="Helvetica"/>
                <w:sz w:val="20"/>
                <w:szCs w:val="20"/>
                <w:lang w:val="en-GB"/>
              </w:rPr>
            </w:pPr>
            <w:r w:rsidRPr="00D01DB4">
              <w:rPr>
                <w:rFonts w:ascii="Helvetica" w:hAnsi="Helvetica" w:cs="Helvetica"/>
                <w:sz w:val="20"/>
                <w:szCs w:val="20"/>
                <w:lang w:val="en-GB"/>
              </w:rPr>
              <w:lastRenderedPageBreak/>
              <w:t xml:space="preserve">INKA Internationale </w:t>
            </w:r>
            <w:proofErr w:type="spellStart"/>
            <w:r w:rsidRPr="00D01DB4">
              <w:rPr>
                <w:rFonts w:ascii="Helvetica" w:hAnsi="Helvetica" w:cs="Helvetica"/>
                <w:sz w:val="20"/>
                <w:szCs w:val="20"/>
                <w:lang w:val="en-GB"/>
              </w:rPr>
              <w:t>Kapitalanlagegesellschft</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r w:rsidRPr="00D01DB4">
              <w:rPr>
                <w:rFonts w:ascii="Helvetica" w:hAnsi="Helvetica" w:cs="Helvetica"/>
                <w:sz w:val="20"/>
                <w:szCs w:val="20"/>
                <w:lang w:val="en-GB"/>
              </w:rPr>
              <w:t>, Dusseldorf</w:t>
            </w:r>
          </w:p>
        </w:tc>
        <w:tc>
          <w:tcPr>
            <w:tcW w:w="2655" w:type="dxa"/>
          </w:tcPr>
          <w:p w14:paraId="3959045F" w14:textId="77777777" w:rsidR="00E756BE" w:rsidRDefault="00E756BE" w:rsidP="00A738CD">
            <w:pPr>
              <w:jc w:val="center"/>
              <w:rPr>
                <w:rFonts w:ascii="Calibri" w:hAnsi="Calibri"/>
                <w:color w:val="000000"/>
              </w:rPr>
            </w:pPr>
          </w:p>
          <w:p w14:paraId="39590460" w14:textId="77777777" w:rsidR="00E756BE" w:rsidRPr="00C055A5" w:rsidRDefault="00E756BE" w:rsidP="00A738CD">
            <w:pPr>
              <w:jc w:val="center"/>
              <w:rPr>
                <w:rFonts w:ascii="Helvetica" w:hAnsi="Helvetica" w:cs="Helvetica"/>
                <w:b/>
                <w:lang w:val="en-GB"/>
              </w:rPr>
            </w:pPr>
            <w:r>
              <w:rPr>
                <w:rFonts w:ascii="Calibri" w:hAnsi="Calibri"/>
                <w:color w:val="000000"/>
              </w:rPr>
              <w:t>0.145</w:t>
            </w:r>
            <w:r w:rsidR="00D7155C">
              <w:rPr>
                <w:rFonts w:ascii="Calibri" w:hAnsi="Calibri"/>
                <w:color w:val="000000"/>
              </w:rPr>
              <w:t>%</w:t>
            </w:r>
          </w:p>
        </w:tc>
        <w:tc>
          <w:tcPr>
            <w:tcW w:w="2655" w:type="dxa"/>
          </w:tcPr>
          <w:p w14:paraId="39590461" w14:textId="77777777" w:rsidR="00E756BE" w:rsidRPr="00C055A5" w:rsidRDefault="00E756BE" w:rsidP="00A738CD">
            <w:pPr>
              <w:jc w:val="center"/>
              <w:rPr>
                <w:rFonts w:ascii="Helvetica" w:hAnsi="Helvetica" w:cs="Helvetica"/>
                <w:b/>
                <w:lang w:val="en-GB"/>
              </w:rPr>
            </w:pPr>
          </w:p>
        </w:tc>
        <w:tc>
          <w:tcPr>
            <w:tcW w:w="2655" w:type="dxa"/>
          </w:tcPr>
          <w:p w14:paraId="39590462" w14:textId="77777777" w:rsidR="00E756BE" w:rsidRDefault="00E756BE" w:rsidP="00A738CD">
            <w:pPr>
              <w:jc w:val="center"/>
              <w:rPr>
                <w:rFonts w:ascii="Calibri" w:hAnsi="Calibri"/>
                <w:color w:val="000000"/>
              </w:rPr>
            </w:pPr>
          </w:p>
          <w:p w14:paraId="39590463" w14:textId="77777777" w:rsidR="00E756BE" w:rsidRPr="00C055A5" w:rsidRDefault="00E756BE" w:rsidP="00A738CD">
            <w:pPr>
              <w:jc w:val="center"/>
              <w:rPr>
                <w:rFonts w:ascii="Helvetica" w:hAnsi="Helvetica" w:cs="Helvetica"/>
                <w:b/>
                <w:lang w:val="en-GB"/>
              </w:rPr>
            </w:pPr>
            <w:r>
              <w:rPr>
                <w:rFonts w:ascii="Calibri" w:hAnsi="Calibri"/>
                <w:color w:val="000000"/>
              </w:rPr>
              <w:t>0.145</w:t>
            </w:r>
            <w:r w:rsidR="00D7155C">
              <w:rPr>
                <w:rFonts w:ascii="Calibri" w:hAnsi="Calibri"/>
                <w:color w:val="000000"/>
              </w:rPr>
              <w:t>%</w:t>
            </w:r>
          </w:p>
        </w:tc>
      </w:tr>
      <w:tr w:rsidR="00A738CD" w:rsidRPr="00C055A5" w14:paraId="39590469" w14:textId="77777777" w:rsidTr="00F1736C">
        <w:trPr>
          <w:trHeight w:val="440"/>
        </w:trPr>
        <w:tc>
          <w:tcPr>
            <w:tcW w:w="2655" w:type="dxa"/>
          </w:tcPr>
          <w:p w14:paraId="39590465" w14:textId="77777777" w:rsidR="00A738CD" w:rsidRPr="00D01DB4" w:rsidRDefault="00A738CD" w:rsidP="005E234F">
            <w:pPr>
              <w:rPr>
                <w:rFonts w:ascii="Helvetica" w:hAnsi="Helvetica" w:cs="Helvetica"/>
                <w:sz w:val="20"/>
                <w:szCs w:val="20"/>
                <w:lang w:val="en-GB"/>
              </w:rPr>
            </w:pPr>
          </w:p>
        </w:tc>
        <w:tc>
          <w:tcPr>
            <w:tcW w:w="2655" w:type="dxa"/>
          </w:tcPr>
          <w:p w14:paraId="39590466" w14:textId="77777777" w:rsidR="00A738CD" w:rsidRDefault="00A738CD" w:rsidP="00A738CD">
            <w:pPr>
              <w:jc w:val="center"/>
              <w:rPr>
                <w:rFonts w:ascii="Calibri" w:hAnsi="Calibri"/>
                <w:color w:val="000000"/>
              </w:rPr>
            </w:pPr>
          </w:p>
        </w:tc>
        <w:tc>
          <w:tcPr>
            <w:tcW w:w="2655" w:type="dxa"/>
          </w:tcPr>
          <w:p w14:paraId="39590467" w14:textId="77777777" w:rsidR="00A738CD" w:rsidRPr="00C055A5" w:rsidRDefault="00A738CD" w:rsidP="00A738CD">
            <w:pPr>
              <w:jc w:val="center"/>
              <w:rPr>
                <w:rFonts w:ascii="Helvetica" w:hAnsi="Helvetica" w:cs="Helvetica"/>
                <w:b/>
                <w:lang w:val="en-GB"/>
              </w:rPr>
            </w:pPr>
          </w:p>
        </w:tc>
        <w:tc>
          <w:tcPr>
            <w:tcW w:w="2655" w:type="dxa"/>
          </w:tcPr>
          <w:p w14:paraId="39590468" w14:textId="77777777" w:rsidR="00A738CD" w:rsidRDefault="00A738CD" w:rsidP="00A738CD">
            <w:pPr>
              <w:jc w:val="center"/>
              <w:rPr>
                <w:rFonts w:ascii="Calibri" w:hAnsi="Calibri"/>
                <w:color w:val="000000"/>
              </w:rPr>
            </w:pPr>
          </w:p>
        </w:tc>
      </w:tr>
      <w:tr w:rsidR="00E756BE" w:rsidRPr="00C055A5" w14:paraId="3959046E" w14:textId="77777777" w:rsidTr="004F2B39">
        <w:trPr>
          <w:trHeight w:val="440"/>
        </w:trPr>
        <w:tc>
          <w:tcPr>
            <w:tcW w:w="2655" w:type="dxa"/>
            <w:vAlign w:val="center"/>
          </w:tcPr>
          <w:p w14:paraId="3959046A" w14:textId="77777777" w:rsidR="00E756BE" w:rsidRPr="00D01DB4" w:rsidRDefault="00E756BE" w:rsidP="005E234F">
            <w:pPr>
              <w:rPr>
                <w:rFonts w:ascii="Helvetica" w:hAnsi="Helvetica" w:cs="Helvetica"/>
                <w:sz w:val="20"/>
                <w:szCs w:val="20"/>
                <w:lang w:val="en-GB"/>
              </w:rPr>
            </w:pPr>
            <w:r>
              <w:rPr>
                <w:rFonts w:ascii="Helvetica" w:hAnsi="Helvetica"/>
                <w:sz w:val="20"/>
                <w:szCs w:val="20"/>
              </w:rPr>
              <w:t>HSBC Holdings plc</w:t>
            </w:r>
          </w:p>
        </w:tc>
        <w:tc>
          <w:tcPr>
            <w:tcW w:w="2655" w:type="dxa"/>
          </w:tcPr>
          <w:p w14:paraId="3959046B" w14:textId="77777777" w:rsidR="00E756BE" w:rsidRPr="00C055A5" w:rsidRDefault="00E756BE" w:rsidP="005E234F">
            <w:pPr>
              <w:rPr>
                <w:rFonts w:ascii="Helvetica" w:hAnsi="Helvetica" w:cs="Helvetica"/>
                <w:b/>
                <w:lang w:val="en-GB"/>
              </w:rPr>
            </w:pPr>
          </w:p>
        </w:tc>
        <w:tc>
          <w:tcPr>
            <w:tcW w:w="2655" w:type="dxa"/>
          </w:tcPr>
          <w:p w14:paraId="3959046C" w14:textId="77777777" w:rsidR="00E756BE" w:rsidRPr="00C055A5" w:rsidRDefault="00E756BE" w:rsidP="005E234F">
            <w:pPr>
              <w:rPr>
                <w:rFonts w:ascii="Helvetica" w:hAnsi="Helvetica" w:cs="Helvetica"/>
                <w:b/>
                <w:lang w:val="en-GB"/>
              </w:rPr>
            </w:pPr>
          </w:p>
        </w:tc>
        <w:tc>
          <w:tcPr>
            <w:tcW w:w="2655" w:type="dxa"/>
          </w:tcPr>
          <w:p w14:paraId="3959046D" w14:textId="77777777" w:rsidR="00E756BE" w:rsidRPr="00C055A5" w:rsidRDefault="00E756BE" w:rsidP="005E234F">
            <w:pPr>
              <w:rPr>
                <w:rFonts w:ascii="Helvetica" w:hAnsi="Helvetica" w:cs="Helvetica"/>
                <w:b/>
                <w:lang w:val="en-GB"/>
              </w:rPr>
            </w:pPr>
          </w:p>
        </w:tc>
      </w:tr>
      <w:tr w:rsidR="00E756BE" w:rsidRPr="00C055A5" w14:paraId="39590473" w14:textId="77777777" w:rsidTr="004F2B39">
        <w:trPr>
          <w:trHeight w:val="440"/>
        </w:trPr>
        <w:tc>
          <w:tcPr>
            <w:tcW w:w="2655" w:type="dxa"/>
            <w:vAlign w:val="center"/>
          </w:tcPr>
          <w:p w14:paraId="3959046F" w14:textId="77777777" w:rsidR="00E756BE" w:rsidRPr="00D01DB4" w:rsidRDefault="00E756BE" w:rsidP="005E234F">
            <w:pPr>
              <w:rPr>
                <w:rFonts w:ascii="Helvetica" w:hAnsi="Helvetica" w:cs="Helvetica"/>
                <w:sz w:val="20"/>
                <w:szCs w:val="20"/>
                <w:lang w:val="en-GB"/>
              </w:rPr>
            </w:pPr>
            <w:r>
              <w:rPr>
                <w:rFonts w:ascii="Helvetica" w:hAnsi="Helvetica"/>
                <w:sz w:val="20"/>
                <w:szCs w:val="20"/>
              </w:rPr>
              <w:t>HSBC Bank plc</w:t>
            </w:r>
          </w:p>
        </w:tc>
        <w:tc>
          <w:tcPr>
            <w:tcW w:w="2655" w:type="dxa"/>
          </w:tcPr>
          <w:p w14:paraId="39590470" w14:textId="77777777" w:rsidR="00E756BE" w:rsidRPr="00C055A5" w:rsidRDefault="00E756BE" w:rsidP="005E234F">
            <w:pPr>
              <w:rPr>
                <w:rFonts w:ascii="Helvetica" w:hAnsi="Helvetica" w:cs="Helvetica"/>
                <w:b/>
                <w:lang w:val="en-GB"/>
              </w:rPr>
            </w:pPr>
          </w:p>
        </w:tc>
        <w:tc>
          <w:tcPr>
            <w:tcW w:w="2655" w:type="dxa"/>
          </w:tcPr>
          <w:p w14:paraId="39590471" w14:textId="77777777" w:rsidR="00E756BE" w:rsidRPr="00C055A5" w:rsidRDefault="00E756BE" w:rsidP="005E234F">
            <w:pPr>
              <w:rPr>
                <w:rFonts w:ascii="Helvetica" w:hAnsi="Helvetica" w:cs="Helvetica"/>
                <w:b/>
                <w:lang w:val="en-GB"/>
              </w:rPr>
            </w:pPr>
          </w:p>
        </w:tc>
        <w:tc>
          <w:tcPr>
            <w:tcW w:w="2655" w:type="dxa"/>
          </w:tcPr>
          <w:p w14:paraId="39590472" w14:textId="77777777" w:rsidR="00E756BE" w:rsidRPr="00C055A5" w:rsidRDefault="00E756BE" w:rsidP="005E234F">
            <w:pPr>
              <w:rPr>
                <w:rFonts w:ascii="Helvetica" w:hAnsi="Helvetica" w:cs="Helvetica"/>
                <w:b/>
                <w:lang w:val="en-GB"/>
              </w:rPr>
            </w:pPr>
          </w:p>
        </w:tc>
      </w:tr>
      <w:tr w:rsidR="00E756BE" w:rsidRPr="00C055A5" w14:paraId="39590478" w14:textId="77777777" w:rsidTr="004F2B39">
        <w:trPr>
          <w:trHeight w:val="440"/>
        </w:trPr>
        <w:tc>
          <w:tcPr>
            <w:tcW w:w="2655" w:type="dxa"/>
            <w:vAlign w:val="center"/>
          </w:tcPr>
          <w:p w14:paraId="39590474" w14:textId="77777777" w:rsidR="00E756BE" w:rsidRPr="00D01DB4" w:rsidRDefault="00E756BE" w:rsidP="005E234F">
            <w:pPr>
              <w:rPr>
                <w:rFonts w:ascii="Helvetica" w:hAnsi="Helvetica" w:cs="Helvetica"/>
                <w:sz w:val="20"/>
                <w:szCs w:val="20"/>
                <w:lang w:val="en-GB"/>
              </w:rPr>
            </w:pPr>
            <w:r>
              <w:rPr>
                <w:rFonts w:ascii="Helvetica" w:hAnsi="Helvetica" w:cs="Helvetica"/>
                <w:sz w:val="20"/>
                <w:szCs w:val="20"/>
              </w:rPr>
              <w:t>HSBC France</w:t>
            </w:r>
          </w:p>
        </w:tc>
        <w:tc>
          <w:tcPr>
            <w:tcW w:w="2655" w:type="dxa"/>
          </w:tcPr>
          <w:p w14:paraId="39590475" w14:textId="77777777" w:rsidR="00E756BE" w:rsidRPr="00C055A5" w:rsidRDefault="00E756BE" w:rsidP="005E234F">
            <w:pPr>
              <w:rPr>
                <w:rFonts w:ascii="Helvetica" w:hAnsi="Helvetica" w:cs="Helvetica"/>
                <w:b/>
                <w:lang w:val="en-GB"/>
              </w:rPr>
            </w:pPr>
          </w:p>
        </w:tc>
        <w:tc>
          <w:tcPr>
            <w:tcW w:w="2655" w:type="dxa"/>
          </w:tcPr>
          <w:p w14:paraId="39590476" w14:textId="77777777" w:rsidR="00E756BE" w:rsidRPr="00C055A5" w:rsidRDefault="00E756BE" w:rsidP="005E234F">
            <w:pPr>
              <w:rPr>
                <w:rFonts w:ascii="Helvetica" w:hAnsi="Helvetica" w:cs="Helvetica"/>
                <w:b/>
                <w:lang w:val="en-GB"/>
              </w:rPr>
            </w:pPr>
          </w:p>
        </w:tc>
        <w:tc>
          <w:tcPr>
            <w:tcW w:w="2655" w:type="dxa"/>
          </w:tcPr>
          <w:p w14:paraId="39590477" w14:textId="77777777" w:rsidR="00E756BE" w:rsidRPr="00C055A5" w:rsidRDefault="00E756BE" w:rsidP="005E234F">
            <w:pPr>
              <w:rPr>
                <w:rFonts w:ascii="Helvetica" w:hAnsi="Helvetica" w:cs="Helvetica"/>
                <w:b/>
                <w:lang w:val="en-GB"/>
              </w:rPr>
            </w:pPr>
          </w:p>
        </w:tc>
      </w:tr>
      <w:tr w:rsidR="00E756BE" w:rsidRPr="00C055A5" w14:paraId="3959047D" w14:textId="77777777" w:rsidTr="004F2B39">
        <w:trPr>
          <w:trHeight w:val="440"/>
        </w:trPr>
        <w:tc>
          <w:tcPr>
            <w:tcW w:w="2655" w:type="dxa"/>
            <w:vAlign w:val="center"/>
          </w:tcPr>
          <w:p w14:paraId="39590479" w14:textId="77777777" w:rsidR="00E756BE" w:rsidRPr="00D01DB4" w:rsidRDefault="00E756BE" w:rsidP="005E234F">
            <w:pPr>
              <w:rPr>
                <w:rFonts w:ascii="Helvetica" w:hAnsi="Helvetica" w:cs="Helvetica"/>
                <w:sz w:val="20"/>
                <w:szCs w:val="20"/>
                <w:lang w:val="en-GB"/>
              </w:rPr>
            </w:pPr>
            <w:r>
              <w:rPr>
                <w:rFonts w:ascii="Helvetica" w:hAnsi="Helvetica" w:cs="Helvetica"/>
                <w:sz w:val="20"/>
                <w:szCs w:val="20"/>
              </w:rPr>
              <w:t>HSBC EPARGNE ENTREPRISE (France)</w:t>
            </w:r>
          </w:p>
        </w:tc>
        <w:tc>
          <w:tcPr>
            <w:tcW w:w="2655" w:type="dxa"/>
          </w:tcPr>
          <w:p w14:paraId="3959047A" w14:textId="77777777" w:rsidR="00E756BE" w:rsidRPr="005E234F" w:rsidRDefault="00E756BE" w:rsidP="005E234F">
            <w:pPr>
              <w:jc w:val="center"/>
              <w:rPr>
                <w:rFonts w:ascii="Calibri" w:hAnsi="Calibri"/>
                <w:color w:val="000000"/>
              </w:rPr>
            </w:pPr>
          </w:p>
        </w:tc>
        <w:tc>
          <w:tcPr>
            <w:tcW w:w="2655" w:type="dxa"/>
          </w:tcPr>
          <w:p w14:paraId="3959047B" w14:textId="77777777" w:rsidR="00E756BE" w:rsidRPr="00C055A5" w:rsidRDefault="00E756BE" w:rsidP="005E234F">
            <w:pPr>
              <w:jc w:val="center"/>
              <w:rPr>
                <w:rFonts w:ascii="Helvetica" w:hAnsi="Helvetica" w:cs="Helvetica"/>
                <w:b/>
                <w:lang w:val="en-GB"/>
              </w:rPr>
            </w:pPr>
          </w:p>
        </w:tc>
        <w:tc>
          <w:tcPr>
            <w:tcW w:w="2655" w:type="dxa"/>
          </w:tcPr>
          <w:p w14:paraId="3959047C" w14:textId="77777777" w:rsidR="00E756BE" w:rsidRPr="005E234F" w:rsidRDefault="00E756BE" w:rsidP="005E234F">
            <w:pPr>
              <w:jc w:val="center"/>
              <w:rPr>
                <w:rFonts w:ascii="Calibri" w:hAnsi="Calibri"/>
                <w:color w:val="000000"/>
              </w:rPr>
            </w:pPr>
          </w:p>
        </w:tc>
      </w:tr>
      <w:tr w:rsidR="00E756BE" w:rsidRPr="00C055A5" w14:paraId="39590482" w14:textId="77777777" w:rsidTr="00B15C8C">
        <w:trPr>
          <w:trHeight w:val="440"/>
        </w:trPr>
        <w:tc>
          <w:tcPr>
            <w:tcW w:w="2655" w:type="dxa"/>
            <w:vAlign w:val="center"/>
          </w:tcPr>
          <w:p w14:paraId="3959047E" w14:textId="77777777" w:rsidR="00E756BE" w:rsidRPr="00DA3C49" w:rsidRDefault="00E756BE" w:rsidP="00D06C38">
            <w:pPr>
              <w:rPr>
                <w:rFonts w:ascii="Arial" w:hAnsi="Arial" w:cs="Arial"/>
              </w:rPr>
            </w:pPr>
            <w:r>
              <w:rPr>
                <w:rFonts w:ascii="Helvetica" w:hAnsi="Helvetica" w:cs="Helvetica"/>
                <w:sz w:val="20"/>
                <w:szCs w:val="20"/>
              </w:rPr>
              <w:t>HSBC Global Asset Management (France)</w:t>
            </w:r>
          </w:p>
        </w:tc>
        <w:tc>
          <w:tcPr>
            <w:tcW w:w="2655" w:type="dxa"/>
          </w:tcPr>
          <w:p w14:paraId="3959047F" w14:textId="77777777" w:rsidR="00E756BE" w:rsidRPr="00C055A5" w:rsidRDefault="00E756BE" w:rsidP="00A738CD">
            <w:pPr>
              <w:jc w:val="center"/>
              <w:rPr>
                <w:rFonts w:ascii="Helvetica" w:hAnsi="Helvetica" w:cs="Helvetica"/>
                <w:b/>
                <w:lang w:val="en-GB"/>
              </w:rPr>
            </w:pPr>
            <w:r>
              <w:rPr>
                <w:rFonts w:ascii="Calibri" w:hAnsi="Calibri"/>
                <w:color w:val="000000"/>
              </w:rPr>
              <w:t>0.233</w:t>
            </w:r>
            <w:r w:rsidR="00D7155C">
              <w:rPr>
                <w:rFonts w:ascii="Calibri" w:hAnsi="Calibri"/>
                <w:color w:val="000000"/>
              </w:rPr>
              <w:t>%</w:t>
            </w:r>
          </w:p>
        </w:tc>
        <w:tc>
          <w:tcPr>
            <w:tcW w:w="2655" w:type="dxa"/>
          </w:tcPr>
          <w:p w14:paraId="39590480" w14:textId="77777777" w:rsidR="00E756BE" w:rsidRPr="00C055A5" w:rsidRDefault="00E756BE" w:rsidP="00A738CD">
            <w:pPr>
              <w:jc w:val="center"/>
              <w:rPr>
                <w:rFonts w:ascii="Helvetica" w:hAnsi="Helvetica" w:cs="Helvetica"/>
                <w:b/>
                <w:lang w:val="en-GB"/>
              </w:rPr>
            </w:pPr>
          </w:p>
        </w:tc>
        <w:tc>
          <w:tcPr>
            <w:tcW w:w="2655" w:type="dxa"/>
          </w:tcPr>
          <w:p w14:paraId="39590481" w14:textId="77777777" w:rsidR="00E756BE" w:rsidRPr="00C055A5" w:rsidRDefault="00E756BE" w:rsidP="00A738CD">
            <w:pPr>
              <w:jc w:val="center"/>
              <w:rPr>
                <w:rFonts w:ascii="Helvetica" w:hAnsi="Helvetica" w:cs="Helvetica"/>
                <w:b/>
                <w:lang w:val="en-GB"/>
              </w:rPr>
            </w:pPr>
            <w:r>
              <w:rPr>
                <w:rFonts w:ascii="Calibri" w:hAnsi="Calibri"/>
                <w:color w:val="000000"/>
              </w:rPr>
              <w:t>0.233</w:t>
            </w:r>
            <w:r w:rsidR="00D7155C">
              <w:rPr>
                <w:rFonts w:ascii="Calibri" w:hAnsi="Calibri"/>
                <w:color w:val="000000"/>
              </w:rPr>
              <w:t>%</w:t>
            </w:r>
          </w:p>
        </w:tc>
      </w:tr>
      <w:tr w:rsidR="00E756BE" w:rsidRPr="00C055A5" w14:paraId="39590487" w14:textId="77777777" w:rsidTr="004F2B39">
        <w:trPr>
          <w:trHeight w:val="440"/>
        </w:trPr>
        <w:tc>
          <w:tcPr>
            <w:tcW w:w="2655" w:type="dxa"/>
            <w:tcBorders>
              <w:left w:val="nil"/>
              <w:right w:val="nil"/>
            </w:tcBorders>
          </w:tcPr>
          <w:p w14:paraId="39590483" w14:textId="77777777" w:rsidR="00E756BE" w:rsidRPr="00DA3C49" w:rsidRDefault="00E756BE" w:rsidP="00D06C38">
            <w:pPr>
              <w:rPr>
                <w:rFonts w:ascii="Arial" w:hAnsi="Arial" w:cs="Arial"/>
              </w:rPr>
            </w:pPr>
          </w:p>
        </w:tc>
        <w:tc>
          <w:tcPr>
            <w:tcW w:w="2655" w:type="dxa"/>
          </w:tcPr>
          <w:p w14:paraId="39590484" w14:textId="77777777" w:rsidR="00E756BE" w:rsidRPr="00C055A5" w:rsidRDefault="00E756BE" w:rsidP="00D06C38">
            <w:pPr>
              <w:rPr>
                <w:rFonts w:ascii="Helvetica" w:hAnsi="Helvetica" w:cs="Helvetica"/>
                <w:b/>
                <w:lang w:val="en-GB"/>
              </w:rPr>
            </w:pPr>
          </w:p>
        </w:tc>
        <w:tc>
          <w:tcPr>
            <w:tcW w:w="2655" w:type="dxa"/>
          </w:tcPr>
          <w:p w14:paraId="39590485" w14:textId="77777777" w:rsidR="00E756BE" w:rsidRPr="00C055A5" w:rsidRDefault="00E756BE" w:rsidP="00D06C38">
            <w:pPr>
              <w:rPr>
                <w:rFonts w:ascii="Helvetica" w:hAnsi="Helvetica" w:cs="Helvetica"/>
                <w:b/>
                <w:lang w:val="en-GB"/>
              </w:rPr>
            </w:pPr>
          </w:p>
        </w:tc>
        <w:tc>
          <w:tcPr>
            <w:tcW w:w="2655" w:type="dxa"/>
          </w:tcPr>
          <w:p w14:paraId="39590486" w14:textId="77777777" w:rsidR="00E756BE" w:rsidRPr="00C055A5" w:rsidRDefault="00E756BE" w:rsidP="00D06C38">
            <w:pPr>
              <w:rPr>
                <w:rFonts w:ascii="Helvetica" w:hAnsi="Helvetica" w:cs="Helvetica"/>
                <w:b/>
                <w:lang w:val="en-GB"/>
              </w:rPr>
            </w:pPr>
          </w:p>
        </w:tc>
      </w:tr>
      <w:tr w:rsidR="00E756BE" w:rsidRPr="00C055A5" w14:paraId="3959048E" w14:textId="77777777" w:rsidTr="00B15C8C">
        <w:trPr>
          <w:trHeight w:val="440"/>
        </w:trPr>
        <w:tc>
          <w:tcPr>
            <w:tcW w:w="2655" w:type="dxa"/>
            <w:vAlign w:val="center"/>
          </w:tcPr>
          <w:p w14:paraId="39590488" w14:textId="77777777" w:rsidR="00E756BE" w:rsidRPr="00C055A5" w:rsidRDefault="00E756BE" w:rsidP="00D06C38">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39590489" w14:textId="77777777" w:rsidR="00E756BE" w:rsidRDefault="00E756BE" w:rsidP="00D06C38">
            <w:pPr>
              <w:rPr>
                <w:rFonts w:ascii="Helvetica" w:hAnsi="Helvetica" w:cs="Helvetica"/>
                <w:b/>
                <w:lang w:val="en-GB"/>
              </w:rPr>
            </w:pPr>
          </w:p>
          <w:p w14:paraId="3959048A" w14:textId="77777777" w:rsidR="00E756BE" w:rsidRPr="00DA3C49" w:rsidRDefault="00E756BE" w:rsidP="00D06C38">
            <w:pPr>
              <w:rPr>
                <w:rFonts w:ascii="Arial" w:hAnsi="Arial" w:cs="Arial"/>
              </w:rPr>
            </w:pPr>
          </w:p>
        </w:tc>
        <w:tc>
          <w:tcPr>
            <w:tcW w:w="2655" w:type="dxa"/>
          </w:tcPr>
          <w:p w14:paraId="3959048B" w14:textId="77777777" w:rsidR="00E756BE" w:rsidRPr="00C055A5" w:rsidRDefault="00E756BE" w:rsidP="00D06C38">
            <w:pPr>
              <w:rPr>
                <w:rFonts w:ascii="Helvetica" w:hAnsi="Helvetica" w:cs="Helvetica"/>
                <w:b/>
                <w:lang w:val="en-GB"/>
              </w:rPr>
            </w:pPr>
          </w:p>
        </w:tc>
        <w:tc>
          <w:tcPr>
            <w:tcW w:w="2655" w:type="dxa"/>
          </w:tcPr>
          <w:p w14:paraId="3959048C" w14:textId="77777777" w:rsidR="00E756BE" w:rsidRPr="00C055A5" w:rsidRDefault="00E756BE" w:rsidP="00D06C38">
            <w:pPr>
              <w:rPr>
                <w:rFonts w:ascii="Helvetica" w:hAnsi="Helvetica" w:cs="Helvetica"/>
                <w:b/>
                <w:lang w:val="en-GB"/>
              </w:rPr>
            </w:pPr>
          </w:p>
        </w:tc>
        <w:tc>
          <w:tcPr>
            <w:tcW w:w="2655" w:type="dxa"/>
          </w:tcPr>
          <w:p w14:paraId="3959048D" w14:textId="77777777" w:rsidR="00E756BE" w:rsidRPr="00C055A5" w:rsidRDefault="00E756BE" w:rsidP="00D06C38">
            <w:pPr>
              <w:rPr>
                <w:rFonts w:ascii="Helvetica" w:hAnsi="Helvetica" w:cs="Helvetica"/>
                <w:b/>
                <w:lang w:val="en-GB"/>
              </w:rPr>
            </w:pPr>
          </w:p>
        </w:tc>
      </w:tr>
      <w:tr w:rsidR="00E756BE" w:rsidRPr="00C055A5" w14:paraId="39590493" w14:textId="77777777" w:rsidTr="004F2B39">
        <w:trPr>
          <w:trHeight w:val="440"/>
        </w:trPr>
        <w:tc>
          <w:tcPr>
            <w:tcW w:w="2655" w:type="dxa"/>
            <w:tcBorders>
              <w:left w:val="nil"/>
              <w:bottom w:val="nil"/>
              <w:right w:val="nil"/>
            </w:tcBorders>
            <w:vAlign w:val="center"/>
          </w:tcPr>
          <w:p w14:paraId="3959048F" w14:textId="77777777" w:rsidR="00E756BE" w:rsidRPr="00DA3C49" w:rsidRDefault="00E756BE" w:rsidP="00D06C38">
            <w:pPr>
              <w:rPr>
                <w:rFonts w:ascii="Arial" w:hAnsi="Arial" w:cs="Arial"/>
              </w:rPr>
            </w:pPr>
          </w:p>
        </w:tc>
        <w:tc>
          <w:tcPr>
            <w:tcW w:w="2655" w:type="dxa"/>
          </w:tcPr>
          <w:p w14:paraId="39590490" w14:textId="77777777" w:rsidR="00E756BE" w:rsidRPr="00D06C38" w:rsidRDefault="00E756BE" w:rsidP="00D06C38">
            <w:pPr>
              <w:jc w:val="center"/>
              <w:rPr>
                <w:rFonts w:ascii="Calibri" w:hAnsi="Calibri"/>
                <w:color w:val="000000"/>
              </w:rPr>
            </w:pPr>
          </w:p>
        </w:tc>
        <w:tc>
          <w:tcPr>
            <w:tcW w:w="2655" w:type="dxa"/>
          </w:tcPr>
          <w:p w14:paraId="39590491" w14:textId="77777777" w:rsidR="00E756BE" w:rsidRPr="00C055A5" w:rsidRDefault="00E756BE" w:rsidP="00D06C38">
            <w:pPr>
              <w:jc w:val="center"/>
              <w:rPr>
                <w:rFonts w:ascii="Helvetica" w:hAnsi="Helvetica" w:cs="Helvetica"/>
                <w:b/>
                <w:lang w:val="en-GB"/>
              </w:rPr>
            </w:pPr>
          </w:p>
        </w:tc>
        <w:tc>
          <w:tcPr>
            <w:tcW w:w="2655" w:type="dxa"/>
          </w:tcPr>
          <w:p w14:paraId="39590492" w14:textId="77777777" w:rsidR="00E756BE" w:rsidRPr="00D06C38" w:rsidRDefault="00E756BE" w:rsidP="00D06C38">
            <w:pPr>
              <w:jc w:val="center"/>
              <w:rPr>
                <w:rFonts w:ascii="Calibri" w:hAnsi="Calibri"/>
                <w:color w:val="000000"/>
              </w:rPr>
            </w:pPr>
          </w:p>
        </w:tc>
      </w:tr>
      <w:tr w:rsidR="00E756BE" w:rsidRPr="00C055A5" w14:paraId="3959049B" w14:textId="77777777" w:rsidTr="00F1736C">
        <w:trPr>
          <w:trHeight w:val="440"/>
        </w:trPr>
        <w:tc>
          <w:tcPr>
            <w:tcW w:w="2655" w:type="dxa"/>
          </w:tcPr>
          <w:p w14:paraId="39590494" w14:textId="77777777" w:rsidR="00E756BE" w:rsidRPr="00C055A5" w:rsidRDefault="00E756BE" w:rsidP="00D06C38">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39590495" w14:textId="77777777" w:rsidR="00E756BE" w:rsidRPr="00C055A5" w:rsidRDefault="00E756BE" w:rsidP="00D06C38">
            <w:pPr>
              <w:spacing w:after="0"/>
              <w:rPr>
                <w:rFonts w:ascii="Helvetica" w:hAnsi="Helvetica" w:cs="Helvetica"/>
                <w:b/>
                <w:lang w:val="en-GB"/>
              </w:rPr>
            </w:pPr>
          </w:p>
          <w:p w14:paraId="39590496" w14:textId="77777777" w:rsidR="00E756BE" w:rsidRPr="00C055A5" w:rsidRDefault="00E756BE" w:rsidP="00D06C38">
            <w:pPr>
              <w:spacing w:after="0"/>
              <w:rPr>
                <w:rFonts w:ascii="Helvetica" w:hAnsi="Helvetica" w:cs="Helvetica"/>
                <w:b/>
                <w:lang w:val="en-GB"/>
              </w:rPr>
            </w:pPr>
          </w:p>
          <w:p w14:paraId="39590497" w14:textId="77777777" w:rsidR="00E756BE" w:rsidRPr="00C055A5" w:rsidRDefault="00E756BE" w:rsidP="00D06C38">
            <w:pPr>
              <w:rPr>
                <w:rFonts w:ascii="Helvetica" w:hAnsi="Helvetica" w:cs="Helvetica"/>
                <w:b/>
                <w:lang w:val="en-GB"/>
              </w:rPr>
            </w:pPr>
            <w:r w:rsidRPr="00C055A5">
              <w:rPr>
                <w:rFonts w:ascii="Helvetica" w:hAnsi="Helvetica" w:cs="Helvetica"/>
                <w:lang w:val="en-GB"/>
              </w:rPr>
              <w:br/>
            </w:r>
          </w:p>
        </w:tc>
        <w:tc>
          <w:tcPr>
            <w:tcW w:w="2655" w:type="dxa"/>
          </w:tcPr>
          <w:p w14:paraId="39590498" w14:textId="77777777" w:rsidR="00E756BE" w:rsidRPr="00C055A5" w:rsidRDefault="00E756BE" w:rsidP="00D06C38">
            <w:pPr>
              <w:rPr>
                <w:rFonts w:ascii="Helvetica" w:hAnsi="Helvetica" w:cs="Helvetica"/>
                <w:b/>
                <w:lang w:val="en-GB"/>
              </w:rPr>
            </w:pPr>
          </w:p>
        </w:tc>
        <w:tc>
          <w:tcPr>
            <w:tcW w:w="2655" w:type="dxa"/>
          </w:tcPr>
          <w:p w14:paraId="39590499" w14:textId="77777777" w:rsidR="00E756BE" w:rsidRPr="00C055A5" w:rsidRDefault="00E756BE" w:rsidP="00D06C38">
            <w:pPr>
              <w:rPr>
                <w:rFonts w:ascii="Helvetica" w:hAnsi="Helvetica" w:cs="Helvetica"/>
                <w:b/>
                <w:lang w:val="en-GB"/>
              </w:rPr>
            </w:pPr>
          </w:p>
        </w:tc>
        <w:tc>
          <w:tcPr>
            <w:tcW w:w="2655" w:type="dxa"/>
          </w:tcPr>
          <w:p w14:paraId="3959049A" w14:textId="77777777" w:rsidR="00E756BE" w:rsidRPr="00C055A5" w:rsidRDefault="00E756BE" w:rsidP="00D06C38">
            <w:pPr>
              <w:rPr>
                <w:rFonts w:ascii="Helvetica" w:hAnsi="Helvetica" w:cs="Helvetica"/>
                <w:b/>
                <w:lang w:val="en-GB"/>
              </w:rPr>
            </w:pPr>
          </w:p>
        </w:tc>
      </w:tr>
    </w:tbl>
    <w:p w14:paraId="3959049C" w14:textId="77777777" w:rsidR="00C5065C" w:rsidRPr="00C055A5" w:rsidRDefault="00C5065C" w:rsidP="00C5065C">
      <w:pPr>
        <w:rPr>
          <w:rFonts w:ascii="Helvetica" w:hAnsi="Helvetica" w:cs="Helvetica"/>
          <w:lang w:val="en-GB"/>
        </w:rPr>
      </w:pPr>
    </w:p>
    <w:p w14:paraId="3959049D" w14:textId="77777777" w:rsidR="00C5065C" w:rsidRPr="00C055A5" w:rsidRDefault="00A738CD">
      <w:pPr>
        <w:rPr>
          <w:rFonts w:ascii="Helvetica" w:hAnsi="Helvetica" w:cs="Helvetica"/>
          <w:lang w:val="en-GB"/>
        </w:rPr>
      </w:pPr>
      <w:r>
        <w:rPr>
          <w:rFonts w:ascii="Helvetica" w:hAnsi="Helvetica" w:cs="Helvetica"/>
          <w:lang w:val="en-GB"/>
        </w:rPr>
        <w:t>Done at London</w:t>
      </w:r>
      <w:r w:rsidR="00D7155C">
        <w:rPr>
          <w:rFonts w:ascii="Helvetica" w:hAnsi="Helvetica" w:cs="Helvetica"/>
          <w:lang w:val="en-GB"/>
        </w:rPr>
        <w:t xml:space="preserve"> on 1</w:t>
      </w:r>
      <w:r w:rsidR="00161A54">
        <w:rPr>
          <w:rFonts w:ascii="Helvetica" w:hAnsi="Helvetica" w:cs="Helvetica"/>
          <w:lang w:val="en-GB"/>
        </w:rPr>
        <w:t>7</w:t>
      </w:r>
      <w:r w:rsidR="00D7155C">
        <w:rPr>
          <w:rFonts w:ascii="Helvetica" w:hAnsi="Helvetica" w:cs="Helvetica"/>
          <w:vertAlign w:val="superscript"/>
          <w:lang w:val="en-GB"/>
        </w:rPr>
        <w:t xml:space="preserve"> </w:t>
      </w:r>
      <w:r w:rsidR="00D7155C">
        <w:rPr>
          <w:rFonts w:ascii="Helvetica" w:hAnsi="Helvetica" w:cs="Helvetica"/>
          <w:lang w:val="en-GB"/>
        </w:rPr>
        <w:t>January 2019</w:t>
      </w:r>
    </w:p>
    <w:p w14:paraId="3959049E" w14:textId="77777777" w:rsidR="00C5065C" w:rsidRDefault="00C5065C">
      <w:pPr>
        <w:rPr>
          <w:rFonts w:ascii="Helvetica" w:hAnsi="Helvetica" w:cs="Helvetica"/>
          <w:lang w:val="en-GB"/>
        </w:rPr>
      </w:pPr>
    </w:p>
    <w:p w14:paraId="3959049F" w14:textId="77777777" w:rsidR="00161A54" w:rsidRDefault="00161A54">
      <w:pPr>
        <w:rPr>
          <w:rFonts w:ascii="Helvetica" w:hAnsi="Helvetica" w:cs="Helvetica"/>
          <w:lang w:val="en-GB"/>
        </w:rPr>
      </w:pPr>
    </w:p>
    <w:p w14:paraId="395904A0" w14:textId="77777777" w:rsidR="00161A54" w:rsidRDefault="00161A54">
      <w:pPr>
        <w:rPr>
          <w:rFonts w:ascii="Helvetica" w:hAnsi="Helvetica" w:cs="Helvetica"/>
          <w:lang w:val="en-GB"/>
        </w:rPr>
      </w:pPr>
    </w:p>
    <w:p w14:paraId="395904A1" w14:textId="77777777" w:rsidR="00161A54" w:rsidRDefault="00161A54">
      <w:pPr>
        <w:rPr>
          <w:rFonts w:ascii="Helvetica" w:hAnsi="Helvetica" w:cs="Helvetica"/>
          <w:lang w:val="en-GB"/>
        </w:rPr>
      </w:pPr>
    </w:p>
    <w:p w14:paraId="395904D8" w14:textId="77777777" w:rsidR="00C5065C" w:rsidRPr="00C5065C" w:rsidRDefault="00C5065C" w:rsidP="00FD17CE">
      <w:pPr>
        <w:jc w:val="both"/>
        <w:rPr>
          <w:lang w:val="en-GB"/>
        </w:rPr>
      </w:pPr>
      <w:bookmarkStart w:id="0" w:name="_GoBack"/>
      <w:bookmarkEnd w:id="0"/>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04DB" w14:textId="77777777" w:rsidR="005277DB" w:rsidRDefault="005277DB" w:rsidP="00461D39">
      <w:pPr>
        <w:spacing w:after="0" w:line="240" w:lineRule="auto"/>
      </w:pPr>
      <w:r>
        <w:separator/>
      </w:r>
    </w:p>
  </w:endnote>
  <w:endnote w:type="continuationSeparator" w:id="0">
    <w:p w14:paraId="395904DC" w14:textId="77777777" w:rsidR="005277DB" w:rsidRDefault="005277D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04DF" w14:textId="77777777" w:rsidR="00943E63" w:rsidRDefault="00FD3529">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04E0" w14:textId="77777777" w:rsidR="00943E63" w:rsidRDefault="00FD3529">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04E2" w14:textId="77777777" w:rsidR="00943E63" w:rsidRDefault="00FD3529">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904D9" w14:textId="77777777" w:rsidR="005277DB" w:rsidRDefault="005277DB" w:rsidP="00461D39">
      <w:pPr>
        <w:spacing w:after="0" w:line="240" w:lineRule="auto"/>
      </w:pPr>
      <w:r>
        <w:separator/>
      </w:r>
    </w:p>
  </w:footnote>
  <w:footnote w:type="continuationSeparator" w:id="0">
    <w:p w14:paraId="395904DA" w14:textId="77777777" w:rsidR="005277DB" w:rsidRDefault="005277D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04DD" w14:textId="77777777" w:rsidR="00461D39" w:rsidRDefault="00FD3529"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04DE" w14:textId="77777777" w:rsidR="00461D39" w:rsidRDefault="00FD3529"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04E1" w14:textId="77777777" w:rsidR="00461D39" w:rsidRDefault="00FD3529"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A44F2"/>
    <w:rsid w:val="000B3F31"/>
    <w:rsid w:val="000F47A3"/>
    <w:rsid w:val="00121E24"/>
    <w:rsid w:val="0015068A"/>
    <w:rsid w:val="00161A54"/>
    <w:rsid w:val="00202FB8"/>
    <w:rsid w:val="002177A2"/>
    <w:rsid w:val="002668A4"/>
    <w:rsid w:val="002772AA"/>
    <w:rsid w:val="002D7AA4"/>
    <w:rsid w:val="002E08F1"/>
    <w:rsid w:val="00303175"/>
    <w:rsid w:val="00347AA4"/>
    <w:rsid w:val="003C2D94"/>
    <w:rsid w:val="003C7BC8"/>
    <w:rsid w:val="003E0F5A"/>
    <w:rsid w:val="00413475"/>
    <w:rsid w:val="00461D39"/>
    <w:rsid w:val="00485978"/>
    <w:rsid w:val="004F440A"/>
    <w:rsid w:val="00521E70"/>
    <w:rsid w:val="005277DB"/>
    <w:rsid w:val="00535D98"/>
    <w:rsid w:val="00562726"/>
    <w:rsid w:val="005D4CF3"/>
    <w:rsid w:val="005E234F"/>
    <w:rsid w:val="00602B9F"/>
    <w:rsid w:val="00674B88"/>
    <w:rsid w:val="00692996"/>
    <w:rsid w:val="0070184B"/>
    <w:rsid w:val="00737B55"/>
    <w:rsid w:val="00795C4F"/>
    <w:rsid w:val="007C162B"/>
    <w:rsid w:val="00826DCB"/>
    <w:rsid w:val="008778CE"/>
    <w:rsid w:val="0089132C"/>
    <w:rsid w:val="008F0490"/>
    <w:rsid w:val="008F18BE"/>
    <w:rsid w:val="00943E63"/>
    <w:rsid w:val="0094755D"/>
    <w:rsid w:val="009B6893"/>
    <w:rsid w:val="00A10F97"/>
    <w:rsid w:val="00A738CD"/>
    <w:rsid w:val="00A826EE"/>
    <w:rsid w:val="00B47EB3"/>
    <w:rsid w:val="00B66ACA"/>
    <w:rsid w:val="00B878F3"/>
    <w:rsid w:val="00B93452"/>
    <w:rsid w:val="00BA2A74"/>
    <w:rsid w:val="00BA42D8"/>
    <w:rsid w:val="00BA72A7"/>
    <w:rsid w:val="00C055A5"/>
    <w:rsid w:val="00C5065C"/>
    <w:rsid w:val="00CA2E42"/>
    <w:rsid w:val="00CC1255"/>
    <w:rsid w:val="00D06C38"/>
    <w:rsid w:val="00D10764"/>
    <w:rsid w:val="00D2326B"/>
    <w:rsid w:val="00D2417E"/>
    <w:rsid w:val="00D31F60"/>
    <w:rsid w:val="00D363B8"/>
    <w:rsid w:val="00D7155C"/>
    <w:rsid w:val="00E62EB8"/>
    <w:rsid w:val="00E756BE"/>
    <w:rsid w:val="00ED3B5E"/>
    <w:rsid w:val="00F21891"/>
    <w:rsid w:val="00F21FBB"/>
    <w:rsid w:val="00F26D04"/>
    <w:rsid w:val="00F27B89"/>
    <w:rsid w:val="00F32B37"/>
    <w:rsid w:val="00FA56A7"/>
    <w:rsid w:val="00FA6521"/>
    <w:rsid w:val="00FD17CE"/>
    <w:rsid w:val="00FD3529"/>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9037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8677">
      <w:bodyDiv w:val="1"/>
      <w:marLeft w:val="0"/>
      <w:marRight w:val="0"/>
      <w:marTop w:val="0"/>
      <w:marBottom w:val="0"/>
      <w:divBdr>
        <w:top w:val="none" w:sz="0" w:space="0" w:color="auto"/>
        <w:left w:val="none" w:sz="0" w:space="0" w:color="auto"/>
        <w:bottom w:val="none" w:sz="0" w:space="0" w:color="auto"/>
        <w:right w:val="none" w:sz="0" w:space="0" w:color="auto"/>
      </w:divBdr>
    </w:div>
    <w:div w:id="284819583">
      <w:bodyDiv w:val="1"/>
      <w:marLeft w:val="0"/>
      <w:marRight w:val="0"/>
      <w:marTop w:val="0"/>
      <w:marBottom w:val="0"/>
      <w:divBdr>
        <w:top w:val="none" w:sz="0" w:space="0" w:color="auto"/>
        <w:left w:val="none" w:sz="0" w:space="0" w:color="auto"/>
        <w:bottom w:val="none" w:sz="0" w:space="0" w:color="auto"/>
        <w:right w:val="none" w:sz="0" w:space="0" w:color="auto"/>
      </w:divBdr>
    </w:div>
    <w:div w:id="287779805">
      <w:bodyDiv w:val="1"/>
      <w:marLeft w:val="0"/>
      <w:marRight w:val="0"/>
      <w:marTop w:val="0"/>
      <w:marBottom w:val="0"/>
      <w:divBdr>
        <w:top w:val="none" w:sz="0" w:space="0" w:color="auto"/>
        <w:left w:val="none" w:sz="0" w:space="0" w:color="auto"/>
        <w:bottom w:val="none" w:sz="0" w:space="0" w:color="auto"/>
        <w:right w:val="none" w:sz="0" w:space="0" w:color="auto"/>
      </w:divBdr>
    </w:div>
    <w:div w:id="359164094">
      <w:bodyDiv w:val="1"/>
      <w:marLeft w:val="0"/>
      <w:marRight w:val="0"/>
      <w:marTop w:val="0"/>
      <w:marBottom w:val="0"/>
      <w:divBdr>
        <w:top w:val="none" w:sz="0" w:space="0" w:color="auto"/>
        <w:left w:val="none" w:sz="0" w:space="0" w:color="auto"/>
        <w:bottom w:val="none" w:sz="0" w:space="0" w:color="auto"/>
        <w:right w:val="none" w:sz="0" w:space="0" w:color="auto"/>
      </w:divBdr>
    </w:div>
    <w:div w:id="745155740">
      <w:bodyDiv w:val="1"/>
      <w:marLeft w:val="0"/>
      <w:marRight w:val="0"/>
      <w:marTop w:val="0"/>
      <w:marBottom w:val="0"/>
      <w:divBdr>
        <w:top w:val="none" w:sz="0" w:space="0" w:color="auto"/>
        <w:left w:val="none" w:sz="0" w:space="0" w:color="auto"/>
        <w:bottom w:val="none" w:sz="0" w:space="0" w:color="auto"/>
        <w:right w:val="none" w:sz="0" w:space="0" w:color="auto"/>
      </w:divBdr>
    </w:div>
    <w:div w:id="768887235">
      <w:bodyDiv w:val="1"/>
      <w:marLeft w:val="0"/>
      <w:marRight w:val="0"/>
      <w:marTop w:val="0"/>
      <w:marBottom w:val="0"/>
      <w:divBdr>
        <w:top w:val="none" w:sz="0" w:space="0" w:color="auto"/>
        <w:left w:val="none" w:sz="0" w:space="0" w:color="auto"/>
        <w:bottom w:val="none" w:sz="0" w:space="0" w:color="auto"/>
        <w:right w:val="none" w:sz="0" w:space="0" w:color="auto"/>
      </w:divBdr>
    </w:div>
    <w:div w:id="1029374367">
      <w:bodyDiv w:val="1"/>
      <w:marLeft w:val="0"/>
      <w:marRight w:val="0"/>
      <w:marTop w:val="0"/>
      <w:marBottom w:val="0"/>
      <w:divBdr>
        <w:top w:val="none" w:sz="0" w:space="0" w:color="auto"/>
        <w:left w:val="none" w:sz="0" w:space="0" w:color="auto"/>
        <w:bottom w:val="none" w:sz="0" w:space="0" w:color="auto"/>
        <w:right w:val="none" w:sz="0" w:space="0" w:color="auto"/>
      </w:divBdr>
    </w:div>
    <w:div w:id="1099906131">
      <w:bodyDiv w:val="1"/>
      <w:marLeft w:val="0"/>
      <w:marRight w:val="0"/>
      <w:marTop w:val="0"/>
      <w:marBottom w:val="0"/>
      <w:divBdr>
        <w:top w:val="none" w:sz="0" w:space="0" w:color="auto"/>
        <w:left w:val="none" w:sz="0" w:space="0" w:color="auto"/>
        <w:bottom w:val="none" w:sz="0" w:space="0" w:color="auto"/>
        <w:right w:val="none" w:sz="0" w:space="0" w:color="auto"/>
      </w:divBdr>
    </w:div>
    <w:div w:id="1245870436">
      <w:bodyDiv w:val="1"/>
      <w:marLeft w:val="0"/>
      <w:marRight w:val="0"/>
      <w:marTop w:val="0"/>
      <w:marBottom w:val="0"/>
      <w:divBdr>
        <w:top w:val="none" w:sz="0" w:space="0" w:color="auto"/>
        <w:left w:val="none" w:sz="0" w:space="0" w:color="auto"/>
        <w:bottom w:val="none" w:sz="0" w:space="0" w:color="auto"/>
        <w:right w:val="none" w:sz="0" w:space="0" w:color="auto"/>
      </w:divBdr>
    </w:div>
    <w:div w:id="1286351349">
      <w:bodyDiv w:val="1"/>
      <w:marLeft w:val="0"/>
      <w:marRight w:val="0"/>
      <w:marTop w:val="0"/>
      <w:marBottom w:val="0"/>
      <w:divBdr>
        <w:top w:val="none" w:sz="0" w:space="0" w:color="auto"/>
        <w:left w:val="none" w:sz="0" w:space="0" w:color="auto"/>
        <w:bottom w:val="none" w:sz="0" w:space="0" w:color="auto"/>
        <w:right w:val="none" w:sz="0" w:space="0" w:color="auto"/>
      </w:divBdr>
    </w:div>
    <w:div w:id="1301837508">
      <w:bodyDiv w:val="1"/>
      <w:marLeft w:val="0"/>
      <w:marRight w:val="0"/>
      <w:marTop w:val="0"/>
      <w:marBottom w:val="0"/>
      <w:divBdr>
        <w:top w:val="none" w:sz="0" w:space="0" w:color="auto"/>
        <w:left w:val="none" w:sz="0" w:space="0" w:color="auto"/>
        <w:bottom w:val="none" w:sz="0" w:space="0" w:color="auto"/>
        <w:right w:val="none" w:sz="0" w:space="0" w:color="auto"/>
      </w:divBdr>
    </w:div>
    <w:div w:id="1368605793">
      <w:bodyDiv w:val="1"/>
      <w:marLeft w:val="0"/>
      <w:marRight w:val="0"/>
      <w:marTop w:val="0"/>
      <w:marBottom w:val="0"/>
      <w:divBdr>
        <w:top w:val="none" w:sz="0" w:space="0" w:color="auto"/>
        <w:left w:val="none" w:sz="0" w:space="0" w:color="auto"/>
        <w:bottom w:val="none" w:sz="0" w:space="0" w:color="auto"/>
        <w:right w:val="none" w:sz="0" w:space="0" w:color="auto"/>
      </w:divBdr>
    </w:div>
    <w:div w:id="1685014329">
      <w:bodyDiv w:val="1"/>
      <w:marLeft w:val="0"/>
      <w:marRight w:val="0"/>
      <w:marTop w:val="0"/>
      <w:marBottom w:val="0"/>
      <w:divBdr>
        <w:top w:val="none" w:sz="0" w:space="0" w:color="auto"/>
        <w:left w:val="none" w:sz="0" w:space="0" w:color="auto"/>
        <w:bottom w:val="none" w:sz="0" w:space="0" w:color="auto"/>
        <w:right w:val="none" w:sz="0" w:space="0" w:color="auto"/>
      </w:divBdr>
    </w:div>
    <w:div w:id="1726374159">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276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2019-01-18T11:10:46+00:00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676A5-D87A-4D37-90A6-7E9E5E5B387A}"/>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27A171DE-7A0C-4F82-B00B-6A6496E4BCE5}"/>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Amit1 Kumar MITRA</dc:creator>
  <cp:keywords>PUBLIC</cp:keywords>
  <dc:description>PUBLIC - Standard Form TR1</dc:description>
  <cp:lastModifiedBy>Chloe McCarthy</cp:lastModifiedBy>
  <cp:revision>3</cp:revision>
  <cp:lastPrinted>2018-05-17T07:12:00Z</cp:lastPrinted>
  <dcterms:created xsi:type="dcterms:W3CDTF">2019-01-17T14:47:00Z</dcterms:created>
  <dcterms:modified xsi:type="dcterms:W3CDTF">2019-01-18T11:05:00Z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Classification">
    <vt:lpwstr>PUBLIC</vt:lpwstr>
  </property>
  <property fmtid="{D5CDD505-2E9C-101B-9397-08002B2CF9AE}" pid="16" name="Source">
    <vt:lpwstr>Internal</vt:lpwstr>
  </property>
  <property fmtid="{D5CDD505-2E9C-101B-9397-08002B2CF9AE}" pid="17" name="Footers">
    <vt:lpwstr>Footers</vt:lpwstr>
  </property>
  <property fmtid="{D5CDD505-2E9C-101B-9397-08002B2CF9AE}" pid="18" name="DocClassification">
    <vt:lpwstr>CLAPUBLIC</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8" name="Organisation">
    <vt:lpwstr/>
  </property>
</Properties>
</file>