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1.xml" ContentType="application/vnd.openxmlformats-officedocument.wordprocessingml.header+xml"/>
  <Override PartName="/word/footer2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4.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901F" w14:textId="173C1588" w:rsidR="001B6580" w:rsidRDefault="001B6580" w:rsidP="00ED4FB7">
      <w:pPr>
        <w:ind w:left="-142"/>
        <w:rPr>
          <w:rFonts w:cs="Arial"/>
        </w:rPr>
      </w:pPr>
      <w:bookmarkStart w:id="0" w:name="_Toc514261362"/>
      <w:bookmarkStart w:id="1" w:name="_Toc472409028"/>
      <w:bookmarkStart w:id="2" w:name="_Toc488670086"/>
      <w:r>
        <w:rPr>
          <w:noProof/>
          <w:lang w:eastAsia="en-GB"/>
        </w:rPr>
        <w:drawing>
          <wp:anchor distT="0" distB="0" distL="114300" distR="114300" simplePos="0" relativeHeight="251659264" behindDoc="0" locked="0" layoutInCell="1" allowOverlap="1" wp14:anchorId="19AB2A34" wp14:editId="59C41436">
            <wp:simplePos x="0" y="0"/>
            <wp:positionH relativeFrom="margin">
              <wp:posOffset>2242608</wp:posOffset>
            </wp:positionH>
            <wp:positionV relativeFrom="paragraph">
              <wp:posOffset>0</wp:posOffset>
            </wp:positionV>
            <wp:extent cx="1551940" cy="600710"/>
            <wp:effectExtent l="0" t="0" r="0" b="8890"/>
            <wp:wrapTopAndBottom/>
            <wp:docPr id="383927713" name="Picture 15" descr="A close up of a sign&#10;&#10;Description automatically generated">
              <a:extLst xmlns:a="http://schemas.openxmlformats.org/drawingml/2006/main">
                <a:ext uri="{FF2B5EF4-FFF2-40B4-BE49-F238E27FC236}">
                  <a16:creationId xmlns:a16="http://schemas.microsoft.com/office/drawing/2014/main" id="{C7D17E36-9C8E-45A4-83BC-6AE102FF03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close up of a sign&#10;&#10;Description automatically generated">
                      <a:extLst>
                        <a:ext uri="{FF2B5EF4-FFF2-40B4-BE49-F238E27FC236}">
                          <a16:creationId xmlns:a16="http://schemas.microsoft.com/office/drawing/2014/main" id="{C7D17E36-9C8E-45A4-83BC-6AE102FF0356}"/>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t="12918" b="17046"/>
                    <a:stretch/>
                  </pic:blipFill>
                  <pic:spPr bwMode="auto">
                    <a:xfrm>
                      <a:off x="0" y="0"/>
                      <a:ext cx="1551940" cy="600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343DEB" w14:textId="29F5BD83" w:rsidR="001B6580" w:rsidRDefault="001B6580" w:rsidP="00ED4FB7">
      <w:pPr>
        <w:ind w:left="-142"/>
        <w:rPr>
          <w:rFonts w:cs="Arial"/>
        </w:rPr>
      </w:pPr>
    </w:p>
    <w:p w14:paraId="5D3248FF" w14:textId="3A1D75C7" w:rsidR="00ED4FB7" w:rsidRPr="00C54302" w:rsidRDefault="00ED4FB7" w:rsidP="00ED4FB7">
      <w:pPr>
        <w:ind w:left="-142"/>
        <w:rPr>
          <w:rFonts w:cs="Arial"/>
        </w:rPr>
      </w:pPr>
      <w:r w:rsidRPr="00C54302">
        <w:rPr>
          <w:rFonts w:cs="Arial"/>
        </w:rPr>
        <w:t xml:space="preserve">25 September 2025 </w:t>
      </w:r>
    </w:p>
    <w:p w14:paraId="6D27436A" w14:textId="77777777" w:rsidR="00ED4FB7" w:rsidRPr="00490898" w:rsidRDefault="00ED4FB7" w:rsidP="00ED4FB7">
      <w:pPr>
        <w:jc w:val="center"/>
        <w:rPr>
          <w:rFonts w:cs="Arial"/>
          <w:b/>
          <w:bCs/>
          <w:sz w:val="28"/>
          <w:szCs w:val="28"/>
        </w:rPr>
      </w:pPr>
      <w:r w:rsidRPr="07B3AF9B">
        <w:rPr>
          <w:rFonts w:cs="Arial"/>
          <w:b/>
          <w:bCs/>
          <w:sz w:val="28"/>
          <w:szCs w:val="28"/>
        </w:rPr>
        <w:t>Glenveagh Properties plc</w:t>
      </w:r>
    </w:p>
    <w:p w14:paraId="16521F1D" w14:textId="77777777" w:rsidR="00ED4FB7" w:rsidRPr="00C54302" w:rsidRDefault="00ED4FB7" w:rsidP="00ED4FB7">
      <w:pPr>
        <w:jc w:val="center"/>
        <w:rPr>
          <w:rFonts w:cs="Arial"/>
          <w:b/>
          <w:bCs/>
        </w:rPr>
      </w:pPr>
      <w:r w:rsidRPr="00C54302">
        <w:rPr>
          <w:rFonts w:cs="Arial"/>
          <w:b/>
          <w:bCs/>
        </w:rPr>
        <w:t xml:space="preserve">Strong </w:t>
      </w:r>
      <w:r>
        <w:rPr>
          <w:rFonts w:cs="Arial"/>
          <w:b/>
          <w:bCs/>
        </w:rPr>
        <w:t xml:space="preserve">momentum sustained </w:t>
      </w:r>
      <w:r w:rsidRPr="00C54302">
        <w:rPr>
          <w:rFonts w:cs="Arial"/>
          <w:b/>
          <w:bCs/>
        </w:rPr>
        <w:t xml:space="preserve">with more than 900 </w:t>
      </w:r>
      <w:r>
        <w:rPr>
          <w:rFonts w:cs="Arial"/>
          <w:b/>
          <w:bCs/>
        </w:rPr>
        <w:t>Group</w:t>
      </w:r>
      <w:r w:rsidRPr="71E24946">
        <w:rPr>
          <w:rFonts w:cs="Arial"/>
          <w:b/>
          <w:bCs/>
        </w:rPr>
        <w:t xml:space="preserve"> </w:t>
      </w:r>
      <w:r w:rsidRPr="00C54302">
        <w:rPr>
          <w:rFonts w:cs="Arial"/>
          <w:b/>
          <w:bCs/>
        </w:rPr>
        <w:t>completions</w:t>
      </w:r>
      <w:r w:rsidRPr="00D242A3">
        <w:rPr>
          <w:rFonts w:cs="Arial"/>
          <w:b/>
          <w:bCs/>
          <w:i/>
          <w:iCs/>
          <w:vertAlign w:val="superscript"/>
        </w:rPr>
        <w:t>1</w:t>
      </w:r>
      <w:r w:rsidRPr="00C54302">
        <w:rPr>
          <w:rFonts w:cs="Arial"/>
          <w:b/>
          <w:bCs/>
        </w:rPr>
        <w:t xml:space="preserve"> in H1; on track to deliver full year guidance</w:t>
      </w:r>
    </w:p>
    <w:p w14:paraId="67805AB3" w14:textId="77777777" w:rsidR="00ED4FB7" w:rsidRDefault="00ED4FB7" w:rsidP="00ED4FB7">
      <w:pPr>
        <w:spacing w:before="240" w:line="276" w:lineRule="auto"/>
        <w:jc w:val="both"/>
        <w:rPr>
          <w:rFonts w:cs="Arial"/>
          <w:sz w:val="22"/>
        </w:rPr>
      </w:pPr>
      <w:r w:rsidRPr="00FD2CBF">
        <w:rPr>
          <w:rFonts w:cs="Arial"/>
          <w:sz w:val="22"/>
        </w:rPr>
        <w:t xml:space="preserve">Glenveagh Properties plc (“Glenveagh” or the “Group”) </w:t>
      </w:r>
      <w:r>
        <w:rPr>
          <w:rFonts w:cs="Arial"/>
          <w:sz w:val="22"/>
        </w:rPr>
        <w:t>announces its Interim Results</w:t>
      </w:r>
      <w:r w:rsidRPr="00FD2CBF">
        <w:rPr>
          <w:rFonts w:cs="Arial"/>
          <w:sz w:val="22"/>
        </w:rPr>
        <w:t xml:space="preserve"> for the six months ended 30 June 2025</w:t>
      </w:r>
      <w:r>
        <w:rPr>
          <w:rFonts w:cs="Arial"/>
          <w:sz w:val="22"/>
        </w:rPr>
        <w:t>.</w:t>
      </w:r>
    </w:p>
    <w:p w14:paraId="42246396" w14:textId="77777777" w:rsidR="00ED4FB7" w:rsidRPr="00C54302" w:rsidRDefault="00ED4FB7" w:rsidP="00ED4FB7">
      <w:pPr>
        <w:spacing w:before="240" w:line="276" w:lineRule="auto"/>
        <w:ind w:left="-142" w:firstLine="142"/>
        <w:jc w:val="both"/>
        <w:rPr>
          <w:rFonts w:cs="Arial"/>
          <w:b/>
          <w:bCs/>
        </w:rPr>
      </w:pPr>
      <w:r w:rsidRPr="00C54302">
        <w:rPr>
          <w:rFonts w:cs="Arial"/>
          <w:b/>
          <w:bCs/>
        </w:rPr>
        <w:t xml:space="preserve">Financial Highlights </w:t>
      </w:r>
    </w:p>
    <w:tbl>
      <w:tblPr>
        <w:tblStyle w:val="TableGrid"/>
        <w:tblW w:w="9632" w:type="dxa"/>
        <w:tblBorders>
          <w:left w:val="none" w:sz="0" w:space="0" w:color="auto"/>
        </w:tblBorders>
        <w:tblLook w:val="04A0" w:firstRow="1" w:lastRow="0" w:firstColumn="1" w:lastColumn="0" w:noHBand="0" w:noVBand="1"/>
      </w:tblPr>
      <w:tblGrid>
        <w:gridCol w:w="4523"/>
        <w:gridCol w:w="1245"/>
        <w:gridCol w:w="456"/>
        <w:gridCol w:w="1298"/>
        <w:gridCol w:w="403"/>
        <w:gridCol w:w="1575"/>
        <w:gridCol w:w="132"/>
      </w:tblGrid>
      <w:tr w:rsidR="00ED4FB7" w:rsidRPr="00C54302" w14:paraId="49C782AA" w14:textId="77777777" w:rsidTr="003771D9">
        <w:trPr>
          <w:trHeight w:val="1826"/>
        </w:trPr>
        <w:tc>
          <w:tcPr>
            <w:tcW w:w="4523" w:type="dxa"/>
            <w:tcBorders>
              <w:top w:val="nil"/>
              <w:left w:val="nil"/>
              <w:bottom w:val="single" w:sz="4" w:space="0" w:color="auto"/>
              <w:right w:val="nil"/>
            </w:tcBorders>
            <w:vAlign w:val="center"/>
          </w:tcPr>
          <w:p w14:paraId="090D542D" w14:textId="77777777" w:rsidR="00ED4FB7" w:rsidRPr="00C54302" w:rsidRDefault="00ED4FB7" w:rsidP="003771D9">
            <w:pPr>
              <w:pStyle w:val="ListParagraph"/>
              <w:spacing w:after="160" w:line="276" w:lineRule="auto"/>
              <w:ind w:left="0"/>
              <w:rPr>
                <w:rFonts w:cs="Arial"/>
                <w:b/>
                <w:bCs/>
                <w:sz w:val="21"/>
                <w:szCs w:val="21"/>
              </w:rPr>
            </w:pPr>
          </w:p>
        </w:tc>
        <w:tc>
          <w:tcPr>
            <w:tcW w:w="1701" w:type="dxa"/>
            <w:gridSpan w:val="2"/>
            <w:tcBorders>
              <w:top w:val="nil"/>
              <w:left w:val="nil"/>
              <w:bottom w:val="single" w:sz="4" w:space="0" w:color="auto"/>
              <w:right w:val="nil"/>
            </w:tcBorders>
            <w:shd w:val="clear" w:color="auto" w:fill="F2F2F2" w:themeFill="background1" w:themeFillShade="F2"/>
            <w:vAlign w:val="center"/>
            <w:hideMark/>
          </w:tcPr>
          <w:p w14:paraId="5F62FE4A" w14:textId="77777777" w:rsidR="00ED4FB7" w:rsidRPr="00C54302" w:rsidRDefault="00ED4FB7" w:rsidP="003771D9">
            <w:pPr>
              <w:pStyle w:val="ListParagraph"/>
              <w:spacing w:after="160" w:line="276" w:lineRule="auto"/>
              <w:ind w:left="0"/>
              <w:jc w:val="right"/>
              <w:rPr>
                <w:rFonts w:cs="Arial"/>
                <w:b/>
                <w:bCs/>
                <w:sz w:val="21"/>
                <w:szCs w:val="21"/>
              </w:rPr>
            </w:pPr>
            <w:r w:rsidRPr="00C54302">
              <w:rPr>
                <w:rFonts w:cs="Arial"/>
                <w:b/>
                <w:bCs/>
                <w:sz w:val="21"/>
                <w:szCs w:val="21"/>
              </w:rPr>
              <w:t>Six Months to 30 June 2025</w:t>
            </w:r>
          </w:p>
          <w:p w14:paraId="73C242B5" w14:textId="77777777" w:rsidR="00ED4FB7" w:rsidRPr="00C54302" w:rsidRDefault="00ED4FB7" w:rsidP="003771D9">
            <w:pPr>
              <w:pStyle w:val="ListParagraph"/>
              <w:spacing w:after="160" w:line="276" w:lineRule="auto"/>
              <w:ind w:left="0"/>
              <w:jc w:val="right"/>
              <w:rPr>
                <w:rFonts w:cs="Arial"/>
                <w:b/>
                <w:bCs/>
                <w:sz w:val="21"/>
                <w:szCs w:val="21"/>
              </w:rPr>
            </w:pPr>
            <w:r w:rsidRPr="00C54302">
              <w:rPr>
                <w:rFonts w:cs="Arial"/>
                <w:b/>
                <w:bCs/>
                <w:sz w:val="21"/>
                <w:szCs w:val="21"/>
              </w:rPr>
              <w:t>€m</w:t>
            </w:r>
          </w:p>
        </w:tc>
        <w:tc>
          <w:tcPr>
            <w:tcW w:w="1701" w:type="dxa"/>
            <w:gridSpan w:val="2"/>
            <w:tcBorders>
              <w:top w:val="nil"/>
              <w:left w:val="nil"/>
              <w:bottom w:val="single" w:sz="4" w:space="0" w:color="auto"/>
              <w:right w:val="nil"/>
            </w:tcBorders>
            <w:vAlign w:val="center"/>
          </w:tcPr>
          <w:p w14:paraId="7E86142F" w14:textId="77777777" w:rsidR="00ED4FB7" w:rsidRPr="00C54302" w:rsidRDefault="00ED4FB7" w:rsidP="003771D9">
            <w:pPr>
              <w:pStyle w:val="ListParagraph"/>
              <w:spacing w:after="160" w:line="276" w:lineRule="auto"/>
              <w:ind w:left="0"/>
              <w:jc w:val="right"/>
              <w:rPr>
                <w:rFonts w:cs="Arial"/>
                <w:b/>
                <w:bCs/>
                <w:sz w:val="21"/>
                <w:szCs w:val="21"/>
              </w:rPr>
            </w:pPr>
            <w:r w:rsidRPr="00C54302">
              <w:rPr>
                <w:rFonts w:cs="Arial"/>
                <w:b/>
                <w:bCs/>
                <w:sz w:val="21"/>
                <w:szCs w:val="21"/>
              </w:rPr>
              <w:t>Six Months to 30 June 2024</w:t>
            </w:r>
          </w:p>
          <w:p w14:paraId="78C147C8" w14:textId="77777777" w:rsidR="00ED4FB7" w:rsidRPr="00C54302" w:rsidRDefault="00ED4FB7" w:rsidP="003771D9">
            <w:pPr>
              <w:pStyle w:val="ListParagraph"/>
              <w:spacing w:after="160" w:line="276" w:lineRule="auto"/>
              <w:ind w:left="0"/>
              <w:jc w:val="right"/>
              <w:rPr>
                <w:rFonts w:cs="Arial"/>
                <w:b/>
                <w:bCs/>
                <w:sz w:val="21"/>
                <w:szCs w:val="21"/>
              </w:rPr>
            </w:pPr>
            <w:r w:rsidRPr="00C54302">
              <w:rPr>
                <w:rFonts w:cs="Arial"/>
                <w:b/>
                <w:bCs/>
                <w:sz w:val="21"/>
                <w:szCs w:val="21"/>
              </w:rPr>
              <w:t>€m</w:t>
            </w:r>
          </w:p>
        </w:tc>
        <w:tc>
          <w:tcPr>
            <w:tcW w:w="1707" w:type="dxa"/>
            <w:gridSpan w:val="2"/>
            <w:tcBorders>
              <w:top w:val="nil"/>
              <w:left w:val="single" w:sz="4" w:space="0" w:color="auto"/>
              <w:bottom w:val="single" w:sz="4" w:space="0" w:color="auto"/>
              <w:right w:val="nil"/>
            </w:tcBorders>
            <w:hideMark/>
          </w:tcPr>
          <w:p w14:paraId="29EBB579" w14:textId="77777777" w:rsidR="00ED4FB7" w:rsidRDefault="00ED4FB7" w:rsidP="003771D9">
            <w:pPr>
              <w:pStyle w:val="ListParagraph"/>
              <w:spacing w:after="160" w:line="276" w:lineRule="auto"/>
              <w:ind w:left="0"/>
              <w:jc w:val="center"/>
              <w:rPr>
                <w:rFonts w:cs="Arial"/>
                <w:b/>
                <w:bCs/>
                <w:sz w:val="21"/>
                <w:szCs w:val="21"/>
              </w:rPr>
            </w:pPr>
          </w:p>
          <w:p w14:paraId="529DB980" w14:textId="77777777" w:rsidR="00ED4FB7" w:rsidRDefault="00ED4FB7" w:rsidP="003771D9">
            <w:pPr>
              <w:pStyle w:val="ListParagraph"/>
              <w:spacing w:after="160" w:line="276" w:lineRule="auto"/>
              <w:ind w:left="0"/>
              <w:jc w:val="center"/>
              <w:rPr>
                <w:rFonts w:cs="Arial"/>
                <w:b/>
                <w:bCs/>
                <w:sz w:val="21"/>
                <w:szCs w:val="21"/>
              </w:rPr>
            </w:pPr>
          </w:p>
          <w:p w14:paraId="07E2357A" w14:textId="77777777" w:rsidR="00ED4FB7" w:rsidRDefault="00ED4FB7" w:rsidP="003771D9">
            <w:pPr>
              <w:pStyle w:val="ListParagraph"/>
              <w:spacing w:after="160" w:line="276" w:lineRule="auto"/>
              <w:ind w:left="0"/>
              <w:jc w:val="center"/>
              <w:rPr>
                <w:rFonts w:cs="Arial"/>
                <w:b/>
                <w:bCs/>
                <w:sz w:val="21"/>
                <w:szCs w:val="21"/>
              </w:rPr>
            </w:pPr>
          </w:p>
          <w:p w14:paraId="0C2A31DC" w14:textId="77777777" w:rsidR="00ED4FB7" w:rsidRPr="00C54302" w:rsidRDefault="00ED4FB7" w:rsidP="003771D9">
            <w:pPr>
              <w:pStyle w:val="ListParagraph"/>
              <w:spacing w:after="160" w:line="276" w:lineRule="auto"/>
              <w:jc w:val="center"/>
              <w:rPr>
                <w:rFonts w:cs="Arial"/>
                <w:b/>
                <w:bCs/>
                <w:sz w:val="21"/>
                <w:szCs w:val="21"/>
              </w:rPr>
            </w:pPr>
            <w:r w:rsidRPr="00C54302">
              <w:rPr>
                <w:rFonts w:cs="Arial"/>
                <w:b/>
                <w:bCs/>
                <w:sz w:val="21"/>
                <w:szCs w:val="21"/>
              </w:rPr>
              <w:t>Change</w:t>
            </w:r>
          </w:p>
        </w:tc>
      </w:tr>
      <w:tr w:rsidR="00ED4FB7" w:rsidRPr="00C54302" w14:paraId="217F219E" w14:textId="77777777" w:rsidTr="003771D9">
        <w:trPr>
          <w:trHeight w:val="223"/>
        </w:trPr>
        <w:tc>
          <w:tcPr>
            <w:tcW w:w="4523" w:type="dxa"/>
            <w:tcBorders>
              <w:top w:val="single" w:sz="4" w:space="0" w:color="auto"/>
              <w:left w:val="nil"/>
              <w:bottom w:val="single" w:sz="4" w:space="0" w:color="auto"/>
              <w:right w:val="nil"/>
            </w:tcBorders>
            <w:vAlign w:val="center"/>
          </w:tcPr>
          <w:p w14:paraId="05EC8103" w14:textId="77777777" w:rsidR="00ED4FB7" w:rsidRPr="00C54302" w:rsidRDefault="00ED4FB7" w:rsidP="003771D9">
            <w:pPr>
              <w:pStyle w:val="ListParagraph"/>
              <w:spacing w:line="276" w:lineRule="auto"/>
              <w:ind w:left="0"/>
              <w:rPr>
                <w:rFonts w:cs="Arial"/>
                <w:sz w:val="21"/>
                <w:szCs w:val="21"/>
              </w:rPr>
            </w:pPr>
            <w:r>
              <w:rPr>
                <w:rFonts w:cs="Arial"/>
                <w:sz w:val="21"/>
                <w:szCs w:val="21"/>
              </w:rPr>
              <w:t>New home completions</w:t>
            </w:r>
            <w:r>
              <w:rPr>
                <w:rFonts w:cs="Arial"/>
                <w:i/>
                <w:iCs/>
                <w:sz w:val="18"/>
                <w:szCs w:val="18"/>
                <w:vertAlign w:val="superscript"/>
              </w:rPr>
              <w:t>1</w:t>
            </w:r>
            <w:r>
              <w:rPr>
                <w:rFonts w:cs="Arial"/>
                <w:sz w:val="21"/>
                <w:szCs w:val="21"/>
              </w:rPr>
              <w:t xml:space="preserve"> </w:t>
            </w:r>
          </w:p>
        </w:tc>
        <w:tc>
          <w:tcPr>
            <w:tcW w:w="1701" w:type="dxa"/>
            <w:gridSpan w:val="2"/>
            <w:tcBorders>
              <w:top w:val="single" w:sz="4" w:space="0" w:color="auto"/>
              <w:left w:val="nil"/>
              <w:bottom w:val="single" w:sz="4" w:space="0" w:color="auto"/>
              <w:right w:val="nil"/>
            </w:tcBorders>
            <w:shd w:val="clear" w:color="auto" w:fill="F2F2F2" w:themeFill="background1" w:themeFillShade="F2"/>
            <w:vAlign w:val="center"/>
          </w:tcPr>
          <w:p w14:paraId="5D1E0DFB" w14:textId="77777777" w:rsidR="00ED4FB7" w:rsidRPr="00C54302" w:rsidRDefault="00ED4FB7" w:rsidP="003771D9">
            <w:pPr>
              <w:pStyle w:val="ListParagraph"/>
              <w:spacing w:line="276" w:lineRule="auto"/>
              <w:ind w:left="0"/>
              <w:jc w:val="right"/>
              <w:rPr>
                <w:rFonts w:cs="Arial"/>
                <w:b/>
                <w:bCs/>
                <w:sz w:val="21"/>
                <w:szCs w:val="21"/>
              </w:rPr>
            </w:pPr>
            <w:r>
              <w:rPr>
                <w:rFonts w:cs="Arial"/>
                <w:b/>
                <w:bCs/>
                <w:sz w:val="21"/>
                <w:szCs w:val="21"/>
              </w:rPr>
              <w:t>906</w:t>
            </w:r>
          </w:p>
        </w:tc>
        <w:tc>
          <w:tcPr>
            <w:tcW w:w="1701" w:type="dxa"/>
            <w:gridSpan w:val="2"/>
            <w:tcBorders>
              <w:top w:val="single" w:sz="4" w:space="0" w:color="auto"/>
              <w:left w:val="nil"/>
              <w:bottom w:val="single" w:sz="4" w:space="0" w:color="auto"/>
              <w:right w:val="nil"/>
            </w:tcBorders>
            <w:vAlign w:val="center"/>
          </w:tcPr>
          <w:p w14:paraId="650B315F" w14:textId="77777777" w:rsidR="00ED4FB7" w:rsidRPr="00C54302" w:rsidRDefault="00ED4FB7" w:rsidP="003771D9">
            <w:pPr>
              <w:pStyle w:val="ListParagraph"/>
              <w:spacing w:line="276" w:lineRule="auto"/>
              <w:ind w:left="0"/>
              <w:jc w:val="right"/>
              <w:rPr>
                <w:rFonts w:cs="Arial"/>
                <w:b/>
                <w:bCs/>
                <w:sz w:val="21"/>
                <w:szCs w:val="21"/>
              </w:rPr>
            </w:pPr>
            <w:r>
              <w:rPr>
                <w:rFonts w:cs="Arial"/>
                <w:b/>
                <w:bCs/>
                <w:sz w:val="21"/>
                <w:szCs w:val="21"/>
              </w:rPr>
              <w:t>424</w:t>
            </w:r>
          </w:p>
        </w:tc>
        <w:tc>
          <w:tcPr>
            <w:tcW w:w="1707" w:type="dxa"/>
            <w:gridSpan w:val="2"/>
            <w:tcBorders>
              <w:top w:val="single" w:sz="4" w:space="0" w:color="auto"/>
              <w:left w:val="single" w:sz="4" w:space="0" w:color="auto"/>
              <w:bottom w:val="single" w:sz="4" w:space="0" w:color="auto"/>
              <w:right w:val="nil"/>
            </w:tcBorders>
            <w:vAlign w:val="center"/>
          </w:tcPr>
          <w:p w14:paraId="7971E585" w14:textId="77777777" w:rsidR="00ED4FB7" w:rsidRPr="00C54302" w:rsidRDefault="00ED4FB7" w:rsidP="003771D9">
            <w:pPr>
              <w:pStyle w:val="ListParagraph"/>
              <w:spacing w:line="276" w:lineRule="auto"/>
              <w:ind w:left="0"/>
              <w:jc w:val="right"/>
              <w:rPr>
                <w:rFonts w:cs="Arial"/>
                <w:sz w:val="21"/>
                <w:szCs w:val="21"/>
              </w:rPr>
            </w:pPr>
            <w:r>
              <w:rPr>
                <w:rFonts w:cs="Arial"/>
                <w:sz w:val="21"/>
                <w:szCs w:val="21"/>
              </w:rPr>
              <w:t>+114%</w:t>
            </w:r>
          </w:p>
        </w:tc>
      </w:tr>
      <w:tr w:rsidR="00ED4FB7" w:rsidRPr="00C54302" w14:paraId="5E67F7E2" w14:textId="77777777" w:rsidTr="003771D9">
        <w:trPr>
          <w:trHeight w:val="223"/>
        </w:trPr>
        <w:tc>
          <w:tcPr>
            <w:tcW w:w="4523" w:type="dxa"/>
            <w:tcBorders>
              <w:top w:val="single" w:sz="4" w:space="0" w:color="auto"/>
              <w:left w:val="nil"/>
              <w:bottom w:val="single" w:sz="4" w:space="0" w:color="auto"/>
              <w:right w:val="nil"/>
            </w:tcBorders>
            <w:vAlign w:val="center"/>
          </w:tcPr>
          <w:p w14:paraId="25397F72" w14:textId="77777777" w:rsidR="00ED4FB7" w:rsidRPr="00C54302" w:rsidRDefault="00ED4FB7" w:rsidP="003771D9">
            <w:pPr>
              <w:pStyle w:val="ListParagraph"/>
              <w:spacing w:line="276" w:lineRule="auto"/>
              <w:ind w:left="0"/>
              <w:rPr>
                <w:rFonts w:cs="Arial"/>
                <w:sz w:val="21"/>
                <w:szCs w:val="21"/>
              </w:rPr>
            </w:pPr>
          </w:p>
        </w:tc>
        <w:tc>
          <w:tcPr>
            <w:tcW w:w="1701" w:type="dxa"/>
            <w:gridSpan w:val="2"/>
            <w:tcBorders>
              <w:top w:val="single" w:sz="4" w:space="0" w:color="auto"/>
              <w:left w:val="nil"/>
              <w:bottom w:val="single" w:sz="4" w:space="0" w:color="auto"/>
              <w:right w:val="nil"/>
            </w:tcBorders>
            <w:shd w:val="clear" w:color="auto" w:fill="F2F2F2" w:themeFill="background1" w:themeFillShade="F2"/>
            <w:vAlign w:val="center"/>
          </w:tcPr>
          <w:p w14:paraId="29DAF21C" w14:textId="77777777" w:rsidR="00ED4FB7" w:rsidRPr="00C54302" w:rsidRDefault="00ED4FB7" w:rsidP="003771D9">
            <w:pPr>
              <w:pStyle w:val="ListParagraph"/>
              <w:spacing w:line="276" w:lineRule="auto"/>
              <w:ind w:left="0"/>
              <w:jc w:val="right"/>
              <w:rPr>
                <w:rFonts w:cs="Arial"/>
                <w:b/>
                <w:bCs/>
                <w:sz w:val="21"/>
                <w:szCs w:val="21"/>
              </w:rPr>
            </w:pPr>
          </w:p>
        </w:tc>
        <w:tc>
          <w:tcPr>
            <w:tcW w:w="1701" w:type="dxa"/>
            <w:gridSpan w:val="2"/>
            <w:tcBorders>
              <w:top w:val="single" w:sz="4" w:space="0" w:color="auto"/>
              <w:left w:val="nil"/>
              <w:bottom w:val="single" w:sz="4" w:space="0" w:color="auto"/>
              <w:right w:val="nil"/>
            </w:tcBorders>
            <w:vAlign w:val="center"/>
          </w:tcPr>
          <w:p w14:paraId="4F86F0C4" w14:textId="77777777" w:rsidR="00ED4FB7" w:rsidRPr="00C54302" w:rsidRDefault="00ED4FB7" w:rsidP="003771D9">
            <w:pPr>
              <w:pStyle w:val="ListParagraph"/>
              <w:spacing w:line="276" w:lineRule="auto"/>
              <w:ind w:left="0"/>
              <w:jc w:val="right"/>
              <w:rPr>
                <w:rFonts w:cs="Arial"/>
                <w:b/>
                <w:bCs/>
                <w:sz w:val="21"/>
                <w:szCs w:val="21"/>
              </w:rPr>
            </w:pPr>
          </w:p>
        </w:tc>
        <w:tc>
          <w:tcPr>
            <w:tcW w:w="1707" w:type="dxa"/>
            <w:gridSpan w:val="2"/>
            <w:tcBorders>
              <w:top w:val="single" w:sz="4" w:space="0" w:color="auto"/>
              <w:left w:val="single" w:sz="4" w:space="0" w:color="auto"/>
              <w:bottom w:val="single" w:sz="4" w:space="0" w:color="auto"/>
              <w:right w:val="nil"/>
            </w:tcBorders>
            <w:vAlign w:val="center"/>
          </w:tcPr>
          <w:p w14:paraId="06CF6BD1" w14:textId="77777777" w:rsidR="00ED4FB7" w:rsidRPr="00C54302" w:rsidRDefault="00ED4FB7" w:rsidP="003771D9">
            <w:pPr>
              <w:pStyle w:val="ListParagraph"/>
              <w:spacing w:line="276" w:lineRule="auto"/>
              <w:ind w:left="0"/>
              <w:jc w:val="right"/>
              <w:rPr>
                <w:rFonts w:cs="Arial"/>
                <w:sz w:val="21"/>
                <w:szCs w:val="21"/>
              </w:rPr>
            </w:pPr>
          </w:p>
        </w:tc>
      </w:tr>
      <w:tr w:rsidR="00ED4FB7" w:rsidRPr="00C54302" w14:paraId="7C240008" w14:textId="77777777" w:rsidTr="003771D9">
        <w:trPr>
          <w:trHeight w:val="223"/>
        </w:trPr>
        <w:tc>
          <w:tcPr>
            <w:tcW w:w="4523" w:type="dxa"/>
            <w:tcBorders>
              <w:top w:val="single" w:sz="4" w:space="0" w:color="auto"/>
              <w:left w:val="nil"/>
              <w:bottom w:val="single" w:sz="4" w:space="0" w:color="auto"/>
              <w:right w:val="nil"/>
            </w:tcBorders>
            <w:vAlign w:val="center"/>
            <w:hideMark/>
          </w:tcPr>
          <w:p w14:paraId="559D7377" w14:textId="77777777" w:rsidR="00ED4FB7" w:rsidRPr="00C54302" w:rsidRDefault="00ED4FB7" w:rsidP="003771D9">
            <w:pPr>
              <w:pStyle w:val="ListParagraph"/>
              <w:spacing w:line="276" w:lineRule="auto"/>
              <w:ind w:left="0"/>
              <w:rPr>
                <w:rFonts w:cs="Arial"/>
                <w:sz w:val="21"/>
                <w:szCs w:val="21"/>
              </w:rPr>
            </w:pPr>
            <w:r w:rsidRPr="00C54302">
              <w:rPr>
                <w:rFonts w:cs="Arial"/>
                <w:sz w:val="21"/>
                <w:szCs w:val="21"/>
              </w:rPr>
              <w:t>Revenue</w:t>
            </w:r>
            <w:r>
              <w:rPr>
                <w:rFonts w:cs="Arial"/>
                <w:i/>
                <w:iCs/>
                <w:sz w:val="18"/>
                <w:szCs w:val="18"/>
                <w:vertAlign w:val="superscript"/>
              </w:rPr>
              <w:t>2</w:t>
            </w:r>
          </w:p>
        </w:tc>
        <w:tc>
          <w:tcPr>
            <w:tcW w:w="1701" w:type="dxa"/>
            <w:gridSpan w:val="2"/>
            <w:tcBorders>
              <w:top w:val="single" w:sz="4" w:space="0" w:color="auto"/>
              <w:left w:val="nil"/>
              <w:bottom w:val="single" w:sz="4" w:space="0" w:color="auto"/>
              <w:right w:val="nil"/>
            </w:tcBorders>
            <w:shd w:val="clear" w:color="auto" w:fill="F2F2F2" w:themeFill="background1" w:themeFillShade="F2"/>
            <w:vAlign w:val="center"/>
          </w:tcPr>
          <w:p w14:paraId="14637852" w14:textId="77777777" w:rsidR="00ED4FB7" w:rsidRPr="00C54302" w:rsidRDefault="00ED4FB7" w:rsidP="003771D9">
            <w:pPr>
              <w:pStyle w:val="ListParagraph"/>
              <w:spacing w:line="276" w:lineRule="auto"/>
              <w:ind w:left="0"/>
              <w:jc w:val="right"/>
              <w:rPr>
                <w:rFonts w:cs="Arial"/>
                <w:b/>
                <w:bCs/>
                <w:sz w:val="21"/>
                <w:szCs w:val="21"/>
              </w:rPr>
            </w:pPr>
            <w:r w:rsidRPr="00C54302">
              <w:rPr>
                <w:rFonts w:cs="Arial"/>
                <w:b/>
                <w:bCs/>
                <w:sz w:val="21"/>
                <w:szCs w:val="21"/>
              </w:rPr>
              <w:t>341.</w:t>
            </w:r>
            <w:r>
              <w:rPr>
                <w:rFonts w:cs="Arial"/>
                <w:b/>
                <w:bCs/>
                <w:sz w:val="21"/>
                <w:szCs w:val="21"/>
              </w:rPr>
              <w:t>6</w:t>
            </w:r>
          </w:p>
        </w:tc>
        <w:tc>
          <w:tcPr>
            <w:tcW w:w="1701" w:type="dxa"/>
            <w:gridSpan w:val="2"/>
            <w:tcBorders>
              <w:top w:val="single" w:sz="4" w:space="0" w:color="auto"/>
              <w:left w:val="nil"/>
              <w:bottom w:val="single" w:sz="4" w:space="0" w:color="auto"/>
              <w:right w:val="nil"/>
            </w:tcBorders>
            <w:vAlign w:val="center"/>
          </w:tcPr>
          <w:p w14:paraId="470B9E55" w14:textId="77777777" w:rsidR="00ED4FB7" w:rsidRPr="00C54302" w:rsidRDefault="00ED4FB7" w:rsidP="003771D9">
            <w:pPr>
              <w:pStyle w:val="ListParagraph"/>
              <w:spacing w:line="276" w:lineRule="auto"/>
              <w:ind w:left="0"/>
              <w:jc w:val="right"/>
              <w:rPr>
                <w:rFonts w:cs="Arial"/>
                <w:sz w:val="21"/>
                <w:szCs w:val="21"/>
              </w:rPr>
            </w:pPr>
            <w:r w:rsidRPr="00C54302">
              <w:rPr>
                <w:rFonts w:cs="Arial"/>
                <w:b/>
                <w:bCs/>
                <w:sz w:val="21"/>
                <w:szCs w:val="21"/>
              </w:rPr>
              <w:t>152.2</w:t>
            </w:r>
          </w:p>
        </w:tc>
        <w:tc>
          <w:tcPr>
            <w:tcW w:w="1707" w:type="dxa"/>
            <w:gridSpan w:val="2"/>
            <w:tcBorders>
              <w:top w:val="single" w:sz="4" w:space="0" w:color="auto"/>
              <w:left w:val="single" w:sz="4" w:space="0" w:color="auto"/>
              <w:bottom w:val="single" w:sz="4" w:space="0" w:color="auto"/>
              <w:right w:val="nil"/>
            </w:tcBorders>
            <w:vAlign w:val="center"/>
          </w:tcPr>
          <w:p w14:paraId="23C5F3BB" w14:textId="77777777" w:rsidR="00ED4FB7" w:rsidRPr="00C54302" w:rsidRDefault="00ED4FB7" w:rsidP="003771D9">
            <w:pPr>
              <w:pStyle w:val="ListParagraph"/>
              <w:spacing w:line="276" w:lineRule="auto"/>
              <w:ind w:left="0"/>
              <w:jc w:val="right"/>
              <w:rPr>
                <w:rFonts w:cs="Arial"/>
                <w:sz w:val="21"/>
                <w:szCs w:val="21"/>
              </w:rPr>
            </w:pPr>
            <w:r w:rsidRPr="00C54302">
              <w:rPr>
                <w:rFonts w:cs="Arial"/>
                <w:sz w:val="21"/>
                <w:szCs w:val="21"/>
              </w:rPr>
              <w:t>+</w:t>
            </w:r>
            <w:r>
              <w:rPr>
                <w:rFonts w:cs="Arial"/>
                <w:sz w:val="21"/>
                <w:szCs w:val="21"/>
              </w:rPr>
              <w:t>124</w:t>
            </w:r>
            <w:r w:rsidRPr="00C54302">
              <w:rPr>
                <w:rFonts w:cs="Arial"/>
                <w:sz w:val="21"/>
                <w:szCs w:val="21"/>
              </w:rPr>
              <w:t>%</w:t>
            </w:r>
          </w:p>
        </w:tc>
      </w:tr>
      <w:tr w:rsidR="00ED4FB7" w:rsidRPr="00C54302" w14:paraId="44A873E2" w14:textId="77777777" w:rsidTr="003771D9">
        <w:trPr>
          <w:trHeight w:val="300"/>
        </w:trPr>
        <w:tc>
          <w:tcPr>
            <w:tcW w:w="4523" w:type="dxa"/>
            <w:tcBorders>
              <w:top w:val="single" w:sz="4" w:space="0" w:color="auto"/>
              <w:left w:val="nil"/>
              <w:bottom w:val="single" w:sz="4" w:space="0" w:color="auto"/>
              <w:right w:val="nil"/>
            </w:tcBorders>
            <w:vAlign w:val="center"/>
          </w:tcPr>
          <w:p w14:paraId="0C222E77" w14:textId="77777777" w:rsidR="00ED4FB7" w:rsidRPr="00AF759C" w:rsidRDefault="00ED4FB7" w:rsidP="00ED4FB7">
            <w:pPr>
              <w:pStyle w:val="ListParagraph"/>
              <w:numPr>
                <w:ilvl w:val="0"/>
                <w:numId w:val="42"/>
              </w:numPr>
              <w:spacing w:line="276" w:lineRule="auto"/>
              <w:rPr>
                <w:rFonts w:cs="Arial"/>
                <w:i/>
                <w:iCs/>
                <w:sz w:val="18"/>
                <w:szCs w:val="18"/>
              </w:rPr>
            </w:pPr>
            <w:r w:rsidRPr="00AF759C">
              <w:rPr>
                <w:rFonts w:cs="Arial"/>
                <w:i/>
                <w:iCs/>
                <w:sz w:val="18"/>
                <w:szCs w:val="18"/>
              </w:rPr>
              <w:t>Homebuilding</w:t>
            </w:r>
            <w:r w:rsidRPr="00B63F7A">
              <w:rPr>
                <w:rFonts w:cs="Arial"/>
                <w:i/>
                <w:iCs/>
                <w:sz w:val="18"/>
                <w:szCs w:val="18"/>
              </w:rPr>
              <w:t xml:space="preserve"> </w:t>
            </w:r>
          </w:p>
        </w:tc>
        <w:tc>
          <w:tcPr>
            <w:tcW w:w="1701" w:type="dxa"/>
            <w:gridSpan w:val="2"/>
            <w:tcBorders>
              <w:top w:val="single" w:sz="4" w:space="0" w:color="auto"/>
              <w:left w:val="nil"/>
              <w:bottom w:val="single" w:sz="4" w:space="0" w:color="auto"/>
              <w:right w:val="nil"/>
            </w:tcBorders>
            <w:shd w:val="clear" w:color="auto" w:fill="F2F2F2" w:themeFill="background1" w:themeFillShade="F2"/>
            <w:vAlign w:val="center"/>
          </w:tcPr>
          <w:p w14:paraId="165D52F1" w14:textId="77777777" w:rsidR="00ED4FB7" w:rsidRPr="00C54302" w:rsidRDefault="00ED4FB7" w:rsidP="003771D9">
            <w:pPr>
              <w:pStyle w:val="ListParagraph"/>
              <w:spacing w:line="276" w:lineRule="auto"/>
              <w:ind w:left="0"/>
              <w:jc w:val="right"/>
              <w:rPr>
                <w:rFonts w:cs="Arial"/>
                <w:b/>
                <w:bCs/>
                <w:i/>
                <w:iCs/>
                <w:sz w:val="18"/>
                <w:szCs w:val="18"/>
              </w:rPr>
            </w:pPr>
            <w:r w:rsidRPr="00C54302">
              <w:rPr>
                <w:rFonts w:cs="Arial"/>
                <w:b/>
                <w:bCs/>
                <w:i/>
                <w:iCs/>
                <w:sz w:val="18"/>
                <w:szCs w:val="18"/>
              </w:rPr>
              <w:t>218.4</w:t>
            </w:r>
          </w:p>
        </w:tc>
        <w:tc>
          <w:tcPr>
            <w:tcW w:w="1701" w:type="dxa"/>
            <w:gridSpan w:val="2"/>
            <w:tcBorders>
              <w:top w:val="single" w:sz="4" w:space="0" w:color="auto"/>
              <w:left w:val="nil"/>
              <w:bottom w:val="single" w:sz="4" w:space="0" w:color="auto"/>
              <w:right w:val="nil"/>
            </w:tcBorders>
            <w:vAlign w:val="center"/>
          </w:tcPr>
          <w:p w14:paraId="15439483" w14:textId="77777777" w:rsidR="00ED4FB7" w:rsidRPr="00C54302" w:rsidDel="00623757" w:rsidRDefault="00ED4FB7" w:rsidP="003771D9">
            <w:pPr>
              <w:pStyle w:val="ListParagraph"/>
              <w:spacing w:line="276" w:lineRule="auto"/>
              <w:ind w:left="0"/>
              <w:jc w:val="right"/>
              <w:rPr>
                <w:rFonts w:cs="Arial"/>
                <w:i/>
                <w:iCs/>
                <w:sz w:val="18"/>
                <w:szCs w:val="18"/>
              </w:rPr>
            </w:pPr>
            <w:r w:rsidRPr="5F417A81">
              <w:rPr>
                <w:rFonts w:cs="Arial"/>
                <w:b/>
                <w:bCs/>
                <w:i/>
                <w:iCs/>
                <w:sz w:val="18"/>
                <w:szCs w:val="18"/>
              </w:rPr>
              <w:t>101.6</w:t>
            </w:r>
          </w:p>
        </w:tc>
        <w:tc>
          <w:tcPr>
            <w:tcW w:w="1707" w:type="dxa"/>
            <w:gridSpan w:val="2"/>
            <w:tcBorders>
              <w:top w:val="single" w:sz="4" w:space="0" w:color="auto"/>
              <w:left w:val="single" w:sz="4" w:space="0" w:color="auto"/>
              <w:bottom w:val="single" w:sz="4" w:space="0" w:color="auto"/>
              <w:right w:val="nil"/>
            </w:tcBorders>
          </w:tcPr>
          <w:p w14:paraId="5CA51877" w14:textId="77777777" w:rsidR="00ED4FB7" w:rsidRPr="00C54302" w:rsidRDefault="00ED4FB7" w:rsidP="003771D9">
            <w:pPr>
              <w:pStyle w:val="ListParagraph"/>
              <w:spacing w:line="276" w:lineRule="auto"/>
              <w:ind w:left="0"/>
              <w:jc w:val="right"/>
              <w:rPr>
                <w:rFonts w:cs="Arial"/>
                <w:sz w:val="18"/>
                <w:szCs w:val="18"/>
              </w:rPr>
            </w:pPr>
            <w:r w:rsidRPr="03E9C12C">
              <w:rPr>
                <w:rFonts w:cs="Arial"/>
                <w:sz w:val="18"/>
                <w:szCs w:val="18"/>
              </w:rPr>
              <w:t>+</w:t>
            </w:r>
            <w:r>
              <w:rPr>
                <w:rFonts w:cs="Arial"/>
                <w:sz w:val="18"/>
                <w:szCs w:val="18"/>
              </w:rPr>
              <w:t>115</w:t>
            </w:r>
            <w:r w:rsidRPr="03E9C12C">
              <w:rPr>
                <w:rFonts w:cs="Arial"/>
                <w:sz w:val="18"/>
                <w:szCs w:val="18"/>
              </w:rPr>
              <w:t>%</w:t>
            </w:r>
          </w:p>
        </w:tc>
      </w:tr>
      <w:tr w:rsidR="00ED4FB7" w:rsidRPr="003F4945" w14:paraId="1582298B" w14:textId="77777777" w:rsidTr="003771D9">
        <w:trPr>
          <w:trHeight w:val="223"/>
        </w:trPr>
        <w:tc>
          <w:tcPr>
            <w:tcW w:w="4523" w:type="dxa"/>
            <w:tcBorders>
              <w:top w:val="single" w:sz="4" w:space="0" w:color="auto"/>
              <w:left w:val="nil"/>
              <w:bottom w:val="single" w:sz="4" w:space="0" w:color="auto"/>
              <w:right w:val="nil"/>
            </w:tcBorders>
            <w:vAlign w:val="center"/>
          </w:tcPr>
          <w:p w14:paraId="0D727919" w14:textId="77777777" w:rsidR="00ED4FB7" w:rsidRPr="00AF759C" w:rsidRDefault="00ED4FB7" w:rsidP="00ED4FB7">
            <w:pPr>
              <w:pStyle w:val="ListParagraph"/>
              <w:numPr>
                <w:ilvl w:val="0"/>
                <w:numId w:val="42"/>
              </w:numPr>
              <w:spacing w:line="276" w:lineRule="auto"/>
              <w:rPr>
                <w:rFonts w:cs="Arial"/>
                <w:i/>
                <w:iCs/>
                <w:sz w:val="18"/>
                <w:szCs w:val="18"/>
              </w:rPr>
            </w:pPr>
            <w:r w:rsidRPr="00AF759C">
              <w:rPr>
                <w:rFonts w:cs="Arial"/>
                <w:i/>
                <w:iCs/>
                <w:sz w:val="18"/>
                <w:szCs w:val="18"/>
              </w:rPr>
              <w:t xml:space="preserve">Partnerships </w:t>
            </w:r>
          </w:p>
        </w:tc>
        <w:tc>
          <w:tcPr>
            <w:tcW w:w="1701" w:type="dxa"/>
            <w:gridSpan w:val="2"/>
            <w:tcBorders>
              <w:top w:val="single" w:sz="4" w:space="0" w:color="auto"/>
              <w:left w:val="nil"/>
              <w:bottom w:val="single" w:sz="4" w:space="0" w:color="auto"/>
              <w:right w:val="nil"/>
            </w:tcBorders>
            <w:shd w:val="clear" w:color="auto" w:fill="F2F2F2" w:themeFill="background1" w:themeFillShade="F2"/>
            <w:vAlign w:val="center"/>
          </w:tcPr>
          <w:p w14:paraId="7B9C7F4F" w14:textId="77777777" w:rsidR="00ED4FB7" w:rsidRPr="00C54302" w:rsidRDefault="00ED4FB7" w:rsidP="003771D9">
            <w:pPr>
              <w:pStyle w:val="ListParagraph"/>
              <w:spacing w:line="276" w:lineRule="auto"/>
              <w:ind w:left="0"/>
              <w:jc w:val="right"/>
              <w:rPr>
                <w:rFonts w:cs="Arial"/>
                <w:b/>
                <w:bCs/>
                <w:i/>
                <w:iCs/>
                <w:sz w:val="18"/>
                <w:szCs w:val="18"/>
              </w:rPr>
            </w:pPr>
            <w:r>
              <w:rPr>
                <w:rFonts w:cs="Arial"/>
                <w:b/>
                <w:bCs/>
                <w:i/>
                <w:iCs/>
                <w:sz w:val="18"/>
                <w:szCs w:val="18"/>
              </w:rPr>
              <w:t>123.2</w:t>
            </w:r>
          </w:p>
        </w:tc>
        <w:tc>
          <w:tcPr>
            <w:tcW w:w="1701" w:type="dxa"/>
            <w:gridSpan w:val="2"/>
            <w:tcBorders>
              <w:top w:val="single" w:sz="4" w:space="0" w:color="auto"/>
              <w:left w:val="nil"/>
              <w:bottom w:val="single" w:sz="4" w:space="0" w:color="auto"/>
              <w:right w:val="nil"/>
            </w:tcBorders>
            <w:vAlign w:val="center"/>
          </w:tcPr>
          <w:p w14:paraId="3DCCE1A0" w14:textId="77777777" w:rsidR="00ED4FB7" w:rsidRPr="00C54302" w:rsidRDefault="00ED4FB7" w:rsidP="003771D9">
            <w:pPr>
              <w:pStyle w:val="ListParagraph"/>
              <w:spacing w:line="276" w:lineRule="auto"/>
              <w:ind w:left="0"/>
              <w:jc w:val="right"/>
              <w:rPr>
                <w:rFonts w:cs="Arial"/>
                <w:b/>
                <w:bCs/>
                <w:i/>
                <w:iCs/>
                <w:sz w:val="18"/>
                <w:szCs w:val="18"/>
                <w:highlight w:val="yellow"/>
              </w:rPr>
            </w:pPr>
            <w:r w:rsidRPr="5F417A81">
              <w:rPr>
                <w:rFonts w:cs="Arial"/>
                <w:b/>
                <w:bCs/>
                <w:i/>
                <w:iCs/>
                <w:sz w:val="18"/>
                <w:szCs w:val="18"/>
              </w:rPr>
              <w:t>50.6</w:t>
            </w:r>
          </w:p>
        </w:tc>
        <w:tc>
          <w:tcPr>
            <w:tcW w:w="1707" w:type="dxa"/>
            <w:gridSpan w:val="2"/>
            <w:tcBorders>
              <w:top w:val="single" w:sz="4" w:space="0" w:color="auto"/>
              <w:left w:val="single" w:sz="4" w:space="0" w:color="auto"/>
              <w:bottom w:val="single" w:sz="4" w:space="0" w:color="auto"/>
              <w:right w:val="nil"/>
            </w:tcBorders>
          </w:tcPr>
          <w:p w14:paraId="77F88E90" w14:textId="77777777" w:rsidR="00ED4FB7" w:rsidRPr="00C54302" w:rsidRDefault="00ED4FB7" w:rsidP="003771D9">
            <w:pPr>
              <w:pStyle w:val="ListParagraph"/>
              <w:spacing w:line="276" w:lineRule="auto"/>
              <w:ind w:left="0"/>
              <w:jc w:val="right"/>
              <w:rPr>
                <w:rFonts w:cs="Arial"/>
                <w:sz w:val="18"/>
                <w:szCs w:val="18"/>
              </w:rPr>
            </w:pPr>
            <w:r w:rsidRPr="03E9C12C">
              <w:rPr>
                <w:rFonts w:cs="Arial"/>
                <w:sz w:val="18"/>
                <w:szCs w:val="18"/>
              </w:rPr>
              <w:t>+</w:t>
            </w:r>
            <w:r>
              <w:rPr>
                <w:rFonts w:cs="Arial"/>
                <w:sz w:val="18"/>
                <w:szCs w:val="18"/>
              </w:rPr>
              <w:t>143</w:t>
            </w:r>
            <w:r w:rsidRPr="03E9C12C">
              <w:rPr>
                <w:rFonts w:cs="Arial"/>
                <w:sz w:val="18"/>
                <w:szCs w:val="18"/>
              </w:rPr>
              <w:t>%</w:t>
            </w:r>
          </w:p>
        </w:tc>
      </w:tr>
      <w:tr w:rsidR="00ED4FB7" w:rsidRPr="00C54302" w14:paraId="27DE8A2A" w14:textId="77777777" w:rsidTr="003771D9">
        <w:trPr>
          <w:trHeight w:val="278"/>
        </w:trPr>
        <w:tc>
          <w:tcPr>
            <w:tcW w:w="4523" w:type="dxa"/>
            <w:tcBorders>
              <w:top w:val="single" w:sz="4" w:space="0" w:color="auto"/>
              <w:left w:val="nil"/>
              <w:bottom w:val="single" w:sz="4" w:space="0" w:color="auto"/>
              <w:right w:val="nil"/>
            </w:tcBorders>
            <w:vAlign w:val="center"/>
          </w:tcPr>
          <w:p w14:paraId="3D807D75" w14:textId="77777777" w:rsidR="00ED4FB7" w:rsidRPr="00C54302" w:rsidRDefault="00ED4FB7" w:rsidP="003771D9">
            <w:pPr>
              <w:pStyle w:val="ListParagraph"/>
              <w:spacing w:line="276" w:lineRule="auto"/>
              <w:ind w:left="0"/>
              <w:rPr>
                <w:rFonts w:cs="Arial"/>
                <w:sz w:val="21"/>
                <w:szCs w:val="21"/>
              </w:rPr>
            </w:pPr>
            <w:r w:rsidRPr="00C54302">
              <w:rPr>
                <w:rFonts w:cs="Arial"/>
                <w:sz w:val="21"/>
                <w:szCs w:val="21"/>
              </w:rPr>
              <w:t>Gross profit</w:t>
            </w:r>
            <w:r>
              <w:rPr>
                <w:rFonts w:cs="Arial"/>
                <w:i/>
                <w:iCs/>
                <w:sz w:val="18"/>
                <w:szCs w:val="18"/>
                <w:vertAlign w:val="superscript"/>
              </w:rPr>
              <w:t>2</w:t>
            </w:r>
            <w:r w:rsidRPr="00C54302">
              <w:rPr>
                <w:rFonts w:cs="Arial"/>
                <w:sz w:val="21"/>
                <w:szCs w:val="21"/>
              </w:rPr>
              <w:t xml:space="preserve"> </w:t>
            </w:r>
          </w:p>
        </w:tc>
        <w:tc>
          <w:tcPr>
            <w:tcW w:w="1701" w:type="dxa"/>
            <w:gridSpan w:val="2"/>
            <w:tcBorders>
              <w:top w:val="single" w:sz="4" w:space="0" w:color="auto"/>
              <w:left w:val="nil"/>
              <w:bottom w:val="single" w:sz="4" w:space="0" w:color="auto"/>
              <w:right w:val="nil"/>
            </w:tcBorders>
            <w:shd w:val="clear" w:color="auto" w:fill="F2F2F2" w:themeFill="background1" w:themeFillShade="F2"/>
            <w:vAlign w:val="center"/>
          </w:tcPr>
          <w:p w14:paraId="0559C1AE" w14:textId="77777777" w:rsidR="00ED4FB7" w:rsidRPr="00C54302" w:rsidRDefault="00ED4FB7" w:rsidP="003771D9">
            <w:pPr>
              <w:pStyle w:val="ListParagraph"/>
              <w:spacing w:line="276" w:lineRule="auto"/>
              <w:ind w:left="0"/>
              <w:jc w:val="right"/>
              <w:rPr>
                <w:rFonts w:cs="Arial"/>
                <w:b/>
                <w:bCs/>
                <w:sz w:val="21"/>
                <w:szCs w:val="21"/>
              </w:rPr>
            </w:pPr>
            <w:r>
              <w:rPr>
                <w:rFonts w:cs="Arial"/>
                <w:b/>
                <w:bCs/>
                <w:sz w:val="21"/>
                <w:szCs w:val="21"/>
              </w:rPr>
              <w:t>66.8</w:t>
            </w:r>
          </w:p>
        </w:tc>
        <w:tc>
          <w:tcPr>
            <w:tcW w:w="1701" w:type="dxa"/>
            <w:gridSpan w:val="2"/>
            <w:tcBorders>
              <w:top w:val="single" w:sz="4" w:space="0" w:color="auto"/>
              <w:left w:val="nil"/>
              <w:bottom w:val="single" w:sz="4" w:space="0" w:color="auto"/>
              <w:right w:val="nil"/>
            </w:tcBorders>
            <w:vAlign w:val="center"/>
          </w:tcPr>
          <w:p w14:paraId="5F67F152" w14:textId="77777777" w:rsidR="00ED4FB7" w:rsidRPr="00C54302" w:rsidRDefault="00ED4FB7" w:rsidP="003771D9">
            <w:pPr>
              <w:pStyle w:val="ListParagraph"/>
              <w:spacing w:line="276" w:lineRule="auto"/>
              <w:ind w:left="0"/>
              <w:jc w:val="right"/>
              <w:rPr>
                <w:rFonts w:cs="Arial"/>
                <w:sz w:val="21"/>
                <w:szCs w:val="21"/>
              </w:rPr>
            </w:pPr>
            <w:r w:rsidRPr="00C54302">
              <w:rPr>
                <w:rFonts w:cs="Arial"/>
                <w:b/>
                <w:bCs/>
                <w:sz w:val="21"/>
                <w:szCs w:val="21"/>
              </w:rPr>
              <w:t>27.7</w:t>
            </w:r>
          </w:p>
        </w:tc>
        <w:tc>
          <w:tcPr>
            <w:tcW w:w="1707" w:type="dxa"/>
            <w:gridSpan w:val="2"/>
            <w:tcBorders>
              <w:top w:val="single" w:sz="4" w:space="0" w:color="auto"/>
              <w:left w:val="single" w:sz="4" w:space="0" w:color="auto"/>
              <w:bottom w:val="single" w:sz="4" w:space="0" w:color="auto"/>
              <w:right w:val="nil"/>
            </w:tcBorders>
          </w:tcPr>
          <w:p w14:paraId="31A1D113" w14:textId="77777777" w:rsidR="00ED4FB7" w:rsidRPr="00C54302" w:rsidRDefault="00ED4FB7" w:rsidP="003771D9">
            <w:pPr>
              <w:pStyle w:val="ListParagraph"/>
              <w:spacing w:line="276" w:lineRule="auto"/>
              <w:ind w:left="0"/>
              <w:jc w:val="right"/>
              <w:rPr>
                <w:rFonts w:cs="Arial"/>
                <w:sz w:val="21"/>
                <w:szCs w:val="21"/>
              </w:rPr>
            </w:pPr>
            <w:r w:rsidRPr="00C54302">
              <w:rPr>
                <w:rFonts w:cs="Arial"/>
                <w:sz w:val="21"/>
                <w:szCs w:val="21"/>
              </w:rPr>
              <w:t>+</w:t>
            </w:r>
            <w:r>
              <w:rPr>
                <w:rFonts w:cs="Arial"/>
                <w:sz w:val="21"/>
                <w:szCs w:val="21"/>
              </w:rPr>
              <w:t>141</w:t>
            </w:r>
            <w:r w:rsidRPr="00C54302">
              <w:rPr>
                <w:rFonts w:cs="Arial"/>
                <w:sz w:val="21"/>
                <w:szCs w:val="21"/>
              </w:rPr>
              <w:t>%</w:t>
            </w:r>
          </w:p>
        </w:tc>
      </w:tr>
      <w:tr w:rsidR="00ED4FB7" w:rsidRPr="00C54302" w14:paraId="21DE1ADA" w14:textId="77777777" w:rsidTr="003771D9">
        <w:trPr>
          <w:trHeight w:val="278"/>
        </w:trPr>
        <w:tc>
          <w:tcPr>
            <w:tcW w:w="4523" w:type="dxa"/>
            <w:tcBorders>
              <w:top w:val="single" w:sz="4" w:space="0" w:color="auto"/>
              <w:left w:val="nil"/>
              <w:bottom w:val="single" w:sz="4" w:space="0" w:color="auto"/>
              <w:right w:val="nil"/>
            </w:tcBorders>
            <w:vAlign w:val="center"/>
          </w:tcPr>
          <w:p w14:paraId="1F6732F2" w14:textId="77777777" w:rsidR="00ED4FB7" w:rsidRPr="00C54302" w:rsidRDefault="00ED4FB7" w:rsidP="00ED4FB7">
            <w:pPr>
              <w:pStyle w:val="ListParagraph"/>
              <w:numPr>
                <w:ilvl w:val="0"/>
                <w:numId w:val="42"/>
              </w:numPr>
              <w:spacing w:line="276" w:lineRule="auto"/>
              <w:rPr>
                <w:rFonts w:cs="Arial"/>
                <w:i/>
                <w:iCs/>
                <w:sz w:val="18"/>
                <w:szCs w:val="18"/>
              </w:rPr>
            </w:pPr>
            <w:r w:rsidRPr="00C54302">
              <w:rPr>
                <w:rFonts w:cs="Arial"/>
                <w:i/>
                <w:iCs/>
                <w:sz w:val="18"/>
                <w:szCs w:val="18"/>
              </w:rPr>
              <w:t>Homebuilding</w:t>
            </w:r>
            <w:r>
              <w:rPr>
                <w:rFonts w:cs="Arial"/>
                <w:i/>
                <w:iCs/>
                <w:sz w:val="18"/>
                <w:szCs w:val="18"/>
              </w:rPr>
              <w:t xml:space="preserve"> </w:t>
            </w:r>
          </w:p>
        </w:tc>
        <w:tc>
          <w:tcPr>
            <w:tcW w:w="1701" w:type="dxa"/>
            <w:gridSpan w:val="2"/>
            <w:tcBorders>
              <w:top w:val="single" w:sz="4" w:space="0" w:color="auto"/>
              <w:left w:val="nil"/>
              <w:bottom w:val="single" w:sz="4" w:space="0" w:color="auto"/>
              <w:right w:val="nil"/>
            </w:tcBorders>
            <w:shd w:val="clear" w:color="auto" w:fill="F2F2F2" w:themeFill="background1" w:themeFillShade="F2"/>
            <w:vAlign w:val="center"/>
          </w:tcPr>
          <w:p w14:paraId="551A1E8B" w14:textId="77777777" w:rsidR="00ED4FB7" w:rsidRPr="00C54302" w:rsidRDefault="00ED4FB7" w:rsidP="003771D9">
            <w:pPr>
              <w:pStyle w:val="ListParagraph"/>
              <w:spacing w:line="276" w:lineRule="auto"/>
              <w:ind w:left="0"/>
              <w:jc w:val="right"/>
              <w:rPr>
                <w:rFonts w:cs="Arial"/>
                <w:b/>
                <w:bCs/>
                <w:i/>
                <w:iCs/>
                <w:sz w:val="18"/>
                <w:szCs w:val="18"/>
              </w:rPr>
            </w:pPr>
            <w:r>
              <w:rPr>
                <w:rFonts w:cs="Arial"/>
                <w:b/>
                <w:bCs/>
                <w:i/>
                <w:iCs/>
                <w:sz w:val="18"/>
                <w:szCs w:val="18"/>
              </w:rPr>
              <w:t>46.8</w:t>
            </w:r>
          </w:p>
        </w:tc>
        <w:tc>
          <w:tcPr>
            <w:tcW w:w="1701" w:type="dxa"/>
            <w:gridSpan w:val="2"/>
            <w:tcBorders>
              <w:top w:val="single" w:sz="4" w:space="0" w:color="auto"/>
              <w:left w:val="nil"/>
              <w:bottom w:val="single" w:sz="4" w:space="0" w:color="auto"/>
              <w:right w:val="nil"/>
            </w:tcBorders>
            <w:vAlign w:val="center"/>
          </w:tcPr>
          <w:p w14:paraId="66128FEA" w14:textId="77777777" w:rsidR="00ED4FB7" w:rsidRPr="00C54302" w:rsidDel="00DC710A" w:rsidRDefault="00ED4FB7" w:rsidP="003771D9">
            <w:pPr>
              <w:pStyle w:val="ListParagraph"/>
              <w:spacing w:line="276" w:lineRule="auto"/>
              <w:ind w:left="0"/>
              <w:jc w:val="right"/>
              <w:rPr>
                <w:rFonts w:cs="Arial"/>
                <w:i/>
                <w:iCs/>
                <w:sz w:val="18"/>
                <w:szCs w:val="18"/>
              </w:rPr>
            </w:pPr>
            <w:r w:rsidRPr="00C54302">
              <w:rPr>
                <w:rFonts w:cs="Arial"/>
                <w:b/>
                <w:bCs/>
                <w:i/>
                <w:iCs/>
                <w:sz w:val="18"/>
                <w:szCs w:val="18"/>
              </w:rPr>
              <w:t>20.1</w:t>
            </w:r>
          </w:p>
        </w:tc>
        <w:tc>
          <w:tcPr>
            <w:tcW w:w="1707" w:type="dxa"/>
            <w:gridSpan w:val="2"/>
            <w:tcBorders>
              <w:top w:val="single" w:sz="4" w:space="0" w:color="auto"/>
              <w:left w:val="single" w:sz="4" w:space="0" w:color="auto"/>
              <w:bottom w:val="single" w:sz="4" w:space="0" w:color="auto"/>
              <w:right w:val="nil"/>
            </w:tcBorders>
          </w:tcPr>
          <w:p w14:paraId="7127E08B" w14:textId="77777777" w:rsidR="00ED4FB7" w:rsidRPr="00C54302" w:rsidRDefault="00ED4FB7" w:rsidP="003771D9">
            <w:pPr>
              <w:pStyle w:val="ListParagraph"/>
              <w:spacing w:line="276" w:lineRule="auto"/>
              <w:ind w:left="0"/>
              <w:jc w:val="right"/>
              <w:rPr>
                <w:rFonts w:cs="Arial"/>
                <w:sz w:val="18"/>
                <w:szCs w:val="18"/>
              </w:rPr>
            </w:pPr>
            <w:r>
              <w:rPr>
                <w:rFonts w:cs="Arial"/>
                <w:sz w:val="18"/>
                <w:szCs w:val="18"/>
              </w:rPr>
              <w:t>+132%</w:t>
            </w:r>
          </w:p>
        </w:tc>
      </w:tr>
      <w:tr w:rsidR="00ED4FB7" w:rsidRPr="00C54302" w14:paraId="26E1B6BD" w14:textId="77777777" w:rsidTr="003771D9">
        <w:trPr>
          <w:trHeight w:val="278"/>
        </w:trPr>
        <w:tc>
          <w:tcPr>
            <w:tcW w:w="4523" w:type="dxa"/>
            <w:tcBorders>
              <w:top w:val="single" w:sz="4" w:space="0" w:color="auto"/>
              <w:left w:val="nil"/>
              <w:bottom w:val="single" w:sz="4" w:space="0" w:color="auto"/>
              <w:right w:val="nil"/>
            </w:tcBorders>
            <w:vAlign w:val="center"/>
          </w:tcPr>
          <w:p w14:paraId="60B8D577" w14:textId="77777777" w:rsidR="00ED4FB7" w:rsidRPr="00C54302" w:rsidRDefault="00ED4FB7" w:rsidP="00ED4FB7">
            <w:pPr>
              <w:pStyle w:val="ListParagraph"/>
              <w:numPr>
                <w:ilvl w:val="0"/>
                <w:numId w:val="42"/>
              </w:numPr>
              <w:spacing w:line="276" w:lineRule="auto"/>
              <w:rPr>
                <w:rFonts w:cs="Arial"/>
                <w:i/>
                <w:iCs/>
                <w:sz w:val="18"/>
                <w:szCs w:val="18"/>
              </w:rPr>
            </w:pPr>
            <w:r w:rsidRPr="00C54302">
              <w:rPr>
                <w:rFonts w:cs="Arial"/>
                <w:i/>
                <w:iCs/>
                <w:sz w:val="18"/>
                <w:szCs w:val="18"/>
              </w:rPr>
              <w:t>Partnerships</w:t>
            </w:r>
          </w:p>
        </w:tc>
        <w:tc>
          <w:tcPr>
            <w:tcW w:w="1701" w:type="dxa"/>
            <w:gridSpan w:val="2"/>
            <w:tcBorders>
              <w:top w:val="single" w:sz="4" w:space="0" w:color="auto"/>
              <w:left w:val="nil"/>
              <w:bottom w:val="single" w:sz="4" w:space="0" w:color="auto"/>
              <w:right w:val="nil"/>
            </w:tcBorders>
            <w:shd w:val="clear" w:color="auto" w:fill="F2F2F2" w:themeFill="background1" w:themeFillShade="F2"/>
            <w:vAlign w:val="center"/>
          </w:tcPr>
          <w:p w14:paraId="2DE21FE1" w14:textId="77777777" w:rsidR="00ED4FB7" w:rsidRPr="00C54302" w:rsidRDefault="00ED4FB7" w:rsidP="003771D9">
            <w:pPr>
              <w:pStyle w:val="ListParagraph"/>
              <w:spacing w:line="276" w:lineRule="auto"/>
              <w:ind w:left="0"/>
              <w:jc w:val="right"/>
              <w:rPr>
                <w:rFonts w:cs="Arial"/>
                <w:b/>
                <w:bCs/>
                <w:i/>
                <w:iCs/>
                <w:sz w:val="18"/>
                <w:szCs w:val="18"/>
              </w:rPr>
            </w:pPr>
            <w:r>
              <w:rPr>
                <w:rFonts w:cs="Arial"/>
                <w:b/>
                <w:bCs/>
                <w:i/>
                <w:iCs/>
                <w:sz w:val="18"/>
                <w:szCs w:val="18"/>
              </w:rPr>
              <w:t>20.0</w:t>
            </w:r>
          </w:p>
        </w:tc>
        <w:tc>
          <w:tcPr>
            <w:tcW w:w="1701" w:type="dxa"/>
            <w:gridSpan w:val="2"/>
            <w:tcBorders>
              <w:top w:val="single" w:sz="4" w:space="0" w:color="auto"/>
              <w:left w:val="nil"/>
              <w:bottom w:val="single" w:sz="4" w:space="0" w:color="auto"/>
              <w:right w:val="nil"/>
            </w:tcBorders>
            <w:vAlign w:val="center"/>
          </w:tcPr>
          <w:p w14:paraId="56EDD8EC" w14:textId="77777777" w:rsidR="00ED4FB7" w:rsidRPr="00C54302" w:rsidRDefault="00ED4FB7" w:rsidP="003771D9">
            <w:pPr>
              <w:pStyle w:val="ListParagraph"/>
              <w:spacing w:line="276" w:lineRule="auto"/>
              <w:ind w:left="0"/>
              <w:jc w:val="right"/>
              <w:rPr>
                <w:rFonts w:cs="Arial"/>
                <w:b/>
                <w:bCs/>
                <w:i/>
                <w:iCs/>
                <w:sz w:val="18"/>
                <w:szCs w:val="18"/>
              </w:rPr>
            </w:pPr>
            <w:r w:rsidRPr="00C54302">
              <w:rPr>
                <w:rFonts w:cs="Arial"/>
                <w:b/>
                <w:bCs/>
                <w:i/>
                <w:iCs/>
                <w:sz w:val="18"/>
                <w:szCs w:val="18"/>
              </w:rPr>
              <w:t>7.6</w:t>
            </w:r>
          </w:p>
        </w:tc>
        <w:tc>
          <w:tcPr>
            <w:tcW w:w="1707" w:type="dxa"/>
            <w:gridSpan w:val="2"/>
            <w:tcBorders>
              <w:top w:val="single" w:sz="4" w:space="0" w:color="auto"/>
              <w:left w:val="single" w:sz="4" w:space="0" w:color="auto"/>
              <w:bottom w:val="single" w:sz="4" w:space="0" w:color="auto"/>
              <w:right w:val="nil"/>
            </w:tcBorders>
            <w:vAlign w:val="center"/>
          </w:tcPr>
          <w:p w14:paraId="7DA7BBEF" w14:textId="77777777" w:rsidR="00ED4FB7" w:rsidRPr="00C54302" w:rsidRDefault="00ED4FB7" w:rsidP="003771D9">
            <w:pPr>
              <w:pStyle w:val="ListParagraph"/>
              <w:spacing w:line="276" w:lineRule="auto"/>
              <w:ind w:left="0"/>
              <w:jc w:val="right"/>
              <w:rPr>
                <w:rFonts w:cs="Arial"/>
                <w:sz w:val="18"/>
                <w:szCs w:val="18"/>
              </w:rPr>
            </w:pPr>
            <w:r>
              <w:rPr>
                <w:rFonts w:cs="Arial"/>
                <w:sz w:val="18"/>
                <w:szCs w:val="18"/>
              </w:rPr>
              <w:t>+163%</w:t>
            </w:r>
          </w:p>
        </w:tc>
      </w:tr>
      <w:tr w:rsidR="00ED4FB7" w:rsidRPr="00C54302" w14:paraId="663A4E74" w14:textId="77777777" w:rsidTr="003771D9">
        <w:trPr>
          <w:trHeight w:val="278"/>
        </w:trPr>
        <w:tc>
          <w:tcPr>
            <w:tcW w:w="4523" w:type="dxa"/>
            <w:tcBorders>
              <w:top w:val="single" w:sz="2" w:space="0" w:color="auto"/>
              <w:left w:val="nil"/>
              <w:bottom w:val="single" w:sz="2" w:space="0" w:color="auto"/>
              <w:right w:val="nil"/>
            </w:tcBorders>
            <w:vAlign w:val="center"/>
          </w:tcPr>
          <w:p w14:paraId="3C2C2E54" w14:textId="77777777" w:rsidR="00ED4FB7" w:rsidRPr="00C54302" w:rsidRDefault="00ED4FB7" w:rsidP="003771D9">
            <w:pPr>
              <w:pStyle w:val="ListParagraph"/>
              <w:spacing w:line="276" w:lineRule="auto"/>
              <w:ind w:left="0"/>
              <w:rPr>
                <w:rFonts w:cs="Arial"/>
                <w:sz w:val="21"/>
                <w:szCs w:val="21"/>
              </w:rPr>
            </w:pPr>
            <w:r w:rsidRPr="00C54302">
              <w:rPr>
                <w:rFonts w:cs="Arial"/>
                <w:sz w:val="21"/>
                <w:szCs w:val="21"/>
              </w:rPr>
              <w:t>Gross margin (%)</w:t>
            </w:r>
            <w:r>
              <w:rPr>
                <w:rFonts w:cs="Arial"/>
                <w:i/>
                <w:iCs/>
                <w:sz w:val="18"/>
                <w:szCs w:val="18"/>
                <w:vertAlign w:val="superscript"/>
              </w:rPr>
              <w:t>2</w:t>
            </w:r>
          </w:p>
        </w:tc>
        <w:tc>
          <w:tcPr>
            <w:tcW w:w="1701" w:type="dxa"/>
            <w:gridSpan w:val="2"/>
            <w:tcBorders>
              <w:top w:val="single" w:sz="2" w:space="0" w:color="auto"/>
              <w:left w:val="nil"/>
              <w:bottom w:val="single" w:sz="2" w:space="0" w:color="auto"/>
              <w:right w:val="nil"/>
            </w:tcBorders>
            <w:shd w:val="clear" w:color="auto" w:fill="F2F2F2" w:themeFill="background1" w:themeFillShade="F2"/>
            <w:vAlign w:val="center"/>
          </w:tcPr>
          <w:p w14:paraId="05FA12CD" w14:textId="77777777" w:rsidR="00ED4FB7" w:rsidRPr="00C54302" w:rsidRDefault="00ED4FB7" w:rsidP="003771D9">
            <w:pPr>
              <w:pStyle w:val="ListParagraph"/>
              <w:spacing w:line="276" w:lineRule="auto"/>
              <w:ind w:left="0"/>
              <w:jc w:val="right"/>
              <w:rPr>
                <w:rFonts w:cs="Arial"/>
                <w:b/>
                <w:bCs/>
                <w:sz w:val="21"/>
                <w:szCs w:val="21"/>
              </w:rPr>
            </w:pPr>
            <w:r w:rsidRPr="00C54302">
              <w:rPr>
                <w:rFonts w:cs="Arial"/>
                <w:b/>
                <w:bCs/>
                <w:sz w:val="21"/>
                <w:szCs w:val="21"/>
              </w:rPr>
              <w:t>19.</w:t>
            </w:r>
            <w:r>
              <w:rPr>
                <w:rFonts w:cs="Arial"/>
                <w:b/>
                <w:bCs/>
                <w:sz w:val="21"/>
                <w:szCs w:val="21"/>
              </w:rPr>
              <w:t>5</w:t>
            </w:r>
            <w:r w:rsidRPr="00C54302">
              <w:rPr>
                <w:rFonts w:cs="Arial"/>
                <w:b/>
                <w:bCs/>
                <w:sz w:val="21"/>
                <w:szCs w:val="21"/>
              </w:rPr>
              <w:t>%</w:t>
            </w:r>
          </w:p>
        </w:tc>
        <w:tc>
          <w:tcPr>
            <w:tcW w:w="1701" w:type="dxa"/>
            <w:gridSpan w:val="2"/>
            <w:tcBorders>
              <w:top w:val="single" w:sz="2" w:space="0" w:color="auto"/>
              <w:left w:val="nil"/>
              <w:bottom w:val="single" w:sz="2" w:space="0" w:color="auto"/>
              <w:right w:val="single" w:sz="2" w:space="0" w:color="auto"/>
            </w:tcBorders>
            <w:vAlign w:val="center"/>
          </w:tcPr>
          <w:p w14:paraId="65B0047C" w14:textId="77777777" w:rsidR="00ED4FB7" w:rsidRPr="00C54302" w:rsidRDefault="00ED4FB7" w:rsidP="003771D9">
            <w:pPr>
              <w:pStyle w:val="ListParagraph"/>
              <w:spacing w:line="276" w:lineRule="auto"/>
              <w:ind w:left="0"/>
              <w:jc w:val="right"/>
              <w:rPr>
                <w:rFonts w:cs="Arial"/>
                <w:sz w:val="21"/>
                <w:szCs w:val="21"/>
              </w:rPr>
            </w:pPr>
            <w:r w:rsidRPr="00C54302">
              <w:rPr>
                <w:rFonts w:cs="Arial"/>
                <w:b/>
                <w:bCs/>
                <w:sz w:val="21"/>
                <w:szCs w:val="21"/>
              </w:rPr>
              <w:t>18.2%</w:t>
            </w:r>
          </w:p>
        </w:tc>
        <w:tc>
          <w:tcPr>
            <w:tcW w:w="1707" w:type="dxa"/>
            <w:gridSpan w:val="2"/>
            <w:tcBorders>
              <w:top w:val="single" w:sz="2" w:space="0" w:color="auto"/>
              <w:left w:val="single" w:sz="2" w:space="0" w:color="auto"/>
              <w:bottom w:val="single" w:sz="2" w:space="0" w:color="auto"/>
              <w:right w:val="nil"/>
            </w:tcBorders>
            <w:vAlign w:val="center"/>
          </w:tcPr>
          <w:p w14:paraId="2CA8E3DD" w14:textId="77777777" w:rsidR="00ED4FB7" w:rsidRPr="00C54302" w:rsidRDefault="00ED4FB7" w:rsidP="003771D9">
            <w:pPr>
              <w:pStyle w:val="ListParagraph"/>
              <w:spacing w:line="276" w:lineRule="auto"/>
              <w:ind w:left="0"/>
              <w:jc w:val="right"/>
              <w:rPr>
                <w:rFonts w:cs="Arial"/>
                <w:sz w:val="21"/>
                <w:szCs w:val="21"/>
              </w:rPr>
            </w:pPr>
            <w:r w:rsidRPr="00C54302">
              <w:rPr>
                <w:rFonts w:cs="Arial"/>
                <w:sz w:val="21"/>
                <w:szCs w:val="21"/>
              </w:rPr>
              <w:t>+</w:t>
            </w:r>
            <w:r>
              <w:rPr>
                <w:rFonts w:cs="Arial"/>
                <w:sz w:val="21"/>
                <w:szCs w:val="21"/>
              </w:rPr>
              <w:t>130bps</w:t>
            </w:r>
          </w:p>
        </w:tc>
      </w:tr>
      <w:tr w:rsidR="00ED4FB7" w:rsidRPr="00C54302" w14:paraId="44A6627F" w14:textId="77777777" w:rsidTr="003771D9">
        <w:trPr>
          <w:trHeight w:val="278"/>
        </w:trPr>
        <w:tc>
          <w:tcPr>
            <w:tcW w:w="4523" w:type="dxa"/>
            <w:tcBorders>
              <w:top w:val="single" w:sz="2" w:space="0" w:color="auto"/>
              <w:left w:val="nil"/>
              <w:bottom w:val="single" w:sz="2" w:space="0" w:color="auto"/>
              <w:right w:val="nil"/>
            </w:tcBorders>
            <w:vAlign w:val="center"/>
          </w:tcPr>
          <w:p w14:paraId="65E0A8AE" w14:textId="77777777" w:rsidR="00ED4FB7" w:rsidRPr="00C54302" w:rsidRDefault="00ED4FB7" w:rsidP="00ED4FB7">
            <w:pPr>
              <w:pStyle w:val="ListParagraph"/>
              <w:numPr>
                <w:ilvl w:val="0"/>
                <w:numId w:val="42"/>
              </w:numPr>
              <w:spacing w:line="276" w:lineRule="auto"/>
              <w:rPr>
                <w:rFonts w:cs="Arial"/>
                <w:sz w:val="24"/>
                <w:szCs w:val="24"/>
              </w:rPr>
            </w:pPr>
            <w:r w:rsidRPr="00C54302">
              <w:rPr>
                <w:rFonts w:cs="Arial"/>
                <w:i/>
                <w:iCs/>
                <w:sz w:val="18"/>
                <w:szCs w:val="18"/>
              </w:rPr>
              <w:t>Homebuilding (%)</w:t>
            </w:r>
          </w:p>
        </w:tc>
        <w:tc>
          <w:tcPr>
            <w:tcW w:w="1701" w:type="dxa"/>
            <w:gridSpan w:val="2"/>
            <w:tcBorders>
              <w:top w:val="single" w:sz="2" w:space="0" w:color="auto"/>
              <w:left w:val="nil"/>
              <w:bottom w:val="single" w:sz="2" w:space="0" w:color="auto"/>
              <w:right w:val="nil"/>
            </w:tcBorders>
            <w:shd w:val="clear" w:color="auto" w:fill="F2F2F2" w:themeFill="background1" w:themeFillShade="F2"/>
            <w:vAlign w:val="center"/>
          </w:tcPr>
          <w:p w14:paraId="76B414AB" w14:textId="77777777" w:rsidR="00ED4FB7" w:rsidRPr="00C54302" w:rsidRDefault="00ED4FB7" w:rsidP="003771D9">
            <w:pPr>
              <w:pStyle w:val="ListParagraph"/>
              <w:spacing w:line="276" w:lineRule="auto"/>
              <w:ind w:left="0"/>
              <w:jc w:val="right"/>
              <w:rPr>
                <w:rFonts w:cs="Arial"/>
                <w:b/>
                <w:bCs/>
                <w:i/>
                <w:iCs/>
                <w:sz w:val="18"/>
                <w:szCs w:val="18"/>
              </w:rPr>
            </w:pPr>
            <w:r w:rsidRPr="00C54302">
              <w:rPr>
                <w:rFonts w:cs="Arial"/>
                <w:b/>
                <w:bCs/>
                <w:i/>
                <w:iCs/>
                <w:sz w:val="18"/>
                <w:szCs w:val="18"/>
              </w:rPr>
              <w:t>21.</w:t>
            </w:r>
            <w:r>
              <w:rPr>
                <w:rFonts w:cs="Arial"/>
                <w:b/>
                <w:bCs/>
                <w:i/>
                <w:iCs/>
                <w:sz w:val="18"/>
                <w:szCs w:val="18"/>
              </w:rPr>
              <w:t>4</w:t>
            </w:r>
            <w:r w:rsidRPr="00C54302">
              <w:rPr>
                <w:rFonts w:cs="Arial"/>
                <w:b/>
                <w:bCs/>
                <w:i/>
                <w:iCs/>
                <w:sz w:val="18"/>
                <w:szCs w:val="18"/>
              </w:rPr>
              <w:t>%</w:t>
            </w:r>
          </w:p>
        </w:tc>
        <w:tc>
          <w:tcPr>
            <w:tcW w:w="1701" w:type="dxa"/>
            <w:gridSpan w:val="2"/>
            <w:tcBorders>
              <w:top w:val="single" w:sz="2" w:space="0" w:color="auto"/>
              <w:left w:val="nil"/>
              <w:bottom w:val="single" w:sz="2" w:space="0" w:color="auto"/>
              <w:right w:val="single" w:sz="2" w:space="0" w:color="auto"/>
            </w:tcBorders>
            <w:vAlign w:val="center"/>
          </w:tcPr>
          <w:p w14:paraId="7589CED1" w14:textId="77777777" w:rsidR="00ED4FB7" w:rsidRPr="00C54302" w:rsidRDefault="00ED4FB7" w:rsidP="003771D9">
            <w:pPr>
              <w:pStyle w:val="ListParagraph"/>
              <w:spacing w:line="276" w:lineRule="auto"/>
              <w:ind w:left="0"/>
              <w:jc w:val="right"/>
              <w:rPr>
                <w:rFonts w:cs="Arial"/>
                <w:i/>
                <w:iCs/>
                <w:sz w:val="21"/>
                <w:szCs w:val="21"/>
              </w:rPr>
            </w:pPr>
            <w:r w:rsidRPr="00C54302">
              <w:rPr>
                <w:rFonts w:cs="Arial"/>
                <w:b/>
                <w:bCs/>
                <w:i/>
                <w:iCs/>
                <w:sz w:val="18"/>
                <w:szCs w:val="18"/>
              </w:rPr>
              <w:t>19.7%</w:t>
            </w:r>
          </w:p>
        </w:tc>
        <w:tc>
          <w:tcPr>
            <w:tcW w:w="1707" w:type="dxa"/>
            <w:gridSpan w:val="2"/>
            <w:tcBorders>
              <w:top w:val="single" w:sz="2" w:space="0" w:color="auto"/>
              <w:left w:val="single" w:sz="2" w:space="0" w:color="auto"/>
              <w:bottom w:val="single" w:sz="2" w:space="0" w:color="auto"/>
              <w:right w:val="nil"/>
            </w:tcBorders>
            <w:vAlign w:val="center"/>
          </w:tcPr>
          <w:p w14:paraId="42D01AF1" w14:textId="77777777" w:rsidR="00ED4FB7" w:rsidRPr="00C54302" w:rsidRDefault="00ED4FB7" w:rsidP="003771D9">
            <w:pPr>
              <w:pStyle w:val="ListParagraph"/>
              <w:spacing w:line="276" w:lineRule="auto"/>
              <w:ind w:left="0"/>
              <w:jc w:val="right"/>
              <w:rPr>
                <w:rFonts w:cs="Arial"/>
                <w:sz w:val="18"/>
                <w:szCs w:val="18"/>
              </w:rPr>
            </w:pPr>
            <w:r>
              <w:rPr>
                <w:rFonts w:cs="Arial"/>
                <w:sz w:val="18"/>
                <w:szCs w:val="18"/>
              </w:rPr>
              <w:t>+170bps</w:t>
            </w:r>
          </w:p>
        </w:tc>
      </w:tr>
      <w:tr w:rsidR="00ED4FB7" w:rsidRPr="00C54302" w14:paraId="2208EB31" w14:textId="77777777" w:rsidTr="003771D9">
        <w:trPr>
          <w:trHeight w:val="278"/>
        </w:trPr>
        <w:tc>
          <w:tcPr>
            <w:tcW w:w="4523" w:type="dxa"/>
            <w:tcBorders>
              <w:top w:val="single" w:sz="2" w:space="0" w:color="auto"/>
              <w:left w:val="nil"/>
              <w:bottom w:val="single" w:sz="2" w:space="0" w:color="auto"/>
              <w:right w:val="nil"/>
            </w:tcBorders>
            <w:vAlign w:val="center"/>
          </w:tcPr>
          <w:p w14:paraId="3E1D7EE6" w14:textId="77777777" w:rsidR="00ED4FB7" w:rsidRPr="00C54302" w:rsidRDefault="00ED4FB7" w:rsidP="00ED4FB7">
            <w:pPr>
              <w:pStyle w:val="ListParagraph"/>
              <w:numPr>
                <w:ilvl w:val="0"/>
                <w:numId w:val="42"/>
              </w:numPr>
              <w:spacing w:line="276" w:lineRule="auto"/>
              <w:rPr>
                <w:rFonts w:cs="Arial"/>
                <w:i/>
                <w:iCs/>
                <w:sz w:val="18"/>
                <w:szCs w:val="18"/>
              </w:rPr>
            </w:pPr>
            <w:r w:rsidRPr="00C54302">
              <w:rPr>
                <w:rFonts w:cs="Arial"/>
                <w:i/>
                <w:iCs/>
                <w:sz w:val="18"/>
                <w:szCs w:val="18"/>
              </w:rPr>
              <w:t>Partnerships (%)</w:t>
            </w:r>
          </w:p>
        </w:tc>
        <w:tc>
          <w:tcPr>
            <w:tcW w:w="1701" w:type="dxa"/>
            <w:gridSpan w:val="2"/>
            <w:tcBorders>
              <w:top w:val="single" w:sz="2" w:space="0" w:color="auto"/>
              <w:left w:val="nil"/>
              <w:bottom w:val="single" w:sz="2" w:space="0" w:color="auto"/>
              <w:right w:val="nil"/>
            </w:tcBorders>
            <w:shd w:val="clear" w:color="auto" w:fill="F2F2F2" w:themeFill="background1" w:themeFillShade="F2"/>
            <w:vAlign w:val="center"/>
          </w:tcPr>
          <w:p w14:paraId="0C9A1274" w14:textId="77777777" w:rsidR="00ED4FB7" w:rsidRPr="00C54302" w:rsidRDefault="00ED4FB7" w:rsidP="003771D9">
            <w:pPr>
              <w:pStyle w:val="ListParagraph"/>
              <w:spacing w:line="276" w:lineRule="auto"/>
              <w:ind w:left="0"/>
              <w:jc w:val="right"/>
              <w:rPr>
                <w:rFonts w:cs="Arial"/>
                <w:b/>
                <w:bCs/>
                <w:i/>
                <w:iCs/>
                <w:sz w:val="18"/>
                <w:szCs w:val="18"/>
              </w:rPr>
            </w:pPr>
            <w:r w:rsidRPr="00C54302">
              <w:rPr>
                <w:rFonts w:cs="Arial"/>
                <w:b/>
                <w:bCs/>
                <w:i/>
                <w:iCs/>
                <w:sz w:val="18"/>
                <w:szCs w:val="18"/>
              </w:rPr>
              <w:t>1</w:t>
            </w:r>
            <w:r>
              <w:rPr>
                <w:rFonts w:cs="Arial"/>
                <w:b/>
                <w:bCs/>
                <w:i/>
                <w:iCs/>
                <w:sz w:val="18"/>
                <w:szCs w:val="18"/>
              </w:rPr>
              <w:t>6.2</w:t>
            </w:r>
            <w:r w:rsidRPr="00C54302">
              <w:rPr>
                <w:rFonts w:cs="Arial"/>
                <w:b/>
                <w:bCs/>
                <w:i/>
                <w:iCs/>
                <w:sz w:val="18"/>
                <w:szCs w:val="18"/>
              </w:rPr>
              <w:t>%</w:t>
            </w:r>
          </w:p>
        </w:tc>
        <w:tc>
          <w:tcPr>
            <w:tcW w:w="1701" w:type="dxa"/>
            <w:gridSpan w:val="2"/>
            <w:tcBorders>
              <w:top w:val="single" w:sz="2" w:space="0" w:color="auto"/>
              <w:left w:val="nil"/>
              <w:bottom w:val="single" w:sz="2" w:space="0" w:color="auto"/>
              <w:right w:val="single" w:sz="2" w:space="0" w:color="auto"/>
            </w:tcBorders>
            <w:vAlign w:val="center"/>
          </w:tcPr>
          <w:p w14:paraId="0DC297E7" w14:textId="77777777" w:rsidR="00ED4FB7" w:rsidRPr="00C54302" w:rsidRDefault="00ED4FB7" w:rsidP="003771D9">
            <w:pPr>
              <w:pStyle w:val="ListParagraph"/>
              <w:spacing w:line="276" w:lineRule="auto"/>
              <w:ind w:left="0"/>
              <w:jc w:val="right"/>
              <w:rPr>
                <w:rFonts w:cs="Arial"/>
                <w:i/>
                <w:iCs/>
                <w:sz w:val="18"/>
                <w:szCs w:val="18"/>
              </w:rPr>
            </w:pPr>
            <w:r w:rsidRPr="00C54302">
              <w:rPr>
                <w:rFonts w:cs="Arial"/>
                <w:b/>
                <w:bCs/>
                <w:i/>
                <w:iCs/>
                <w:sz w:val="18"/>
                <w:szCs w:val="18"/>
              </w:rPr>
              <w:t>15.</w:t>
            </w:r>
            <w:r w:rsidRPr="3CF05F73">
              <w:rPr>
                <w:rFonts w:cs="Arial"/>
                <w:b/>
                <w:bCs/>
                <w:i/>
                <w:iCs/>
                <w:sz w:val="18"/>
                <w:szCs w:val="18"/>
              </w:rPr>
              <w:t>2</w:t>
            </w:r>
            <w:r w:rsidRPr="00C54302">
              <w:rPr>
                <w:rFonts w:cs="Arial"/>
                <w:b/>
                <w:bCs/>
                <w:i/>
                <w:iCs/>
                <w:sz w:val="18"/>
                <w:szCs w:val="18"/>
              </w:rPr>
              <w:t>%</w:t>
            </w:r>
          </w:p>
        </w:tc>
        <w:tc>
          <w:tcPr>
            <w:tcW w:w="1707" w:type="dxa"/>
            <w:gridSpan w:val="2"/>
            <w:tcBorders>
              <w:top w:val="single" w:sz="2" w:space="0" w:color="auto"/>
              <w:left w:val="single" w:sz="2" w:space="0" w:color="auto"/>
              <w:bottom w:val="single" w:sz="2" w:space="0" w:color="auto"/>
              <w:right w:val="nil"/>
            </w:tcBorders>
            <w:vAlign w:val="center"/>
          </w:tcPr>
          <w:p w14:paraId="7D4A2F63" w14:textId="77777777" w:rsidR="00ED4FB7" w:rsidRPr="00C54302" w:rsidRDefault="00ED4FB7" w:rsidP="003771D9">
            <w:pPr>
              <w:pStyle w:val="ListParagraph"/>
              <w:spacing w:line="276" w:lineRule="auto"/>
              <w:ind w:left="0"/>
              <w:jc w:val="right"/>
              <w:rPr>
                <w:rFonts w:cs="Arial"/>
                <w:sz w:val="18"/>
                <w:szCs w:val="18"/>
              </w:rPr>
            </w:pPr>
            <w:r>
              <w:rPr>
                <w:rFonts w:cs="Arial"/>
                <w:sz w:val="18"/>
                <w:szCs w:val="18"/>
              </w:rPr>
              <w:t>+100bps</w:t>
            </w:r>
          </w:p>
        </w:tc>
      </w:tr>
      <w:tr w:rsidR="00ED4FB7" w:rsidRPr="00C54302" w14:paraId="011C2307" w14:textId="77777777" w:rsidTr="003771D9">
        <w:trPr>
          <w:trHeight w:val="130"/>
        </w:trPr>
        <w:tc>
          <w:tcPr>
            <w:tcW w:w="4523" w:type="dxa"/>
            <w:tcBorders>
              <w:top w:val="single" w:sz="4" w:space="0" w:color="auto"/>
              <w:left w:val="nil"/>
              <w:bottom w:val="single" w:sz="4" w:space="0" w:color="auto"/>
              <w:right w:val="nil"/>
            </w:tcBorders>
            <w:vAlign w:val="center"/>
            <w:hideMark/>
          </w:tcPr>
          <w:p w14:paraId="4B3384F3" w14:textId="77777777" w:rsidR="00ED4FB7" w:rsidRPr="00C54302" w:rsidRDefault="00ED4FB7" w:rsidP="003771D9">
            <w:pPr>
              <w:pStyle w:val="ListParagraph"/>
              <w:spacing w:line="276" w:lineRule="auto"/>
              <w:ind w:left="0"/>
              <w:rPr>
                <w:rFonts w:cs="Arial"/>
                <w:sz w:val="21"/>
                <w:szCs w:val="21"/>
              </w:rPr>
            </w:pPr>
            <w:r w:rsidRPr="00C54302">
              <w:rPr>
                <w:rFonts w:cs="Arial"/>
                <w:sz w:val="21"/>
                <w:szCs w:val="21"/>
              </w:rPr>
              <w:t>Profit before tax</w:t>
            </w:r>
          </w:p>
        </w:tc>
        <w:tc>
          <w:tcPr>
            <w:tcW w:w="1701" w:type="dxa"/>
            <w:gridSpan w:val="2"/>
            <w:tcBorders>
              <w:top w:val="single" w:sz="4" w:space="0" w:color="auto"/>
              <w:left w:val="nil"/>
              <w:bottom w:val="single" w:sz="4" w:space="0" w:color="auto"/>
              <w:right w:val="nil"/>
            </w:tcBorders>
            <w:shd w:val="clear" w:color="auto" w:fill="F2F2F2" w:themeFill="background1" w:themeFillShade="F2"/>
          </w:tcPr>
          <w:p w14:paraId="1280496E" w14:textId="77777777" w:rsidR="00ED4FB7" w:rsidRPr="00C54302" w:rsidRDefault="00ED4FB7" w:rsidP="003771D9">
            <w:pPr>
              <w:pStyle w:val="ListParagraph"/>
              <w:spacing w:line="276" w:lineRule="auto"/>
              <w:ind w:left="0"/>
              <w:jc w:val="right"/>
              <w:rPr>
                <w:rFonts w:cs="Arial"/>
                <w:b/>
                <w:bCs/>
                <w:sz w:val="21"/>
                <w:szCs w:val="21"/>
              </w:rPr>
            </w:pPr>
            <w:r w:rsidRPr="00C54302">
              <w:rPr>
                <w:rFonts w:cs="Arial"/>
                <w:b/>
                <w:bCs/>
                <w:sz w:val="21"/>
                <w:szCs w:val="21"/>
              </w:rPr>
              <w:t>3</w:t>
            </w:r>
            <w:r>
              <w:rPr>
                <w:rFonts w:cs="Arial"/>
                <w:b/>
                <w:bCs/>
                <w:sz w:val="21"/>
                <w:szCs w:val="21"/>
              </w:rPr>
              <w:t>2.5</w:t>
            </w:r>
          </w:p>
        </w:tc>
        <w:tc>
          <w:tcPr>
            <w:tcW w:w="1701" w:type="dxa"/>
            <w:gridSpan w:val="2"/>
            <w:tcBorders>
              <w:top w:val="single" w:sz="4" w:space="0" w:color="auto"/>
              <w:left w:val="nil"/>
              <w:bottom w:val="single" w:sz="4" w:space="0" w:color="auto"/>
              <w:right w:val="single" w:sz="4" w:space="0" w:color="auto"/>
            </w:tcBorders>
          </w:tcPr>
          <w:p w14:paraId="5E8DAAB2" w14:textId="77777777" w:rsidR="00ED4FB7" w:rsidRPr="00C54302" w:rsidRDefault="00ED4FB7" w:rsidP="003771D9">
            <w:pPr>
              <w:pStyle w:val="ListParagraph"/>
              <w:spacing w:line="276" w:lineRule="auto"/>
              <w:ind w:left="0"/>
              <w:jc w:val="right"/>
              <w:rPr>
                <w:rFonts w:cs="Arial"/>
                <w:sz w:val="21"/>
                <w:szCs w:val="21"/>
              </w:rPr>
            </w:pPr>
            <w:r w:rsidRPr="00C54302">
              <w:rPr>
                <w:rFonts w:cs="Arial"/>
                <w:b/>
                <w:bCs/>
                <w:sz w:val="21"/>
                <w:szCs w:val="21"/>
              </w:rPr>
              <w:t>1.0</w:t>
            </w:r>
          </w:p>
        </w:tc>
        <w:tc>
          <w:tcPr>
            <w:tcW w:w="1707" w:type="dxa"/>
            <w:gridSpan w:val="2"/>
            <w:tcBorders>
              <w:top w:val="single" w:sz="4" w:space="0" w:color="auto"/>
              <w:left w:val="single" w:sz="4" w:space="0" w:color="auto"/>
              <w:bottom w:val="single" w:sz="4" w:space="0" w:color="auto"/>
              <w:right w:val="nil"/>
            </w:tcBorders>
          </w:tcPr>
          <w:p w14:paraId="7BDA4F2B" w14:textId="77777777" w:rsidR="00ED4FB7" w:rsidRPr="00C54302" w:rsidRDefault="00ED4FB7" w:rsidP="003771D9">
            <w:pPr>
              <w:pStyle w:val="ListParagraph"/>
              <w:spacing w:line="276" w:lineRule="auto"/>
              <w:ind w:left="0"/>
              <w:jc w:val="right"/>
              <w:rPr>
                <w:rFonts w:cs="Arial"/>
                <w:sz w:val="21"/>
                <w:szCs w:val="21"/>
              </w:rPr>
            </w:pPr>
          </w:p>
        </w:tc>
      </w:tr>
      <w:tr w:rsidR="00ED4FB7" w:rsidRPr="00C54302" w14:paraId="0623801D" w14:textId="77777777" w:rsidTr="003771D9">
        <w:trPr>
          <w:trHeight w:val="130"/>
        </w:trPr>
        <w:tc>
          <w:tcPr>
            <w:tcW w:w="4523" w:type="dxa"/>
            <w:tcBorders>
              <w:top w:val="single" w:sz="4" w:space="0" w:color="auto"/>
              <w:left w:val="nil"/>
              <w:bottom w:val="single" w:sz="4" w:space="0" w:color="auto"/>
              <w:right w:val="nil"/>
            </w:tcBorders>
            <w:vAlign w:val="center"/>
            <w:hideMark/>
          </w:tcPr>
          <w:p w14:paraId="2F788781" w14:textId="77777777" w:rsidR="00ED4FB7" w:rsidRPr="00C54302" w:rsidRDefault="00ED4FB7" w:rsidP="003771D9">
            <w:pPr>
              <w:pStyle w:val="ListParagraph"/>
              <w:spacing w:line="276" w:lineRule="auto"/>
              <w:ind w:left="0"/>
              <w:rPr>
                <w:rFonts w:cs="Arial"/>
                <w:sz w:val="21"/>
                <w:szCs w:val="21"/>
              </w:rPr>
            </w:pPr>
            <w:r w:rsidRPr="00C54302">
              <w:rPr>
                <w:rFonts w:cs="Arial"/>
                <w:sz w:val="21"/>
                <w:szCs w:val="21"/>
              </w:rPr>
              <w:t>Earnings Per Share (EPS) (cent)</w:t>
            </w:r>
          </w:p>
        </w:tc>
        <w:tc>
          <w:tcPr>
            <w:tcW w:w="1701" w:type="dxa"/>
            <w:gridSpan w:val="2"/>
            <w:tcBorders>
              <w:top w:val="single" w:sz="4" w:space="0" w:color="auto"/>
              <w:left w:val="nil"/>
              <w:bottom w:val="single" w:sz="4" w:space="0" w:color="auto"/>
              <w:right w:val="nil"/>
            </w:tcBorders>
            <w:shd w:val="clear" w:color="auto" w:fill="F2F2F2" w:themeFill="background1" w:themeFillShade="F2"/>
          </w:tcPr>
          <w:p w14:paraId="3DF3300A" w14:textId="77777777" w:rsidR="00ED4FB7" w:rsidRPr="00DE1617" w:rsidRDefault="00ED4FB7" w:rsidP="003771D9">
            <w:pPr>
              <w:pStyle w:val="ListParagraph"/>
              <w:spacing w:line="276" w:lineRule="auto"/>
              <w:ind w:left="0"/>
              <w:jc w:val="right"/>
              <w:rPr>
                <w:rFonts w:cs="Arial"/>
                <w:b/>
                <w:bCs/>
                <w:sz w:val="21"/>
                <w:szCs w:val="21"/>
              </w:rPr>
            </w:pPr>
            <w:r w:rsidRPr="4EDDBEA1">
              <w:rPr>
                <w:rFonts w:cs="Arial"/>
                <w:b/>
                <w:bCs/>
                <w:sz w:val="21"/>
                <w:szCs w:val="21"/>
              </w:rPr>
              <w:t>5.</w:t>
            </w:r>
            <w:r w:rsidRPr="00BB44A8">
              <w:rPr>
                <w:rFonts w:cs="Arial"/>
                <w:b/>
                <w:bCs/>
                <w:sz w:val="21"/>
                <w:szCs w:val="21"/>
              </w:rPr>
              <w:t>2</w:t>
            </w:r>
          </w:p>
        </w:tc>
        <w:tc>
          <w:tcPr>
            <w:tcW w:w="1701" w:type="dxa"/>
            <w:gridSpan w:val="2"/>
            <w:tcBorders>
              <w:top w:val="single" w:sz="4" w:space="0" w:color="auto"/>
              <w:left w:val="nil"/>
              <w:bottom w:val="single" w:sz="4" w:space="0" w:color="auto"/>
              <w:right w:val="single" w:sz="4" w:space="0" w:color="auto"/>
            </w:tcBorders>
          </w:tcPr>
          <w:p w14:paraId="3586BC3F" w14:textId="77777777" w:rsidR="00ED4FB7" w:rsidRPr="00DE1617" w:rsidRDefault="00ED4FB7" w:rsidP="003771D9">
            <w:pPr>
              <w:pStyle w:val="ListParagraph"/>
              <w:spacing w:line="276" w:lineRule="auto"/>
              <w:ind w:left="0"/>
              <w:jc w:val="right"/>
              <w:rPr>
                <w:rFonts w:cs="Arial"/>
                <w:sz w:val="21"/>
                <w:szCs w:val="21"/>
              </w:rPr>
            </w:pPr>
            <w:r w:rsidRPr="00DE1617">
              <w:rPr>
                <w:rFonts w:cs="Arial"/>
                <w:b/>
                <w:bCs/>
                <w:sz w:val="21"/>
                <w:szCs w:val="21"/>
              </w:rPr>
              <w:t>0.1</w:t>
            </w:r>
          </w:p>
        </w:tc>
        <w:tc>
          <w:tcPr>
            <w:tcW w:w="1707" w:type="dxa"/>
            <w:gridSpan w:val="2"/>
            <w:tcBorders>
              <w:top w:val="single" w:sz="4" w:space="0" w:color="auto"/>
              <w:left w:val="single" w:sz="4" w:space="0" w:color="auto"/>
              <w:bottom w:val="single" w:sz="4" w:space="0" w:color="auto"/>
              <w:right w:val="nil"/>
            </w:tcBorders>
          </w:tcPr>
          <w:p w14:paraId="0CF09F7F" w14:textId="77777777" w:rsidR="00ED4FB7" w:rsidRPr="00C54302" w:rsidRDefault="00ED4FB7" w:rsidP="003771D9">
            <w:pPr>
              <w:pStyle w:val="ListParagraph"/>
              <w:spacing w:line="276" w:lineRule="auto"/>
              <w:ind w:left="0"/>
              <w:jc w:val="right"/>
              <w:rPr>
                <w:rFonts w:cs="Arial"/>
                <w:sz w:val="21"/>
                <w:szCs w:val="21"/>
              </w:rPr>
            </w:pPr>
          </w:p>
        </w:tc>
      </w:tr>
      <w:tr w:rsidR="00ED4FB7" w:rsidRPr="00C54302" w14:paraId="30E6C97C" w14:textId="77777777" w:rsidTr="003771D9">
        <w:trPr>
          <w:trHeight w:val="130"/>
        </w:trPr>
        <w:tc>
          <w:tcPr>
            <w:tcW w:w="4523" w:type="dxa"/>
            <w:tcBorders>
              <w:top w:val="single" w:sz="4" w:space="0" w:color="auto"/>
              <w:left w:val="nil"/>
              <w:bottom w:val="single" w:sz="4" w:space="0" w:color="auto"/>
              <w:right w:val="nil"/>
            </w:tcBorders>
            <w:vAlign w:val="center"/>
          </w:tcPr>
          <w:p w14:paraId="1AF69C20" w14:textId="77777777" w:rsidR="00ED4FB7" w:rsidRPr="00C54302" w:rsidRDefault="00ED4FB7" w:rsidP="003771D9">
            <w:pPr>
              <w:pStyle w:val="ListParagraph"/>
              <w:spacing w:line="276" w:lineRule="auto"/>
              <w:ind w:left="0"/>
              <w:rPr>
                <w:rFonts w:cs="Arial"/>
                <w:sz w:val="14"/>
                <w:szCs w:val="14"/>
              </w:rPr>
            </w:pPr>
          </w:p>
        </w:tc>
        <w:tc>
          <w:tcPr>
            <w:tcW w:w="1701" w:type="dxa"/>
            <w:gridSpan w:val="2"/>
            <w:tcBorders>
              <w:top w:val="single" w:sz="4" w:space="0" w:color="auto"/>
              <w:left w:val="nil"/>
              <w:bottom w:val="single" w:sz="4" w:space="0" w:color="auto"/>
              <w:right w:val="nil"/>
            </w:tcBorders>
            <w:shd w:val="clear" w:color="auto" w:fill="F2F2F2" w:themeFill="background1" w:themeFillShade="F2"/>
            <w:vAlign w:val="center"/>
          </w:tcPr>
          <w:p w14:paraId="01D024F6" w14:textId="77777777" w:rsidR="00ED4FB7" w:rsidRPr="00DE1617" w:rsidRDefault="00ED4FB7" w:rsidP="003771D9">
            <w:pPr>
              <w:pStyle w:val="ListParagraph"/>
              <w:spacing w:line="276" w:lineRule="auto"/>
              <w:ind w:left="0"/>
              <w:jc w:val="right"/>
              <w:rPr>
                <w:rFonts w:cs="Arial"/>
                <w:b/>
                <w:bCs/>
                <w:sz w:val="21"/>
                <w:szCs w:val="21"/>
              </w:rPr>
            </w:pPr>
          </w:p>
        </w:tc>
        <w:tc>
          <w:tcPr>
            <w:tcW w:w="1701" w:type="dxa"/>
            <w:gridSpan w:val="2"/>
            <w:tcBorders>
              <w:top w:val="single" w:sz="4" w:space="0" w:color="auto"/>
              <w:left w:val="nil"/>
              <w:bottom w:val="single" w:sz="4" w:space="0" w:color="auto"/>
              <w:right w:val="nil"/>
            </w:tcBorders>
            <w:vAlign w:val="center"/>
          </w:tcPr>
          <w:p w14:paraId="2926A0B9" w14:textId="77777777" w:rsidR="00ED4FB7" w:rsidRPr="00DE1617" w:rsidRDefault="00ED4FB7" w:rsidP="003771D9">
            <w:pPr>
              <w:pStyle w:val="ListParagraph"/>
              <w:spacing w:line="276" w:lineRule="auto"/>
              <w:ind w:left="0"/>
              <w:jc w:val="right"/>
              <w:rPr>
                <w:rFonts w:cs="Arial"/>
                <w:sz w:val="21"/>
                <w:szCs w:val="21"/>
              </w:rPr>
            </w:pPr>
          </w:p>
        </w:tc>
        <w:tc>
          <w:tcPr>
            <w:tcW w:w="1707" w:type="dxa"/>
            <w:gridSpan w:val="2"/>
            <w:tcBorders>
              <w:top w:val="single" w:sz="4" w:space="0" w:color="auto"/>
              <w:left w:val="single" w:sz="4" w:space="0" w:color="auto"/>
              <w:bottom w:val="single" w:sz="4" w:space="0" w:color="auto"/>
              <w:right w:val="nil"/>
            </w:tcBorders>
            <w:vAlign w:val="center"/>
          </w:tcPr>
          <w:p w14:paraId="49F0AB41" w14:textId="77777777" w:rsidR="00ED4FB7" w:rsidRPr="00C54302" w:rsidDel="00B92EA4" w:rsidRDefault="00ED4FB7" w:rsidP="003771D9">
            <w:pPr>
              <w:pStyle w:val="ListParagraph"/>
              <w:spacing w:line="276" w:lineRule="auto"/>
              <w:ind w:left="0"/>
              <w:jc w:val="right"/>
              <w:rPr>
                <w:rFonts w:cs="Arial"/>
                <w:sz w:val="14"/>
                <w:szCs w:val="14"/>
              </w:rPr>
            </w:pPr>
          </w:p>
        </w:tc>
      </w:tr>
      <w:tr w:rsidR="00ED4FB7" w:rsidRPr="00C54302" w14:paraId="5D3E70A1" w14:textId="77777777" w:rsidTr="003771D9">
        <w:trPr>
          <w:trHeight w:val="130"/>
        </w:trPr>
        <w:tc>
          <w:tcPr>
            <w:tcW w:w="4523" w:type="dxa"/>
            <w:tcBorders>
              <w:top w:val="single" w:sz="4" w:space="0" w:color="auto"/>
              <w:left w:val="nil"/>
              <w:bottom w:val="single" w:sz="4" w:space="0" w:color="auto"/>
              <w:right w:val="nil"/>
            </w:tcBorders>
            <w:vAlign w:val="center"/>
          </w:tcPr>
          <w:p w14:paraId="20CC70F7" w14:textId="77777777" w:rsidR="00ED4FB7" w:rsidRPr="00C54302" w:rsidRDefault="00ED4FB7" w:rsidP="003771D9">
            <w:pPr>
              <w:pStyle w:val="ListParagraph"/>
              <w:spacing w:line="276" w:lineRule="auto"/>
              <w:ind w:left="0"/>
              <w:rPr>
                <w:rFonts w:cs="Arial"/>
                <w:sz w:val="21"/>
                <w:szCs w:val="21"/>
              </w:rPr>
            </w:pPr>
            <w:r w:rsidRPr="00C54302">
              <w:rPr>
                <w:rFonts w:cs="Arial"/>
                <w:sz w:val="21"/>
                <w:szCs w:val="21"/>
              </w:rPr>
              <w:t>Land</w:t>
            </w:r>
            <w:r>
              <w:rPr>
                <w:rFonts w:cs="Arial"/>
                <w:sz w:val="21"/>
                <w:szCs w:val="21"/>
                <w:vertAlign w:val="superscript"/>
              </w:rPr>
              <w:t>3</w:t>
            </w:r>
            <w:r w:rsidRPr="00C54302">
              <w:rPr>
                <w:rFonts w:cs="Arial"/>
                <w:sz w:val="21"/>
                <w:szCs w:val="21"/>
              </w:rPr>
              <w:t xml:space="preserve"> </w:t>
            </w:r>
          </w:p>
        </w:tc>
        <w:tc>
          <w:tcPr>
            <w:tcW w:w="1701" w:type="dxa"/>
            <w:gridSpan w:val="2"/>
            <w:tcBorders>
              <w:top w:val="single" w:sz="4" w:space="0" w:color="auto"/>
              <w:left w:val="nil"/>
              <w:bottom w:val="single" w:sz="4" w:space="0" w:color="auto"/>
              <w:right w:val="nil"/>
            </w:tcBorders>
            <w:shd w:val="clear" w:color="auto" w:fill="F2F2F2" w:themeFill="background1" w:themeFillShade="F2"/>
          </w:tcPr>
          <w:p w14:paraId="5E16822E" w14:textId="77777777" w:rsidR="00ED4FB7" w:rsidRPr="00DE1617" w:rsidRDefault="00ED4FB7" w:rsidP="003771D9">
            <w:pPr>
              <w:pStyle w:val="ListParagraph"/>
              <w:spacing w:line="276" w:lineRule="auto"/>
              <w:ind w:left="0"/>
              <w:jc w:val="right"/>
              <w:rPr>
                <w:rFonts w:cs="Arial"/>
                <w:b/>
                <w:bCs/>
                <w:sz w:val="21"/>
                <w:szCs w:val="21"/>
              </w:rPr>
            </w:pPr>
            <w:r>
              <w:rPr>
                <w:rFonts w:cs="Arial"/>
                <w:b/>
                <w:bCs/>
                <w:sz w:val="21"/>
                <w:szCs w:val="21"/>
              </w:rPr>
              <w:t>536.0</w:t>
            </w:r>
          </w:p>
        </w:tc>
        <w:tc>
          <w:tcPr>
            <w:tcW w:w="1701" w:type="dxa"/>
            <w:gridSpan w:val="2"/>
            <w:tcBorders>
              <w:top w:val="single" w:sz="4" w:space="0" w:color="auto"/>
              <w:left w:val="nil"/>
              <w:bottom w:val="single" w:sz="4" w:space="0" w:color="auto"/>
              <w:right w:val="nil"/>
            </w:tcBorders>
          </w:tcPr>
          <w:p w14:paraId="208CFF5F" w14:textId="77777777" w:rsidR="00ED4FB7" w:rsidRPr="00DE1617" w:rsidRDefault="00ED4FB7" w:rsidP="003771D9">
            <w:pPr>
              <w:pStyle w:val="ListParagraph"/>
              <w:spacing w:line="276" w:lineRule="auto"/>
              <w:ind w:left="0"/>
              <w:jc w:val="right"/>
              <w:rPr>
                <w:rFonts w:cs="Arial"/>
                <w:sz w:val="21"/>
                <w:szCs w:val="21"/>
              </w:rPr>
            </w:pPr>
            <w:r w:rsidRPr="00C914A5">
              <w:rPr>
                <w:rFonts w:cs="Arial"/>
                <w:b/>
                <w:bCs/>
                <w:sz w:val="21"/>
                <w:szCs w:val="21"/>
              </w:rPr>
              <w:t>411.1</w:t>
            </w:r>
          </w:p>
        </w:tc>
        <w:tc>
          <w:tcPr>
            <w:tcW w:w="1707" w:type="dxa"/>
            <w:gridSpan w:val="2"/>
            <w:tcBorders>
              <w:top w:val="single" w:sz="4" w:space="0" w:color="auto"/>
              <w:left w:val="single" w:sz="4" w:space="0" w:color="auto"/>
              <w:bottom w:val="single" w:sz="4" w:space="0" w:color="auto"/>
              <w:right w:val="nil"/>
            </w:tcBorders>
          </w:tcPr>
          <w:p w14:paraId="5C2D9F20" w14:textId="77777777" w:rsidR="00ED4FB7" w:rsidRPr="00C54302" w:rsidDel="00B92EA4" w:rsidRDefault="00ED4FB7" w:rsidP="003771D9">
            <w:pPr>
              <w:pStyle w:val="ListParagraph"/>
              <w:spacing w:line="276" w:lineRule="auto"/>
              <w:ind w:left="0"/>
              <w:jc w:val="right"/>
              <w:rPr>
                <w:rFonts w:cs="Arial"/>
                <w:sz w:val="21"/>
                <w:szCs w:val="21"/>
              </w:rPr>
            </w:pPr>
            <w:r>
              <w:rPr>
                <w:rFonts w:cs="Arial"/>
                <w:sz w:val="21"/>
                <w:szCs w:val="21"/>
              </w:rPr>
              <w:t>+30%</w:t>
            </w:r>
          </w:p>
        </w:tc>
      </w:tr>
      <w:tr w:rsidR="00ED4FB7" w:rsidRPr="00C54302" w14:paraId="10468BFA" w14:textId="77777777" w:rsidTr="003771D9">
        <w:trPr>
          <w:trHeight w:val="130"/>
        </w:trPr>
        <w:tc>
          <w:tcPr>
            <w:tcW w:w="4523" w:type="dxa"/>
            <w:tcBorders>
              <w:top w:val="single" w:sz="4" w:space="0" w:color="auto"/>
              <w:left w:val="nil"/>
              <w:bottom w:val="single" w:sz="4" w:space="0" w:color="auto"/>
              <w:right w:val="nil"/>
            </w:tcBorders>
            <w:vAlign w:val="center"/>
          </w:tcPr>
          <w:p w14:paraId="3F73C0CE" w14:textId="77777777" w:rsidR="00ED4FB7" w:rsidRPr="00C54302" w:rsidRDefault="00ED4FB7" w:rsidP="003771D9">
            <w:pPr>
              <w:pStyle w:val="ListParagraph"/>
              <w:spacing w:line="276" w:lineRule="auto"/>
              <w:ind w:left="0"/>
              <w:rPr>
                <w:rFonts w:cs="Arial"/>
                <w:sz w:val="21"/>
                <w:szCs w:val="21"/>
              </w:rPr>
            </w:pPr>
            <w:r w:rsidRPr="00C54302">
              <w:rPr>
                <w:rFonts w:cs="Arial"/>
                <w:sz w:val="21"/>
                <w:szCs w:val="21"/>
              </w:rPr>
              <w:t xml:space="preserve">Work in Progress </w:t>
            </w:r>
          </w:p>
        </w:tc>
        <w:tc>
          <w:tcPr>
            <w:tcW w:w="1701" w:type="dxa"/>
            <w:gridSpan w:val="2"/>
            <w:tcBorders>
              <w:top w:val="single" w:sz="4" w:space="0" w:color="auto"/>
              <w:left w:val="nil"/>
              <w:bottom w:val="single" w:sz="4" w:space="0" w:color="auto"/>
              <w:right w:val="nil"/>
            </w:tcBorders>
            <w:shd w:val="clear" w:color="auto" w:fill="F2F2F2" w:themeFill="background1" w:themeFillShade="F2"/>
          </w:tcPr>
          <w:p w14:paraId="56B88363" w14:textId="77777777" w:rsidR="00ED4FB7" w:rsidRPr="00DE1617" w:rsidRDefault="00ED4FB7" w:rsidP="003771D9">
            <w:pPr>
              <w:pStyle w:val="ListParagraph"/>
              <w:spacing w:line="276" w:lineRule="auto"/>
              <w:ind w:left="0"/>
              <w:jc w:val="right"/>
              <w:rPr>
                <w:rFonts w:cs="Arial"/>
                <w:b/>
                <w:bCs/>
                <w:sz w:val="21"/>
                <w:szCs w:val="21"/>
              </w:rPr>
            </w:pPr>
            <w:r w:rsidRPr="00DE1617">
              <w:rPr>
                <w:rFonts w:cs="Arial"/>
                <w:b/>
                <w:bCs/>
                <w:sz w:val="21"/>
                <w:szCs w:val="21"/>
              </w:rPr>
              <w:t>346.8</w:t>
            </w:r>
          </w:p>
        </w:tc>
        <w:tc>
          <w:tcPr>
            <w:tcW w:w="1701" w:type="dxa"/>
            <w:gridSpan w:val="2"/>
            <w:tcBorders>
              <w:top w:val="single" w:sz="4" w:space="0" w:color="auto"/>
              <w:left w:val="nil"/>
              <w:bottom w:val="single" w:sz="4" w:space="0" w:color="auto"/>
              <w:right w:val="nil"/>
            </w:tcBorders>
          </w:tcPr>
          <w:p w14:paraId="7F956406" w14:textId="77777777" w:rsidR="00ED4FB7" w:rsidRPr="00DE1617" w:rsidRDefault="00ED4FB7" w:rsidP="003771D9">
            <w:pPr>
              <w:pStyle w:val="ListParagraph"/>
              <w:spacing w:line="276" w:lineRule="auto"/>
              <w:ind w:left="0"/>
              <w:jc w:val="right"/>
              <w:rPr>
                <w:rFonts w:cs="Arial"/>
                <w:sz w:val="21"/>
                <w:szCs w:val="21"/>
              </w:rPr>
            </w:pPr>
            <w:r w:rsidRPr="00DE1617">
              <w:rPr>
                <w:rFonts w:cs="Arial"/>
                <w:b/>
                <w:bCs/>
                <w:sz w:val="21"/>
                <w:szCs w:val="21"/>
              </w:rPr>
              <w:t>441.5</w:t>
            </w:r>
          </w:p>
        </w:tc>
        <w:tc>
          <w:tcPr>
            <w:tcW w:w="1707" w:type="dxa"/>
            <w:gridSpan w:val="2"/>
            <w:tcBorders>
              <w:top w:val="single" w:sz="4" w:space="0" w:color="auto"/>
              <w:left w:val="single" w:sz="4" w:space="0" w:color="auto"/>
              <w:bottom w:val="single" w:sz="4" w:space="0" w:color="auto"/>
              <w:right w:val="nil"/>
            </w:tcBorders>
          </w:tcPr>
          <w:p w14:paraId="212B2C13" w14:textId="77777777" w:rsidR="00ED4FB7" w:rsidRPr="00C54302" w:rsidDel="00B92EA4" w:rsidRDefault="00ED4FB7" w:rsidP="003771D9">
            <w:pPr>
              <w:pStyle w:val="ListParagraph"/>
              <w:spacing w:line="276" w:lineRule="auto"/>
              <w:ind w:left="0"/>
              <w:jc w:val="right"/>
              <w:rPr>
                <w:rFonts w:cs="Arial"/>
                <w:sz w:val="21"/>
                <w:szCs w:val="21"/>
              </w:rPr>
            </w:pPr>
            <w:r>
              <w:rPr>
                <w:rFonts w:cs="Arial"/>
                <w:sz w:val="21"/>
                <w:szCs w:val="21"/>
              </w:rPr>
              <w:t>-21%</w:t>
            </w:r>
          </w:p>
        </w:tc>
      </w:tr>
      <w:tr w:rsidR="00ED4FB7" w:rsidRPr="00C54302" w14:paraId="0F307F36" w14:textId="77777777" w:rsidTr="003771D9">
        <w:trPr>
          <w:trHeight w:val="130"/>
        </w:trPr>
        <w:tc>
          <w:tcPr>
            <w:tcW w:w="4523" w:type="dxa"/>
            <w:tcBorders>
              <w:top w:val="single" w:sz="4" w:space="0" w:color="auto"/>
              <w:left w:val="nil"/>
              <w:bottom w:val="single" w:sz="4" w:space="0" w:color="auto"/>
              <w:right w:val="nil"/>
            </w:tcBorders>
            <w:vAlign w:val="center"/>
          </w:tcPr>
          <w:p w14:paraId="7D74BCB3" w14:textId="77777777" w:rsidR="00ED4FB7" w:rsidRPr="00C54302" w:rsidRDefault="00ED4FB7" w:rsidP="003771D9">
            <w:pPr>
              <w:pStyle w:val="ListParagraph"/>
              <w:spacing w:line="276" w:lineRule="auto"/>
              <w:ind w:left="0"/>
              <w:rPr>
                <w:rFonts w:cs="Arial"/>
                <w:sz w:val="21"/>
                <w:szCs w:val="21"/>
              </w:rPr>
            </w:pPr>
            <w:r w:rsidRPr="00C54302">
              <w:rPr>
                <w:rFonts w:cs="Arial"/>
                <w:sz w:val="21"/>
                <w:szCs w:val="21"/>
              </w:rPr>
              <w:t xml:space="preserve">Operating cash flow </w:t>
            </w:r>
          </w:p>
        </w:tc>
        <w:tc>
          <w:tcPr>
            <w:tcW w:w="1701" w:type="dxa"/>
            <w:gridSpan w:val="2"/>
            <w:tcBorders>
              <w:top w:val="single" w:sz="4" w:space="0" w:color="auto"/>
              <w:left w:val="nil"/>
              <w:bottom w:val="single" w:sz="4" w:space="0" w:color="auto"/>
              <w:right w:val="nil"/>
            </w:tcBorders>
            <w:shd w:val="clear" w:color="auto" w:fill="F2F2F2" w:themeFill="background1" w:themeFillShade="F2"/>
          </w:tcPr>
          <w:p w14:paraId="027818CA" w14:textId="77777777" w:rsidR="00ED4FB7" w:rsidRPr="00DE1617" w:rsidRDefault="00ED4FB7" w:rsidP="003771D9">
            <w:pPr>
              <w:pStyle w:val="ListParagraph"/>
              <w:spacing w:line="276" w:lineRule="auto"/>
              <w:ind w:left="0"/>
              <w:jc w:val="right"/>
              <w:rPr>
                <w:rFonts w:cs="Arial"/>
                <w:b/>
                <w:bCs/>
                <w:sz w:val="21"/>
                <w:szCs w:val="21"/>
              </w:rPr>
            </w:pPr>
            <w:r>
              <w:rPr>
                <w:rFonts w:cs="Arial"/>
                <w:b/>
                <w:bCs/>
                <w:sz w:val="21"/>
                <w:szCs w:val="21"/>
              </w:rPr>
              <w:t>(10.8)</w:t>
            </w:r>
          </w:p>
        </w:tc>
        <w:tc>
          <w:tcPr>
            <w:tcW w:w="1701" w:type="dxa"/>
            <w:gridSpan w:val="2"/>
            <w:tcBorders>
              <w:top w:val="single" w:sz="4" w:space="0" w:color="auto"/>
              <w:left w:val="nil"/>
              <w:bottom w:val="single" w:sz="4" w:space="0" w:color="auto"/>
              <w:right w:val="nil"/>
            </w:tcBorders>
          </w:tcPr>
          <w:p w14:paraId="545BB74D" w14:textId="77777777" w:rsidR="00ED4FB7" w:rsidRPr="00DE1617" w:rsidRDefault="00ED4FB7" w:rsidP="003771D9">
            <w:pPr>
              <w:pStyle w:val="ListParagraph"/>
              <w:spacing w:line="276" w:lineRule="auto"/>
              <w:ind w:left="0"/>
              <w:jc w:val="right"/>
              <w:rPr>
                <w:rFonts w:cs="Arial"/>
                <w:sz w:val="21"/>
                <w:szCs w:val="21"/>
              </w:rPr>
            </w:pPr>
            <w:r w:rsidRPr="00DE1617">
              <w:rPr>
                <w:rFonts w:cs="Arial"/>
                <w:b/>
                <w:bCs/>
                <w:sz w:val="21"/>
                <w:szCs w:val="21"/>
              </w:rPr>
              <w:t>(19</w:t>
            </w:r>
            <w:r>
              <w:rPr>
                <w:rFonts w:cs="Arial"/>
                <w:b/>
                <w:bCs/>
                <w:sz w:val="21"/>
                <w:szCs w:val="21"/>
              </w:rPr>
              <w:t>4</w:t>
            </w:r>
            <w:r w:rsidRPr="00DE1617">
              <w:rPr>
                <w:rFonts w:cs="Arial"/>
                <w:b/>
                <w:bCs/>
                <w:sz w:val="21"/>
                <w:szCs w:val="21"/>
              </w:rPr>
              <w:t>.</w:t>
            </w:r>
            <w:r>
              <w:rPr>
                <w:rFonts w:cs="Arial"/>
                <w:b/>
                <w:bCs/>
                <w:sz w:val="21"/>
                <w:szCs w:val="21"/>
              </w:rPr>
              <w:t>2</w:t>
            </w:r>
            <w:r w:rsidRPr="00DE1617">
              <w:rPr>
                <w:rFonts w:cs="Arial"/>
                <w:b/>
                <w:bCs/>
                <w:sz w:val="21"/>
                <w:szCs w:val="21"/>
              </w:rPr>
              <w:t>)</w:t>
            </w:r>
          </w:p>
        </w:tc>
        <w:tc>
          <w:tcPr>
            <w:tcW w:w="1707" w:type="dxa"/>
            <w:gridSpan w:val="2"/>
            <w:tcBorders>
              <w:top w:val="single" w:sz="4" w:space="0" w:color="auto"/>
              <w:left w:val="single" w:sz="4" w:space="0" w:color="auto"/>
              <w:bottom w:val="single" w:sz="4" w:space="0" w:color="auto"/>
              <w:right w:val="nil"/>
            </w:tcBorders>
          </w:tcPr>
          <w:p w14:paraId="5D93EE79" w14:textId="77777777" w:rsidR="00ED4FB7" w:rsidRPr="00C54302" w:rsidRDefault="00ED4FB7" w:rsidP="003771D9">
            <w:pPr>
              <w:pStyle w:val="ListParagraph"/>
              <w:spacing w:line="276" w:lineRule="auto"/>
              <w:ind w:left="0"/>
              <w:jc w:val="right"/>
              <w:rPr>
                <w:rFonts w:cs="Arial"/>
                <w:sz w:val="21"/>
                <w:szCs w:val="21"/>
              </w:rPr>
            </w:pPr>
            <w:r>
              <w:rPr>
                <w:rFonts w:cs="Arial"/>
                <w:sz w:val="21"/>
                <w:szCs w:val="21"/>
              </w:rPr>
              <w:t>+€183.4m</w:t>
            </w:r>
          </w:p>
        </w:tc>
      </w:tr>
      <w:tr w:rsidR="00ED4FB7" w:rsidRPr="00C54302" w14:paraId="44EFE71E" w14:textId="77777777" w:rsidTr="003771D9">
        <w:trPr>
          <w:trHeight w:val="130"/>
        </w:trPr>
        <w:tc>
          <w:tcPr>
            <w:tcW w:w="4523" w:type="dxa"/>
            <w:tcBorders>
              <w:top w:val="single" w:sz="4" w:space="0" w:color="auto"/>
              <w:left w:val="nil"/>
              <w:bottom w:val="single" w:sz="4" w:space="0" w:color="auto"/>
              <w:right w:val="nil"/>
            </w:tcBorders>
            <w:vAlign w:val="center"/>
          </w:tcPr>
          <w:p w14:paraId="528CF9A2" w14:textId="77777777" w:rsidR="00ED4FB7" w:rsidRPr="00C54302" w:rsidRDefault="00ED4FB7" w:rsidP="003771D9">
            <w:pPr>
              <w:pStyle w:val="ListParagraph"/>
              <w:spacing w:line="276" w:lineRule="auto"/>
              <w:ind w:left="0"/>
              <w:rPr>
                <w:rFonts w:cs="Arial"/>
                <w:sz w:val="21"/>
                <w:szCs w:val="21"/>
              </w:rPr>
            </w:pPr>
            <w:r w:rsidRPr="00C54302">
              <w:rPr>
                <w:rFonts w:cs="Arial"/>
                <w:sz w:val="21"/>
                <w:szCs w:val="21"/>
              </w:rPr>
              <w:t xml:space="preserve">Net Debt </w:t>
            </w:r>
          </w:p>
        </w:tc>
        <w:tc>
          <w:tcPr>
            <w:tcW w:w="1701" w:type="dxa"/>
            <w:gridSpan w:val="2"/>
            <w:tcBorders>
              <w:top w:val="single" w:sz="4" w:space="0" w:color="auto"/>
              <w:left w:val="nil"/>
              <w:bottom w:val="single" w:sz="4" w:space="0" w:color="auto"/>
              <w:right w:val="nil"/>
            </w:tcBorders>
            <w:shd w:val="clear" w:color="auto" w:fill="F2F2F2" w:themeFill="background1" w:themeFillShade="F2"/>
          </w:tcPr>
          <w:p w14:paraId="05518C7A" w14:textId="77777777" w:rsidR="00ED4FB7" w:rsidRPr="00DE1617" w:rsidRDefault="00ED4FB7" w:rsidP="003771D9">
            <w:pPr>
              <w:pStyle w:val="ListParagraph"/>
              <w:spacing w:line="276" w:lineRule="auto"/>
              <w:ind w:left="0"/>
              <w:jc w:val="right"/>
              <w:rPr>
                <w:rFonts w:cs="Arial"/>
                <w:b/>
                <w:bCs/>
                <w:sz w:val="21"/>
                <w:szCs w:val="21"/>
              </w:rPr>
            </w:pPr>
            <w:r w:rsidRPr="03E9C12C">
              <w:rPr>
                <w:rFonts w:cs="Arial"/>
                <w:b/>
                <w:bCs/>
                <w:sz w:val="21"/>
                <w:szCs w:val="21"/>
              </w:rPr>
              <w:t>229.9</w:t>
            </w:r>
          </w:p>
        </w:tc>
        <w:tc>
          <w:tcPr>
            <w:tcW w:w="1701" w:type="dxa"/>
            <w:gridSpan w:val="2"/>
            <w:tcBorders>
              <w:top w:val="single" w:sz="4" w:space="0" w:color="auto"/>
              <w:left w:val="nil"/>
              <w:bottom w:val="single" w:sz="4" w:space="0" w:color="auto"/>
              <w:right w:val="nil"/>
            </w:tcBorders>
          </w:tcPr>
          <w:p w14:paraId="2486E8E2" w14:textId="77777777" w:rsidR="00ED4FB7" w:rsidRPr="00DE1617" w:rsidRDefault="00ED4FB7" w:rsidP="003771D9">
            <w:pPr>
              <w:pStyle w:val="ListParagraph"/>
              <w:spacing w:line="276" w:lineRule="auto"/>
              <w:ind w:left="0"/>
              <w:jc w:val="right"/>
              <w:rPr>
                <w:rFonts w:cs="Arial"/>
                <w:sz w:val="21"/>
                <w:szCs w:val="21"/>
              </w:rPr>
            </w:pPr>
            <w:r w:rsidRPr="00DE1617">
              <w:rPr>
                <w:rFonts w:cs="Arial"/>
                <w:b/>
                <w:bCs/>
                <w:sz w:val="21"/>
                <w:szCs w:val="21"/>
              </w:rPr>
              <w:t>244.1</w:t>
            </w:r>
          </w:p>
        </w:tc>
        <w:tc>
          <w:tcPr>
            <w:tcW w:w="1707" w:type="dxa"/>
            <w:gridSpan w:val="2"/>
            <w:tcBorders>
              <w:top w:val="single" w:sz="4" w:space="0" w:color="auto"/>
              <w:left w:val="single" w:sz="4" w:space="0" w:color="auto"/>
              <w:bottom w:val="single" w:sz="4" w:space="0" w:color="auto"/>
              <w:right w:val="nil"/>
            </w:tcBorders>
          </w:tcPr>
          <w:p w14:paraId="66A0E14B" w14:textId="77777777" w:rsidR="00ED4FB7" w:rsidRPr="00C54302" w:rsidDel="00B92EA4" w:rsidRDefault="00ED4FB7" w:rsidP="003771D9">
            <w:pPr>
              <w:pStyle w:val="ListParagraph"/>
              <w:spacing w:line="276" w:lineRule="auto"/>
              <w:ind w:left="0"/>
              <w:jc w:val="right"/>
              <w:rPr>
                <w:rFonts w:cs="Arial"/>
                <w:sz w:val="21"/>
                <w:szCs w:val="21"/>
              </w:rPr>
            </w:pPr>
            <w:r w:rsidRPr="03E9C12C">
              <w:rPr>
                <w:rFonts w:cs="Arial"/>
                <w:sz w:val="21"/>
                <w:szCs w:val="21"/>
              </w:rPr>
              <w:t>-€</w:t>
            </w:r>
            <w:r>
              <w:rPr>
                <w:rFonts w:cs="Arial"/>
                <w:sz w:val="21"/>
                <w:szCs w:val="21"/>
              </w:rPr>
              <w:t>14.2</w:t>
            </w:r>
            <w:r w:rsidRPr="03E9C12C">
              <w:rPr>
                <w:rFonts w:cs="Arial"/>
                <w:sz w:val="21"/>
                <w:szCs w:val="21"/>
              </w:rPr>
              <w:t>m</w:t>
            </w:r>
          </w:p>
        </w:tc>
      </w:tr>
      <w:tr w:rsidR="00ED4FB7" w:rsidRPr="00C54302" w14:paraId="618DD79B" w14:textId="77777777" w:rsidTr="003771D9">
        <w:trPr>
          <w:trHeight w:val="130"/>
        </w:trPr>
        <w:tc>
          <w:tcPr>
            <w:tcW w:w="4523" w:type="dxa"/>
            <w:tcBorders>
              <w:top w:val="single" w:sz="4" w:space="0" w:color="auto"/>
              <w:left w:val="nil"/>
              <w:bottom w:val="single" w:sz="4" w:space="0" w:color="auto"/>
              <w:right w:val="nil"/>
            </w:tcBorders>
            <w:vAlign w:val="center"/>
          </w:tcPr>
          <w:p w14:paraId="428240D1" w14:textId="77777777" w:rsidR="00ED4FB7" w:rsidRPr="00C54302" w:rsidRDefault="00ED4FB7" w:rsidP="003771D9">
            <w:pPr>
              <w:pStyle w:val="ListParagraph"/>
              <w:spacing w:line="276" w:lineRule="auto"/>
              <w:ind w:left="0"/>
              <w:rPr>
                <w:rFonts w:cs="Arial"/>
                <w:sz w:val="21"/>
                <w:szCs w:val="21"/>
              </w:rPr>
            </w:pPr>
          </w:p>
        </w:tc>
        <w:tc>
          <w:tcPr>
            <w:tcW w:w="1701" w:type="dxa"/>
            <w:gridSpan w:val="2"/>
            <w:tcBorders>
              <w:top w:val="single" w:sz="4" w:space="0" w:color="auto"/>
              <w:left w:val="nil"/>
              <w:bottom w:val="single" w:sz="4" w:space="0" w:color="auto"/>
              <w:right w:val="nil"/>
            </w:tcBorders>
            <w:shd w:val="clear" w:color="auto" w:fill="F2F2F2" w:themeFill="background1" w:themeFillShade="F2"/>
            <w:vAlign w:val="center"/>
          </w:tcPr>
          <w:p w14:paraId="19FD6061" w14:textId="77777777" w:rsidR="00ED4FB7" w:rsidRPr="00C54302" w:rsidRDefault="00ED4FB7" w:rsidP="003771D9">
            <w:pPr>
              <w:pStyle w:val="ListParagraph"/>
              <w:spacing w:line="276" w:lineRule="auto"/>
              <w:ind w:left="0"/>
              <w:jc w:val="right"/>
              <w:rPr>
                <w:rFonts w:cs="Arial"/>
                <w:b/>
                <w:bCs/>
                <w:sz w:val="21"/>
                <w:szCs w:val="21"/>
              </w:rPr>
            </w:pPr>
          </w:p>
        </w:tc>
        <w:tc>
          <w:tcPr>
            <w:tcW w:w="1701" w:type="dxa"/>
            <w:gridSpan w:val="2"/>
            <w:tcBorders>
              <w:top w:val="single" w:sz="4" w:space="0" w:color="auto"/>
              <w:left w:val="nil"/>
              <w:bottom w:val="single" w:sz="4" w:space="0" w:color="auto"/>
              <w:right w:val="nil"/>
            </w:tcBorders>
            <w:vAlign w:val="center"/>
          </w:tcPr>
          <w:p w14:paraId="28672389" w14:textId="77777777" w:rsidR="00ED4FB7" w:rsidRPr="00C54302" w:rsidRDefault="00ED4FB7" w:rsidP="003771D9">
            <w:pPr>
              <w:pStyle w:val="ListParagraph"/>
              <w:spacing w:line="276" w:lineRule="auto"/>
              <w:ind w:left="0"/>
              <w:jc w:val="right"/>
              <w:rPr>
                <w:rFonts w:cs="Arial"/>
                <w:sz w:val="21"/>
                <w:szCs w:val="21"/>
              </w:rPr>
            </w:pPr>
          </w:p>
        </w:tc>
        <w:tc>
          <w:tcPr>
            <w:tcW w:w="1707" w:type="dxa"/>
            <w:gridSpan w:val="2"/>
            <w:tcBorders>
              <w:top w:val="single" w:sz="4" w:space="0" w:color="auto"/>
              <w:left w:val="single" w:sz="4" w:space="0" w:color="auto"/>
              <w:bottom w:val="single" w:sz="4" w:space="0" w:color="auto"/>
              <w:right w:val="nil"/>
            </w:tcBorders>
            <w:vAlign w:val="center"/>
          </w:tcPr>
          <w:p w14:paraId="17CAFE63" w14:textId="77777777" w:rsidR="00ED4FB7" w:rsidRPr="00C54302" w:rsidRDefault="00ED4FB7" w:rsidP="003771D9">
            <w:pPr>
              <w:pStyle w:val="ListParagraph"/>
              <w:spacing w:line="276" w:lineRule="auto"/>
              <w:ind w:left="0"/>
              <w:jc w:val="right"/>
              <w:rPr>
                <w:rFonts w:cs="Arial"/>
                <w:sz w:val="21"/>
                <w:szCs w:val="21"/>
              </w:rPr>
            </w:pPr>
          </w:p>
        </w:tc>
      </w:tr>
      <w:tr w:rsidR="00ED4FB7" w:rsidRPr="00C54302" w14:paraId="5554796B" w14:textId="77777777" w:rsidTr="003771D9">
        <w:trPr>
          <w:gridAfter w:val="1"/>
          <w:wAfter w:w="132" w:type="dxa"/>
          <w:trHeight w:val="130"/>
        </w:trPr>
        <w:tc>
          <w:tcPr>
            <w:tcW w:w="4523" w:type="dxa"/>
            <w:tcBorders>
              <w:top w:val="single" w:sz="4" w:space="0" w:color="auto"/>
              <w:left w:val="nil"/>
              <w:bottom w:val="nil"/>
              <w:right w:val="nil"/>
            </w:tcBorders>
            <w:vAlign w:val="center"/>
          </w:tcPr>
          <w:p w14:paraId="199545A1" w14:textId="77777777" w:rsidR="00ED4FB7" w:rsidRPr="00C54302" w:rsidRDefault="00ED4FB7" w:rsidP="003771D9">
            <w:pPr>
              <w:pStyle w:val="ListParagraph"/>
              <w:spacing w:line="276" w:lineRule="auto"/>
              <w:ind w:left="0"/>
              <w:rPr>
                <w:rFonts w:cs="Arial"/>
                <w:sz w:val="10"/>
                <w:szCs w:val="10"/>
              </w:rPr>
            </w:pPr>
          </w:p>
        </w:tc>
        <w:tc>
          <w:tcPr>
            <w:tcW w:w="1245" w:type="dxa"/>
            <w:tcBorders>
              <w:top w:val="single" w:sz="4" w:space="0" w:color="auto"/>
              <w:left w:val="nil"/>
              <w:bottom w:val="nil"/>
              <w:right w:val="nil"/>
            </w:tcBorders>
            <w:vAlign w:val="center"/>
          </w:tcPr>
          <w:p w14:paraId="0E9CEFAF" w14:textId="77777777" w:rsidR="00ED4FB7" w:rsidRPr="00C54302" w:rsidRDefault="00ED4FB7" w:rsidP="003771D9">
            <w:pPr>
              <w:pStyle w:val="ListParagraph"/>
              <w:spacing w:line="276" w:lineRule="auto"/>
              <w:ind w:left="0"/>
              <w:jc w:val="right"/>
              <w:rPr>
                <w:rFonts w:cs="Arial"/>
                <w:b/>
                <w:bCs/>
                <w:sz w:val="10"/>
                <w:szCs w:val="10"/>
              </w:rPr>
            </w:pPr>
          </w:p>
        </w:tc>
        <w:tc>
          <w:tcPr>
            <w:tcW w:w="1754" w:type="dxa"/>
            <w:gridSpan w:val="2"/>
            <w:tcBorders>
              <w:top w:val="single" w:sz="4" w:space="0" w:color="auto"/>
              <w:left w:val="nil"/>
              <w:bottom w:val="nil"/>
              <w:right w:val="nil"/>
            </w:tcBorders>
            <w:vAlign w:val="center"/>
          </w:tcPr>
          <w:p w14:paraId="35A3B6E9" w14:textId="77777777" w:rsidR="00ED4FB7" w:rsidRPr="00C54302" w:rsidRDefault="00ED4FB7" w:rsidP="003771D9">
            <w:pPr>
              <w:pStyle w:val="ListParagraph"/>
              <w:spacing w:line="276" w:lineRule="auto"/>
              <w:ind w:left="0"/>
              <w:jc w:val="right"/>
              <w:rPr>
                <w:rFonts w:cs="Arial"/>
                <w:sz w:val="10"/>
                <w:szCs w:val="10"/>
              </w:rPr>
            </w:pPr>
          </w:p>
        </w:tc>
        <w:tc>
          <w:tcPr>
            <w:tcW w:w="1978" w:type="dxa"/>
            <w:gridSpan w:val="2"/>
            <w:tcBorders>
              <w:top w:val="single" w:sz="4" w:space="0" w:color="auto"/>
              <w:left w:val="nil"/>
              <w:bottom w:val="nil"/>
              <w:right w:val="nil"/>
            </w:tcBorders>
            <w:vAlign w:val="center"/>
          </w:tcPr>
          <w:p w14:paraId="64ACD42C" w14:textId="77777777" w:rsidR="00ED4FB7" w:rsidRPr="00C54302" w:rsidRDefault="00ED4FB7" w:rsidP="003771D9">
            <w:pPr>
              <w:pStyle w:val="ListParagraph"/>
              <w:spacing w:line="276" w:lineRule="auto"/>
              <w:ind w:left="0"/>
              <w:jc w:val="right"/>
              <w:rPr>
                <w:rFonts w:cs="Arial"/>
                <w:sz w:val="10"/>
                <w:szCs w:val="10"/>
              </w:rPr>
            </w:pPr>
          </w:p>
        </w:tc>
      </w:tr>
    </w:tbl>
    <w:p w14:paraId="24C2EB1E" w14:textId="77777777" w:rsidR="00ED4FB7" w:rsidRDefault="00ED4FB7" w:rsidP="00ED4FB7">
      <w:pPr>
        <w:pStyle w:val="ListParagraph"/>
        <w:ind w:left="0"/>
        <w:rPr>
          <w:rFonts w:cs="Arial"/>
          <w:sz w:val="16"/>
          <w:szCs w:val="16"/>
        </w:rPr>
      </w:pPr>
      <w:r w:rsidRPr="0093236D">
        <w:rPr>
          <w:rFonts w:cs="Arial"/>
          <w:sz w:val="16"/>
          <w:szCs w:val="16"/>
          <w:vertAlign w:val="superscript"/>
        </w:rPr>
        <w:t xml:space="preserve">1 </w:t>
      </w:r>
      <w:r>
        <w:rPr>
          <w:rFonts w:cs="Arial"/>
          <w:sz w:val="16"/>
          <w:szCs w:val="16"/>
        </w:rPr>
        <w:t>New home</w:t>
      </w:r>
      <w:r w:rsidRPr="00E317D1">
        <w:rPr>
          <w:rFonts w:cs="Arial"/>
          <w:sz w:val="16"/>
          <w:szCs w:val="16"/>
        </w:rPr>
        <w:t xml:space="preserve"> completions comprise completions within the Homebuilding segment as well as equivalent units completed within the Partnerships segment. </w:t>
      </w:r>
      <w:r>
        <w:rPr>
          <w:rFonts w:cs="Arial"/>
          <w:sz w:val="16"/>
          <w:szCs w:val="16"/>
        </w:rPr>
        <w:t>Homebuilding c</w:t>
      </w:r>
      <w:r w:rsidRPr="00E317D1">
        <w:rPr>
          <w:rFonts w:cs="Arial"/>
          <w:sz w:val="16"/>
          <w:szCs w:val="16"/>
        </w:rPr>
        <w:t xml:space="preserve">ompletions are defined as units sold. Equivalent units represent </w:t>
      </w:r>
      <w:r>
        <w:rPr>
          <w:rFonts w:cs="Arial"/>
          <w:sz w:val="16"/>
          <w:szCs w:val="16"/>
        </w:rPr>
        <w:t>P</w:t>
      </w:r>
      <w:r w:rsidRPr="00E317D1">
        <w:rPr>
          <w:rFonts w:cs="Arial"/>
          <w:sz w:val="16"/>
          <w:szCs w:val="16"/>
        </w:rPr>
        <w:t>artnership revenue recogni</w:t>
      </w:r>
      <w:r>
        <w:rPr>
          <w:rFonts w:cs="Arial"/>
          <w:sz w:val="16"/>
          <w:szCs w:val="16"/>
        </w:rPr>
        <w:t>s</w:t>
      </w:r>
      <w:r w:rsidRPr="00E317D1">
        <w:rPr>
          <w:rFonts w:cs="Arial"/>
          <w:sz w:val="16"/>
          <w:szCs w:val="16"/>
        </w:rPr>
        <w:t>ed on a percentage-of-completion basis and are calculated by dividing the revenue</w:t>
      </w:r>
      <w:r>
        <w:rPr>
          <w:rFonts w:cs="Arial"/>
          <w:sz w:val="16"/>
          <w:szCs w:val="16"/>
        </w:rPr>
        <w:t xml:space="preserve"> (inclusive of land sales)</w:t>
      </w:r>
      <w:r w:rsidRPr="00E317D1">
        <w:rPr>
          <w:rFonts w:cs="Arial"/>
          <w:sz w:val="16"/>
          <w:szCs w:val="16"/>
        </w:rPr>
        <w:t xml:space="preserve"> by the site’s average selling price (ASP)</w:t>
      </w:r>
      <w:r>
        <w:rPr>
          <w:rFonts w:cs="Arial"/>
          <w:sz w:val="16"/>
          <w:szCs w:val="16"/>
        </w:rPr>
        <w:t>.</w:t>
      </w:r>
    </w:p>
    <w:p w14:paraId="64C2B14B" w14:textId="77777777" w:rsidR="00ED4FB7" w:rsidRDefault="00ED4FB7" w:rsidP="00ED4FB7">
      <w:pPr>
        <w:rPr>
          <w:rFonts w:cs="Arial"/>
          <w:sz w:val="16"/>
          <w:szCs w:val="16"/>
        </w:rPr>
      </w:pPr>
      <w:r w:rsidRPr="00814F8A">
        <w:rPr>
          <w:rFonts w:cs="Arial"/>
          <w:sz w:val="16"/>
          <w:szCs w:val="16"/>
          <w:vertAlign w:val="superscript"/>
        </w:rPr>
        <w:t>2</w:t>
      </w:r>
      <w:r w:rsidRPr="00814F8A">
        <w:rPr>
          <w:rFonts w:cs="Arial"/>
          <w:sz w:val="16"/>
          <w:szCs w:val="16"/>
        </w:rPr>
        <w:t xml:space="preserve"> </w:t>
      </w:r>
      <w:r>
        <w:rPr>
          <w:rFonts w:cs="Arial"/>
          <w:sz w:val="16"/>
          <w:szCs w:val="16"/>
        </w:rPr>
        <w:t xml:space="preserve">As </w:t>
      </w:r>
      <w:r w:rsidRPr="00DC38BC">
        <w:rPr>
          <w:rFonts w:cs="Arial"/>
          <w:sz w:val="16"/>
          <w:szCs w:val="16"/>
        </w:rPr>
        <w:t xml:space="preserve">announced in the Group’s 2024 full-year results, segmental reporting has been simplified to Homebuilding and Partnerships (formerly </w:t>
      </w:r>
      <w:r>
        <w:rPr>
          <w:rFonts w:cs="Arial"/>
          <w:sz w:val="16"/>
          <w:szCs w:val="16"/>
        </w:rPr>
        <w:t xml:space="preserve">Suburban, </w:t>
      </w:r>
      <w:r w:rsidRPr="00DC38BC">
        <w:rPr>
          <w:rFonts w:cs="Arial"/>
          <w:sz w:val="16"/>
          <w:szCs w:val="16"/>
        </w:rPr>
        <w:t>Urban and Partnerships).</w:t>
      </w:r>
    </w:p>
    <w:p w14:paraId="1C186A75" w14:textId="77777777" w:rsidR="00ED4FB7" w:rsidRPr="00DA4673" w:rsidRDefault="00ED4FB7" w:rsidP="00ED4FB7">
      <w:pPr>
        <w:rPr>
          <w:rFonts w:cs="Arial"/>
          <w:sz w:val="16"/>
          <w:szCs w:val="16"/>
        </w:rPr>
        <w:sectPr w:rsidR="00ED4FB7" w:rsidRPr="00DA4673" w:rsidSect="00ED4FB7">
          <w:headerReference w:type="default" r:id="rId12"/>
          <w:footerReference w:type="even" r:id="rId13"/>
          <w:footerReference w:type="default" r:id="rId14"/>
          <w:pgSz w:w="11906" w:h="16838"/>
          <w:pgMar w:top="1440" w:right="1440" w:bottom="1440" w:left="1440" w:header="720" w:footer="720" w:gutter="0"/>
          <w:cols w:space="720"/>
          <w:titlePg/>
          <w:docGrid w:linePitch="360"/>
        </w:sectPr>
      </w:pPr>
      <w:r>
        <w:rPr>
          <w:rFonts w:cs="Arial"/>
          <w:sz w:val="16"/>
          <w:szCs w:val="16"/>
          <w:vertAlign w:val="superscript"/>
        </w:rPr>
        <w:t>3</w:t>
      </w:r>
      <w:r w:rsidRPr="00814F8A">
        <w:rPr>
          <w:rFonts w:cs="Arial"/>
          <w:sz w:val="16"/>
          <w:szCs w:val="16"/>
        </w:rPr>
        <w:t xml:space="preserve"> Excluding development rights </w:t>
      </w:r>
    </w:p>
    <w:tbl>
      <w:tblPr>
        <w:tblStyle w:val="TableGrid"/>
        <w:tblW w:w="9500" w:type="dxa"/>
        <w:tblBorders>
          <w:left w:val="none" w:sz="0" w:space="0" w:color="auto"/>
        </w:tblBorders>
        <w:tblLook w:val="04A0" w:firstRow="1" w:lastRow="0" w:firstColumn="1" w:lastColumn="0" w:noHBand="0" w:noVBand="1"/>
      </w:tblPr>
      <w:tblGrid>
        <w:gridCol w:w="9500"/>
      </w:tblGrid>
      <w:tr w:rsidR="00ED4FB7" w:rsidRPr="00C54302" w14:paraId="4930B49F" w14:textId="77777777" w:rsidTr="003771D9">
        <w:trPr>
          <w:trHeight w:val="130"/>
        </w:trPr>
        <w:tc>
          <w:tcPr>
            <w:tcW w:w="9500" w:type="dxa"/>
            <w:tcBorders>
              <w:top w:val="nil"/>
              <w:left w:val="nil"/>
              <w:bottom w:val="nil"/>
              <w:right w:val="nil"/>
            </w:tcBorders>
            <w:vAlign w:val="center"/>
          </w:tcPr>
          <w:p w14:paraId="6FB8C6AB" w14:textId="77777777" w:rsidR="00ED4FB7" w:rsidRPr="0050392E" w:rsidRDefault="00ED4FB7" w:rsidP="003771D9">
            <w:pPr>
              <w:rPr>
                <w:rFonts w:cs="Arial"/>
                <w:b/>
                <w:bCs/>
              </w:rPr>
            </w:pPr>
          </w:p>
          <w:p w14:paraId="1EAA88DB" w14:textId="77777777" w:rsidR="00ED4FB7" w:rsidRDefault="00ED4FB7" w:rsidP="003771D9">
            <w:pPr>
              <w:pStyle w:val="ListParagraph"/>
              <w:ind w:left="-105"/>
              <w:rPr>
                <w:rFonts w:cs="Arial"/>
                <w:b/>
                <w:bCs/>
                <w:sz w:val="24"/>
                <w:szCs w:val="24"/>
              </w:rPr>
            </w:pPr>
          </w:p>
          <w:p w14:paraId="0F51016B" w14:textId="77777777" w:rsidR="00ED4FB7" w:rsidRDefault="00ED4FB7" w:rsidP="003771D9">
            <w:pPr>
              <w:pStyle w:val="ListParagraph"/>
              <w:spacing w:after="120"/>
              <w:ind w:left="-108"/>
              <w:rPr>
                <w:rFonts w:cs="Arial"/>
                <w:b/>
                <w:bCs/>
                <w:sz w:val="24"/>
                <w:szCs w:val="24"/>
              </w:rPr>
            </w:pPr>
            <w:r w:rsidRPr="00FF0D95">
              <w:rPr>
                <w:rFonts w:cs="Arial"/>
                <w:b/>
                <w:bCs/>
                <w:sz w:val="24"/>
                <w:szCs w:val="24"/>
              </w:rPr>
              <w:t xml:space="preserve">H1 2025 Summary Performance </w:t>
            </w:r>
          </w:p>
          <w:p w14:paraId="31B020C4" w14:textId="77777777" w:rsidR="00ED4FB7" w:rsidRPr="005E5A4F" w:rsidRDefault="00ED4FB7" w:rsidP="003771D9">
            <w:pPr>
              <w:pStyle w:val="ListParagraph"/>
              <w:spacing w:after="120"/>
              <w:ind w:left="-108"/>
              <w:rPr>
                <w:rFonts w:cs="Arial"/>
                <w:b/>
                <w:bCs/>
                <w:sz w:val="10"/>
                <w:szCs w:val="10"/>
              </w:rPr>
            </w:pPr>
          </w:p>
          <w:p w14:paraId="4CE5D033" w14:textId="77777777" w:rsidR="00ED4FB7" w:rsidRPr="00C03922" w:rsidRDefault="00ED4FB7" w:rsidP="00ED4FB7">
            <w:pPr>
              <w:pStyle w:val="ListParagraph"/>
              <w:numPr>
                <w:ilvl w:val="0"/>
                <w:numId w:val="43"/>
              </w:numPr>
              <w:spacing w:before="120"/>
              <w:rPr>
                <w:rFonts w:cs="Arial"/>
                <w:sz w:val="21"/>
                <w:szCs w:val="21"/>
              </w:rPr>
            </w:pPr>
            <w:r w:rsidRPr="00B9558F">
              <w:rPr>
                <w:rFonts w:cs="Arial"/>
                <w:sz w:val="21"/>
                <w:szCs w:val="21"/>
              </w:rPr>
              <w:t>More than 900</w:t>
            </w:r>
            <w:r w:rsidRPr="00B9558F" w:rsidDel="00321128">
              <w:rPr>
                <w:rFonts w:cs="Arial"/>
                <w:sz w:val="21"/>
                <w:szCs w:val="21"/>
              </w:rPr>
              <w:t xml:space="preserve"> </w:t>
            </w:r>
            <w:r w:rsidRPr="00B9558F">
              <w:rPr>
                <w:rFonts w:cs="Arial"/>
                <w:sz w:val="21"/>
                <w:szCs w:val="21"/>
              </w:rPr>
              <w:t>units</w:t>
            </w:r>
            <w:r>
              <w:rPr>
                <w:rFonts w:cs="Arial"/>
                <w:i/>
                <w:iCs/>
                <w:sz w:val="18"/>
                <w:szCs w:val="18"/>
                <w:vertAlign w:val="superscript"/>
              </w:rPr>
              <w:t>1</w:t>
            </w:r>
            <w:r w:rsidRPr="00B9558F">
              <w:rPr>
                <w:rFonts w:cs="Arial"/>
                <w:sz w:val="21"/>
                <w:szCs w:val="21"/>
              </w:rPr>
              <w:t xml:space="preserve"> completed in H1 2025 (H1 2024: 424), reflecting continued </w:t>
            </w:r>
            <w:r>
              <w:rPr>
                <w:rFonts w:cs="Arial"/>
                <w:sz w:val="21"/>
                <w:szCs w:val="21"/>
              </w:rPr>
              <w:t xml:space="preserve">momentum and </w:t>
            </w:r>
            <w:r w:rsidRPr="00B9558F">
              <w:rPr>
                <w:rFonts w:cs="Arial"/>
                <w:sz w:val="21"/>
                <w:szCs w:val="21"/>
              </w:rPr>
              <w:t xml:space="preserve">strong execution </w:t>
            </w:r>
            <w:r w:rsidRPr="00276ED9">
              <w:rPr>
                <w:rFonts w:cs="Arial"/>
                <w:sz w:val="21"/>
                <w:szCs w:val="21"/>
              </w:rPr>
              <w:t xml:space="preserve">of the Group’s long-term delivery strategy </w:t>
            </w:r>
            <w:r w:rsidRPr="00B9558F">
              <w:rPr>
                <w:rFonts w:cs="Arial"/>
                <w:sz w:val="21"/>
                <w:szCs w:val="21"/>
              </w:rPr>
              <w:t xml:space="preserve">across both the Homebuilding and Partnerships segments </w:t>
            </w:r>
            <w:r w:rsidRPr="005A1CD9">
              <w:rPr>
                <w:rFonts w:cs="Arial"/>
                <w:sz w:val="21"/>
                <w:szCs w:val="21"/>
              </w:rPr>
              <w:t>– on track to deliver approximately 2,600 Group completions</w:t>
            </w:r>
            <w:r w:rsidRPr="00762C7B">
              <w:rPr>
                <w:rFonts w:cs="Arial"/>
                <w:sz w:val="21"/>
                <w:szCs w:val="21"/>
                <w:vertAlign w:val="superscript"/>
              </w:rPr>
              <w:t>1</w:t>
            </w:r>
            <w:r w:rsidRPr="005A1CD9">
              <w:rPr>
                <w:rFonts w:cs="Arial"/>
                <w:sz w:val="21"/>
                <w:szCs w:val="21"/>
              </w:rPr>
              <w:t xml:space="preserve"> for the full year.</w:t>
            </w:r>
          </w:p>
          <w:p w14:paraId="27711BEE" w14:textId="77777777" w:rsidR="00ED4FB7" w:rsidRPr="0011773E" w:rsidRDefault="00ED4FB7" w:rsidP="00ED4FB7">
            <w:pPr>
              <w:pStyle w:val="ListParagraph"/>
              <w:numPr>
                <w:ilvl w:val="0"/>
                <w:numId w:val="43"/>
              </w:numPr>
              <w:spacing w:before="120"/>
              <w:contextualSpacing w:val="0"/>
              <w:rPr>
                <w:rFonts w:cs="Arial"/>
                <w:sz w:val="21"/>
                <w:szCs w:val="21"/>
              </w:rPr>
            </w:pPr>
            <w:r w:rsidRPr="00B9558F">
              <w:rPr>
                <w:rFonts w:cs="Arial"/>
                <w:sz w:val="21"/>
                <w:szCs w:val="21"/>
              </w:rPr>
              <w:t>Revenues of €341.6 million, +124% increase on the prior year (H1 2024: €152</w:t>
            </w:r>
            <w:r>
              <w:rPr>
                <w:rFonts w:cs="Arial"/>
                <w:sz w:val="21"/>
                <w:szCs w:val="21"/>
              </w:rPr>
              <w:t>.2</w:t>
            </w:r>
            <w:r w:rsidRPr="00B9558F">
              <w:rPr>
                <w:rFonts w:cs="Arial"/>
                <w:sz w:val="21"/>
                <w:szCs w:val="21"/>
              </w:rPr>
              <w:t xml:space="preserve">m) and gross profit of €66.8 million (H1 2024: €27.7 million), driven by enhanced </w:t>
            </w:r>
            <w:r>
              <w:rPr>
                <w:rFonts w:cs="Arial"/>
                <w:sz w:val="21"/>
                <w:szCs w:val="21"/>
              </w:rPr>
              <w:t xml:space="preserve">Homebuilding </w:t>
            </w:r>
            <w:r w:rsidRPr="00B9558F">
              <w:rPr>
                <w:rFonts w:cs="Arial"/>
                <w:sz w:val="21"/>
                <w:szCs w:val="21"/>
              </w:rPr>
              <w:t>delivery volumes and increased Partnerships construction activity.</w:t>
            </w:r>
          </w:p>
          <w:p w14:paraId="3949466A" w14:textId="77777777" w:rsidR="00ED4FB7" w:rsidRPr="0011773E" w:rsidRDefault="00ED4FB7" w:rsidP="00ED4FB7">
            <w:pPr>
              <w:pStyle w:val="ListParagraph"/>
              <w:numPr>
                <w:ilvl w:val="0"/>
                <w:numId w:val="43"/>
              </w:numPr>
              <w:spacing w:before="120"/>
              <w:contextualSpacing w:val="0"/>
              <w:rPr>
                <w:rFonts w:cs="Arial"/>
                <w:sz w:val="21"/>
                <w:szCs w:val="21"/>
              </w:rPr>
            </w:pPr>
            <w:r w:rsidRPr="00B9558F">
              <w:rPr>
                <w:rFonts w:cs="Arial"/>
                <w:sz w:val="21"/>
                <w:szCs w:val="21"/>
              </w:rPr>
              <w:t xml:space="preserve">Homebuilding completions of 566 units (H1 2024: </w:t>
            </w:r>
            <w:r w:rsidRPr="00BF1EF7">
              <w:rPr>
                <w:rFonts w:cs="Arial"/>
                <w:sz w:val="21"/>
                <w:szCs w:val="21"/>
              </w:rPr>
              <w:t>29</w:t>
            </w:r>
            <w:r>
              <w:rPr>
                <w:rFonts w:cs="Arial"/>
                <w:sz w:val="21"/>
                <w:szCs w:val="21"/>
              </w:rPr>
              <w:t>4</w:t>
            </w:r>
            <w:r w:rsidRPr="00B9558F">
              <w:rPr>
                <w:rFonts w:cs="Arial"/>
                <w:sz w:val="21"/>
                <w:szCs w:val="21"/>
              </w:rPr>
              <w:t xml:space="preserve">); gross margin increased by 170bps to </w:t>
            </w:r>
            <w:r w:rsidRPr="3CF05F73" w:rsidDel="00201EC0">
              <w:rPr>
                <w:rStyle w:val="normaltextrun"/>
                <w:rFonts w:cs="Arial"/>
                <w:color w:val="000000" w:themeColor="text1"/>
                <w:sz w:val="21"/>
                <w:szCs w:val="21"/>
              </w:rPr>
              <w:t>21</w:t>
            </w:r>
            <w:r w:rsidRPr="3CF05F73">
              <w:rPr>
                <w:rStyle w:val="normaltextrun"/>
                <w:rFonts w:cs="Arial"/>
                <w:color w:val="000000" w:themeColor="text1"/>
                <w:sz w:val="21"/>
                <w:szCs w:val="21"/>
              </w:rPr>
              <w:t>.</w:t>
            </w:r>
            <w:r>
              <w:rPr>
                <w:rStyle w:val="normaltextrun"/>
                <w:rFonts w:cs="Arial"/>
                <w:color w:val="000000" w:themeColor="text1"/>
                <w:sz w:val="21"/>
                <w:szCs w:val="21"/>
              </w:rPr>
              <w:t>4</w:t>
            </w:r>
            <w:r w:rsidRPr="3CF05F73">
              <w:rPr>
                <w:rStyle w:val="normaltextrun"/>
                <w:rFonts w:cs="Arial"/>
                <w:color w:val="000000" w:themeColor="text1"/>
                <w:sz w:val="21"/>
                <w:szCs w:val="21"/>
              </w:rPr>
              <w:t xml:space="preserve">% </w:t>
            </w:r>
            <w:r>
              <w:rPr>
                <w:rStyle w:val="normaltextrun"/>
                <w:rFonts w:cs="Arial"/>
                <w:color w:val="000000" w:themeColor="text1"/>
                <w:sz w:val="21"/>
                <w:szCs w:val="21"/>
              </w:rPr>
              <w:t>(</w:t>
            </w:r>
            <w:r w:rsidRPr="3CF05F73">
              <w:rPr>
                <w:rStyle w:val="normaltextrun"/>
                <w:rFonts w:cs="Arial"/>
                <w:color w:val="000000" w:themeColor="text1"/>
                <w:sz w:val="21"/>
                <w:szCs w:val="21"/>
              </w:rPr>
              <w:t xml:space="preserve">H1 </w:t>
            </w:r>
            <w:r w:rsidRPr="00B9558F">
              <w:rPr>
                <w:rFonts w:cs="Arial"/>
                <w:sz w:val="21"/>
                <w:szCs w:val="21"/>
              </w:rPr>
              <w:t xml:space="preserve">2024: 19.7%), </w:t>
            </w:r>
            <w:r w:rsidRPr="00B9558F">
              <w:rPr>
                <w:rFonts w:cs="Arial"/>
                <w:color w:val="000000"/>
                <w:sz w:val="21"/>
                <w:szCs w:val="21"/>
                <w:shd w:val="clear" w:color="auto" w:fill="FFFFFF"/>
              </w:rPr>
              <w:t xml:space="preserve">driven by a favourable </w:t>
            </w:r>
            <w:r>
              <w:rPr>
                <w:rFonts w:cs="Arial"/>
                <w:color w:val="000000"/>
                <w:sz w:val="21"/>
                <w:szCs w:val="21"/>
                <w:shd w:val="clear" w:color="auto" w:fill="FFFFFF"/>
              </w:rPr>
              <w:t xml:space="preserve">site </w:t>
            </w:r>
            <w:r w:rsidRPr="00B9558F">
              <w:rPr>
                <w:rFonts w:cs="Arial"/>
                <w:color w:val="000000"/>
                <w:sz w:val="21"/>
                <w:szCs w:val="21"/>
                <w:shd w:val="clear" w:color="auto" w:fill="FFFFFF"/>
              </w:rPr>
              <w:t>mix, scale</w:t>
            </w:r>
            <w:r>
              <w:rPr>
                <w:rFonts w:cs="Arial"/>
                <w:color w:val="000000"/>
                <w:sz w:val="21"/>
                <w:szCs w:val="21"/>
                <w:shd w:val="clear" w:color="auto" w:fill="FFFFFF"/>
              </w:rPr>
              <w:t xml:space="preserve"> and ongoing</w:t>
            </w:r>
            <w:r w:rsidRPr="00EB4D01">
              <w:rPr>
                <w:rFonts w:cs="Arial"/>
                <w:color w:val="000000"/>
                <w:sz w:val="21"/>
                <w:szCs w:val="21"/>
                <w:shd w:val="clear" w:color="auto" w:fill="FFFFFF"/>
              </w:rPr>
              <w:t xml:space="preserve"> returns from innovation and standardisation</w:t>
            </w:r>
            <w:r>
              <w:rPr>
                <w:rFonts w:cs="Arial"/>
                <w:color w:val="000000"/>
                <w:sz w:val="21"/>
                <w:szCs w:val="21"/>
                <w:shd w:val="clear" w:color="auto" w:fill="FFFFFF"/>
              </w:rPr>
              <w:t>.</w:t>
            </w:r>
          </w:p>
          <w:p w14:paraId="4B1F18E3" w14:textId="77777777" w:rsidR="00ED4FB7" w:rsidRPr="001742C1" w:rsidRDefault="00ED4FB7" w:rsidP="00ED4FB7">
            <w:pPr>
              <w:pStyle w:val="ListParagraph"/>
              <w:numPr>
                <w:ilvl w:val="0"/>
                <w:numId w:val="43"/>
              </w:numPr>
              <w:spacing w:before="120"/>
              <w:contextualSpacing w:val="0"/>
              <w:rPr>
                <w:rFonts w:cs="Arial"/>
                <w:sz w:val="21"/>
                <w:szCs w:val="21"/>
              </w:rPr>
            </w:pPr>
            <w:r w:rsidRPr="00B9558F">
              <w:rPr>
                <w:rFonts w:cs="Arial"/>
                <w:sz w:val="21"/>
                <w:szCs w:val="21"/>
              </w:rPr>
              <w:t>Partnerships continue to grow at scale with the completion of 339 equivalent units</w:t>
            </w:r>
            <w:r w:rsidRPr="004F0D82">
              <w:rPr>
                <w:rFonts w:cs="Arial"/>
                <w:sz w:val="21"/>
                <w:szCs w:val="21"/>
                <w:vertAlign w:val="superscript"/>
              </w:rPr>
              <w:t xml:space="preserve">1 </w:t>
            </w:r>
            <w:r w:rsidRPr="00B9558F">
              <w:rPr>
                <w:rFonts w:cs="Arial"/>
                <w:sz w:val="21"/>
                <w:szCs w:val="21"/>
              </w:rPr>
              <w:t xml:space="preserve">in the period </w:t>
            </w:r>
            <w:r>
              <w:rPr>
                <w:rFonts w:cs="Arial"/>
                <w:sz w:val="21"/>
                <w:szCs w:val="21"/>
              </w:rPr>
              <w:t xml:space="preserve">(H1 2024: 130) </w:t>
            </w:r>
            <w:r w:rsidRPr="00CB6549">
              <w:rPr>
                <w:rFonts w:cs="Arial"/>
                <w:sz w:val="21"/>
                <w:szCs w:val="21"/>
              </w:rPr>
              <w:t xml:space="preserve">and construction activity </w:t>
            </w:r>
            <w:r>
              <w:rPr>
                <w:rFonts w:cs="Arial"/>
                <w:sz w:val="21"/>
                <w:szCs w:val="21"/>
              </w:rPr>
              <w:t xml:space="preserve">underway </w:t>
            </w:r>
            <w:r w:rsidRPr="00CB6549">
              <w:rPr>
                <w:rFonts w:cs="Arial"/>
                <w:sz w:val="21"/>
                <w:szCs w:val="21"/>
              </w:rPr>
              <w:t xml:space="preserve">on six sites comprising </w:t>
            </w:r>
            <w:r>
              <w:rPr>
                <w:rFonts w:cs="Arial"/>
                <w:sz w:val="21"/>
                <w:szCs w:val="21"/>
              </w:rPr>
              <w:t xml:space="preserve">over </w:t>
            </w:r>
            <w:r w:rsidRPr="00CB6549">
              <w:rPr>
                <w:rFonts w:cs="Arial"/>
                <w:sz w:val="21"/>
                <w:szCs w:val="21"/>
              </w:rPr>
              <w:t>3,9</w:t>
            </w:r>
            <w:r>
              <w:rPr>
                <w:rFonts w:cs="Arial"/>
                <w:sz w:val="21"/>
                <w:szCs w:val="21"/>
              </w:rPr>
              <w:t>00</w:t>
            </w:r>
            <w:r w:rsidRPr="00CB6549">
              <w:rPr>
                <w:rFonts w:cs="Arial"/>
                <w:sz w:val="21"/>
                <w:szCs w:val="21"/>
              </w:rPr>
              <w:t xml:space="preserve"> units. </w:t>
            </w:r>
          </w:p>
          <w:p w14:paraId="030AA824" w14:textId="77777777" w:rsidR="00ED4FB7" w:rsidRPr="001742C1" w:rsidRDefault="00ED4FB7" w:rsidP="00ED4FB7">
            <w:pPr>
              <w:pStyle w:val="ListParagraph"/>
              <w:numPr>
                <w:ilvl w:val="0"/>
                <w:numId w:val="43"/>
              </w:numPr>
              <w:spacing w:before="120"/>
              <w:contextualSpacing w:val="0"/>
              <w:rPr>
                <w:rFonts w:cs="Arial"/>
                <w:sz w:val="21"/>
                <w:szCs w:val="21"/>
              </w:rPr>
            </w:pPr>
            <w:r w:rsidRPr="03E9C12C">
              <w:rPr>
                <w:rFonts w:cs="Arial"/>
                <w:sz w:val="21"/>
                <w:szCs w:val="21"/>
              </w:rPr>
              <w:t xml:space="preserve">Partnerships gross profit of €20.0 million represents </w:t>
            </w:r>
            <w:r>
              <w:rPr>
                <w:rFonts w:cs="Arial"/>
                <w:sz w:val="21"/>
                <w:szCs w:val="21"/>
              </w:rPr>
              <w:t>the segment’s</w:t>
            </w:r>
            <w:r w:rsidRPr="001742C1">
              <w:rPr>
                <w:rFonts w:cs="Arial"/>
                <w:sz w:val="21"/>
                <w:szCs w:val="21"/>
              </w:rPr>
              <w:t xml:space="preserve"> </w:t>
            </w:r>
            <w:r>
              <w:rPr>
                <w:rFonts w:cs="Arial"/>
                <w:sz w:val="21"/>
                <w:szCs w:val="21"/>
              </w:rPr>
              <w:t xml:space="preserve">first </w:t>
            </w:r>
            <w:r w:rsidRPr="001742C1">
              <w:rPr>
                <w:rFonts w:cs="Arial"/>
                <w:sz w:val="21"/>
                <w:szCs w:val="21"/>
              </w:rPr>
              <w:t>material contribution</w:t>
            </w:r>
            <w:r w:rsidRPr="03E9C12C">
              <w:rPr>
                <w:rFonts w:cs="Arial"/>
                <w:sz w:val="21"/>
                <w:szCs w:val="21"/>
              </w:rPr>
              <w:t xml:space="preserve"> at the interim stage; gross margin was 16.2% (H1 2024: 15.2%), slightly ahead of target owing to</w:t>
            </w:r>
            <w:r>
              <w:rPr>
                <w:rFonts w:cs="Arial"/>
                <w:sz w:val="21"/>
                <w:szCs w:val="21"/>
              </w:rPr>
              <w:t xml:space="preserve"> the timing of</w:t>
            </w:r>
            <w:r w:rsidRPr="03E9C12C">
              <w:rPr>
                <w:rFonts w:cs="Arial"/>
                <w:sz w:val="21"/>
                <w:szCs w:val="21"/>
              </w:rPr>
              <w:t xml:space="preserve"> </w:t>
            </w:r>
            <w:r>
              <w:rPr>
                <w:rFonts w:cs="Arial"/>
                <w:sz w:val="21"/>
                <w:szCs w:val="21"/>
              </w:rPr>
              <w:t>land sales and a favourable tenure mix</w:t>
            </w:r>
            <w:r w:rsidRPr="03E9C12C">
              <w:rPr>
                <w:rFonts w:cs="Arial"/>
                <w:sz w:val="21"/>
                <w:szCs w:val="21"/>
              </w:rPr>
              <w:t>.</w:t>
            </w:r>
          </w:p>
          <w:p w14:paraId="4AE1213A" w14:textId="77777777" w:rsidR="00ED4FB7" w:rsidRPr="00641F5E" w:rsidRDefault="00ED4FB7" w:rsidP="00ED4FB7">
            <w:pPr>
              <w:pStyle w:val="ListParagraph"/>
              <w:numPr>
                <w:ilvl w:val="0"/>
                <w:numId w:val="43"/>
              </w:numPr>
              <w:spacing w:before="120"/>
              <w:contextualSpacing w:val="0"/>
              <w:rPr>
                <w:rFonts w:cs="Arial"/>
                <w:sz w:val="24"/>
                <w:szCs w:val="24"/>
              </w:rPr>
            </w:pPr>
            <w:r w:rsidRPr="00153384">
              <w:rPr>
                <w:rFonts w:cs="Arial"/>
                <w:sz w:val="21"/>
                <w:szCs w:val="21"/>
              </w:rPr>
              <w:t>The Group’s closed and forward order book stands at approximately €</w:t>
            </w:r>
            <w:r>
              <w:rPr>
                <w:rFonts w:cs="Arial"/>
                <w:sz w:val="21"/>
                <w:szCs w:val="21"/>
              </w:rPr>
              <w:t>1.4</w:t>
            </w:r>
            <w:r w:rsidRPr="00153384">
              <w:rPr>
                <w:rFonts w:cs="Arial"/>
                <w:sz w:val="21"/>
                <w:szCs w:val="21"/>
              </w:rPr>
              <w:t xml:space="preserve"> billion (H1 2024: €1.4 billion), providing strong visibility on deliveries for the remainder of FY 2025 and into early FY 2026.</w:t>
            </w:r>
          </w:p>
          <w:p w14:paraId="39C49819" w14:textId="77777777" w:rsidR="00ED4FB7" w:rsidRPr="00153384" w:rsidRDefault="00ED4FB7" w:rsidP="00ED4FB7">
            <w:pPr>
              <w:pStyle w:val="ListParagraph"/>
              <w:numPr>
                <w:ilvl w:val="0"/>
                <w:numId w:val="43"/>
              </w:numPr>
              <w:spacing w:before="120"/>
              <w:contextualSpacing w:val="0"/>
              <w:rPr>
                <w:rFonts w:cs="Arial"/>
                <w:sz w:val="21"/>
                <w:szCs w:val="21"/>
              </w:rPr>
            </w:pPr>
            <w:r>
              <w:rPr>
                <w:rFonts w:cs="Arial"/>
                <w:sz w:val="21"/>
                <w:szCs w:val="21"/>
                <w:lang w:val="en-GB"/>
              </w:rPr>
              <w:t>L</w:t>
            </w:r>
            <w:r w:rsidRPr="001F5576">
              <w:rPr>
                <w:rFonts w:cs="Arial"/>
                <w:sz w:val="21"/>
                <w:szCs w:val="21"/>
                <w:lang w:val="en-GB"/>
              </w:rPr>
              <w:t>and sale</w:t>
            </w:r>
            <w:r>
              <w:rPr>
                <w:rFonts w:cs="Arial"/>
                <w:sz w:val="21"/>
                <w:szCs w:val="21"/>
                <w:lang w:val="en-GB"/>
              </w:rPr>
              <w:t xml:space="preserve">s </w:t>
            </w:r>
            <w:r w:rsidRPr="002F7E8E">
              <w:rPr>
                <w:rFonts w:cs="Arial"/>
                <w:sz w:val="21"/>
                <w:szCs w:val="21"/>
              </w:rPr>
              <w:t xml:space="preserve">of </w:t>
            </w:r>
            <w:r>
              <w:rPr>
                <w:rFonts w:cs="Arial"/>
                <w:sz w:val="21"/>
                <w:szCs w:val="21"/>
              </w:rPr>
              <w:t xml:space="preserve">more than </w:t>
            </w:r>
            <w:r w:rsidRPr="002F7E8E">
              <w:rPr>
                <w:rFonts w:cs="Arial"/>
                <w:sz w:val="21"/>
                <w:szCs w:val="21"/>
              </w:rPr>
              <w:t>€</w:t>
            </w:r>
            <w:r>
              <w:rPr>
                <w:rFonts w:cs="Arial"/>
                <w:sz w:val="21"/>
                <w:szCs w:val="21"/>
              </w:rPr>
              <w:t>60</w:t>
            </w:r>
            <w:r w:rsidRPr="002F7E8E">
              <w:rPr>
                <w:rFonts w:cs="Arial"/>
                <w:sz w:val="21"/>
                <w:szCs w:val="21"/>
              </w:rPr>
              <w:t xml:space="preserve"> million either closed or in advanced stages of contract, reflecting the Group's decision to further optimise capital employed in land and focus on sites of scale.</w:t>
            </w:r>
          </w:p>
          <w:p w14:paraId="460BC263" w14:textId="77777777" w:rsidR="00ED4FB7" w:rsidRPr="00A71CBE" w:rsidRDefault="00ED4FB7" w:rsidP="00ED4FB7">
            <w:pPr>
              <w:pStyle w:val="ListParagraph"/>
              <w:numPr>
                <w:ilvl w:val="0"/>
                <w:numId w:val="43"/>
              </w:numPr>
              <w:spacing w:before="120"/>
              <w:contextualSpacing w:val="0"/>
              <w:rPr>
                <w:rFonts w:cs="Arial"/>
                <w:sz w:val="21"/>
                <w:szCs w:val="21"/>
              </w:rPr>
            </w:pPr>
            <w:r w:rsidRPr="007B0FF1">
              <w:rPr>
                <w:rFonts w:cs="Arial"/>
                <w:sz w:val="21"/>
                <w:szCs w:val="21"/>
              </w:rPr>
              <w:t xml:space="preserve">Planning permission secured for more than </w:t>
            </w:r>
            <w:r>
              <w:rPr>
                <w:rFonts w:cs="Arial"/>
                <w:sz w:val="21"/>
                <w:szCs w:val="21"/>
              </w:rPr>
              <w:t>1,500</w:t>
            </w:r>
            <w:r w:rsidRPr="007B0FF1">
              <w:rPr>
                <w:rFonts w:cs="Arial"/>
                <w:sz w:val="21"/>
                <w:szCs w:val="21"/>
              </w:rPr>
              <w:t xml:space="preserve"> units in H1 </w:t>
            </w:r>
            <w:r>
              <w:rPr>
                <w:rFonts w:cs="Arial"/>
                <w:sz w:val="21"/>
                <w:szCs w:val="21"/>
              </w:rPr>
              <w:t>with all</w:t>
            </w:r>
            <w:r w:rsidRPr="007B0FF1">
              <w:rPr>
                <w:rFonts w:cs="Arial"/>
                <w:sz w:val="21"/>
                <w:szCs w:val="21"/>
              </w:rPr>
              <w:t xml:space="preserve"> units for FY26 now with planning permissions granted</w:t>
            </w:r>
            <w:r>
              <w:rPr>
                <w:rFonts w:cs="Arial"/>
                <w:sz w:val="21"/>
                <w:szCs w:val="21"/>
              </w:rPr>
              <w:t>. In addition, all units for FY27 are now planned or have active planning applications</w:t>
            </w:r>
            <w:r w:rsidRPr="007B0FF1">
              <w:rPr>
                <w:rFonts w:cs="Arial"/>
                <w:sz w:val="21"/>
                <w:szCs w:val="21"/>
              </w:rPr>
              <w:t xml:space="preserve">, supporting future growth and </w:t>
            </w:r>
            <w:r>
              <w:rPr>
                <w:rFonts w:cs="Arial"/>
                <w:sz w:val="21"/>
                <w:szCs w:val="21"/>
              </w:rPr>
              <w:t>delivery.</w:t>
            </w:r>
          </w:p>
          <w:p w14:paraId="4C2D187F" w14:textId="77777777" w:rsidR="00ED4FB7" w:rsidRPr="00675C72" w:rsidRDefault="00ED4FB7" w:rsidP="00ED4FB7">
            <w:pPr>
              <w:pStyle w:val="ListParagraph"/>
              <w:numPr>
                <w:ilvl w:val="0"/>
                <w:numId w:val="43"/>
              </w:numPr>
              <w:spacing w:before="120"/>
              <w:contextualSpacing w:val="0"/>
              <w:rPr>
                <w:rFonts w:cs="Arial"/>
                <w:sz w:val="21"/>
                <w:szCs w:val="21"/>
              </w:rPr>
            </w:pPr>
            <w:r>
              <w:rPr>
                <w:rFonts w:cs="Arial"/>
                <w:sz w:val="21"/>
                <w:szCs w:val="21"/>
              </w:rPr>
              <w:t xml:space="preserve">Material improvement in operating cash flow in H1 2025 (-€10.7 million) versus the prior period (-€194.2 million), reflecting increased completions, greater contribution of the Partnerships </w:t>
            </w:r>
            <w:r w:rsidRPr="00994FD3">
              <w:rPr>
                <w:rFonts w:cs="Arial"/>
                <w:sz w:val="21"/>
                <w:szCs w:val="21"/>
              </w:rPr>
              <w:t>segment and working capital optimisation.</w:t>
            </w:r>
          </w:p>
          <w:p w14:paraId="79119361" w14:textId="77777777" w:rsidR="00ED4FB7" w:rsidRPr="00675C72" w:rsidRDefault="00ED4FB7" w:rsidP="00ED4FB7">
            <w:pPr>
              <w:pStyle w:val="ListParagraph"/>
              <w:numPr>
                <w:ilvl w:val="0"/>
                <w:numId w:val="43"/>
              </w:numPr>
              <w:spacing w:before="120"/>
              <w:contextualSpacing w:val="0"/>
              <w:rPr>
                <w:rFonts w:cs="Arial"/>
                <w:sz w:val="21"/>
                <w:szCs w:val="21"/>
              </w:rPr>
            </w:pPr>
            <w:r w:rsidRPr="03E9C12C">
              <w:rPr>
                <w:rFonts w:cs="Arial"/>
                <w:sz w:val="21"/>
                <w:szCs w:val="21"/>
              </w:rPr>
              <w:t>Net debt of €2</w:t>
            </w:r>
            <w:r>
              <w:rPr>
                <w:rFonts w:cs="Arial"/>
                <w:sz w:val="21"/>
                <w:szCs w:val="21"/>
              </w:rPr>
              <w:t xml:space="preserve">29.9 </w:t>
            </w:r>
            <w:r w:rsidRPr="03E9C12C">
              <w:rPr>
                <w:rFonts w:cs="Arial"/>
                <w:sz w:val="21"/>
                <w:szCs w:val="21"/>
              </w:rPr>
              <w:t>m</w:t>
            </w:r>
            <w:r>
              <w:rPr>
                <w:rFonts w:cs="Arial"/>
                <w:sz w:val="21"/>
                <w:szCs w:val="21"/>
              </w:rPr>
              <w:t>illion</w:t>
            </w:r>
            <w:r w:rsidRPr="03E9C12C">
              <w:rPr>
                <w:rFonts w:cs="Arial"/>
                <w:sz w:val="21"/>
                <w:szCs w:val="21"/>
              </w:rPr>
              <w:t xml:space="preserve"> at H1 2025 was lower than H1 2024 (€244.1</w:t>
            </w:r>
            <w:r>
              <w:rPr>
                <w:rFonts w:cs="Arial"/>
                <w:sz w:val="21"/>
                <w:szCs w:val="21"/>
              </w:rPr>
              <w:t xml:space="preserve"> </w:t>
            </w:r>
            <w:r w:rsidRPr="03E9C12C">
              <w:rPr>
                <w:rFonts w:cs="Arial"/>
                <w:sz w:val="21"/>
                <w:szCs w:val="21"/>
              </w:rPr>
              <w:t>m</w:t>
            </w:r>
            <w:r>
              <w:rPr>
                <w:rFonts w:cs="Arial"/>
                <w:sz w:val="21"/>
                <w:szCs w:val="21"/>
              </w:rPr>
              <w:t>illion</w:t>
            </w:r>
            <w:r w:rsidRPr="03E9C12C">
              <w:rPr>
                <w:rFonts w:cs="Arial"/>
                <w:sz w:val="21"/>
                <w:szCs w:val="21"/>
              </w:rPr>
              <w:t xml:space="preserve">) despite higher production levels, reflecting prudent </w:t>
            </w:r>
            <w:r>
              <w:rPr>
                <w:rFonts w:cs="Arial"/>
                <w:sz w:val="21"/>
                <w:szCs w:val="21"/>
              </w:rPr>
              <w:t xml:space="preserve">cash </w:t>
            </w:r>
            <w:r w:rsidRPr="03E9C12C">
              <w:rPr>
                <w:rFonts w:cs="Arial"/>
                <w:sz w:val="21"/>
                <w:szCs w:val="21"/>
              </w:rPr>
              <w:t xml:space="preserve">management and disciplined capital deployment. </w:t>
            </w:r>
          </w:p>
          <w:p w14:paraId="324FE8E0" w14:textId="77777777" w:rsidR="00ED4FB7" w:rsidRPr="00840A96" w:rsidRDefault="00ED4FB7" w:rsidP="00ED4FB7">
            <w:pPr>
              <w:pStyle w:val="ListParagraph"/>
              <w:numPr>
                <w:ilvl w:val="0"/>
                <w:numId w:val="43"/>
              </w:numPr>
              <w:spacing w:before="120"/>
              <w:contextualSpacing w:val="0"/>
              <w:rPr>
                <w:rFonts w:cs="Arial"/>
                <w:sz w:val="21"/>
                <w:szCs w:val="21"/>
              </w:rPr>
            </w:pPr>
            <w:r>
              <w:rPr>
                <w:rFonts w:cs="Arial"/>
                <w:sz w:val="21"/>
                <w:szCs w:val="21"/>
              </w:rPr>
              <w:t>The Group’s s</w:t>
            </w:r>
            <w:r w:rsidRPr="002710C6">
              <w:rPr>
                <w:rFonts w:cs="Arial"/>
                <w:sz w:val="21"/>
                <w:szCs w:val="21"/>
              </w:rPr>
              <w:t>hare buyback programme was expanded to €85</w:t>
            </w:r>
            <w:r>
              <w:rPr>
                <w:rFonts w:cs="Arial"/>
                <w:sz w:val="21"/>
                <w:szCs w:val="21"/>
              </w:rPr>
              <w:t xml:space="preserve"> </w:t>
            </w:r>
            <w:r w:rsidRPr="03E9C12C">
              <w:rPr>
                <w:rFonts w:cs="Arial"/>
                <w:sz w:val="21"/>
                <w:szCs w:val="21"/>
              </w:rPr>
              <w:t>m</w:t>
            </w:r>
            <w:r>
              <w:rPr>
                <w:rFonts w:cs="Arial"/>
                <w:sz w:val="21"/>
                <w:szCs w:val="21"/>
              </w:rPr>
              <w:t>illion</w:t>
            </w:r>
            <w:r w:rsidRPr="002710C6">
              <w:rPr>
                <w:rFonts w:cs="Arial"/>
                <w:sz w:val="21"/>
                <w:szCs w:val="21"/>
              </w:rPr>
              <w:t xml:space="preserve"> in May 2025</w:t>
            </w:r>
            <w:r>
              <w:rPr>
                <w:rFonts w:cs="Arial"/>
                <w:sz w:val="21"/>
                <w:szCs w:val="21"/>
              </w:rPr>
              <w:t xml:space="preserve">, of which approximately €83 </w:t>
            </w:r>
            <w:r w:rsidRPr="03E9C12C">
              <w:rPr>
                <w:rFonts w:cs="Arial"/>
                <w:sz w:val="21"/>
                <w:szCs w:val="21"/>
              </w:rPr>
              <w:t>m</w:t>
            </w:r>
            <w:r>
              <w:rPr>
                <w:rFonts w:cs="Arial"/>
                <w:sz w:val="21"/>
                <w:szCs w:val="21"/>
              </w:rPr>
              <w:t xml:space="preserve">illion has been returned to shareholders </w:t>
            </w:r>
            <w:proofErr w:type="gramStart"/>
            <w:r>
              <w:rPr>
                <w:rFonts w:cs="Arial"/>
                <w:sz w:val="21"/>
                <w:szCs w:val="21"/>
              </w:rPr>
              <w:t>at</w:t>
            </w:r>
            <w:proofErr w:type="gramEnd"/>
            <w:r>
              <w:rPr>
                <w:rFonts w:cs="Arial"/>
                <w:sz w:val="21"/>
                <w:szCs w:val="21"/>
              </w:rPr>
              <w:t xml:space="preserve"> 23 September. </w:t>
            </w:r>
            <w:r w:rsidRPr="00675C72">
              <w:rPr>
                <w:rFonts w:cs="Arial"/>
                <w:sz w:val="21"/>
                <w:szCs w:val="21"/>
              </w:rPr>
              <w:t xml:space="preserve">In line with our capital allocation priorities and supported by strong operational performance, cash flow generation, and visibility on land sales, </w:t>
            </w:r>
            <w:r>
              <w:rPr>
                <w:rFonts w:cs="Arial"/>
                <w:sz w:val="21"/>
                <w:szCs w:val="21"/>
              </w:rPr>
              <w:t xml:space="preserve">the current buyback programme is being further expanded </w:t>
            </w:r>
            <w:r w:rsidRPr="00675C72">
              <w:rPr>
                <w:rFonts w:cs="Arial"/>
                <w:sz w:val="21"/>
                <w:szCs w:val="21"/>
              </w:rPr>
              <w:t>to €105m</w:t>
            </w:r>
            <w:r>
              <w:rPr>
                <w:rFonts w:cs="Arial"/>
                <w:sz w:val="21"/>
                <w:szCs w:val="21"/>
              </w:rPr>
              <w:t xml:space="preserve">. Since 2021 the Group has returned approximately €400 </w:t>
            </w:r>
            <w:r w:rsidRPr="03E9C12C">
              <w:rPr>
                <w:rFonts w:cs="Arial"/>
                <w:sz w:val="21"/>
                <w:szCs w:val="21"/>
              </w:rPr>
              <w:t>m</w:t>
            </w:r>
            <w:r>
              <w:rPr>
                <w:rFonts w:cs="Arial"/>
                <w:sz w:val="21"/>
                <w:szCs w:val="21"/>
              </w:rPr>
              <w:t>illion to shareholders through a series of buybacks, resulting in an approximately 39% reduction in shares outstanding.</w:t>
            </w:r>
          </w:p>
          <w:p w14:paraId="3EA59DEF" w14:textId="77777777" w:rsidR="00ED4FB7" w:rsidRDefault="00ED4FB7" w:rsidP="003771D9">
            <w:pPr>
              <w:rPr>
                <w:rFonts w:cs="Arial"/>
                <w:b/>
                <w:bCs/>
                <w:sz w:val="24"/>
                <w:szCs w:val="24"/>
              </w:rPr>
            </w:pPr>
          </w:p>
          <w:p w14:paraId="72A8BB61" w14:textId="77777777" w:rsidR="00ED4FB7" w:rsidRPr="0011773E" w:rsidRDefault="00ED4FB7" w:rsidP="003771D9">
            <w:pPr>
              <w:ind w:left="-105" w:firstLine="105"/>
              <w:rPr>
                <w:rFonts w:cs="Arial"/>
                <w:b/>
                <w:bCs/>
                <w:sz w:val="24"/>
                <w:szCs w:val="24"/>
              </w:rPr>
            </w:pPr>
            <w:r w:rsidRPr="00947D13">
              <w:rPr>
                <w:rFonts w:cs="Arial"/>
                <w:b/>
                <w:bCs/>
                <w:sz w:val="24"/>
                <w:szCs w:val="24"/>
              </w:rPr>
              <w:t>Outlook</w:t>
            </w:r>
          </w:p>
          <w:p w14:paraId="4E29651C" w14:textId="77777777" w:rsidR="00ED4FB7" w:rsidRPr="0011773E" w:rsidRDefault="00ED4FB7" w:rsidP="00ED4FB7">
            <w:pPr>
              <w:pStyle w:val="ListParagraph"/>
              <w:numPr>
                <w:ilvl w:val="0"/>
                <w:numId w:val="43"/>
              </w:numPr>
              <w:spacing w:before="120"/>
              <w:rPr>
                <w:rFonts w:cs="Arial"/>
                <w:b/>
                <w:bCs/>
                <w:sz w:val="21"/>
                <w:szCs w:val="21"/>
              </w:rPr>
            </w:pPr>
            <w:r>
              <w:rPr>
                <w:rFonts w:cs="Arial"/>
                <w:sz w:val="21"/>
                <w:szCs w:val="21"/>
              </w:rPr>
              <w:t xml:space="preserve">Full year EPS </w:t>
            </w:r>
            <w:r w:rsidRPr="00E149E8">
              <w:rPr>
                <w:rFonts w:cs="Arial"/>
                <w:sz w:val="21"/>
                <w:szCs w:val="21"/>
              </w:rPr>
              <w:t>guidance of 19.5 cent</w:t>
            </w:r>
            <w:r>
              <w:rPr>
                <w:rFonts w:cs="Arial"/>
                <w:sz w:val="21"/>
                <w:szCs w:val="21"/>
              </w:rPr>
              <w:t xml:space="preserve"> reiterated.</w:t>
            </w:r>
          </w:p>
          <w:p w14:paraId="2518BA2A" w14:textId="77777777" w:rsidR="00ED4FB7" w:rsidRDefault="00ED4FB7" w:rsidP="00ED4FB7">
            <w:pPr>
              <w:pStyle w:val="ListParagraph"/>
              <w:numPr>
                <w:ilvl w:val="0"/>
                <w:numId w:val="43"/>
              </w:numPr>
              <w:spacing w:before="120"/>
              <w:contextualSpacing w:val="0"/>
              <w:rPr>
                <w:rFonts w:cs="Arial"/>
                <w:sz w:val="21"/>
                <w:szCs w:val="21"/>
              </w:rPr>
            </w:pPr>
            <w:r w:rsidRPr="00B44805">
              <w:rPr>
                <w:rFonts w:cs="Arial"/>
                <w:sz w:val="21"/>
                <w:szCs w:val="21"/>
              </w:rPr>
              <w:t>Continued confidence in delivering</w:t>
            </w:r>
            <w:r>
              <w:rPr>
                <w:rFonts w:cs="Arial"/>
                <w:sz w:val="21"/>
                <w:szCs w:val="21"/>
              </w:rPr>
              <w:t xml:space="preserve"> approximately</w:t>
            </w:r>
            <w:r w:rsidRPr="00B44805">
              <w:rPr>
                <w:rFonts w:cs="Arial"/>
                <w:sz w:val="21"/>
                <w:szCs w:val="21"/>
              </w:rPr>
              <w:t xml:space="preserve"> 1,500 Homebuilding units, approximately €400 million in Partnerships revenue, and total equivalent</w:t>
            </w:r>
            <w:r>
              <w:rPr>
                <w:rFonts w:cs="Arial"/>
                <w:i/>
                <w:iCs/>
                <w:sz w:val="18"/>
                <w:szCs w:val="18"/>
                <w:vertAlign w:val="superscript"/>
              </w:rPr>
              <w:t>1</w:t>
            </w:r>
            <w:r w:rsidRPr="00B44805">
              <w:rPr>
                <w:rFonts w:cs="Arial"/>
                <w:sz w:val="21"/>
                <w:szCs w:val="21"/>
              </w:rPr>
              <w:t xml:space="preserve"> home deliveries of </w:t>
            </w:r>
            <w:r w:rsidRPr="001C69ED">
              <w:rPr>
                <w:rFonts w:cs="Arial"/>
                <w:sz w:val="21"/>
                <w:szCs w:val="21"/>
              </w:rPr>
              <w:t>a</w:t>
            </w:r>
            <w:r w:rsidRPr="009B7942">
              <w:rPr>
                <w:rFonts w:cs="Arial"/>
              </w:rPr>
              <w:t>pproximately</w:t>
            </w:r>
            <w:r>
              <w:t xml:space="preserve"> </w:t>
            </w:r>
            <w:r w:rsidRPr="00B44805">
              <w:rPr>
                <w:rFonts w:cs="Arial"/>
                <w:sz w:val="21"/>
                <w:szCs w:val="21"/>
              </w:rPr>
              <w:t>2,600 units</w:t>
            </w:r>
            <w:r>
              <w:rPr>
                <w:rFonts w:cs="Arial"/>
                <w:sz w:val="21"/>
                <w:szCs w:val="21"/>
              </w:rPr>
              <w:t>.</w:t>
            </w:r>
          </w:p>
          <w:p w14:paraId="40AAB2AD" w14:textId="77777777" w:rsidR="00ED4FB7" w:rsidRDefault="00ED4FB7" w:rsidP="00ED4FB7">
            <w:pPr>
              <w:pStyle w:val="ListParagraph"/>
              <w:numPr>
                <w:ilvl w:val="0"/>
                <w:numId w:val="43"/>
              </w:numPr>
              <w:spacing w:before="120"/>
              <w:contextualSpacing w:val="0"/>
              <w:rPr>
                <w:rFonts w:cs="Arial"/>
                <w:sz w:val="21"/>
                <w:szCs w:val="21"/>
              </w:rPr>
            </w:pPr>
            <w:r>
              <w:rPr>
                <w:rFonts w:cs="Arial"/>
                <w:sz w:val="21"/>
                <w:szCs w:val="21"/>
              </w:rPr>
              <w:lastRenderedPageBreak/>
              <w:t>Intensive focus on capital efficiency to continue with the Group o</w:t>
            </w:r>
            <w:r w:rsidRPr="003F35D4">
              <w:rPr>
                <w:rFonts w:cs="Arial"/>
                <w:sz w:val="21"/>
                <w:szCs w:val="21"/>
              </w:rPr>
              <w:t>n track to complete €100m of land sales across 2025 and 2026</w:t>
            </w:r>
            <w:r>
              <w:rPr>
                <w:rFonts w:cs="Arial"/>
                <w:sz w:val="21"/>
                <w:szCs w:val="21"/>
              </w:rPr>
              <w:t xml:space="preserve">, aligned with optimising the Group’s land portfolio. </w:t>
            </w:r>
          </w:p>
          <w:p w14:paraId="6F957362" w14:textId="77777777" w:rsidR="00ED4FB7" w:rsidRDefault="00ED4FB7" w:rsidP="00ED4FB7">
            <w:pPr>
              <w:pStyle w:val="ListParagraph"/>
              <w:numPr>
                <w:ilvl w:val="0"/>
                <w:numId w:val="43"/>
              </w:numPr>
              <w:spacing w:before="120"/>
              <w:contextualSpacing w:val="0"/>
              <w:rPr>
                <w:rFonts w:cs="Arial"/>
                <w:sz w:val="21"/>
                <w:szCs w:val="21"/>
              </w:rPr>
            </w:pPr>
            <w:r>
              <w:rPr>
                <w:rFonts w:cs="Arial"/>
                <w:sz w:val="21"/>
                <w:szCs w:val="21"/>
              </w:rPr>
              <w:t>A</w:t>
            </w:r>
            <w:r w:rsidRPr="00F12867">
              <w:rPr>
                <w:rFonts w:cs="Arial"/>
                <w:sz w:val="21"/>
                <w:szCs w:val="21"/>
              </w:rPr>
              <w:t xml:space="preserve"> maturing pipeline of Partnership opportunities is expected to continue </w:t>
            </w:r>
            <w:r>
              <w:rPr>
                <w:rFonts w:cs="Arial"/>
                <w:sz w:val="21"/>
                <w:szCs w:val="21"/>
              </w:rPr>
              <w:t xml:space="preserve">to </w:t>
            </w:r>
            <w:r w:rsidRPr="00F12867">
              <w:rPr>
                <w:rFonts w:cs="Arial"/>
                <w:sz w:val="21"/>
                <w:szCs w:val="21"/>
              </w:rPr>
              <w:t xml:space="preserve">support </w:t>
            </w:r>
            <w:r>
              <w:rPr>
                <w:rFonts w:cs="Arial"/>
                <w:sz w:val="21"/>
                <w:szCs w:val="21"/>
              </w:rPr>
              <w:t>more than</w:t>
            </w:r>
            <w:r w:rsidRPr="00F12867">
              <w:rPr>
                <w:rFonts w:cs="Arial"/>
                <w:sz w:val="21"/>
                <w:szCs w:val="21"/>
              </w:rPr>
              <w:t xml:space="preserve"> €400 million in revenues over the medium term.</w:t>
            </w:r>
          </w:p>
          <w:p w14:paraId="53785CF4" w14:textId="77777777" w:rsidR="00ED4FB7" w:rsidRPr="00F12867" w:rsidRDefault="00ED4FB7" w:rsidP="00ED4FB7">
            <w:pPr>
              <w:pStyle w:val="ListParagraph"/>
              <w:numPr>
                <w:ilvl w:val="0"/>
                <w:numId w:val="43"/>
              </w:numPr>
              <w:spacing w:before="120"/>
              <w:contextualSpacing w:val="0"/>
              <w:rPr>
                <w:rFonts w:cs="Arial"/>
                <w:sz w:val="21"/>
                <w:szCs w:val="21"/>
              </w:rPr>
            </w:pPr>
            <w:r w:rsidRPr="00F12867">
              <w:rPr>
                <w:rFonts w:cs="Arial"/>
                <w:sz w:val="21"/>
                <w:szCs w:val="21"/>
              </w:rPr>
              <w:t>Revised National Planning Framework expected to have a material</w:t>
            </w:r>
            <w:r>
              <w:rPr>
                <w:rFonts w:cs="Arial"/>
                <w:sz w:val="21"/>
                <w:szCs w:val="21"/>
              </w:rPr>
              <w:t>,</w:t>
            </w:r>
            <w:r w:rsidRPr="00F12867">
              <w:rPr>
                <w:rFonts w:cs="Arial"/>
                <w:sz w:val="21"/>
                <w:szCs w:val="21"/>
              </w:rPr>
              <w:t xml:space="preserve"> positive impact on the Group’s strategic landbank, resulting in a lower capital deployment requirement in land </w:t>
            </w:r>
            <w:r>
              <w:rPr>
                <w:rFonts w:cs="Arial"/>
                <w:sz w:val="21"/>
                <w:szCs w:val="21"/>
              </w:rPr>
              <w:t>in future periods</w:t>
            </w:r>
            <w:r w:rsidRPr="00F12867">
              <w:rPr>
                <w:rFonts w:cs="Arial"/>
                <w:sz w:val="21"/>
                <w:szCs w:val="21"/>
              </w:rPr>
              <w:t xml:space="preserve">.   </w:t>
            </w:r>
          </w:p>
          <w:p w14:paraId="4B92DB46" w14:textId="77777777" w:rsidR="00ED4FB7" w:rsidRPr="00D448FF" w:rsidRDefault="00ED4FB7" w:rsidP="00ED4FB7">
            <w:pPr>
              <w:pStyle w:val="ListParagraph"/>
              <w:numPr>
                <w:ilvl w:val="0"/>
                <w:numId w:val="43"/>
              </w:numPr>
              <w:spacing w:before="120"/>
              <w:contextualSpacing w:val="0"/>
              <w:rPr>
                <w:rFonts w:cs="Arial"/>
                <w:sz w:val="21"/>
                <w:szCs w:val="21"/>
              </w:rPr>
            </w:pPr>
            <w:r>
              <w:rPr>
                <w:rFonts w:cs="Arial"/>
                <w:sz w:val="21"/>
                <w:szCs w:val="21"/>
              </w:rPr>
              <w:t>L</w:t>
            </w:r>
            <w:r w:rsidRPr="00232B42">
              <w:rPr>
                <w:rFonts w:cs="Arial"/>
                <w:sz w:val="21"/>
                <w:szCs w:val="21"/>
              </w:rPr>
              <w:t xml:space="preserve">andbank </w:t>
            </w:r>
            <w:r>
              <w:rPr>
                <w:rFonts w:cs="Arial"/>
                <w:sz w:val="21"/>
                <w:szCs w:val="21"/>
              </w:rPr>
              <w:t>continues to support</w:t>
            </w:r>
            <w:r w:rsidRPr="00232B42">
              <w:rPr>
                <w:rFonts w:cs="Arial"/>
                <w:sz w:val="21"/>
                <w:szCs w:val="21"/>
              </w:rPr>
              <w:t xml:space="preserve"> 2,600-3,600 equivalent</w:t>
            </w:r>
            <w:r w:rsidRPr="00891F34">
              <w:rPr>
                <w:rFonts w:cs="Arial"/>
                <w:sz w:val="21"/>
                <w:szCs w:val="21"/>
                <w:vertAlign w:val="superscript"/>
              </w:rPr>
              <w:t>1</w:t>
            </w:r>
            <w:r w:rsidRPr="00232B42">
              <w:rPr>
                <w:rFonts w:cs="Arial"/>
                <w:sz w:val="21"/>
                <w:szCs w:val="21"/>
              </w:rPr>
              <w:t xml:space="preserve"> units per annum through to 20</w:t>
            </w:r>
            <w:r>
              <w:rPr>
                <w:rFonts w:cs="Arial"/>
                <w:sz w:val="21"/>
                <w:szCs w:val="21"/>
              </w:rPr>
              <w:t>30</w:t>
            </w:r>
            <w:r w:rsidRPr="00232B42">
              <w:rPr>
                <w:rFonts w:cs="Arial"/>
                <w:sz w:val="21"/>
                <w:szCs w:val="21"/>
              </w:rPr>
              <w:t>,</w:t>
            </w:r>
            <w:r>
              <w:rPr>
                <w:rFonts w:cs="Arial"/>
                <w:sz w:val="21"/>
                <w:szCs w:val="21"/>
              </w:rPr>
              <w:t xml:space="preserve"> </w:t>
            </w:r>
            <w:r w:rsidRPr="00232B42">
              <w:rPr>
                <w:rFonts w:cs="Arial"/>
                <w:sz w:val="21"/>
                <w:szCs w:val="21"/>
              </w:rPr>
              <w:t xml:space="preserve">underpinning </w:t>
            </w:r>
            <w:r>
              <w:rPr>
                <w:rFonts w:cs="Arial"/>
                <w:sz w:val="21"/>
                <w:szCs w:val="21"/>
              </w:rPr>
              <w:t>the Group’s</w:t>
            </w:r>
            <w:r w:rsidRPr="00232B42">
              <w:rPr>
                <w:rFonts w:cs="Arial"/>
                <w:sz w:val="21"/>
                <w:szCs w:val="21"/>
              </w:rPr>
              <w:t xml:space="preserve"> medium-term delivery objectives</w:t>
            </w:r>
            <w:r>
              <w:rPr>
                <w:rFonts w:cs="Arial"/>
                <w:sz w:val="21"/>
                <w:szCs w:val="21"/>
              </w:rPr>
              <w:t>.</w:t>
            </w:r>
          </w:p>
          <w:p w14:paraId="5BF2F614" w14:textId="77777777" w:rsidR="00ED4FB7" w:rsidRPr="00A32227" w:rsidRDefault="00ED4FB7" w:rsidP="003771D9">
            <w:pPr>
              <w:rPr>
                <w:rFonts w:cs="Arial"/>
                <w:sz w:val="21"/>
                <w:szCs w:val="21"/>
              </w:rPr>
            </w:pPr>
          </w:p>
          <w:p w14:paraId="12D73B74" w14:textId="77777777" w:rsidR="00ED4FB7" w:rsidRDefault="00ED4FB7" w:rsidP="003771D9">
            <w:pPr>
              <w:ind w:left="-105" w:firstLine="105"/>
              <w:rPr>
                <w:rFonts w:cs="Arial"/>
                <w:b/>
                <w:bCs/>
              </w:rPr>
            </w:pPr>
            <w:r w:rsidRPr="00D11E11">
              <w:rPr>
                <w:rFonts w:cs="Arial"/>
                <w:b/>
                <w:bCs/>
              </w:rPr>
              <w:t>CEO S</w:t>
            </w:r>
            <w:r>
              <w:rPr>
                <w:rFonts w:cs="Arial"/>
                <w:b/>
                <w:bCs/>
              </w:rPr>
              <w:t>tephen Garvey commented</w:t>
            </w:r>
            <w:r w:rsidRPr="00D11E11">
              <w:rPr>
                <w:rFonts w:cs="Arial"/>
                <w:b/>
                <w:bCs/>
              </w:rPr>
              <w:t>:</w:t>
            </w:r>
          </w:p>
          <w:p w14:paraId="661090FA" w14:textId="77777777" w:rsidR="00ED4FB7" w:rsidRPr="00D11E11" w:rsidRDefault="00ED4FB7" w:rsidP="003771D9">
            <w:pPr>
              <w:ind w:left="-105" w:firstLine="105"/>
              <w:rPr>
                <w:rFonts w:cs="Arial"/>
                <w:b/>
                <w:bCs/>
              </w:rPr>
            </w:pPr>
          </w:p>
          <w:p w14:paraId="2496BDBC" w14:textId="77777777" w:rsidR="00ED4FB7" w:rsidRDefault="00ED4FB7" w:rsidP="003771D9">
            <w:pPr>
              <w:rPr>
                <w:rFonts w:cs="Arial"/>
                <w:i/>
                <w:iCs/>
                <w:sz w:val="21"/>
                <w:szCs w:val="21"/>
              </w:rPr>
            </w:pPr>
            <w:r>
              <w:rPr>
                <w:rFonts w:cs="Arial"/>
                <w:i/>
                <w:iCs/>
                <w:sz w:val="21"/>
                <w:szCs w:val="21"/>
              </w:rPr>
              <w:t>“The first half of this year</w:t>
            </w:r>
            <w:r w:rsidRPr="00B82D75">
              <w:rPr>
                <w:rFonts w:cs="Arial"/>
                <w:i/>
                <w:iCs/>
                <w:sz w:val="21"/>
                <w:szCs w:val="21"/>
              </w:rPr>
              <w:t xml:space="preserve"> marks another period of </w:t>
            </w:r>
            <w:r>
              <w:rPr>
                <w:rFonts w:cs="Arial"/>
                <w:i/>
                <w:iCs/>
                <w:sz w:val="21"/>
                <w:szCs w:val="21"/>
              </w:rPr>
              <w:t xml:space="preserve">successful </w:t>
            </w:r>
            <w:r w:rsidRPr="00B82D75">
              <w:rPr>
                <w:rFonts w:cs="Arial"/>
                <w:i/>
                <w:iCs/>
                <w:sz w:val="21"/>
                <w:szCs w:val="21"/>
              </w:rPr>
              <w:t xml:space="preserve">execution against </w:t>
            </w:r>
            <w:proofErr w:type="spellStart"/>
            <w:r w:rsidRPr="00B82D75">
              <w:rPr>
                <w:rFonts w:cs="Arial"/>
                <w:i/>
                <w:iCs/>
                <w:sz w:val="21"/>
                <w:szCs w:val="21"/>
              </w:rPr>
              <w:t>Glenveagh’s</w:t>
            </w:r>
            <w:proofErr w:type="spellEnd"/>
            <w:r w:rsidRPr="00E77BBE">
              <w:rPr>
                <w:rFonts w:cs="Arial"/>
                <w:i/>
                <w:iCs/>
                <w:sz w:val="21"/>
                <w:szCs w:val="21"/>
                <w:lang w:val="en-GB"/>
              </w:rPr>
              <w:t xml:space="preserve"> long-term strategy</w:t>
            </w:r>
            <w:r>
              <w:rPr>
                <w:rFonts w:cs="Arial"/>
                <w:i/>
                <w:iCs/>
                <w:sz w:val="21"/>
                <w:szCs w:val="21"/>
                <w:lang w:val="en-GB"/>
              </w:rPr>
              <w:t xml:space="preserve"> with a focus on</w:t>
            </w:r>
            <w:r w:rsidRPr="00E77BBE">
              <w:rPr>
                <w:rFonts w:cs="Arial"/>
                <w:i/>
                <w:iCs/>
                <w:sz w:val="21"/>
                <w:szCs w:val="21"/>
                <w:lang w:val="en-GB"/>
              </w:rPr>
              <w:t xml:space="preserve"> scaling delivery, deepening public-private partnerships, and enhancing operational efficiency through innovation.</w:t>
            </w:r>
            <w:r>
              <w:rPr>
                <w:rFonts w:cs="Arial"/>
                <w:i/>
                <w:iCs/>
                <w:sz w:val="21"/>
                <w:szCs w:val="21"/>
                <w:lang w:val="en-GB"/>
              </w:rPr>
              <w:t xml:space="preserve"> </w:t>
            </w:r>
            <w:r w:rsidRPr="007603D2">
              <w:rPr>
                <w:rFonts w:cs="Arial"/>
                <w:i/>
                <w:iCs/>
                <w:sz w:val="21"/>
                <w:szCs w:val="21"/>
              </w:rPr>
              <w:t>These strategic pillars continue to deliver the strong performance we expect</w:t>
            </w:r>
            <w:r>
              <w:rPr>
                <w:rFonts w:cs="Arial"/>
                <w:i/>
                <w:iCs/>
                <w:sz w:val="21"/>
                <w:szCs w:val="21"/>
              </w:rPr>
              <w:t xml:space="preserve"> – </w:t>
            </w:r>
            <w:r w:rsidRPr="003C6C36">
              <w:rPr>
                <w:rFonts w:cs="Arial"/>
                <w:i/>
                <w:iCs/>
                <w:sz w:val="21"/>
                <w:szCs w:val="21"/>
              </w:rPr>
              <w:t>with revenue, profitability and margin all in line with guidance</w:t>
            </w:r>
            <w:r>
              <w:rPr>
                <w:rFonts w:cs="Arial"/>
                <w:i/>
                <w:iCs/>
                <w:sz w:val="21"/>
                <w:szCs w:val="21"/>
              </w:rPr>
              <w:t xml:space="preserve"> – </w:t>
            </w:r>
            <w:r w:rsidRPr="003C6C36">
              <w:rPr>
                <w:rFonts w:cs="Arial"/>
                <w:i/>
                <w:iCs/>
                <w:sz w:val="21"/>
                <w:szCs w:val="21"/>
              </w:rPr>
              <w:t>while maintaining discipline in capital deploy</w:t>
            </w:r>
            <w:r>
              <w:rPr>
                <w:rFonts w:cs="Arial"/>
                <w:i/>
                <w:iCs/>
                <w:sz w:val="21"/>
                <w:szCs w:val="21"/>
              </w:rPr>
              <w:t>ment</w:t>
            </w:r>
            <w:r w:rsidRPr="003C6C36">
              <w:rPr>
                <w:rFonts w:cs="Arial"/>
                <w:i/>
                <w:iCs/>
                <w:sz w:val="21"/>
                <w:szCs w:val="21"/>
              </w:rPr>
              <w:t xml:space="preserve"> and risk manage</w:t>
            </w:r>
            <w:r>
              <w:rPr>
                <w:rFonts w:cs="Arial"/>
                <w:i/>
                <w:iCs/>
                <w:sz w:val="21"/>
                <w:szCs w:val="21"/>
              </w:rPr>
              <w:t>ment</w:t>
            </w:r>
            <w:r w:rsidRPr="003C6C36">
              <w:rPr>
                <w:rFonts w:cs="Arial"/>
                <w:i/>
                <w:iCs/>
                <w:sz w:val="21"/>
                <w:szCs w:val="21"/>
              </w:rPr>
              <w:t xml:space="preserve"> across the business.</w:t>
            </w:r>
          </w:p>
          <w:p w14:paraId="45F992E3" w14:textId="77777777" w:rsidR="00ED4FB7" w:rsidRDefault="00ED4FB7" w:rsidP="003771D9">
            <w:pPr>
              <w:rPr>
                <w:rFonts w:cs="Arial"/>
                <w:i/>
                <w:iCs/>
                <w:sz w:val="21"/>
                <w:szCs w:val="21"/>
              </w:rPr>
            </w:pPr>
          </w:p>
          <w:p w14:paraId="1284F425" w14:textId="77777777" w:rsidR="00ED4FB7" w:rsidRDefault="00ED4FB7" w:rsidP="003771D9">
            <w:pPr>
              <w:rPr>
                <w:rFonts w:cs="Arial"/>
                <w:i/>
                <w:iCs/>
                <w:sz w:val="21"/>
                <w:szCs w:val="21"/>
                <w:lang w:val="en-GB"/>
              </w:rPr>
            </w:pPr>
            <w:r w:rsidRPr="00550C72">
              <w:rPr>
                <w:rFonts w:cs="Arial"/>
                <w:i/>
                <w:iCs/>
                <w:sz w:val="21"/>
                <w:szCs w:val="21"/>
                <w:lang w:val="en-GB"/>
              </w:rPr>
              <w:t>Our vertically integrated model, landbank</w:t>
            </w:r>
            <w:r>
              <w:rPr>
                <w:rFonts w:cs="Arial"/>
                <w:i/>
                <w:iCs/>
                <w:sz w:val="21"/>
                <w:szCs w:val="21"/>
                <w:lang w:val="en-GB"/>
              </w:rPr>
              <w:t xml:space="preserve"> optimisation strategy a</w:t>
            </w:r>
            <w:r w:rsidRPr="00550C72">
              <w:rPr>
                <w:rFonts w:cs="Arial"/>
                <w:i/>
                <w:iCs/>
                <w:sz w:val="21"/>
                <w:szCs w:val="21"/>
                <w:lang w:val="en-GB"/>
              </w:rPr>
              <w:t xml:space="preserve">nd proven ability to deliver high-quality </w:t>
            </w:r>
            <w:r>
              <w:rPr>
                <w:rFonts w:cs="Arial"/>
                <w:i/>
                <w:iCs/>
                <w:sz w:val="21"/>
                <w:szCs w:val="21"/>
              </w:rPr>
              <w:t>affordable</w:t>
            </w:r>
            <w:r>
              <w:rPr>
                <w:rFonts w:cs="Arial"/>
                <w:i/>
                <w:iCs/>
                <w:sz w:val="21"/>
                <w:szCs w:val="21"/>
                <w:lang w:val="en-GB"/>
              </w:rPr>
              <w:t xml:space="preserve"> </w:t>
            </w:r>
            <w:r w:rsidRPr="00550C72">
              <w:rPr>
                <w:rFonts w:cs="Arial"/>
                <w:i/>
                <w:iCs/>
                <w:sz w:val="21"/>
                <w:szCs w:val="21"/>
                <w:lang w:val="en-GB"/>
              </w:rPr>
              <w:t>homes at scale continue to differentiate Glenveagh in the Irish market.</w:t>
            </w:r>
            <w:r>
              <w:rPr>
                <w:rFonts w:cs="Arial"/>
                <w:i/>
                <w:iCs/>
                <w:sz w:val="21"/>
                <w:szCs w:val="21"/>
                <w:lang w:val="en-GB"/>
              </w:rPr>
              <w:t xml:space="preserve">  </w:t>
            </w:r>
          </w:p>
          <w:p w14:paraId="1196F594" w14:textId="77777777" w:rsidR="00ED4FB7" w:rsidRDefault="00ED4FB7" w:rsidP="003771D9">
            <w:pPr>
              <w:rPr>
                <w:rFonts w:cs="Arial"/>
                <w:i/>
                <w:iCs/>
                <w:sz w:val="21"/>
                <w:szCs w:val="21"/>
                <w:lang w:val="en-GB"/>
              </w:rPr>
            </w:pPr>
          </w:p>
          <w:p w14:paraId="6757E2D7" w14:textId="77777777" w:rsidR="00ED4FB7" w:rsidRDefault="00ED4FB7" w:rsidP="003771D9">
            <w:pPr>
              <w:rPr>
                <w:rFonts w:cs="Arial"/>
                <w:i/>
                <w:iCs/>
                <w:sz w:val="21"/>
                <w:szCs w:val="21"/>
              </w:rPr>
            </w:pPr>
            <w:r w:rsidRPr="003C6C36">
              <w:rPr>
                <w:rFonts w:cs="Arial"/>
                <w:i/>
                <w:iCs/>
                <w:sz w:val="21"/>
                <w:szCs w:val="21"/>
              </w:rPr>
              <w:t>This is the first interim</w:t>
            </w:r>
            <w:r>
              <w:rPr>
                <w:rFonts w:cs="Arial"/>
                <w:i/>
                <w:iCs/>
                <w:sz w:val="21"/>
                <w:szCs w:val="21"/>
              </w:rPr>
              <w:t xml:space="preserve"> reporting</w:t>
            </w:r>
            <w:r w:rsidRPr="003C6C36">
              <w:rPr>
                <w:rFonts w:cs="Arial"/>
                <w:i/>
                <w:iCs/>
                <w:sz w:val="21"/>
                <w:szCs w:val="21"/>
              </w:rPr>
              <w:t xml:space="preserve"> period where our Partnerships segment</w:t>
            </w:r>
            <w:r>
              <w:rPr>
                <w:rFonts w:cs="Arial"/>
                <w:i/>
                <w:iCs/>
                <w:sz w:val="21"/>
                <w:szCs w:val="21"/>
              </w:rPr>
              <w:t xml:space="preserve"> has made a material contribution to Group profit,</w:t>
            </w:r>
            <w:r w:rsidRPr="003C6C36">
              <w:rPr>
                <w:rFonts w:cs="Arial"/>
                <w:i/>
                <w:iCs/>
                <w:sz w:val="21"/>
                <w:szCs w:val="21"/>
              </w:rPr>
              <w:t xml:space="preserve"> </w:t>
            </w:r>
            <w:r>
              <w:rPr>
                <w:rFonts w:cs="Arial"/>
                <w:i/>
                <w:iCs/>
                <w:sz w:val="21"/>
                <w:szCs w:val="21"/>
              </w:rPr>
              <w:t>reflecting</w:t>
            </w:r>
            <w:r w:rsidRPr="003C6C36">
              <w:rPr>
                <w:rFonts w:cs="Arial"/>
                <w:i/>
                <w:iCs/>
                <w:sz w:val="21"/>
                <w:szCs w:val="21"/>
              </w:rPr>
              <w:t xml:space="preserve"> the scale and </w:t>
            </w:r>
            <w:r>
              <w:rPr>
                <w:rFonts w:cs="Arial"/>
                <w:i/>
                <w:iCs/>
                <w:sz w:val="21"/>
                <w:szCs w:val="21"/>
              </w:rPr>
              <w:t>momentum</w:t>
            </w:r>
            <w:r w:rsidRPr="003C6C36">
              <w:rPr>
                <w:rFonts w:cs="Arial"/>
                <w:i/>
                <w:iCs/>
                <w:sz w:val="21"/>
                <w:szCs w:val="21"/>
              </w:rPr>
              <w:t xml:space="preserve"> now embedded in that part of the business. We </w:t>
            </w:r>
            <w:r>
              <w:rPr>
                <w:rFonts w:cs="Arial"/>
                <w:i/>
                <w:iCs/>
                <w:sz w:val="21"/>
                <w:szCs w:val="21"/>
              </w:rPr>
              <w:t xml:space="preserve">are an established partner of choice for the State and </w:t>
            </w:r>
            <w:r w:rsidRPr="003C6C36">
              <w:rPr>
                <w:rFonts w:cs="Arial"/>
                <w:i/>
                <w:iCs/>
                <w:sz w:val="21"/>
                <w:szCs w:val="21"/>
              </w:rPr>
              <w:t>continue to see strong demand and a growing pipeline of opportunities.</w:t>
            </w:r>
          </w:p>
          <w:p w14:paraId="31A63529" w14:textId="77777777" w:rsidR="00ED4FB7" w:rsidRDefault="00ED4FB7" w:rsidP="003771D9">
            <w:pPr>
              <w:rPr>
                <w:rFonts w:cs="Arial"/>
                <w:i/>
                <w:iCs/>
                <w:sz w:val="21"/>
                <w:szCs w:val="21"/>
              </w:rPr>
            </w:pPr>
          </w:p>
          <w:p w14:paraId="505244AE" w14:textId="77777777" w:rsidR="00ED4FB7" w:rsidRDefault="00ED4FB7" w:rsidP="003771D9">
            <w:pPr>
              <w:rPr>
                <w:rFonts w:cs="Arial"/>
                <w:i/>
                <w:iCs/>
                <w:sz w:val="21"/>
                <w:szCs w:val="21"/>
              </w:rPr>
            </w:pPr>
            <w:r>
              <w:rPr>
                <w:rFonts w:cs="Arial"/>
                <w:i/>
                <w:iCs/>
                <w:sz w:val="21"/>
                <w:szCs w:val="21"/>
                <w:lang w:val="en-GB"/>
              </w:rPr>
              <w:t>T</w:t>
            </w:r>
            <w:r w:rsidRPr="00970DF5">
              <w:rPr>
                <w:rFonts w:cs="Arial"/>
                <w:i/>
                <w:iCs/>
                <w:sz w:val="21"/>
                <w:szCs w:val="21"/>
                <w:lang w:val="en-GB"/>
              </w:rPr>
              <w:t xml:space="preserve">he benefits of our early investment in innovation and standardisation are also now visible in the </w:t>
            </w:r>
            <w:r>
              <w:rPr>
                <w:rFonts w:cs="Arial"/>
                <w:i/>
                <w:iCs/>
                <w:sz w:val="21"/>
                <w:szCs w:val="21"/>
                <w:lang w:val="en-GB"/>
              </w:rPr>
              <w:t xml:space="preserve">enhanced </w:t>
            </w:r>
            <w:r w:rsidRPr="00970DF5">
              <w:rPr>
                <w:rFonts w:cs="Arial"/>
                <w:i/>
                <w:iCs/>
                <w:sz w:val="21"/>
                <w:szCs w:val="21"/>
                <w:lang w:val="en-GB"/>
              </w:rPr>
              <w:t>margin profile. The advantages of our modern methods of construction are being felt across the two business segments</w:t>
            </w:r>
            <w:r>
              <w:rPr>
                <w:rFonts w:cs="Arial"/>
                <w:i/>
                <w:iCs/>
                <w:sz w:val="21"/>
                <w:szCs w:val="21"/>
                <w:lang w:val="en-GB"/>
              </w:rPr>
              <w:t>.</w:t>
            </w:r>
            <w:r w:rsidRPr="00970DF5">
              <w:rPr>
                <w:rFonts w:cs="Arial"/>
                <w:i/>
                <w:iCs/>
                <w:sz w:val="21"/>
                <w:szCs w:val="21"/>
                <w:lang w:val="en-GB"/>
              </w:rPr>
              <w:t xml:space="preserve"> </w:t>
            </w:r>
            <w:r>
              <w:rPr>
                <w:rFonts w:cs="Arial"/>
                <w:i/>
                <w:iCs/>
                <w:sz w:val="21"/>
                <w:szCs w:val="21"/>
                <w:lang w:val="en-GB"/>
              </w:rPr>
              <w:t>O</w:t>
            </w:r>
            <w:r w:rsidRPr="00970DF5">
              <w:rPr>
                <w:rFonts w:cs="Arial"/>
                <w:i/>
                <w:iCs/>
                <w:sz w:val="21"/>
                <w:szCs w:val="21"/>
                <w:lang w:val="en-GB"/>
              </w:rPr>
              <w:t xml:space="preserve">ur ongoing investment in </w:t>
            </w:r>
            <w:proofErr w:type="gramStart"/>
            <w:r w:rsidRPr="00970DF5">
              <w:rPr>
                <w:rFonts w:cs="Arial"/>
                <w:i/>
                <w:iCs/>
                <w:sz w:val="21"/>
                <w:szCs w:val="21"/>
                <w:lang w:val="en-GB"/>
              </w:rPr>
              <w:t>next-generation</w:t>
            </w:r>
            <w:proofErr w:type="gramEnd"/>
            <w:r w:rsidRPr="00970DF5">
              <w:rPr>
                <w:rFonts w:cs="Arial"/>
                <w:i/>
                <w:iCs/>
                <w:sz w:val="21"/>
                <w:szCs w:val="21"/>
                <w:lang w:val="en-GB"/>
              </w:rPr>
              <w:t xml:space="preserve"> building approaches </w:t>
            </w:r>
            <w:r>
              <w:rPr>
                <w:rFonts w:cs="Arial"/>
                <w:i/>
                <w:iCs/>
                <w:sz w:val="21"/>
                <w:szCs w:val="21"/>
                <w:lang w:val="en-GB"/>
              </w:rPr>
              <w:t>enables</w:t>
            </w:r>
            <w:r w:rsidRPr="00970DF5">
              <w:rPr>
                <w:rFonts w:cs="Arial"/>
                <w:i/>
                <w:iCs/>
                <w:sz w:val="21"/>
                <w:szCs w:val="21"/>
                <w:lang w:val="en-GB"/>
              </w:rPr>
              <w:t xml:space="preserve"> us to deliver greater affordability for customers</w:t>
            </w:r>
            <w:r>
              <w:rPr>
                <w:rFonts w:cs="Arial"/>
                <w:i/>
                <w:iCs/>
                <w:sz w:val="21"/>
                <w:szCs w:val="21"/>
                <w:lang w:val="en-GB"/>
              </w:rPr>
              <w:t xml:space="preserve"> and supports greater value creation for shareholders</w:t>
            </w:r>
            <w:r w:rsidRPr="00970DF5">
              <w:rPr>
                <w:rFonts w:cs="Arial"/>
                <w:i/>
                <w:iCs/>
                <w:sz w:val="21"/>
                <w:szCs w:val="21"/>
                <w:lang w:val="en-GB"/>
              </w:rPr>
              <w:t>.</w:t>
            </w:r>
          </w:p>
          <w:p w14:paraId="7F21986E" w14:textId="77777777" w:rsidR="00ED4FB7" w:rsidRPr="003C6C36" w:rsidRDefault="00ED4FB7" w:rsidP="003771D9">
            <w:pPr>
              <w:rPr>
                <w:rFonts w:cs="Arial"/>
                <w:i/>
                <w:iCs/>
                <w:sz w:val="21"/>
                <w:szCs w:val="21"/>
              </w:rPr>
            </w:pPr>
          </w:p>
          <w:p w14:paraId="46E1B044" w14:textId="77777777" w:rsidR="00ED4FB7" w:rsidRDefault="00ED4FB7" w:rsidP="003771D9">
            <w:pPr>
              <w:rPr>
                <w:rFonts w:cs="Arial"/>
                <w:i/>
                <w:iCs/>
                <w:sz w:val="21"/>
                <w:szCs w:val="21"/>
              </w:rPr>
            </w:pPr>
            <w:r w:rsidRPr="003C6C36">
              <w:rPr>
                <w:rFonts w:cs="Arial"/>
                <w:i/>
                <w:iCs/>
                <w:sz w:val="21"/>
                <w:szCs w:val="21"/>
              </w:rPr>
              <w:t xml:space="preserve">We’ve remained disciplined in how we manage capital. </w:t>
            </w:r>
            <w:r>
              <w:rPr>
                <w:rFonts w:cs="Arial"/>
                <w:i/>
                <w:iCs/>
                <w:sz w:val="21"/>
                <w:szCs w:val="21"/>
              </w:rPr>
              <w:t>Despite higher production levels, n</w:t>
            </w:r>
            <w:r w:rsidRPr="003C6C36">
              <w:rPr>
                <w:rFonts w:cs="Arial"/>
                <w:i/>
                <w:iCs/>
                <w:sz w:val="21"/>
                <w:szCs w:val="21"/>
              </w:rPr>
              <w:t>et debt is lower year-on-year, and we’ve continued to</w:t>
            </w:r>
            <w:r>
              <w:rPr>
                <w:rFonts w:cs="Arial"/>
                <w:i/>
                <w:iCs/>
                <w:sz w:val="21"/>
                <w:szCs w:val="21"/>
              </w:rPr>
              <w:t xml:space="preserve"> create additional value for shareholders via</w:t>
            </w:r>
            <w:r w:rsidRPr="003C6C36">
              <w:rPr>
                <w:rFonts w:cs="Arial"/>
                <w:i/>
                <w:iCs/>
                <w:sz w:val="21"/>
                <w:szCs w:val="21"/>
              </w:rPr>
              <w:t xml:space="preserve"> our buyback programme, a feature we expect to maintain.</w:t>
            </w:r>
          </w:p>
          <w:p w14:paraId="5B3407BA" w14:textId="77777777" w:rsidR="00ED4FB7" w:rsidRPr="003C6C36" w:rsidRDefault="00ED4FB7" w:rsidP="003771D9">
            <w:pPr>
              <w:ind w:left="-105" w:firstLine="105"/>
              <w:rPr>
                <w:rFonts w:cs="Arial"/>
                <w:i/>
                <w:iCs/>
                <w:sz w:val="21"/>
                <w:szCs w:val="21"/>
              </w:rPr>
            </w:pPr>
          </w:p>
          <w:p w14:paraId="76196167" w14:textId="77777777" w:rsidR="00ED4FB7" w:rsidRDefault="00ED4FB7" w:rsidP="003771D9">
            <w:pPr>
              <w:rPr>
                <w:rFonts w:cs="Arial"/>
                <w:i/>
                <w:iCs/>
                <w:sz w:val="21"/>
                <w:szCs w:val="21"/>
                <w:lang w:val="en-GB"/>
              </w:rPr>
            </w:pPr>
            <w:r w:rsidRPr="003C6C36">
              <w:rPr>
                <w:rFonts w:cs="Arial"/>
                <w:i/>
                <w:iCs/>
                <w:sz w:val="21"/>
                <w:szCs w:val="21"/>
              </w:rPr>
              <w:t xml:space="preserve">In </w:t>
            </w:r>
            <w:r>
              <w:rPr>
                <w:rFonts w:cs="Arial"/>
                <w:i/>
                <w:iCs/>
                <w:sz w:val="21"/>
                <w:szCs w:val="21"/>
              </w:rPr>
              <w:t>July</w:t>
            </w:r>
            <w:r w:rsidRPr="003C6C36">
              <w:rPr>
                <w:rFonts w:cs="Arial"/>
                <w:i/>
                <w:iCs/>
                <w:sz w:val="21"/>
                <w:szCs w:val="21"/>
              </w:rPr>
              <w:t>, we welcomed the publication of the National Development Plan and the renewed focus on infrastructure and planning reform. These are critical enablers of housing delivery. A policy environment that supports viability, accelerates delivery and attracts private capital will be essential to meeting Ireland’s housing needs.</w:t>
            </w:r>
            <w:r w:rsidRPr="009A4750">
              <w:rPr>
                <w:rFonts w:ascii="Segoe UI" w:eastAsiaTheme="minorEastAsia" w:hAnsi="Segoe UI" w:cs="Segoe UI"/>
                <w:i/>
                <w:iCs/>
                <w:color w:val="424242"/>
                <w:sz w:val="24"/>
                <w:szCs w:val="24"/>
                <w:shd w:val="clear" w:color="auto" w:fill="FAFAFA"/>
                <w:lang w:val="en-GB" w:eastAsia="ja-JP"/>
              </w:rPr>
              <w:t xml:space="preserve"> </w:t>
            </w:r>
            <w:r w:rsidRPr="00D63DB4">
              <w:rPr>
                <w:rFonts w:cs="Arial"/>
                <w:i/>
                <w:iCs/>
                <w:sz w:val="21"/>
                <w:szCs w:val="21"/>
                <w:lang w:val="en-GB"/>
              </w:rPr>
              <w:t xml:space="preserve">In parallel, positive policy developments </w:t>
            </w:r>
            <w:r>
              <w:rPr>
                <w:rFonts w:cs="Arial"/>
                <w:i/>
                <w:iCs/>
                <w:sz w:val="21"/>
                <w:szCs w:val="21"/>
                <w:lang w:val="en-GB"/>
              </w:rPr>
              <w:t>– i</w:t>
            </w:r>
            <w:r w:rsidRPr="00D63DB4">
              <w:rPr>
                <w:rFonts w:cs="Arial"/>
                <w:i/>
                <w:iCs/>
                <w:sz w:val="21"/>
                <w:szCs w:val="21"/>
                <w:lang w:val="en-GB"/>
              </w:rPr>
              <w:t xml:space="preserve">ncluding updates to rent regulation and apartment standards </w:t>
            </w:r>
            <w:r>
              <w:rPr>
                <w:rFonts w:cs="Arial"/>
                <w:i/>
                <w:iCs/>
                <w:sz w:val="21"/>
                <w:szCs w:val="21"/>
                <w:lang w:val="en-GB"/>
              </w:rPr>
              <w:t>–</w:t>
            </w:r>
            <w:r w:rsidRPr="00D63DB4">
              <w:rPr>
                <w:rFonts w:cs="Arial"/>
                <w:i/>
                <w:iCs/>
                <w:sz w:val="21"/>
                <w:szCs w:val="21"/>
                <w:lang w:val="en-GB"/>
              </w:rPr>
              <w:t xml:space="preserve"> further strengthen the </w:t>
            </w:r>
            <w:r>
              <w:rPr>
                <w:rFonts w:cs="Arial"/>
                <w:i/>
                <w:iCs/>
                <w:sz w:val="21"/>
                <w:szCs w:val="21"/>
                <w:lang w:val="en-GB"/>
              </w:rPr>
              <w:t>prospects for increasing housing output in Ireland</w:t>
            </w:r>
            <w:r w:rsidRPr="00D63DB4">
              <w:rPr>
                <w:rFonts w:cs="Arial"/>
                <w:i/>
                <w:iCs/>
                <w:sz w:val="21"/>
                <w:szCs w:val="21"/>
                <w:lang w:val="en-GB"/>
              </w:rPr>
              <w:t xml:space="preserve">. </w:t>
            </w:r>
          </w:p>
          <w:p w14:paraId="46BAAFC4" w14:textId="77777777" w:rsidR="00ED4FB7" w:rsidRDefault="00ED4FB7" w:rsidP="003771D9">
            <w:pPr>
              <w:rPr>
                <w:rFonts w:cs="Arial"/>
                <w:i/>
                <w:iCs/>
                <w:sz w:val="21"/>
                <w:szCs w:val="21"/>
                <w:lang w:val="en-GB"/>
              </w:rPr>
            </w:pPr>
          </w:p>
          <w:p w14:paraId="02F5DC15" w14:textId="77777777" w:rsidR="00ED4FB7" w:rsidRDefault="00ED4FB7" w:rsidP="003771D9">
            <w:pPr>
              <w:rPr>
                <w:rFonts w:cs="Arial"/>
                <w:i/>
                <w:iCs/>
                <w:sz w:val="21"/>
                <w:szCs w:val="21"/>
              </w:rPr>
            </w:pPr>
            <w:r w:rsidRPr="00D63DB4">
              <w:rPr>
                <w:rFonts w:cs="Arial"/>
                <w:i/>
                <w:iCs/>
                <w:sz w:val="21"/>
                <w:szCs w:val="21"/>
                <w:lang w:val="en-GB"/>
              </w:rPr>
              <w:t xml:space="preserve">Against this backdrop, </w:t>
            </w:r>
            <w:r>
              <w:rPr>
                <w:rFonts w:cs="Arial"/>
                <w:i/>
                <w:iCs/>
                <w:sz w:val="21"/>
                <w:szCs w:val="21"/>
                <w:lang w:val="en-GB"/>
              </w:rPr>
              <w:t>we are</w:t>
            </w:r>
            <w:r w:rsidRPr="00D63DB4">
              <w:rPr>
                <w:rFonts w:cs="Arial"/>
                <w:i/>
                <w:iCs/>
                <w:sz w:val="21"/>
                <w:szCs w:val="21"/>
                <w:lang w:val="en-GB"/>
              </w:rPr>
              <w:t xml:space="preserve"> </w:t>
            </w:r>
            <w:r>
              <w:rPr>
                <w:rFonts w:cs="Arial"/>
                <w:i/>
                <w:iCs/>
                <w:sz w:val="21"/>
                <w:szCs w:val="21"/>
                <w:lang w:val="en-GB"/>
              </w:rPr>
              <w:t>uniquely</w:t>
            </w:r>
            <w:r w:rsidRPr="00D63DB4">
              <w:rPr>
                <w:rFonts w:cs="Arial"/>
                <w:i/>
                <w:iCs/>
                <w:sz w:val="21"/>
                <w:szCs w:val="21"/>
                <w:lang w:val="en-GB"/>
              </w:rPr>
              <w:t xml:space="preserve"> positioned</w:t>
            </w:r>
            <w:r>
              <w:rPr>
                <w:rFonts w:cs="Arial"/>
                <w:i/>
                <w:iCs/>
                <w:sz w:val="21"/>
                <w:szCs w:val="21"/>
                <w:lang w:val="en-GB"/>
              </w:rPr>
              <w:t>, w</w:t>
            </w:r>
            <w:proofErr w:type="spellStart"/>
            <w:r w:rsidRPr="00B35B35">
              <w:rPr>
                <w:rFonts w:cs="Arial"/>
                <w:i/>
                <w:iCs/>
                <w:sz w:val="21"/>
                <w:szCs w:val="21"/>
              </w:rPr>
              <w:t>ith</w:t>
            </w:r>
            <w:proofErr w:type="spellEnd"/>
            <w:r w:rsidRPr="00B35B35">
              <w:rPr>
                <w:rFonts w:cs="Arial"/>
                <w:i/>
                <w:iCs/>
                <w:sz w:val="21"/>
                <w:szCs w:val="21"/>
              </w:rPr>
              <w:t xml:space="preserve"> strong visibility on future delivery both for the balance of this year and future years</w:t>
            </w:r>
            <w:r>
              <w:rPr>
                <w:rFonts w:cs="Arial"/>
                <w:i/>
                <w:iCs/>
                <w:sz w:val="21"/>
                <w:szCs w:val="21"/>
              </w:rPr>
              <w:t>,</w:t>
            </w:r>
            <w:r w:rsidRPr="00B35B35">
              <w:rPr>
                <w:rFonts w:cs="Arial"/>
                <w:i/>
                <w:iCs/>
                <w:sz w:val="21"/>
                <w:szCs w:val="21"/>
              </w:rPr>
              <w:t xml:space="preserve"> and we remain confident in our ability to deliver sustainable value creation.</w:t>
            </w:r>
            <w:r>
              <w:rPr>
                <w:rFonts w:cs="Arial"/>
                <w:i/>
                <w:iCs/>
                <w:sz w:val="21"/>
                <w:szCs w:val="21"/>
              </w:rPr>
              <w:t>”</w:t>
            </w:r>
          </w:p>
          <w:p w14:paraId="2D08B7FE" w14:textId="77777777" w:rsidR="00ED4FB7" w:rsidRDefault="00ED4FB7" w:rsidP="003771D9">
            <w:pPr>
              <w:rPr>
                <w:rFonts w:cs="Arial"/>
                <w:i/>
                <w:iCs/>
                <w:sz w:val="21"/>
                <w:szCs w:val="21"/>
              </w:rPr>
            </w:pPr>
          </w:p>
          <w:p w14:paraId="4287651D" w14:textId="77777777" w:rsidR="00ED4FB7" w:rsidRDefault="00ED4FB7" w:rsidP="003771D9">
            <w:pPr>
              <w:rPr>
                <w:rFonts w:cs="Arial"/>
                <w:b/>
                <w:bCs/>
              </w:rPr>
            </w:pPr>
          </w:p>
          <w:p w14:paraId="5F3EF235" w14:textId="77777777" w:rsidR="00ED4FB7" w:rsidRDefault="00ED4FB7" w:rsidP="003771D9">
            <w:pPr>
              <w:ind w:left="-105"/>
              <w:rPr>
                <w:rFonts w:cs="Arial"/>
                <w:b/>
                <w:bCs/>
              </w:rPr>
            </w:pPr>
            <w:r w:rsidRPr="00C54302">
              <w:rPr>
                <w:rFonts w:cs="Arial"/>
                <w:b/>
                <w:bCs/>
              </w:rPr>
              <w:t>ENDS</w:t>
            </w:r>
          </w:p>
          <w:p w14:paraId="0CDED1F2" w14:textId="77777777" w:rsidR="00ED4FB7" w:rsidRDefault="00ED4FB7" w:rsidP="003771D9">
            <w:pPr>
              <w:ind w:left="-105"/>
              <w:rPr>
                <w:rFonts w:cs="Arial"/>
                <w:b/>
                <w:bCs/>
              </w:rPr>
            </w:pPr>
          </w:p>
          <w:p w14:paraId="5B28D999" w14:textId="77777777" w:rsidR="00ED4FB7" w:rsidRPr="00A32227" w:rsidRDefault="00ED4FB7" w:rsidP="003771D9">
            <w:pPr>
              <w:rPr>
                <w:rFonts w:cs="Arial"/>
                <w:sz w:val="21"/>
                <w:szCs w:val="21"/>
              </w:rPr>
            </w:pPr>
          </w:p>
        </w:tc>
      </w:tr>
      <w:tr w:rsidR="00ED4FB7" w:rsidRPr="00C54302" w14:paraId="23E6B45B" w14:textId="77777777" w:rsidTr="003771D9">
        <w:trPr>
          <w:trHeight w:val="130"/>
        </w:trPr>
        <w:tc>
          <w:tcPr>
            <w:tcW w:w="9500" w:type="dxa"/>
            <w:tcBorders>
              <w:top w:val="nil"/>
              <w:left w:val="nil"/>
              <w:bottom w:val="nil"/>
              <w:right w:val="nil"/>
            </w:tcBorders>
            <w:vAlign w:val="center"/>
          </w:tcPr>
          <w:p w14:paraId="6C8E2322" w14:textId="77777777" w:rsidR="00ED4FB7" w:rsidRPr="0050392E" w:rsidRDefault="00ED4FB7" w:rsidP="003771D9">
            <w:pPr>
              <w:rPr>
                <w:rFonts w:cs="Arial"/>
                <w:b/>
                <w:bCs/>
              </w:rPr>
            </w:pPr>
          </w:p>
        </w:tc>
      </w:tr>
    </w:tbl>
    <w:p w14:paraId="37CBCDC9" w14:textId="77777777" w:rsidR="00935979" w:rsidRDefault="00935979" w:rsidP="00ED4FB7">
      <w:pPr>
        <w:rPr>
          <w:rFonts w:cs="Arial"/>
          <w:b/>
          <w:bCs/>
        </w:rPr>
      </w:pPr>
    </w:p>
    <w:p w14:paraId="37AC2F16" w14:textId="77777777" w:rsidR="00EC00BC" w:rsidRDefault="00EC00BC" w:rsidP="00ED4FB7">
      <w:pPr>
        <w:rPr>
          <w:rFonts w:cs="Arial"/>
          <w:b/>
          <w:bCs/>
        </w:rPr>
      </w:pPr>
    </w:p>
    <w:p w14:paraId="64A1DB33" w14:textId="7D296247" w:rsidR="00ED4FB7" w:rsidRDefault="00ED4FB7" w:rsidP="00ED4FB7">
      <w:pPr>
        <w:rPr>
          <w:rFonts w:cs="Arial"/>
          <w:b/>
          <w:bCs/>
        </w:rPr>
      </w:pPr>
      <w:r w:rsidRPr="00C54302">
        <w:rPr>
          <w:rFonts w:cs="Arial"/>
          <w:b/>
          <w:bCs/>
        </w:rPr>
        <w:lastRenderedPageBreak/>
        <w:t>Results presentation</w:t>
      </w:r>
    </w:p>
    <w:p w14:paraId="1380D064" w14:textId="77777777" w:rsidR="00935979" w:rsidRPr="00C54302" w:rsidRDefault="00935979" w:rsidP="00ED4FB7">
      <w:pPr>
        <w:rPr>
          <w:rFonts w:cs="Arial"/>
          <w:b/>
          <w:bCs/>
        </w:rPr>
      </w:pPr>
    </w:p>
    <w:p w14:paraId="3063330E" w14:textId="77777777" w:rsidR="00ED4FB7" w:rsidRDefault="00ED4FB7" w:rsidP="00ED4FB7">
      <w:pPr>
        <w:rPr>
          <w:rFonts w:cs="Arial"/>
          <w:sz w:val="21"/>
          <w:szCs w:val="21"/>
        </w:rPr>
      </w:pPr>
      <w:r w:rsidRPr="00CC5834">
        <w:rPr>
          <w:rFonts w:cs="Arial"/>
          <w:sz w:val="21"/>
          <w:szCs w:val="21"/>
        </w:rPr>
        <w:t xml:space="preserve">A webcast presentation of the results for analysts and institutional investors will take place at 8.30am on 25 September 2025. The presentation will be available on the “Investor Centre” section on </w:t>
      </w:r>
      <w:hyperlink r:id="rId15" w:history="1">
        <w:r w:rsidRPr="00CC5834">
          <w:rPr>
            <w:rStyle w:val="Hyperlink"/>
            <w:rFonts w:cs="Arial"/>
            <w:sz w:val="21"/>
            <w:szCs w:val="21"/>
          </w:rPr>
          <w:t>www.glenveagh.ie</w:t>
        </w:r>
      </w:hyperlink>
      <w:r w:rsidRPr="00CC5834">
        <w:rPr>
          <w:rFonts w:cs="Arial"/>
          <w:sz w:val="21"/>
          <w:szCs w:val="21"/>
        </w:rPr>
        <w:t xml:space="preserve"> from 7.00am on 25 September 2025.</w:t>
      </w:r>
    </w:p>
    <w:p w14:paraId="28F05EA2" w14:textId="77777777" w:rsidR="00935979" w:rsidRPr="00CC5834" w:rsidRDefault="00935979" w:rsidP="00ED4FB7">
      <w:pPr>
        <w:rPr>
          <w:rFonts w:cs="Arial"/>
          <w:sz w:val="21"/>
          <w:szCs w:val="21"/>
        </w:rPr>
      </w:pPr>
    </w:p>
    <w:p w14:paraId="10260571" w14:textId="77777777" w:rsidR="00E536F0" w:rsidRDefault="00ED4FB7" w:rsidP="00ED4FB7">
      <w:pPr>
        <w:rPr>
          <w:rFonts w:cs="Arial"/>
          <w:sz w:val="21"/>
          <w:szCs w:val="21"/>
        </w:rPr>
      </w:pPr>
      <w:r w:rsidRPr="00CC5834">
        <w:rPr>
          <w:rFonts w:cs="Arial"/>
          <w:sz w:val="21"/>
          <w:szCs w:val="21"/>
        </w:rPr>
        <w:t>The presentation can also be accessed live from the Investor Centre section on</w:t>
      </w:r>
      <w:r>
        <w:rPr>
          <w:rFonts w:cs="Arial"/>
          <w:sz w:val="21"/>
          <w:szCs w:val="21"/>
        </w:rPr>
        <w:t xml:space="preserve"> </w:t>
      </w:r>
      <w:hyperlink r:id="rId16" w:history="1">
        <w:r w:rsidRPr="00720EC2">
          <w:rPr>
            <w:rStyle w:val="Hyperlink"/>
            <w:rFonts w:cs="Arial"/>
            <w:sz w:val="21"/>
            <w:szCs w:val="21"/>
          </w:rPr>
          <w:t>www.glenveagh.ie</w:t>
        </w:r>
      </w:hyperlink>
      <w:r w:rsidRPr="00CC5834">
        <w:rPr>
          <w:rFonts w:cs="Arial"/>
          <w:sz w:val="21"/>
          <w:szCs w:val="21"/>
        </w:rPr>
        <w:t xml:space="preserve"> or alternatively via conference call.</w:t>
      </w:r>
    </w:p>
    <w:p w14:paraId="68AA7FC4" w14:textId="5438551C" w:rsidR="00ED4FB7" w:rsidRPr="00CC5834" w:rsidRDefault="00ED4FB7" w:rsidP="00ED4FB7">
      <w:pPr>
        <w:rPr>
          <w:rFonts w:cs="Arial"/>
          <w:sz w:val="21"/>
          <w:szCs w:val="21"/>
        </w:rPr>
      </w:pPr>
      <w:r w:rsidRPr="00CC5834">
        <w:rPr>
          <w:rFonts w:cs="Arial"/>
          <w:sz w:val="21"/>
          <w:szCs w:val="21"/>
        </w:rPr>
        <w:t xml:space="preserve"> </w:t>
      </w:r>
    </w:p>
    <w:p w14:paraId="6FF480AE" w14:textId="77777777" w:rsidR="00ED4FB7" w:rsidRDefault="00ED4FB7" w:rsidP="00ED4FB7">
      <w:r w:rsidRPr="00CC5834">
        <w:rPr>
          <w:rFonts w:cs="Arial"/>
          <w:sz w:val="21"/>
          <w:szCs w:val="21"/>
        </w:rPr>
        <w:t xml:space="preserve">Conference call: </w:t>
      </w:r>
      <w:hyperlink r:id="rId17" w:history="1">
        <w:r w:rsidRPr="005C2000">
          <w:rPr>
            <w:rStyle w:val="Hyperlink"/>
            <w:rFonts w:cs="Arial"/>
            <w:sz w:val="21"/>
            <w:szCs w:val="21"/>
          </w:rPr>
          <w:t>Click here to register for conference call</w:t>
        </w:r>
      </w:hyperlink>
    </w:p>
    <w:p w14:paraId="557EB396" w14:textId="77777777" w:rsidR="00E536F0" w:rsidRPr="00CC5834" w:rsidRDefault="00E536F0" w:rsidP="00ED4FB7">
      <w:pPr>
        <w:rPr>
          <w:rFonts w:cs="Arial"/>
          <w:sz w:val="21"/>
          <w:szCs w:val="21"/>
        </w:rPr>
      </w:pPr>
    </w:p>
    <w:p w14:paraId="6C594570" w14:textId="77777777" w:rsidR="00E536F0" w:rsidRDefault="00ED4FB7" w:rsidP="00ED4FB7">
      <w:r w:rsidRPr="00CC5834">
        <w:rPr>
          <w:rFonts w:cs="Arial"/>
          <w:sz w:val="21"/>
          <w:szCs w:val="21"/>
        </w:rPr>
        <w:t xml:space="preserve">Audio webcast: </w:t>
      </w:r>
      <w:hyperlink r:id="rId18" w:history="1">
        <w:r w:rsidRPr="008B50AA">
          <w:rPr>
            <w:rStyle w:val="Hyperlink"/>
            <w:rFonts w:cs="Arial"/>
            <w:sz w:val="21"/>
            <w:szCs w:val="21"/>
          </w:rPr>
          <w:t>Click here for the webcast</w:t>
        </w:r>
      </w:hyperlink>
    </w:p>
    <w:p w14:paraId="11F9846E" w14:textId="78BC56C2" w:rsidR="00ED4FB7" w:rsidRPr="00CC5834" w:rsidRDefault="00ED4FB7" w:rsidP="00ED4FB7">
      <w:pPr>
        <w:rPr>
          <w:rFonts w:cs="Arial"/>
          <w:sz w:val="21"/>
          <w:szCs w:val="21"/>
        </w:rPr>
      </w:pPr>
      <w:r w:rsidRPr="00CC5834">
        <w:rPr>
          <w:rFonts w:cs="Arial"/>
          <w:sz w:val="21"/>
          <w:szCs w:val="21"/>
        </w:rPr>
        <w:t xml:space="preserve"> </w:t>
      </w:r>
    </w:p>
    <w:p w14:paraId="2C5A351F" w14:textId="77777777" w:rsidR="00ED4FB7" w:rsidRPr="00455E60" w:rsidRDefault="00ED4FB7" w:rsidP="00ED4FB7">
      <w:pPr>
        <w:pStyle w:val="paragraph"/>
        <w:spacing w:before="0" w:beforeAutospacing="0" w:after="0" w:afterAutospacing="0"/>
        <w:textAlignment w:val="baseline"/>
        <w:rPr>
          <w:rFonts w:ascii="Arial" w:eastAsiaTheme="minorEastAsia" w:hAnsi="Arial" w:cs="Arial"/>
          <w:sz w:val="21"/>
          <w:szCs w:val="21"/>
        </w:rPr>
      </w:pPr>
      <w:r w:rsidRPr="00455E60">
        <w:rPr>
          <w:rStyle w:val="normaltextrun"/>
          <w:rFonts w:ascii="Arial" w:eastAsiaTheme="minorEastAsia" w:hAnsi="Arial" w:cs="Arial"/>
          <w:b/>
          <w:bCs/>
          <w:sz w:val="21"/>
          <w:szCs w:val="21"/>
          <w:lang w:val="en-GB"/>
        </w:rPr>
        <w:t>For further information please contact:</w:t>
      </w:r>
      <w:r w:rsidRPr="00455E60">
        <w:rPr>
          <w:rStyle w:val="eop"/>
          <w:rFonts w:ascii="Arial" w:eastAsiaTheme="minorEastAsia" w:hAnsi="Arial" w:cs="Arial"/>
          <w:sz w:val="21"/>
          <w:szCs w:val="21"/>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ED4FB7" w:rsidRPr="00C54302" w14:paraId="1F495CA5" w14:textId="77777777" w:rsidTr="003771D9">
        <w:trPr>
          <w:trHeight w:val="300"/>
        </w:trPr>
        <w:tc>
          <w:tcPr>
            <w:tcW w:w="4500" w:type="dxa"/>
            <w:tcBorders>
              <w:top w:val="single" w:sz="6" w:space="0" w:color="auto"/>
              <w:left w:val="single" w:sz="6" w:space="0" w:color="auto"/>
              <w:bottom w:val="single" w:sz="6" w:space="0" w:color="auto"/>
              <w:right w:val="single" w:sz="6" w:space="0" w:color="auto"/>
            </w:tcBorders>
            <w:hideMark/>
          </w:tcPr>
          <w:p w14:paraId="1BB4B2D7" w14:textId="77777777" w:rsidR="00ED4FB7" w:rsidRPr="00455E60" w:rsidRDefault="00ED4FB7" w:rsidP="003771D9">
            <w:pPr>
              <w:pStyle w:val="paragraph"/>
              <w:spacing w:before="0" w:beforeAutospacing="0" w:after="0" w:afterAutospacing="0"/>
              <w:ind w:left="129"/>
              <w:textAlignment w:val="baseline"/>
              <w:rPr>
                <w:rFonts w:ascii="Arial" w:eastAsiaTheme="minorEastAsia" w:hAnsi="Arial" w:cs="Arial"/>
                <w:sz w:val="21"/>
                <w:szCs w:val="21"/>
              </w:rPr>
            </w:pPr>
            <w:r w:rsidRPr="00455E60">
              <w:rPr>
                <w:rStyle w:val="normaltextrun"/>
                <w:rFonts w:ascii="Arial" w:eastAsiaTheme="minorEastAsia" w:hAnsi="Arial" w:cs="Arial"/>
                <w:b/>
                <w:bCs/>
                <w:sz w:val="21"/>
                <w:szCs w:val="21"/>
                <w:lang w:val="en-GB"/>
              </w:rPr>
              <w:t>Investors:</w:t>
            </w:r>
            <w:r w:rsidRPr="00455E60">
              <w:rPr>
                <w:rStyle w:val="eop"/>
                <w:rFonts w:ascii="Arial" w:eastAsiaTheme="minorEastAsia" w:hAnsi="Arial" w:cs="Arial"/>
                <w:sz w:val="21"/>
                <w:szCs w:val="21"/>
              </w:rPr>
              <w:t> </w:t>
            </w:r>
          </w:p>
        </w:tc>
        <w:tc>
          <w:tcPr>
            <w:tcW w:w="4500" w:type="dxa"/>
            <w:tcBorders>
              <w:top w:val="single" w:sz="6" w:space="0" w:color="auto"/>
              <w:left w:val="single" w:sz="6" w:space="0" w:color="auto"/>
              <w:bottom w:val="single" w:sz="6" w:space="0" w:color="auto"/>
              <w:right w:val="single" w:sz="6" w:space="0" w:color="auto"/>
            </w:tcBorders>
            <w:hideMark/>
          </w:tcPr>
          <w:p w14:paraId="7E3DAE01" w14:textId="77777777" w:rsidR="00ED4FB7" w:rsidRPr="00455E60" w:rsidRDefault="00ED4FB7" w:rsidP="003771D9">
            <w:pPr>
              <w:pStyle w:val="paragraph"/>
              <w:spacing w:before="0" w:beforeAutospacing="0" w:after="0" w:afterAutospacing="0"/>
              <w:ind w:left="164"/>
              <w:textAlignment w:val="baseline"/>
              <w:rPr>
                <w:rFonts w:ascii="Arial" w:eastAsiaTheme="minorEastAsia" w:hAnsi="Arial" w:cs="Arial"/>
                <w:sz w:val="21"/>
                <w:szCs w:val="21"/>
              </w:rPr>
            </w:pPr>
            <w:r w:rsidRPr="00455E60">
              <w:rPr>
                <w:rStyle w:val="normaltextrun"/>
                <w:rFonts w:ascii="Arial" w:eastAsiaTheme="minorEastAsia" w:hAnsi="Arial" w:cs="Arial"/>
                <w:b/>
                <w:bCs/>
                <w:sz w:val="21"/>
                <w:szCs w:val="21"/>
                <w:lang w:val="en-GB"/>
              </w:rPr>
              <w:t>Media:</w:t>
            </w:r>
            <w:r w:rsidRPr="00455E60">
              <w:rPr>
                <w:rStyle w:val="eop"/>
                <w:rFonts w:ascii="Arial" w:eastAsiaTheme="minorEastAsia" w:hAnsi="Arial" w:cs="Arial"/>
                <w:sz w:val="21"/>
                <w:szCs w:val="21"/>
              </w:rPr>
              <w:t> </w:t>
            </w:r>
          </w:p>
        </w:tc>
      </w:tr>
      <w:tr w:rsidR="00ED4FB7" w:rsidRPr="00C54302" w14:paraId="6C84102B" w14:textId="77777777" w:rsidTr="003771D9">
        <w:trPr>
          <w:trHeight w:val="2488"/>
        </w:trPr>
        <w:tc>
          <w:tcPr>
            <w:tcW w:w="4500" w:type="dxa"/>
            <w:tcBorders>
              <w:top w:val="single" w:sz="6" w:space="0" w:color="auto"/>
              <w:left w:val="single" w:sz="6" w:space="0" w:color="auto"/>
              <w:bottom w:val="single" w:sz="6" w:space="0" w:color="auto"/>
              <w:right w:val="single" w:sz="6" w:space="0" w:color="auto"/>
            </w:tcBorders>
            <w:hideMark/>
          </w:tcPr>
          <w:p w14:paraId="5C73D838" w14:textId="77777777" w:rsidR="00ED4FB7" w:rsidRPr="00C54302" w:rsidRDefault="00ED4FB7" w:rsidP="003771D9">
            <w:pPr>
              <w:pStyle w:val="paragraph"/>
              <w:spacing w:before="0" w:beforeAutospacing="0" w:after="0" w:afterAutospacing="0"/>
              <w:ind w:left="129"/>
              <w:textAlignment w:val="baseline"/>
              <w:rPr>
                <w:rFonts w:ascii="Arial" w:eastAsiaTheme="minorEastAsia" w:hAnsi="Arial" w:cs="Arial"/>
              </w:rPr>
            </w:pPr>
            <w:r w:rsidRPr="00C54302">
              <w:rPr>
                <w:rStyle w:val="eop"/>
                <w:rFonts w:ascii="Arial" w:eastAsiaTheme="minorEastAsia" w:hAnsi="Arial" w:cs="Arial"/>
              </w:rPr>
              <w:t> </w:t>
            </w:r>
          </w:p>
          <w:p w14:paraId="633AB19C" w14:textId="77777777" w:rsidR="00ED4FB7" w:rsidRPr="004C1838" w:rsidRDefault="00ED4FB7" w:rsidP="003771D9">
            <w:pPr>
              <w:pStyle w:val="paragraph"/>
              <w:spacing w:before="0" w:beforeAutospacing="0" w:after="0" w:afterAutospacing="0"/>
              <w:ind w:left="129"/>
              <w:textAlignment w:val="baseline"/>
              <w:rPr>
                <w:rFonts w:ascii="Arial" w:eastAsiaTheme="minorEastAsia" w:hAnsi="Arial" w:cs="Arial"/>
                <w:sz w:val="21"/>
                <w:szCs w:val="21"/>
              </w:rPr>
            </w:pPr>
            <w:r w:rsidRPr="004C1838">
              <w:rPr>
                <w:rStyle w:val="normaltextrun"/>
                <w:rFonts w:ascii="Arial" w:eastAsiaTheme="minorEastAsia" w:hAnsi="Arial" w:cs="Arial"/>
                <w:b/>
                <w:bCs/>
                <w:sz w:val="21"/>
                <w:szCs w:val="21"/>
                <w:lang w:val="en-GB"/>
              </w:rPr>
              <w:t>Glenveagh Properties plc</w:t>
            </w:r>
            <w:r w:rsidRPr="004C1838">
              <w:rPr>
                <w:rStyle w:val="eop"/>
                <w:rFonts w:ascii="Arial" w:eastAsiaTheme="minorEastAsia" w:hAnsi="Arial" w:cs="Arial"/>
                <w:sz w:val="21"/>
                <w:szCs w:val="21"/>
              </w:rPr>
              <w:t> </w:t>
            </w:r>
          </w:p>
          <w:p w14:paraId="5DBCA2A2" w14:textId="77777777" w:rsidR="00ED4FB7" w:rsidRPr="004C1838" w:rsidRDefault="00ED4FB7" w:rsidP="003771D9">
            <w:pPr>
              <w:pStyle w:val="paragraph"/>
              <w:spacing w:before="0" w:beforeAutospacing="0" w:after="0" w:afterAutospacing="0"/>
              <w:ind w:left="129"/>
              <w:textAlignment w:val="baseline"/>
              <w:rPr>
                <w:rFonts w:ascii="Arial" w:eastAsiaTheme="minorEastAsia" w:hAnsi="Arial" w:cs="Arial"/>
                <w:sz w:val="21"/>
                <w:szCs w:val="21"/>
              </w:rPr>
            </w:pPr>
            <w:r w:rsidRPr="004C1838">
              <w:rPr>
                <w:rStyle w:val="eop"/>
                <w:rFonts w:ascii="Arial" w:eastAsiaTheme="minorEastAsia" w:hAnsi="Arial" w:cs="Arial"/>
                <w:sz w:val="21"/>
                <w:szCs w:val="21"/>
              </w:rPr>
              <w:t> </w:t>
            </w:r>
          </w:p>
          <w:p w14:paraId="28B80F73" w14:textId="77777777" w:rsidR="00ED4FB7" w:rsidRPr="004C1838" w:rsidRDefault="00ED4FB7" w:rsidP="003771D9">
            <w:pPr>
              <w:pStyle w:val="paragraph"/>
              <w:spacing w:before="0" w:beforeAutospacing="0" w:after="0" w:afterAutospacing="0"/>
              <w:ind w:left="129"/>
              <w:textAlignment w:val="baseline"/>
              <w:rPr>
                <w:rFonts w:ascii="Arial" w:eastAsiaTheme="minorEastAsia" w:hAnsi="Arial" w:cs="Arial"/>
                <w:sz w:val="21"/>
                <w:szCs w:val="21"/>
              </w:rPr>
            </w:pPr>
            <w:r w:rsidRPr="004C1838">
              <w:rPr>
                <w:rStyle w:val="normaltextrun"/>
                <w:rFonts w:ascii="Arial" w:eastAsiaTheme="minorEastAsia" w:hAnsi="Arial" w:cs="Arial"/>
                <w:sz w:val="21"/>
                <w:szCs w:val="21"/>
                <w:lang w:val="en-GB"/>
              </w:rPr>
              <w:t>Conor Murtagh (CFO)</w:t>
            </w:r>
            <w:r w:rsidRPr="004C1838">
              <w:rPr>
                <w:rStyle w:val="eop"/>
                <w:rFonts w:ascii="Arial" w:eastAsiaTheme="minorEastAsia" w:hAnsi="Arial" w:cs="Arial"/>
                <w:sz w:val="21"/>
                <w:szCs w:val="21"/>
              </w:rPr>
              <w:t> </w:t>
            </w:r>
          </w:p>
          <w:p w14:paraId="38356626" w14:textId="77777777" w:rsidR="00ED4FB7" w:rsidRPr="004C1838" w:rsidRDefault="00ED4FB7" w:rsidP="003771D9">
            <w:pPr>
              <w:pStyle w:val="paragraph"/>
              <w:spacing w:before="0" w:beforeAutospacing="0" w:after="0" w:afterAutospacing="0"/>
              <w:ind w:left="129"/>
              <w:textAlignment w:val="baseline"/>
              <w:rPr>
                <w:rStyle w:val="eop"/>
                <w:rFonts w:ascii="Arial" w:eastAsiaTheme="minorEastAsia" w:hAnsi="Arial" w:cs="Arial"/>
                <w:sz w:val="21"/>
                <w:szCs w:val="21"/>
              </w:rPr>
            </w:pPr>
            <w:r w:rsidRPr="004C1838">
              <w:rPr>
                <w:rStyle w:val="eop"/>
                <w:rFonts w:ascii="Arial" w:eastAsiaTheme="minorEastAsia" w:hAnsi="Arial" w:cs="Arial"/>
                <w:sz w:val="21"/>
                <w:szCs w:val="21"/>
              </w:rPr>
              <w:t> </w:t>
            </w:r>
          </w:p>
          <w:p w14:paraId="739CA28F" w14:textId="77777777" w:rsidR="00ED4FB7" w:rsidRPr="004C1838" w:rsidRDefault="00ED4FB7" w:rsidP="003771D9">
            <w:pPr>
              <w:pStyle w:val="paragraph"/>
              <w:spacing w:before="0" w:beforeAutospacing="0" w:after="0" w:afterAutospacing="0"/>
              <w:ind w:left="129"/>
              <w:textAlignment w:val="baseline"/>
              <w:rPr>
                <w:rFonts w:ascii="Arial" w:eastAsiaTheme="minorEastAsia" w:hAnsi="Arial" w:cs="Arial"/>
                <w:sz w:val="21"/>
                <w:szCs w:val="21"/>
              </w:rPr>
            </w:pPr>
          </w:p>
          <w:p w14:paraId="5B153139" w14:textId="77777777" w:rsidR="00ED4FB7" w:rsidRPr="004C1838" w:rsidRDefault="00ED4FB7" w:rsidP="003771D9">
            <w:pPr>
              <w:pStyle w:val="paragraph"/>
              <w:spacing w:before="0" w:beforeAutospacing="0" w:after="0" w:afterAutospacing="0"/>
              <w:ind w:left="129"/>
              <w:textAlignment w:val="baseline"/>
              <w:rPr>
                <w:rFonts w:ascii="Arial" w:eastAsiaTheme="minorEastAsia" w:hAnsi="Arial" w:cs="Arial"/>
                <w:sz w:val="21"/>
                <w:szCs w:val="21"/>
              </w:rPr>
            </w:pPr>
          </w:p>
          <w:p w14:paraId="570E397D" w14:textId="77777777" w:rsidR="00ED4FB7" w:rsidRPr="00C54302" w:rsidRDefault="00ED4FB7" w:rsidP="003771D9">
            <w:pPr>
              <w:pStyle w:val="paragraph"/>
              <w:spacing w:before="0" w:beforeAutospacing="0" w:after="0" w:afterAutospacing="0"/>
              <w:ind w:left="129"/>
              <w:textAlignment w:val="baseline"/>
              <w:rPr>
                <w:rFonts w:ascii="Arial" w:eastAsiaTheme="minorEastAsia" w:hAnsi="Arial" w:cs="Arial"/>
              </w:rPr>
            </w:pPr>
            <w:hyperlink r:id="rId19">
              <w:r w:rsidRPr="004C1838">
                <w:rPr>
                  <w:rStyle w:val="normaltextrun"/>
                  <w:rFonts w:ascii="Arial" w:eastAsiaTheme="minorEastAsia" w:hAnsi="Arial" w:cs="Arial"/>
                  <w:color w:val="467886"/>
                  <w:sz w:val="21"/>
                  <w:szCs w:val="21"/>
                  <w:u w:val="single"/>
                  <w:lang w:val="en-GB"/>
                </w:rPr>
                <w:t>investors@glenveagh.ie</w:t>
              </w:r>
            </w:hyperlink>
            <w:r w:rsidRPr="00C54302">
              <w:rPr>
                <w:rStyle w:val="eop"/>
                <w:rFonts w:ascii="Arial" w:eastAsiaTheme="minorEastAsia" w:hAnsi="Arial" w:cs="Arial"/>
              </w:rPr>
              <w:t> </w:t>
            </w:r>
          </w:p>
        </w:tc>
        <w:tc>
          <w:tcPr>
            <w:tcW w:w="4500" w:type="dxa"/>
            <w:tcBorders>
              <w:top w:val="single" w:sz="6" w:space="0" w:color="auto"/>
              <w:left w:val="single" w:sz="6" w:space="0" w:color="auto"/>
              <w:bottom w:val="single" w:sz="6" w:space="0" w:color="auto"/>
              <w:right w:val="single" w:sz="6" w:space="0" w:color="auto"/>
            </w:tcBorders>
            <w:hideMark/>
          </w:tcPr>
          <w:p w14:paraId="57C04BD2" w14:textId="77777777" w:rsidR="00ED4FB7" w:rsidRPr="00C54302" w:rsidRDefault="00ED4FB7" w:rsidP="003771D9">
            <w:pPr>
              <w:pStyle w:val="paragraph"/>
              <w:spacing w:before="0" w:beforeAutospacing="0" w:after="0" w:afterAutospacing="0"/>
              <w:ind w:left="164"/>
              <w:textAlignment w:val="baseline"/>
              <w:rPr>
                <w:rFonts w:ascii="Arial" w:eastAsiaTheme="minorEastAsia" w:hAnsi="Arial" w:cs="Arial"/>
              </w:rPr>
            </w:pPr>
            <w:r w:rsidRPr="00C54302">
              <w:rPr>
                <w:rStyle w:val="eop"/>
                <w:rFonts w:ascii="Arial" w:eastAsiaTheme="minorEastAsia" w:hAnsi="Arial" w:cs="Arial"/>
              </w:rPr>
              <w:t> </w:t>
            </w:r>
          </w:p>
          <w:p w14:paraId="0729A836" w14:textId="77777777" w:rsidR="00ED4FB7" w:rsidRPr="004C1838" w:rsidRDefault="00ED4FB7" w:rsidP="003771D9">
            <w:pPr>
              <w:pStyle w:val="paragraph"/>
              <w:spacing w:before="0" w:beforeAutospacing="0" w:after="0" w:afterAutospacing="0"/>
              <w:ind w:left="164"/>
              <w:textAlignment w:val="baseline"/>
              <w:rPr>
                <w:rFonts w:ascii="Arial" w:eastAsiaTheme="minorEastAsia" w:hAnsi="Arial" w:cs="Arial"/>
                <w:sz w:val="21"/>
                <w:szCs w:val="21"/>
              </w:rPr>
            </w:pPr>
            <w:r w:rsidRPr="004C1838">
              <w:rPr>
                <w:rStyle w:val="normaltextrun"/>
                <w:rFonts w:ascii="Arial" w:eastAsiaTheme="minorEastAsia" w:hAnsi="Arial" w:cs="Arial"/>
                <w:b/>
                <w:bCs/>
                <w:sz w:val="21"/>
                <w:szCs w:val="21"/>
                <w:lang w:val="en-GB"/>
              </w:rPr>
              <w:t>Gordon MRM</w:t>
            </w:r>
            <w:r w:rsidRPr="004C1838">
              <w:rPr>
                <w:rStyle w:val="eop"/>
                <w:rFonts w:ascii="Arial" w:eastAsiaTheme="minorEastAsia" w:hAnsi="Arial" w:cs="Arial"/>
                <w:sz w:val="21"/>
                <w:szCs w:val="21"/>
              </w:rPr>
              <w:t> </w:t>
            </w:r>
          </w:p>
          <w:p w14:paraId="6426C8D3" w14:textId="77777777" w:rsidR="00ED4FB7" w:rsidRPr="004C1838" w:rsidRDefault="00ED4FB7" w:rsidP="003771D9">
            <w:pPr>
              <w:pStyle w:val="paragraph"/>
              <w:spacing w:before="0" w:beforeAutospacing="0" w:after="0" w:afterAutospacing="0"/>
              <w:ind w:left="164"/>
              <w:textAlignment w:val="baseline"/>
              <w:rPr>
                <w:rFonts w:ascii="Arial" w:eastAsiaTheme="minorEastAsia" w:hAnsi="Arial" w:cs="Arial"/>
                <w:sz w:val="21"/>
                <w:szCs w:val="21"/>
              </w:rPr>
            </w:pPr>
            <w:r w:rsidRPr="004C1838">
              <w:rPr>
                <w:rStyle w:val="eop"/>
                <w:rFonts w:ascii="Arial" w:eastAsiaTheme="minorEastAsia" w:hAnsi="Arial" w:cs="Arial"/>
                <w:sz w:val="21"/>
                <w:szCs w:val="21"/>
              </w:rPr>
              <w:t> </w:t>
            </w:r>
          </w:p>
          <w:p w14:paraId="3EF3431C" w14:textId="77777777" w:rsidR="00ED4FB7" w:rsidRPr="004C1838" w:rsidRDefault="00ED4FB7" w:rsidP="003771D9">
            <w:pPr>
              <w:pStyle w:val="paragraph"/>
              <w:spacing w:before="0" w:beforeAutospacing="0" w:after="0" w:afterAutospacing="0"/>
              <w:ind w:left="164"/>
              <w:textAlignment w:val="baseline"/>
              <w:rPr>
                <w:rFonts w:ascii="Arial" w:eastAsiaTheme="minorEastAsia" w:hAnsi="Arial" w:cs="Arial"/>
                <w:sz w:val="21"/>
                <w:szCs w:val="21"/>
              </w:rPr>
            </w:pPr>
            <w:r w:rsidRPr="004C1838">
              <w:rPr>
                <w:rStyle w:val="normaltextrun"/>
                <w:rFonts w:ascii="Arial" w:eastAsiaTheme="minorEastAsia" w:hAnsi="Arial" w:cs="Arial"/>
                <w:sz w:val="21"/>
                <w:szCs w:val="21"/>
                <w:lang w:val="en-GB"/>
              </w:rPr>
              <w:t>Ray Gordon 087 241 7373</w:t>
            </w:r>
            <w:r w:rsidRPr="004C1838">
              <w:rPr>
                <w:rStyle w:val="eop"/>
                <w:rFonts w:ascii="Arial" w:eastAsiaTheme="minorEastAsia" w:hAnsi="Arial" w:cs="Arial"/>
                <w:sz w:val="21"/>
                <w:szCs w:val="21"/>
              </w:rPr>
              <w:t> </w:t>
            </w:r>
          </w:p>
          <w:p w14:paraId="156257B3" w14:textId="77777777" w:rsidR="00ED4FB7" w:rsidRPr="004C1838" w:rsidRDefault="00ED4FB7" w:rsidP="003771D9">
            <w:pPr>
              <w:pStyle w:val="paragraph"/>
              <w:spacing w:before="0" w:beforeAutospacing="0" w:after="0" w:afterAutospacing="0"/>
              <w:ind w:left="164"/>
              <w:textAlignment w:val="baseline"/>
              <w:rPr>
                <w:rFonts w:ascii="Arial" w:eastAsiaTheme="minorEastAsia" w:hAnsi="Arial" w:cs="Arial"/>
                <w:sz w:val="21"/>
                <w:szCs w:val="21"/>
              </w:rPr>
            </w:pPr>
            <w:r w:rsidRPr="004C1838">
              <w:rPr>
                <w:rStyle w:val="eop"/>
                <w:rFonts w:ascii="Arial" w:eastAsiaTheme="minorEastAsia" w:hAnsi="Arial" w:cs="Arial"/>
                <w:sz w:val="21"/>
                <w:szCs w:val="21"/>
              </w:rPr>
              <w:t> </w:t>
            </w:r>
          </w:p>
          <w:p w14:paraId="78CB2F49" w14:textId="77777777" w:rsidR="00ED4FB7" w:rsidRPr="004C1838" w:rsidRDefault="00ED4FB7" w:rsidP="003771D9">
            <w:pPr>
              <w:pStyle w:val="paragraph"/>
              <w:spacing w:before="0" w:beforeAutospacing="0" w:after="0" w:afterAutospacing="0"/>
              <w:ind w:left="164"/>
              <w:textAlignment w:val="baseline"/>
              <w:rPr>
                <w:rStyle w:val="eop"/>
                <w:rFonts w:ascii="Arial" w:eastAsiaTheme="minorEastAsia" w:hAnsi="Arial" w:cs="Arial"/>
                <w:sz w:val="21"/>
                <w:szCs w:val="21"/>
              </w:rPr>
            </w:pPr>
            <w:r w:rsidRPr="004C1838">
              <w:rPr>
                <w:rStyle w:val="normaltextrun"/>
                <w:rFonts w:ascii="Arial" w:eastAsiaTheme="minorEastAsia" w:hAnsi="Arial" w:cs="Arial"/>
                <w:sz w:val="21"/>
                <w:szCs w:val="21"/>
                <w:lang w:val="en-GB"/>
              </w:rPr>
              <w:t>David Clerkin 087 830 1779</w:t>
            </w:r>
            <w:r w:rsidRPr="004C1838">
              <w:rPr>
                <w:rStyle w:val="eop"/>
                <w:rFonts w:ascii="Arial" w:eastAsiaTheme="minorEastAsia" w:hAnsi="Arial" w:cs="Arial"/>
                <w:sz w:val="21"/>
                <w:szCs w:val="21"/>
              </w:rPr>
              <w:t> </w:t>
            </w:r>
          </w:p>
          <w:p w14:paraId="25E20BBE" w14:textId="77777777" w:rsidR="00ED4FB7" w:rsidRPr="004C1838" w:rsidRDefault="00ED4FB7" w:rsidP="003771D9">
            <w:pPr>
              <w:pStyle w:val="paragraph"/>
              <w:spacing w:before="0" w:beforeAutospacing="0" w:after="0" w:afterAutospacing="0"/>
              <w:ind w:left="164"/>
              <w:textAlignment w:val="baseline"/>
              <w:rPr>
                <w:rFonts w:ascii="Arial" w:eastAsiaTheme="minorEastAsia" w:hAnsi="Arial" w:cs="Arial"/>
                <w:sz w:val="21"/>
                <w:szCs w:val="21"/>
              </w:rPr>
            </w:pPr>
          </w:p>
          <w:p w14:paraId="6BE93430" w14:textId="77777777" w:rsidR="00ED4FB7" w:rsidRPr="00C54302" w:rsidRDefault="00ED4FB7" w:rsidP="003771D9">
            <w:pPr>
              <w:pStyle w:val="paragraph"/>
              <w:spacing w:before="0" w:beforeAutospacing="0" w:after="0" w:afterAutospacing="0"/>
              <w:ind w:left="164"/>
              <w:textAlignment w:val="baseline"/>
              <w:rPr>
                <w:rFonts w:ascii="Arial" w:eastAsiaTheme="minorEastAsia" w:hAnsi="Arial" w:cs="Arial"/>
              </w:rPr>
            </w:pPr>
            <w:hyperlink r:id="rId20">
              <w:r w:rsidRPr="004C1838">
                <w:rPr>
                  <w:rStyle w:val="normaltextrun"/>
                  <w:rFonts w:ascii="Arial" w:eastAsiaTheme="minorEastAsia" w:hAnsi="Arial" w:cs="Arial"/>
                  <w:color w:val="467886"/>
                  <w:sz w:val="21"/>
                  <w:szCs w:val="21"/>
                  <w:u w:val="single"/>
                  <w:lang w:val="en-GB"/>
                </w:rPr>
                <w:t>glenveagh@gordonmrm.ie</w:t>
              </w:r>
            </w:hyperlink>
            <w:r w:rsidRPr="00C54302">
              <w:rPr>
                <w:rStyle w:val="eop"/>
                <w:rFonts w:ascii="Arial" w:eastAsiaTheme="minorEastAsia" w:hAnsi="Arial" w:cs="Arial"/>
              </w:rPr>
              <w:t> </w:t>
            </w:r>
          </w:p>
        </w:tc>
      </w:tr>
    </w:tbl>
    <w:p w14:paraId="216D2FD8" w14:textId="77777777" w:rsidR="00ED4FB7" w:rsidRDefault="00ED4FB7" w:rsidP="00ED4FB7">
      <w:pPr>
        <w:pStyle w:val="paragraph"/>
        <w:spacing w:before="0" w:beforeAutospacing="0" w:after="120" w:afterAutospacing="0"/>
        <w:textAlignment w:val="baseline"/>
        <w:rPr>
          <w:rStyle w:val="normaltextrun"/>
          <w:rFonts w:ascii="Arial" w:eastAsiaTheme="minorEastAsia" w:hAnsi="Arial" w:cs="Arial"/>
          <w:b/>
          <w:bCs/>
          <w:sz w:val="21"/>
          <w:szCs w:val="21"/>
          <w:lang w:val="en-GB"/>
        </w:rPr>
      </w:pPr>
    </w:p>
    <w:p w14:paraId="74D12C6F" w14:textId="77777777" w:rsidR="00ED4FB7" w:rsidRPr="00025AAD" w:rsidRDefault="00ED4FB7" w:rsidP="00ED4FB7">
      <w:pPr>
        <w:pStyle w:val="paragraph"/>
        <w:spacing w:before="0" w:beforeAutospacing="0" w:after="120" w:afterAutospacing="0"/>
        <w:textAlignment w:val="baseline"/>
        <w:rPr>
          <w:rFonts w:ascii="Arial" w:eastAsiaTheme="minorEastAsia" w:hAnsi="Arial" w:cs="Arial"/>
          <w:sz w:val="21"/>
          <w:szCs w:val="21"/>
        </w:rPr>
      </w:pPr>
      <w:r w:rsidRPr="00025AAD">
        <w:rPr>
          <w:rStyle w:val="normaltextrun"/>
          <w:rFonts w:ascii="Arial" w:eastAsiaTheme="minorEastAsia" w:hAnsi="Arial" w:cs="Arial"/>
          <w:b/>
          <w:bCs/>
          <w:sz w:val="21"/>
          <w:szCs w:val="21"/>
          <w:lang w:val="en-GB"/>
        </w:rPr>
        <w:t>Notes to Editors</w:t>
      </w:r>
      <w:r w:rsidRPr="00025AAD">
        <w:rPr>
          <w:rStyle w:val="eop"/>
          <w:rFonts w:ascii="Arial" w:eastAsiaTheme="minorEastAsia" w:hAnsi="Arial" w:cs="Arial"/>
          <w:sz w:val="21"/>
          <w:szCs w:val="21"/>
        </w:rPr>
        <w:t> </w:t>
      </w:r>
      <w:r w:rsidRPr="00025AAD">
        <w:rPr>
          <w:rStyle w:val="normaltextrun"/>
          <w:rFonts w:ascii="Arial" w:eastAsiaTheme="minorEastAsia" w:hAnsi="Arial" w:cs="Arial"/>
          <w:sz w:val="21"/>
          <w:szCs w:val="21"/>
          <w:lang w:val="en-GB"/>
        </w:rPr>
        <w:t>Glenveagh Properties plc, listed on Euronext Dublin and the London Stock Exchange, is a leading Irish homebuilder.</w:t>
      </w:r>
      <w:r w:rsidRPr="00025AAD">
        <w:rPr>
          <w:rStyle w:val="eop"/>
          <w:rFonts w:ascii="Arial" w:eastAsiaTheme="minorEastAsia" w:hAnsi="Arial" w:cs="Arial"/>
          <w:sz w:val="21"/>
          <w:szCs w:val="21"/>
        </w:rPr>
        <w:t> </w:t>
      </w:r>
    </w:p>
    <w:p w14:paraId="17A29CA8" w14:textId="77777777" w:rsidR="00ED4FB7" w:rsidRPr="00025AAD" w:rsidRDefault="00ED4FB7" w:rsidP="00ED4FB7">
      <w:pPr>
        <w:pStyle w:val="paragraph"/>
        <w:spacing w:before="0" w:beforeAutospacing="0" w:after="120" w:afterAutospacing="0"/>
        <w:textAlignment w:val="baseline"/>
        <w:rPr>
          <w:rStyle w:val="eop"/>
          <w:rFonts w:ascii="Arial" w:eastAsiaTheme="minorEastAsia" w:hAnsi="Arial" w:cs="Arial"/>
          <w:sz w:val="21"/>
          <w:szCs w:val="21"/>
        </w:rPr>
      </w:pPr>
      <w:r w:rsidRPr="00025AAD">
        <w:rPr>
          <w:rStyle w:val="normaltextrun"/>
          <w:rFonts w:ascii="Arial" w:eastAsiaTheme="minorEastAsia" w:hAnsi="Arial" w:cs="Arial"/>
          <w:sz w:val="21"/>
          <w:szCs w:val="21"/>
          <w:lang w:val="en-GB"/>
        </w:rPr>
        <w:t>Supported by innovation and our internal manufacturing capability, Glenveagh is committed to opening access to sustainable, high-quality homes to as many people as possible in flourishing communities across Ireland.  </w:t>
      </w:r>
      <w:r w:rsidRPr="00025AAD">
        <w:rPr>
          <w:rStyle w:val="eop"/>
          <w:rFonts w:ascii="Arial" w:eastAsiaTheme="minorEastAsia" w:hAnsi="Arial" w:cs="Arial"/>
          <w:sz w:val="21"/>
          <w:szCs w:val="21"/>
        </w:rPr>
        <w:t> </w:t>
      </w:r>
    </w:p>
    <w:p w14:paraId="54609619" w14:textId="77777777" w:rsidR="00ED4FB7" w:rsidRPr="00025AAD" w:rsidRDefault="00ED4FB7" w:rsidP="00ED4FB7">
      <w:pPr>
        <w:pStyle w:val="paragraph"/>
        <w:spacing w:before="0" w:beforeAutospacing="0" w:after="120" w:afterAutospacing="0"/>
        <w:textAlignment w:val="baseline"/>
        <w:rPr>
          <w:rStyle w:val="eop"/>
          <w:rFonts w:ascii="Arial" w:eastAsiaTheme="minorEastAsia" w:hAnsi="Arial" w:cs="Arial"/>
          <w:sz w:val="21"/>
          <w:szCs w:val="21"/>
          <w:lang w:val="en-GB"/>
        </w:rPr>
      </w:pPr>
      <w:r w:rsidRPr="00025AAD">
        <w:rPr>
          <w:rStyle w:val="normaltextrun"/>
          <w:rFonts w:ascii="Arial" w:eastAsiaTheme="minorEastAsia" w:hAnsi="Arial" w:cs="Arial"/>
          <w:sz w:val="21"/>
          <w:szCs w:val="21"/>
          <w:lang w:val="en-GB"/>
        </w:rPr>
        <w:t xml:space="preserve">We are focused on two core areas to achieve this: Homebuilding and Partnerships. Our </w:t>
      </w:r>
      <w:r w:rsidRPr="00025AAD">
        <w:rPr>
          <w:rStyle w:val="normaltextrun"/>
          <w:rFonts w:ascii="Arial" w:eastAsiaTheme="minorEastAsia" w:hAnsi="Arial" w:cs="Arial"/>
          <w:b/>
          <w:bCs/>
          <w:sz w:val="21"/>
          <w:szCs w:val="21"/>
          <w:lang w:val="en-GB"/>
        </w:rPr>
        <w:t>Homebuilding</w:t>
      </w:r>
      <w:r w:rsidRPr="00025AAD">
        <w:rPr>
          <w:rStyle w:val="normaltextrun"/>
          <w:rFonts w:ascii="Arial" w:eastAsiaTheme="minorEastAsia" w:hAnsi="Arial" w:cs="Arial"/>
          <w:sz w:val="21"/>
          <w:szCs w:val="21"/>
          <w:lang w:val="en-GB"/>
        </w:rPr>
        <w:t xml:space="preserve"> division is the leading provider of own-door single-family homes</w:t>
      </w:r>
      <w:r>
        <w:rPr>
          <w:rStyle w:val="normaltextrun"/>
          <w:rFonts w:ascii="Arial" w:eastAsiaTheme="minorEastAsia" w:hAnsi="Arial" w:cs="Arial"/>
          <w:sz w:val="21"/>
          <w:szCs w:val="21"/>
          <w:lang w:val="en-GB"/>
        </w:rPr>
        <w:t xml:space="preserve"> in Ireland</w:t>
      </w:r>
      <w:r w:rsidRPr="00025AAD">
        <w:rPr>
          <w:rStyle w:val="normaltextrun"/>
          <w:rFonts w:ascii="Arial" w:eastAsiaTheme="minorEastAsia" w:hAnsi="Arial" w:cs="Arial"/>
          <w:sz w:val="21"/>
          <w:szCs w:val="21"/>
          <w:lang w:val="en-GB"/>
        </w:rPr>
        <w:t xml:space="preserve">, primarily in Dublin and the Greater Dublin Area. Our </w:t>
      </w:r>
      <w:r w:rsidRPr="00025AAD">
        <w:rPr>
          <w:rStyle w:val="normaltextrun"/>
          <w:rFonts w:ascii="Arial" w:eastAsiaTheme="minorEastAsia" w:hAnsi="Arial" w:cs="Arial"/>
          <w:b/>
          <w:bCs/>
          <w:sz w:val="21"/>
          <w:szCs w:val="21"/>
          <w:lang w:val="en-GB"/>
        </w:rPr>
        <w:t xml:space="preserve">Partnerships </w:t>
      </w:r>
      <w:r w:rsidRPr="00025AAD">
        <w:rPr>
          <w:rStyle w:val="normaltextrun"/>
          <w:rFonts w:ascii="Arial" w:eastAsiaTheme="minorEastAsia" w:hAnsi="Arial" w:cs="Arial"/>
          <w:sz w:val="21"/>
          <w:szCs w:val="21"/>
          <w:lang w:val="en-GB"/>
        </w:rPr>
        <w:t>division focuses on creating vibrant communities nationwide through a mix of suburban single-family</w:t>
      </w:r>
      <w:r w:rsidRPr="00DC38BC">
        <w:rPr>
          <w:rStyle w:val="normaltextrun"/>
          <w:rFonts w:ascii="Arial" w:eastAsiaTheme="minorEastAsia" w:hAnsi="Arial" w:cs="Arial"/>
          <w:sz w:val="21"/>
          <w:szCs w:val="21"/>
          <w:lang w:val="en-GB"/>
        </w:rPr>
        <w:t xml:space="preserve"> and urban multi-family</w:t>
      </w:r>
      <w:r w:rsidRPr="00C54302">
        <w:rPr>
          <w:rStyle w:val="normaltextrun"/>
          <w:rFonts w:ascii="Arial" w:eastAsiaTheme="minorEastAsia" w:hAnsi="Arial" w:cs="Arial"/>
          <w:lang w:val="en-GB"/>
        </w:rPr>
        <w:t xml:space="preserve"> </w:t>
      </w:r>
      <w:r w:rsidRPr="00025AAD">
        <w:rPr>
          <w:rStyle w:val="normaltextrun"/>
          <w:rFonts w:ascii="Arial" w:eastAsiaTheme="minorEastAsia" w:hAnsi="Arial" w:cs="Arial"/>
          <w:sz w:val="21"/>
          <w:szCs w:val="21"/>
          <w:lang w:val="en-GB"/>
        </w:rPr>
        <w:t>developments. Often funded or acquired by the state or state entities, these projects enable us to deliver affordable and high-quality housing options for everyone. </w:t>
      </w:r>
      <w:r w:rsidRPr="00025AAD">
        <w:rPr>
          <w:rStyle w:val="eop"/>
          <w:rFonts w:ascii="Arial" w:eastAsiaTheme="minorEastAsia" w:hAnsi="Arial" w:cs="Arial"/>
          <w:sz w:val="21"/>
          <w:szCs w:val="21"/>
        </w:rPr>
        <w:t> </w:t>
      </w:r>
    </w:p>
    <w:p w14:paraId="186B1859" w14:textId="77777777" w:rsidR="00ED4FB7" w:rsidRPr="00025AAD" w:rsidRDefault="00ED4FB7" w:rsidP="00ED4FB7">
      <w:pPr>
        <w:pStyle w:val="paragraph"/>
        <w:spacing w:before="0" w:beforeAutospacing="0" w:after="120" w:afterAutospacing="0"/>
        <w:textAlignment w:val="baseline"/>
        <w:rPr>
          <w:rStyle w:val="eop"/>
          <w:rFonts w:ascii="Arial" w:eastAsiaTheme="minorEastAsia" w:hAnsi="Arial" w:cs="Arial"/>
          <w:sz w:val="21"/>
          <w:szCs w:val="21"/>
        </w:rPr>
      </w:pPr>
      <w:hyperlink r:id="rId21">
        <w:r w:rsidRPr="00025AAD">
          <w:rPr>
            <w:rStyle w:val="normaltextrun"/>
            <w:rFonts w:ascii="Arial" w:eastAsiaTheme="minorEastAsia" w:hAnsi="Arial" w:cs="Arial"/>
            <w:color w:val="467886"/>
            <w:sz w:val="21"/>
            <w:szCs w:val="21"/>
            <w:u w:val="single"/>
            <w:lang w:val="en-GB"/>
          </w:rPr>
          <w:t>www.glenveagh.ie</w:t>
        </w:r>
      </w:hyperlink>
      <w:r w:rsidRPr="00025AAD">
        <w:rPr>
          <w:rStyle w:val="normaltextrun"/>
          <w:rFonts w:ascii="Arial" w:eastAsiaTheme="minorEastAsia" w:hAnsi="Arial" w:cs="Arial"/>
          <w:sz w:val="21"/>
          <w:szCs w:val="21"/>
          <w:lang w:val="en-GB"/>
        </w:rPr>
        <w:t> </w:t>
      </w:r>
      <w:r w:rsidRPr="00025AAD">
        <w:rPr>
          <w:rStyle w:val="eop"/>
          <w:rFonts w:ascii="Arial" w:eastAsiaTheme="minorEastAsia" w:hAnsi="Arial" w:cs="Arial"/>
          <w:sz w:val="21"/>
          <w:szCs w:val="21"/>
        </w:rPr>
        <w:t> </w:t>
      </w:r>
    </w:p>
    <w:p w14:paraId="5F91CAF3" w14:textId="77777777" w:rsidR="00ED4FB7" w:rsidRPr="00025AAD" w:rsidRDefault="00ED4FB7" w:rsidP="00ED4FB7">
      <w:pPr>
        <w:pStyle w:val="paragraph"/>
        <w:spacing w:before="0" w:beforeAutospacing="0" w:after="120" w:afterAutospacing="0"/>
        <w:textAlignment w:val="baseline"/>
        <w:rPr>
          <w:rFonts w:ascii="Arial" w:eastAsiaTheme="minorEastAsia" w:hAnsi="Arial" w:cs="Arial"/>
          <w:sz w:val="21"/>
          <w:szCs w:val="21"/>
        </w:rPr>
      </w:pPr>
    </w:p>
    <w:p w14:paraId="7723A417" w14:textId="77777777" w:rsidR="00ED4FB7" w:rsidRPr="00025AAD" w:rsidRDefault="00ED4FB7" w:rsidP="00ED4FB7">
      <w:pPr>
        <w:pStyle w:val="paragraph"/>
        <w:spacing w:before="0" w:beforeAutospacing="0" w:after="120" w:afterAutospacing="0"/>
        <w:textAlignment w:val="baseline"/>
        <w:rPr>
          <w:rFonts w:ascii="Arial" w:eastAsiaTheme="minorEastAsia" w:hAnsi="Arial" w:cs="Arial"/>
          <w:b/>
          <w:bCs/>
          <w:sz w:val="21"/>
          <w:szCs w:val="21"/>
          <w:lang w:val="en-GB"/>
        </w:rPr>
      </w:pPr>
      <w:r w:rsidRPr="00025AAD">
        <w:rPr>
          <w:rStyle w:val="normaltextrun"/>
          <w:rFonts w:ascii="Arial" w:eastAsiaTheme="minorEastAsia" w:hAnsi="Arial" w:cs="Arial"/>
          <w:b/>
          <w:bCs/>
          <w:sz w:val="21"/>
          <w:szCs w:val="21"/>
          <w:lang w:val="en-GB"/>
        </w:rPr>
        <w:t>Forward-looking statements</w:t>
      </w:r>
      <w:r w:rsidRPr="00025AAD">
        <w:rPr>
          <w:rStyle w:val="eop"/>
          <w:rFonts w:ascii="Arial" w:eastAsiaTheme="minorEastAsia" w:hAnsi="Arial" w:cs="Arial"/>
          <w:sz w:val="21"/>
          <w:szCs w:val="21"/>
        </w:rPr>
        <w:t> </w:t>
      </w:r>
    </w:p>
    <w:p w14:paraId="2D5B0210" w14:textId="77777777" w:rsidR="00ED4FB7" w:rsidRPr="00025AAD" w:rsidRDefault="00ED4FB7" w:rsidP="00ED4FB7">
      <w:pPr>
        <w:pStyle w:val="paragraph"/>
        <w:spacing w:before="0" w:beforeAutospacing="0" w:after="120" w:afterAutospacing="0"/>
        <w:textAlignment w:val="baseline"/>
        <w:rPr>
          <w:rFonts w:ascii="Arial" w:eastAsiaTheme="minorEastAsia" w:hAnsi="Arial" w:cs="Arial"/>
          <w:sz w:val="21"/>
          <w:szCs w:val="21"/>
        </w:rPr>
      </w:pPr>
      <w:r w:rsidRPr="00025AAD">
        <w:rPr>
          <w:rStyle w:val="normaltextrun"/>
          <w:rFonts w:ascii="Arial" w:eastAsiaTheme="minorEastAsia" w:hAnsi="Arial" w:cs="Arial"/>
          <w:sz w:val="21"/>
          <w:szCs w:val="21"/>
          <w:lang w:val="en-GB"/>
        </w:rPr>
        <w:t>This announcement does not constitute or form any part of an invitation to underwrite, subscribe for or otherwise acquire or dispose of any shares of Glenveagh Properties plc (the "Company" or "Glenveagh").</w:t>
      </w:r>
      <w:r w:rsidRPr="00025AAD">
        <w:rPr>
          <w:rStyle w:val="eop"/>
          <w:rFonts w:ascii="Arial" w:eastAsiaTheme="minorEastAsia" w:hAnsi="Arial" w:cs="Arial"/>
          <w:sz w:val="21"/>
          <w:szCs w:val="21"/>
        </w:rPr>
        <w:t> </w:t>
      </w:r>
    </w:p>
    <w:p w14:paraId="176AF575" w14:textId="77777777" w:rsidR="00ED4FB7" w:rsidRPr="00025AAD" w:rsidRDefault="00ED4FB7" w:rsidP="00ED4FB7">
      <w:pPr>
        <w:pStyle w:val="paragraph"/>
        <w:spacing w:before="0" w:beforeAutospacing="0" w:after="120" w:afterAutospacing="0"/>
        <w:textAlignment w:val="baseline"/>
        <w:rPr>
          <w:rFonts w:ascii="Arial" w:eastAsiaTheme="minorEastAsia" w:hAnsi="Arial" w:cs="Arial"/>
          <w:sz w:val="21"/>
          <w:szCs w:val="21"/>
        </w:rPr>
      </w:pPr>
      <w:r w:rsidRPr="00025AAD">
        <w:rPr>
          <w:rStyle w:val="normaltextrun"/>
          <w:rFonts w:ascii="Arial" w:eastAsiaTheme="minorEastAsia" w:hAnsi="Arial" w:cs="Arial"/>
          <w:sz w:val="21"/>
          <w:szCs w:val="21"/>
          <w:lang w:val="en-GB"/>
        </w:rPr>
        <w:t xml:space="preserve">This announcement contains statements that are, or may be deemed to be, forward-looking statements. Forward-looking statements include, but are not limited to, information concerning the Company's possible or assumed future results of operations, plans and expectations regarding demand outlook, business strategies, financing plans, competitive position, potential growth opportunities, potential operating performance improvements, expectations regarding inflation, macroeconomic uncertainty, geopolitical tensions, weather patterns, the effects of competition and the effects of future legislation or regulations. Forward-looking statements include all statements that are not historical facts and can be identified by the use of forward-looking terminology such as "may", </w:t>
      </w:r>
      <w:r w:rsidRPr="00025AAD">
        <w:rPr>
          <w:rStyle w:val="normaltextrun"/>
          <w:rFonts w:ascii="Arial" w:eastAsiaTheme="minorEastAsia" w:hAnsi="Arial" w:cs="Arial"/>
          <w:sz w:val="21"/>
          <w:szCs w:val="21"/>
          <w:lang w:val="en-GB"/>
        </w:rPr>
        <w:lastRenderedPageBreak/>
        <w:t xml:space="preserve">"will", "should", "expect", "anticipate", "project", "estimate", "intend", "continue", "target", "ensure", "arrive", "achieve", "develop" or "believe" (or the negatives thereof) or other variations thereon or comparable terminology. Forward-looking statements are prospective in nature and are based on current expectations of the Company about future </w:t>
      </w:r>
      <w:proofErr w:type="gramStart"/>
      <w:r w:rsidRPr="00025AAD">
        <w:rPr>
          <w:rStyle w:val="normaltextrun"/>
          <w:rFonts w:ascii="Arial" w:eastAsiaTheme="minorEastAsia" w:hAnsi="Arial" w:cs="Arial"/>
          <w:sz w:val="21"/>
          <w:szCs w:val="21"/>
          <w:lang w:val="en-GB"/>
        </w:rPr>
        <w:t>events, and</w:t>
      </w:r>
      <w:proofErr w:type="gramEnd"/>
      <w:r w:rsidRPr="00025AAD">
        <w:rPr>
          <w:rStyle w:val="normaltextrun"/>
          <w:rFonts w:ascii="Arial" w:eastAsiaTheme="minorEastAsia" w:hAnsi="Arial" w:cs="Arial"/>
          <w:sz w:val="21"/>
          <w:szCs w:val="21"/>
          <w:lang w:val="en-GB"/>
        </w:rPr>
        <w:t xml:space="preserve"> involve risks and uncertainties because they relate to events and depend on circumstances that will occur in the future. Although the Company believes that current expectations and assumptions with respect to these forward-looking statements are reasonable, it can give no assurance that these expectations will prove to be correct. Due to various risks and uncertainties, actual events or results or actual performance of the Company may differ materially from those reflected or contemplated in such forward-looking statements. You are cautioned not to place undue reliance on any forward-looking statements.</w:t>
      </w:r>
      <w:r w:rsidRPr="00025AAD">
        <w:rPr>
          <w:rStyle w:val="eop"/>
          <w:rFonts w:ascii="Arial" w:eastAsiaTheme="minorEastAsia" w:hAnsi="Arial" w:cs="Arial"/>
          <w:sz w:val="21"/>
          <w:szCs w:val="21"/>
        </w:rPr>
        <w:t> </w:t>
      </w:r>
    </w:p>
    <w:p w14:paraId="7D575494" w14:textId="77777777" w:rsidR="00ED4FB7" w:rsidRPr="00025AAD" w:rsidRDefault="00ED4FB7" w:rsidP="00ED4FB7">
      <w:pPr>
        <w:pStyle w:val="paragraph"/>
        <w:spacing w:before="0" w:beforeAutospacing="0" w:after="120" w:afterAutospacing="0"/>
        <w:textAlignment w:val="baseline"/>
        <w:rPr>
          <w:rFonts w:ascii="Arial" w:eastAsiaTheme="minorEastAsia" w:hAnsi="Arial" w:cs="Arial"/>
          <w:sz w:val="21"/>
          <w:szCs w:val="21"/>
        </w:rPr>
      </w:pPr>
      <w:r w:rsidRPr="00025AAD">
        <w:rPr>
          <w:rStyle w:val="normaltextrun"/>
          <w:rFonts w:ascii="Arial" w:eastAsiaTheme="minorEastAsia" w:hAnsi="Arial" w:cs="Arial"/>
          <w:sz w:val="21"/>
          <w:szCs w:val="21"/>
          <w:lang w:val="en-GB"/>
        </w:rPr>
        <w:t>These forward-looking statements are made as of the date of this document. The Company expressly disclaims any obligation to update these forward-looking statements other than as required by law.</w:t>
      </w:r>
      <w:r w:rsidRPr="00025AAD">
        <w:rPr>
          <w:rStyle w:val="eop"/>
          <w:rFonts w:ascii="Arial" w:eastAsiaTheme="minorEastAsia" w:hAnsi="Arial" w:cs="Arial"/>
          <w:sz w:val="21"/>
          <w:szCs w:val="21"/>
        </w:rPr>
        <w:t> </w:t>
      </w:r>
    </w:p>
    <w:p w14:paraId="1A54B21F" w14:textId="77777777" w:rsidR="00ED4FB7" w:rsidRPr="00025AAD" w:rsidRDefault="00ED4FB7" w:rsidP="00ED4FB7">
      <w:pPr>
        <w:pStyle w:val="paragraph"/>
        <w:spacing w:before="0" w:beforeAutospacing="0" w:after="120" w:afterAutospacing="0"/>
        <w:textAlignment w:val="baseline"/>
        <w:rPr>
          <w:rFonts w:ascii="Arial" w:eastAsiaTheme="minorEastAsia" w:hAnsi="Arial" w:cs="Arial"/>
          <w:sz w:val="21"/>
          <w:szCs w:val="21"/>
        </w:rPr>
      </w:pPr>
      <w:r w:rsidRPr="00025AAD">
        <w:rPr>
          <w:rStyle w:val="normaltextrun"/>
          <w:rFonts w:ascii="Arial" w:eastAsiaTheme="minorEastAsia" w:hAnsi="Arial" w:cs="Arial"/>
          <w:sz w:val="21"/>
          <w:szCs w:val="21"/>
          <w:lang w:val="en-GB"/>
        </w:rPr>
        <w:t>The forward-looking statements in this announcement do not constitute reports or statements published in compliance with any of Regulations 6 to 8 of the Transparency (Directive 2004/109/EC) Regulations 2007 (as amended).</w:t>
      </w:r>
      <w:r w:rsidRPr="00025AAD">
        <w:rPr>
          <w:rStyle w:val="eop"/>
          <w:rFonts w:ascii="Arial" w:eastAsiaTheme="minorEastAsia" w:hAnsi="Arial" w:cs="Arial"/>
          <w:sz w:val="21"/>
          <w:szCs w:val="21"/>
        </w:rPr>
        <w:t> </w:t>
      </w:r>
    </w:p>
    <w:p w14:paraId="3E420895" w14:textId="77777777" w:rsidR="00ED4FB7" w:rsidRPr="00C54302" w:rsidRDefault="00ED4FB7" w:rsidP="00ED4FB7">
      <w:pPr>
        <w:rPr>
          <w:rFonts w:cs="Arial"/>
        </w:rPr>
      </w:pPr>
    </w:p>
    <w:p w14:paraId="06501440" w14:textId="77777777" w:rsidR="00ED4FB7" w:rsidRDefault="00ED4FB7" w:rsidP="00ED4FB7">
      <w:pPr>
        <w:pStyle w:val="ListParagraph"/>
        <w:numPr>
          <w:ilvl w:val="0"/>
          <w:numId w:val="44"/>
        </w:numPr>
        <w:spacing w:after="160"/>
        <w:contextualSpacing w:val="0"/>
        <w:rPr>
          <w:rFonts w:cs="Arial"/>
          <w:b/>
          <w:bCs/>
        </w:rPr>
      </w:pPr>
      <w:r>
        <w:rPr>
          <w:rFonts w:cs="Arial"/>
          <w:b/>
          <w:bCs/>
        </w:rPr>
        <w:t xml:space="preserve">BUSINESS </w:t>
      </w:r>
      <w:r w:rsidRPr="00C54302">
        <w:rPr>
          <w:rFonts w:cs="Arial"/>
          <w:b/>
          <w:bCs/>
        </w:rPr>
        <w:t>REVIEW</w:t>
      </w:r>
    </w:p>
    <w:p w14:paraId="40612BE0" w14:textId="77777777" w:rsidR="001E17EE" w:rsidRDefault="00ED4FB7" w:rsidP="00ED4FB7">
      <w:pPr>
        <w:ind w:left="360"/>
        <w:rPr>
          <w:rFonts w:cs="Arial"/>
          <w:sz w:val="21"/>
          <w:szCs w:val="21"/>
        </w:rPr>
      </w:pPr>
      <w:proofErr w:type="spellStart"/>
      <w:r w:rsidRPr="007C5FDE">
        <w:rPr>
          <w:rFonts w:cs="Arial"/>
          <w:sz w:val="21"/>
          <w:szCs w:val="21"/>
        </w:rPr>
        <w:t>Glenveagh’s</w:t>
      </w:r>
      <w:proofErr w:type="spellEnd"/>
      <w:r w:rsidRPr="007C5FDE">
        <w:rPr>
          <w:rFonts w:cs="Arial"/>
          <w:sz w:val="21"/>
          <w:szCs w:val="21"/>
        </w:rPr>
        <w:t xml:space="preserve"> strong performance in the first half of 2025 reflects the </w:t>
      </w:r>
      <w:r>
        <w:rPr>
          <w:rFonts w:cs="Arial"/>
          <w:sz w:val="21"/>
          <w:szCs w:val="21"/>
        </w:rPr>
        <w:t xml:space="preserve">continued </w:t>
      </w:r>
      <w:r w:rsidRPr="007C5FDE">
        <w:rPr>
          <w:rFonts w:cs="Arial"/>
          <w:sz w:val="21"/>
          <w:szCs w:val="21"/>
        </w:rPr>
        <w:t xml:space="preserve">disciplined execution of its long-term </w:t>
      </w:r>
      <w:r>
        <w:rPr>
          <w:rFonts w:cs="Arial"/>
          <w:sz w:val="21"/>
          <w:szCs w:val="21"/>
        </w:rPr>
        <w:t xml:space="preserve">‘Building Better’ </w:t>
      </w:r>
      <w:r w:rsidRPr="007C5FDE">
        <w:rPr>
          <w:rFonts w:cs="Arial"/>
          <w:sz w:val="21"/>
          <w:szCs w:val="21"/>
        </w:rPr>
        <w:t xml:space="preserve">strategy </w:t>
      </w:r>
      <w:r>
        <w:rPr>
          <w:rFonts w:cs="Arial"/>
          <w:sz w:val="21"/>
          <w:szCs w:val="21"/>
        </w:rPr>
        <w:t xml:space="preserve">which has enabled </w:t>
      </w:r>
      <w:r w:rsidRPr="007C5FDE">
        <w:rPr>
          <w:rFonts w:cs="Arial"/>
          <w:sz w:val="21"/>
          <w:szCs w:val="21"/>
        </w:rPr>
        <w:t>scale delivery, deep public-private partnerships, and enhance</w:t>
      </w:r>
      <w:r>
        <w:rPr>
          <w:rFonts w:cs="Arial"/>
          <w:sz w:val="21"/>
          <w:szCs w:val="21"/>
        </w:rPr>
        <w:t>d</w:t>
      </w:r>
      <w:r w:rsidRPr="007C5FDE">
        <w:rPr>
          <w:rFonts w:cs="Arial"/>
          <w:sz w:val="21"/>
          <w:szCs w:val="21"/>
        </w:rPr>
        <w:t xml:space="preserve"> operational efficiency through innovation.</w:t>
      </w:r>
    </w:p>
    <w:p w14:paraId="49257FBD" w14:textId="48E2D062" w:rsidR="00ED4FB7" w:rsidRDefault="00ED4FB7" w:rsidP="00ED4FB7">
      <w:pPr>
        <w:ind w:left="360"/>
        <w:rPr>
          <w:rFonts w:cs="Arial"/>
          <w:sz w:val="21"/>
          <w:szCs w:val="21"/>
        </w:rPr>
      </w:pPr>
      <w:r w:rsidRPr="007C5FDE">
        <w:rPr>
          <w:rFonts w:cs="Arial"/>
          <w:sz w:val="21"/>
          <w:szCs w:val="21"/>
        </w:rPr>
        <w:t xml:space="preserve"> </w:t>
      </w:r>
    </w:p>
    <w:p w14:paraId="39D2B4B3" w14:textId="77777777" w:rsidR="001E17EE" w:rsidRDefault="00ED4FB7" w:rsidP="00ED4FB7">
      <w:pPr>
        <w:ind w:left="360"/>
        <w:rPr>
          <w:rFonts w:cs="Arial"/>
          <w:sz w:val="21"/>
          <w:szCs w:val="21"/>
        </w:rPr>
      </w:pPr>
      <w:r w:rsidRPr="00644682">
        <w:rPr>
          <w:rFonts w:cs="Arial"/>
          <w:sz w:val="21"/>
          <w:szCs w:val="21"/>
        </w:rPr>
        <w:t xml:space="preserve">Glenveagh has built a sector-leading platform focussed on highly attractive own-door housing, </w:t>
      </w:r>
      <w:r w:rsidRPr="007C5FDE">
        <w:rPr>
          <w:rFonts w:cs="Arial"/>
          <w:sz w:val="21"/>
          <w:szCs w:val="21"/>
        </w:rPr>
        <w:t>scalable partnerships with the State</w:t>
      </w:r>
      <w:r w:rsidRPr="00644682">
        <w:rPr>
          <w:rFonts w:cs="Arial"/>
          <w:sz w:val="21"/>
          <w:szCs w:val="21"/>
        </w:rPr>
        <w:t xml:space="preserve"> and a</w:t>
      </w:r>
      <w:r>
        <w:rPr>
          <w:rFonts w:cs="Arial"/>
          <w:sz w:val="21"/>
          <w:szCs w:val="21"/>
        </w:rPr>
        <w:t>n</w:t>
      </w:r>
      <w:r w:rsidRPr="00644682">
        <w:rPr>
          <w:rFonts w:cs="Arial"/>
          <w:sz w:val="21"/>
          <w:szCs w:val="21"/>
        </w:rPr>
        <w:t xml:space="preserve"> efficient </w:t>
      </w:r>
      <w:r>
        <w:rPr>
          <w:rFonts w:cs="Arial"/>
          <w:sz w:val="21"/>
          <w:szCs w:val="21"/>
        </w:rPr>
        <w:t xml:space="preserve">vertically </w:t>
      </w:r>
      <w:r w:rsidRPr="00644682">
        <w:rPr>
          <w:rFonts w:cs="Arial"/>
          <w:sz w:val="21"/>
          <w:szCs w:val="21"/>
        </w:rPr>
        <w:t xml:space="preserve">integrated operating platform that is unique in the Irish marketplace. </w:t>
      </w:r>
      <w:r>
        <w:rPr>
          <w:rFonts w:cs="Arial"/>
          <w:sz w:val="21"/>
          <w:szCs w:val="21"/>
        </w:rPr>
        <w:t>T</w:t>
      </w:r>
      <w:r w:rsidRPr="007C5FDE">
        <w:rPr>
          <w:rFonts w:cs="Arial"/>
          <w:sz w:val="21"/>
          <w:szCs w:val="21"/>
        </w:rPr>
        <w:t xml:space="preserve">he Group is </w:t>
      </w:r>
      <w:r>
        <w:rPr>
          <w:rFonts w:cs="Arial"/>
          <w:sz w:val="21"/>
          <w:szCs w:val="21"/>
        </w:rPr>
        <w:t>best placed to respond to the</w:t>
      </w:r>
      <w:r w:rsidRPr="00644682">
        <w:rPr>
          <w:rFonts w:cs="Arial"/>
          <w:sz w:val="21"/>
          <w:szCs w:val="21"/>
        </w:rPr>
        <w:t xml:space="preserve"> compelling market opportunity</w:t>
      </w:r>
      <w:r>
        <w:rPr>
          <w:rFonts w:cs="Arial"/>
          <w:sz w:val="21"/>
          <w:szCs w:val="21"/>
        </w:rPr>
        <w:t xml:space="preserve"> in Ireland, which is </w:t>
      </w:r>
      <w:r w:rsidRPr="007C5FDE">
        <w:rPr>
          <w:rFonts w:cs="Arial"/>
          <w:sz w:val="21"/>
          <w:szCs w:val="21"/>
        </w:rPr>
        <w:t>underpinned by</w:t>
      </w:r>
      <w:r w:rsidRPr="00644682">
        <w:rPr>
          <w:rFonts w:cs="Arial"/>
          <w:sz w:val="21"/>
          <w:szCs w:val="21"/>
        </w:rPr>
        <w:t xml:space="preserve"> </w:t>
      </w:r>
      <w:r>
        <w:rPr>
          <w:rFonts w:cs="Arial"/>
          <w:sz w:val="21"/>
          <w:szCs w:val="21"/>
        </w:rPr>
        <w:t>s</w:t>
      </w:r>
      <w:r w:rsidRPr="00644682">
        <w:rPr>
          <w:rFonts w:cs="Arial"/>
          <w:sz w:val="21"/>
          <w:szCs w:val="21"/>
        </w:rPr>
        <w:t>tructural undersupply, a strong economy, and supportive government polic</w:t>
      </w:r>
      <w:r>
        <w:rPr>
          <w:rFonts w:cs="Arial"/>
          <w:sz w:val="21"/>
          <w:szCs w:val="21"/>
        </w:rPr>
        <w:t>y</w:t>
      </w:r>
      <w:r w:rsidRPr="00644682">
        <w:rPr>
          <w:rFonts w:cs="Arial"/>
          <w:sz w:val="21"/>
          <w:szCs w:val="21"/>
        </w:rPr>
        <w:t>.</w:t>
      </w:r>
    </w:p>
    <w:p w14:paraId="3EA2611C" w14:textId="6ADCF5E8" w:rsidR="00ED4FB7" w:rsidRDefault="00ED4FB7" w:rsidP="00ED4FB7">
      <w:pPr>
        <w:ind w:left="360"/>
        <w:rPr>
          <w:rFonts w:cs="Arial"/>
          <w:sz w:val="21"/>
          <w:szCs w:val="21"/>
        </w:rPr>
      </w:pPr>
      <w:r>
        <w:rPr>
          <w:rFonts w:cs="Arial"/>
          <w:sz w:val="21"/>
          <w:szCs w:val="21"/>
        </w:rPr>
        <w:t xml:space="preserve"> </w:t>
      </w:r>
    </w:p>
    <w:p w14:paraId="767434C7" w14:textId="77777777" w:rsidR="00ED4FB7" w:rsidRDefault="00ED4FB7" w:rsidP="00ED4FB7">
      <w:pPr>
        <w:ind w:left="360"/>
        <w:rPr>
          <w:rFonts w:cs="Arial"/>
          <w:sz w:val="21"/>
          <w:szCs w:val="21"/>
        </w:rPr>
      </w:pPr>
      <w:r>
        <w:rPr>
          <w:rFonts w:cs="Arial"/>
          <w:sz w:val="21"/>
          <w:szCs w:val="21"/>
        </w:rPr>
        <w:t>Our H1</w:t>
      </w:r>
      <w:r w:rsidRPr="00690095">
        <w:rPr>
          <w:rFonts w:cs="Arial"/>
          <w:sz w:val="21"/>
          <w:szCs w:val="21"/>
        </w:rPr>
        <w:t xml:space="preserve"> results </w:t>
      </w:r>
      <w:r>
        <w:rPr>
          <w:rFonts w:cs="Arial"/>
          <w:sz w:val="21"/>
          <w:szCs w:val="21"/>
        </w:rPr>
        <w:t>reflect</w:t>
      </w:r>
      <w:r w:rsidRPr="00690095">
        <w:rPr>
          <w:rFonts w:cs="Arial"/>
          <w:sz w:val="21"/>
          <w:szCs w:val="21"/>
        </w:rPr>
        <w:t xml:space="preserve"> </w:t>
      </w:r>
      <w:r>
        <w:rPr>
          <w:rFonts w:cs="Arial"/>
          <w:sz w:val="21"/>
          <w:szCs w:val="21"/>
        </w:rPr>
        <w:t>a strong sustained performance trend for the</w:t>
      </w:r>
      <w:r w:rsidRPr="00690095">
        <w:rPr>
          <w:rFonts w:cs="Arial"/>
          <w:sz w:val="21"/>
          <w:szCs w:val="21"/>
        </w:rPr>
        <w:t xml:space="preserve"> Group, aligned with </w:t>
      </w:r>
      <w:r>
        <w:rPr>
          <w:rFonts w:cs="Arial"/>
          <w:sz w:val="21"/>
          <w:szCs w:val="21"/>
        </w:rPr>
        <w:t>our</w:t>
      </w:r>
      <w:r w:rsidRPr="00690095">
        <w:rPr>
          <w:rFonts w:cs="Arial"/>
          <w:sz w:val="21"/>
          <w:szCs w:val="21"/>
        </w:rPr>
        <w:t xml:space="preserve"> FY 2025 guidance and medium-term delivery objectives. Margin expansion, revenue growth, and improved cash flow are the direct result of strategic choices made over recent years.</w:t>
      </w:r>
    </w:p>
    <w:p w14:paraId="4D9B5DED" w14:textId="77777777" w:rsidR="007C6AF6" w:rsidRDefault="007C6AF6" w:rsidP="00ED4FB7">
      <w:pPr>
        <w:ind w:left="360"/>
        <w:rPr>
          <w:rFonts w:cs="Arial"/>
          <w:sz w:val="21"/>
          <w:szCs w:val="21"/>
        </w:rPr>
      </w:pPr>
    </w:p>
    <w:p w14:paraId="6319ACAE" w14:textId="77777777" w:rsidR="00ED4FB7" w:rsidRPr="00B57000" w:rsidRDefault="00ED4FB7" w:rsidP="00ED4FB7">
      <w:pPr>
        <w:pStyle w:val="ListParagraph"/>
        <w:numPr>
          <w:ilvl w:val="1"/>
          <w:numId w:val="45"/>
        </w:numPr>
        <w:spacing w:after="160"/>
        <w:contextualSpacing w:val="0"/>
        <w:rPr>
          <w:rFonts w:cs="Arial"/>
          <w:b/>
          <w:bCs/>
          <w:sz w:val="24"/>
          <w:szCs w:val="24"/>
        </w:rPr>
      </w:pPr>
      <w:r w:rsidRPr="00B57000">
        <w:rPr>
          <w:rFonts w:cs="Arial"/>
          <w:b/>
          <w:bCs/>
          <w:sz w:val="24"/>
          <w:szCs w:val="24"/>
        </w:rPr>
        <w:t xml:space="preserve">Group Sales </w:t>
      </w:r>
    </w:p>
    <w:p w14:paraId="6B0268BF" w14:textId="77777777" w:rsidR="00ED4FB7" w:rsidRDefault="00ED4FB7" w:rsidP="00ED4FB7">
      <w:pPr>
        <w:pStyle w:val="ListParagraph"/>
        <w:numPr>
          <w:ilvl w:val="1"/>
          <w:numId w:val="46"/>
        </w:numPr>
        <w:spacing w:after="160"/>
        <w:contextualSpacing w:val="0"/>
        <w:rPr>
          <w:rFonts w:cs="Arial"/>
          <w:b/>
          <w:bCs/>
          <w:sz w:val="21"/>
          <w:szCs w:val="21"/>
        </w:rPr>
      </w:pPr>
      <w:r w:rsidRPr="008736B5">
        <w:rPr>
          <w:rFonts w:cs="Arial"/>
          <w:b/>
          <w:bCs/>
          <w:sz w:val="21"/>
          <w:szCs w:val="21"/>
        </w:rPr>
        <w:t>Overview</w:t>
      </w:r>
    </w:p>
    <w:p w14:paraId="39C4B9FE" w14:textId="77777777" w:rsidR="00C42661" w:rsidRDefault="00ED4FB7" w:rsidP="00ED4FB7">
      <w:pPr>
        <w:ind w:left="1080"/>
        <w:rPr>
          <w:rFonts w:cs="Arial"/>
          <w:sz w:val="21"/>
          <w:szCs w:val="21"/>
        </w:rPr>
      </w:pPr>
      <w:r w:rsidRPr="03E9C12C">
        <w:rPr>
          <w:rFonts w:cs="Arial"/>
          <w:sz w:val="21"/>
          <w:szCs w:val="21"/>
        </w:rPr>
        <w:t xml:space="preserve">The Group delivered total revenue of €341.6 million in H1 2025 (H1 2024: €152.2 million), driven by the </w:t>
      </w:r>
      <w:r>
        <w:rPr>
          <w:rFonts w:cs="Arial"/>
          <w:sz w:val="21"/>
          <w:szCs w:val="21"/>
        </w:rPr>
        <w:t>sale</w:t>
      </w:r>
      <w:r w:rsidRPr="03E9C12C">
        <w:rPr>
          <w:rFonts w:cs="Arial"/>
          <w:sz w:val="21"/>
          <w:szCs w:val="21"/>
        </w:rPr>
        <w:t xml:space="preserve"> of 566 Homebuilding units (H1 2024: 294) and 339</w:t>
      </w:r>
      <w:r>
        <w:rPr>
          <w:rFonts w:cs="Arial"/>
          <w:sz w:val="21"/>
          <w:szCs w:val="21"/>
        </w:rPr>
        <w:t xml:space="preserve"> </w:t>
      </w:r>
      <w:r w:rsidRPr="03E9C12C">
        <w:rPr>
          <w:rFonts w:cs="Arial"/>
          <w:sz w:val="21"/>
          <w:szCs w:val="21"/>
        </w:rPr>
        <w:t>equivalent Partnership units</w:t>
      </w:r>
      <w:r>
        <w:rPr>
          <w:rFonts w:cs="Arial"/>
          <w:i/>
          <w:iCs/>
          <w:sz w:val="18"/>
          <w:szCs w:val="18"/>
          <w:vertAlign w:val="superscript"/>
        </w:rPr>
        <w:t>1</w:t>
      </w:r>
      <w:r w:rsidRPr="03E9C12C">
        <w:rPr>
          <w:rFonts w:cs="Arial"/>
          <w:sz w:val="21"/>
          <w:szCs w:val="21"/>
        </w:rPr>
        <w:t xml:space="preserve"> (H1 2024: 130). </w:t>
      </w:r>
    </w:p>
    <w:p w14:paraId="567969E9" w14:textId="0796A857" w:rsidR="00ED4FB7" w:rsidRDefault="00ED4FB7" w:rsidP="00ED4FB7">
      <w:pPr>
        <w:ind w:left="1080"/>
        <w:rPr>
          <w:rFonts w:cs="Arial"/>
          <w:sz w:val="21"/>
          <w:szCs w:val="21"/>
        </w:rPr>
      </w:pPr>
      <w:r w:rsidRPr="03E9C12C">
        <w:rPr>
          <w:rFonts w:cs="Arial"/>
          <w:sz w:val="21"/>
          <w:szCs w:val="21"/>
        </w:rPr>
        <w:t xml:space="preserve"> </w:t>
      </w:r>
    </w:p>
    <w:p w14:paraId="0AE0F9AC" w14:textId="77777777" w:rsidR="00ED4FB7" w:rsidRDefault="00ED4FB7" w:rsidP="00ED4FB7">
      <w:pPr>
        <w:ind w:left="1080"/>
        <w:rPr>
          <w:rFonts w:cs="Arial"/>
          <w:sz w:val="21"/>
          <w:szCs w:val="21"/>
        </w:rPr>
      </w:pPr>
      <w:r w:rsidRPr="00725EFF">
        <w:rPr>
          <w:rFonts w:cs="Arial"/>
          <w:sz w:val="21"/>
          <w:szCs w:val="21"/>
        </w:rPr>
        <w:t>Gross margin increased to 19.</w:t>
      </w:r>
      <w:r>
        <w:rPr>
          <w:rFonts w:cs="Arial"/>
          <w:sz w:val="21"/>
          <w:szCs w:val="21"/>
        </w:rPr>
        <w:t>5</w:t>
      </w:r>
      <w:r w:rsidRPr="00725EFF">
        <w:rPr>
          <w:rFonts w:cs="Arial"/>
          <w:sz w:val="21"/>
          <w:szCs w:val="21"/>
        </w:rPr>
        <w:t>% (H1 2024: 18.2%), supported by improved delivery mix, the benefits of standardisation</w:t>
      </w:r>
      <w:r>
        <w:rPr>
          <w:rFonts w:cs="Arial"/>
          <w:sz w:val="21"/>
          <w:szCs w:val="21"/>
        </w:rPr>
        <w:t xml:space="preserve"> across scale sites,</w:t>
      </w:r>
      <w:r w:rsidRPr="00725EFF">
        <w:rPr>
          <w:rFonts w:cs="Arial"/>
          <w:sz w:val="21"/>
          <w:szCs w:val="21"/>
        </w:rPr>
        <w:t xml:space="preserve"> and early returns from investment in off-site manufacturing.</w:t>
      </w:r>
    </w:p>
    <w:p w14:paraId="167C7EFE" w14:textId="77777777" w:rsidR="00617BE8" w:rsidRDefault="00617BE8" w:rsidP="00ED4FB7">
      <w:pPr>
        <w:ind w:left="1080"/>
        <w:rPr>
          <w:rFonts w:cs="Arial"/>
          <w:sz w:val="21"/>
          <w:szCs w:val="21"/>
        </w:rPr>
      </w:pPr>
    </w:p>
    <w:p w14:paraId="19A76D09" w14:textId="77777777" w:rsidR="00617BE8" w:rsidRDefault="00ED4FB7" w:rsidP="00ED4FB7">
      <w:pPr>
        <w:ind w:left="1077"/>
        <w:rPr>
          <w:rFonts w:cs="Arial"/>
          <w:sz w:val="21"/>
          <w:szCs w:val="21"/>
        </w:rPr>
      </w:pPr>
      <w:r w:rsidRPr="00CD2056">
        <w:rPr>
          <w:rFonts w:cs="Arial"/>
          <w:sz w:val="21"/>
          <w:szCs w:val="21"/>
        </w:rPr>
        <w:t xml:space="preserve">Customer satisfaction remains above 90% and </w:t>
      </w:r>
      <w:proofErr w:type="gramStart"/>
      <w:r w:rsidRPr="00CD2056">
        <w:rPr>
          <w:rFonts w:cs="Arial"/>
          <w:sz w:val="21"/>
          <w:szCs w:val="21"/>
        </w:rPr>
        <w:t>repeat</w:t>
      </w:r>
      <w:proofErr w:type="gramEnd"/>
      <w:r w:rsidRPr="00CD2056">
        <w:rPr>
          <w:rFonts w:cs="Arial"/>
          <w:sz w:val="21"/>
          <w:szCs w:val="21"/>
        </w:rPr>
        <w:t xml:space="preserve"> institutional and state partnerships continue to underpin demand.</w:t>
      </w:r>
    </w:p>
    <w:p w14:paraId="73D6EFC8" w14:textId="412092AA" w:rsidR="00ED4FB7" w:rsidRPr="00BC32D3" w:rsidRDefault="00ED4FB7" w:rsidP="00ED4FB7">
      <w:pPr>
        <w:ind w:left="1077"/>
        <w:rPr>
          <w:rFonts w:cs="Arial"/>
          <w:b/>
          <w:bCs/>
          <w:sz w:val="21"/>
          <w:szCs w:val="21"/>
        </w:rPr>
      </w:pPr>
      <w:r w:rsidRPr="00CD2056">
        <w:rPr>
          <w:rFonts w:cs="Arial"/>
          <w:sz w:val="21"/>
          <w:szCs w:val="21"/>
        </w:rPr>
        <w:t xml:space="preserve"> </w:t>
      </w:r>
      <w:r>
        <w:rPr>
          <w:rFonts w:cs="Arial"/>
          <w:sz w:val="21"/>
          <w:szCs w:val="21"/>
        </w:rPr>
        <w:t xml:space="preserve"> </w:t>
      </w:r>
    </w:p>
    <w:p w14:paraId="17B9C39F" w14:textId="77777777" w:rsidR="00ED4FB7" w:rsidRDefault="00ED4FB7" w:rsidP="00ED4FB7">
      <w:pPr>
        <w:ind w:left="1080"/>
        <w:rPr>
          <w:rFonts w:cs="Arial"/>
          <w:sz w:val="21"/>
          <w:szCs w:val="21"/>
        </w:rPr>
      </w:pPr>
      <w:r w:rsidRPr="001215E4">
        <w:rPr>
          <w:rFonts w:cs="Arial"/>
          <w:sz w:val="21"/>
          <w:szCs w:val="21"/>
        </w:rPr>
        <w:t xml:space="preserve">The Group’s performance in the first half is </w:t>
      </w:r>
      <w:r>
        <w:rPr>
          <w:rFonts w:cs="Arial"/>
          <w:sz w:val="21"/>
          <w:szCs w:val="21"/>
        </w:rPr>
        <w:t>consistent</w:t>
      </w:r>
      <w:r w:rsidRPr="001215E4">
        <w:rPr>
          <w:rFonts w:cs="Arial"/>
          <w:sz w:val="21"/>
          <w:szCs w:val="21"/>
        </w:rPr>
        <w:t xml:space="preserve"> with expectations and reflects continued progress against FY 2025 guidance. Completions are expected to accelerate in H2 </w:t>
      </w:r>
      <w:r>
        <w:rPr>
          <w:rFonts w:cs="Arial"/>
          <w:sz w:val="21"/>
          <w:szCs w:val="21"/>
        </w:rPr>
        <w:t>reflecting</w:t>
      </w:r>
      <w:r w:rsidRPr="001215E4">
        <w:rPr>
          <w:rFonts w:cs="Arial"/>
          <w:sz w:val="21"/>
          <w:szCs w:val="21"/>
        </w:rPr>
        <w:t xml:space="preserve"> historic</w:t>
      </w:r>
      <w:r>
        <w:rPr>
          <w:rFonts w:cs="Arial"/>
          <w:sz w:val="21"/>
          <w:szCs w:val="21"/>
        </w:rPr>
        <w:t>al</w:t>
      </w:r>
      <w:r w:rsidRPr="001215E4">
        <w:rPr>
          <w:rFonts w:cs="Arial"/>
          <w:sz w:val="21"/>
          <w:szCs w:val="21"/>
        </w:rPr>
        <w:t xml:space="preserve"> seasonality, and the Group remains on </w:t>
      </w:r>
      <w:r>
        <w:rPr>
          <w:rFonts w:cs="Arial"/>
          <w:sz w:val="21"/>
          <w:szCs w:val="21"/>
        </w:rPr>
        <w:t>course</w:t>
      </w:r>
      <w:r w:rsidRPr="001215E4">
        <w:rPr>
          <w:rFonts w:cs="Arial"/>
          <w:sz w:val="21"/>
          <w:szCs w:val="21"/>
        </w:rPr>
        <w:t xml:space="preserve"> to deliver 2,600 equivalent</w:t>
      </w:r>
      <w:r>
        <w:rPr>
          <w:rFonts w:cs="Arial"/>
          <w:i/>
          <w:iCs/>
          <w:sz w:val="18"/>
          <w:szCs w:val="18"/>
          <w:vertAlign w:val="superscript"/>
        </w:rPr>
        <w:t>1</w:t>
      </w:r>
      <w:r w:rsidRPr="001215E4">
        <w:rPr>
          <w:rFonts w:cs="Arial"/>
          <w:sz w:val="21"/>
          <w:szCs w:val="21"/>
        </w:rPr>
        <w:t xml:space="preserve"> units for the full year.</w:t>
      </w:r>
    </w:p>
    <w:p w14:paraId="1189E190" w14:textId="77777777" w:rsidR="00B57000" w:rsidRDefault="00B57000" w:rsidP="00ED4FB7">
      <w:pPr>
        <w:ind w:left="1080"/>
        <w:rPr>
          <w:rFonts w:cs="Arial"/>
          <w:sz w:val="21"/>
          <w:szCs w:val="21"/>
        </w:rPr>
      </w:pPr>
    </w:p>
    <w:p w14:paraId="44B299D7" w14:textId="77777777" w:rsidR="00EC00BC" w:rsidRDefault="00EC00BC" w:rsidP="00ED4FB7">
      <w:pPr>
        <w:ind w:left="1080"/>
        <w:rPr>
          <w:rFonts w:cs="Arial"/>
          <w:sz w:val="21"/>
          <w:szCs w:val="21"/>
        </w:rPr>
      </w:pPr>
    </w:p>
    <w:p w14:paraId="1E173A26" w14:textId="77777777" w:rsidR="00EC00BC" w:rsidRDefault="00EC00BC" w:rsidP="00ED4FB7">
      <w:pPr>
        <w:ind w:left="1080"/>
        <w:rPr>
          <w:rFonts w:cs="Arial"/>
          <w:sz w:val="21"/>
          <w:szCs w:val="21"/>
        </w:rPr>
      </w:pPr>
    </w:p>
    <w:p w14:paraId="38AA6D21" w14:textId="77777777" w:rsidR="00EC00BC" w:rsidRPr="00725EFF" w:rsidRDefault="00EC00BC" w:rsidP="00ED4FB7">
      <w:pPr>
        <w:ind w:left="1080"/>
        <w:rPr>
          <w:rFonts w:cs="Arial"/>
          <w:sz w:val="21"/>
          <w:szCs w:val="21"/>
        </w:rPr>
      </w:pPr>
    </w:p>
    <w:p w14:paraId="4C9256E5" w14:textId="77777777" w:rsidR="00ED4FB7" w:rsidRDefault="00ED4FB7" w:rsidP="00ED4FB7">
      <w:pPr>
        <w:pStyle w:val="ListParagraph"/>
        <w:numPr>
          <w:ilvl w:val="1"/>
          <w:numId w:val="46"/>
        </w:numPr>
        <w:spacing w:after="160"/>
        <w:contextualSpacing w:val="0"/>
        <w:rPr>
          <w:rFonts w:cs="Arial"/>
          <w:b/>
          <w:bCs/>
          <w:sz w:val="21"/>
          <w:szCs w:val="21"/>
        </w:rPr>
      </w:pPr>
      <w:r w:rsidRPr="00EA4AAD">
        <w:rPr>
          <w:rFonts w:cs="Arial"/>
          <w:b/>
          <w:bCs/>
          <w:sz w:val="21"/>
          <w:szCs w:val="21"/>
        </w:rPr>
        <w:t>Homebuilding</w:t>
      </w:r>
    </w:p>
    <w:p w14:paraId="251C6882" w14:textId="77777777" w:rsidR="00ED4FB7" w:rsidRDefault="00ED4FB7" w:rsidP="00ED4FB7">
      <w:pPr>
        <w:pStyle w:val="ListParagraph"/>
        <w:ind w:left="1080"/>
        <w:contextualSpacing w:val="0"/>
        <w:rPr>
          <w:rFonts w:cs="Arial"/>
          <w:sz w:val="21"/>
          <w:szCs w:val="21"/>
        </w:rPr>
      </w:pPr>
      <w:r w:rsidRPr="009F5D13">
        <w:rPr>
          <w:rFonts w:cs="Arial"/>
          <w:sz w:val="21"/>
          <w:szCs w:val="21"/>
        </w:rPr>
        <w:t>The Homebuilding segment continues to perform</w:t>
      </w:r>
      <w:r>
        <w:rPr>
          <w:rFonts w:cs="Arial"/>
          <w:sz w:val="21"/>
          <w:szCs w:val="21"/>
        </w:rPr>
        <w:t xml:space="preserve"> strongly, driven by </w:t>
      </w:r>
      <w:r w:rsidRPr="009F5D13">
        <w:rPr>
          <w:rFonts w:cs="Arial"/>
          <w:sz w:val="21"/>
          <w:szCs w:val="21"/>
        </w:rPr>
        <w:t>sustained demand for high-quality, own-door housing</w:t>
      </w:r>
      <w:r>
        <w:rPr>
          <w:rFonts w:cs="Arial"/>
          <w:sz w:val="21"/>
          <w:szCs w:val="21"/>
        </w:rPr>
        <w:t xml:space="preserve">. The supply of new homes is underpinned by </w:t>
      </w:r>
      <w:r w:rsidRPr="00783DEC">
        <w:rPr>
          <w:rFonts w:cs="Arial"/>
          <w:sz w:val="21"/>
          <w:szCs w:val="21"/>
        </w:rPr>
        <w:t>population growth</w:t>
      </w:r>
      <w:r>
        <w:rPr>
          <w:rFonts w:cs="Arial"/>
          <w:sz w:val="21"/>
          <w:szCs w:val="21"/>
        </w:rPr>
        <w:t xml:space="preserve">, a </w:t>
      </w:r>
      <w:r w:rsidRPr="00783DEC">
        <w:rPr>
          <w:rFonts w:cs="Arial"/>
          <w:sz w:val="21"/>
          <w:szCs w:val="21"/>
        </w:rPr>
        <w:t xml:space="preserve">resilient economy </w:t>
      </w:r>
      <w:r>
        <w:rPr>
          <w:rFonts w:cs="Arial"/>
          <w:sz w:val="21"/>
          <w:szCs w:val="21"/>
        </w:rPr>
        <w:t xml:space="preserve">and </w:t>
      </w:r>
      <w:r w:rsidRPr="009D1A96">
        <w:rPr>
          <w:rFonts w:cs="Arial"/>
          <w:sz w:val="21"/>
          <w:szCs w:val="21"/>
        </w:rPr>
        <w:t>targeted government initiatives such as Help to Buy and the First Home Scheme</w:t>
      </w:r>
      <w:r>
        <w:rPr>
          <w:rFonts w:cs="Arial"/>
          <w:sz w:val="21"/>
          <w:szCs w:val="21"/>
        </w:rPr>
        <w:t>.</w:t>
      </w:r>
    </w:p>
    <w:p w14:paraId="2DF5E446" w14:textId="77777777" w:rsidR="00291C21" w:rsidRDefault="00291C21" w:rsidP="00ED4FB7">
      <w:pPr>
        <w:pStyle w:val="ListParagraph"/>
        <w:ind w:left="1080"/>
        <w:contextualSpacing w:val="0"/>
        <w:rPr>
          <w:rFonts w:cs="Arial"/>
          <w:sz w:val="21"/>
          <w:szCs w:val="21"/>
        </w:rPr>
      </w:pPr>
    </w:p>
    <w:p w14:paraId="4DE20A7C" w14:textId="77777777" w:rsidR="00ED4FB7" w:rsidRDefault="00ED4FB7" w:rsidP="00ED4FB7">
      <w:pPr>
        <w:pStyle w:val="ListParagraph"/>
        <w:ind w:left="1080"/>
        <w:contextualSpacing w:val="0"/>
        <w:rPr>
          <w:rFonts w:cs="Arial"/>
          <w:sz w:val="21"/>
          <w:szCs w:val="21"/>
        </w:rPr>
      </w:pPr>
      <w:r w:rsidRPr="00180311">
        <w:rPr>
          <w:rFonts w:cs="Arial"/>
          <w:sz w:val="21"/>
          <w:szCs w:val="21"/>
        </w:rPr>
        <w:t>Revenue from the Homebuilding segment was €218.4 million, an increase of 114% from H1 2024 (€10</w:t>
      </w:r>
      <w:r>
        <w:rPr>
          <w:rFonts w:cs="Arial"/>
          <w:sz w:val="21"/>
          <w:szCs w:val="21"/>
        </w:rPr>
        <w:t>1</w:t>
      </w:r>
      <w:r w:rsidRPr="00180311">
        <w:rPr>
          <w:rFonts w:cs="Arial"/>
          <w:sz w:val="21"/>
          <w:szCs w:val="21"/>
        </w:rPr>
        <w:t>.</w:t>
      </w:r>
      <w:r>
        <w:rPr>
          <w:rFonts w:cs="Arial"/>
          <w:sz w:val="21"/>
          <w:szCs w:val="21"/>
        </w:rPr>
        <w:t>6</w:t>
      </w:r>
      <w:r w:rsidRPr="00180311">
        <w:rPr>
          <w:rFonts w:cs="Arial"/>
          <w:sz w:val="21"/>
          <w:szCs w:val="21"/>
        </w:rPr>
        <w:t xml:space="preserve"> million)</w:t>
      </w:r>
      <w:r>
        <w:rPr>
          <w:rFonts w:cs="Arial"/>
          <w:sz w:val="21"/>
          <w:szCs w:val="21"/>
        </w:rPr>
        <w:t xml:space="preserve">, </w:t>
      </w:r>
      <w:r w:rsidRPr="00027C91">
        <w:rPr>
          <w:rFonts w:cs="Arial"/>
          <w:sz w:val="21"/>
          <w:szCs w:val="21"/>
        </w:rPr>
        <w:t xml:space="preserve">with 566 units completed across active sites. </w:t>
      </w:r>
      <w:r w:rsidRPr="009F03B2">
        <w:rPr>
          <w:rFonts w:cs="Arial"/>
          <w:sz w:val="21"/>
          <w:szCs w:val="21"/>
        </w:rPr>
        <w:t xml:space="preserve">This sustained momentum, building on the strategic progress made in FY 2024, reflects </w:t>
      </w:r>
      <w:proofErr w:type="spellStart"/>
      <w:r w:rsidRPr="009F03B2">
        <w:rPr>
          <w:rFonts w:cs="Arial"/>
          <w:sz w:val="21"/>
          <w:szCs w:val="21"/>
        </w:rPr>
        <w:t>Glenveagh’s</w:t>
      </w:r>
      <w:proofErr w:type="spellEnd"/>
      <w:r w:rsidRPr="009F03B2">
        <w:rPr>
          <w:rFonts w:cs="Arial"/>
          <w:sz w:val="21"/>
          <w:szCs w:val="21"/>
        </w:rPr>
        <w:t xml:space="preserve"> </w:t>
      </w:r>
      <w:r>
        <w:rPr>
          <w:rFonts w:cs="Arial"/>
          <w:sz w:val="21"/>
          <w:szCs w:val="21"/>
        </w:rPr>
        <w:t>strategic</w:t>
      </w:r>
      <w:r w:rsidRPr="009F03B2">
        <w:rPr>
          <w:rFonts w:cs="Arial"/>
          <w:sz w:val="21"/>
          <w:szCs w:val="21"/>
        </w:rPr>
        <w:t xml:space="preserve"> focus on scal</w:t>
      </w:r>
      <w:r>
        <w:rPr>
          <w:rFonts w:cs="Arial"/>
          <w:sz w:val="21"/>
          <w:szCs w:val="21"/>
        </w:rPr>
        <w:t>e</w:t>
      </w:r>
      <w:r w:rsidRPr="009F03B2">
        <w:rPr>
          <w:rFonts w:cs="Arial"/>
          <w:sz w:val="21"/>
          <w:szCs w:val="21"/>
        </w:rPr>
        <w:t xml:space="preserve"> delivery, standardisation, and vertical integration. The benefits of this approach are now </w:t>
      </w:r>
      <w:r>
        <w:rPr>
          <w:rFonts w:cs="Arial"/>
          <w:sz w:val="21"/>
          <w:szCs w:val="21"/>
        </w:rPr>
        <w:t xml:space="preserve">embedded </w:t>
      </w:r>
      <w:r w:rsidRPr="009F03B2">
        <w:rPr>
          <w:rFonts w:cs="Arial"/>
          <w:sz w:val="21"/>
          <w:szCs w:val="21"/>
        </w:rPr>
        <w:t>across the business, driving efficiency, consistency, and margin resilience.</w:t>
      </w:r>
    </w:p>
    <w:p w14:paraId="29EED0A6" w14:textId="77777777" w:rsidR="001D3AF2" w:rsidRDefault="001D3AF2" w:rsidP="00ED4FB7">
      <w:pPr>
        <w:pStyle w:val="ListParagraph"/>
        <w:ind w:left="1080"/>
        <w:contextualSpacing w:val="0"/>
        <w:rPr>
          <w:rFonts w:cs="Arial"/>
          <w:sz w:val="21"/>
          <w:szCs w:val="21"/>
        </w:rPr>
      </w:pPr>
    </w:p>
    <w:p w14:paraId="58AFD8EF" w14:textId="77777777" w:rsidR="00104EBB" w:rsidRDefault="00ED4FB7" w:rsidP="00ED4FB7">
      <w:pPr>
        <w:pStyle w:val="ListParagraph"/>
        <w:ind w:left="1080"/>
        <w:contextualSpacing w:val="0"/>
        <w:rPr>
          <w:rFonts w:cs="Arial"/>
          <w:sz w:val="21"/>
          <w:szCs w:val="21"/>
        </w:rPr>
      </w:pPr>
      <w:r w:rsidRPr="002C26EE">
        <w:rPr>
          <w:rFonts w:cs="Arial"/>
          <w:sz w:val="21"/>
          <w:szCs w:val="21"/>
        </w:rPr>
        <w:t>The segment benefited from substantial completions</w:t>
      </w:r>
      <w:r>
        <w:rPr>
          <w:rFonts w:cs="Arial"/>
          <w:sz w:val="21"/>
          <w:szCs w:val="21"/>
        </w:rPr>
        <w:t xml:space="preserve"> including</w:t>
      </w:r>
      <w:r w:rsidRPr="002C26EE">
        <w:rPr>
          <w:rFonts w:cs="Arial"/>
          <w:sz w:val="21"/>
          <w:szCs w:val="21"/>
        </w:rPr>
        <w:t xml:space="preserve"> at Kilmartin</w:t>
      </w:r>
      <w:r>
        <w:rPr>
          <w:rFonts w:cs="Arial"/>
          <w:sz w:val="21"/>
          <w:szCs w:val="21"/>
        </w:rPr>
        <w:t xml:space="preserve"> Grove</w:t>
      </w:r>
      <w:r w:rsidRPr="002C26EE">
        <w:rPr>
          <w:rFonts w:cs="Arial"/>
          <w:sz w:val="21"/>
          <w:szCs w:val="21"/>
        </w:rPr>
        <w:t xml:space="preserve">, which has now delivered </w:t>
      </w:r>
      <w:r>
        <w:rPr>
          <w:rFonts w:cs="Arial"/>
          <w:sz w:val="21"/>
          <w:szCs w:val="21"/>
        </w:rPr>
        <w:t>approximately</w:t>
      </w:r>
      <w:r w:rsidRPr="002C26EE">
        <w:rPr>
          <w:rFonts w:cs="Arial"/>
          <w:sz w:val="21"/>
          <w:szCs w:val="21"/>
        </w:rPr>
        <w:t xml:space="preserve"> </w:t>
      </w:r>
      <w:r>
        <w:rPr>
          <w:rFonts w:cs="Arial"/>
          <w:sz w:val="21"/>
          <w:szCs w:val="21"/>
        </w:rPr>
        <w:t xml:space="preserve">800 </w:t>
      </w:r>
      <w:r w:rsidRPr="002C26EE">
        <w:rPr>
          <w:rFonts w:cs="Arial"/>
          <w:sz w:val="21"/>
          <w:szCs w:val="21"/>
        </w:rPr>
        <w:t>units across 2024 and 2025, and the successful completion of</w:t>
      </w:r>
      <w:r>
        <w:rPr>
          <w:rFonts w:cs="Arial"/>
          <w:sz w:val="21"/>
          <w:szCs w:val="21"/>
        </w:rPr>
        <w:t xml:space="preserve"> our development at</w:t>
      </w:r>
      <w:r w:rsidRPr="002C26EE">
        <w:rPr>
          <w:rFonts w:cs="Arial"/>
          <w:sz w:val="21"/>
          <w:szCs w:val="21"/>
        </w:rPr>
        <w:t xml:space="preserve"> </w:t>
      </w:r>
      <w:r>
        <w:rPr>
          <w:rFonts w:cs="Arial"/>
          <w:sz w:val="21"/>
          <w:szCs w:val="21"/>
        </w:rPr>
        <w:t>Hereford Park</w:t>
      </w:r>
      <w:r w:rsidRPr="002C26EE">
        <w:rPr>
          <w:rFonts w:cs="Arial"/>
          <w:sz w:val="21"/>
          <w:szCs w:val="21"/>
        </w:rPr>
        <w:t>, which commenced in 2024</w:t>
      </w:r>
      <w:r>
        <w:rPr>
          <w:rFonts w:cs="Arial"/>
          <w:sz w:val="21"/>
          <w:szCs w:val="21"/>
        </w:rPr>
        <w:t xml:space="preserve"> delivering over 200 units</w:t>
      </w:r>
      <w:r w:rsidRPr="002C26EE">
        <w:rPr>
          <w:rFonts w:cs="Arial"/>
          <w:sz w:val="21"/>
          <w:szCs w:val="21"/>
        </w:rPr>
        <w:t>.</w:t>
      </w:r>
    </w:p>
    <w:p w14:paraId="73B906EB" w14:textId="26CE701D" w:rsidR="00ED4FB7" w:rsidRDefault="00ED4FB7" w:rsidP="00ED4FB7">
      <w:pPr>
        <w:pStyle w:val="ListParagraph"/>
        <w:ind w:left="1080"/>
        <w:contextualSpacing w:val="0"/>
        <w:rPr>
          <w:rFonts w:cs="Arial"/>
          <w:sz w:val="21"/>
          <w:szCs w:val="21"/>
        </w:rPr>
      </w:pPr>
      <w:r w:rsidRPr="002C26EE">
        <w:rPr>
          <w:rFonts w:cs="Arial"/>
          <w:sz w:val="21"/>
          <w:szCs w:val="21"/>
        </w:rPr>
        <w:t xml:space="preserve"> </w:t>
      </w:r>
    </w:p>
    <w:p w14:paraId="1C4B5757" w14:textId="77777777" w:rsidR="00ED4FB7" w:rsidRDefault="00ED4FB7" w:rsidP="00ED4FB7">
      <w:pPr>
        <w:pStyle w:val="ListParagraph"/>
        <w:ind w:left="1080"/>
        <w:contextualSpacing w:val="0"/>
        <w:rPr>
          <w:rFonts w:cs="Arial"/>
          <w:sz w:val="21"/>
          <w:szCs w:val="21"/>
        </w:rPr>
      </w:pPr>
      <w:r w:rsidRPr="00B856FF">
        <w:rPr>
          <w:rFonts w:cs="Arial"/>
          <w:sz w:val="21"/>
          <w:szCs w:val="21"/>
        </w:rPr>
        <w:t>New site openings in Portlaoise, Mullingar, and Oldtown are also moving forward, supporting future delivery and reinforcing the Group’s scalable growth strategy.</w:t>
      </w:r>
    </w:p>
    <w:p w14:paraId="116262B9" w14:textId="77777777" w:rsidR="00ED4FB7" w:rsidRDefault="00ED4FB7" w:rsidP="00ED4FB7">
      <w:pPr>
        <w:pStyle w:val="ListParagraph"/>
        <w:ind w:left="1080"/>
        <w:contextualSpacing w:val="0"/>
        <w:rPr>
          <w:rFonts w:cs="Arial"/>
          <w:sz w:val="21"/>
          <w:szCs w:val="21"/>
        </w:rPr>
      </w:pPr>
      <w:r>
        <w:rPr>
          <w:rFonts w:cs="Arial"/>
          <w:sz w:val="21"/>
          <w:szCs w:val="21"/>
        </w:rPr>
        <w:t>A</w:t>
      </w:r>
      <w:r w:rsidRPr="00180311">
        <w:rPr>
          <w:rFonts w:cs="Arial"/>
          <w:sz w:val="21"/>
          <w:szCs w:val="21"/>
        </w:rPr>
        <w:t>verage selling price (ASP)</w:t>
      </w:r>
      <w:r>
        <w:rPr>
          <w:rFonts w:cs="Arial"/>
          <w:sz w:val="21"/>
          <w:szCs w:val="21"/>
        </w:rPr>
        <w:t xml:space="preserve"> in H1 2025</w:t>
      </w:r>
      <w:r w:rsidRPr="00180311">
        <w:rPr>
          <w:rFonts w:cs="Arial"/>
          <w:sz w:val="21"/>
          <w:szCs w:val="21"/>
        </w:rPr>
        <w:t xml:space="preserve"> </w:t>
      </w:r>
      <w:r w:rsidRPr="00671DE7">
        <w:rPr>
          <w:rFonts w:cs="Arial"/>
          <w:sz w:val="21"/>
          <w:szCs w:val="21"/>
        </w:rPr>
        <w:t>was €</w:t>
      </w:r>
      <w:r w:rsidRPr="00BE00B0">
        <w:rPr>
          <w:rFonts w:cs="Arial"/>
          <w:sz w:val="21"/>
          <w:szCs w:val="21"/>
        </w:rPr>
        <w:t>377k</w:t>
      </w:r>
      <w:r>
        <w:rPr>
          <w:rFonts w:cs="Arial"/>
          <w:sz w:val="21"/>
          <w:szCs w:val="21"/>
        </w:rPr>
        <w:t xml:space="preserve"> </w:t>
      </w:r>
      <w:r w:rsidRPr="00671DE7">
        <w:rPr>
          <w:rFonts w:cs="Arial"/>
          <w:sz w:val="21"/>
          <w:szCs w:val="21"/>
        </w:rPr>
        <w:t>(H1 2024</w:t>
      </w:r>
      <w:r w:rsidRPr="00180311">
        <w:rPr>
          <w:rFonts w:cs="Arial"/>
          <w:sz w:val="21"/>
          <w:szCs w:val="21"/>
        </w:rPr>
        <w:t>: €329k)</w:t>
      </w:r>
      <w:r>
        <w:rPr>
          <w:rFonts w:cs="Arial"/>
          <w:sz w:val="21"/>
          <w:szCs w:val="21"/>
        </w:rPr>
        <w:t xml:space="preserve"> or </w:t>
      </w:r>
      <w:r w:rsidRPr="00180311">
        <w:rPr>
          <w:rFonts w:cs="Arial"/>
          <w:sz w:val="21"/>
          <w:szCs w:val="21"/>
        </w:rPr>
        <w:t>€</w:t>
      </w:r>
      <w:r w:rsidRPr="00DD02F5">
        <w:rPr>
          <w:rFonts w:cs="Arial"/>
          <w:sz w:val="21"/>
          <w:szCs w:val="21"/>
        </w:rPr>
        <w:t>366k</w:t>
      </w:r>
      <w:r>
        <w:rPr>
          <w:rFonts w:cs="Arial"/>
          <w:sz w:val="21"/>
          <w:szCs w:val="21"/>
        </w:rPr>
        <w:t xml:space="preserve"> excluding the Group’s sale and e</w:t>
      </w:r>
      <w:r w:rsidRPr="005D4985">
        <w:rPr>
          <w:rFonts w:cs="Arial"/>
          <w:sz w:val="21"/>
          <w:szCs w:val="21"/>
        </w:rPr>
        <w:t xml:space="preserve">xit from </w:t>
      </w:r>
      <w:r>
        <w:rPr>
          <w:rFonts w:cs="Arial"/>
          <w:sz w:val="21"/>
          <w:szCs w:val="21"/>
        </w:rPr>
        <w:t xml:space="preserve">the </w:t>
      </w:r>
      <w:r w:rsidRPr="005D4985">
        <w:rPr>
          <w:rFonts w:cs="Arial"/>
          <w:sz w:val="21"/>
          <w:szCs w:val="21"/>
        </w:rPr>
        <w:t xml:space="preserve">final two non-core properties at Shrewsbury </w:t>
      </w:r>
      <w:r>
        <w:rPr>
          <w:rFonts w:cs="Arial"/>
          <w:sz w:val="21"/>
          <w:szCs w:val="21"/>
        </w:rPr>
        <w:t>R</w:t>
      </w:r>
      <w:r w:rsidRPr="005D4985">
        <w:rPr>
          <w:rFonts w:cs="Arial"/>
          <w:sz w:val="21"/>
          <w:szCs w:val="21"/>
        </w:rPr>
        <w:t>oad</w:t>
      </w:r>
      <w:r>
        <w:rPr>
          <w:rFonts w:cs="Arial"/>
          <w:sz w:val="21"/>
          <w:szCs w:val="21"/>
        </w:rPr>
        <w:t xml:space="preserve">. The </w:t>
      </w:r>
      <w:r w:rsidRPr="00570A99">
        <w:rPr>
          <w:rFonts w:cs="Arial"/>
          <w:sz w:val="21"/>
          <w:szCs w:val="21"/>
        </w:rPr>
        <w:t xml:space="preserve">ASP uplift reflects </w:t>
      </w:r>
      <w:r>
        <w:rPr>
          <w:rFonts w:cs="Arial"/>
          <w:sz w:val="21"/>
          <w:szCs w:val="21"/>
        </w:rPr>
        <w:t xml:space="preserve">site </w:t>
      </w:r>
      <w:r w:rsidRPr="00570A99">
        <w:rPr>
          <w:rFonts w:cs="Arial"/>
          <w:sz w:val="21"/>
          <w:szCs w:val="21"/>
        </w:rPr>
        <w:t>mix</w:t>
      </w:r>
      <w:r>
        <w:rPr>
          <w:rFonts w:cs="Arial"/>
          <w:sz w:val="21"/>
          <w:szCs w:val="21"/>
        </w:rPr>
        <w:t xml:space="preserve"> and </w:t>
      </w:r>
      <w:r w:rsidRPr="00570A99">
        <w:rPr>
          <w:rFonts w:cs="Arial"/>
          <w:sz w:val="21"/>
          <w:szCs w:val="21"/>
        </w:rPr>
        <w:t xml:space="preserve">is expected to </w:t>
      </w:r>
      <w:r>
        <w:rPr>
          <w:rFonts w:cs="Arial"/>
          <w:sz w:val="21"/>
          <w:szCs w:val="21"/>
        </w:rPr>
        <w:t xml:space="preserve">reduce to </w:t>
      </w:r>
      <w:r w:rsidRPr="00570A99">
        <w:rPr>
          <w:rFonts w:cs="Arial"/>
          <w:sz w:val="21"/>
          <w:szCs w:val="21"/>
        </w:rPr>
        <w:t>approximately €345k</w:t>
      </w:r>
      <w:r>
        <w:rPr>
          <w:rFonts w:cs="Arial"/>
          <w:sz w:val="21"/>
          <w:szCs w:val="21"/>
        </w:rPr>
        <w:t xml:space="preserve"> for the full year (FY 2024 €365k).</w:t>
      </w:r>
    </w:p>
    <w:p w14:paraId="38CDB306" w14:textId="77777777" w:rsidR="00185A3B" w:rsidRPr="00570A99" w:rsidRDefault="00185A3B" w:rsidP="00ED4FB7">
      <w:pPr>
        <w:pStyle w:val="ListParagraph"/>
        <w:ind w:left="1080"/>
        <w:contextualSpacing w:val="0"/>
        <w:rPr>
          <w:rFonts w:cs="Arial"/>
          <w:sz w:val="21"/>
          <w:szCs w:val="21"/>
        </w:rPr>
      </w:pPr>
    </w:p>
    <w:p w14:paraId="7AD09808" w14:textId="77777777" w:rsidR="00185A3B" w:rsidRDefault="00ED4FB7" w:rsidP="00ED4FB7">
      <w:pPr>
        <w:pStyle w:val="ListParagraph"/>
        <w:ind w:left="1080"/>
        <w:contextualSpacing w:val="0"/>
        <w:rPr>
          <w:rFonts w:cs="Arial"/>
          <w:sz w:val="21"/>
          <w:szCs w:val="21"/>
        </w:rPr>
      </w:pPr>
      <w:r w:rsidRPr="00D11296">
        <w:rPr>
          <w:rFonts w:cs="Arial"/>
          <w:sz w:val="21"/>
          <w:szCs w:val="21"/>
        </w:rPr>
        <w:t xml:space="preserve">Gross margin in the segment expanded to 21.4% (H1 2024: 19.7%), </w:t>
      </w:r>
      <w:r w:rsidRPr="0035787E">
        <w:rPr>
          <w:rFonts w:cs="Arial"/>
          <w:sz w:val="21"/>
          <w:szCs w:val="21"/>
        </w:rPr>
        <w:t>driven by a favourable site mix during the period and further enhanced by our differentiated model that combines standardisation, scalable sites, and vertical integration</w:t>
      </w:r>
      <w:r w:rsidRPr="00D11296">
        <w:rPr>
          <w:rFonts w:cs="Arial"/>
          <w:sz w:val="21"/>
          <w:szCs w:val="21"/>
        </w:rPr>
        <w:t>.</w:t>
      </w:r>
    </w:p>
    <w:p w14:paraId="06721CF1" w14:textId="4659B70F" w:rsidR="00ED4FB7" w:rsidRDefault="00ED4FB7" w:rsidP="00ED4FB7">
      <w:pPr>
        <w:pStyle w:val="ListParagraph"/>
        <w:ind w:left="1080"/>
        <w:contextualSpacing w:val="0"/>
        <w:rPr>
          <w:rFonts w:cs="Arial"/>
          <w:sz w:val="21"/>
          <w:szCs w:val="21"/>
        </w:rPr>
      </w:pPr>
      <w:r>
        <w:rPr>
          <w:rFonts w:cs="Arial"/>
          <w:sz w:val="21"/>
          <w:szCs w:val="21"/>
        </w:rPr>
        <w:t xml:space="preserve"> </w:t>
      </w:r>
    </w:p>
    <w:p w14:paraId="62CCF2D6" w14:textId="77777777" w:rsidR="00ED4FB7" w:rsidRDefault="00ED4FB7" w:rsidP="00ED4FB7">
      <w:pPr>
        <w:pStyle w:val="ListParagraph"/>
        <w:ind w:left="1080"/>
        <w:contextualSpacing w:val="0"/>
        <w:rPr>
          <w:rFonts w:cs="Arial"/>
          <w:sz w:val="21"/>
          <w:szCs w:val="21"/>
        </w:rPr>
      </w:pPr>
      <w:r>
        <w:rPr>
          <w:rFonts w:cs="Arial"/>
          <w:sz w:val="21"/>
          <w:szCs w:val="21"/>
        </w:rPr>
        <w:t xml:space="preserve">Underlying </w:t>
      </w:r>
      <w:r w:rsidRPr="00F225D3">
        <w:rPr>
          <w:rFonts w:cs="Arial"/>
          <w:sz w:val="21"/>
          <w:szCs w:val="21"/>
        </w:rPr>
        <w:t>g</w:t>
      </w:r>
      <w:r>
        <w:rPr>
          <w:rFonts w:cs="Arial"/>
          <w:sz w:val="21"/>
          <w:szCs w:val="21"/>
        </w:rPr>
        <w:t>ro</w:t>
      </w:r>
      <w:r w:rsidRPr="00F225D3">
        <w:rPr>
          <w:rFonts w:cs="Arial"/>
          <w:sz w:val="21"/>
          <w:szCs w:val="21"/>
        </w:rPr>
        <w:t>ss margin</w:t>
      </w:r>
      <w:r>
        <w:rPr>
          <w:rFonts w:cs="Arial"/>
          <w:sz w:val="21"/>
          <w:szCs w:val="21"/>
        </w:rPr>
        <w:t xml:space="preserve"> in the Homebuilding segment</w:t>
      </w:r>
      <w:r w:rsidRPr="00F225D3">
        <w:rPr>
          <w:rFonts w:cs="Arial"/>
          <w:sz w:val="21"/>
          <w:szCs w:val="21"/>
        </w:rPr>
        <w:t xml:space="preserve"> ex</w:t>
      </w:r>
      <w:r>
        <w:rPr>
          <w:rFonts w:cs="Arial"/>
          <w:sz w:val="21"/>
          <w:szCs w:val="21"/>
        </w:rPr>
        <w:t>c</w:t>
      </w:r>
      <w:r w:rsidRPr="00F225D3">
        <w:rPr>
          <w:rFonts w:cs="Arial"/>
          <w:sz w:val="21"/>
          <w:szCs w:val="21"/>
        </w:rPr>
        <w:t xml:space="preserve">luding </w:t>
      </w:r>
      <w:r>
        <w:rPr>
          <w:rFonts w:cs="Arial"/>
          <w:sz w:val="21"/>
          <w:szCs w:val="21"/>
        </w:rPr>
        <w:t xml:space="preserve">non-core sales at </w:t>
      </w:r>
      <w:r w:rsidRPr="00F225D3">
        <w:rPr>
          <w:rFonts w:cs="Arial"/>
          <w:sz w:val="21"/>
          <w:szCs w:val="21"/>
        </w:rPr>
        <w:t>Shrewsbury</w:t>
      </w:r>
      <w:r>
        <w:rPr>
          <w:rFonts w:cs="Arial"/>
          <w:sz w:val="21"/>
          <w:szCs w:val="21"/>
        </w:rPr>
        <w:t xml:space="preserve"> Road</w:t>
      </w:r>
      <w:r w:rsidRPr="00F225D3">
        <w:rPr>
          <w:rFonts w:cs="Arial"/>
          <w:sz w:val="21"/>
          <w:szCs w:val="21"/>
        </w:rPr>
        <w:t xml:space="preserve"> and land sales was 22.8%</w:t>
      </w:r>
      <w:r>
        <w:rPr>
          <w:rFonts w:cs="Arial"/>
          <w:sz w:val="21"/>
          <w:szCs w:val="21"/>
        </w:rPr>
        <w:t xml:space="preserve">, again reflecting favourable site mix. </w:t>
      </w:r>
    </w:p>
    <w:p w14:paraId="600A4B82" w14:textId="77777777" w:rsidR="00185A3B" w:rsidRDefault="00ED4FB7" w:rsidP="00ED4FB7">
      <w:pPr>
        <w:pStyle w:val="ListParagraph"/>
        <w:ind w:left="1080"/>
        <w:contextualSpacing w:val="0"/>
        <w:rPr>
          <w:rFonts w:cs="Arial"/>
          <w:sz w:val="21"/>
          <w:szCs w:val="21"/>
        </w:rPr>
      </w:pPr>
      <w:r w:rsidRPr="00AE3943">
        <w:rPr>
          <w:rFonts w:cs="Arial"/>
          <w:sz w:val="21"/>
          <w:szCs w:val="21"/>
        </w:rPr>
        <w:t xml:space="preserve">Aligned with </w:t>
      </w:r>
      <w:r>
        <w:rPr>
          <w:rFonts w:cs="Arial"/>
          <w:sz w:val="21"/>
          <w:szCs w:val="21"/>
        </w:rPr>
        <w:t>the embedded</w:t>
      </w:r>
      <w:r w:rsidRPr="00AE3943">
        <w:rPr>
          <w:rFonts w:cs="Arial"/>
          <w:sz w:val="21"/>
          <w:szCs w:val="21"/>
        </w:rPr>
        <w:t xml:space="preserve"> margins on recent </w:t>
      </w:r>
      <w:r>
        <w:rPr>
          <w:rFonts w:cs="Arial"/>
          <w:sz w:val="21"/>
          <w:szCs w:val="21"/>
        </w:rPr>
        <w:t xml:space="preserve">site </w:t>
      </w:r>
      <w:r w:rsidRPr="00AE3943">
        <w:rPr>
          <w:rFonts w:cs="Arial"/>
          <w:sz w:val="21"/>
          <w:szCs w:val="21"/>
        </w:rPr>
        <w:t xml:space="preserve">acquisitions, spot Homebuilding margins in the Group’s medium-term delivery pipeline </w:t>
      </w:r>
      <w:r>
        <w:rPr>
          <w:rFonts w:cs="Arial"/>
          <w:sz w:val="21"/>
          <w:szCs w:val="21"/>
        </w:rPr>
        <w:t>are estimated to be</w:t>
      </w:r>
      <w:r w:rsidRPr="00AE3943">
        <w:rPr>
          <w:rFonts w:cs="Arial"/>
          <w:sz w:val="21"/>
          <w:szCs w:val="21"/>
        </w:rPr>
        <w:t xml:space="preserve"> approximately 21% with site mix continuing to be </w:t>
      </w:r>
      <w:r>
        <w:rPr>
          <w:rFonts w:cs="Arial"/>
          <w:sz w:val="21"/>
          <w:szCs w:val="21"/>
        </w:rPr>
        <w:t>a</w:t>
      </w:r>
      <w:r w:rsidRPr="00AE3943">
        <w:rPr>
          <w:rFonts w:cs="Arial"/>
          <w:sz w:val="21"/>
          <w:szCs w:val="21"/>
        </w:rPr>
        <w:t xml:space="preserve"> principal driver as the business monetises its vintage landbank and scales to 2,000 units.</w:t>
      </w:r>
    </w:p>
    <w:p w14:paraId="6B8CD8CD" w14:textId="2F656617" w:rsidR="00ED4FB7" w:rsidRPr="00AE3943" w:rsidRDefault="00ED4FB7" w:rsidP="00ED4FB7">
      <w:pPr>
        <w:pStyle w:val="ListParagraph"/>
        <w:ind w:left="1080"/>
        <w:contextualSpacing w:val="0"/>
        <w:rPr>
          <w:rFonts w:cs="Arial"/>
          <w:sz w:val="21"/>
          <w:szCs w:val="21"/>
        </w:rPr>
      </w:pPr>
      <w:r w:rsidRPr="00AE3943">
        <w:rPr>
          <w:rFonts w:cs="Arial"/>
          <w:sz w:val="21"/>
          <w:szCs w:val="21"/>
        </w:rPr>
        <w:t xml:space="preserve"> </w:t>
      </w:r>
    </w:p>
    <w:p w14:paraId="1566213E" w14:textId="77777777" w:rsidR="00ED4FB7" w:rsidRDefault="00ED4FB7" w:rsidP="00ED4FB7">
      <w:pPr>
        <w:pStyle w:val="ListParagraph"/>
        <w:ind w:left="1080"/>
        <w:contextualSpacing w:val="0"/>
        <w:rPr>
          <w:rFonts w:cs="Arial"/>
          <w:sz w:val="21"/>
          <w:szCs w:val="21"/>
        </w:rPr>
      </w:pPr>
      <w:r w:rsidRPr="00783DEC">
        <w:rPr>
          <w:rFonts w:cs="Arial"/>
          <w:sz w:val="21"/>
          <w:szCs w:val="21"/>
        </w:rPr>
        <w:t xml:space="preserve">The Group remains confident in delivering </w:t>
      </w:r>
      <w:r>
        <w:rPr>
          <w:rFonts w:cs="Arial"/>
          <w:sz w:val="21"/>
          <w:szCs w:val="21"/>
        </w:rPr>
        <w:t xml:space="preserve">approximately </w:t>
      </w:r>
      <w:r w:rsidRPr="00783DEC">
        <w:rPr>
          <w:rFonts w:cs="Arial"/>
          <w:sz w:val="21"/>
          <w:szCs w:val="21"/>
        </w:rPr>
        <w:t>1,500 Homebuilding units in FY 2025</w:t>
      </w:r>
      <w:r>
        <w:rPr>
          <w:rFonts w:cs="Arial"/>
          <w:sz w:val="21"/>
          <w:szCs w:val="21"/>
        </w:rPr>
        <w:t xml:space="preserve"> and</w:t>
      </w:r>
      <w:r w:rsidRPr="00783DEC">
        <w:rPr>
          <w:rFonts w:cs="Arial"/>
          <w:sz w:val="21"/>
          <w:szCs w:val="21"/>
        </w:rPr>
        <w:t xml:space="preserve"> is on track to increase annual output to approximately 1,900 units by 2027, supported by a well-positioned landbank</w:t>
      </w:r>
      <w:r>
        <w:rPr>
          <w:rFonts w:cs="Arial"/>
          <w:sz w:val="21"/>
          <w:szCs w:val="21"/>
        </w:rPr>
        <w:t>, strong progress on planning permissions</w:t>
      </w:r>
      <w:r w:rsidRPr="00783DEC">
        <w:rPr>
          <w:rFonts w:cs="Arial"/>
          <w:sz w:val="21"/>
          <w:szCs w:val="21"/>
        </w:rPr>
        <w:t xml:space="preserve"> and a strong forward order book.</w:t>
      </w:r>
    </w:p>
    <w:p w14:paraId="32C950CB" w14:textId="77777777" w:rsidR="007D5DAA" w:rsidRPr="00783DEC" w:rsidRDefault="007D5DAA" w:rsidP="00ED4FB7">
      <w:pPr>
        <w:pStyle w:val="ListParagraph"/>
        <w:ind w:left="1080"/>
        <w:contextualSpacing w:val="0"/>
        <w:rPr>
          <w:rFonts w:cs="Arial"/>
          <w:sz w:val="21"/>
          <w:szCs w:val="21"/>
        </w:rPr>
      </w:pPr>
    </w:p>
    <w:p w14:paraId="0A16093D" w14:textId="77777777" w:rsidR="00ED4FB7" w:rsidRDefault="00ED4FB7" w:rsidP="00ED4FB7">
      <w:pPr>
        <w:pStyle w:val="ListParagraph"/>
        <w:numPr>
          <w:ilvl w:val="1"/>
          <w:numId w:val="46"/>
        </w:numPr>
        <w:spacing w:after="160"/>
        <w:contextualSpacing w:val="0"/>
        <w:rPr>
          <w:rFonts w:cs="Arial"/>
          <w:b/>
          <w:bCs/>
          <w:sz w:val="21"/>
          <w:szCs w:val="21"/>
        </w:rPr>
      </w:pPr>
      <w:r w:rsidRPr="00EA4AAD">
        <w:rPr>
          <w:rFonts w:cs="Arial"/>
          <w:b/>
          <w:bCs/>
          <w:sz w:val="21"/>
          <w:szCs w:val="21"/>
        </w:rPr>
        <w:t>Partnerships</w:t>
      </w:r>
    </w:p>
    <w:p w14:paraId="0A6D281B" w14:textId="77777777" w:rsidR="00ED4FB7" w:rsidRDefault="00ED4FB7" w:rsidP="00ED4FB7">
      <w:pPr>
        <w:pStyle w:val="ListParagraph"/>
        <w:spacing w:after="120"/>
        <w:ind w:left="1077"/>
        <w:contextualSpacing w:val="0"/>
        <w:rPr>
          <w:rFonts w:cs="Arial"/>
          <w:sz w:val="21"/>
          <w:szCs w:val="21"/>
        </w:rPr>
      </w:pPr>
      <w:r w:rsidRPr="00821883">
        <w:rPr>
          <w:rFonts w:cs="Arial"/>
          <w:sz w:val="21"/>
          <w:szCs w:val="21"/>
        </w:rPr>
        <w:t>The Partnerships segment continues to grow in scale and significance, delivering revenue of €123.2 million</w:t>
      </w:r>
      <w:r>
        <w:rPr>
          <w:rFonts w:cs="Arial"/>
          <w:sz w:val="21"/>
          <w:szCs w:val="21"/>
        </w:rPr>
        <w:t xml:space="preserve"> </w:t>
      </w:r>
      <w:r w:rsidRPr="00821883">
        <w:rPr>
          <w:rFonts w:cs="Arial"/>
          <w:sz w:val="21"/>
          <w:szCs w:val="21"/>
        </w:rPr>
        <w:t>in H1 2025 (H1 2024: €</w:t>
      </w:r>
      <w:r>
        <w:rPr>
          <w:rFonts w:cs="Arial"/>
          <w:sz w:val="21"/>
          <w:szCs w:val="21"/>
        </w:rPr>
        <w:t>50.6</w:t>
      </w:r>
      <w:r w:rsidRPr="00821883">
        <w:rPr>
          <w:rFonts w:cs="Arial"/>
          <w:sz w:val="21"/>
          <w:szCs w:val="21"/>
        </w:rPr>
        <w:t xml:space="preserve"> million)</w:t>
      </w:r>
      <w:r>
        <w:rPr>
          <w:rFonts w:cs="Arial"/>
          <w:sz w:val="21"/>
          <w:szCs w:val="21"/>
        </w:rPr>
        <w:t xml:space="preserve"> </w:t>
      </w:r>
      <w:r w:rsidRPr="00821883">
        <w:rPr>
          <w:rFonts w:cs="Arial"/>
          <w:sz w:val="21"/>
          <w:szCs w:val="21"/>
        </w:rPr>
        <w:t>and gross profit of €20.</w:t>
      </w:r>
      <w:r>
        <w:rPr>
          <w:rFonts w:cs="Arial"/>
          <w:sz w:val="21"/>
          <w:szCs w:val="21"/>
        </w:rPr>
        <w:t>0</w:t>
      </w:r>
      <w:r w:rsidRPr="00821883">
        <w:rPr>
          <w:rFonts w:cs="Arial"/>
          <w:sz w:val="21"/>
          <w:szCs w:val="21"/>
        </w:rPr>
        <w:t xml:space="preserve"> million</w:t>
      </w:r>
      <w:r w:rsidRPr="004860C8">
        <w:rPr>
          <w:rFonts w:cs="Arial"/>
          <w:sz w:val="21"/>
          <w:szCs w:val="21"/>
        </w:rPr>
        <w:t xml:space="preserve"> (H1 2024: €7.6 million),</w:t>
      </w:r>
      <w:r w:rsidRPr="00821883">
        <w:rPr>
          <w:rFonts w:cs="Arial"/>
          <w:sz w:val="21"/>
          <w:szCs w:val="21"/>
        </w:rPr>
        <w:t xml:space="preserve"> marking </w:t>
      </w:r>
      <w:r>
        <w:rPr>
          <w:rFonts w:cs="Arial"/>
          <w:sz w:val="21"/>
          <w:szCs w:val="21"/>
        </w:rPr>
        <w:t>a significantly increased</w:t>
      </w:r>
      <w:r w:rsidRPr="00821883">
        <w:rPr>
          <w:rFonts w:cs="Arial"/>
          <w:sz w:val="21"/>
          <w:szCs w:val="21"/>
        </w:rPr>
        <w:t xml:space="preserve"> contribution at the interim stage. </w:t>
      </w:r>
    </w:p>
    <w:p w14:paraId="18A8371A" w14:textId="77777777" w:rsidR="00ED4FB7" w:rsidRDefault="00ED4FB7" w:rsidP="00ED4FB7">
      <w:pPr>
        <w:pStyle w:val="ListParagraph"/>
        <w:spacing w:after="120"/>
        <w:ind w:left="1077"/>
        <w:contextualSpacing w:val="0"/>
        <w:rPr>
          <w:rFonts w:cs="Arial"/>
          <w:sz w:val="21"/>
          <w:szCs w:val="21"/>
        </w:rPr>
      </w:pPr>
      <w:r w:rsidRPr="00DB1605">
        <w:rPr>
          <w:rFonts w:cs="Arial"/>
          <w:sz w:val="21"/>
          <w:szCs w:val="21"/>
        </w:rPr>
        <w:t>Th</w:t>
      </w:r>
      <w:r>
        <w:rPr>
          <w:rFonts w:cs="Arial"/>
          <w:sz w:val="21"/>
          <w:szCs w:val="21"/>
        </w:rPr>
        <w:t>e</w:t>
      </w:r>
      <w:r w:rsidRPr="00DB1605">
        <w:rPr>
          <w:rFonts w:cs="Arial"/>
          <w:sz w:val="21"/>
          <w:szCs w:val="21"/>
        </w:rPr>
        <w:t xml:space="preserve"> performance reflects </w:t>
      </w:r>
      <w:proofErr w:type="spellStart"/>
      <w:r w:rsidRPr="00DB1605">
        <w:rPr>
          <w:rFonts w:cs="Arial"/>
          <w:sz w:val="21"/>
          <w:szCs w:val="21"/>
        </w:rPr>
        <w:t>Glenveagh’s</w:t>
      </w:r>
      <w:proofErr w:type="spellEnd"/>
      <w:r w:rsidRPr="00DB1605">
        <w:rPr>
          <w:rFonts w:cs="Arial"/>
          <w:sz w:val="21"/>
          <w:szCs w:val="21"/>
        </w:rPr>
        <w:t xml:space="preserve"> strategic focus on expanding its Partnerships platform in a disciplined and sustainable manner, leveraging its planning, design, and manufacturing capabilities to deliver high-quality housing at pace in collaboration with the State.</w:t>
      </w:r>
    </w:p>
    <w:p w14:paraId="0856A921" w14:textId="77777777" w:rsidR="00ED4FB7" w:rsidRPr="00DB1605" w:rsidRDefault="00ED4FB7" w:rsidP="00ED4FB7">
      <w:pPr>
        <w:pStyle w:val="ListParagraph"/>
        <w:spacing w:after="120"/>
        <w:ind w:left="1077"/>
        <w:contextualSpacing w:val="0"/>
        <w:rPr>
          <w:rFonts w:cs="Arial"/>
          <w:sz w:val="21"/>
          <w:szCs w:val="21"/>
        </w:rPr>
      </w:pPr>
      <w:r w:rsidRPr="00DB1605">
        <w:rPr>
          <w:rFonts w:cs="Arial"/>
          <w:sz w:val="21"/>
          <w:szCs w:val="21"/>
        </w:rPr>
        <w:t xml:space="preserve">All six active sites are progressing well, with continued contributions from </w:t>
      </w:r>
      <w:proofErr w:type="spellStart"/>
      <w:r w:rsidRPr="00DB1605">
        <w:rPr>
          <w:rFonts w:cs="Arial"/>
          <w:sz w:val="21"/>
          <w:szCs w:val="21"/>
        </w:rPr>
        <w:t>Ballymastone</w:t>
      </w:r>
      <w:proofErr w:type="spellEnd"/>
      <w:r w:rsidRPr="00DB1605">
        <w:rPr>
          <w:rFonts w:cs="Arial"/>
          <w:sz w:val="21"/>
          <w:szCs w:val="21"/>
        </w:rPr>
        <w:t xml:space="preserve">, Oscar Traynor Road, and Foxwood Barn. </w:t>
      </w:r>
      <w:r w:rsidRPr="00DB1605" w:rsidDel="005C0486">
        <w:rPr>
          <w:rFonts w:cs="Arial"/>
          <w:sz w:val="21"/>
          <w:szCs w:val="21"/>
        </w:rPr>
        <w:t>New c</w:t>
      </w:r>
      <w:r w:rsidRPr="00DB1605">
        <w:rPr>
          <w:rFonts w:cs="Arial"/>
          <w:sz w:val="21"/>
          <w:szCs w:val="21"/>
        </w:rPr>
        <w:t>ontributions from Mooretown</w:t>
      </w:r>
      <w:r>
        <w:rPr>
          <w:rFonts w:cs="Arial"/>
          <w:sz w:val="21"/>
          <w:szCs w:val="21"/>
        </w:rPr>
        <w:t>, New Road</w:t>
      </w:r>
      <w:r w:rsidRPr="00DB1605">
        <w:rPr>
          <w:rFonts w:cs="Arial"/>
          <w:sz w:val="21"/>
          <w:szCs w:val="21"/>
        </w:rPr>
        <w:t xml:space="preserve"> </w:t>
      </w:r>
      <w:r w:rsidRPr="00DB1605">
        <w:rPr>
          <w:rFonts w:cs="Arial"/>
          <w:sz w:val="21"/>
          <w:szCs w:val="21"/>
        </w:rPr>
        <w:lastRenderedPageBreak/>
        <w:t xml:space="preserve">and the LDA-backed Cork Docklands development have commenced, while </w:t>
      </w:r>
      <w:r>
        <w:rPr>
          <w:rFonts w:cs="Arial"/>
          <w:sz w:val="21"/>
          <w:szCs w:val="21"/>
        </w:rPr>
        <w:t xml:space="preserve">former Urban development sales at Academy Street </w:t>
      </w:r>
      <w:r w:rsidRPr="00DB1605">
        <w:rPr>
          <w:rFonts w:cs="Arial"/>
          <w:sz w:val="21"/>
          <w:szCs w:val="21"/>
        </w:rPr>
        <w:t>and Semple Woods are expected to materially support H2 revenues.</w:t>
      </w:r>
      <w:r>
        <w:rPr>
          <w:rFonts w:cs="Arial"/>
          <w:sz w:val="21"/>
          <w:szCs w:val="21"/>
        </w:rPr>
        <w:t xml:space="preserve"> </w:t>
      </w:r>
      <w:r w:rsidRPr="001D075E">
        <w:rPr>
          <w:rFonts w:cs="Arial"/>
          <w:sz w:val="21"/>
          <w:szCs w:val="21"/>
        </w:rPr>
        <w:t>The Group’s active engagement and delivery track record continue to reinforce its position as a partner of choice for public sector housing projects.</w:t>
      </w:r>
    </w:p>
    <w:p w14:paraId="7DBF6633" w14:textId="77777777" w:rsidR="00F360B7" w:rsidRDefault="00ED4FB7" w:rsidP="00ED4FB7">
      <w:pPr>
        <w:pStyle w:val="ListParagraph"/>
        <w:ind w:left="1077"/>
        <w:contextualSpacing w:val="0"/>
        <w:rPr>
          <w:rFonts w:cs="Arial"/>
          <w:sz w:val="21"/>
          <w:szCs w:val="21"/>
        </w:rPr>
      </w:pPr>
      <w:r w:rsidRPr="00821883">
        <w:rPr>
          <w:rFonts w:cs="Arial"/>
          <w:sz w:val="21"/>
          <w:szCs w:val="21"/>
        </w:rPr>
        <w:t>Gross margin</w:t>
      </w:r>
      <w:r>
        <w:rPr>
          <w:rFonts w:cs="Arial"/>
          <w:sz w:val="21"/>
          <w:szCs w:val="21"/>
        </w:rPr>
        <w:t xml:space="preserve"> in H1</w:t>
      </w:r>
      <w:r w:rsidRPr="00821883">
        <w:rPr>
          <w:rFonts w:cs="Arial"/>
          <w:sz w:val="21"/>
          <w:szCs w:val="21"/>
        </w:rPr>
        <w:t xml:space="preserve"> was 16.</w:t>
      </w:r>
      <w:r>
        <w:rPr>
          <w:rFonts w:cs="Arial"/>
          <w:sz w:val="21"/>
          <w:szCs w:val="21"/>
        </w:rPr>
        <w:t>2</w:t>
      </w:r>
      <w:r w:rsidRPr="00821883">
        <w:rPr>
          <w:rFonts w:cs="Arial"/>
          <w:sz w:val="21"/>
          <w:szCs w:val="21"/>
        </w:rPr>
        <w:t>% (H1 2024: 15.2%)</w:t>
      </w:r>
      <w:r>
        <w:rPr>
          <w:rFonts w:cs="Arial"/>
          <w:sz w:val="21"/>
          <w:szCs w:val="21"/>
        </w:rPr>
        <w:t xml:space="preserve">, </w:t>
      </w:r>
      <w:r w:rsidRPr="00DB1605">
        <w:rPr>
          <w:rFonts w:cs="Arial"/>
          <w:sz w:val="21"/>
          <w:szCs w:val="21"/>
        </w:rPr>
        <w:t xml:space="preserve">slightly ahead of target </w:t>
      </w:r>
      <w:r>
        <w:rPr>
          <w:rFonts w:cs="Arial"/>
          <w:sz w:val="21"/>
          <w:szCs w:val="21"/>
        </w:rPr>
        <w:t>owing to site and tenure mix</w:t>
      </w:r>
      <w:r w:rsidRPr="00BF1EF7">
        <w:rPr>
          <w:rFonts w:cs="Arial"/>
          <w:sz w:val="21"/>
          <w:szCs w:val="21"/>
        </w:rPr>
        <w:t>.</w:t>
      </w:r>
    </w:p>
    <w:p w14:paraId="7FA311CE" w14:textId="0503CC40" w:rsidR="00ED4FB7" w:rsidRDefault="00ED4FB7" w:rsidP="00ED4FB7">
      <w:pPr>
        <w:pStyle w:val="ListParagraph"/>
        <w:ind w:left="1077"/>
        <w:contextualSpacing w:val="0"/>
        <w:rPr>
          <w:rFonts w:cs="Arial"/>
          <w:sz w:val="21"/>
          <w:szCs w:val="21"/>
        </w:rPr>
      </w:pPr>
      <w:r>
        <w:rPr>
          <w:rFonts w:cs="Arial"/>
          <w:sz w:val="21"/>
          <w:szCs w:val="21"/>
        </w:rPr>
        <w:t xml:space="preserve"> </w:t>
      </w:r>
    </w:p>
    <w:p w14:paraId="2DEEFC3B" w14:textId="77777777" w:rsidR="00ED4FB7" w:rsidRDefault="00ED4FB7" w:rsidP="00ED4FB7">
      <w:pPr>
        <w:pStyle w:val="ListParagraph"/>
        <w:ind w:left="1077"/>
        <w:contextualSpacing w:val="0"/>
        <w:rPr>
          <w:rFonts w:cs="Arial"/>
          <w:sz w:val="21"/>
          <w:szCs w:val="21"/>
        </w:rPr>
      </w:pPr>
      <w:r w:rsidRPr="000E07B5">
        <w:rPr>
          <w:rFonts w:cs="Arial"/>
          <w:sz w:val="21"/>
          <w:szCs w:val="21"/>
        </w:rPr>
        <w:t xml:space="preserve">The Partnerships segment remains on track to deliver approximately €400 million in revenue in FY 2025. Furthermore, the maturing pipeline of opportunities is expected to continue supporting </w:t>
      </w:r>
      <w:r>
        <w:rPr>
          <w:rFonts w:cs="Arial"/>
          <w:sz w:val="21"/>
          <w:szCs w:val="21"/>
        </w:rPr>
        <w:t>more than</w:t>
      </w:r>
      <w:r w:rsidRPr="000E07B5">
        <w:rPr>
          <w:rFonts w:cs="Arial"/>
          <w:sz w:val="21"/>
          <w:szCs w:val="21"/>
        </w:rPr>
        <w:t xml:space="preserve"> €400 million in revenues over the medium term.</w:t>
      </w:r>
    </w:p>
    <w:p w14:paraId="063C441A" w14:textId="77777777" w:rsidR="0097772A" w:rsidRDefault="0097772A" w:rsidP="00ED4FB7">
      <w:pPr>
        <w:pStyle w:val="ListParagraph"/>
        <w:ind w:left="1077"/>
        <w:contextualSpacing w:val="0"/>
        <w:rPr>
          <w:rFonts w:cs="Arial"/>
          <w:sz w:val="21"/>
          <w:szCs w:val="21"/>
        </w:rPr>
      </w:pPr>
    </w:p>
    <w:p w14:paraId="03C60882" w14:textId="77777777" w:rsidR="0097772A" w:rsidRPr="000E07B5" w:rsidRDefault="0097772A" w:rsidP="00ED4FB7">
      <w:pPr>
        <w:pStyle w:val="ListParagraph"/>
        <w:ind w:left="1077"/>
        <w:contextualSpacing w:val="0"/>
        <w:rPr>
          <w:rFonts w:cs="Arial"/>
          <w:sz w:val="21"/>
          <w:szCs w:val="21"/>
        </w:rPr>
      </w:pPr>
    </w:p>
    <w:p w14:paraId="444F2898" w14:textId="77777777" w:rsidR="00ED4FB7" w:rsidRPr="00B23E9A" w:rsidRDefault="00ED4FB7" w:rsidP="00ED4FB7">
      <w:pPr>
        <w:pStyle w:val="ListParagraph"/>
        <w:numPr>
          <w:ilvl w:val="1"/>
          <w:numId w:val="45"/>
        </w:numPr>
        <w:spacing w:after="160"/>
        <w:contextualSpacing w:val="0"/>
        <w:rPr>
          <w:rFonts w:cs="Arial"/>
          <w:b/>
          <w:bCs/>
          <w:sz w:val="24"/>
          <w:szCs w:val="24"/>
        </w:rPr>
      </w:pPr>
      <w:r w:rsidRPr="00B23E9A">
        <w:rPr>
          <w:rFonts w:cs="Arial"/>
          <w:b/>
          <w:bCs/>
          <w:sz w:val="24"/>
          <w:szCs w:val="24"/>
        </w:rPr>
        <w:t xml:space="preserve">Forward order book </w:t>
      </w:r>
    </w:p>
    <w:p w14:paraId="2BD51BCC" w14:textId="77777777" w:rsidR="00ED4FB7" w:rsidRDefault="00ED4FB7" w:rsidP="00ED4FB7">
      <w:pPr>
        <w:pStyle w:val="ListParagraph"/>
        <w:ind w:left="1077"/>
        <w:contextualSpacing w:val="0"/>
        <w:rPr>
          <w:rFonts w:cs="Arial"/>
          <w:sz w:val="21"/>
          <w:szCs w:val="21"/>
        </w:rPr>
      </w:pPr>
      <w:r w:rsidRPr="001D0AAD">
        <w:rPr>
          <w:rFonts w:cs="Arial"/>
          <w:sz w:val="21"/>
          <w:szCs w:val="21"/>
        </w:rPr>
        <w:t xml:space="preserve">The Group’s closed and forward order book stands at approximately </w:t>
      </w:r>
      <w:r w:rsidRPr="00B03BF1">
        <w:rPr>
          <w:rFonts w:cs="Arial"/>
          <w:sz w:val="21"/>
          <w:szCs w:val="21"/>
        </w:rPr>
        <w:t>€</w:t>
      </w:r>
      <w:r>
        <w:rPr>
          <w:rFonts w:cs="Arial"/>
          <w:sz w:val="21"/>
          <w:szCs w:val="21"/>
        </w:rPr>
        <w:t>1.4</w:t>
      </w:r>
      <w:r w:rsidRPr="001D0AAD">
        <w:rPr>
          <w:rFonts w:cs="Arial"/>
          <w:sz w:val="21"/>
          <w:szCs w:val="21"/>
        </w:rPr>
        <w:t xml:space="preserve"> </w:t>
      </w:r>
      <w:r>
        <w:rPr>
          <w:rFonts w:cs="Arial"/>
          <w:sz w:val="21"/>
          <w:szCs w:val="21"/>
        </w:rPr>
        <w:t>b</w:t>
      </w:r>
      <w:r w:rsidRPr="001D0AAD">
        <w:rPr>
          <w:rFonts w:cs="Arial"/>
          <w:sz w:val="21"/>
          <w:szCs w:val="21"/>
        </w:rPr>
        <w:t>illion (H1 2024: €1.4 billion), providing strong visibility on deliveries for the remainder of FY 2025 and into early FY 2026.</w:t>
      </w:r>
    </w:p>
    <w:p w14:paraId="14688042" w14:textId="77777777" w:rsidR="00C30CB2" w:rsidRPr="001D0AAD" w:rsidRDefault="00C30CB2" w:rsidP="00ED4FB7">
      <w:pPr>
        <w:pStyle w:val="ListParagraph"/>
        <w:ind w:left="1077"/>
        <w:contextualSpacing w:val="0"/>
        <w:rPr>
          <w:rFonts w:cs="Arial"/>
          <w:sz w:val="21"/>
          <w:szCs w:val="21"/>
        </w:rPr>
      </w:pPr>
    </w:p>
    <w:p w14:paraId="7A046667" w14:textId="77777777" w:rsidR="00C30CB2" w:rsidRDefault="00ED4FB7" w:rsidP="00ED4FB7">
      <w:pPr>
        <w:pStyle w:val="ListParagraph"/>
        <w:ind w:left="1077"/>
        <w:contextualSpacing w:val="0"/>
        <w:rPr>
          <w:rFonts w:cs="Arial"/>
          <w:sz w:val="21"/>
          <w:szCs w:val="21"/>
        </w:rPr>
      </w:pPr>
      <w:r w:rsidRPr="001D0AAD">
        <w:rPr>
          <w:rFonts w:cs="Arial"/>
          <w:sz w:val="21"/>
          <w:szCs w:val="21"/>
        </w:rPr>
        <w:t>The Homebuilding order book remains robust, supported by strong reservation rates across all active selling sites and continued demand for high-quality, energy-efficient homes.</w:t>
      </w:r>
    </w:p>
    <w:p w14:paraId="29982D03" w14:textId="080D1C54" w:rsidR="00ED4FB7" w:rsidRPr="001D0AAD" w:rsidRDefault="00ED4FB7" w:rsidP="00ED4FB7">
      <w:pPr>
        <w:pStyle w:val="ListParagraph"/>
        <w:ind w:left="1077"/>
        <w:contextualSpacing w:val="0"/>
        <w:rPr>
          <w:rFonts w:cs="Arial"/>
          <w:sz w:val="21"/>
          <w:szCs w:val="21"/>
        </w:rPr>
      </w:pPr>
      <w:r w:rsidRPr="001D0AAD">
        <w:rPr>
          <w:rFonts w:cs="Arial"/>
          <w:sz w:val="21"/>
          <w:szCs w:val="21"/>
        </w:rPr>
        <w:t xml:space="preserve"> </w:t>
      </w:r>
    </w:p>
    <w:p w14:paraId="4E03A601" w14:textId="77777777" w:rsidR="00ED4FB7" w:rsidRDefault="00ED4FB7" w:rsidP="00ED4FB7">
      <w:pPr>
        <w:pStyle w:val="ListParagraph"/>
        <w:ind w:left="1077"/>
        <w:contextualSpacing w:val="0"/>
        <w:rPr>
          <w:rFonts w:cs="Arial"/>
          <w:sz w:val="21"/>
          <w:szCs w:val="21"/>
        </w:rPr>
      </w:pPr>
      <w:r w:rsidRPr="003413B1">
        <w:rPr>
          <w:rFonts w:cs="Arial"/>
          <w:sz w:val="21"/>
          <w:szCs w:val="21"/>
        </w:rPr>
        <w:t>Partnerships activity remains very strong, with forward purchase and forward fund agreements in place with public sector partners, including the LDA and Approved Housing Bodies.</w:t>
      </w:r>
    </w:p>
    <w:p w14:paraId="35A5F999" w14:textId="77777777" w:rsidR="00B23E9A" w:rsidRPr="00B23E9A" w:rsidRDefault="00B23E9A" w:rsidP="00ED4FB7">
      <w:pPr>
        <w:pStyle w:val="ListParagraph"/>
        <w:ind w:left="1077"/>
        <w:contextualSpacing w:val="0"/>
        <w:rPr>
          <w:rFonts w:cs="Arial"/>
          <w:sz w:val="24"/>
          <w:szCs w:val="24"/>
        </w:rPr>
      </w:pPr>
    </w:p>
    <w:p w14:paraId="7D044D00" w14:textId="77777777" w:rsidR="00ED4FB7" w:rsidRPr="00B23E9A" w:rsidRDefault="00ED4FB7" w:rsidP="00ED4FB7">
      <w:pPr>
        <w:pStyle w:val="ListParagraph"/>
        <w:numPr>
          <w:ilvl w:val="1"/>
          <w:numId w:val="45"/>
        </w:numPr>
        <w:spacing w:after="160"/>
        <w:contextualSpacing w:val="0"/>
        <w:rPr>
          <w:rFonts w:cs="Arial"/>
          <w:b/>
          <w:bCs/>
          <w:sz w:val="24"/>
          <w:szCs w:val="24"/>
        </w:rPr>
      </w:pPr>
      <w:r w:rsidRPr="00B23E9A">
        <w:rPr>
          <w:rFonts w:cs="Arial"/>
          <w:b/>
          <w:bCs/>
          <w:sz w:val="24"/>
          <w:szCs w:val="24"/>
        </w:rPr>
        <w:t>Planning progress and policy</w:t>
      </w:r>
    </w:p>
    <w:p w14:paraId="290AF4A2" w14:textId="77777777" w:rsidR="00ED4FB7" w:rsidRDefault="00ED4FB7" w:rsidP="00ED4FB7">
      <w:pPr>
        <w:pStyle w:val="ListParagraph"/>
        <w:ind w:left="1077"/>
        <w:contextualSpacing w:val="0"/>
        <w:rPr>
          <w:rFonts w:cs="Arial"/>
          <w:sz w:val="21"/>
          <w:szCs w:val="21"/>
        </w:rPr>
      </w:pPr>
      <w:r w:rsidRPr="00E02D21">
        <w:rPr>
          <w:rFonts w:cs="Arial"/>
          <w:sz w:val="21"/>
          <w:szCs w:val="21"/>
        </w:rPr>
        <w:t xml:space="preserve">Planning momentum remains </w:t>
      </w:r>
      <w:r>
        <w:rPr>
          <w:rFonts w:cs="Arial"/>
          <w:sz w:val="21"/>
          <w:szCs w:val="21"/>
        </w:rPr>
        <w:t>robust</w:t>
      </w:r>
      <w:r w:rsidRPr="00E02D21">
        <w:rPr>
          <w:rFonts w:cs="Arial"/>
          <w:sz w:val="21"/>
          <w:szCs w:val="21"/>
        </w:rPr>
        <w:t xml:space="preserve">, with permissions </w:t>
      </w:r>
      <w:r w:rsidRPr="00BC666F">
        <w:rPr>
          <w:rFonts w:cs="Arial"/>
          <w:sz w:val="21"/>
          <w:szCs w:val="21"/>
        </w:rPr>
        <w:t>secured for more than 1,500 units in H1 with all units for FY26 now with planning permissions granted. In addition, all units for FY27 are now planned or have active planning applications, supporting future growth and delivery.</w:t>
      </w:r>
    </w:p>
    <w:p w14:paraId="6505810A" w14:textId="77777777" w:rsidR="001F42FD" w:rsidRPr="00BC666F" w:rsidRDefault="001F42FD" w:rsidP="00ED4FB7">
      <w:pPr>
        <w:pStyle w:val="ListParagraph"/>
        <w:ind w:left="1077"/>
        <w:contextualSpacing w:val="0"/>
        <w:rPr>
          <w:rFonts w:cs="Arial"/>
          <w:sz w:val="21"/>
          <w:szCs w:val="21"/>
        </w:rPr>
      </w:pPr>
    </w:p>
    <w:p w14:paraId="2457B99A" w14:textId="77777777" w:rsidR="00ED4FB7" w:rsidRDefault="00ED4FB7" w:rsidP="00ED4FB7">
      <w:pPr>
        <w:pStyle w:val="ListParagraph"/>
        <w:ind w:left="1077"/>
        <w:contextualSpacing w:val="0"/>
        <w:rPr>
          <w:rFonts w:cs="Arial"/>
          <w:sz w:val="21"/>
          <w:szCs w:val="21"/>
        </w:rPr>
      </w:pPr>
      <w:r w:rsidRPr="00022CF6">
        <w:rPr>
          <w:rFonts w:cs="Arial"/>
          <w:sz w:val="21"/>
          <w:szCs w:val="21"/>
        </w:rPr>
        <w:t xml:space="preserve">The Group continues to benefit from an increasingly efficient planning environment, supported by the implementation of the Planning and Development Act 2024 which </w:t>
      </w:r>
      <w:r>
        <w:rPr>
          <w:rFonts w:cs="Arial"/>
          <w:sz w:val="21"/>
          <w:szCs w:val="21"/>
        </w:rPr>
        <w:t>has</w:t>
      </w:r>
      <w:r w:rsidRPr="00022CF6">
        <w:rPr>
          <w:rFonts w:cs="Arial"/>
          <w:sz w:val="21"/>
          <w:szCs w:val="21"/>
        </w:rPr>
        <w:t xml:space="preserve"> improve</w:t>
      </w:r>
      <w:r>
        <w:rPr>
          <w:rFonts w:cs="Arial"/>
          <w:sz w:val="21"/>
          <w:szCs w:val="21"/>
        </w:rPr>
        <w:t>d</w:t>
      </w:r>
      <w:r w:rsidRPr="00022CF6">
        <w:rPr>
          <w:rFonts w:cs="Arial"/>
          <w:sz w:val="21"/>
          <w:szCs w:val="21"/>
        </w:rPr>
        <w:t xml:space="preserve"> certainty across the development lifecycle and </w:t>
      </w:r>
      <w:r>
        <w:rPr>
          <w:rFonts w:cs="Arial"/>
          <w:sz w:val="21"/>
          <w:szCs w:val="21"/>
        </w:rPr>
        <w:t xml:space="preserve">is beginning to </w:t>
      </w:r>
      <w:r w:rsidRPr="00022CF6">
        <w:rPr>
          <w:rFonts w:cs="Arial"/>
          <w:sz w:val="21"/>
          <w:szCs w:val="21"/>
        </w:rPr>
        <w:t>unlock delivery on previously constrained sites.</w:t>
      </w:r>
    </w:p>
    <w:p w14:paraId="317C4D3C" w14:textId="77777777" w:rsidR="001F42FD" w:rsidRPr="00022CF6" w:rsidRDefault="001F42FD" w:rsidP="00ED4FB7">
      <w:pPr>
        <w:pStyle w:val="ListParagraph"/>
        <w:ind w:left="1077"/>
        <w:contextualSpacing w:val="0"/>
        <w:rPr>
          <w:rFonts w:cs="Arial"/>
          <w:sz w:val="21"/>
          <w:szCs w:val="21"/>
        </w:rPr>
      </w:pPr>
    </w:p>
    <w:p w14:paraId="54781F1D" w14:textId="77777777" w:rsidR="00ED4FB7" w:rsidRDefault="00ED4FB7" w:rsidP="00ED4FB7">
      <w:pPr>
        <w:pStyle w:val="ListParagraph"/>
        <w:ind w:left="1077"/>
        <w:contextualSpacing w:val="0"/>
        <w:rPr>
          <w:rFonts w:cs="Arial"/>
          <w:sz w:val="21"/>
          <w:szCs w:val="21"/>
        </w:rPr>
      </w:pPr>
      <w:proofErr w:type="spellStart"/>
      <w:r>
        <w:rPr>
          <w:rFonts w:cs="Arial"/>
          <w:sz w:val="21"/>
          <w:szCs w:val="21"/>
        </w:rPr>
        <w:t>Gl</w:t>
      </w:r>
      <w:r w:rsidRPr="00022CF6">
        <w:rPr>
          <w:rFonts w:cs="Arial"/>
          <w:sz w:val="21"/>
          <w:szCs w:val="21"/>
        </w:rPr>
        <w:t>enveagh’s</w:t>
      </w:r>
      <w:proofErr w:type="spellEnd"/>
      <w:r w:rsidRPr="00022CF6">
        <w:rPr>
          <w:rFonts w:cs="Arial"/>
          <w:sz w:val="21"/>
          <w:szCs w:val="21"/>
        </w:rPr>
        <w:t xml:space="preserve"> strong track record of high-quality submissions and proactive engagement with planning authorities positions the Group well to navigate the evolving policy landscape. The Group remains on track to lodge further applications in H2 2025 to support delivery into FY 2027 and beyond.</w:t>
      </w:r>
    </w:p>
    <w:p w14:paraId="3E9E7ADC" w14:textId="77777777" w:rsidR="001F42FD" w:rsidRPr="00022CF6" w:rsidRDefault="001F42FD" w:rsidP="00ED4FB7">
      <w:pPr>
        <w:pStyle w:val="ListParagraph"/>
        <w:ind w:left="1077"/>
        <w:contextualSpacing w:val="0"/>
        <w:rPr>
          <w:rFonts w:cs="Arial"/>
          <w:sz w:val="21"/>
          <w:szCs w:val="21"/>
        </w:rPr>
      </w:pPr>
    </w:p>
    <w:p w14:paraId="1F4E7108" w14:textId="77777777" w:rsidR="00ED4FB7" w:rsidRDefault="00ED4FB7" w:rsidP="00ED4FB7">
      <w:pPr>
        <w:pStyle w:val="ListParagraph"/>
        <w:ind w:left="1077"/>
        <w:contextualSpacing w:val="0"/>
        <w:rPr>
          <w:rFonts w:cs="Arial"/>
          <w:sz w:val="21"/>
          <w:szCs w:val="21"/>
        </w:rPr>
      </w:pPr>
      <w:r w:rsidRPr="00022CF6">
        <w:rPr>
          <w:rFonts w:cs="Arial"/>
          <w:sz w:val="21"/>
          <w:szCs w:val="21"/>
        </w:rPr>
        <w:t>The National Development Plan</w:t>
      </w:r>
      <w:r>
        <w:rPr>
          <w:rFonts w:cs="Arial"/>
          <w:sz w:val="21"/>
          <w:szCs w:val="21"/>
        </w:rPr>
        <w:t xml:space="preserve"> (“NDP”)</w:t>
      </w:r>
      <w:r w:rsidRPr="00022CF6">
        <w:rPr>
          <w:rFonts w:cs="Arial"/>
          <w:sz w:val="21"/>
          <w:szCs w:val="21"/>
        </w:rPr>
        <w:t xml:space="preserve"> and recent regulatory changes, including reforms to apartment design standards, are positive steps toward unlocking viab</w:t>
      </w:r>
      <w:r>
        <w:rPr>
          <w:rFonts w:cs="Arial"/>
          <w:sz w:val="21"/>
          <w:szCs w:val="21"/>
        </w:rPr>
        <w:t>le sites</w:t>
      </w:r>
      <w:r w:rsidRPr="00022CF6">
        <w:rPr>
          <w:rFonts w:cs="Arial"/>
          <w:sz w:val="21"/>
          <w:szCs w:val="21"/>
        </w:rPr>
        <w:t xml:space="preserve"> and accelerating delivery. Continued investment in infrastructure and planning reform will be key to meeting Ireland’s housing targets</w:t>
      </w:r>
      <w:r>
        <w:rPr>
          <w:rFonts w:cs="Arial"/>
          <w:sz w:val="21"/>
          <w:szCs w:val="21"/>
        </w:rPr>
        <w:t xml:space="preserve"> with planning reform critical to accelerating the impact of dedicated funding provided for as part of the NDP.</w:t>
      </w:r>
    </w:p>
    <w:p w14:paraId="63B05499" w14:textId="77777777" w:rsidR="008B068F" w:rsidRPr="008B068F" w:rsidRDefault="008B068F" w:rsidP="00ED4FB7">
      <w:pPr>
        <w:pStyle w:val="ListParagraph"/>
        <w:ind w:left="1077"/>
        <w:contextualSpacing w:val="0"/>
        <w:rPr>
          <w:rFonts w:cs="Arial"/>
          <w:sz w:val="24"/>
          <w:szCs w:val="24"/>
        </w:rPr>
      </w:pPr>
    </w:p>
    <w:p w14:paraId="1F52FD0D" w14:textId="77777777" w:rsidR="00ED4FB7" w:rsidRPr="008B068F" w:rsidRDefault="00ED4FB7" w:rsidP="00ED4FB7">
      <w:pPr>
        <w:pStyle w:val="ListParagraph"/>
        <w:numPr>
          <w:ilvl w:val="1"/>
          <w:numId w:val="45"/>
        </w:numPr>
        <w:spacing w:after="160"/>
        <w:contextualSpacing w:val="0"/>
        <w:rPr>
          <w:rFonts w:cs="Arial"/>
          <w:b/>
          <w:bCs/>
          <w:sz w:val="24"/>
          <w:szCs w:val="24"/>
        </w:rPr>
      </w:pPr>
      <w:r w:rsidRPr="008B068F">
        <w:rPr>
          <w:rFonts w:cs="Arial"/>
          <w:b/>
          <w:bCs/>
          <w:sz w:val="24"/>
          <w:szCs w:val="24"/>
        </w:rPr>
        <w:t>Development land portfolio management</w:t>
      </w:r>
    </w:p>
    <w:p w14:paraId="4DC29797" w14:textId="77777777" w:rsidR="00ED4FB7" w:rsidRDefault="00ED4FB7" w:rsidP="00ED4FB7">
      <w:pPr>
        <w:ind w:left="1080"/>
        <w:rPr>
          <w:rFonts w:cs="Arial"/>
          <w:sz w:val="21"/>
          <w:szCs w:val="21"/>
        </w:rPr>
      </w:pPr>
      <w:r w:rsidRPr="009C4478">
        <w:rPr>
          <w:rFonts w:cs="Arial"/>
          <w:sz w:val="21"/>
          <w:szCs w:val="21"/>
        </w:rPr>
        <w:t xml:space="preserve">The Group’s land portfolio continues to provide a solid foundation for future </w:t>
      </w:r>
      <w:r w:rsidRPr="00FB15EB">
        <w:rPr>
          <w:rFonts w:cs="Arial"/>
          <w:sz w:val="21"/>
          <w:szCs w:val="21"/>
        </w:rPr>
        <w:t>delivery, supporting 2,600–3,600 equivalent</w:t>
      </w:r>
      <w:r>
        <w:rPr>
          <w:rFonts w:cs="Arial"/>
          <w:i/>
          <w:iCs/>
          <w:sz w:val="18"/>
          <w:szCs w:val="18"/>
          <w:vertAlign w:val="superscript"/>
        </w:rPr>
        <w:t>1</w:t>
      </w:r>
      <w:r w:rsidRPr="00FB15EB">
        <w:rPr>
          <w:rFonts w:cs="Arial"/>
          <w:sz w:val="21"/>
          <w:szCs w:val="21"/>
        </w:rPr>
        <w:t xml:space="preserve"> unit completions per annum through to </w:t>
      </w:r>
      <w:r>
        <w:rPr>
          <w:rFonts w:cs="Arial"/>
          <w:sz w:val="21"/>
          <w:szCs w:val="21"/>
        </w:rPr>
        <w:t>2030</w:t>
      </w:r>
      <w:r w:rsidRPr="00987062">
        <w:rPr>
          <w:rFonts w:cs="Arial"/>
          <w:sz w:val="21"/>
          <w:szCs w:val="21"/>
        </w:rPr>
        <w:t xml:space="preserve"> </w:t>
      </w:r>
      <w:r>
        <w:rPr>
          <w:rFonts w:cs="Arial"/>
          <w:sz w:val="21"/>
          <w:szCs w:val="21"/>
        </w:rPr>
        <w:t xml:space="preserve">and </w:t>
      </w:r>
      <w:r w:rsidRPr="009C4478">
        <w:rPr>
          <w:rFonts w:cs="Arial"/>
          <w:sz w:val="21"/>
          <w:szCs w:val="21"/>
        </w:rPr>
        <w:t>underpin</w:t>
      </w:r>
      <w:r>
        <w:rPr>
          <w:rFonts w:cs="Arial"/>
          <w:sz w:val="21"/>
          <w:szCs w:val="21"/>
        </w:rPr>
        <w:t>s</w:t>
      </w:r>
      <w:r w:rsidRPr="009C4478">
        <w:rPr>
          <w:rFonts w:cs="Arial"/>
          <w:sz w:val="21"/>
          <w:szCs w:val="21"/>
        </w:rPr>
        <w:t xml:space="preserve"> our medium-term objectives</w:t>
      </w:r>
      <w:r>
        <w:rPr>
          <w:rFonts w:cs="Arial"/>
          <w:sz w:val="21"/>
          <w:szCs w:val="21"/>
        </w:rPr>
        <w:t>.</w:t>
      </w:r>
    </w:p>
    <w:p w14:paraId="1381E5D0" w14:textId="77777777" w:rsidR="000D40CD" w:rsidRDefault="00ED4FB7" w:rsidP="00ED4FB7">
      <w:pPr>
        <w:ind w:left="1080"/>
        <w:rPr>
          <w:rFonts w:cs="Arial"/>
          <w:sz w:val="21"/>
          <w:szCs w:val="21"/>
        </w:rPr>
      </w:pPr>
      <w:r w:rsidRPr="009C4478">
        <w:rPr>
          <w:rFonts w:cs="Arial"/>
          <w:sz w:val="21"/>
          <w:szCs w:val="21"/>
        </w:rPr>
        <w:lastRenderedPageBreak/>
        <w:t xml:space="preserve">The portfolio is well-balanced geographically with approximately </w:t>
      </w:r>
      <w:r>
        <w:rPr>
          <w:rFonts w:cs="Arial"/>
          <w:sz w:val="21"/>
          <w:szCs w:val="21"/>
        </w:rPr>
        <w:t>74</w:t>
      </w:r>
      <w:r w:rsidRPr="009C4478">
        <w:rPr>
          <w:rFonts w:cs="Arial"/>
          <w:sz w:val="21"/>
          <w:szCs w:val="21"/>
        </w:rPr>
        <w:t>% of units located in the Greater Dublin Area</w:t>
      </w:r>
      <w:r>
        <w:rPr>
          <w:rFonts w:cs="Arial"/>
          <w:sz w:val="21"/>
          <w:szCs w:val="21"/>
        </w:rPr>
        <w:t>, consistent with t</w:t>
      </w:r>
      <w:r w:rsidRPr="009C4478">
        <w:rPr>
          <w:rFonts w:cs="Arial"/>
          <w:sz w:val="21"/>
          <w:szCs w:val="21"/>
        </w:rPr>
        <w:t>he Group</w:t>
      </w:r>
      <w:r>
        <w:rPr>
          <w:rFonts w:cs="Arial"/>
          <w:sz w:val="21"/>
          <w:szCs w:val="21"/>
        </w:rPr>
        <w:t>’s</w:t>
      </w:r>
      <w:r w:rsidRPr="009C4478">
        <w:rPr>
          <w:rFonts w:cs="Arial"/>
          <w:sz w:val="21"/>
          <w:szCs w:val="21"/>
        </w:rPr>
        <w:t xml:space="preserve"> </w:t>
      </w:r>
      <w:r>
        <w:rPr>
          <w:rFonts w:cs="Arial"/>
          <w:sz w:val="21"/>
          <w:szCs w:val="21"/>
        </w:rPr>
        <w:t>strategic focus on</w:t>
      </w:r>
      <w:r w:rsidRPr="009C4478">
        <w:rPr>
          <w:rFonts w:cs="Arial"/>
          <w:sz w:val="21"/>
          <w:szCs w:val="21"/>
        </w:rPr>
        <w:t xml:space="preserve"> scale</w:t>
      </w:r>
      <w:r>
        <w:rPr>
          <w:rFonts w:cs="Arial"/>
          <w:sz w:val="21"/>
          <w:szCs w:val="21"/>
        </w:rPr>
        <w:t xml:space="preserve">, </w:t>
      </w:r>
      <w:r w:rsidRPr="009C4478">
        <w:rPr>
          <w:rFonts w:cs="Arial"/>
          <w:sz w:val="21"/>
          <w:szCs w:val="21"/>
        </w:rPr>
        <w:t>strong embedded margins and attractive return profiles. Land investment, excluding development rights, was €</w:t>
      </w:r>
      <w:r>
        <w:rPr>
          <w:rFonts w:cs="Arial"/>
          <w:sz w:val="21"/>
          <w:szCs w:val="21"/>
        </w:rPr>
        <w:t>536.0</w:t>
      </w:r>
      <w:r w:rsidRPr="009C4478">
        <w:rPr>
          <w:rFonts w:cs="Arial"/>
          <w:sz w:val="21"/>
          <w:szCs w:val="21"/>
        </w:rPr>
        <w:t xml:space="preserve"> million </w:t>
      </w:r>
      <w:proofErr w:type="gramStart"/>
      <w:r w:rsidRPr="009C4478">
        <w:rPr>
          <w:rFonts w:cs="Arial"/>
          <w:sz w:val="21"/>
          <w:szCs w:val="21"/>
        </w:rPr>
        <w:t>at</w:t>
      </w:r>
      <w:proofErr w:type="gramEnd"/>
      <w:r w:rsidRPr="009C4478">
        <w:rPr>
          <w:rFonts w:cs="Arial"/>
          <w:sz w:val="21"/>
          <w:szCs w:val="21"/>
        </w:rPr>
        <w:t xml:space="preserve"> 30 June 2025 (31 December 2024: €556.2 million).</w:t>
      </w:r>
    </w:p>
    <w:p w14:paraId="3D3E5AB7" w14:textId="285D047D" w:rsidR="00ED4FB7" w:rsidRDefault="00ED4FB7" w:rsidP="00ED4FB7">
      <w:pPr>
        <w:ind w:left="1080"/>
        <w:rPr>
          <w:rFonts w:cs="Arial"/>
          <w:sz w:val="21"/>
          <w:szCs w:val="21"/>
        </w:rPr>
      </w:pPr>
      <w:r w:rsidRPr="009C4478">
        <w:rPr>
          <w:rFonts w:cs="Arial"/>
          <w:sz w:val="21"/>
          <w:szCs w:val="21"/>
        </w:rPr>
        <w:t xml:space="preserve"> </w:t>
      </w:r>
    </w:p>
    <w:p w14:paraId="1C2AF6AC" w14:textId="77777777" w:rsidR="00ED4FB7" w:rsidRDefault="00ED4FB7" w:rsidP="00ED4FB7">
      <w:pPr>
        <w:ind w:left="1080"/>
        <w:rPr>
          <w:rFonts w:cs="Arial"/>
          <w:sz w:val="21"/>
          <w:szCs w:val="21"/>
        </w:rPr>
      </w:pPr>
      <w:r>
        <w:rPr>
          <w:rFonts w:cs="Arial"/>
          <w:sz w:val="21"/>
          <w:szCs w:val="21"/>
        </w:rPr>
        <w:t xml:space="preserve">As previously disclosed, </w:t>
      </w:r>
      <w:r w:rsidRPr="00B35D0B">
        <w:rPr>
          <w:rFonts w:cs="Arial"/>
          <w:sz w:val="21"/>
          <w:szCs w:val="21"/>
        </w:rPr>
        <w:t xml:space="preserve">the Group opportunistically </w:t>
      </w:r>
      <w:r w:rsidDel="00034571">
        <w:rPr>
          <w:rFonts w:cs="Arial"/>
          <w:sz w:val="21"/>
          <w:szCs w:val="21"/>
        </w:rPr>
        <w:t xml:space="preserve">contracted </w:t>
      </w:r>
      <w:r>
        <w:rPr>
          <w:rFonts w:cs="Arial"/>
          <w:sz w:val="21"/>
          <w:szCs w:val="21"/>
        </w:rPr>
        <w:t xml:space="preserve">land in 2024 capable of delivering </w:t>
      </w:r>
      <w:r w:rsidRPr="00B35D0B">
        <w:rPr>
          <w:rFonts w:cs="Arial"/>
          <w:sz w:val="21"/>
          <w:szCs w:val="21"/>
        </w:rPr>
        <w:t xml:space="preserve">approximately 9,000 units. </w:t>
      </w:r>
      <w:r>
        <w:rPr>
          <w:rFonts w:cs="Arial"/>
          <w:sz w:val="21"/>
          <w:szCs w:val="21"/>
        </w:rPr>
        <w:t>T</w:t>
      </w:r>
      <w:r w:rsidRPr="009C4478">
        <w:rPr>
          <w:rFonts w:cs="Arial"/>
          <w:sz w:val="21"/>
          <w:szCs w:val="21"/>
        </w:rPr>
        <w:t xml:space="preserve">he Group continues to actively manage its portfolio, </w:t>
      </w:r>
      <w:r>
        <w:rPr>
          <w:rFonts w:cs="Arial"/>
          <w:sz w:val="21"/>
          <w:szCs w:val="21"/>
        </w:rPr>
        <w:t>(</w:t>
      </w:r>
      <w:r w:rsidRPr="009C4478">
        <w:rPr>
          <w:rFonts w:cs="Arial"/>
          <w:sz w:val="21"/>
          <w:szCs w:val="21"/>
        </w:rPr>
        <w:t xml:space="preserve">with land sales of </w:t>
      </w:r>
      <w:r>
        <w:rPr>
          <w:rFonts w:cs="Arial"/>
          <w:sz w:val="21"/>
          <w:szCs w:val="21"/>
        </w:rPr>
        <w:t>more than</w:t>
      </w:r>
      <w:r w:rsidRPr="009C4478">
        <w:rPr>
          <w:rFonts w:cs="Arial"/>
          <w:sz w:val="21"/>
          <w:szCs w:val="21"/>
        </w:rPr>
        <w:t xml:space="preserve"> </w:t>
      </w:r>
      <w:r w:rsidRPr="00E11171">
        <w:rPr>
          <w:rFonts w:cs="Arial"/>
          <w:sz w:val="21"/>
          <w:szCs w:val="21"/>
        </w:rPr>
        <w:t>€</w:t>
      </w:r>
      <w:r>
        <w:rPr>
          <w:rFonts w:cs="Arial"/>
          <w:sz w:val="21"/>
          <w:szCs w:val="21"/>
        </w:rPr>
        <w:t>60</w:t>
      </w:r>
      <w:r w:rsidRPr="009C4478">
        <w:rPr>
          <w:rFonts w:cs="Arial"/>
          <w:sz w:val="21"/>
          <w:szCs w:val="21"/>
        </w:rPr>
        <w:t xml:space="preserve"> million either closed or in advanced stages of contract</w:t>
      </w:r>
      <w:r>
        <w:rPr>
          <w:rFonts w:cs="Arial"/>
          <w:sz w:val="21"/>
          <w:szCs w:val="21"/>
        </w:rPr>
        <w:t>), and to evaluate the optimum management of remaining smaller scale sites that no longer align with the Group’s scale strategy. M</w:t>
      </w:r>
      <w:r w:rsidRPr="00A90C32">
        <w:rPr>
          <w:rFonts w:cs="Arial"/>
          <w:sz w:val="21"/>
          <w:szCs w:val="21"/>
        </w:rPr>
        <w:t>onetisation of vintage Homebuilding and Partnerships s</w:t>
      </w:r>
      <w:r>
        <w:rPr>
          <w:rFonts w:cs="Arial"/>
          <w:sz w:val="21"/>
          <w:szCs w:val="21"/>
        </w:rPr>
        <w:t>it</w:t>
      </w:r>
      <w:r w:rsidRPr="00A90C32">
        <w:rPr>
          <w:rFonts w:cs="Arial"/>
          <w:sz w:val="21"/>
          <w:szCs w:val="21"/>
        </w:rPr>
        <w:t xml:space="preserve">es through home delivery will further optimise our land portfolio and capital position </w:t>
      </w:r>
      <w:r>
        <w:rPr>
          <w:rFonts w:cs="Arial"/>
          <w:sz w:val="21"/>
          <w:szCs w:val="21"/>
        </w:rPr>
        <w:t xml:space="preserve">and </w:t>
      </w:r>
      <w:r w:rsidRPr="00A90C32">
        <w:rPr>
          <w:rFonts w:cs="Arial"/>
          <w:sz w:val="21"/>
          <w:szCs w:val="21"/>
        </w:rPr>
        <w:t>prioritis</w:t>
      </w:r>
      <w:r>
        <w:rPr>
          <w:rFonts w:cs="Arial"/>
          <w:sz w:val="21"/>
          <w:szCs w:val="21"/>
        </w:rPr>
        <w:t>e</w:t>
      </w:r>
      <w:r w:rsidRPr="00A90C32">
        <w:rPr>
          <w:rFonts w:cs="Arial"/>
          <w:sz w:val="21"/>
          <w:szCs w:val="21"/>
        </w:rPr>
        <w:t xml:space="preserve"> return on capital.</w:t>
      </w:r>
    </w:p>
    <w:p w14:paraId="6F4A7169" w14:textId="77777777" w:rsidR="00FA6B15" w:rsidRPr="00A90C32" w:rsidRDefault="00FA6B15" w:rsidP="00ED4FB7">
      <w:pPr>
        <w:ind w:left="1080"/>
        <w:rPr>
          <w:rFonts w:cs="Arial"/>
          <w:sz w:val="21"/>
          <w:szCs w:val="21"/>
        </w:rPr>
      </w:pPr>
    </w:p>
    <w:p w14:paraId="3745F64F" w14:textId="77777777" w:rsidR="00ED4FB7" w:rsidRDefault="00ED4FB7" w:rsidP="00ED4FB7">
      <w:pPr>
        <w:ind w:left="1080"/>
        <w:rPr>
          <w:rFonts w:cs="Arial"/>
          <w:sz w:val="21"/>
          <w:szCs w:val="21"/>
        </w:rPr>
      </w:pPr>
      <w:r w:rsidRPr="009C4478">
        <w:rPr>
          <w:rFonts w:cs="Arial"/>
          <w:sz w:val="21"/>
          <w:szCs w:val="21"/>
        </w:rPr>
        <w:t xml:space="preserve">These </w:t>
      </w:r>
      <w:r>
        <w:rPr>
          <w:rFonts w:cs="Arial"/>
          <w:sz w:val="21"/>
          <w:szCs w:val="21"/>
        </w:rPr>
        <w:t xml:space="preserve">actions </w:t>
      </w:r>
      <w:r w:rsidRPr="009C4478">
        <w:rPr>
          <w:rFonts w:cs="Arial"/>
          <w:sz w:val="21"/>
          <w:szCs w:val="21"/>
        </w:rPr>
        <w:t>form part of a broader strategy to optimise capital allocation and enhance shareholder returns.</w:t>
      </w:r>
    </w:p>
    <w:p w14:paraId="5DB9D402" w14:textId="77777777" w:rsidR="00FA6B15" w:rsidRDefault="00FA6B15" w:rsidP="00ED4FB7">
      <w:pPr>
        <w:ind w:left="1080"/>
        <w:rPr>
          <w:rFonts w:cs="Arial"/>
          <w:sz w:val="21"/>
          <w:szCs w:val="21"/>
        </w:rPr>
      </w:pPr>
    </w:p>
    <w:p w14:paraId="1206F5AA" w14:textId="77777777" w:rsidR="00ED4FB7" w:rsidRPr="00355AC0" w:rsidRDefault="00ED4FB7" w:rsidP="00ED4FB7">
      <w:pPr>
        <w:ind w:left="1080"/>
        <w:rPr>
          <w:rFonts w:cs="Arial"/>
          <w:sz w:val="21"/>
          <w:szCs w:val="21"/>
        </w:rPr>
      </w:pPr>
      <w:r w:rsidRPr="00355AC0">
        <w:rPr>
          <w:rFonts w:cs="Arial"/>
          <w:sz w:val="21"/>
          <w:szCs w:val="21"/>
        </w:rPr>
        <w:t xml:space="preserve">The recent publication of the National Planning Framework represents a pivotal and constructive step toward addressing Ireland’s long-term housing needs. By unlocking additional zoned land </w:t>
      </w:r>
      <w:r>
        <w:rPr>
          <w:rFonts w:cs="Arial"/>
          <w:sz w:val="21"/>
          <w:szCs w:val="21"/>
        </w:rPr>
        <w:t>in a structured manner between 2026 and 2029</w:t>
      </w:r>
      <w:r w:rsidRPr="00355AC0">
        <w:rPr>
          <w:rFonts w:cs="Arial"/>
          <w:sz w:val="21"/>
          <w:szCs w:val="21"/>
        </w:rPr>
        <w:t xml:space="preserve">, </w:t>
      </w:r>
      <w:r>
        <w:rPr>
          <w:rFonts w:cs="Arial"/>
          <w:sz w:val="21"/>
          <w:szCs w:val="21"/>
        </w:rPr>
        <w:t xml:space="preserve">it is </w:t>
      </w:r>
      <w:r w:rsidRPr="00355AC0">
        <w:rPr>
          <w:rFonts w:cs="Arial"/>
          <w:sz w:val="21"/>
          <w:szCs w:val="21"/>
        </w:rPr>
        <w:t xml:space="preserve">expected to have a materially positive impact on the Group’s </w:t>
      </w:r>
      <w:r>
        <w:rPr>
          <w:rFonts w:cs="Arial"/>
          <w:sz w:val="21"/>
          <w:szCs w:val="21"/>
        </w:rPr>
        <w:t xml:space="preserve">well-positioned </w:t>
      </w:r>
      <w:r w:rsidRPr="00355AC0">
        <w:rPr>
          <w:rFonts w:cs="Arial"/>
          <w:sz w:val="21"/>
          <w:szCs w:val="21"/>
        </w:rPr>
        <w:t xml:space="preserve">strategic landbank, resulting in a lower capital deployment requirement in land across the medium term.   </w:t>
      </w:r>
    </w:p>
    <w:p w14:paraId="573AEB5F" w14:textId="77777777" w:rsidR="00FA6B15" w:rsidRDefault="00ED4FB7" w:rsidP="00ED4FB7">
      <w:pPr>
        <w:ind w:left="1080"/>
        <w:rPr>
          <w:rFonts w:cs="Arial"/>
          <w:sz w:val="21"/>
          <w:szCs w:val="21"/>
        </w:rPr>
      </w:pPr>
      <w:r w:rsidRPr="00BF275E">
        <w:rPr>
          <w:rFonts w:cs="Arial"/>
          <w:sz w:val="21"/>
          <w:szCs w:val="21"/>
        </w:rPr>
        <w:t>This long-term visibility complements the Group’s existing landbank and reinforces its ability to plan with confidence and discipline.</w:t>
      </w:r>
    </w:p>
    <w:p w14:paraId="300B40BE" w14:textId="3D072C4A" w:rsidR="00ED4FB7" w:rsidRPr="009C4478" w:rsidRDefault="00ED4FB7" w:rsidP="00ED4FB7">
      <w:pPr>
        <w:ind w:left="1080"/>
        <w:rPr>
          <w:rFonts w:cs="Arial"/>
          <w:sz w:val="21"/>
          <w:szCs w:val="21"/>
        </w:rPr>
      </w:pPr>
      <w:r w:rsidRPr="00BF275E">
        <w:rPr>
          <w:rFonts w:cs="Arial"/>
          <w:sz w:val="21"/>
          <w:szCs w:val="21"/>
        </w:rPr>
        <w:t xml:space="preserve"> </w:t>
      </w:r>
    </w:p>
    <w:p w14:paraId="286FB1C7" w14:textId="77777777" w:rsidR="007C2EB3" w:rsidRDefault="00ED4FB7" w:rsidP="00ED4FB7">
      <w:pPr>
        <w:ind w:left="1080"/>
        <w:rPr>
          <w:rFonts w:cs="Arial"/>
          <w:sz w:val="21"/>
          <w:szCs w:val="21"/>
        </w:rPr>
      </w:pPr>
      <w:proofErr w:type="spellStart"/>
      <w:r>
        <w:rPr>
          <w:rFonts w:cs="Arial"/>
          <w:sz w:val="21"/>
          <w:szCs w:val="21"/>
        </w:rPr>
        <w:t>Glenveagh’s</w:t>
      </w:r>
      <w:proofErr w:type="spellEnd"/>
      <w:r w:rsidRPr="009C4478">
        <w:rPr>
          <w:rFonts w:cs="Arial"/>
          <w:sz w:val="21"/>
          <w:szCs w:val="21"/>
        </w:rPr>
        <w:t xml:space="preserve"> land strategy continues to prove effective</w:t>
      </w:r>
      <w:r>
        <w:rPr>
          <w:rFonts w:cs="Arial"/>
          <w:sz w:val="21"/>
          <w:szCs w:val="21"/>
        </w:rPr>
        <w:t>,</w:t>
      </w:r>
      <w:r w:rsidRPr="009C4478">
        <w:rPr>
          <w:rFonts w:cs="Arial"/>
          <w:sz w:val="21"/>
          <w:szCs w:val="21"/>
        </w:rPr>
        <w:t xml:space="preserve"> providing flexibility, visibility, and the ability to support both Homebuilding and Partnerships delivery without the need for further material land investment in the near term.</w:t>
      </w:r>
    </w:p>
    <w:p w14:paraId="3ABF8587" w14:textId="43EAF96D" w:rsidR="00ED4FB7" w:rsidRDefault="00ED4FB7" w:rsidP="00ED4FB7">
      <w:pPr>
        <w:ind w:left="1080"/>
        <w:rPr>
          <w:rFonts w:cs="Arial"/>
          <w:sz w:val="21"/>
          <w:szCs w:val="21"/>
        </w:rPr>
      </w:pPr>
      <w:r w:rsidRPr="009C4478">
        <w:rPr>
          <w:rFonts w:cs="Arial"/>
          <w:sz w:val="21"/>
          <w:szCs w:val="21"/>
        </w:rPr>
        <w:t xml:space="preserve"> </w:t>
      </w:r>
    </w:p>
    <w:p w14:paraId="607250FA" w14:textId="77777777" w:rsidR="00ED4FB7" w:rsidRPr="007C2EB3" w:rsidRDefault="00ED4FB7" w:rsidP="00ED4FB7">
      <w:pPr>
        <w:pStyle w:val="ListParagraph"/>
        <w:numPr>
          <w:ilvl w:val="1"/>
          <w:numId w:val="45"/>
        </w:numPr>
        <w:spacing w:after="160"/>
        <w:contextualSpacing w:val="0"/>
        <w:rPr>
          <w:rFonts w:cs="Arial"/>
          <w:b/>
          <w:bCs/>
          <w:sz w:val="24"/>
          <w:szCs w:val="24"/>
        </w:rPr>
      </w:pPr>
      <w:r w:rsidRPr="007C2EB3">
        <w:rPr>
          <w:rFonts w:cs="Arial"/>
          <w:b/>
          <w:bCs/>
          <w:sz w:val="24"/>
          <w:szCs w:val="24"/>
        </w:rPr>
        <w:t>Input cost inflation</w:t>
      </w:r>
    </w:p>
    <w:p w14:paraId="1C9964DC" w14:textId="77777777" w:rsidR="00ED4FB7" w:rsidRDefault="00ED4FB7" w:rsidP="00ED4FB7">
      <w:pPr>
        <w:ind w:left="1080"/>
        <w:rPr>
          <w:rFonts w:cs="Arial"/>
          <w:sz w:val="21"/>
          <w:szCs w:val="21"/>
        </w:rPr>
      </w:pPr>
      <w:r w:rsidRPr="002D1027">
        <w:rPr>
          <w:rFonts w:cs="Arial"/>
          <w:sz w:val="21"/>
          <w:szCs w:val="21"/>
        </w:rPr>
        <w:t>Input cost inflation remains manageable</w:t>
      </w:r>
      <w:r>
        <w:rPr>
          <w:rFonts w:cs="Arial"/>
          <w:sz w:val="21"/>
          <w:szCs w:val="21"/>
        </w:rPr>
        <w:t xml:space="preserve"> with t</w:t>
      </w:r>
      <w:r w:rsidRPr="002D1027">
        <w:rPr>
          <w:rFonts w:cs="Arial"/>
          <w:sz w:val="21"/>
          <w:szCs w:val="21"/>
        </w:rPr>
        <w:t>he Group continu</w:t>
      </w:r>
      <w:r>
        <w:rPr>
          <w:rFonts w:cs="Arial"/>
          <w:sz w:val="21"/>
          <w:szCs w:val="21"/>
        </w:rPr>
        <w:t>ing</w:t>
      </w:r>
      <w:r w:rsidRPr="002D1027">
        <w:rPr>
          <w:rFonts w:cs="Arial"/>
          <w:sz w:val="21"/>
          <w:szCs w:val="21"/>
        </w:rPr>
        <w:t xml:space="preserve"> to mitigate inflationary pressures through scale, disciplined procurement, and strategic investment in off-site manufacturing.</w:t>
      </w:r>
    </w:p>
    <w:p w14:paraId="00240E29" w14:textId="77777777" w:rsidR="0023643C" w:rsidRPr="002D1027" w:rsidRDefault="0023643C" w:rsidP="00ED4FB7">
      <w:pPr>
        <w:ind w:left="1080"/>
        <w:rPr>
          <w:rFonts w:cs="Arial"/>
          <w:sz w:val="21"/>
          <w:szCs w:val="21"/>
        </w:rPr>
      </w:pPr>
    </w:p>
    <w:p w14:paraId="68275583" w14:textId="77777777" w:rsidR="0023643C" w:rsidRDefault="00ED4FB7" w:rsidP="00ED4FB7">
      <w:pPr>
        <w:ind w:left="1080"/>
        <w:rPr>
          <w:rFonts w:cs="Arial"/>
          <w:sz w:val="21"/>
          <w:szCs w:val="21"/>
        </w:rPr>
      </w:pPr>
      <w:r>
        <w:rPr>
          <w:rFonts w:cs="Arial"/>
          <w:sz w:val="21"/>
          <w:szCs w:val="21"/>
        </w:rPr>
        <w:t>While m</w:t>
      </w:r>
      <w:r w:rsidRPr="002D1027">
        <w:rPr>
          <w:rFonts w:cs="Arial"/>
          <w:sz w:val="21"/>
          <w:szCs w:val="21"/>
        </w:rPr>
        <w:t>aterial and energy cost inflation ha</w:t>
      </w:r>
      <w:r>
        <w:rPr>
          <w:rFonts w:cs="Arial"/>
          <w:sz w:val="21"/>
          <w:szCs w:val="21"/>
        </w:rPr>
        <w:t xml:space="preserve">ve </w:t>
      </w:r>
      <w:r w:rsidRPr="002D1027">
        <w:rPr>
          <w:rFonts w:cs="Arial"/>
          <w:sz w:val="21"/>
          <w:szCs w:val="21"/>
        </w:rPr>
        <w:t>moderated relative to prior years, labour inflation remains persistent</w:t>
      </w:r>
      <w:r>
        <w:rPr>
          <w:rFonts w:cs="Arial"/>
          <w:sz w:val="21"/>
          <w:szCs w:val="21"/>
        </w:rPr>
        <w:t xml:space="preserve"> with recent sectoral employment order increases of approximately 3%.</w:t>
      </w:r>
    </w:p>
    <w:p w14:paraId="43BEFDD3" w14:textId="023FE455" w:rsidR="00ED4FB7" w:rsidRPr="002D1027" w:rsidRDefault="00ED4FB7" w:rsidP="00ED4FB7">
      <w:pPr>
        <w:ind w:left="1080"/>
        <w:rPr>
          <w:rFonts w:cs="Arial"/>
          <w:sz w:val="21"/>
          <w:szCs w:val="21"/>
        </w:rPr>
      </w:pPr>
      <w:r>
        <w:rPr>
          <w:rFonts w:cs="Arial"/>
          <w:sz w:val="21"/>
          <w:szCs w:val="21"/>
        </w:rPr>
        <w:t xml:space="preserve"> </w:t>
      </w:r>
    </w:p>
    <w:p w14:paraId="111C6072" w14:textId="77777777" w:rsidR="00ED4FB7" w:rsidRDefault="00ED4FB7" w:rsidP="00ED4FB7">
      <w:pPr>
        <w:ind w:left="1080"/>
        <w:rPr>
          <w:rFonts w:cs="Arial"/>
          <w:sz w:val="21"/>
          <w:szCs w:val="21"/>
        </w:rPr>
      </w:pPr>
      <w:proofErr w:type="spellStart"/>
      <w:r w:rsidRPr="002D1027">
        <w:rPr>
          <w:rFonts w:cs="Arial"/>
          <w:sz w:val="21"/>
          <w:szCs w:val="21"/>
        </w:rPr>
        <w:t>Glenveagh’s</w:t>
      </w:r>
      <w:proofErr w:type="spellEnd"/>
      <w:r w:rsidRPr="002D1027">
        <w:rPr>
          <w:rFonts w:cs="Arial"/>
          <w:sz w:val="21"/>
          <w:szCs w:val="21"/>
        </w:rPr>
        <w:t xml:space="preserve"> vertical integration strategy and investment in innovation </w:t>
      </w:r>
      <w:r>
        <w:rPr>
          <w:rFonts w:cs="Arial"/>
          <w:sz w:val="21"/>
          <w:szCs w:val="21"/>
        </w:rPr>
        <w:t xml:space="preserve">– including </w:t>
      </w:r>
      <w:r w:rsidRPr="002D1027">
        <w:rPr>
          <w:rFonts w:cs="Arial"/>
          <w:sz w:val="21"/>
          <w:szCs w:val="21"/>
        </w:rPr>
        <w:t xml:space="preserve">modern methods of construction </w:t>
      </w:r>
      <w:r>
        <w:rPr>
          <w:rFonts w:cs="Arial"/>
          <w:sz w:val="21"/>
          <w:szCs w:val="21"/>
        </w:rPr>
        <w:t xml:space="preserve">and its in-house manufacturing platform – </w:t>
      </w:r>
      <w:r w:rsidRPr="002D1027">
        <w:rPr>
          <w:rFonts w:cs="Arial"/>
          <w:sz w:val="21"/>
          <w:szCs w:val="21"/>
        </w:rPr>
        <w:t xml:space="preserve">provide greater control over input costs and delivery capacity. The Group’s in-house manufacturing platform supports cost visibility and reduces reliance on subcontracted wet trades, particularly as new capabilities are brought </w:t>
      </w:r>
      <w:proofErr w:type="gramStart"/>
      <w:r w:rsidRPr="002D1027">
        <w:rPr>
          <w:rFonts w:cs="Arial"/>
          <w:sz w:val="21"/>
          <w:szCs w:val="21"/>
        </w:rPr>
        <w:t>on</w:t>
      </w:r>
      <w:r>
        <w:rPr>
          <w:rFonts w:cs="Arial"/>
          <w:sz w:val="21"/>
          <w:szCs w:val="21"/>
        </w:rPr>
        <w:t xml:space="preserve"> line</w:t>
      </w:r>
      <w:proofErr w:type="gramEnd"/>
      <w:r w:rsidRPr="002D1027">
        <w:rPr>
          <w:rFonts w:cs="Arial"/>
          <w:sz w:val="21"/>
          <w:szCs w:val="21"/>
        </w:rPr>
        <w:t xml:space="preserve"> over the medium term.</w:t>
      </w:r>
      <w:r>
        <w:rPr>
          <w:rFonts w:cs="Arial"/>
          <w:sz w:val="21"/>
          <w:szCs w:val="21"/>
        </w:rPr>
        <w:t xml:space="preserve"> </w:t>
      </w:r>
      <w:r w:rsidRPr="008764FB">
        <w:rPr>
          <w:rFonts w:cs="Arial"/>
          <w:sz w:val="21"/>
          <w:szCs w:val="21"/>
        </w:rPr>
        <w:t>These capabilities are increasingly important as the Group scales output and deepens its operational efficiency.</w:t>
      </w:r>
    </w:p>
    <w:p w14:paraId="08299471" w14:textId="77777777" w:rsidR="0023643C" w:rsidRDefault="0023643C" w:rsidP="00ED4FB7">
      <w:pPr>
        <w:ind w:left="1080"/>
        <w:rPr>
          <w:rFonts w:cs="Arial"/>
          <w:sz w:val="21"/>
          <w:szCs w:val="21"/>
        </w:rPr>
      </w:pPr>
    </w:p>
    <w:p w14:paraId="08ACB242" w14:textId="77777777" w:rsidR="00ED4FB7" w:rsidRDefault="00ED4FB7" w:rsidP="00ED4FB7">
      <w:pPr>
        <w:ind w:left="1080"/>
        <w:rPr>
          <w:rFonts w:cs="Arial"/>
          <w:sz w:val="21"/>
          <w:szCs w:val="21"/>
        </w:rPr>
      </w:pPr>
      <w:r w:rsidRPr="001D233C">
        <w:rPr>
          <w:rFonts w:cs="Arial"/>
          <w:sz w:val="21"/>
          <w:szCs w:val="21"/>
        </w:rPr>
        <w:t xml:space="preserve">Recent regulatory reforms, including the </w:t>
      </w:r>
      <w:r>
        <w:rPr>
          <w:rFonts w:cs="Arial"/>
          <w:sz w:val="21"/>
          <w:szCs w:val="21"/>
        </w:rPr>
        <w:t>‘</w:t>
      </w:r>
      <w:r w:rsidRPr="00E72450">
        <w:rPr>
          <w:rFonts w:cs="Arial"/>
          <w:i/>
          <w:iCs/>
          <w:sz w:val="21"/>
          <w:szCs w:val="21"/>
        </w:rPr>
        <w:t>Design Standards for Apartments, Guidelines for Planning Authorities (2025)</w:t>
      </w:r>
      <w:r>
        <w:rPr>
          <w:rFonts w:cs="Arial"/>
          <w:sz w:val="21"/>
          <w:szCs w:val="21"/>
        </w:rPr>
        <w:t>’</w:t>
      </w:r>
      <w:r w:rsidRPr="001D233C">
        <w:rPr>
          <w:rFonts w:cs="Arial"/>
          <w:sz w:val="21"/>
          <w:szCs w:val="21"/>
        </w:rPr>
        <w:t>, are expected to improve the viability of apartment development. These changes support the Group’s ability to deliver a broader mix of housing types, particularly in urban locations, without compromising on quality or sustainability</w:t>
      </w:r>
      <w:r>
        <w:rPr>
          <w:rFonts w:cs="Arial"/>
          <w:sz w:val="21"/>
          <w:szCs w:val="21"/>
        </w:rPr>
        <w:t>.</w:t>
      </w:r>
    </w:p>
    <w:p w14:paraId="72DFB4C6" w14:textId="77777777" w:rsidR="007C2EB3" w:rsidRDefault="007C2EB3" w:rsidP="00ED4FB7">
      <w:pPr>
        <w:ind w:left="1080"/>
        <w:rPr>
          <w:rFonts w:cs="Arial"/>
          <w:sz w:val="24"/>
          <w:szCs w:val="24"/>
        </w:rPr>
      </w:pPr>
    </w:p>
    <w:p w14:paraId="5DDFDD9C" w14:textId="77777777" w:rsidR="00463FEB" w:rsidRDefault="00463FEB" w:rsidP="00ED4FB7">
      <w:pPr>
        <w:ind w:left="1080"/>
        <w:rPr>
          <w:rFonts w:cs="Arial"/>
          <w:sz w:val="24"/>
          <w:szCs w:val="24"/>
        </w:rPr>
      </w:pPr>
    </w:p>
    <w:p w14:paraId="3776B762" w14:textId="77777777" w:rsidR="00463FEB" w:rsidRDefault="00463FEB" w:rsidP="00ED4FB7">
      <w:pPr>
        <w:ind w:left="1080"/>
        <w:rPr>
          <w:rFonts w:cs="Arial"/>
          <w:sz w:val="24"/>
          <w:szCs w:val="24"/>
        </w:rPr>
      </w:pPr>
    </w:p>
    <w:p w14:paraId="643F5455" w14:textId="77777777" w:rsidR="00ED4FB7" w:rsidRPr="00BF66C9" w:rsidRDefault="00ED4FB7" w:rsidP="00ED4FB7">
      <w:pPr>
        <w:pStyle w:val="ListParagraph"/>
        <w:numPr>
          <w:ilvl w:val="1"/>
          <w:numId w:val="45"/>
        </w:numPr>
        <w:spacing w:after="160"/>
        <w:contextualSpacing w:val="0"/>
        <w:rPr>
          <w:rFonts w:cs="Arial"/>
          <w:b/>
          <w:bCs/>
          <w:sz w:val="24"/>
          <w:szCs w:val="24"/>
        </w:rPr>
      </w:pPr>
      <w:r w:rsidRPr="00BF66C9">
        <w:rPr>
          <w:rFonts w:cs="Arial"/>
          <w:b/>
          <w:bCs/>
          <w:sz w:val="24"/>
          <w:szCs w:val="24"/>
        </w:rPr>
        <w:lastRenderedPageBreak/>
        <w:t>Supply chain update</w:t>
      </w:r>
    </w:p>
    <w:p w14:paraId="6C933038" w14:textId="77777777" w:rsidR="00ED4FB7" w:rsidRDefault="00ED4FB7" w:rsidP="00ED4FB7">
      <w:pPr>
        <w:ind w:left="1080"/>
        <w:rPr>
          <w:rFonts w:cs="Arial"/>
          <w:sz w:val="21"/>
          <w:szCs w:val="21"/>
        </w:rPr>
      </w:pPr>
      <w:r w:rsidRPr="00194B19">
        <w:rPr>
          <w:rFonts w:cs="Arial"/>
          <w:sz w:val="21"/>
          <w:szCs w:val="21"/>
        </w:rPr>
        <w:t xml:space="preserve">The Group’s investment in off-site manufacturing continues to support </w:t>
      </w:r>
      <w:r>
        <w:rPr>
          <w:rFonts w:cs="Arial"/>
          <w:sz w:val="21"/>
          <w:szCs w:val="21"/>
        </w:rPr>
        <w:t xml:space="preserve">efficient </w:t>
      </w:r>
      <w:r w:rsidRPr="00194B19">
        <w:rPr>
          <w:rFonts w:cs="Arial"/>
          <w:sz w:val="21"/>
          <w:szCs w:val="21"/>
        </w:rPr>
        <w:t xml:space="preserve">delivery, build quality and margin performance. </w:t>
      </w:r>
      <w:proofErr w:type="spellStart"/>
      <w:r w:rsidRPr="00194B19">
        <w:rPr>
          <w:rFonts w:cs="Arial"/>
          <w:sz w:val="21"/>
          <w:szCs w:val="21"/>
        </w:rPr>
        <w:t>Glenveagh’s</w:t>
      </w:r>
      <w:proofErr w:type="spellEnd"/>
      <w:r w:rsidRPr="00194B19">
        <w:rPr>
          <w:rFonts w:cs="Arial"/>
          <w:sz w:val="21"/>
          <w:szCs w:val="21"/>
        </w:rPr>
        <w:t xml:space="preserve"> manufacturing and innovation platform, NUA, produced timber-frame and light gauge steel systems for </w:t>
      </w:r>
      <w:r>
        <w:rPr>
          <w:rFonts w:cs="Arial"/>
          <w:sz w:val="21"/>
          <w:szCs w:val="21"/>
        </w:rPr>
        <w:t>more than</w:t>
      </w:r>
      <w:r w:rsidRPr="00194B19">
        <w:rPr>
          <w:rFonts w:cs="Arial"/>
          <w:sz w:val="21"/>
          <w:szCs w:val="21"/>
        </w:rPr>
        <w:t xml:space="preserve"> 2,000 units in the past year and is scaling toward a capacity of more than 2,500 homes annually.</w:t>
      </w:r>
    </w:p>
    <w:p w14:paraId="40C5E2C3" w14:textId="77777777" w:rsidR="00463FEB" w:rsidRPr="00194B19" w:rsidRDefault="00463FEB" w:rsidP="00ED4FB7">
      <w:pPr>
        <w:ind w:left="1080"/>
        <w:rPr>
          <w:rFonts w:cs="Arial"/>
          <w:sz w:val="21"/>
          <w:szCs w:val="21"/>
        </w:rPr>
      </w:pPr>
    </w:p>
    <w:p w14:paraId="65ADD166" w14:textId="77777777" w:rsidR="00ED4FB7" w:rsidRDefault="00ED4FB7" w:rsidP="00ED4FB7">
      <w:pPr>
        <w:ind w:left="1080"/>
        <w:rPr>
          <w:rFonts w:cs="Arial"/>
          <w:sz w:val="21"/>
          <w:szCs w:val="21"/>
        </w:rPr>
      </w:pPr>
      <w:r w:rsidRPr="00194B19">
        <w:rPr>
          <w:rFonts w:cs="Arial"/>
          <w:sz w:val="21"/>
          <w:szCs w:val="21"/>
        </w:rPr>
        <w:t>Off-site manufacturing remains a core pillar of the Group’s strategy to reduce reliance on subcontracted wet trades, mitigate inflationary pressures, and future-proof the business. These capabilities are expected to become increasingly important as Glenveagh scales delivery and deepens its vertical integration.</w:t>
      </w:r>
    </w:p>
    <w:p w14:paraId="4AA7119F" w14:textId="77777777" w:rsidR="00463FEB" w:rsidRDefault="00463FEB" w:rsidP="00ED4FB7">
      <w:pPr>
        <w:ind w:left="1080"/>
        <w:rPr>
          <w:rFonts w:cs="Arial"/>
          <w:sz w:val="21"/>
          <w:szCs w:val="21"/>
        </w:rPr>
      </w:pPr>
    </w:p>
    <w:p w14:paraId="58471609" w14:textId="77777777" w:rsidR="00ED4FB7" w:rsidRDefault="00ED4FB7" w:rsidP="00ED4FB7">
      <w:pPr>
        <w:ind w:left="1080"/>
        <w:rPr>
          <w:rFonts w:cs="Arial"/>
          <w:sz w:val="21"/>
          <w:szCs w:val="21"/>
        </w:rPr>
      </w:pPr>
      <w:r>
        <w:rPr>
          <w:rFonts w:cs="Arial"/>
          <w:sz w:val="21"/>
          <w:szCs w:val="21"/>
        </w:rPr>
        <w:t>D</w:t>
      </w:r>
      <w:r w:rsidRPr="00B672CE">
        <w:rPr>
          <w:rFonts w:cs="Arial"/>
          <w:sz w:val="21"/>
          <w:szCs w:val="21"/>
        </w:rPr>
        <w:t>uring the period, we commenced Phase II of our innovation investment programme,</w:t>
      </w:r>
      <w:r>
        <w:rPr>
          <w:rFonts w:cs="Arial"/>
          <w:sz w:val="21"/>
          <w:szCs w:val="21"/>
        </w:rPr>
        <w:t xml:space="preserve"> </w:t>
      </w:r>
      <w:r w:rsidRPr="00B672CE">
        <w:rPr>
          <w:rFonts w:cs="Arial"/>
          <w:sz w:val="21"/>
          <w:szCs w:val="21"/>
        </w:rPr>
        <w:t xml:space="preserve">as part of a €25 million </w:t>
      </w:r>
      <w:r>
        <w:rPr>
          <w:rFonts w:cs="Arial"/>
          <w:sz w:val="21"/>
          <w:szCs w:val="21"/>
        </w:rPr>
        <w:t>anticipated spend</w:t>
      </w:r>
      <w:r w:rsidRPr="00B672CE">
        <w:rPr>
          <w:rFonts w:cs="Arial"/>
          <w:sz w:val="21"/>
          <w:szCs w:val="21"/>
        </w:rPr>
        <w:t xml:space="preserve"> to deliver an additional façade line alongside our timber frame capability, further supporting our efforts to bring down costs for customers.</w:t>
      </w:r>
    </w:p>
    <w:p w14:paraId="19869910" w14:textId="77777777" w:rsidR="008C7F52" w:rsidRDefault="008C7F52" w:rsidP="00ED4FB7">
      <w:pPr>
        <w:ind w:left="1080"/>
        <w:rPr>
          <w:rFonts w:cs="Arial"/>
          <w:sz w:val="21"/>
          <w:szCs w:val="21"/>
        </w:rPr>
      </w:pPr>
    </w:p>
    <w:p w14:paraId="3A254B42" w14:textId="77777777" w:rsidR="00ED4FB7" w:rsidRDefault="00ED4FB7" w:rsidP="00ED4FB7">
      <w:pPr>
        <w:ind w:left="1080"/>
        <w:rPr>
          <w:rFonts w:cs="Arial"/>
          <w:sz w:val="21"/>
          <w:szCs w:val="21"/>
        </w:rPr>
      </w:pPr>
      <w:r w:rsidRPr="00B2229E">
        <w:rPr>
          <w:rFonts w:cs="Arial"/>
          <w:sz w:val="21"/>
          <w:szCs w:val="21"/>
        </w:rPr>
        <w:t xml:space="preserve">The Group </w:t>
      </w:r>
      <w:r>
        <w:rPr>
          <w:rFonts w:cs="Arial"/>
          <w:sz w:val="21"/>
          <w:szCs w:val="21"/>
        </w:rPr>
        <w:t>is</w:t>
      </w:r>
      <w:r w:rsidRPr="00B2229E">
        <w:rPr>
          <w:rFonts w:cs="Arial"/>
          <w:sz w:val="21"/>
          <w:szCs w:val="21"/>
        </w:rPr>
        <w:t xml:space="preserve"> also progressing with</w:t>
      </w:r>
      <w:r>
        <w:rPr>
          <w:rFonts w:cs="Arial"/>
          <w:sz w:val="21"/>
          <w:szCs w:val="21"/>
        </w:rPr>
        <w:t xml:space="preserve"> its</w:t>
      </w:r>
      <w:r w:rsidRPr="00B2229E">
        <w:rPr>
          <w:rFonts w:cs="Arial"/>
          <w:sz w:val="21"/>
          <w:szCs w:val="21"/>
        </w:rPr>
        <w:t xml:space="preserve"> “House of the </w:t>
      </w:r>
      <w:r>
        <w:rPr>
          <w:rFonts w:cs="Arial"/>
          <w:sz w:val="21"/>
          <w:szCs w:val="21"/>
        </w:rPr>
        <w:t>F</w:t>
      </w:r>
      <w:r w:rsidRPr="00B2229E">
        <w:rPr>
          <w:rFonts w:cs="Arial"/>
          <w:sz w:val="21"/>
          <w:szCs w:val="21"/>
        </w:rPr>
        <w:t xml:space="preserve">uture” build in Carlow whereby </w:t>
      </w:r>
      <w:r>
        <w:rPr>
          <w:rFonts w:cs="Arial"/>
          <w:sz w:val="21"/>
          <w:szCs w:val="21"/>
        </w:rPr>
        <w:t>it</w:t>
      </w:r>
      <w:r w:rsidRPr="00B2229E">
        <w:rPr>
          <w:rFonts w:cs="Arial"/>
          <w:sz w:val="21"/>
          <w:szCs w:val="21"/>
        </w:rPr>
        <w:t xml:space="preserve"> can demonstrate increased premanufactur</w:t>
      </w:r>
      <w:r>
        <w:rPr>
          <w:rFonts w:cs="Arial"/>
          <w:sz w:val="21"/>
          <w:szCs w:val="21"/>
        </w:rPr>
        <w:t>ed</w:t>
      </w:r>
      <w:r w:rsidRPr="00B2229E">
        <w:rPr>
          <w:rFonts w:cs="Arial"/>
          <w:sz w:val="21"/>
          <w:szCs w:val="21"/>
        </w:rPr>
        <w:t xml:space="preserve"> value </w:t>
      </w:r>
      <w:r>
        <w:rPr>
          <w:rFonts w:cs="Arial"/>
          <w:sz w:val="21"/>
          <w:szCs w:val="21"/>
        </w:rPr>
        <w:t>and quality in</w:t>
      </w:r>
      <w:r w:rsidRPr="00B2229E">
        <w:rPr>
          <w:rFonts w:cs="Arial"/>
          <w:sz w:val="21"/>
          <w:szCs w:val="21"/>
        </w:rPr>
        <w:t xml:space="preserve"> the delivery of </w:t>
      </w:r>
      <w:r>
        <w:rPr>
          <w:rFonts w:cs="Arial"/>
          <w:sz w:val="21"/>
          <w:szCs w:val="21"/>
        </w:rPr>
        <w:t>new</w:t>
      </w:r>
      <w:r w:rsidRPr="00B2229E">
        <w:rPr>
          <w:rFonts w:cs="Arial"/>
          <w:sz w:val="21"/>
          <w:szCs w:val="21"/>
        </w:rPr>
        <w:t xml:space="preserve"> homes.</w:t>
      </w:r>
    </w:p>
    <w:p w14:paraId="61DB7EED" w14:textId="77777777" w:rsidR="00BF66C9" w:rsidRPr="00675998" w:rsidRDefault="00BF66C9" w:rsidP="00ED4FB7">
      <w:pPr>
        <w:ind w:left="1080"/>
        <w:rPr>
          <w:rFonts w:cs="Arial"/>
          <w:sz w:val="24"/>
          <w:szCs w:val="24"/>
        </w:rPr>
      </w:pPr>
    </w:p>
    <w:p w14:paraId="43C503B6" w14:textId="77777777" w:rsidR="00ED4FB7" w:rsidRPr="00675998" w:rsidRDefault="00ED4FB7" w:rsidP="00ED4FB7">
      <w:pPr>
        <w:pStyle w:val="ListParagraph"/>
        <w:numPr>
          <w:ilvl w:val="1"/>
          <w:numId w:val="45"/>
        </w:numPr>
        <w:spacing w:after="160"/>
        <w:contextualSpacing w:val="0"/>
        <w:rPr>
          <w:rFonts w:cs="Arial"/>
          <w:b/>
          <w:bCs/>
          <w:sz w:val="24"/>
          <w:szCs w:val="24"/>
        </w:rPr>
      </w:pPr>
      <w:r w:rsidRPr="00675998">
        <w:rPr>
          <w:rFonts w:cs="Arial"/>
          <w:b/>
          <w:bCs/>
          <w:sz w:val="24"/>
          <w:szCs w:val="24"/>
        </w:rPr>
        <w:t>Sustainability agenda progress</w:t>
      </w:r>
    </w:p>
    <w:p w14:paraId="782C23B2" w14:textId="77777777" w:rsidR="00ED4FB7" w:rsidRPr="007D6E4D" w:rsidRDefault="00ED4FB7" w:rsidP="00ED4FB7">
      <w:pPr>
        <w:ind w:left="1080"/>
        <w:rPr>
          <w:rFonts w:cs="Arial"/>
          <w:sz w:val="21"/>
          <w:szCs w:val="21"/>
        </w:rPr>
      </w:pPr>
      <w:r w:rsidRPr="007D6E4D">
        <w:rPr>
          <w:rFonts w:cs="Arial"/>
          <w:sz w:val="21"/>
          <w:szCs w:val="21"/>
        </w:rPr>
        <w:t xml:space="preserve">Sustainability remains a core enabler of </w:t>
      </w:r>
      <w:proofErr w:type="spellStart"/>
      <w:r w:rsidRPr="007D6E4D">
        <w:rPr>
          <w:rFonts w:cs="Arial"/>
          <w:sz w:val="21"/>
          <w:szCs w:val="21"/>
        </w:rPr>
        <w:t>Glenveagh’s</w:t>
      </w:r>
      <w:proofErr w:type="spellEnd"/>
      <w:r w:rsidRPr="007D6E4D">
        <w:rPr>
          <w:rFonts w:cs="Arial"/>
          <w:sz w:val="21"/>
          <w:szCs w:val="21"/>
        </w:rPr>
        <w:t xml:space="preserve"> long-term performance and resilience. The Group continues to make progress against its Net Zero Transition Plan, Biodiversity Strategy, and Circular Economy Strategy, with actions focused on reducing emissions, improving resource efficiency, and enhancing operational performance.</w:t>
      </w:r>
    </w:p>
    <w:p w14:paraId="289995E2" w14:textId="77777777" w:rsidR="00313ACD" w:rsidRDefault="00313ACD" w:rsidP="00ED4FB7">
      <w:pPr>
        <w:ind w:left="1080"/>
        <w:rPr>
          <w:rFonts w:cs="Arial"/>
          <w:sz w:val="21"/>
          <w:szCs w:val="21"/>
        </w:rPr>
      </w:pPr>
    </w:p>
    <w:p w14:paraId="506267E9" w14:textId="0EF35892" w:rsidR="00ED4FB7" w:rsidRDefault="00ED4FB7" w:rsidP="00ED4FB7">
      <w:pPr>
        <w:ind w:left="1080"/>
        <w:rPr>
          <w:rFonts w:cs="Arial"/>
          <w:sz w:val="21"/>
          <w:szCs w:val="21"/>
        </w:rPr>
      </w:pPr>
      <w:r w:rsidRPr="007D6E4D">
        <w:rPr>
          <w:rFonts w:cs="Arial"/>
          <w:sz w:val="21"/>
          <w:szCs w:val="21"/>
        </w:rPr>
        <w:t>These actions are delivering tangible business benefits</w:t>
      </w:r>
      <w:r>
        <w:rPr>
          <w:rFonts w:cs="Arial"/>
          <w:sz w:val="21"/>
          <w:szCs w:val="21"/>
        </w:rPr>
        <w:t xml:space="preserve">, </w:t>
      </w:r>
      <w:r w:rsidRPr="007D6E4D">
        <w:rPr>
          <w:rFonts w:cs="Arial"/>
          <w:sz w:val="21"/>
          <w:szCs w:val="21"/>
        </w:rPr>
        <w:t xml:space="preserve">from improved cost control and build efficiency to enhanced risk management and brand differentiation. </w:t>
      </w:r>
      <w:proofErr w:type="spellStart"/>
      <w:r w:rsidRPr="007D6E4D">
        <w:rPr>
          <w:rFonts w:cs="Arial"/>
          <w:sz w:val="21"/>
          <w:szCs w:val="21"/>
        </w:rPr>
        <w:t>Glenveagh’s</w:t>
      </w:r>
      <w:proofErr w:type="spellEnd"/>
      <w:r w:rsidRPr="007D6E4D">
        <w:rPr>
          <w:rFonts w:cs="Arial"/>
          <w:sz w:val="21"/>
          <w:szCs w:val="21"/>
        </w:rPr>
        <w:t xml:space="preserve"> integrated approach to sustainability supports margin performance, strengthens its position as a partner of choice for institutional and public sector clients, and helps attract and retain talent in a competitive labour market.</w:t>
      </w:r>
    </w:p>
    <w:p w14:paraId="6A394669" w14:textId="77777777" w:rsidR="00ED4FB7" w:rsidRPr="007D6E4D" w:rsidRDefault="00ED4FB7" w:rsidP="00ED4FB7">
      <w:pPr>
        <w:ind w:left="1080"/>
        <w:rPr>
          <w:rFonts w:cs="Arial"/>
          <w:sz w:val="21"/>
          <w:szCs w:val="21"/>
        </w:rPr>
      </w:pPr>
    </w:p>
    <w:p w14:paraId="324F1225" w14:textId="77777777" w:rsidR="00ED4FB7" w:rsidRPr="000D526B" w:rsidRDefault="00ED4FB7" w:rsidP="00ED4FB7">
      <w:pPr>
        <w:pStyle w:val="ListParagraph"/>
        <w:numPr>
          <w:ilvl w:val="0"/>
          <w:numId w:val="46"/>
        </w:numPr>
        <w:spacing w:after="160"/>
        <w:contextualSpacing w:val="0"/>
        <w:rPr>
          <w:rFonts w:cs="Arial"/>
          <w:b/>
          <w:bCs/>
          <w:sz w:val="21"/>
          <w:szCs w:val="21"/>
        </w:rPr>
      </w:pPr>
      <w:r>
        <w:rPr>
          <w:rFonts w:cs="Arial"/>
          <w:b/>
          <w:bCs/>
        </w:rPr>
        <w:t>FINANCIAL REVIEW</w:t>
      </w:r>
    </w:p>
    <w:p w14:paraId="1E77F3C7" w14:textId="77777777" w:rsidR="00ED4FB7" w:rsidRPr="00EC1495" w:rsidRDefault="00ED4FB7" w:rsidP="00ED4FB7">
      <w:pPr>
        <w:pStyle w:val="ListParagraph"/>
        <w:numPr>
          <w:ilvl w:val="1"/>
          <w:numId w:val="44"/>
        </w:numPr>
        <w:spacing w:after="160"/>
        <w:contextualSpacing w:val="0"/>
        <w:rPr>
          <w:rFonts w:cs="Arial"/>
          <w:b/>
          <w:bCs/>
          <w:sz w:val="24"/>
          <w:szCs w:val="24"/>
        </w:rPr>
      </w:pPr>
      <w:r w:rsidRPr="00EC1495">
        <w:rPr>
          <w:rFonts w:cs="Arial"/>
          <w:b/>
          <w:bCs/>
          <w:sz w:val="24"/>
          <w:szCs w:val="24"/>
        </w:rPr>
        <w:t>Group performance</w:t>
      </w:r>
    </w:p>
    <w:p w14:paraId="52AC3179" w14:textId="77777777" w:rsidR="009819DD" w:rsidRDefault="00ED4FB7" w:rsidP="00ED4FB7">
      <w:pPr>
        <w:ind w:left="1077"/>
        <w:rPr>
          <w:rFonts w:cs="Arial"/>
          <w:sz w:val="21"/>
          <w:szCs w:val="21"/>
        </w:rPr>
      </w:pPr>
      <w:proofErr w:type="spellStart"/>
      <w:r w:rsidRPr="0096243A">
        <w:rPr>
          <w:rFonts w:cs="Arial"/>
          <w:sz w:val="21"/>
          <w:szCs w:val="21"/>
        </w:rPr>
        <w:t>Glenveagh's</w:t>
      </w:r>
      <w:proofErr w:type="spellEnd"/>
      <w:r w:rsidRPr="0096243A">
        <w:rPr>
          <w:rFonts w:cs="Arial"/>
          <w:sz w:val="21"/>
          <w:szCs w:val="21"/>
        </w:rPr>
        <w:t xml:space="preserve"> robust financial performance in the first half of 2025 underscores the effective implementation of its long-term 'Building Better' strategy, which has driven significant growth, strengthened public-private partnerships, and enhanced </w:t>
      </w:r>
      <w:r>
        <w:rPr>
          <w:rFonts w:cs="Arial"/>
          <w:sz w:val="21"/>
          <w:szCs w:val="21"/>
        </w:rPr>
        <w:t xml:space="preserve">balance sheet </w:t>
      </w:r>
      <w:r w:rsidRPr="0096243A">
        <w:rPr>
          <w:rFonts w:cs="Arial"/>
          <w:sz w:val="21"/>
          <w:szCs w:val="21"/>
        </w:rPr>
        <w:t>efficiency.</w:t>
      </w:r>
    </w:p>
    <w:p w14:paraId="7ACFE711" w14:textId="789A4DEB" w:rsidR="00ED4FB7" w:rsidRDefault="00ED4FB7" w:rsidP="00ED4FB7">
      <w:pPr>
        <w:ind w:left="1077"/>
        <w:rPr>
          <w:rFonts w:cs="Arial"/>
          <w:sz w:val="21"/>
          <w:szCs w:val="21"/>
        </w:rPr>
      </w:pPr>
      <w:r w:rsidRPr="0096243A">
        <w:rPr>
          <w:rFonts w:cs="Arial"/>
          <w:sz w:val="21"/>
          <w:szCs w:val="21"/>
        </w:rPr>
        <w:t xml:space="preserve"> </w:t>
      </w:r>
    </w:p>
    <w:p w14:paraId="26E00DDA" w14:textId="77777777" w:rsidR="009819DD" w:rsidRDefault="00ED4FB7" w:rsidP="00ED4FB7">
      <w:pPr>
        <w:ind w:left="1077"/>
        <w:rPr>
          <w:rFonts w:cs="Arial"/>
          <w:sz w:val="21"/>
          <w:szCs w:val="21"/>
        </w:rPr>
      </w:pPr>
      <w:r w:rsidRPr="0096243A">
        <w:rPr>
          <w:rFonts w:cs="Arial"/>
          <w:sz w:val="21"/>
          <w:szCs w:val="21"/>
        </w:rPr>
        <w:t xml:space="preserve">Our H1 financial results </w:t>
      </w:r>
      <w:r>
        <w:rPr>
          <w:rFonts w:cs="Arial"/>
          <w:sz w:val="21"/>
          <w:szCs w:val="21"/>
        </w:rPr>
        <w:t>support</w:t>
      </w:r>
      <w:r w:rsidRPr="0096243A">
        <w:rPr>
          <w:rFonts w:cs="Arial"/>
          <w:sz w:val="21"/>
          <w:szCs w:val="21"/>
        </w:rPr>
        <w:t xml:space="preserve"> our FY 2025 financial guidance and medium-term financial objectives.</w:t>
      </w:r>
    </w:p>
    <w:p w14:paraId="14E065D9" w14:textId="32F2C799" w:rsidR="00ED4FB7" w:rsidRPr="0096243A" w:rsidRDefault="00ED4FB7" w:rsidP="00ED4FB7">
      <w:pPr>
        <w:ind w:left="1077"/>
        <w:rPr>
          <w:rFonts w:cs="Arial"/>
          <w:sz w:val="21"/>
          <w:szCs w:val="21"/>
        </w:rPr>
      </w:pPr>
      <w:r w:rsidRPr="0096243A">
        <w:rPr>
          <w:rFonts w:cs="Arial"/>
          <w:sz w:val="21"/>
          <w:szCs w:val="21"/>
        </w:rPr>
        <w:t xml:space="preserve"> </w:t>
      </w:r>
    </w:p>
    <w:p w14:paraId="7FAFF43E" w14:textId="77777777" w:rsidR="00ED4FB7" w:rsidRDefault="00ED4FB7" w:rsidP="00ED4FB7">
      <w:pPr>
        <w:ind w:left="1077"/>
        <w:rPr>
          <w:rFonts w:cs="Arial"/>
          <w:sz w:val="21"/>
          <w:szCs w:val="21"/>
        </w:rPr>
      </w:pPr>
      <w:r w:rsidRPr="00CD2056">
        <w:rPr>
          <w:rFonts w:cs="Arial"/>
          <w:sz w:val="21"/>
          <w:szCs w:val="21"/>
        </w:rPr>
        <w:t>Total Group revenue was €341.6 million (H1 2024: €152.2 million). The Group’s gross profit for the period was €6</w:t>
      </w:r>
      <w:r>
        <w:rPr>
          <w:rFonts w:cs="Arial"/>
          <w:sz w:val="21"/>
          <w:szCs w:val="21"/>
        </w:rPr>
        <w:t>6.8</w:t>
      </w:r>
      <w:r w:rsidRPr="00CD2056">
        <w:rPr>
          <w:rFonts w:cs="Arial"/>
          <w:sz w:val="21"/>
          <w:szCs w:val="21"/>
        </w:rPr>
        <w:t xml:space="preserve"> million (H1 2024: €27.7 million), with an overall expansion in gross margin to 19.</w:t>
      </w:r>
      <w:r>
        <w:rPr>
          <w:rFonts w:cs="Arial"/>
          <w:sz w:val="21"/>
          <w:szCs w:val="21"/>
        </w:rPr>
        <w:t>5</w:t>
      </w:r>
      <w:r w:rsidRPr="00CD2056">
        <w:rPr>
          <w:rFonts w:cs="Arial"/>
          <w:sz w:val="21"/>
          <w:szCs w:val="21"/>
        </w:rPr>
        <w:t>% (H1 2024: 18.2%).</w:t>
      </w:r>
    </w:p>
    <w:p w14:paraId="5D298457" w14:textId="77777777" w:rsidR="009819DD" w:rsidRPr="00CD2056" w:rsidRDefault="009819DD" w:rsidP="00ED4FB7">
      <w:pPr>
        <w:ind w:left="1077"/>
        <w:rPr>
          <w:rFonts w:cs="Arial"/>
          <w:sz w:val="21"/>
          <w:szCs w:val="21"/>
        </w:rPr>
      </w:pPr>
    </w:p>
    <w:p w14:paraId="1C39FA7E" w14:textId="77777777" w:rsidR="00ED4FB7" w:rsidRPr="00355F1C" w:rsidRDefault="00ED4FB7" w:rsidP="00ED4FB7">
      <w:pPr>
        <w:pStyle w:val="ListParagraph"/>
        <w:ind w:left="1080"/>
        <w:contextualSpacing w:val="0"/>
        <w:rPr>
          <w:rFonts w:cs="Arial"/>
          <w:sz w:val="21"/>
          <w:szCs w:val="21"/>
        </w:rPr>
      </w:pPr>
      <w:r w:rsidRPr="00CD2056">
        <w:rPr>
          <w:rFonts w:cs="Arial"/>
          <w:sz w:val="21"/>
          <w:szCs w:val="21"/>
        </w:rPr>
        <w:t>In the Homebuilding segment, revenue of €218.4 million represents a 114% increase compared to H1 2024 (€10</w:t>
      </w:r>
      <w:r>
        <w:rPr>
          <w:rFonts w:cs="Arial"/>
          <w:sz w:val="21"/>
          <w:szCs w:val="21"/>
        </w:rPr>
        <w:t>1</w:t>
      </w:r>
      <w:r w:rsidRPr="00CD2056">
        <w:rPr>
          <w:rFonts w:cs="Arial"/>
          <w:sz w:val="21"/>
          <w:szCs w:val="21"/>
        </w:rPr>
        <w:t>.</w:t>
      </w:r>
      <w:r>
        <w:rPr>
          <w:rFonts w:cs="Arial"/>
          <w:sz w:val="21"/>
          <w:szCs w:val="21"/>
        </w:rPr>
        <w:t>6</w:t>
      </w:r>
      <w:r w:rsidRPr="00CD2056">
        <w:rPr>
          <w:rFonts w:cs="Arial"/>
          <w:sz w:val="21"/>
          <w:szCs w:val="21"/>
        </w:rPr>
        <w:t xml:space="preserve"> million). The Group delivered 566 units (H1 2024: 294) at an average selling price of approximately €377k, or €366k excluding non-core sales at Shrewsbury </w:t>
      </w:r>
      <w:r>
        <w:rPr>
          <w:rFonts w:cs="Arial"/>
          <w:sz w:val="21"/>
          <w:szCs w:val="21"/>
        </w:rPr>
        <w:t>Road</w:t>
      </w:r>
      <w:r w:rsidRPr="00CD2056">
        <w:rPr>
          <w:rFonts w:cs="Arial"/>
          <w:sz w:val="21"/>
          <w:szCs w:val="21"/>
        </w:rPr>
        <w:t xml:space="preserve"> (H1 2024: €329k). </w:t>
      </w:r>
      <w:r>
        <w:rPr>
          <w:rFonts w:cs="Arial"/>
          <w:sz w:val="21"/>
          <w:szCs w:val="21"/>
        </w:rPr>
        <w:t xml:space="preserve">The </w:t>
      </w:r>
      <w:r w:rsidRPr="00570A99">
        <w:rPr>
          <w:rFonts w:cs="Arial"/>
          <w:sz w:val="21"/>
          <w:szCs w:val="21"/>
        </w:rPr>
        <w:t xml:space="preserve">ASP uplift reflects </w:t>
      </w:r>
      <w:r>
        <w:rPr>
          <w:rFonts w:cs="Arial"/>
          <w:sz w:val="21"/>
          <w:szCs w:val="21"/>
        </w:rPr>
        <w:t xml:space="preserve">site </w:t>
      </w:r>
      <w:r w:rsidRPr="00570A99">
        <w:rPr>
          <w:rFonts w:cs="Arial"/>
          <w:sz w:val="21"/>
          <w:szCs w:val="21"/>
        </w:rPr>
        <w:t>mix</w:t>
      </w:r>
      <w:r>
        <w:rPr>
          <w:rFonts w:cs="Arial"/>
          <w:sz w:val="21"/>
          <w:szCs w:val="21"/>
        </w:rPr>
        <w:t xml:space="preserve"> and </w:t>
      </w:r>
      <w:r w:rsidRPr="00570A99">
        <w:rPr>
          <w:rFonts w:cs="Arial"/>
          <w:sz w:val="21"/>
          <w:szCs w:val="21"/>
        </w:rPr>
        <w:t xml:space="preserve">is expected to </w:t>
      </w:r>
      <w:r>
        <w:rPr>
          <w:rFonts w:cs="Arial"/>
          <w:sz w:val="21"/>
          <w:szCs w:val="21"/>
        </w:rPr>
        <w:t xml:space="preserve">reduce to </w:t>
      </w:r>
      <w:r w:rsidRPr="00570A99">
        <w:rPr>
          <w:rFonts w:cs="Arial"/>
          <w:sz w:val="21"/>
          <w:szCs w:val="21"/>
        </w:rPr>
        <w:t>approximately €345k</w:t>
      </w:r>
      <w:r>
        <w:rPr>
          <w:rFonts w:cs="Arial"/>
          <w:sz w:val="21"/>
          <w:szCs w:val="21"/>
        </w:rPr>
        <w:t xml:space="preserve"> for the full year (FY 2024 €365k.)</w:t>
      </w:r>
    </w:p>
    <w:p w14:paraId="61C3730B" w14:textId="77777777" w:rsidR="00097C4B" w:rsidRDefault="00ED4FB7" w:rsidP="00ED4FB7">
      <w:pPr>
        <w:ind w:left="1077"/>
        <w:rPr>
          <w:rFonts w:cs="Arial"/>
          <w:sz w:val="21"/>
          <w:szCs w:val="21"/>
        </w:rPr>
      </w:pPr>
      <w:r w:rsidRPr="00CD2056">
        <w:rPr>
          <w:rFonts w:cs="Arial"/>
          <w:sz w:val="21"/>
          <w:szCs w:val="21"/>
        </w:rPr>
        <w:lastRenderedPageBreak/>
        <w:t>Group gross margin increased by 1</w:t>
      </w:r>
      <w:r>
        <w:rPr>
          <w:rFonts w:cs="Arial"/>
          <w:sz w:val="21"/>
          <w:szCs w:val="21"/>
        </w:rPr>
        <w:t>3</w:t>
      </w:r>
      <w:r w:rsidRPr="00CD2056">
        <w:rPr>
          <w:rFonts w:cs="Arial"/>
          <w:sz w:val="21"/>
          <w:szCs w:val="21"/>
        </w:rPr>
        <w:t>0 basis points to 19.</w:t>
      </w:r>
      <w:r>
        <w:rPr>
          <w:rFonts w:cs="Arial"/>
          <w:sz w:val="21"/>
          <w:szCs w:val="21"/>
        </w:rPr>
        <w:t>5</w:t>
      </w:r>
      <w:r w:rsidRPr="00CD2056">
        <w:rPr>
          <w:rFonts w:cs="Arial"/>
          <w:sz w:val="21"/>
          <w:szCs w:val="21"/>
        </w:rPr>
        <w:t xml:space="preserve">%, primarily driven by delivery mix, standardisation, </w:t>
      </w:r>
      <w:r>
        <w:rPr>
          <w:rFonts w:cs="Arial"/>
          <w:sz w:val="21"/>
          <w:szCs w:val="21"/>
        </w:rPr>
        <w:t xml:space="preserve">scale benefits, </w:t>
      </w:r>
      <w:r w:rsidRPr="00CD2056">
        <w:rPr>
          <w:rFonts w:cs="Arial"/>
          <w:sz w:val="21"/>
          <w:szCs w:val="21"/>
        </w:rPr>
        <w:t xml:space="preserve">early </w:t>
      </w:r>
      <w:r>
        <w:rPr>
          <w:rFonts w:cs="Arial"/>
          <w:sz w:val="21"/>
          <w:szCs w:val="21"/>
        </w:rPr>
        <w:t>returns</w:t>
      </w:r>
      <w:r w:rsidRPr="00CD2056">
        <w:rPr>
          <w:rFonts w:cs="Arial"/>
          <w:sz w:val="21"/>
          <w:szCs w:val="21"/>
        </w:rPr>
        <w:t xml:space="preserve"> from off-site manufacturing</w:t>
      </w:r>
      <w:r>
        <w:rPr>
          <w:rFonts w:cs="Arial"/>
          <w:sz w:val="21"/>
          <w:szCs w:val="21"/>
        </w:rPr>
        <w:t xml:space="preserve"> and an exceptional site mix</w:t>
      </w:r>
      <w:r w:rsidRPr="00CD2056">
        <w:rPr>
          <w:rFonts w:cs="Arial"/>
          <w:sz w:val="21"/>
          <w:szCs w:val="21"/>
        </w:rPr>
        <w:t>.</w:t>
      </w:r>
    </w:p>
    <w:p w14:paraId="774B72EF" w14:textId="2CA56FEC" w:rsidR="00ED4FB7" w:rsidRPr="00CD2056" w:rsidRDefault="00ED4FB7" w:rsidP="00ED4FB7">
      <w:pPr>
        <w:ind w:left="1077"/>
        <w:rPr>
          <w:rFonts w:cs="Arial"/>
          <w:sz w:val="21"/>
          <w:szCs w:val="21"/>
        </w:rPr>
      </w:pPr>
      <w:r w:rsidRPr="00CD2056">
        <w:rPr>
          <w:rFonts w:cs="Arial"/>
          <w:sz w:val="21"/>
          <w:szCs w:val="21"/>
        </w:rPr>
        <w:t xml:space="preserve"> </w:t>
      </w:r>
    </w:p>
    <w:p w14:paraId="24853FC0" w14:textId="77777777" w:rsidR="00ED4FB7" w:rsidRDefault="00ED4FB7" w:rsidP="00ED4FB7">
      <w:pPr>
        <w:ind w:left="1077"/>
        <w:rPr>
          <w:rFonts w:cs="Arial"/>
          <w:sz w:val="21"/>
          <w:szCs w:val="21"/>
        </w:rPr>
      </w:pPr>
      <w:r w:rsidRPr="00CD2056">
        <w:rPr>
          <w:rFonts w:cs="Arial"/>
          <w:sz w:val="21"/>
          <w:szCs w:val="21"/>
        </w:rPr>
        <w:t>Revenue from the Partnerships segment was €123.2 million (H1 2024: €50</w:t>
      </w:r>
      <w:r>
        <w:rPr>
          <w:rFonts w:cs="Arial"/>
          <w:sz w:val="21"/>
          <w:szCs w:val="21"/>
        </w:rPr>
        <w:t>.6</w:t>
      </w:r>
      <w:r w:rsidRPr="00CD2056">
        <w:rPr>
          <w:rFonts w:cs="Arial"/>
          <w:sz w:val="21"/>
          <w:szCs w:val="21"/>
        </w:rPr>
        <w:t xml:space="preserve"> million), reflecting significant progress across six active sites. The segment’s gross margin was 16.</w:t>
      </w:r>
      <w:r>
        <w:rPr>
          <w:rFonts w:cs="Arial"/>
          <w:sz w:val="21"/>
          <w:szCs w:val="21"/>
        </w:rPr>
        <w:t>2</w:t>
      </w:r>
      <w:r w:rsidRPr="00CD2056">
        <w:rPr>
          <w:rFonts w:cs="Arial"/>
          <w:sz w:val="21"/>
          <w:szCs w:val="21"/>
        </w:rPr>
        <w:t>% (H1 2024: 15.2%)</w:t>
      </w:r>
      <w:r w:rsidRPr="00DE573D">
        <w:rPr>
          <w:rFonts w:ascii="Segoe UI" w:hAnsi="Segoe UI" w:cs="Segoe UI"/>
          <w:color w:val="424242"/>
          <w:shd w:val="clear" w:color="auto" w:fill="FAFAFA"/>
        </w:rPr>
        <w:t xml:space="preserve"> </w:t>
      </w:r>
      <w:r>
        <w:rPr>
          <w:rFonts w:cs="Arial"/>
          <w:sz w:val="21"/>
          <w:szCs w:val="21"/>
        </w:rPr>
        <w:t>and benefitted from favourable site mix, tenure mix and a lower contribution from formerly Urban developments</w:t>
      </w:r>
      <w:r w:rsidRPr="00CD2056">
        <w:rPr>
          <w:rFonts w:cs="Arial"/>
          <w:sz w:val="21"/>
          <w:szCs w:val="21"/>
        </w:rPr>
        <w:t>. The Group’s integrated capabilities in planning, design, and manufacturing continue to enhance delivery speed and quality in this segment.</w:t>
      </w:r>
    </w:p>
    <w:p w14:paraId="34B35D01" w14:textId="77777777" w:rsidR="004D7D97" w:rsidRDefault="004D7D97" w:rsidP="00ED4FB7">
      <w:pPr>
        <w:ind w:left="1077"/>
        <w:rPr>
          <w:rFonts w:cs="Arial"/>
          <w:sz w:val="21"/>
          <w:szCs w:val="21"/>
        </w:rPr>
      </w:pPr>
    </w:p>
    <w:p w14:paraId="08E9687E" w14:textId="77777777" w:rsidR="004D7D97" w:rsidRDefault="00ED4FB7" w:rsidP="00ED4FB7">
      <w:pPr>
        <w:ind w:left="1077"/>
        <w:rPr>
          <w:rFonts w:cs="Arial"/>
          <w:sz w:val="21"/>
          <w:szCs w:val="21"/>
        </w:rPr>
      </w:pPr>
      <w:r w:rsidRPr="00CD2056">
        <w:rPr>
          <w:rFonts w:cs="Arial"/>
          <w:sz w:val="21"/>
          <w:szCs w:val="21"/>
        </w:rPr>
        <w:t>Group operating profit was €4</w:t>
      </w:r>
      <w:r>
        <w:rPr>
          <w:rFonts w:cs="Arial"/>
          <w:sz w:val="21"/>
          <w:szCs w:val="21"/>
        </w:rPr>
        <w:t>2.1</w:t>
      </w:r>
      <w:r w:rsidRPr="00CD2056">
        <w:rPr>
          <w:rFonts w:cs="Arial"/>
          <w:sz w:val="21"/>
          <w:szCs w:val="21"/>
        </w:rPr>
        <w:t xml:space="preserve"> million (H1 2024: €8.6 million), driven by strong revenue growth across both Homebuilding and Partnerships, improved gross margin performance supported by standardisation</w:t>
      </w:r>
      <w:r>
        <w:rPr>
          <w:rFonts w:cs="Arial"/>
          <w:sz w:val="21"/>
          <w:szCs w:val="21"/>
        </w:rPr>
        <w:t>,</w:t>
      </w:r>
      <w:r w:rsidRPr="00CD2056">
        <w:rPr>
          <w:rFonts w:cs="Arial"/>
          <w:sz w:val="21"/>
          <w:szCs w:val="21"/>
        </w:rPr>
        <w:t xml:space="preserve"> vertical integration, and disciplined cost control</w:t>
      </w:r>
      <w:r>
        <w:rPr>
          <w:rFonts w:cs="Arial"/>
          <w:sz w:val="21"/>
          <w:szCs w:val="21"/>
        </w:rPr>
        <w:t xml:space="preserve"> alongside site mix.</w:t>
      </w:r>
    </w:p>
    <w:p w14:paraId="26EB6538" w14:textId="6003B2A6" w:rsidR="00ED4FB7" w:rsidRPr="00CD2056" w:rsidRDefault="00ED4FB7" w:rsidP="00ED4FB7">
      <w:pPr>
        <w:ind w:left="1077"/>
        <w:rPr>
          <w:rFonts w:cs="Arial"/>
          <w:sz w:val="21"/>
          <w:szCs w:val="21"/>
        </w:rPr>
      </w:pPr>
      <w:r w:rsidRPr="00CD2056">
        <w:rPr>
          <w:rFonts w:cs="Arial"/>
          <w:sz w:val="21"/>
          <w:szCs w:val="21"/>
        </w:rPr>
        <w:t xml:space="preserve"> </w:t>
      </w:r>
    </w:p>
    <w:p w14:paraId="2F96DF39" w14:textId="77777777" w:rsidR="00ED4FB7" w:rsidRDefault="00ED4FB7" w:rsidP="00ED4FB7">
      <w:pPr>
        <w:ind w:left="1077"/>
        <w:rPr>
          <w:rFonts w:cs="Arial"/>
          <w:sz w:val="21"/>
          <w:szCs w:val="21"/>
        </w:rPr>
      </w:pPr>
      <w:r w:rsidRPr="00CD2056">
        <w:rPr>
          <w:rFonts w:cs="Arial"/>
          <w:sz w:val="21"/>
          <w:szCs w:val="21"/>
        </w:rPr>
        <w:t>Administrative costs were €2</w:t>
      </w:r>
      <w:r>
        <w:rPr>
          <w:rFonts w:cs="Arial"/>
          <w:sz w:val="21"/>
          <w:szCs w:val="21"/>
        </w:rPr>
        <w:t>3</w:t>
      </w:r>
      <w:r w:rsidRPr="00CD2056">
        <w:rPr>
          <w:rFonts w:cs="Arial"/>
          <w:sz w:val="21"/>
          <w:szCs w:val="21"/>
        </w:rPr>
        <w:t>.</w:t>
      </w:r>
      <w:r>
        <w:rPr>
          <w:rFonts w:cs="Arial"/>
          <w:sz w:val="21"/>
          <w:szCs w:val="21"/>
        </w:rPr>
        <w:t>0</w:t>
      </w:r>
      <w:r w:rsidRPr="00CD2056">
        <w:rPr>
          <w:rFonts w:cs="Arial"/>
          <w:sz w:val="21"/>
          <w:szCs w:val="21"/>
        </w:rPr>
        <w:t xml:space="preserve"> million (H1 2024: €17.7 million), with depreciation and amortisation of €1.7 million (H1 2024: €1.4 million), resulting in total administrative expenses of €2</w:t>
      </w:r>
      <w:r>
        <w:rPr>
          <w:rFonts w:cs="Arial"/>
          <w:sz w:val="21"/>
          <w:szCs w:val="21"/>
        </w:rPr>
        <w:t>4</w:t>
      </w:r>
      <w:r w:rsidRPr="00CD2056">
        <w:rPr>
          <w:rFonts w:cs="Arial"/>
          <w:sz w:val="21"/>
          <w:szCs w:val="21"/>
        </w:rPr>
        <w:t>.</w:t>
      </w:r>
      <w:r>
        <w:rPr>
          <w:rFonts w:cs="Arial"/>
          <w:sz w:val="21"/>
          <w:szCs w:val="21"/>
        </w:rPr>
        <w:t>7</w:t>
      </w:r>
      <w:r w:rsidRPr="00CD2056">
        <w:rPr>
          <w:rFonts w:cs="Arial"/>
          <w:sz w:val="21"/>
          <w:szCs w:val="21"/>
        </w:rPr>
        <w:t xml:space="preserve"> million (H1 2024: €19.1 million).</w:t>
      </w:r>
    </w:p>
    <w:p w14:paraId="5DE44285" w14:textId="77777777" w:rsidR="006F28CB" w:rsidRPr="00CD2056" w:rsidRDefault="006F28CB" w:rsidP="00ED4FB7">
      <w:pPr>
        <w:ind w:left="1077"/>
        <w:rPr>
          <w:rFonts w:cs="Arial"/>
          <w:sz w:val="21"/>
          <w:szCs w:val="21"/>
        </w:rPr>
      </w:pPr>
    </w:p>
    <w:p w14:paraId="49FE6B4B" w14:textId="77777777" w:rsidR="00ED4FB7" w:rsidRPr="00CD2056" w:rsidRDefault="00ED4FB7" w:rsidP="00ED4FB7">
      <w:pPr>
        <w:ind w:left="1077"/>
        <w:rPr>
          <w:rFonts w:cs="Arial"/>
          <w:sz w:val="21"/>
          <w:szCs w:val="21"/>
        </w:rPr>
      </w:pPr>
      <w:r w:rsidRPr="00CD2056">
        <w:rPr>
          <w:rFonts w:cs="Arial"/>
          <w:sz w:val="21"/>
          <w:szCs w:val="21"/>
        </w:rPr>
        <w:t>Net finance costs increased to €9.6 million (H1 2024: €7.</w:t>
      </w:r>
      <w:r>
        <w:rPr>
          <w:rFonts w:cs="Arial"/>
          <w:sz w:val="21"/>
          <w:szCs w:val="21"/>
        </w:rPr>
        <w:t>6</w:t>
      </w:r>
      <w:r w:rsidRPr="00CD2056">
        <w:rPr>
          <w:rFonts w:cs="Arial"/>
          <w:sz w:val="21"/>
          <w:szCs w:val="21"/>
        </w:rPr>
        <w:t xml:space="preserve"> million), reflecting a higher average debt level during the period</w:t>
      </w:r>
      <w:r>
        <w:rPr>
          <w:rFonts w:cs="Arial"/>
          <w:sz w:val="21"/>
          <w:szCs w:val="21"/>
        </w:rPr>
        <w:t xml:space="preserve"> owing to a higher starting point </w:t>
      </w:r>
      <w:proofErr w:type="gramStart"/>
      <w:r>
        <w:rPr>
          <w:rFonts w:cs="Arial"/>
          <w:sz w:val="21"/>
          <w:szCs w:val="21"/>
        </w:rPr>
        <w:t>at</w:t>
      </w:r>
      <w:proofErr w:type="gramEnd"/>
      <w:r>
        <w:rPr>
          <w:rFonts w:cs="Arial"/>
          <w:sz w:val="21"/>
          <w:szCs w:val="21"/>
        </w:rPr>
        <w:t xml:space="preserve"> 1 January 2025</w:t>
      </w:r>
      <w:r w:rsidRPr="00CD2056">
        <w:rPr>
          <w:rFonts w:cs="Arial"/>
          <w:sz w:val="21"/>
          <w:szCs w:val="21"/>
        </w:rPr>
        <w:t xml:space="preserve">. </w:t>
      </w:r>
    </w:p>
    <w:p w14:paraId="51F5E3AA" w14:textId="77777777" w:rsidR="006F28CB" w:rsidRDefault="00ED4FB7" w:rsidP="00ED4FB7">
      <w:pPr>
        <w:ind w:left="1077"/>
        <w:rPr>
          <w:rFonts w:cs="Arial"/>
          <w:sz w:val="21"/>
          <w:szCs w:val="21"/>
        </w:rPr>
      </w:pPr>
      <w:r w:rsidRPr="00CD2056">
        <w:rPr>
          <w:rFonts w:cs="Arial"/>
          <w:sz w:val="21"/>
          <w:szCs w:val="21"/>
        </w:rPr>
        <w:t xml:space="preserve">The Group delivered earnings per share of </w:t>
      </w:r>
      <w:r w:rsidRPr="00DC228A">
        <w:rPr>
          <w:rFonts w:cs="Arial"/>
          <w:sz w:val="21"/>
          <w:szCs w:val="21"/>
        </w:rPr>
        <w:t>5.2 cent</w:t>
      </w:r>
      <w:r w:rsidRPr="00CD2056">
        <w:rPr>
          <w:rFonts w:cs="Arial"/>
          <w:sz w:val="21"/>
          <w:szCs w:val="21"/>
        </w:rPr>
        <w:t xml:space="preserve"> (H1 2024: 0.12 cent), </w:t>
      </w:r>
      <w:r>
        <w:rPr>
          <w:rFonts w:cs="Arial"/>
          <w:sz w:val="21"/>
          <w:szCs w:val="21"/>
        </w:rPr>
        <w:t>consistent</w:t>
      </w:r>
      <w:r w:rsidRPr="00CD2056">
        <w:rPr>
          <w:rFonts w:cs="Arial"/>
          <w:sz w:val="21"/>
          <w:szCs w:val="21"/>
        </w:rPr>
        <w:t xml:space="preserve"> with expectations and supported by strong operational execution.</w:t>
      </w:r>
    </w:p>
    <w:p w14:paraId="4066F111" w14:textId="18D8D87D" w:rsidR="00ED4FB7" w:rsidRPr="00CD2056" w:rsidRDefault="00ED4FB7" w:rsidP="00ED4FB7">
      <w:pPr>
        <w:ind w:left="1077"/>
        <w:rPr>
          <w:rFonts w:cs="Arial"/>
          <w:sz w:val="21"/>
          <w:szCs w:val="21"/>
        </w:rPr>
      </w:pPr>
      <w:r>
        <w:rPr>
          <w:rFonts w:cs="Arial"/>
          <w:sz w:val="21"/>
          <w:szCs w:val="21"/>
        </w:rPr>
        <w:t xml:space="preserve"> </w:t>
      </w:r>
    </w:p>
    <w:p w14:paraId="483AE454" w14:textId="77777777" w:rsidR="00ED4FB7" w:rsidRPr="00641310" w:rsidRDefault="00ED4FB7" w:rsidP="00ED4FB7">
      <w:pPr>
        <w:pStyle w:val="ListParagraph"/>
        <w:numPr>
          <w:ilvl w:val="1"/>
          <w:numId w:val="44"/>
        </w:numPr>
        <w:spacing w:after="160"/>
        <w:contextualSpacing w:val="0"/>
        <w:rPr>
          <w:rFonts w:cs="Arial"/>
          <w:b/>
          <w:bCs/>
          <w:sz w:val="24"/>
          <w:szCs w:val="24"/>
        </w:rPr>
      </w:pPr>
      <w:r w:rsidRPr="00641310">
        <w:rPr>
          <w:rFonts w:cs="Arial"/>
          <w:b/>
          <w:bCs/>
          <w:sz w:val="24"/>
          <w:szCs w:val="24"/>
        </w:rPr>
        <w:t xml:space="preserve">Balance sheet and cash flow  </w:t>
      </w:r>
    </w:p>
    <w:p w14:paraId="16564B7A" w14:textId="77777777" w:rsidR="00ED4FB7" w:rsidRDefault="00ED4FB7" w:rsidP="00ED4FB7">
      <w:pPr>
        <w:pStyle w:val="ListParagraph"/>
        <w:ind w:left="1077"/>
        <w:contextualSpacing w:val="0"/>
        <w:rPr>
          <w:rFonts w:cs="Arial"/>
          <w:sz w:val="21"/>
          <w:szCs w:val="21"/>
        </w:rPr>
      </w:pPr>
      <w:r w:rsidRPr="00E16410">
        <w:rPr>
          <w:rFonts w:cs="Arial"/>
          <w:sz w:val="21"/>
          <w:szCs w:val="21"/>
        </w:rPr>
        <w:t xml:space="preserve">Property, Plant &amp; Equipment </w:t>
      </w:r>
      <w:r w:rsidRPr="00042844">
        <w:rPr>
          <w:rFonts w:cs="Arial"/>
          <w:sz w:val="21"/>
          <w:szCs w:val="21"/>
        </w:rPr>
        <w:t xml:space="preserve">was €62.5. </w:t>
      </w:r>
      <w:r w:rsidRPr="00E16410">
        <w:rPr>
          <w:rFonts w:cs="Arial"/>
          <w:sz w:val="21"/>
          <w:szCs w:val="21"/>
        </w:rPr>
        <w:t xml:space="preserve">million </w:t>
      </w:r>
      <w:proofErr w:type="gramStart"/>
      <w:r w:rsidRPr="00E16410">
        <w:rPr>
          <w:rFonts w:cs="Arial"/>
          <w:sz w:val="21"/>
          <w:szCs w:val="21"/>
        </w:rPr>
        <w:t>at</w:t>
      </w:r>
      <w:proofErr w:type="gramEnd"/>
      <w:r w:rsidRPr="00E16410">
        <w:rPr>
          <w:rFonts w:cs="Arial"/>
          <w:sz w:val="21"/>
          <w:szCs w:val="21"/>
        </w:rPr>
        <w:t xml:space="preserve"> 30 June 2025 (FY 2024: €</w:t>
      </w:r>
      <w:r>
        <w:rPr>
          <w:rFonts w:cs="Arial"/>
          <w:sz w:val="21"/>
          <w:szCs w:val="21"/>
        </w:rPr>
        <w:t>62.4</w:t>
      </w:r>
      <w:r w:rsidRPr="00E16410">
        <w:rPr>
          <w:rFonts w:cs="Arial"/>
          <w:sz w:val="21"/>
          <w:szCs w:val="21"/>
        </w:rPr>
        <w:t xml:space="preserve"> million)</w:t>
      </w:r>
      <w:r>
        <w:rPr>
          <w:rFonts w:cs="Arial"/>
          <w:sz w:val="21"/>
          <w:szCs w:val="21"/>
        </w:rPr>
        <w:t xml:space="preserve">. </w:t>
      </w:r>
      <w:r w:rsidRPr="002C274E">
        <w:rPr>
          <w:rFonts w:cs="Arial"/>
          <w:sz w:val="21"/>
          <w:szCs w:val="21"/>
        </w:rPr>
        <w:t>The Group’s land investment, excluding development rights, was €536.0 million (31 December 2024: €556.2 million) and development rights increased to €28.6 million (FY 2024: €2</w:t>
      </w:r>
      <w:r>
        <w:rPr>
          <w:rFonts w:cs="Arial"/>
          <w:sz w:val="21"/>
          <w:szCs w:val="21"/>
        </w:rPr>
        <w:t>4</w:t>
      </w:r>
      <w:r w:rsidRPr="002C274E">
        <w:rPr>
          <w:rFonts w:cs="Arial"/>
          <w:sz w:val="21"/>
          <w:szCs w:val="21"/>
        </w:rPr>
        <w:t>.</w:t>
      </w:r>
      <w:r>
        <w:rPr>
          <w:rFonts w:cs="Arial"/>
          <w:sz w:val="21"/>
          <w:szCs w:val="21"/>
        </w:rPr>
        <w:t>4</w:t>
      </w:r>
      <w:r w:rsidRPr="002C274E">
        <w:rPr>
          <w:rFonts w:cs="Arial"/>
          <w:sz w:val="21"/>
          <w:szCs w:val="21"/>
        </w:rPr>
        <w:t xml:space="preserve"> million). Continued reductions in the landbank are anticipated through unit delivery and will be complemented </w:t>
      </w:r>
      <w:r w:rsidRPr="00DC228A">
        <w:rPr>
          <w:rFonts w:cs="Arial"/>
          <w:sz w:val="21"/>
          <w:szCs w:val="21"/>
        </w:rPr>
        <w:t>by land sales exceeding €100 million over 2025 and 2026, o</w:t>
      </w:r>
      <w:r w:rsidRPr="002C274E">
        <w:rPr>
          <w:rFonts w:cs="Arial"/>
          <w:sz w:val="21"/>
          <w:szCs w:val="21"/>
        </w:rPr>
        <w:t xml:space="preserve">f which </w:t>
      </w:r>
      <w:r>
        <w:rPr>
          <w:rFonts w:cs="Arial"/>
          <w:sz w:val="21"/>
          <w:szCs w:val="21"/>
        </w:rPr>
        <w:t xml:space="preserve">more than </w:t>
      </w:r>
      <w:r w:rsidRPr="002C274E">
        <w:rPr>
          <w:rFonts w:cs="Arial"/>
          <w:sz w:val="21"/>
          <w:szCs w:val="21"/>
        </w:rPr>
        <w:t>€</w:t>
      </w:r>
      <w:r>
        <w:rPr>
          <w:rFonts w:cs="Arial"/>
          <w:sz w:val="21"/>
          <w:szCs w:val="21"/>
        </w:rPr>
        <w:t>60</w:t>
      </w:r>
      <w:r w:rsidRPr="00533F34">
        <w:rPr>
          <w:rFonts w:cs="Arial"/>
          <w:sz w:val="21"/>
          <w:szCs w:val="21"/>
        </w:rPr>
        <w:t xml:space="preserve"> million are either closed or in advanced stages of contract.</w:t>
      </w:r>
      <w:r>
        <w:rPr>
          <w:rFonts w:cs="Arial"/>
          <w:sz w:val="21"/>
          <w:szCs w:val="21"/>
        </w:rPr>
        <w:t xml:space="preserve"> Focused delivery of </w:t>
      </w:r>
      <w:r w:rsidRPr="00F5686F">
        <w:rPr>
          <w:rFonts w:cs="Arial"/>
          <w:sz w:val="21"/>
          <w:szCs w:val="21"/>
        </w:rPr>
        <w:t xml:space="preserve">vintage Homebuilding and Partnerships </w:t>
      </w:r>
      <w:r>
        <w:rPr>
          <w:rFonts w:cs="Arial"/>
          <w:sz w:val="21"/>
          <w:szCs w:val="21"/>
        </w:rPr>
        <w:t>sites</w:t>
      </w:r>
      <w:r w:rsidRPr="00F5686F">
        <w:rPr>
          <w:rFonts w:cs="Arial"/>
          <w:sz w:val="21"/>
          <w:szCs w:val="21"/>
        </w:rPr>
        <w:t xml:space="preserve"> will further optimise our land portfolio while prioritising return on capital.</w:t>
      </w:r>
    </w:p>
    <w:p w14:paraId="666D0098" w14:textId="77777777" w:rsidR="00ED17B1" w:rsidRPr="001F090D" w:rsidRDefault="00ED17B1" w:rsidP="00ED4FB7">
      <w:pPr>
        <w:pStyle w:val="ListParagraph"/>
        <w:ind w:left="1077"/>
        <w:contextualSpacing w:val="0"/>
        <w:rPr>
          <w:rFonts w:cs="Arial"/>
          <w:sz w:val="21"/>
          <w:szCs w:val="21"/>
        </w:rPr>
      </w:pPr>
    </w:p>
    <w:p w14:paraId="079A3C73" w14:textId="77777777" w:rsidR="00ED4FB7" w:rsidRDefault="00ED4FB7" w:rsidP="00ED4FB7">
      <w:pPr>
        <w:pStyle w:val="ListParagraph"/>
        <w:ind w:left="1077"/>
        <w:contextualSpacing w:val="0"/>
        <w:rPr>
          <w:rFonts w:cs="Arial"/>
          <w:sz w:val="21"/>
          <w:szCs w:val="21"/>
        </w:rPr>
      </w:pPr>
      <w:r w:rsidRPr="00E16410">
        <w:rPr>
          <w:rFonts w:cs="Arial"/>
          <w:sz w:val="21"/>
          <w:szCs w:val="21"/>
        </w:rPr>
        <w:t>Work-in-progress increased to €</w:t>
      </w:r>
      <w:r w:rsidRPr="00DD02F5">
        <w:rPr>
          <w:rFonts w:cs="Arial"/>
          <w:sz w:val="21"/>
          <w:szCs w:val="21"/>
        </w:rPr>
        <w:t>346.8</w:t>
      </w:r>
      <w:r w:rsidRPr="00E16410">
        <w:rPr>
          <w:rFonts w:cs="Arial"/>
          <w:sz w:val="21"/>
          <w:szCs w:val="21"/>
        </w:rPr>
        <w:t xml:space="preserve"> million (31 December 2024: €283.</w:t>
      </w:r>
      <w:r>
        <w:rPr>
          <w:rFonts w:cs="Arial"/>
          <w:sz w:val="21"/>
          <w:szCs w:val="21"/>
        </w:rPr>
        <w:t>7</w:t>
      </w:r>
      <w:r w:rsidRPr="00E16410">
        <w:rPr>
          <w:rFonts w:cs="Arial"/>
          <w:sz w:val="21"/>
          <w:szCs w:val="21"/>
        </w:rPr>
        <w:t xml:space="preserve"> million), reflecting investment to support the Group’s growth strategy, including delivery under the </w:t>
      </w:r>
      <w:proofErr w:type="spellStart"/>
      <w:r w:rsidRPr="00E16410">
        <w:rPr>
          <w:rFonts w:cs="Arial"/>
          <w:sz w:val="21"/>
          <w:szCs w:val="21"/>
        </w:rPr>
        <w:t>Croí</w:t>
      </w:r>
      <w:proofErr w:type="spellEnd"/>
      <w:r w:rsidRPr="00E16410">
        <w:rPr>
          <w:rFonts w:cs="Arial"/>
          <w:sz w:val="21"/>
          <w:szCs w:val="21"/>
        </w:rPr>
        <w:t xml:space="preserve"> </w:t>
      </w:r>
      <w:proofErr w:type="spellStart"/>
      <w:r w:rsidRPr="00E16410">
        <w:rPr>
          <w:rFonts w:cs="Arial"/>
          <w:sz w:val="21"/>
          <w:szCs w:val="21"/>
        </w:rPr>
        <w:t>Cónaithe</w:t>
      </w:r>
      <w:proofErr w:type="spellEnd"/>
      <w:r w:rsidRPr="00E16410">
        <w:rPr>
          <w:rFonts w:cs="Arial"/>
          <w:sz w:val="21"/>
          <w:szCs w:val="21"/>
        </w:rPr>
        <w:t xml:space="preserve"> scheme and the planned increase in Homebuilding output from 2025 to 2027.</w:t>
      </w:r>
    </w:p>
    <w:p w14:paraId="78019D26" w14:textId="77777777" w:rsidR="00AB29A0" w:rsidRPr="00E16410" w:rsidRDefault="00AB29A0" w:rsidP="00ED4FB7">
      <w:pPr>
        <w:pStyle w:val="ListParagraph"/>
        <w:ind w:left="1077"/>
        <w:contextualSpacing w:val="0"/>
        <w:rPr>
          <w:rFonts w:cs="Arial"/>
          <w:sz w:val="21"/>
          <w:szCs w:val="21"/>
        </w:rPr>
      </w:pPr>
    </w:p>
    <w:p w14:paraId="43997719" w14:textId="77777777" w:rsidR="00AB29A0" w:rsidRDefault="00ED4FB7" w:rsidP="00ED4FB7">
      <w:pPr>
        <w:pStyle w:val="ListParagraph"/>
        <w:ind w:left="1077"/>
        <w:contextualSpacing w:val="0"/>
        <w:rPr>
          <w:rFonts w:cs="Arial"/>
          <w:sz w:val="21"/>
          <w:szCs w:val="21"/>
        </w:rPr>
      </w:pPr>
      <w:r w:rsidRPr="00E16410">
        <w:rPr>
          <w:rFonts w:cs="Arial"/>
          <w:sz w:val="21"/>
          <w:szCs w:val="21"/>
        </w:rPr>
        <w:t>Operating cash flow</w:t>
      </w:r>
      <w:r>
        <w:rPr>
          <w:rFonts w:cs="Arial"/>
          <w:sz w:val="21"/>
          <w:szCs w:val="21"/>
        </w:rPr>
        <w:t xml:space="preserve"> improved materially in H1 2025 (-€10.7 </w:t>
      </w:r>
      <w:r w:rsidRPr="03E9C12C">
        <w:rPr>
          <w:rFonts w:cs="Arial"/>
          <w:sz w:val="21"/>
          <w:szCs w:val="21"/>
        </w:rPr>
        <w:t>m</w:t>
      </w:r>
      <w:r>
        <w:rPr>
          <w:rFonts w:cs="Arial"/>
          <w:sz w:val="21"/>
          <w:szCs w:val="21"/>
        </w:rPr>
        <w:t xml:space="preserve">illion) versus H1 2024 (-€194.2 </w:t>
      </w:r>
      <w:r w:rsidRPr="03E9C12C">
        <w:rPr>
          <w:rFonts w:cs="Arial"/>
          <w:sz w:val="21"/>
          <w:szCs w:val="21"/>
        </w:rPr>
        <w:t>m</w:t>
      </w:r>
      <w:r>
        <w:rPr>
          <w:rFonts w:cs="Arial"/>
          <w:sz w:val="21"/>
          <w:szCs w:val="21"/>
        </w:rPr>
        <w:t>illion),</w:t>
      </w:r>
      <w:r w:rsidRPr="00E16410">
        <w:rPr>
          <w:rFonts w:cs="Arial"/>
          <w:sz w:val="21"/>
          <w:szCs w:val="21"/>
        </w:rPr>
        <w:t xml:space="preserve"> reflect</w:t>
      </w:r>
      <w:r>
        <w:rPr>
          <w:rFonts w:cs="Arial"/>
          <w:sz w:val="21"/>
          <w:szCs w:val="21"/>
        </w:rPr>
        <w:t>ing</w:t>
      </w:r>
      <w:r w:rsidRPr="00E16410">
        <w:rPr>
          <w:rFonts w:cs="Arial"/>
          <w:sz w:val="21"/>
          <w:szCs w:val="21"/>
        </w:rPr>
        <w:t xml:space="preserve"> </w:t>
      </w:r>
      <w:r>
        <w:rPr>
          <w:rFonts w:cs="Arial"/>
          <w:sz w:val="21"/>
          <w:szCs w:val="21"/>
        </w:rPr>
        <w:t xml:space="preserve">higher revenues and </w:t>
      </w:r>
      <w:r w:rsidRPr="00E16410">
        <w:rPr>
          <w:rFonts w:cs="Arial"/>
          <w:sz w:val="21"/>
          <w:szCs w:val="21"/>
        </w:rPr>
        <w:t xml:space="preserve">continued </w:t>
      </w:r>
      <w:r>
        <w:rPr>
          <w:rFonts w:cs="Arial"/>
          <w:sz w:val="21"/>
          <w:szCs w:val="21"/>
        </w:rPr>
        <w:t>improvement in working capital</w:t>
      </w:r>
      <w:r w:rsidRPr="00E16410">
        <w:rPr>
          <w:rFonts w:cs="Arial"/>
          <w:sz w:val="21"/>
          <w:szCs w:val="21"/>
        </w:rPr>
        <w:t>, in line with capital allocation priorities. The Group continues to return surplus capital to shareholders through its buyback programme, consistent with its capital allocation framework.</w:t>
      </w:r>
    </w:p>
    <w:p w14:paraId="430DB2F0" w14:textId="70F6B562" w:rsidR="00ED4FB7" w:rsidRDefault="00ED4FB7" w:rsidP="00ED4FB7">
      <w:pPr>
        <w:pStyle w:val="ListParagraph"/>
        <w:ind w:left="1077"/>
        <w:contextualSpacing w:val="0"/>
        <w:rPr>
          <w:rFonts w:cs="Arial"/>
          <w:sz w:val="21"/>
          <w:szCs w:val="21"/>
        </w:rPr>
      </w:pPr>
      <w:r w:rsidRPr="00E16410">
        <w:rPr>
          <w:rFonts w:cs="Arial"/>
          <w:sz w:val="21"/>
          <w:szCs w:val="21"/>
        </w:rPr>
        <w:t xml:space="preserve"> </w:t>
      </w:r>
    </w:p>
    <w:p w14:paraId="53C0AC4F" w14:textId="77777777" w:rsidR="00592D84" w:rsidRDefault="00ED4FB7" w:rsidP="00ED4FB7">
      <w:pPr>
        <w:pStyle w:val="ListParagraph"/>
        <w:ind w:left="1077"/>
        <w:contextualSpacing w:val="0"/>
        <w:rPr>
          <w:rFonts w:cs="Arial"/>
          <w:sz w:val="21"/>
          <w:szCs w:val="21"/>
        </w:rPr>
      </w:pPr>
      <w:r w:rsidRPr="00593CB5">
        <w:rPr>
          <w:rFonts w:cs="Arial"/>
          <w:sz w:val="21"/>
          <w:szCs w:val="21"/>
        </w:rPr>
        <w:t>Net debt was €2</w:t>
      </w:r>
      <w:r>
        <w:rPr>
          <w:rFonts w:cs="Arial"/>
          <w:sz w:val="21"/>
          <w:szCs w:val="21"/>
        </w:rPr>
        <w:t>29.9</w:t>
      </w:r>
      <w:r w:rsidRPr="00593CB5">
        <w:rPr>
          <w:rFonts w:cs="Arial"/>
          <w:sz w:val="21"/>
          <w:szCs w:val="21"/>
        </w:rPr>
        <w:t xml:space="preserve"> million </w:t>
      </w:r>
      <w:proofErr w:type="gramStart"/>
      <w:r w:rsidRPr="00593CB5">
        <w:rPr>
          <w:rFonts w:cs="Arial"/>
          <w:sz w:val="21"/>
          <w:szCs w:val="21"/>
        </w:rPr>
        <w:t>at</w:t>
      </w:r>
      <w:proofErr w:type="gramEnd"/>
      <w:r w:rsidRPr="00593CB5">
        <w:rPr>
          <w:rFonts w:cs="Arial"/>
          <w:sz w:val="21"/>
          <w:szCs w:val="21"/>
        </w:rPr>
        <w:t xml:space="preserve"> 30 June 2025, marking a reduction from H1 2024 (€244</w:t>
      </w:r>
      <w:r>
        <w:rPr>
          <w:rFonts w:cs="Arial"/>
          <w:sz w:val="21"/>
          <w:szCs w:val="21"/>
        </w:rPr>
        <w:t>.1</w:t>
      </w:r>
      <w:r w:rsidRPr="00593CB5">
        <w:rPr>
          <w:rFonts w:cs="Arial"/>
          <w:sz w:val="21"/>
          <w:szCs w:val="21"/>
        </w:rPr>
        <w:t xml:space="preserve"> million) despite a higher starting point, continued investment, and the purchase of shares pursuant to the ongoing buyback programme, and reflecting ongoing prudent cash management and disciplined capital allocation.</w:t>
      </w:r>
    </w:p>
    <w:p w14:paraId="731D748F" w14:textId="77777777" w:rsidR="00592D84" w:rsidRDefault="00592D84" w:rsidP="00ED4FB7">
      <w:pPr>
        <w:pStyle w:val="ListParagraph"/>
        <w:ind w:left="1077"/>
        <w:contextualSpacing w:val="0"/>
        <w:rPr>
          <w:rFonts w:cs="Arial"/>
          <w:sz w:val="21"/>
          <w:szCs w:val="21"/>
        </w:rPr>
      </w:pPr>
    </w:p>
    <w:p w14:paraId="3F8475BA" w14:textId="77777777" w:rsidR="00592D84" w:rsidRDefault="00592D84" w:rsidP="00ED4FB7">
      <w:pPr>
        <w:pStyle w:val="ListParagraph"/>
        <w:ind w:left="1077"/>
        <w:contextualSpacing w:val="0"/>
        <w:rPr>
          <w:rFonts w:cs="Arial"/>
          <w:sz w:val="21"/>
          <w:szCs w:val="21"/>
        </w:rPr>
      </w:pPr>
    </w:p>
    <w:p w14:paraId="7F966CA3" w14:textId="4C0D911A" w:rsidR="00ED4FB7" w:rsidRDefault="00ED4FB7" w:rsidP="00ED4FB7">
      <w:pPr>
        <w:pStyle w:val="ListParagraph"/>
        <w:ind w:left="1077"/>
        <w:contextualSpacing w:val="0"/>
        <w:rPr>
          <w:rFonts w:cs="Arial"/>
          <w:sz w:val="21"/>
          <w:szCs w:val="21"/>
        </w:rPr>
      </w:pPr>
      <w:r w:rsidRPr="00593CB5">
        <w:rPr>
          <w:rFonts w:cs="Arial"/>
          <w:sz w:val="21"/>
          <w:szCs w:val="21"/>
        </w:rPr>
        <w:t xml:space="preserve"> </w:t>
      </w:r>
    </w:p>
    <w:p w14:paraId="25A7D20D" w14:textId="77777777" w:rsidR="00EC00BC" w:rsidRDefault="00EC00BC" w:rsidP="00ED4FB7">
      <w:pPr>
        <w:pStyle w:val="ListParagraph"/>
        <w:ind w:left="1077"/>
        <w:contextualSpacing w:val="0"/>
        <w:rPr>
          <w:rFonts w:cs="Arial"/>
          <w:sz w:val="21"/>
          <w:szCs w:val="21"/>
        </w:rPr>
      </w:pPr>
    </w:p>
    <w:p w14:paraId="48D2A60C" w14:textId="5A37B1AB" w:rsidR="00ED4FB7" w:rsidRDefault="00ED4FB7" w:rsidP="00ED4FB7">
      <w:pPr>
        <w:pStyle w:val="ListParagraph"/>
        <w:ind w:left="1077"/>
        <w:contextualSpacing w:val="0"/>
        <w:rPr>
          <w:rFonts w:cs="Arial"/>
          <w:sz w:val="21"/>
          <w:szCs w:val="21"/>
        </w:rPr>
      </w:pPr>
      <w:r w:rsidRPr="00813C68">
        <w:rPr>
          <w:rFonts w:cs="Arial"/>
          <w:sz w:val="21"/>
          <w:szCs w:val="21"/>
        </w:rPr>
        <w:lastRenderedPageBreak/>
        <w:t>In line with our capital allocation priorities</w:t>
      </w:r>
      <w:r>
        <w:rPr>
          <w:rFonts w:cs="Arial"/>
          <w:sz w:val="21"/>
          <w:szCs w:val="21"/>
        </w:rPr>
        <w:t>,</w:t>
      </w:r>
      <w:r w:rsidRPr="00813C68">
        <w:rPr>
          <w:rFonts w:cs="Arial"/>
          <w:sz w:val="21"/>
          <w:szCs w:val="21"/>
        </w:rPr>
        <w:t xml:space="preserve"> and supported by strong operational performance, cash flow generation and visibility on land sales</w:t>
      </w:r>
      <w:r>
        <w:rPr>
          <w:rFonts w:cs="Arial"/>
          <w:sz w:val="21"/>
          <w:szCs w:val="21"/>
        </w:rPr>
        <w:t>,</w:t>
      </w:r>
      <w:r w:rsidRPr="00813C68">
        <w:rPr>
          <w:rFonts w:cs="Arial"/>
          <w:sz w:val="21"/>
          <w:szCs w:val="21"/>
        </w:rPr>
        <w:t xml:space="preserve"> the current buyback</w:t>
      </w:r>
      <w:r>
        <w:rPr>
          <w:rFonts w:cs="Arial"/>
          <w:sz w:val="21"/>
          <w:szCs w:val="21"/>
        </w:rPr>
        <w:t xml:space="preserve"> program</w:t>
      </w:r>
      <w:r w:rsidRPr="00813C68">
        <w:rPr>
          <w:rFonts w:cs="Arial"/>
          <w:sz w:val="21"/>
          <w:szCs w:val="21"/>
        </w:rPr>
        <w:t xml:space="preserve"> is being expanded to €105 million.  The Group intends to amend the terms of the arrangement with Jefferies International Limited so that the maximum aggregate consideration under their mandate is €40</w:t>
      </w:r>
      <w:r>
        <w:rPr>
          <w:rFonts w:cs="Arial"/>
          <w:sz w:val="21"/>
          <w:szCs w:val="21"/>
        </w:rPr>
        <w:t xml:space="preserve"> </w:t>
      </w:r>
      <w:r w:rsidRPr="03E9C12C">
        <w:rPr>
          <w:rFonts w:cs="Arial"/>
          <w:sz w:val="21"/>
          <w:szCs w:val="21"/>
        </w:rPr>
        <w:t>m</w:t>
      </w:r>
      <w:r>
        <w:rPr>
          <w:rFonts w:cs="Arial"/>
          <w:sz w:val="21"/>
          <w:szCs w:val="21"/>
        </w:rPr>
        <w:t>illion</w:t>
      </w:r>
      <w:r w:rsidRPr="00813C68">
        <w:rPr>
          <w:rFonts w:cs="Arial"/>
          <w:sz w:val="21"/>
          <w:szCs w:val="21"/>
        </w:rPr>
        <w:t xml:space="preserve">. The next tranche of the buyback may continue until </w:t>
      </w:r>
      <w:r>
        <w:rPr>
          <w:rFonts w:cs="Arial"/>
          <w:sz w:val="21"/>
          <w:szCs w:val="21"/>
        </w:rPr>
        <w:t xml:space="preserve">30 March </w:t>
      </w:r>
      <w:r w:rsidRPr="00813C68">
        <w:rPr>
          <w:rFonts w:cs="Arial"/>
          <w:sz w:val="21"/>
          <w:szCs w:val="21"/>
        </w:rPr>
        <w:t>2026</w:t>
      </w:r>
      <w:r>
        <w:rPr>
          <w:rFonts w:cs="Arial"/>
          <w:sz w:val="21"/>
          <w:szCs w:val="21"/>
        </w:rPr>
        <w:t>,</w:t>
      </w:r>
      <w:r w:rsidRPr="00813C68">
        <w:rPr>
          <w:rFonts w:cs="Arial"/>
          <w:sz w:val="21"/>
          <w:szCs w:val="21"/>
        </w:rPr>
        <w:t xml:space="preserve"> subject to market conditions.</w:t>
      </w:r>
    </w:p>
    <w:p w14:paraId="76DE9569" w14:textId="77777777" w:rsidR="00592D84" w:rsidRDefault="00592D84" w:rsidP="00ED4FB7">
      <w:pPr>
        <w:pStyle w:val="ListParagraph"/>
        <w:ind w:left="1077"/>
        <w:contextualSpacing w:val="0"/>
        <w:rPr>
          <w:rFonts w:cs="Arial"/>
          <w:sz w:val="21"/>
          <w:szCs w:val="21"/>
        </w:rPr>
      </w:pPr>
    </w:p>
    <w:p w14:paraId="5438E583" w14:textId="77777777" w:rsidR="00ED4FB7" w:rsidRPr="00504606" w:rsidRDefault="00ED4FB7" w:rsidP="00ED4FB7">
      <w:pPr>
        <w:pStyle w:val="ListParagraph"/>
        <w:ind w:left="1077"/>
        <w:contextualSpacing w:val="0"/>
        <w:rPr>
          <w:rFonts w:cs="Arial"/>
          <w:sz w:val="21"/>
          <w:szCs w:val="21"/>
        </w:rPr>
      </w:pPr>
      <w:r w:rsidRPr="00504606">
        <w:rPr>
          <w:rFonts w:cs="Arial"/>
          <w:sz w:val="21"/>
          <w:szCs w:val="21"/>
        </w:rPr>
        <w:t xml:space="preserve">The Group’s focus on profitable growth, reliable cash generation and innovation continue to underpin </w:t>
      </w:r>
      <w:r>
        <w:rPr>
          <w:rFonts w:cs="Arial"/>
          <w:sz w:val="21"/>
          <w:szCs w:val="21"/>
        </w:rPr>
        <w:t>its</w:t>
      </w:r>
      <w:r w:rsidRPr="00504606">
        <w:rPr>
          <w:rFonts w:cs="Arial"/>
          <w:sz w:val="21"/>
          <w:szCs w:val="21"/>
        </w:rPr>
        <w:t xml:space="preserve"> balance sheet strength and support </w:t>
      </w:r>
      <w:r>
        <w:rPr>
          <w:rFonts w:cs="Arial"/>
          <w:sz w:val="21"/>
          <w:szCs w:val="21"/>
        </w:rPr>
        <w:t>its</w:t>
      </w:r>
      <w:r w:rsidRPr="00504606">
        <w:rPr>
          <w:rFonts w:cs="Arial"/>
          <w:sz w:val="21"/>
          <w:szCs w:val="21"/>
        </w:rPr>
        <w:t xml:space="preserve"> track record of effective capital allocation, long-term value creation, and shareholder returns. </w:t>
      </w:r>
    </w:p>
    <w:p w14:paraId="25C9B38D" w14:textId="77777777" w:rsidR="00ED4FB7" w:rsidRDefault="00ED4FB7" w:rsidP="00ED4FB7">
      <w:pPr>
        <w:pStyle w:val="ListParagraph"/>
        <w:ind w:left="1077"/>
        <w:rPr>
          <w:rFonts w:cs="Arial"/>
          <w:sz w:val="21"/>
          <w:szCs w:val="21"/>
        </w:rPr>
      </w:pPr>
    </w:p>
    <w:p w14:paraId="45F9DD59" w14:textId="77777777" w:rsidR="00ED4FB7" w:rsidRPr="00D664DE" w:rsidRDefault="00ED4FB7" w:rsidP="00ED4FB7">
      <w:pPr>
        <w:pStyle w:val="ListParagraph"/>
        <w:ind w:left="1080"/>
        <w:contextualSpacing w:val="0"/>
        <w:jc w:val="center"/>
        <w:rPr>
          <w:rFonts w:cs="Arial"/>
          <w:b/>
          <w:bCs/>
          <w:sz w:val="21"/>
          <w:szCs w:val="21"/>
        </w:rPr>
      </w:pPr>
      <w:r w:rsidRPr="00D664DE">
        <w:rPr>
          <w:rFonts w:cs="Arial"/>
          <w:b/>
          <w:bCs/>
          <w:sz w:val="21"/>
          <w:szCs w:val="21"/>
        </w:rPr>
        <w:t>Ends</w:t>
      </w:r>
    </w:p>
    <w:p w14:paraId="1DAD70DB" w14:textId="77777777" w:rsidR="00ED4FB7" w:rsidRDefault="00ED4FB7" w:rsidP="00ED4FB7">
      <w:pPr>
        <w:pStyle w:val="ListParagraph"/>
        <w:ind w:left="1077"/>
        <w:contextualSpacing w:val="0"/>
        <w:rPr>
          <w:rFonts w:cs="Arial"/>
          <w:sz w:val="21"/>
          <w:szCs w:val="21"/>
        </w:rPr>
      </w:pPr>
    </w:p>
    <w:p w14:paraId="21CF4D03" w14:textId="77777777" w:rsidR="00ED4FB7" w:rsidRPr="009C4478" w:rsidRDefault="00ED4FB7" w:rsidP="00ED4FB7">
      <w:pPr>
        <w:ind w:left="1080"/>
        <w:rPr>
          <w:rFonts w:cs="Arial"/>
          <w:sz w:val="21"/>
          <w:szCs w:val="21"/>
        </w:rPr>
      </w:pPr>
    </w:p>
    <w:p w14:paraId="28CA428F" w14:textId="77777777" w:rsidR="00ED4FB7" w:rsidRPr="009C4478" w:rsidRDefault="00ED4FB7" w:rsidP="00ED4FB7">
      <w:pPr>
        <w:ind w:left="1080"/>
        <w:rPr>
          <w:rFonts w:cs="Arial"/>
          <w:sz w:val="21"/>
          <w:szCs w:val="21"/>
        </w:rPr>
      </w:pPr>
    </w:p>
    <w:p w14:paraId="726832F3" w14:textId="77777777" w:rsidR="00ED4FB7" w:rsidRPr="00C10716" w:rsidRDefault="00ED4FB7" w:rsidP="00ED4FB7"/>
    <w:p w14:paraId="22778DAA" w14:textId="77777777" w:rsidR="00ED4FB7" w:rsidRDefault="00ED4FB7" w:rsidP="00ED4FB7"/>
    <w:p w14:paraId="5F82701F" w14:textId="77777777" w:rsidR="00ED4FB7" w:rsidRDefault="00ED4FB7" w:rsidP="00ED4FB7"/>
    <w:p w14:paraId="2A144C66" w14:textId="77777777" w:rsidR="00ED4FB7" w:rsidRDefault="00ED4FB7" w:rsidP="00ED4FB7"/>
    <w:p w14:paraId="67C3B78C" w14:textId="77777777" w:rsidR="00ED4FB7" w:rsidRDefault="00ED4FB7" w:rsidP="00ED4FB7"/>
    <w:p w14:paraId="5A657589" w14:textId="77777777" w:rsidR="00ED4FB7" w:rsidRDefault="00ED4FB7" w:rsidP="00ED4FB7"/>
    <w:p w14:paraId="015AF665" w14:textId="77777777" w:rsidR="00ED4FB7" w:rsidRDefault="00ED4FB7" w:rsidP="00ED4FB7"/>
    <w:p w14:paraId="61F5D793" w14:textId="33DFF930" w:rsidR="00347A97" w:rsidRDefault="00347A97" w:rsidP="009D222F">
      <w:pPr>
        <w:pStyle w:val="ACSectionTOCHeading"/>
      </w:pPr>
      <w:r>
        <w:br w:type="page"/>
      </w:r>
    </w:p>
    <w:p w14:paraId="32677484" w14:textId="77777777" w:rsidR="009D222F" w:rsidRDefault="009D222F" w:rsidP="009D222F">
      <w:pPr>
        <w:pStyle w:val="ACSectionTOCHead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9379"/>
      </w:tblGrid>
      <w:tr w:rsidR="00523B23" w:rsidRPr="00725CAF" w14:paraId="1DD0B58B" w14:textId="77777777" w:rsidTr="00594847">
        <w:tc>
          <w:tcPr>
            <w:tcW w:w="9379" w:type="dxa"/>
          </w:tcPr>
          <w:p w14:paraId="0F3921C1" w14:textId="44A0A564" w:rsidR="00523B23" w:rsidRPr="00725CAF" w:rsidRDefault="00523B23" w:rsidP="00594847">
            <w:pPr>
              <w:pStyle w:val="CompanyName"/>
              <w:ind w:left="2765"/>
            </w:pPr>
            <w:r w:rsidRPr="00725CAF">
              <w:t>Glenveagh Properties PLC</w:t>
            </w:r>
          </w:p>
        </w:tc>
      </w:tr>
      <w:tr w:rsidR="00523B23" w:rsidRPr="00725CAF" w14:paraId="7B7BB805" w14:textId="77777777" w:rsidTr="00594847">
        <w:tc>
          <w:tcPr>
            <w:tcW w:w="9379" w:type="dxa"/>
          </w:tcPr>
          <w:p w14:paraId="6AD15376" w14:textId="77777777" w:rsidR="00523B23" w:rsidRPr="00725CAF" w:rsidRDefault="00523B23" w:rsidP="00594847">
            <w:pPr>
              <w:pStyle w:val="CompanyName"/>
              <w:ind w:left="2765"/>
            </w:pPr>
          </w:p>
        </w:tc>
      </w:tr>
      <w:tr w:rsidR="00523B23" w:rsidRPr="00725CAF" w14:paraId="0C42CCAC" w14:textId="77777777" w:rsidTr="00594847">
        <w:tc>
          <w:tcPr>
            <w:tcW w:w="9379" w:type="dxa"/>
          </w:tcPr>
          <w:p w14:paraId="544F9638" w14:textId="77777777" w:rsidR="00523B23" w:rsidRPr="00725CAF" w:rsidRDefault="00523B23" w:rsidP="00594847">
            <w:pPr>
              <w:ind w:left="2765"/>
            </w:pPr>
            <w:r>
              <w:t xml:space="preserve">Condensed consolidated </w:t>
            </w:r>
            <w:r w:rsidRPr="00725CAF">
              <w:t>interim</w:t>
            </w:r>
          </w:p>
        </w:tc>
      </w:tr>
      <w:tr w:rsidR="00523B23" w:rsidRPr="00725CAF" w14:paraId="51BD00B9" w14:textId="77777777" w:rsidTr="00594847">
        <w:tc>
          <w:tcPr>
            <w:tcW w:w="9379" w:type="dxa"/>
          </w:tcPr>
          <w:p w14:paraId="79B28C4B" w14:textId="77777777" w:rsidR="00523B23" w:rsidRPr="00725CAF" w:rsidRDefault="00523B23" w:rsidP="00594847">
            <w:pPr>
              <w:ind w:left="2765"/>
            </w:pPr>
            <w:r w:rsidRPr="00725CAF">
              <w:t>financial statements</w:t>
            </w:r>
          </w:p>
        </w:tc>
      </w:tr>
      <w:tr w:rsidR="00523B23" w:rsidRPr="00725CAF" w14:paraId="3422CF1F" w14:textId="77777777" w:rsidTr="00594847">
        <w:tc>
          <w:tcPr>
            <w:tcW w:w="9379" w:type="dxa"/>
          </w:tcPr>
          <w:p w14:paraId="5AD18D33" w14:textId="77777777" w:rsidR="00523B23" w:rsidRPr="00725CAF" w:rsidRDefault="00523B23" w:rsidP="00594847">
            <w:pPr>
              <w:ind w:left="2765"/>
            </w:pPr>
          </w:p>
        </w:tc>
      </w:tr>
      <w:tr w:rsidR="00523B23" w:rsidRPr="00725CAF" w14:paraId="18CA0B05" w14:textId="77777777" w:rsidTr="00594847">
        <w:tc>
          <w:tcPr>
            <w:tcW w:w="9379" w:type="dxa"/>
          </w:tcPr>
          <w:p w14:paraId="367099D3" w14:textId="77777777" w:rsidR="00523B23" w:rsidRPr="00725CAF" w:rsidRDefault="00523B23" w:rsidP="00594847">
            <w:pPr>
              <w:ind w:left="2765"/>
            </w:pPr>
          </w:p>
        </w:tc>
      </w:tr>
      <w:tr w:rsidR="00523B23" w:rsidRPr="00725CAF" w14:paraId="485D8469" w14:textId="77777777" w:rsidTr="00594847">
        <w:tc>
          <w:tcPr>
            <w:tcW w:w="9379" w:type="dxa"/>
          </w:tcPr>
          <w:p w14:paraId="1A1590B7" w14:textId="77777777" w:rsidR="00523B23" w:rsidRPr="00725CAF" w:rsidRDefault="00523B23" w:rsidP="00594847">
            <w:pPr>
              <w:ind w:left="2765"/>
              <w:rPr>
                <w:b/>
              </w:rPr>
            </w:pPr>
            <w:r w:rsidRPr="00725CAF">
              <w:rPr>
                <w:b/>
              </w:rPr>
              <w:t xml:space="preserve">For the </w:t>
            </w:r>
            <w:r>
              <w:rPr>
                <w:b/>
              </w:rPr>
              <w:t>six months</w:t>
            </w:r>
          </w:p>
        </w:tc>
      </w:tr>
      <w:tr w:rsidR="00523B23" w:rsidRPr="00725CAF" w14:paraId="0CBB4164" w14:textId="77777777" w:rsidTr="00594847">
        <w:tc>
          <w:tcPr>
            <w:tcW w:w="9379" w:type="dxa"/>
          </w:tcPr>
          <w:p w14:paraId="46AD985F" w14:textId="6D25CC38" w:rsidR="00523B23" w:rsidRPr="00725CAF" w:rsidRDefault="00523B23" w:rsidP="00594847">
            <w:pPr>
              <w:ind w:left="2765"/>
              <w:rPr>
                <w:b/>
              </w:rPr>
            </w:pPr>
            <w:r w:rsidRPr="00725CAF">
              <w:rPr>
                <w:b/>
              </w:rPr>
              <w:t xml:space="preserve">ended </w:t>
            </w:r>
            <w:r>
              <w:rPr>
                <w:b/>
              </w:rPr>
              <w:t>30 June</w:t>
            </w:r>
            <w:r w:rsidRPr="00725CAF">
              <w:rPr>
                <w:b/>
              </w:rPr>
              <w:t xml:space="preserve"> </w:t>
            </w:r>
            <w:r w:rsidR="005F708F">
              <w:rPr>
                <w:b/>
              </w:rPr>
              <w:t>202</w:t>
            </w:r>
            <w:r w:rsidR="00F01345">
              <w:rPr>
                <w:b/>
              </w:rPr>
              <w:t>5</w:t>
            </w:r>
          </w:p>
        </w:tc>
      </w:tr>
    </w:tbl>
    <w:p w14:paraId="06C85ABF" w14:textId="77777777" w:rsidR="00523B23" w:rsidRDefault="00523B23" w:rsidP="00523B23"/>
    <w:p w14:paraId="4F4DF474" w14:textId="77777777" w:rsidR="00523B23" w:rsidRDefault="00523B23" w:rsidP="00523B23"/>
    <w:p w14:paraId="7CA7E047" w14:textId="77777777" w:rsidR="00523B23" w:rsidRPr="002E428F" w:rsidRDefault="00523B23" w:rsidP="00523B23">
      <w:pPr>
        <w:sectPr w:rsidR="00523B23" w:rsidRPr="002E428F" w:rsidSect="00347A97">
          <w:headerReference w:type="default" r:id="rId22"/>
          <w:footerReference w:type="even" r:id="rId23"/>
          <w:footerReference w:type="default" r:id="rId24"/>
          <w:headerReference w:type="first" r:id="rId25"/>
          <w:footerReference w:type="first" r:id="rId26"/>
          <w:pgSz w:w="11909" w:h="16834" w:code="9"/>
          <w:pgMar w:top="284" w:right="1080" w:bottom="1080" w:left="1440" w:header="1800" w:footer="706" w:gutter="0"/>
          <w:cols w:space="720"/>
          <w:noEndnote/>
          <w:titlePg/>
          <w:docGrid w:linePitch="272"/>
        </w:sectPr>
      </w:pPr>
    </w:p>
    <w:sdt>
      <w:sdtPr>
        <w:rPr>
          <w:i w:val="0"/>
        </w:rPr>
        <w:id w:val="-537285196"/>
        <w:docPartObj>
          <w:docPartGallery w:val="Table of Contents"/>
          <w:docPartUnique/>
        </w:docPartObj>
      </w:sdtPr>
      <w:sdtContent>
        <w:p w14:paraId="4F53F156" w14:textId="77777777" w:rsidR="00523B23" w:rsidRPr="0074663B" w:rsidRDefault="00523B23" w:rsidP="00523B23">
          <w:pPr>
            <w:pStyle w:val="Sub-header"/>
            <w:tabs>
              <w:tab w:val="right" w:pos="7920"/>
            </w:tabs>
          </w:pPr>
          <w:r w:rsidRPr="0074663B">
            <w:t>Contents</w:t>
          </w:r>
          <w:r w:rsidRPr="0074663B">
            <w:tab/>
          </w:r>
          <w:r>
            <w:tab/>
          </w:r>
          <w:r w:rsidRPr="0074663B">
            <w:t>Page</w:t>
          </w:r>
        </w:p>
        <w:p w14:paraId="625E5FA9" w14:textId="77777777" w:rsidR="00523B23" w:rsidRDefault="00523B23" w:rsidP="00523B23">
          <w:pPr>
            <w:tabs>
              <w:tab w:val="right" w:pos="7920"/>
            </w:tabs>
            <w:rPr>
              <w:rFonts w:cs="Arial"/>
            </w:rPr>
          </w:pPr>
        </w:p>
        <w:p w14:paraId="5988B40E" w14:textId="5ABB9279" w:rsidR="00523B23" w:rsidRDefault="00523B23" w:rsidP="00A53385">
          <w:pPr>
            <w:pStyle w:val="TOC1"/>
            <w:rPr>
              <w:rFonts w:asciiTheme="minorHAnsi" w:eastAsiaTheme="minorEastAsia" w:hAnsiTheme="minorHAnsi"/>
              <w:noProof/>
              <w:sz w:val="22"/>
              <w:lang w:val="en-GB" w:eastAsia="en-GB"/>
            </w:rPr>
          </w:pPr>
          <w:r w:rsidRPr="00EB7DCD">
            <w:fldChar w:fldCharType="begin"/>
          </w:r>
          <w:r w:rsidRPr="00EB7DCD">
            <w:instrText xml:space="preserve"> TOC \t "AC Section TOC Heading,1" </w:instrText>
          </w:r>
          <w:r w:rsidRPr="00EB7DCD">
            <w:fldChar w:fldCharType="separate"/>
          </w:r>
          <w:r>
            <w:rPr>
              <w:noProof/>
            </w:rPr>
            <w:t>Directors and other information</w:t>
          </w:r>
          <w:r>
            <w:rPr>
              <w:noProof/>
            </w:rPr>
            <w:tab/>
          </w:r>
          <w:r>
            <w:rPr>
              <w:noProof/>
            </w:rPr>
            <w:tab/>
          </w:r>
          <w:r>
            <w:rPr>
              <w:noProof/>
            </w:rPr>
            <w:fldChar w:fldCharType="begin"/>
          </w:r>
          <w:r>
            <w:rPr>
              <w:noProof/>
            </w:rPr>
            <w:instrText xml:space="preserve"> PAGEREF _Toc517422982 \h </w:instrText>
          </w:r>
          <w:r>
            <w:rPr>
              <w:noProof/>
            </w:rPr>
          </w:r>
          <w:r>
            <w:rPr>
              <w:noProof/>
            </w:rPr>
            <w:fldChar w:fldCharType="separate"/>
          </w:r>
          <w:r w:rsidR="006D03B9">
            <w:rPr>
              <w:noProof/>
            </w:rPr>
            <w:t>3</w:t>
          </w:r>
          <w:r>
            <w:rPr>
              <w:noProof/>
            </w:rPr>
            <w:fldChar w:fldCharType="end"/>
          </w:r>
        </w:p>
        <w:p w14:paraId="6C7058DF" w14:textId="77777777" w:rsidR="00523B23" w:rsidRDefault="00523B23" w:rsidP="00A53385">
          <w:pPr>
            <w:pStyle w:val="TOC1"/>
            <w:rPr>
              <w:noProof/>
            </w:rPr>
          </w:pPr>
        </w:p>
        <w:p w14:paraId="2D0E5069" w14:textId="77777777" w:rsidR="00523B23" w:rsidRDefault="00523B23" w:rsidP="00A53385">
          <w:pPr>
            <w:pStyle w:val="TOC1"/>
            <w:rPr>
              <w:noProof/>
            </w:rPr>
          </w:pPr>
          <w:r>
            <w:rPr>
              <w:noProof/>
            </w:rPr>
            <w:t xml:space="preserve">Statement of directors’ responsibilities in respect of the condensed consolidated </w:t>
          </w:r>
        </w:p>
        <w:p w14:paraId="192F871E" w14:textId="77777777" w:rsidR="00523B23" w:rsidRDefault="00523B23" w:rsidP="00A53385">
          <w:pPr>
            <w:pStyle w:val="TOC1"/>
            <w:rPr>
              <w:rFonts w:asciiTheme="minorHAnsi" w:eastAsiaTheme="minorEastAsia" w:hAnsiTheme="minorHAnsi"/>
              <w:noProof/>
              <w:sz w:val="22"/>
              <w:lang w:val="en-GB" w:eastAsia="en-GB"/>
            </w:rPr>
          </w:pPr>
          <w:r>
            <w:rPr>
              <w:noProof/>
            </w:rPr>
            <w:t>interim financial statements</w:t>
          </w:r>
          <w:r>
            <w:rPr>
              <w:noProof/>
            </w:rPr>
            <w:tab/>
          </w:r>
          <w:r>
            <w:rPr>
              <w:noProof/>
            </w:rPr>
            <w:tab/>
            <w:t>4</w:t>
          </w:r>
        </w:p>
        <w:p w14:paraId="4F5F3B80" w14:textId="77777777" w:rsidR="00523B23" w:rsidRDefault="00523B23" w:rsidP="00A53385">
          <w:pPr>
            <w:pStyle w:val="TOC1"/>
            <w:rPr>
              <w:noProof/>
            </w:rPr>
          </w:pPr>
        </w:p>
        <w:p w14:paraId="137A80C8" w14:textId="77777777" w:rsidR="00523B23" w:rsidRDefault="00523B23" w:rsidP="00A53385">
          <w:pPr>
            <w:pStyle w:val="TOC1"/>
            <w:rPr>
              <w:noProof/>
            </w:rPr>
          </w:pPr>
          <w:r>
            <w:rPr>
              <w:noProof/>
            </w:rPr>
            <w:t xml:space="preserve">Independent auditor’s review report on the condensed consolidated interim </w:t>
          </w:r>
        </w:p>
        <w:p w14:paraId="5DAB45FB" w14:textId="77777777" w:rsidR="00523B23" w:rsidRPr="00B21329" w:rsidRDefault="00523B23" w:rsidP="00A53385">
          <w:pPr>
            <w:pStyle w:val="TOC1"/>
            <w:rPr>
              <w:noProof/>
            </w:rPr>
          </w:pPr>
          <w:r>
            <w:rPr>
              <w:noProof/>
            </w:rPr>
            <w:t>financial statements to the members of Glenveagh Properties PLC</w:t>
          </w:r>
          <w:r>
            <w:rPr>
              <w:noProof/>
            </w:rPr>
            <w:tab/>
          </w:r>
          <w:r>
            <w:rPr>
              <w:noProof/>
            </w:rPr>
            <w:tab/>
            <w:t>5</w:t>
          </w:r>
        </w:p>
        <w:p w14:paraId="0EA89969" w14:textId="77777777" w:rsidR="00523B23" w:rsidRDefault="00523B23" w:rsidP="00A53385">
          <w:pPr>
            <w:pStyle w:val="TOC1"/>
            <w:rPr>
              <w:noProof/>
            </w:rPr>
          </w:pPr>
        </w:p>
        <w:p w14:paraId="751201D8" w14:textId="4539CA65" w:rsidR="00523B23" w:rsidRDefault="00523B23" w:rsidP="00A53385">
          <w:pPr>
            <w:pStyle w:val="TOC1"/>
            <w:rPr>
              <w:rFonts w:asciiTheme="minorHAnsi" w:eastAsiaTheme="minorEastAsia" w:hAnsiTheme="minorHAnsi"/>
              <w:noProof/>
              <w:sz w:val="22"/>
              <w:lang w:val="en-GB" w:eastAsia="en-GB"/>
            </w:rPr>
          </w:pPr>
          <w:r>
            <w:rPr>
              <w:noProof/>
            </w:rPr>
            <w:t>Condensed consolidated statement of profit or loss and other comprehensive income</w:t>
          </w:r>
          <w:r>
            <w:rPr>
              <w:noProof/>
            </w:rPr>
            <w:tab/>
          </w:r>
          <w:r>
            <w:rPr>
              <w:noProof/>
            </w:rPr>
            <w:tab/>
          </w:r>
          <w:r w:rsidR="00F3374C">
            <w:rPr>
              <w:noProof/>
            </w:rPr>
            <w:t>7</w:t>
          </w:r>
        </w:p>
        <w:p w14:paraId="4EDDBE38" w14:textId="77777777" w:rsidR="00523B23" w:rsidRDefault="00523B23" w:rsidP="00A53385">
          <w:pPr>
            <w:pStyle w:val="TOC1"/>
            <w:rPr>
              <w:noProof/>
            </w:rPr>
          </w:pPr>
        </w:p>
        <w:p w14:paraId="1AFCF8F6" w14:textId="55165E88" w:rsidR="00F3374C" w:rsidRPr="00033ACC" w:rsidRDefault="00523B23" w:rsidP="00A53385">
          <w:pPr>
            <w:pStyle w:val="TOC1"/>
            <w:rPr>
              <w:noProof/>
            </w:rPr>
          </w:pPr>
          <w:r>
            <w:rPr>
              <w:noProof/>
            </w:rPr>
            <w:t>Condensed consolidated balance sheet</w:t>
          </w:r>
          <w:r>
            <w:rPr>
              <w:noProof/>
            </w:rPr>
            <w:tab/>
          </w:r>
          <w:r>
            <w:rPr>
              <w:noProof/>
            </w:rPr>
            <w:tab/>
          </w:r>
          <w:r w:rsidR="00F3374C">
            <w:rPr>
              <w:noProof/>
            </w:rPr>
            <w:t>8</w:t>
          </w:r>
        </w:p>
        <w:p w14:paraId="7C2BD312" w14:textId="77777777" w:rsidR="00523B23" w:rsidRDefault="00523B23" w:rsidP="00A53385">
          <w:pPr>
            <w:pStyle w:val="TOC1"/>
            <w:rPr>
              <w:noProof/>
            </w:rPr>
          </w:pPr>
        </w:p>
        <w:p w14:paraId="384D56BF" w14:textId="7D5E9708" w:rsidR="00523B23" w:rsidRDefault="00523B23" w:rsidP="00A53385">
          <w:pPr>
            <w:pStyle w:val="TOC1"/>
            <w:rPr>
              <w:rFonts w:asciiTheme="minorHAnsi" w:eastAsiaTheme="minorEastAsia" w:hAnsiTheme="minorHAnsi"/>
              <w:noProof/>
              <w:sz w:val="22"/>
              <w:lang w:val="en-GB" w:eastAsia="en-GB"/>
            </w:rPr>
          </w:pPr>
          <w:r>
            <w:rPr>
              <w:noProof/>
            </w:rPr>
            <w:t>Condensed consolidated statement of changes in equity</w:t>
          </w:r>
          <w:r>
            <w:rPr>
              <w:noProof/>
            </w:rPr>
            <w:tab/>
          </w:r>
          <w:r>
            <w:rPr>
              <w:noProof/>
            </w:rPr>
            <w:tab/>
          </w:r>
          <w:r w:rsidR="00BD47F5">
            <w:rPr>
              <w:noProof/>
            </w:rPr>
            <w:t>9</w:t>
          </w:r>
        </w:p>
        <w:p w14:paraId="0A05A4F2" w14:textId="77777777" w:rsidR="00523B23" w:rsidRDefault="00523B23" w:rsidP="00A53385">
          <w:pPr>
            <w:pStyle w:val="TOC1"/>
            <w:rPr>
              <w:noProof/>
            </w:rPr>
          </w:pPr>
        </w:p>
        <w:p w14:paraId="15959D4D" w14:textId="56355914" w:rsidR="00523B23" w:rsidRDefault="00523B23" w:rsidP="00A53385">
          <w:pPr>
            <w:pStyle w:val="TOC1"/>
            <w:rPr>
              <w:noProof/>
            </w:rPr>
          </w:pPr>
          <w:r>
            <w:rPr>
              <w:noProof/>
            </w:rPr>
            <w:t>Condensed consolidated statement of cash flows</w:t>
          </w:r>
          <w:r>
            <w:rPr>
              <w:noProof/>
            </w:rPr>
            <w:tab/>
          </w:r>
          <w:r>
            <w:rPr>
              <w:noProof/>
            </w:rPr>
            <w:tab/>
          </w:r>
          <w:r w:rsidR="00F3374C">
            <w:rPr>
              <w:noProof/>
            </w:rPr>
            <w:t>11</w:t>
          </w:r>
        </w:p>
        <w:p w14:paraId="27C04E18" w14:textId="77777777" w:rsidR="00523B23" w:rsidRDefault="00523B23" w:rsidP="00523B23">
          <w:pPr>
            <w:rPr>
              <w:noProof/>
              <w:lang w:eastAsia="en-IE"/>
            </w:rPr>
          </w:pPr>
        </w:p>
        <w:p w14:paraId="1780AE43" w14:textId="438F5442" w:rsidR="00523B23" w:rsidRPr="004666ED" w:rsidRDefault="00523B23" w:rsidP="00523B23">
          <w:pPr>
            <w:rPr>
              <w:noProof/>
              <w:lang w:eastAsia="en-IE"/>
            </w:rPr>
          </w:pPr>
          <w:r>
            <w:rPr>
              <w:noProof/>
              <w:lang w:eastAsia="en-IE"/>
            </w:rPr>
            <w:t>Notes to condensed consolidated interim financial statements</w:t>
          </w:r>
          <w:r>
            <w:rPr>
              <w:noProof/>
              <w:lang w:eastAsia="en-IE"/>
            </w:rPr>
            <w:tab/>
          </w:r>
          <w:r>
            <w:rPr>
              <w:noProof/>
              <w:lang w:eastAsia="en-IE"/>
            </w:rPr>
            <w:tab/>
          </w:r>
          <w:r>
            <w:rPr>
              <w:noProof/>
              <w:lang w:eastAsia="en-IE"/>
            </w:rPr>
            <w:tab/>
          </w:r>
          <w:r>
            <w:rPr>
              <w:noProof/>
              <w:lang w:eastAsia="en-IE"/>
            </w:rPr>
            <w:tab/>
          </w:r>
          <w:r>
            <w:rPr>
              <w:noProof/>
              <w:lang w:eastAsia="en-IE"/>
            </w:rPr>
            <w:tab/>
          </w:r>
          <w:r w:rsidR="00F3374C">
            <w:rPr>
              <w:noProof/>
              <w:lang w:eastAsia="en-IE"/>
            </w:rPr>
            <w:t>12</w:t>
          </w:r>
        </w:p>
        <w:p w14:paraId="3EA9F504" w14:textId="3A513FD3" w:rsidR="00523B23" w:rsidRDefault="00523B23" w:rsidP="00523B23">
          <w:pPr>
            <w:pStyle w:val="TOC"/>
            <w:rPr>
              <w:rFonts w:cs="Arial"/>
              <w:szCs w:val="20"/>
            </w:rPr>
          </w:pPr>
          <w:r w:rsidRPr="00EB7DCD">
            <w:fldChar w:fldCharType="end"/>
          </w:r>
        </w:p>
      </w:sdtContent>
    </w:sdt>
    <w:p w14:paraId="19296888" w14:textId="77777777" w:rsidR="00523B23" w:rsidRDefault="00523B23" w:rsidP="00523B23">
      <w:pPr>
        <w:rPr>
          <w:rFonts w:cs="Arial"/>
          <w:szCs w:val="20"/>
        </w:rPr>
      </w:pPr>
    </w:p>
    <w:p w14:paraId="649BE738" w14:textId="77777777" w:rsidR="00523B23" w:rsidRDefault="00523B23" w:rsidP="00523B23">
      <w:pPr>
        <w:rPr>
          <w:rFonts w:cs="Arial"/>
          <w:szCs w:val="20"/>
        </w:rPr>
      </w:pPr>
    </w:p>
    <w:p w14:paraId="4C0249ED" w14:textId="77777777" w:rsidR="00523B23" w:rsidRDefault="00523B23" w:rsidP="00523B23">
      <w:pPr>
        <w:rPr>
          <w:rFonts w:cs="Arial"/>
          <w:szCs w:val="20"/>
        </w:rPr>
      </w:pPr>
    </w:p>
    <w:p w14:paraId="0EDAE93C" w14:textId="77777777" w:rsidR="00523B23" w:rsidRDefault="00523B23" w:rsidP="00523B23">
      <w:pPr>
        <w:rPr>
          <w:rFonts w:cs="Arial"/>
          <w:szCs w:val="20"/>
        </w:rPr>
      </w:pPr>
    </w:p>
    <w:p w14:paraId="7F3257FE" w14:textId="161CD11F" w:rsidR="00523B23" w:rsidRDefault="00523B23" w:rsidP="00523B23">
      <w:pPr>
        <w:spacing w:after="160" w:line="259" w:lineRule="auto"/>
        <w:rPr>
          <w:rFonts w:cs="Arial"/>
          <w:szCs w:val="20"/>
        </w:rPr>
        <w:sectPr w:rsidR="00523B23" w:rsidSect="00477341">
          <w:headerReference w:type="even" r:id="rId27"/>
          <w:headerReference w:type="default" r:id="rId28"/>
          <w:footerReference w:type="even" r:id="rId29"/>
          <w:footerReference w:type="default" r:id="rId30"/>
          <w:headerReference w:type="first" r:id="rId31"/>
          <w:footerReference w:type="first" r:id="rId32"/>
          <w:pgSz w:w="11909" w:h="16834" w:code="9"/>
          <w:pgMar w:top="1080" w:right="1080" w:bottom="1080" w:left="1440" w:header="1800" w:footer="706" w:gutter="0"/>
          <w:pgNumType w:start="2"/>
          <w:cols w:space="720"/>
          <w:noEndnote/>
          <w:docGrid w:linePitch="272"/>
        </w:sectPr>
      </w:pPr>
      <w:r>
        <w:rPr>
          <w:rFonts w:cs="Arial"/>
          <w:szCs w:val="20"/>
        </w:rPr>
        <w:br w:type="page"/>
      </w:r>
    </w:p>
    <w:p w14:paraId="4966AA20" w14:textId="77777777" w:rsidR="00523B23" w:rsidRPr="006B215F" w:rsidRDefault="00523B23" w:rsidP="00523B23">
      <w:pPr>
        <w:pStyle w:val="ACSectionTOCHeading"/>
        <w:rPr>
          <w:b/>
        </w:rPr>
      </w:pPr>
      <w:bookmarkStart w:id="3" w:name="_Toc472409025"/>
      <w:bookmarkStart w:id="4" w:name="_Toc513716907"/>
      <w:bookmarkStart w:id="5" w:name="_Toc513717483"/>
      <w:bookmarkStart w:id="6" w:name="_Toc517422982"/>
      <w:r w:rsidRPr="006B215F">
        <w:lastRenderedPageBreak/>
        <w:t>Directors and other information</w:t>
      </w:r>
      <w:bookmarkEnd w:id="3"/>
      <w:bookmarkEnd w:id="4"/>
      <w:bookmarkEnd w:id="5"/>
      <w:bookmarkEnd w:id="6"/>
      <w:r w:rsidRPr="006B215F">
        <w:tab/>
      </w:r>
    </w:p>
    <w:p w14:paraId="02997B66" w14:textId="77777777" w:rsidR="00523B23" w:rsidRPr="00672C27" w:rsidRDefault="00523B23" w:rsidP="00523B23"/>
    <w:p w14:paraId="551FAF80" w14:textId="77777777" w:rsidR="00523B23" w:rsidRPr="00672C27" w:rsidRDefault="00523B23" w:rsidP="00523B23">
      <w:pPr>
        <w:rPr>
          <w:rFonts w:cs="Arial"/>
          <w:szCs w:val="20"/>
        </w:rPr>
      </w:pPr>
    </w:p>
    <w:p w14:paraId="0461A5DE" w14:textId="1C12A908" w:rsidR="00523B23" w:rsidRPr="003C7CDB" w:rsidRDefault="00523B23" w:rsidP="00523B23">
      <w:pPr>
        <w:tabs>
          <w:tab w:val="left" w:pos="3119"/>
        </w:tabs>
      </w:pPr>
      <w:r w:rsidRPr="003C7CDB">
        <w:rPr>
          <w:b/>
        </w:rPr>
        <w:t>Directors</w:t>
      </w:r>
      <w:r w:rsidR="005D50E5" w:rsidRPr="003C7CDB">
        <w:rPr>
          <w:b/>
        </w:rPr>
        <w:t xml:space="preserve">                          </w:t>
      </w:r>
      <w:r w:rsidRPr="003C7CDB">
        <w:t>John Mulcahy (</w:t>
      </w:r>
      <w:r w:rsidR="00697FD4" w:rsidRPr="003C7CDB">
        <w:t>Non-</w:t>
      </w:r>
      <w:r w:rsidRPr="003C7CDB">
        <w:t xml:space="preserve">Executive Chairman) </w:t>
      </w:r>
      <w:r w:rsidRPr="003C7CDB">
        <w:tab/>
      </w:r>
      <w:r w:rsidRPr="003C7CDB">
        <w:tab/>
      </w:r>
    </w:p>
    <w:p w14:paraId="3124E84D" w14:textId="173744AA" w:rsidR="00523B23" w:rsidRPr="003C7CDB" w:rsidRDefault="005D50E5" w:rsidP="00523B23">
      <w:pPr>
        <w:tabs>
          <w:tab w:val="left" w:pos="3119"/>
        </w:tabs>
      </w:pPr>
      <w:r w:rsidRPr="003C7CDB">
        <w:t xml:space="preserve">                                          </w:t>
      </w:r>
      <w:r w:rsidR="00523B23" w:rsidRPr="003C7CDB">
        <w:t>Stephen Garvey (C</w:t>
      </w:r>
      <w:r w:rsidR="00693097" w:rsidRPr="003C7CDB">
        <w:t>E</w:t>
      </w:r>
      <w:r w:rsidR="00523B23" w:rsidRPr="003C7CDB">
        <w:t>O)</w:t>
      </w:r>
    </w:p>
    <w:p w14:paraId="06CA7EB2" w14:textId="3FE0CF32" w:rsidR="00552473" w:rsidRPr="003C7CDB" w:rsidRDefault="005D50E5" w:rsidP="00523B23">
      <w:pPr>
        <w:tabs>
          <w:tab w:val="left" w:pos="3119"/>
        </w:tabs>
      </w:pPr>
      <w:r w:rsidRPr="003C7CDB">
        <w:t xml:space="preserve">                                          </w:t>
      </w:r>
      <w:r w:rsidR="00C022AD">
        <w:t>Conor Murtagh</w:t>
      </w:r>
      <w:r w:rsidR="004E3DA4" w:rsidRPr="003C7CDB">
        <w:t xml:space="preserve"> (CFO)</w:t>
      </w:r>
      <w:r w:rsidR="00C022AD">
        <w:t xml:space="preserve"> – appointed on </w:t>
      </w:r>
      <w:r w:rsidR="00524D3A">
        <w:t>16 January 202</w:t>
      </w:r>
      <w:r w:rsidR="004328AD">
        <w:t>5</w:t>
      </w:r>
    </w:p>
    <w:p w14:paraId="6FF0A3B8" w14:textId="209D4006" w:rsidR="00523B23" w:rsidRPr="003C7CDB" w:rsidRDefault="003B2612" w:rsidP="00523B23">
      <w:pPr>
        <w:tabs>
          <w:tab w:val="left" w:pos="3119"/>
        </w:tabs>
        <w:rPr>
          <w:i/>
          <w:iCs/>
        </w:rPr>
      </w:pPr>
      <w:r w:rsidRPr="003C7CDB">
        <w:rPr>
          <w:b/>
          <w:bCs/>
          <w:lang w:val="en-GB"/>
        </w:rPr>
        <w:t xml:space="preserve">                                          </w:t>
      </w:r>
      <w:r w:rsidRPr="003C7CDB">
        <w:rPr>
          <w:lang w:val="en-GB"/>
        </w:rPr>
        <w:t xml:space="preserve">Camilla Hughes </w:t>
      </w:r>
      <w:r w:rsidR="00F3596B" w:rsidRPr="003C7CDB">
        <w:t>(Independent Non-Executive Director</w:t>
      </w:r>
      <w:r w:rsidR="00F44A3E" w:rsidRPr="003C7CDB">
        <w:t>)</w:t>
      </w:r>
    </w:p>
    <w:p w14:paraId="4AC61EAE" w14:textId="048F7FFF" w:rsidR="005620AE" w:rsidRDefault="007F026A" w:rsidP="00523B23">
      <w:pPr>
        <w:tabs>
          <w:tab w:val="left" w:pos="3119"/>
        </w:tabs>
      </w:pPr>
      <w:r w:rsidRPr="003C7CDB">
        <w:t xml:space="preserve">                                          </w:t>
      </w:r>
      <w:r w:rsidR="00CC0D1B" w:rsidRPr="003C7CDB">
        <w:t>Pat McCann (Independent</w:t>
      </w:r>
      <w:r w:rsidR="00CC0D1B">
        <w:t xml:space="preserve"> Non-Executive Director)</w:t>
      </w:r>
    </w:p>
    <w:p w14:paraId="61426A8D" w14:textId="0EBA5571" w:rsidR="00CC0D1B" w:rsidRDefault="007F026A" w:rsidP="00523B23">
      <w:pPr>
        <w:tabs>
          <w:tab w:val="left" w:pos="3119"/>
        </w:tabs>
      </w:pPr>
      <w:r>
        <w:t xml:space="preserve">                                          </w:t>
      </w:r>
      <w:r w:rsidR="00CC0D1B">
        <w:t>Cara Ryan (</w:t>
      </w:r>
      <w:r w:rsidR="00B43295">
        <w:t>Independent Non-Executive Director)</w:t>
      </w:r>
    </w:p>
    <w:p w14:paraId="7F4DF883" w14:textId="0D73BD0F" w:rsidR="00ED7E54" w:rsidRDefault="00ED7E54" w:rsidP="00523B23">
      <w:pPr>
        <w:tabs>
          <w:tab w:val="left" w:pos="3119"/>
        </w:tabs>
      </w:pPr>
      <w:r>
        <w:t xml:space="preserve">                                          </w:t>
      </w:r>
      <w:r w:rsidR="00012E2F" w:rsidRPr="00012E2F">
        <w:t>Emer Finnan</w:t>
      </w:r>
      <w:r w:rsidR="00012E2F">
        <w:t xml:space="preserve"> (Independent Non-Executive Director)</w:t>
      </w:r>
      <w:r w:rsidR="00A0459F">
        <w:t xml:space="preserve"> </w:t>
      </w:r>
    </w:p>
    <w:p w14:paraId="4BA61B4F" w14:textId="65E4BFD5" w:rsidR="00523B23" w:rsidRDefault="00CC6AEC" w:rsidP="00523B23">
      <w:pPr>
        <w:tabs>
          <w:tab w:val="left" w:pos="3119"/>
        </w:tabs>
      </w:pPr>
      <w:r>
        <w:t xml:space="preserve">                                          Max Steinebach (Non-Executive Director) </w:t>
      </w:r>
    </w:p>
    <w:p w14:paraId="3CA4EF27" w14:textId="376CA38F" w:rsidR="003C7CDB" w:rsidRDefault="003C7CDB" w:rsidP="00523B23">
      <w:pPr>
        <w:tabs>
          <w:tab w:val="left" w:pos="3119"/>
        </w:tabs>
      </w:pPr>
      <w:r>
        <w:t xml:space="preserve">                                          Lorna Conn (Independent Non-Executive Director)</w:t>
      </w:r>
    </w:p>
    <w:p w14:paraId="6B1315C4" w14:textId="77777777" w:rsidR="00CC6AEC" w:rsidRPr="00672C27" w:rsidRDefault="00CC6AEC" w:rsidP="00523B23">
      <w:pPr>
        <w:tabs>
          <w:tab w:val="left" w:pos="3119"/>
        </w:tabs>
      </w:pPr>
    </w:p>
    <w:p w14:paraId="3E7294F8" w14:textId="77777777" w:rsidR="00523B23" w:rsidRPr="00672C27" w:rsidRDefault="00523B23" w:rsidP="00523B23">
      <w:pPr>
        <w:rPr>
          <w:rFonts w:cs="Arial"/>
          <w:szCs w:val="20"/>
        </w:rPr>
      </w:pPr>
    </w:p>
    <w:p w14:paraId="4CC9BDD1" w14:textId="680717D1" w:rsidR="00523B23" w:rsidRPr="00672C27" w:rsidRDefault="00523B23" w:rsidP="00523B23">
      <w:pPr>
        <w:tabs>
          <w:tab w:val="left" w:pos="3119"/>
        </w:tabs>
      </w:pPr>
      <w:r w:rsidRPr="00672C27">
        <w:rPr>
          <w:b/>
        </w:rPr>
        <w:t>Secretary</w:t>
      </w:r>
      <w:r>
        <w:rPr>
          <w:b/>
        </w:rPr>
        <w:t xml:space="preserve"> </w:t>
      </w:r>
      <w:r w:rsidR="007F026A">
        <w:rPr>
          <w:b/>
        </w:rPr>
        <w:t xml:space="preserve">                        </w:t>
      </w:r>
      <w:r>
        <w:t>Chloe McCarthy</w:t>
      </w:r>
    </w:p>
    <w:p w14:paraId="7283DEF4" w14:textId="77777777" w:rsidR="00523B23" w:rsidRPr="00672C27" w:rsidRDefault="00523B23" w:rsidP="00523B23">
      <w:pPr>
        <w:rPr>
          <w:rFonts w:cs="Arial"/>
          <w:szCs w:val="20"/>
        </w:rPr>
      </w:pPr>
    </w:p>
    <w:p w14:paraId="480D2349" w14:textId="77777777" w:rsidR="00523B23" w:rsidRDefault="00523B23" w:rsidP="00523B23">
      <w:pPr>
        <w:rPr>
          <w:rFonts w:cs="Arial"/>
          <w:szCs w:val="20"/>
        </w:rPr>
      </w:pPr>
    </w:p>
    <w:p w14:paraId="04636859" w14:textId="77777777" w:rsidR="00100296" w:rsidRPr="00672C27" w:rsidRDefault="00100296" w:rsidP="00523B23">
      <w:pPr>
        <w:rPr>
          <w:rFonts w:cs="Arial"/>
          <w:szCs w:val="20"/>
        </w:rPr>
      </w:pPr>
    </w:p>
    <w:p w14:paraId="7F87E535" w14:textId="4CCA0F43" w:rsidR="00323EE8" w:rsidRPr="00323EE8" w:rsidRDefault="00523B23" w:rsidP="00323EE8">
      <w:pPr>
        <w:tabs>
          <w:tab w:val="left" w:pos="3119"/>
        </w:tabs>
        <w:rPr>
          <w:bCs/>
        </w:rPr>
      </w:pPr>
      <w:r w:rsidRPr="00672C27">
        <w:rPr>
          <w:b/>
        </w:rPr>
        <w:t>Registered office</w:t>
      </w:r>
      <w:r w:rsidR="00E92DFE">
        <w:rPr>
          <w:b/>
        </w:rPr>
        <w:t xml:space="preserve">            </w:t>
      </w:r>
      <w:r w:rsidR="006F5F16">
        <w:rPr>
          <w:b/>
        </w:rPr>
        <w:t xml:space="preserve"> </w:t>
      </w:r>
      <w:r w:rsidR="00323EE8" w:rsidRPr="00323EE8">
        <w:rPr>
          <w:bCs/>
        </w:rPr>
        <w:t xml:space="preserve">Block </w:t>
      </w:r>
      <w:r w:rsidR="006012DC">
        <w:rPr>
          <w:bCs/>
        </w:rPr>
        <w:t>C</w:t>
      </w:r>
    </w:p>
    <w:p w14:paraId="1B711545" w14:textId="0D0466DD" w:rsidR="00323EE8" w:rsidRDefault="00CC22AE" w:rsidP="00323EE8">
      <w:pPr>
        <w:tabs>
          <w:tab w:val="left" w:pos="3119"/>
        </w:tabs>
        <w:rPr>
          <w:bCs/>
        </w:rPr>
      </w:pPr>
      <w:r>
        <w:rPr>
          <w:bCs/>
        </w:rPr>
        <w:t xml:space="preserve">                                          </w:t>
      </w:r>
      <w:r w:rsidR="00323EE8" w:rsidRPr="00323EE8">
        <w:rPr>
          <w:bCs/>
        </w:rPr>
        <w:t>Maynooth Business Campus</w:t>
      </w:r>
    </w:p>
    <w:p w14:paraId="7CD68E18" w14:textId="5B318F99" w:rsidR="00126FB2" w:rsidRPr="00323EE8" w:rsidRDefault="00126FB2" w:rsidP="00323EE8">
      <w:pPr>
        <w:tabs>
          <w:tab w:val="left" w:pos="3119"/>
        </w:tabs>
        <w:rPr>
          <w:bCs/>
        </w:rPr>
      </w:pPr>
      <w:r>
        <w:rPr>
          <w:bCs/>
        </w:rPr>
        <w:t xml:space="preserve">                                          </w:t>
      </w:r>
      <w:proofErr w:type="spellStart"/>
      <w:r>
        <w:rPr>
          <w:bCs/>
        </w:rPr>
        <w:t>Straffan</w:t>
      </w:r>
      <w:proofErr w:type="spellEnd"/>
      <w:r>
        <w:rPr>
          <w:bCs/>
        </w:rPr>
        <w:t xml:space="preserve"> Road</w:t>
      </w:r>
    </w:p>
    <w:p w14:paraId="5C49CB03" w14:textId="7CEAE860" w:rsidR="00323EE8" w:rsidRPr="00323EE8" w:rsidRDefault="00CC22AE" w:rsidP="00323EE8">
      <w:pPr>
        <w:tabs>
          <w:tab w:val="left" w:pos="3119"/>
        </w:tabs>
        <w:rPr>
          <w:bCs/>
        </w:rPr>
      </w:pPr>
      <w:r>
        <w:rPr>
          <w:bCs/>
        </w:rPr>
        <w:t xml:space="preserve">                                          </w:t>
      </w:r>
      <w:r w:rsidR="00323EE8" w:rsidRPr="00323EE8">
        <w:rPr>
          <w:bCs/>
        </w:rPr>
        <w:t>Maynooth</w:t>
      </w:r>
    </w:p>
    <w:p w14:paraId="600AE819" w14:textId="7A2BC631" w:rsidR="004E1CC0" w:rsidRPr="00323EE8" w:rsidRDefault="00CC22AE" w:rsidP="00323EE8">
      <w:pPr>
        <w:tabs>
          <w:tab w:val="left" w:pos="3119"/>
        </w:tabs>
        <w:rPr>
          <w:bCs/>
        </w:rPr>
      </w:pPr>
      <w:r>
        <w:rPr>
          <w:bCs/>
        </w:rPr>
        <w:t xml:space="preserve">                                          </w:t>
      </w:r>
      <w:r w:rsidR="00323EE8" w:rsidRPr="00323EE8">
        <w:rPr>
          <w:bCs/>
        </w:rPr>
        <w:t>Co. Kildare</w:t>
      </w:r>
    </w:p>
    <w:p w14:paraId="6BE57EF0" w14:textId="420DC354" w:rsidR="00850FE2" w:rsidRPr="00323EE8" w:rsidRDefault="00850FE2" w:rsidP="002255D2">
      <w:pPr>
        <w:tabs>
          <w:tab w:val="left" w:pos="2355"/>
          <w:tab w:val="left" w:pos="3119"/>
        </w:tabs>
        <w:rPr>
          <w:bCs/>
        </w:rPr>
      </w:pPr>
      <w:r>
        <w:rPr>
          <w:bCs/>
        </w:rPr>
        <w:tab/>
      </w:r>
    </w:p>
    <w:p w14:paraId="3B0F900C" w14:textId="6DDF369A" w:rsidR="00523B23" w:rsidRDefault="00CC22AE" w:rsidP="00523B23">
      <w:pPr>
        <w:tabs>
          <w:tab w:val="left" w:pos="3119"/>
        </w:tabs>
      </w:pPr>
      <w:r>
        <w:rPr>
          <w:bCs/>
        </w:rPr>
        <w:t xml:space="preserve">                                          </w:t>
      </w:r>
    </w:p>
    <w:p w14:paraId="0B29F1CA" w14:textId="76AF120A" w:rsidR="00B72AB0" w:rsidRDefault="00B72AB0" w:rsidP="00CC22AE">
      <w:pPr>
        <w:tabs>
          <w:tab w:val="left" w:pos="3119"/>
        </w:tabs>
      </w:pPr>
      <w:r>
        <w:t xml:space="preserve">                                             </w:t>
      </w:r>
    </w:p>
    <w:p w14:paraId="0FCC0A24" w14:textId="77777777" w:rsidR="00523B23" w:rsidRPr="00672C27" w:rsidRDefault="00523B23" w:rsidP="00523B23">
      <w:pPr>
        <w:rPr>
          <w:rFonts w:cs="Arial"/>
          <w:szCs w:val="20"/>
        </w:rPr>
      </w:pPr>
    </w:p>
    <w:p w14:paraId="248980D7" w14:textId="21E6AEFA" w:rsidR="00523B23" w:rsidRPr="00672C27" w:rsidRDefault="00523B23" w:rsidP="00523B23">
      <w:pPr>
        <w:tabs>
          <w:tab w:val="left" w:pos="3119"/>
        </w:tabs>
      </w:pPr>
      <w:r w:rsidRPr="00672C27">
        <w:rPr>
          <w:b/>
        </w:rPr>
        <w:t>Auditor</w:t>
      </w:r>
      <w:r w:rsidR="00AF4BB3">
        <w:rPr>
          <w:b/>
        </w:rPr>
        <w:t xml:space="preserve">                             </w:t>
      </w:r>
      <w:r w:rsidRPr="00672C27">
        <w:t>KPMG</w:t>
      </w:r>
    </w:p>
    <w:p w14:paraId="4A208881" w14:textId="29D37B6C" w:rsidR="00523B23" w:rsidRPr="00672C27" w:rsidRDefault="005E68A3" w:rsidP="00523B23">
      <w:pPr>
        <w:tabs>
          <w:tab w:val="left" w:pos="3119"/>
        </w:tabs>
      </w:pPr>
      <w:r>
        <w:rPr>
          <w:b/>
        </w:rPr>
        <w:t xml:space="preserve">                                         </w:t>
      </w:r>
      <w:r w:rsidR="00F44A3E">
        <w:rPr>
          <w:b/>
        </w:rPr>
        <w:t xml:space="preserve"> </w:t>
      </w:r>
      <w:r w:rsidR="00523B23" w:rsidRPr="00672C27">
        <w:t>Chartered Accountants</w:t>
      </w:r>
    </w:p>
    <w:p w14:paraId="5D2192E1" w14:textId="3132A677" w:rsidR="00523B23" w:rsidRPr="00672C27" w:rsidRDefault="005E68A3" w:rsidP="00523B23">
      <w:pPr>
        <w:tabs>
          <w:tab w:val="left" w:pos="3119"/>
        </w:tabs>
      </w:pPr>
      <w:r>
        <w:rPr>
          <w:b/>
        </w:rPr>
        <w:t xml:space="preserve">                                          </w:t>
      </w:r>
      <w:r w:rsidR="00523B23" w:rsidRPr="00672C27">
        <w:t>1 Stokes Place</w:t>
      </w:r>
    </w:p>
    <w:p w14:paraId="6C0CAFA8" w14:textId="7F2900F6" w:rsidR="00523B23" w:rsidRPr="00672C27" w:rsidRDefault="005E68A3" w:rsidP="00523B23">
      <w:pPr>
        <w:tabs>
          <w:tab w:val="left" w:pos="3119"/>
        </w:tabs>
      </w:pPr>
      <w:r>
        <w:rPr>
          <w:b/>
        </w:rPr>
        <w:t xml:space="preserve">                                          </w:t>
      </w:r>
      <w:r w:rsidR="00523B23" w:rsidRPr="00672C27">
        <w:t>St. Stephen</w:t>
      </w:r>
      <w:r w:rsidR="00523B23">
        <w:t>’</w:t>
      </w:r>
      <w:r w:rsidR="00523B23" w:rsidRPr="00672C27">
        <w:t>s Green</w:t>
      </w:r>
    </w:p>
    <w:p w14:paraId="3DBBABC7" w14:textId="6316E67C" w:rsidR="00523B23" w:rsidRDefault="005E68A3" w:rsidP="00523B23">
      <w:pPr>
        <w:tabs>
          <w:tab w:val="left" w:pos="3119"/>
        </w:tabs>
      </w:pPr>
      <w:r>
        <w:rPr>
          <w:b/>
        </w:rPr>
        <w:t xml:space="preserve">                                          </w:t>
      </w:r>
      <w:r w:rsidR="00523B23" w:rsidRPr="00672C27">
        <w:t>Dublin 2</w:t>
      </w:r>
    </w:p>
    <w:p w14:paraId="0D271D44" w14:textId="56D2222A" w:rsidR="00855896" w:rsidRDefault="005E68A3" w:rsidP="003F0FDA">
      <w:pPr>
        <w:tabs>
          <w:tab w:val="left" w:pos="3119"/>
        </w:tabs>
        <w:rPr>
          <w:rFonts w:cs="Arial"/>
          <w:szCs w:val="20"/>
        </w:rPr>
      </w:pPr>
      <w:r>
        <w:t xml:space="preserve">                                          </w:t>
      </w:r>
      <w:r w:rsidR="00523B23">
        <w:t>D02 DE03</w:t>
      </w:r>
    </w:p>
    <w:p w14:paraId="6ADD9B92" w14:textId="763D8931" w:rsidR="00523B23" w:rsidRDefault="00855896" w:rsidP="003F0FDA">
      <w:pPr>
        <w:tabs>
          <w:tab w:val="left" w:pos="4320"/>
        </w:tabs>
        <w:rPr>
          <w:rFonts w:cs="Arial"/>
          <w:szCs w:val="20"/>
        </w:rPr>
      </w:pPr>
      <w:r>
        <w:rPr>
          <w:rFonts w:cs="Arial"/>
          <w:szCs w:val="20"/>
        </w:rPr>
        <w:t xml:space="preserve">                                     </w:t>
      </w:r>
      <w:r w:rsidR="00555E11">
        <w:rPr>
          <w:rFonts w:cs="Arial"/>
          <w:szCs w:val="20"/>
        </w:rPr>
        <w:t xml:space="preserve">    </w:t>
      </w:r>
      <w:r w:rsidR="00100296">
        <w:rPr>
          <w:rFonts w:cs="Arial"/>
          <w:szCs w:val="20"/>
        </w:rPr>
        <w:t xml:space="preserve"> </w:t>
      </w:r>
    </w:p>
    <w:p w14:paraId="11FE94C6" w14:textId="77777777" w:rsidR="0096590E" w:rsidRPr="00672C27" w:rsidRDefault="0096590E" w:rsidP="00855896">
      <w:pPr>
        <w:rPr>
          <w:rFonts w:cs="Arial"/>
          <w:szCs w:val="20"/>
        </w:rPr>
      </w:pPr>
    </w:p>
    <w:p w14:paraId="4B87586D" w14:textId="710C473C" w:rsidR="00523B23" w:rsidRDefault="00523B23" w:rsidP="00523B23">
      <w:pPr>
        <w:rPr>
          <w:rFonts w:cs="Arial"/>
          <w:szCs w:val="20"/>
        </w:rPr>
      </w:pPr>
      <w:r>
        <w:rPr>
          <w:b/>
        </w:rPr>
        <w:t>R</w:t>
      </w:r>
      <w:r w:rsidRPr="00672C27">
        <w:rPr>
          <w:b/>
        </w:rPr>
        <w:t>egistered</w:t>
      </w:r>
      <w:r w:rsidRPr="00672C27">
        <w:t xml:space="preserve"> </w:t>
      </w:r>
      <w:r w:rsidRPr="00672C27">
        <w:rPr>
          <w:b/>
        </w:rPr>
        <w:t>number</w:t>
      </w:r>
      <w:r w:rsidR="005E68A3">
        <w:rPr>
          <w:b/>
        </w:rPr>
        <w:t xml:space="preserve">         </w:t>
      </w:r>
      <w:r w:rsidRPr="00327390">
        <w:t>609461</w:t>
      </w:r>
      <w:r>
        <w:rPr>
          <w:b/>
        </w:rPr>
        <w:tab/>
      </w:r>
      <w:r>
        <w:rPr>
          <w:b/>
        </w:rPr>
        <w:tab/>
      </w:r>
      <w:r>
        <w:rPr>
          <w:b/>
        </w:rPr>
        <w:tab/>
      </w:r>
    </w:p>
    <w:p w14:paraId="23E6C9DA" w14:textId="77777777" w:rsidR="00523B23" w:rsidRDefault="00523B23" w:rsidP="005C02FC">
      <w:pPr>
        <w:autoSpaceDE w:val="0"/>
        <w:autoSpaceDN w:val="0"/>
        <w:adjustRightInd w:val="0"/>
        <w:jc w:val="both"/>
        <w:rPr>
          <w:rFonts w:cs="Arial"/>
          <w:b/>
          <w:szCs w:val="20"/>
        </w:rPr>
      </w:pPr>
    </w:p>
    <w:p w14:paraId="454A7450" w14:textId="77777777" w:rsidR="00523B23" w:rsidRDefault="00523B23" w:rsidP="005C02FC">
      <w:pPr>
        <w:autoSpaceDE w:val="0"/>
        <w:autoSpaceDN w:val="0"/>
        <w:adjustRightInd w:val="0"/>
        <w:jc w:val="both"/>
        <w:rPr>
          <w:rFonts w:cs="Arial"/>
          <w:b/>
          <w:szCs w:val="20"/>
        </w:rPr>
      </w:pPr>
    </w:p>
    <w:p w14:paraId="0EB61A39" w14:textId="77777777" w:rsidR="00523B23" w:rsidRDefault="00523B23" w:rsidP="005C02FC">
      <w:pPr>
        <w:autoSpaceDE w:val="0"/>
        <w:autoSpaceDN w:val="0"/>
        <w:adjustRightInd w:val="0"/>
        <w:jc w:val="both"/>
        <w:rPr>
          <w:rFonts w:cs="Arial"/>
          <w:b/>
          <w:szCs w:val="20"/>
        </w:rPr>
      </w:pPr>
    </w:p>
    <w:p w14:paraId="7C6575AB" w14:textId="77777777" w:rsidR="00523B23" w:rsidRDefault="00523B23" w:rsidP="005C02FC">
      <w:pPr>
        <w:autoSpaceDE w:val="0"/>
        <w:autoSpaceDN w:val="0"/>
        <w:adjustRightInd w:val="0"/>
        <w:jc w:val="both"/>
        <w:rPr>
          <w:rFonts w:cs="Arial"/>
          <w:b/>
          <w:szCs w:val="20"/>
        </w:rPr>
      </w:pPr>
    </w:p>
    <w:p w14:paraId="0E7BA67A" w14:textId="77777777" w:rsidR="00523B23" w:rsidRDefault="00523B23" w:rsidP="005C02FC">
      <w:pPr>
        <w:autoSpaceDE w:val="0"/>
        <w:autoSpaceDN w:val="0"/>
        <w:adjustRightInd w:val="0"/>
        <w:jc w:val="both"/>
        <w:rPr>
          <w:rFonts w:cs="Arial"/>
          <w:b/>
          <w:szCs w:val="20"/>
        </w:rPr>
      </w:pPr>
    </w:p>
    <w:p w14:paraId="118E4612" w14:textId="77777777" w:rsidR="00523B23" w:rsidRDefault="00523B23" w:rsidP="005C02FC">
      <w:pPr>
        <w:autoSpaceDE w:val="0"/>
        <w:autoSpaceDN w:val="0"/>
        <w:adjustRightInd w:val="0"/>
        <w:jc w:val="both"/>
        <w:rPr>
          <w:rFonts w:cs="Arial"/>
          <w:b/>
          <w:szCs w:val="20"/>
        </w:rPr>
      </w:pPr>
    </w:p>
    <w:p w14:paraId="43A2A0D8" w14:textId="77777777" w:rsidR="00523B23" w:rsidRDefault="00523B23" w:rsidP="005C02FC">
      <w:pPr>
        <w:autoSpaceDE w:val="0"/>
        <w:autoSpaceDN w:val="0"/>
        <w:adjustRightInd w:val="0"/>
        <w:jc w:val="both"/>
        <w:rPr>
          <w:rFonts w:cs="Arial"/>
          <w:b/>
          <w:szCs w:val="20"/>
        </w:rPr>
      </w:pPr>
    </w:p>
    <w:p w14:paraId="5693FCE8" w14:textId="77777777" w:rsidR="007F473A" w:rsidRDefault="007F473A" w:rsidP="005C02FC">
      <w:pPr>
        <w:autoSpaceDE w:val="0"/>
        <w:autoSpaceDN w:val="0"/>
        <w:adjustRightInd w:val="0"/>
        <w:jc w:val="both"/>
        <w:rPr>
          <w:rFonts w:cs="Arial"/>
          <w:b/>
          <w:szCs w:val="20"/>
        </w:rPr>
      </w:pPr>
    </w:p>
    <w:p w14:paraId="39F393E6" w14:textId="77777777" w:rsidR="00523B23" w:rsidRDefault="00523B23" w:rsidP="005C02FC">
      <w:pPr>
        <w:autoSpaceDE w:val="0"/>
        <w:autoSpaceDN w:val="0"/>
        <w:adjustRightInd w:val="0"/>
        <w:jc w:val="both"/>
        <w:rPr>
          <w:rFonts w:cs="Arial"/>
          <w:b/>
          <w:szCs w:val="20"/>
        </w:rPr>
      </w:pPr>
    </w:p>
    <w:p w14:paraId="6FF1BC96" w14:textId="77777777" w:rsidR="000D2738" w:rsidRDefault="000D2738" w:rsidP="005C02FC">
      <w:pPr>
        <w:autoSpaceDE w:val="0"/>
        <w:autoSpaceDN w:val="0"/>
        <w:adjustRightInd w:val="0"/>
        <w:jc w:val="both"/>
        <w:rPr>
          <w:rFonts w:cs="Arial"/>
          <w:b/>
          <w:szCs w:val="20"/>
        </w:rPr>
      </w:pPr>
    </w:p>
    <w:p w14:paraId="5C4C45FF" w14:textId="77777777" w:rsidR="000D2738" w:rsidRDefault="000D2738" w:rsidP="005C02FC">
      <w:pPr>
        <w:autoSpaceDE w:val="0"/>
        <w:autoSpaceDN w:val="0"/>
        <w:adjustRightInd w:val="0"/>
        <w:jc w:val="both"/>
        <w:rPr>
          <w:rFonts w:cs="Arial"/>
          <w:b/>
          <w:szCs w:val="20"/>
        </w:rPr>
      </w:pPr>
    </w:p>
    <w:p w14:paraId="57098703" w14:textId="77777777" w:rsidR="000D2738" w:rsidRDefault="000D2738" w:rsidP="005C02FC">
      <w:pPr>
        <w:autoSpaceDE w:val="0"/>
        <w:autoSpaceDN w:val="0"/>
        <w:adjustRightInd w:val="0"/>
        <w:jc w:val="both"/>
        <w:rPr>
          <w:rFonts w:cs="Arial"/>
          <w:b/>
          <w:szCs w:val="20"/>
        </w:rPr>
      </w:pPr>
    </w:p>
    <w:p w14:paraId="013C4E16" w14:textId="77777777" w:rsidR="000D2738" w:rsidRDefault="000D2738" w:rsidP="005C02FC">
      <w:pPr>
        <w:autoSpaceDE w:val="0"/>
        <w:autoSpaceDN w:val="0"/>
        <w:adjustRightInd w:val="0"/>
        <w:jc w:val="both"/>
        <w:rPr>
          <w:rFonts w:cs="Arial"/>
          <w:b/>
          <w:szCs w:val="20"/>
        </w:rPr>
      </w:pPr>
    </w:p>
    <w:p w14:paraId="7CA9D171" w14:textId="77777777" w:rsidR="000D2738" w:rsidRDefault="000D2738" w:rsidP="005C02FC">
      <w:pPr>
        <w:autoSpaceDE w:val="0"/>
        <w:autoSpaceDN w:val="0"/>
        <w:adjustRightInd w:val="0"/>
        <w:jc w:val="both"/>
        <w:rPr>
          <w:rFonts w:cs="Arial"/>
          <w:b/>
          <w:szCs w:val="20"/>
        </w:rPr>
      </w:pPr>
    </w:p>
    <w:p w14:paraId="133C94FA" w14:textId="77777777" w:rsidR="000D2738" w:rsidRDefault="000D2738" w:rsidP="005C02FC">
      <w:pPr>
        <w:autoSpaceDE w:val="0"/>
        <w:autoSpaceDN w:val="0"/>
        <w:adjustRightInd w:val="0"/>
        <w:jc w:val="both"/>
        <w:rPr>
          <w:rFonts w:cs="Arial"/>
          <w:b/>
          <w:szCs w:val="20"/>
        </w:rPr>
      </w:pPr>
    </w:p>
    <w:p w14:paraId="30E86E2F" w14:textId="77777777" w:rsidR="000D2738" w:rsidRDefault="000D2738" w:rsidP="005C02FC">
      <w:pPr>
        <w:autoSpaceDE w:val="0"/>
        <w:autoSpaceDN w:val="0"/>
        <w:adjustRightInd w:val="0"/>
        <w:jc w:val="both"/>
        <w:rPr>
          <w:rFonts w:cs="Arial"/>
          <w:b/>
          <w:szCs w:val="20"/>
        </w:rPr>
      </w:pPr>
    </w:p>
    <w:p w14:paraId="75EAC0B4" w14:textId="77777777" w:rsidR="000D2738" w:rsidRDefault="000D2738" w:rsidP="005C02FC">
      <w:pPr>
        <w:autoSpaceDE w:val="0"/>
        <w:autoSpaceDN w:val="0"/>
        <w:adjustRightInd w:val="0"/>
        <w:jc w:val="both"/>
        <w:rPr>
          <w:rFonts w:cs="Arial"/>
          <w:b/>
          <w:szCs w:val="20"/>
        </w:rPr>
      </w:pPr>
    </w:p>
    <w:p w14:paraId="0C902F51" w14:textId="77777777" w:rsidR="000D2738" w:rsidRDefault="000D2738" w:rsidP="005C02FC">
      <w:pPr>
        <w:autoSpaceDE w:val="0"/>
        <w:autoSpaceDN w:val="0"/>
        <w:adjustRightInd w:val="0"/>
        <w:jc w:val="both"/>
        <w:rPr>
          <w:rFonts w:cs="Arial"/>
          <w:b/>
          <w:szCs w:val="20"/>
        </w:rPr>
      </w:pPr>
    </w:p>
    <w:p w14:paraId="04DB2958" w14:textId="77777777" w:rsidR="000D2738" w:rsidRDefault="000D2738" w:rsidP="005C02FC">
      <w:pPr>
        <w:autoSpaceDE w:val="0"/>
        <w:autoSpaceDN w:val="0"/>
        <w:adjustRightInd w:val="0"/>
        <w:jc w:val="both"/>
        <w:rPr>
          <w:rFonts w:cs="Arial"/>
          <w:b/>
          <w:szCs w:val="20"/>
        </w:rPr>
      </w:pPr>
    </w:p>
    <w:p w14:paraId="7D8186C0" w14:textId="77777777" w:rsidR="000D2738" w:rsidRDefault="000D2738" w:rsidP="005C02FC">
      <w:pPr>
        <w:autoSpaceDE w:val="0"/>
        <w:autoSpaceDN w:val="0"/>
        <w:adjustRightInd w:val="0"/>
        <w:jc w:val="both"/>
        <w:rPr>
          <w:rFonts w:cs="Arial"/>
          <w:b/>
          <w:szCs w:val="20"/>
        </w:rPr>
      </w:pPr>
    </w:p>
    <w:p w14:paraId="4F33E0DF" w14:textId="77777777" w:rsidR="000D2738" w:rsidRDefault="000D2738" w:rsidP="005C02FC">
      <w:pPr>
        <w:autoSpaceDE w:val="0"/>
        <w:autoSpaceDN w:val="0"/>
        <w:adjustRightInd w:val="0"/>
        <w:jc w:val="both"/>
        <w:rPr>
          <w:rFonts w:cs="Arial"/>
          <w:b/>
          <w:szCs w:val="20"/>
        </w:rPr>
      </w:pPr>
    </w:p>
    <w:p w14:paraId="74041E50" w14:textId="77777777" w:rsidR="000D2738" w:rsidRDefault="000D2738" w:rsidP="005C02FC">
      <w:pPr>
        <w:autoSpaceDE w:val="0"/>
        <w:autoSpaceDN w:val="0"/>
        <w:adjustRightInd w:val="0"/>
        <w:jc w:val="both"/>
        <w:rPr>
          <w:rFonts w:cs="Arial"/>
          <w:b/>
          <w:szCs w:val="20"/>
        </w:rPr>
      </w:pPr>
    </w:p>
    <w:p w14:paraId="2D062ED9" w14:textId="77777777" w:rsidR="000D2738" w:rsidRDefault="000D2738" w:rsidP="005C02FC">
      <w:pPr>
        <w:autoSpaceDE w:val="0"/>
        <w:autoSpaceDN w:val="0"/>
        <w:adjustRightInd w:val="0"/>
        <w:jc w:val="both"/>
        <w:rPr>
          <w:rFonts w:cs="Arial"/>
          <w:b/>
          <w:szCs w:val="20"/>
        </w:rPr>
      </w:pPr>
    </w:p>
    <w:p w14:paraId="6EB9E671" w14:textId="77777777" w:rsidR="000D2738" w:rsidRDefault="000D2738" w:rsidP="005C02FC">
      <w:pPr>
        <w:autoSpaceDE w:val="0"/>
        <w:autoSpaceDN w:val="0"/>
        <w:adjustRightInd w:val="0"/>
        <w:jc w:val="both"/>
        <w:rPr>
          <w:rFonts w:cs="Arial"/>
          <w:b/>
          <w:szCs w:val="20"/>
        </w:rPr>
      </w:pPr>
    </w:p>
    <w:p w14:paraId="73B4F734" w14:textId="77777777" w:rsidR="00100296" w:rsidRDefault="00100296" w:rsidP="005C02FC">
      <w:pPr>
        <w:autoSpaceDE w:val="0"/>
        <w:autoSpaceDN w:val="0"/>
        <w:adjustRightInd w:val="0"/>
        <w:jc w:val="both"/>
        <w:rPr>
          <w:rFonts w:cs="Arial"/>
          <w:b/>
          <w:szCs w:val="20"/>
        </w:rPr>
      </w:pPr>
    </w:p>
    <w:p w14:paraId="3B6224FD" w14:textId="3B725D77" w:rsidR="009A7834" w:rsidRDefault="009A7834" w:rsidP="06BCB59D">
      <w:pPr>
        <w:jc w:val="both"/>
        <w:rPr>
          <w:rFonts w:cs="Arial"/>
          <w:b/>
          <w:bCs/>
        </w:rPr>
      </w:pPr>
      <w:r w:rsidRPr="7821F417">
        <w:rPr>
          <w:rFonts w:cs="Arial"/>
          <w:b/>
          <w:bCs/>
        </w:rPr>
        <w:lastRenderedPageBreak/>
        <w:t xml:space="preserve">Statement of </w:t>
      </w:r>
      <w:r w:rsidR="00867028" w:rsidRPr="7821F417">
        <w:rPr>
          <w:rFonts w:cs="Arial"/>
          <w:b/>
          <w:bCs/>
        </w:rPr>
        <w:t>D</w:t>
      </w:r>
      <w:r w:rsidRPr="7821F417">
        <w:rPr>
          <w:rFonts w:cs="Arial"/>
          <w:b/>
          <w:bCs/>
        </w:rPr>
        <w:t>irectors’ responsibilities in respect of the condensed consolidated interim financial statements</w:t>
      </w:r>
      <w:r w:rsidR="006D48FE" w:rsidRPr="7821F417">
        <w:rPr>
          <w:rFonts w:cs="Arial"/>
          <w:b/>
          <w:bCs/>
        </w:rPr>
        <w:t xml:space="preserve"> for the half year ended 30 June 202</w:t>
      </w:r>
      <w:r w:rsidR="0033099B">
        <w:rPr>
          <w:rFonts w:cs="Arial"/>
          <w:b/>
          <w:bCs/>
        </w:rPr>
        <w:t>5</w:t>
      </w:r>
    </w:p>
    <w:p w14:paraId="106BA260" w14:textId="77777777" w:rsidR="00FA22DD" w:rsidRDefault="00FA22DD" w:rsidP="00EC1E37">
      <w:pPr>
        <w:autoSpaceDE w:val="0"/>
        <w:autoSpaceDN w:val="0"/>
        <w:adjustRightInd w:val="0"/>
        <w:jc w:val="both"/>
        <w:rPr>
          <w:rFonts w:cs="Arial"/>
          <w:szCs w:val="20"/>
          <w:lang w:val="en-US"/>
        </w:rPr>
      </w:pPr>
    </w:p>
    <w:p w14:paraId="73232A61" w14:textId="77777777" w:rsidR="00FA22DD" w:rsidRPr="00FA22DD" w:rsidRDefault="00FA22DD" w:rsidP="00FA22DD">
      <w:pPr>
        <w:autoSpaceDE w:val="0"/>
        <w:autoSpaceDN w:val="0"/>
        <w:adjustRightInd w:val="0"/>
        <w:jc w:val="both"/>
        <w:rPr>
          <w:rFonts w:cs="Arial"/>
          <w:szCs w:val="20"/>
          <w:lang w:val="en-US"/>
        </w:rPr>
      </w:pPr>
      <w:r w:rsidRPr="00FA22DD">
        <w:rPr>
          <w:rFonts w:cs="Arial"/>
          <w:szCs w:val="20"/>
          <w:lang w:val="en-US"/>
        </w:rPr>
        <w:t>The Directors are responsible for preparing the half-yearly financial report in accordance with the Transparency (Directive 2004/109/EC) Regulations 2007 (“Transparency Directive”), and the Transparency Rules of the Central Bank of Ireland.</w:t>
      </w:r>
    </w:p>
    <w:p w14:paraId="3DD8D6CD" w14:textId="77777777" w:rsidR="00FA22DD" w:rsidRPr="00FA22DD" w:rsidRDefault="00FA22DD" w:rsidP="00FA22DD">
      <w:pPr>
        <w:autoSpaceDE w:val="0"/>
        <w:autoSpaceDN w:val="0"/>
        <w:adjustRightInd w:val="0"/>
        <w:jc w:val="both"/>
        <w:rPr>
          <w:rFonts w:cs="Arial"/>
          <w:szCs w:val="20"/>
          <w:lang w:val="en-US"/>
        </w:rPr>
      </w:pPr>
    </w:p>
    <w:p w14:paraId="42B5400D" w14:textId="77777777" w:rsidR="00FA22DD" w:rsidRPr="00FA22DD" w:rsidRDefault="00FA22DD" w:rsidP="00FA22DD">
      <w:pPr>
        <w:autoSpaceDE w:val="0"/>
        <w:autoSpaceDN w:val="0"/>
        <w:adjustRightInd w:val="0"/>
        <w:jc w:val="both"/>
        <w:rPr>
          <w:rFonts w:cs="Arial"/>
          <w:szCs w:val="20"/>
          <w:lang w:val="en-US"/>
        </w:rPr>
      </w:pPr>
      <w:r w:rsidRPr="00FA22DD">
        <w:rPr>
          <w:rFonts w:cs="Arial"/>
          <w:szCs w:val="20"/>
          <w:lang w:val="en-US"/>
        </w:rPr>
        <w:t>In preparing the condensed set of consolidated financial statements included within the half-yearly financial report, the directors are required to:</w:t>
      </w:r>
    </w:p>
    <w:p w14:paraId="3E671ACC" w14:textId="77777777" w:rsidR="00FA22DD" w:rsidRPr="00FA22DD" w:rsidRDefault="00FA22DD" w:rsidP="00FA22DD">
      <w:pPr>
        <w:autoSpaceDE w:val="0"/>
        <w:autoSpaceDN w:val="0"/>
        <w:adjustRightInd w:val="0"/>
        <w:ind w:left="340" w:hanging="340"/>
        <w:jc w:val="both"/>
        <w:rPr>
          <w:rFonts w:cs="Arial"/>
          <w:szCs w:val="20"/>
          <w:lang w:val="en-US"/>
        </w:rPr>
      </w:pPr>
      <w:r w:rsidRPr="00FA22DD">
        <w:rPr>
          <w:rFonts w:cs="Arial"/>
          <w:szCs w:val="20"/>
          <w:lang w:val="en-US"/>
        </w:rPr>
        <w:t>—</w:t>
      </w:r>
      <w:r w:rsidRPr="00FA22DD">
        <w:rPr>
          <w:rFonts w:cs="Arial"/>
          <w:szCs w:val="20"/>
          <w:lang w:val="en-US"/>
        </w:rPr>
        <w:tab/>
        <w:t xml:space="preserve">prepare and present the condensed set of consolidated financial statements in accordance with IAS 34 Interim Financial Reporting as adopted by the EU, and the Transparency Directive and the Transparency Rules of the Central Bank of </w:t>
      </w:r>
      <w:proofErr w:type="gramStart"/>
      <w:r w:rsidRPr="00FA22DD">
        <w:rPr>
          <w:rFonts w:cs="Arial"/>
          <w:szCs w:val="20"/>
          <w:lang w:val="en-US"/>
        </w:rPr>
        <w:t>Ireland;</w:t>
      </w:r>
      <w:proofErr w:type="gramEnd"/>
    </w:p>
    <w:p w14:paraId="147BE96A" w14:textId="77777777" w:rsidR="00FA22DD" w:rsidRPr="00FA22DD" w:rsidRDefault="00FA22DD" w:rsidP="00FA22DD">
      <w:pPr>
        <w:autoSpaceDE w:val="0"/>
        <w:autoSpaceDN w:val="0"/>
        <w:adjustRightInd w:val="0"/>
        <w:ind w:left="340" w:hanging="340"/>
        <w:jc w:val="both"/>
        <w:rPr>
          <w:rFonts w:cs="Arial"/>
          <w:szCs w:val="20"/>
          <w:lang w:val="en-US"/>
        </w:rPr>
      </w:pPr>
      <w:r w:rsidRPr="00FA22DD">
        <w:rPr>
          <w:rFonts w:cs="Arial"/>
          <w:szCs w:val="20"/>
          <w:lang w:val="en-US"/>
        </w:rPr>
        <w:t>—</w:t>
      </w:r>
      <w:r w:rsidRPr="00FA22DD">
        <w:rPr>
          <w:rFonts w:cs="Arial"/>
          <w:szCs w:val="20"/>
          <w:lang w:val="en-US"/>
        </w:rPr>
        <w:tab/>
        <w:t xml:space="preserve">ensure the condensed set of consolidated financial statements has adequate </w:t>
      </w:r>
      <w:proofErr w:type="gramStart"/>
      <w:r w:rsidRPr="00FA22DD">
        <w:rPr>
          <w:rFonts w:cs="Arial"/>
          <w:szCs w:val="20"/>
          <w:lang w:val="en-US"/>
        </w:rPr>
        <w:t>disclosures;</w:t>
      </w:r>
      <w:proofErr w:type="gramEnd"/>
    </w:p>
    <w:p w14:paraId="70B65129" w14:textId="77777777" w:rsidR="00FA22DD" w:rsidRPr="00FA22DD" w:rsidRDefault="00FA22DD" w:rsidP="00FA22DD">
      <w:pPr>
        <w:autoSpaceDE w:val="0"/>
        <w:autoSpaceDN w:val="0"/>
        <w:adjustRightInd w:val="0"/>
        <w:ind w:left="340" w:hanging="340"/>
        <w:jc w:val="both"/>
        <w:rPr>
          <w:rFonts w:cs="Arial"/>
          <w:szCs w:val="20"/>
          <w:lang w:val="en-US"/>
        </w:rPr>
      </w:pPr>
      <w:r w:rsidRPr="00FA22DD">
        <w:rPr>
          <w:rFonts w:cs="Arial"/>
          <w:szCs w:val="20"/>
          <w:lang w:val="en-US"/>
        </w:rPr>
        <w:t>—</w:t>
      </w:r>
      <w:r w:rsidRPr="00FA22DD">
        <w:rPr>
          <w:rFonts w:cs="Arial"/>
          <w:szCs w:val="20"/>
          <w:lang w:val="en-US"/>
        </w:rPr>
        <w:tab/>
        <w:t>select and apply appropriate accounting policies; and</w:t>
      </w:r>
    </w:p>
    <w:p w14:paraId="1D5480F1" w14:textId="77777777" w:rsidR="00FA22DD" w:rsidRPr="00FA22DD" w:rsidRDefault="00FA22DD" w:rsidP="00FA22DD">
      <w:pPr>
        <w:autoSpaceDE w:val="0"/>
        <w:autoSpaceDN w:val="0"/>
        <w:adjustRightInd w:val="0"/>
        <w:ind w:left="340" w:hanging="340"/>
        <w:jc w:val="both"/>
        <w:rPr>
          <w:rFonts w:cs="Arial"/>
          <w:szCs w:val="20"/>
          <w:lang w:val="en-US"/>
        </w:rPr>
      </w:pPr>
      <w:r w:rsidRPr="00FA22DD">
        <w:rPr>
          <w:rFonts w:cs="Arial"/>
          <w:szCs w:val="20"/>
          <w:lang w:val="en-US"/>
        </w:rPr>
        <w:t>—</w:t>
      </w:r>
      <w:r w:rsidRPr="00FA22DD">
        <w:rPr>
          <w:rFonts w:cs="Arial"/>
          <w:szCs w:val="20"/>
          <w:lang w:val="en-US"/>
        </w:rPr>
        <w:tab/>
        <w:t xml:space="preserve">make accounting estimates that are reasonable in the circumstances. </w:t>
      </w:r>
    </w:p>
    <w:p w14:paraId="4DE35885" w14:textId="77777777" w:rsidR="00FA22DD" w:rsidRPr="00FA22DD" w:rsidRDefault="00FA22DD" w:rsidP="00FA22DD">
      <w:pPr>
        <w:autoSpaceDE w:val="0"/>
        <w:autoSpaceDN w:val="0"/>
        <w:adjustRightInd w:val="0"/>
        <w:ind w:left="340" w:hanging="340"/>
        <w:jc w:val="both"/>
        <w:rPr>
          <w:rFonts w:cs="Arial"/>
          <w:szCs w:val="20"/>
          <w:lang w:val="en-US"/>
        </w:rPr>
      </w:pPr>
      <w:r w:rsidRPr="00FA22DD">
        <w:rPr>
          <w:rFonts w:cs="Arial"/>
          <w:szCs w:val="20"/>
          <w:lang w:val="en-US"/>
        </w:rPr>
        <w:t>—</w:t>
      </w:r>
      <w:r w:rsidRPr="00FA22DD">
        <w:rPr>
          <w:rFonts w:cs="Arial"/>
          <w:szCs w:val="20"/>
          <w:lang w:val="en-US"/>
        </w:rPr>
        <w:tab/>
        <w:t>assess the Entity’s ability to continue as a going concern, disclosing, as applicable, matters related to going concern and using the going concern basis of accounting unless the directors either intend to liquidate the Entity or to cease operations, or have no realistic alternative but to do so.</w:t>
      </w:r>
    </w:p>
    <w:p w14:paraId="7ADBB36F" w14:textId="77777777" w:rsidR="00FA22DD" w:rsidRPr="00FA22DD" w:rsidRDefault="00FA22DD" w:rsidP="00FA22DD">
      <w:pPr>
        <w:autoSpaceDE w:val="0"/>
        <w:autoSpaceDN w:val="0"/>
        <w:adjustRightInd w:val="0"/>
        <w:jc w:val="both"/>
        <w:rPr>
          <w:rFonts w:cs="Arial"/>
          <w:szCs w:val="20"/>
          <w:lang w:val="en-US"/>
        </w:rPr>
      </w:pPr>
    </w:p>
    <w:p w14:paraId="597F9D03" w14:textId="77777777" w:rsidR="00FA22DD" w:rsidRPr="00FA22DD" w:rsidRDefault="00FA22DD" w:rsidP="00FA22DD">
      <w:pPr>
        <w:autoSpaceDE w:val="0"/>
        <w:autoSpaceDN w:val="0"/>
        <w:adjustRightInd w:val="0"/>
        <w:jc w:val="both"/>
        <w:rPr>
          <w:rFonts w:cs="Arial"/>
          <w:szCs w:val="20"/>
          <w:lang w:val="en-US"/>
        </w:rPr>
      </w:pPr>
      <w:r w:rsidRPr="00FA22DD">
        <w:rPr>
          <w:rFonts w:cs="Arial"/>
          <w:szCs w:val="20"/>
          <w:lang w:val="en-US"/>
        </w:rPr>
        <w:t xml:space="preserve">The directors are responsible for designing, implementing and maintaining such internal controls as they determine is necessary to enable the preparation of the condensed set of consolidated financial statements that is free from material misstatement whether due to fraud or error. </w:t>
      </w:r>
    </w:p>
    <w:p w14:paraId="0FB76751" w14:textId="77777777" w:rsidR="00FA22DD" w:rsidRPr="00FA22DD" w:rsidRDefault="00FA22DD" w:rsidP="00FA22DD">
      <w:pPr>
        <w:autoSpaceDE w:val="0"/>
        <w:autoSpaceDN w:val="0"/>
        <w:adjustRightInd w:val="0"/>
        <w:jc w:val="both"/>
        <w:rPr>
          <w:rFonts w:cs="Arial"/>
          <w:szCs w:val="20"/>
          <w:lang w:val="en-US"/>
        </w:rPr>
      </w:pPr>
    </w:p>
    <w:p w14:paraId="0A033F22" w14:textId="77777777" w:rsidR="00FA22DD" w:rsidRPr="00FA22DD" w:rsidRDefault="00FA22DD" w:rsidP="00FA22DD">
      <w:pPr>
        <w:autoSpaceDE w:val="0"/>
        <w:autoSpaceDN w:val="0"/>
        <w:adjustRightInd w:val="0"/>
        <w:jc w:val="both"/>
        <w:rPr>
          <w:rFonts w:cs="Arial"/>
          <w:szCs w:val="20"/>
          <w:lang w:val="en-US"/>
        </w:rPr>
      </w:pPr>
      <w:r w:rsidRPr="00FA22DD">
        <w:rPr>
          <w:rFonts w:cs="Arial"/>
          <w:szCs w:val="20"/>
          <w:lang w:val="en-US"/>
        </w:rPr>
        <w:t>We confirm that to the best of our knowledge:</w:t>
      </w:r>
    </w:p>
    <w:p w14:paraId="3999B160" w14:textId="77777777" w:rsidR="00FA22DD" w:rsidRPr="00FA22DD" w:rsidRDefault="00FA22DD" w:rsidP="00FA22DD">
      <w:pPr>
        <w:autoSpaceDE w:val="0"/>
        <w:autoSpaceDN w:val="0"/>
        <w:adjustRightInd w:val="0"/>
        <w:jc w:val="both"/>
        <w:rPr>
          <w:rFonts w:cs="Arial"/>
          <w:szCs w:val="20"/>
          <w:lang w:val="en-US"/>
        </w:rPr>
      </w:pPr>
    </w:p>
    <w:p w14:paraId="5836884A" w14:textId="77777777" w:rsidR="00FA22DD" w:rsidRPr="00FA22DD" w:rsidRDefault="00FA22DD" w:rsidP="00E3326C">
      <w:pPr>
        <w:autoSpaceDE w:val="0"/>
        <w:autoSpaceDN w:val="0"/>
        <w:adjustRightInd w:val="0"/>
        <w:ind w:left="357" w:hanging="357"/>
        <w:jc w:val="both"/>
        <w:rPr>
          <w:rFonts w:cs="Arial"/>
          <w:szCs w:val="20"/>
          <w:lang w:val="en-US"/>
        </w:rPr>
      </w:pPr>
      <w:r w:rsidRPr="00FA22DD">
        <w:rPr>
          <w:rFonts w:cs="Arial"/>
          <w:szCs w:val="20"/>
          <w:lang w:val="en-US"/>
        </w:rPr>
        <w:t>(1)</w:t>
      </w:r>
      <w:r w:rsidRPr="00FA22DD">
        <w:rPr>
          <w:rFonts w:cs="Arial"/>
          <w:szCs w:val="20"/>
          <w:lang w:val="en-US"/>
        </w:rPr>
        <w:tab/>
        <w:t>the condensed set of consolidated financial statements included within the half-yearly financial report of Glenveagh Properties plc for the six months ended 30 June 2025 (“the interim financial information”) which comprises condensed consolidated statement of profit or loss and other comprehensive income, the condensed consolidated balance sheet, the condensed consolidated statement of changes in equity, the condensed consolidated statement of cash flows and the related explanatory notes, have been presented and prepared in accordance with IAS 34 Interim Financial Reporting as adopted by the EU, the Transparency Directive and Transparency Rules of the Central Bank of Ireland.</w:t>
      </w:r>
    </w:p>
    <w:p w14:paraId="3F17659C" w14:textId="77777777" w:rsidR="00FA22DD" w:rsidRPr="00FA22DD" w:rsidRDefault="00FA22DD" w:rsidP="00E3326C">
      <w:pPr>
        <w:autoSpaceDE w:val="0"/>
        <w:autoSpaceDN w:val="0"/>
        <w:adjustRightInd w:val="0"/>
        <w:ind w:left="357" w:hanging="357"/>
        <w:jc w:val="both"/>
        <w:rPr>
          <w:rFonts w:cs="Arial"/>
          <w:szCs w:val="20"/>
          <w:lang w:val="en-US"/>
        </w:rPr>
      </w:pPr>
      <w:r w:rsidRPr="00FA22DD">
        <w:rPr>
          <w:rFonts w:cs="Arial"/>
          <w:szCs w:val="20"/>
          <w:lang w:val="en-US"/>
        </w:rPr>
        <w:t>(2)</w:t>
      </w:r>
      <w:r w:rsidRPr="00FA22DD">
        <w:rPr>
          <w:rFonts w:cs="Arial"/>
          <w:szCs w:val="20"/>
          <w:lang w:val="en-US"/>
        </w:rPr>
        <w:tab/>
        <w:t xml:space="preserve">The interim financial information presented, as required by the Transparency Directive, includes: </w:t>
      </w:r>
    </w:p>
    <w:p w14:paraId="7FA1ECA2" w14:textId="77777777" w:rsidR="00FA22DD" w:rsidRPr="00FA22DD" w:rsidRDefault="00FA22DD" w:rsidP="00E3326C">
      <w:pPr>
        <w:autoSpaceDE w:val="0"/>
        <w:autoSpaceDN w:val="0"/>
        <w:adjustRightInd w:val="0"/>
        <w:ind w:left="1434" w:hanging="357"/>
        <w:jc w:val="both"/>
        <w:rPr>
          <w:rFonts w:cs="Arial"/>
          <w:szCs w:val="20"/>
          <w:lang w:val="en-US"/>
        </w:rPr>
      </w:pPr>
      <w:r w:rsidRPr="00FA22DD">
        <w:rPr>
          <w:rFonts w:cs="Arial"/>
          <w:szCs w:val="20"/>
          <w:lang w:val="en-US"/>
        </w:rPr>
        <w:t>a.</w:t>
      </w:r>
      <w:r w:rsidRPr="00FA22DD">
        <w:rPr>
          <w:rFonts w:cs="Arial"/>
          <w:szCs w:val="20"/>
          <w:lang w:val="en-US"/>
        </w:rPr>
        <w:tab/>
        <w:t xml:space="preserve">an indication of important events that have occurred during the first 6 months of the financial year, and their impact on the condensed set of consolidated financial </w:t>
      </w:r>
      <w:proofErr w:type="gramStart"/>
      <w:r w:rsidRPr="00FA22DD">
        <w:rPr>
          <w:rFonts w:cs="Arial"/>
          <w:szCs w:val="20"/>
          <w:lang w:val="en-US"/>
        </w:rPr>
        <w:t>statements;</w:t>
      </w:r>
      <w:proofErr w:type="gramEnd"/>
    </w:p>
    <w:p w14:paraId="01FFF053" w14:textId="77777777" w:rsidR="00FA22DD" w:rsidRPr="00FA22DD" w:rsidRDefault="00FA22DD" w:rsidP="00E3326C">
      <w:pPr>
        <w:autoSpaceDE w:val="0"/>
        <w:autoSpaceDN w:val="0"/>
        <w:adjustRightInd w:val="0"/>
        <w:ind w:left="1434" w:hanging="357"/>
        <w:jc w:val="both"/>
        <w:rPr>
          <w:rFonts w:cs="Arial"/>
          <w:szCs w:val="20"/>
          <w:lang w:val="en-US"/>
        </w:rPr>
      </w:pPr>
      <w:r w:rsidRPr="00FA22DD">
        <w:rPr>
          <w:rFonts w:cs="Arial"/>
          <w:szCs w:val="20"/>
          <w:lang w:val="en-US"/>
        </w:rPr>
        <w:t>b.</w:t>
      </w:r>
      <w:r w:rsidRPr="00FA22DD">
        <w:rPr>
          <w:rFonts w:cs="Arial"/>
          <w:szCs w:val="20"/>
          <w:lang w:val="en-US"/>
        </w:rPr>
        <w:tab/>
        <w:t>a description of the principal risks and uncertainties for the remaining 6 months of the financial year</w:t>
      </w:r>
    </w:p>
    <w:p w14:paraId="52B3622A" w14:textId="77777777" w:rsidR="00FA22DD" w:rsidRPr="00FA22DD" w:rsidRDefault="00FA22DD" w:rsidP="00E3326C">
      <w:pPr>
        <w:autoSpaceDE w:val="0"/>
        <w:autoSpaceDN w:val="0"/>
        <w:adjustRightInd w:val="0"/>
        <w:ind w:left="1434" w:hanging="357"/>
        <w:jc w:val="both"/>
        <w:rPr>
          <w:rFonts w:cs="Arial"/>
          <w:szCs w:val="20"/>
          <w:lang w:val="en-US"/>
        </w:rPr>
      </w:pPr>
      <w:r w:rsidRPr="00FA22DD">
        <w:rPr>
          <w:rFonts w:cs="Arial"/>
          <w:szCs w:val="20"/>
          <w:lang w:val="en-US"/>
        </w:rPr>
        <w:t>c.</w:t>
      </w:r>
      <w:r w:rsidRPr="00FA22DD">
        <w:rPr>
          <w:rFonts w:cs="Arial"/>
          <w:szCs w:val="20"/>
          <w:lang w:val="en-US"/>
        </w:rPr>
        <w:tab/>
        <w:t>related parties’ transactions that have taken place in the first 6 months of the current financial year and that have materially affected the financial position or the performance of the enterprise during that period; and</w:t>
      </w:r>
    </w:p>
    <w:p w14:paraId="46C9C013" w14:textId="77777777" w:rsidR="00FA22DD" w:rsidRDefault="00FA22DD" w:rsidP="00E3326C">
      <w:pPr>
        <w:autoSpaceDE w:val="0"/>
        <w:autoSpaceDN w:val="0"/>
        <w:adjustRightInd w:val="0"/>
        <w:ind w:left="1434" w:hanging="357"/>
        <w:jc w:val="both"/>
        <w:rPr>
          <w:rFonts w:cs="Arial"/>
          <w:szCs w:val="20"/>
          <w:lang w:val="en-US"/>
        </w:rPr>
      </w:pPr>
      <w:r w:rsidRPr="00FA22DD">
        <w:rPr>
          <w:rFonts w:cs="Arial"/>
          <w:szCs w:val="20"/>
          <w:lang w:val="en-US"/>
        </w:rPr>
        <w:t>d.</w:t>
      </w:r>
      <w:r w:rsidRPr="00FA22DD">
        <w:rPr>
          <w:rFonts w:cs="Arial"/>
          <w:szCs w:val="20"/>
          <w:lang w:val="en-US"/>
        </w:rPr>
        <w:tab/>
        <w:t>any changes in the related parties’ transactions described in the last annual report that could have a material effect on the financial position or performance of the enterprise in the first 6 months of the current financial year.</w:t>
      </w:r>
    </w:p>
    <w:p w14:paraId="4FC22DD2" w14:textId="77777777" w:rsidR="00E3326C" w:rsidRPr="00FA22DD" w:rsidRDefault="00E3326C" w:rsidP="00E3326C">
      <w:pPr>
        <w:autoSpaceDE w:val="0"/>
        <w:autoSpaceDN w:val="0"/>
        <w:adjustRightInd w:val="0"/>
        <w:ind w:left="357" w:hanging="357"/>
        <w:jc w:val="both"/>
        <w:rPr>
          <w:rFonts w:cs="Arial"/>
          <w:szCs w:val="20"/>
          <w:lang w:val="en-US"/>
        </w:rPr>
      </w:pPr>
    </w:p>
    <w:p w14:paraId="33992FA0" w14:textId="44DA6913" w:rsidR="00FA22DD" w:rsidRDefault="00FA22DD" w:rsidP="00E3326C">
      <w:pPr>
        <w:autoSpaceDE w:val="0"/>
        <w:autoSpaceDN w:val="0"/>
        <w:adjustRightInd w:val="0"/>
        <w:jc w:val="both"/>
        <w:rPr>
          <w:rFonts w:cs="Arial"/>
          <w:szCs w:val="20"/>
          <w:lang w:val="en-US"/>
        </w:rPr>
      </w:pPr>
      <w:r w:rsidRPr="00FA22DD">
        <w:rPr>
          <w:rFonts w:cs="Arial"/>
          <w:szCs w:val="20"/>
          <w:lang w:val="en-US"/>
        </w:rPr>
        <w:t>The directors are responsible for the maintenance and integrity of the corporate and financial information included on the Entity’s website. Legislation in the Republic of Ireland governing the preparation and dissemination of financial statements may differ from legislation in other jurisdictions.</w:t>
      </w:r>
    </w:p>
    <w:p w14:paraId="1961F47A" w14:textId="77777777" w:rsidR="00FA22DD" w:rsidRDefault="00FA22DD" w:rsidP="00EC1E37">
      <w:pPr>
        <w:autoSpaceDE w:val="0"/>
        <w:autoSpaceDN w:val="0"/>
        <w:adjustRightInd w:val="0"/>
        <w:jc w:val="both"/>
        <w:rPr>
          <w:rFonts w:cs="Arial"/>
          <w:szCs w:val="20"/>
          <w:lang w:val="en-US"/>
        </w:rPr>
      </w:pPr>
    </w:p>
    <w:p w14:paraId="5AB25BA8" w14:textId="77777777" w:rsidR="00FA22DD" w:rsidRDefault="00FA22DD" w:rsidP="00EC1E37">
      <w:pPr>
        <w:autoSpaceDE w:val="0"/>
        <w:autoSpaceDN w:val="0"/>
        <w:adjustRightInd w:val="0"/>
        <w:jc w:val="both"/>
        <w:rPr>
          <w:rFonts w:cs="Arial"/>
          <w:szCs w:val="20"/>
          <w:lang w:val="en-US"/>
        </w:rPr>
      </w:pPr>
    </w:p>
    <w:p w14:paraId="0A270433" w14:textId="77777777" w:rsidR="009A7834" w:rsidRPr="009A7834" w:rsidRDefault="009A7834" w:rsidP="005C02FC">
      <w:pPr>
        <w:autoSpaceDE w:val="0"/>
        <w:autoSpaceDN w:val="0"/>
        <w:adjustRightInd w:val="0"/>
        <w:jc w:val="both"/>
        <w:rPr>
          <w:rFonts w:cs="Arial"/>
          <w:szCs w:val="20"/>
        </w:rPr>
      </w:pPr>
    </w:p>
    <w:p w14:paraId="15D8C3EA" w14:textId="5C6CEC92" w:rsidR="009A7834" w:rsidRPr="009A7834" w:rsidRDefault="009A7834" w:rsidP="005C02FC">
      <w:pPr>
        <w:jc w:val="both"/>
        <w:rPr>
          <w:rFonts w:cs="Arial"/>
          <w:szCs w:val="20"/>
          <w:lang w:eastAsia="en-IE"/>
        </w:rPr>
      </w:pPr>
      <w:r w:rsidRPr="009A7834">
        <w:rPr>
          <w:rFonts w:cs="Arial"/>
          <w:szCs w:val="20"/>
          <w:lang w:eastAsia="en-IE"/>
        </w:rPr>
        <w:t xml:space="preserve">On behalf of the </w:t>
      </w:r>
      <w:r w:rsidR="00594847">
        <w:rPr>
          <w:rFonts w:cs="Arial"/>
          <w:szCs w:val="20"/>
          <w:lang w:eastAsia="en-IE"/>
        </w:rPr>
        <w:t>B</w:t>
      </w:r>
      <w:r w:rsidRPr="009A7834">
        <w:rPr>
          <w:rFonts w:cs="Arial"/>
          <w:szCs w:val="20"/>
          <w:lang w:eastAsia="en-IE"/>
        </w:rPr>
        <w:t>oard</w:t>
      </w:r>
    </w:p>
    <w:p w14:paraId="37E0A201" w14:textId="77777777" w:rsidR="009A7834" w:rsidRPr="009A7834" w:rsidRDefault="009A7834" w:rsidP="005C02FC">
      <w:pPr>
        <w:jc w:val="both"/>
        <w:rPr>
          <w:rFonts w:cs="Arial"/>
          <w:szCs w:val="20"/>
          <w:lang w:eastAsia="en-IE"/>
        </w:rPr>
      </w:pPr>
    </w:p>
    <w:p w14:paraId="3FB3CA78" w14:textId="77777777" w:rsidR="009A7834" w:rsidRPr="009A7834" w:rsidRDefault="009A7834" w:rsidP="005C02FC">
      <w:pPr>
        <w:jc w:val="both"/>
        <w:rPr>
          <w:rFonts w:cs="Arial"/>
          <w:szCs w:val="20"/>
          <w:lang w:eastAsia="en-IE"/>
        </w:rPr>
      </w:pPr>
    </w:p>
    <w:p w14:paraId="6F6B29B8" w14:textId="77777777" w:rsidR="009A7834" w:rsidRPr="009A7834" w:rsidRDefault="009A7834" w:rsidP="005C02FC">
      <w:pPr>
        <w:jc w:val="both"/>
        <w:rPr>
          <w:rFonts w:cs="Arial"/>
          <w:szCs w:val="20"/>
          <w:lang w:eastAsia="en-IE"/>
        </w:rPr>
      </w:pPr>
    </w:p>
    <w:p w14:paraId="7D2C66A9" w14:textId="77777777" w:rsidR="0007064B" w:rsidRDefault="0007064B" w:rsidP="005C02FC">
      <w:pPr>
        <w:jc w:val="both"/>
        <w:rPr>
          <w:rFonts w:cs="Arial"/>
          <w:szCs w:val="20"/>
          <w:lang w:eastAsia="en-IE"/>
        </w:rPr>
      </w:pPr>
    </w:p>
    <w:p w14:paraId="2B6B541D" w14:textId="77777777" w:rsidR="0007064B" w:rsidRPr="004F0D79" w:rsidRDefault="0007064B" w:rsidP="005C02FC">
      <w:pPr>
        <w:jc w:val="both"/>
        <w:rPr>
          <w:rFonts w:cs="Arial"/>
          <w:szCs w:val="20"/>
          <w:lang w:eastAsia="en-IE"/>
        </w:rPr>
      </w:pPr>
    </w:p>
    <w:p w14:paraId="4F86939B" w14:textId="5BA39B1F" w:rsidR="0007064B" w:rsidRPr="004F0D79" w:rsidRDefault="006B3C98" w:rsidP="06BCB59D">
      <w:pPr>
        <w:jc w:val="both"/>
        <w:rPr>
          <w:rFonts w:cs="Arial"/>
          <w:lang w:eastAsia="en-IE"/>
        </w:rPr>
      </w:pPr>
      <w:r w:rsidRPr="7821F417">
        <w:rPr>
          <w:rFonts w:cs="Arial"/>
          <w:lang w:eastAsia="en-IE"/>
        </w:rPr>
        <w:t>Stephen Garvey</w:t>
      </w:r>
      <w:r>
        <w:tab/>
      </w:r>
      <w:r>
        <w:tab/>
      </w:r>
      <w:r>
        <w:tab/>
      </w:r>
      <w:r>
        <w:tab/>
      </w:r>
      <w:r>
        <w:tab/>
      </w:r>
      <w:r w:rsidR="005072E7">
        <w:rPr>
          <w:rFonts w:cs="Arial"/>
          <w:lang w:eastAsia="en-IE"/>
        </w:rPr>
        <w:t>Conor Murtagh</w:t>
      </w:r>
      <w:r w:rsidR="005C02FC" w:rsidRPr="7821F417">
        <w:rPr>
          <w:rFonts w:cs="Arial"/>
          <w:lang w:eastAsia="en-IE"/>
        </w:rPr>
        <w:t xml:space="preserve"> </w:t>
      </w:r>
      <w:r>
        <w:tab/>
      </w:r>
      <w:r>
        <w:tab/>
      </w:r>
      <w:r w:rsidR="00002211">
        <w:rPr>
          <w:rFonts w:cs="Arial"/>
          <w:lang w:eastAsia="en-IE"/>
        </w:rPr>
        <w:t>24</w:t>
      </w:r>
      <w:r w:rsidR="00DF40D7" w:rsidRPr="7821F417">
        <w:rPr>
          <w:rFonts w:cs="Arial"/>
          <w:lang w:eastAsia="en-IE"/>
        </w:rPr>
        <w:t xml:space="preserve"> </w:t>
      </w:r>
      <w:r w:rsidR="007C77F6">
        <w:rPr>
          <w:rFonts w:cs="Arial"/>
          <w:lang w:eastAsia="en-IE"/>
        </w:rPr>
        <w:t>September</w:t>
      </w:r>
      <w:r w:rsidR="0072532D" w:rsidRPr="7821F417">
        <w:rPr>
          <w:rFonts w:cs="Arial"/>
          <w:lang w:eastAsia="en-IE"/>
        </w:rPr>
        <w:t xml:space="preserve"> 202</w:t>
      </w:r>
      <w:r w:rsidR="001818F1">
        <w:rPr>
          <w:rFonts w:cs="Arial"/>
          <w:lang w:eastAsia="en-IE"/>
        </w:rPr>
        <w:t>5</w:t>
      </w:r>
    </w:p>
    <w:p w14:paraId="430FF741" w14:textId="6166E125" w:rsidR="00207BDA" w:rsidRDefault="0007064B" w:rsidP="007A4D85">
      <w:pPr>
        <w:pStyle w:val="Sub-header"/>
        <w:tabs>
          <w:tab w:val="left" w:pos="4320"/>
        </w:tabs>
        <w:jc w:val="both"/>
        <w:rPr>
          <w:lang w:val="en-US"/>
        </w:rPr>
      </w:pPr>
      <w:r w:rsidRPr="004F0D79">
        <w:rPr>
          <w:rFonts w:cs="Arial"/>
          <w:szCs w:val="20"/>
          <w:lang w:eastAsia="en-IE"/>
        </w:rPr>
        <w:t>Director</w:t>
      </w:r>
      <w:r w:rsidRPr="004F0D79">
        <w:rPr>
          <w:rFonts w:cs="Arial"/>
          <w:szCs w:val="20"/>
          <w:lang w:eastAsia="en-IE"/>
        </w:rPr>
        <w:tab/>
      </w:r>
      <w:r w:rsidRPr="004F0D79">
        <w:rPr>
          <w:rFonts w:cs="Arial"/>
          <w:szCs w:val="20"/>
          <w:lang w:eastAsia="en-IE"/>
        </w:rPr>
        <w:tab/>
        <w:t>Director</w:t>
      </w:r>
    </w:p>
    <w:bookmarkEnd w:id="0"/>
    <w:bookmarkEnd w:id="1"/>
    <w:bookmarkEnd w:id="2"/>
    <w:p w14:paraId="0EECAEA4" w14:textId="77777777" w:rsidR="000530CC" w:rsidRDefault="000530CC" w:rsidP="00704079">
      <w:pPr>
        <w:jc w:val="both"/>
        <w:rPr>
          <w:rFonts w:cs="Arial"/>
          <w:b/>
          <w:szCs w:val="20"/>
        </w:rPr>
      </w:pPr>
    </w:p>
    <w:p w14:paraId="4A1AAEBC" w14:textId="77777777" w:rsidR="0007064B" w:rsidRDefault="0007064B" w:rsidP="00704079">
      <w:pPr>
        <w:jc w:val="both"/>
        <w:rPr>
          <w:rFonts w:cs="Arial"/>
          <w:szCs w:val="20"/>
        </w:rPr>
      </w:pPr>
    </w:p>
    <w:p w14:paraId="08C54EE4" w14:textId="77777777" w:rsidR="005A08C8" w:rsidRDefault="005A08C8" w:rsidP="00704079">
      <w:pPr>
        <w:jc w:val="both"/>
        <w:rPr>
          <w:rFonts w:cs="Arial"/>
          <w:szCs w:val="20"/>
        </w:rPr>
      </w:pPr>
    </w:p>
    <w:p w14:paraId="3E620D6C" w14:textId="77777777" w:rsidR="002300FC" w:rsidRPr="00906EC6" w:rsidRDefault="002300FC" w:rsidP="002300FC">
      <w:pPr>
        <w:rPr>
          <w:rFonts w:cs="Arial"/>
          <w:b/>
          <w:bCs/>
          <w:sz w:val="22"/>
        </w:rPr>
      </w:pPr>
      <w:r w:rsidRPr="00906EC6">
        <w:rPr>
          <w:rFonts w:cs="Arial"/>
          <w:b/>
          <w:bCs/>
          <w:sz w:val="22"/>
        </w:rPr>
        <w:lastRenderedPageBreak/>
        <w:t xml:space="preserve">Independent Review Report to </w:t>
      </w:r>
      <w:r>
        <w:rPr>
          <w:rFonts w:cs="Arial"/>
          <w:b/>
          <w:bCs/>
          <w:sz w:val="22"/>
        </w:rPr>
        <w:t xml:space="preserve">Glenveagh Properties plc </w:t>
      </w:r>
      <w:r w:rsidRPr="00906EC6">
        <w:rPr>
          <w:rFonts w:cs="Arial"/>
          <w:b/>
          <w:bCs/>
          <w:sz w:val="22"/>
        </w:rPr>
        <w:t>(“the Entity”)</w:t>
      </w:r>
    </w:p>
    <w:p w14:paraId="52A9B7E2" w14:textId="77777777" w:rsidR="002300FC" w:rsidRPr="009A7834" w:rsidRDefault="002300FC" w:rsidP="002300FC">
      <w:pPr>
        <w:jc w:val="both"/>
        <w:rPr>
          <w:rFonts w:cs="Arial"/>
          <w:szCs w:val="20"/>
        </w:rPr>
      </w:pPr>
    </w:p>
    <w:p w14:paraId="7C5D2177" w14:textId="472051F1" w:rsidR="00E5604E" w:rsidRDefault="002300FC" w:rsidP="00E5604E">
      <w:pPr>
        <w:jc w:val="both"/>
        <w:rPr>
          <w:rFonts w:cs="Arial"/>
          <w:b/>
          <w:bCs/>
          <w:szCs w:val="20"/>
        </w:rPr>
      </w:pPr>
      <w:r w:rsidRPr="00050607">
        <w:rPr>
          <w:rFonts w:cs="Arial"/>
          <w:b/>
          <w:bCs/>
          <w:szCs w:val="20"/>
        </w:rPr>
        <w:t>Conclusion</w:t>
      </w:r>
    </w:p>
    <w:p w14:paraId="64B07701" w14:textId="77777777" w:rsidR="00E5604E" w:rsidRPr="00E5604E" w:rsidRDefault="00E5604E" w:rsidP="00E5604E">
      <w:pPr>
        <w:jc w:val="both"/>
        <w:rPr>
          <w:rFonts w:cs="Arial"/>
          <w:b/>
          <w:bCs/>
          <w:szCs w:val="20"/>
        </w:rPr>
      </w:pPr>
    </w:p>
    <w:p w14:paraId="1BD9CA58" w14:textId="77777777" w:rsidR="00E5604E" w:rsidRPr="00E5604E" w:rsidRDefault="00E5604E" w:rsidP="00E5604E">
      <w:pPr>
        <w:jc w:val="both"/>
        <w:rPr>
          <w:rFonts w:cs="Arial"/>
          <w:szCs w:val="20"/>
        </w:rPr>
      </w:pPr>
      <w:r w:rsidRPr="00E5604E">
        <w:rPr>
          <w:rFonts w:cs="Arial"/>
          <w:szCs w:val="20"/>
        </w:rPr>
        <w:t xml:space="preserve">We have been engaged by the Entity to review the Entity’s condensed set of consolidated financial statements in the half-yearly financial report for the six months ended 30 June 2025 which comprises Condensed Consolidated Interim Statement of Financial Position, Condensed Consolidated Interim Statement of Profit or Loss and Other Comprehensive Income, Condensed Consolidated Interim Statement of Changes in Equity, Condensed Consolidated Interim Statement of Cash Flows, a summary of significant accounting policies and other  explanatory notes. </w:t>
      </w:r>
    </w:p>
    <w:p w14:paraId="0D344C0B" w14:textId="77777777" w:rsidR="00E5604E" w:rsidRPr="00E5604E" w:rsidRDefault="00E5604E" w:rsidP="00E5604E">
      <w:pPr>
        <w:jc w:val="both"/>
        <w:rPr>
          <w:rFonts w:cs="Arial"/>
          <w:szCs w:val="20"/>
        </w:rPr>
      </w:pPr>
    </w:p>
    <w:p w14:paraId="2A55ECB5" w14:textId="77777777" w:rsidR="00E5604E" w:rsidRPr="00E5604E" w:rsidRDefault="00E5604E" w:rsidP="00E5604E">
      <w:pPr>
        <w:jc w:val="both"/>
        <w:rPr>
          <w:rFonts w:cs="Arial"/>
          <w:szCs w:val="20"/>
        </w:rPr>
      </w:pPr>
      <w:r w:rsidRPr="00E5604E">
        <w:rPr>
          <w:rFonts w:cs="Arial"/>
          <w:szCs w:val="20"/>
        </w:rPr>
        <w:t>Based on our review, nothing has come to our attention that causes us to believe that the condensed set of consolidated financial statements in the half-yearly financial report for the six months ended 30 June 2025 is not prepared, in all material respects in accordance with International Accounting Standard 34 Interim Financial Reporting (“IAS 34”) as adopted by the EU and the Transparency (Directive 2004/109/EC) Regulations 2007 (“Transparency Directive”), and the Central Bank (Investment Market Conduct) Rules 2019 (“Transparency Rules of the Central Bank of Ireland).</w:t>
      </w:r>
    </w:p>
    <w:p w14:paraId="3D66A3C3" w14:textId="77777777" w:rsidR="00E5604E" w:rsidRPr="00E5604E" w:rsidRDefault="00E5604E" w:rsidP="00E5604E">
      <w:pPr>
        <w:jc w:val="both"/>
        <w:rPr>
          <w:rFonts w:cs="Arial"/>
          <w:szCs w:val="20"/>
        </w:rPr>
      </w:pPr>
    </w:p>
    <w:p w14:paraId="25A538AC" w14:textId="77777777" w:rsidR="00E5604E" w:rsidRPr="00E5604E" w:rsidRDefault="00E5604E" w:rsidP="00E5604E">
      <w:pPr>
        <w:jc w:val="both"/>
        <w:rPr>
          <w:rFonts w:cs="Arial"/>
          <w:szCs w:val="20"/>
        </w:rPr>
      </w:pPr>
    </w:p>
    <w:p w14:paraId="4E7BE73D" w14:textId="77777777" w:rsidR="00E5604E" w:rsidRPr="00E5604E" w:rsidRDefault="00E5604E" w:rsidP="00E5604E">
      <w:pPr>
        <w:jc w:val="both"/>
        <w:rPr>
          <w:rFonts w:cs="Arial"/>
          <w:b/>
          <w:bCs/>
          <w:szCs w:val="20"/>
        </w:rPr>
      </w:pPr>
      <w:r w:rsidRPr="00E5604E">
        <w:rPr>
          <w:rFonts w:cs="Arial"/>
          <w:b/>
          <w:bCs/>
          <w:szCs w:val="20"/>
        </w:rPr>
        <w:t>Basis for conclusion</w:t>
      </w:r>
    </w:p>
    <w:p w14:paraId="0262F751" w14:textId="77777777" w:rsidR="00E5604E" w:rsidRPr="00E5604E" w:rsidRDefault="00E5604E" w:rsidP="00E5604E">
      <w:pPr>
        <w:jc w:val="both"/>
        <w:rPr>
          <w:rFonts w:cs="Arial"/>
          <w:szCs w:val="20"/>
        </w:rPr>
      </w:pPr>
    </w:p>
    <w:p w14:paraId="29B67DF9" w14:textId="77777777" w:rsidR="00E5604E" w:rsidRPr="00E5604E" w:rsidRDefault="00E5604E" w:rsidP="00E5604E">
      <w:pPr>
        <w:jc w:val="both"/>
        <w:rPr>
          <w:rFonts w:cs="Arial"/>
          <w:szCs w:val="20"/>
        </w:rPr>
      </w:pPr>
      <w:r w:rsidRPr="00E5604E">
        <w:rPr>
          <w:rFonts w:cs="Arial"/>
          <w:szCs w:val="20"/>
        </w:rPr>
        <w:t xml:space="preserve">We conducted our review in accordance with International Standard on Review Engagements (Ireland) 2410 Review of Interim Financial Information Performed by the Independent Auditor of the Entity (“ISRE (Ireland) 2410”) issued for use in Ireland. A review of interim financial information consists of making enquiries, primarily of persons responsible for financial and accounting matters, and applying analytical and other review procedures. </w:t>
      </w:r>
    </w:p>
    <w:p w14:paraId="590B7EFE" w14:textId="77777777" w:rsidR="00E5604E" w:rsidRPr="00E5604E" w:rsidRDefault="00E5604E" w:rsidP="00E5604E">
      <w:pPr>
        <w:jc w:val="both"/>
        <w:rPr>
          <w:rFonts w:cs="Arial"/>
          <w:szCs w:val="20"/>
        </w:rPr>
      </w:pPr>
    </w:p>
    <w:p w14:paraId="2913B655" w14:textId="77777777" w:rsidR="00E5604E" w:rsidRPr="00E5604E" w:rsidRDefault="00E5604E" w:rsidP="00E5604E">
      <w:pPr>
        <w:jc w:val="both"/>
        <w:rPr>
          <w:rFonts w:cs="Arial"/>
          <w:szCs w:val="20"/>
        </w:rPr>
      </w:pPr>
      <w:r w:rsidRPr="00E5604E">
        <w:rPr>
          <w:rFonts w:cs="Arial"/>
          <w:szCs w:val="20"/>
        </w:rPr>
        <w:t>A review is substantially less in scope than an audit conducted in accordance with International Standards on Auditing (Ireland) and consequently does not enable us to obtain assurance that we would become aware of all significant matters that might be identified in an audit. Accordingly, we do not express an audit opinion.</w:t>
      </w:r>
    </w:p>
    <w:p w14:paraId="7446AF78" w14:textId="77777777" w:rsidR="00E5604E" w:rsidRPr="00E5604E" w:rsidRDefault="00E5604E" w:rsidP="00E5604E">
      <w:pPr>
        <w:jc w:val="both"/>
        <w:rPr>
          <w:rFonts w:cs="Arial"/>
          <w:szCs w:val="20"/>
        </w:rPr>
      </w:pPr>
    </w:p>
    <w:p w14:paraId="56C69191" w14:textId="77777777" w:rsidR="00E5604E" w:rsidRPr="00E5604E" w:rsidRDefault="00E5604E" w:rsidP="00E5604E">
      <w:pPr>
        <w:jc w:val="both"/>
        <w:rPr>
          <w:rFonts w:cs="Arial"/>
          <w:b/>
          <w:bCs/>
          <w:szCs w:val="20"/>
        </w:rPr>
      </w:pPr>
      <w:r w:rsidRPr="00E5604E">
        <w:rPr>
          <w:rFonts w:cs="Arial"/>
          <w:b/>
          <w:bCs/>
          <w:szCs w:val="20"/>
        </w:rPr>
        <w:t>Conclusions relating to going concern</w:t>
      </w:r>
    </w:p>
    <w:p w14:paraId="1ACB5500" w14:textId="77777777" w:rsidR="00E5604E" w:rsidRPr="00E5604E" w:rsidRDefault="00E5604E" w:rsidP="00E5604E">
      <w:pPr>
        <w:jc w:val="both"/>
        <w:rPr>
          <w:rFonts w:cs="Arial"/>
          <w:szCs w:val="20"/>
        </w:rPr>
      </w:pPr>
    </w:p>
    <w:p w14:paraId="05889501" w14:textId="77777777" w:rsidR="00E5604E" w:rsidRPr="00E5604E" w:rsidRDefault="00E5604E" w:rsidP="00E5604E">
      <w:pPr>
        <w:jc w:val="both"/>
        <w:rPr>
          <w:rFonts w:cs="Arial"/>
          <w:szCs w:val="20"/>
        </w:rPr>
      </w:pPr>
      <w:r w:rsidRPr="00E5604E">
        <w:rPr>
          <w:rFonts w:cs="Arial"/>
          <w:szCs w:val="20"/>
        </w:rPr>
        <w:t>Based on our review procedures, which are less extensive than those performed in an audit as described in the Basis for conclusion section of this report, nothing has come to our attention that causes us to believe that the directors have inappropriately adopted the going concern basis of accounting, or that the directors have identified material uncertainties relating to going concern that have not been appropriately disclosed.</w:t>
      </w:r>
    </w:p>
    <w:p w14:paraId="63C8FD16" w14:textId="77777777" w:rsidR="00E5604E" w:rsidRPr="00E5604E" w:rsidRDefault="00E5604E" w:rsidP="00E5604E">
      <w:pPr>
        <w:jc w:val="both"/>
        <w:rPr>
          <w:rFonts w:cs="Arial"/>
          <w:szCs w:val="20"/>
        </w:rPr>
      </w:pPr>
    </w:p>
    <w:p w14:paraId="30A217E6" w14:textId="77777777" w:rsidR="00E5604E" w:rsidRPr="00E5604E" w:rsidRDefault="00E5604E" w:rsidP="00E5604E">
      <w:pPr>
        <w:jc w:val="both"/>
        <w:rPr>
          <w:rFonts w:cs="Arial"/>
          <w:szCs w:val="20"/>
        </w:rPr>
      </w:pPr>
      <w:r w:rsidRPr="00E5604E">
        <w:rPr>
          <w:rFonts w:cs="Arial"/>
          <w:szCs w:val="20"/>
        </w:rPr>
        <w:t>This conclusion is based on the review procedures performed in accordance with ISRE (Ireland) 2410. However, future events or conditions may cause the Entity to cease to continue as a going concern, and the above conclusions are not a guarantee that the Entity will continue in operation.</w:t>
      </w:r>
    </w:p>
    <w:p w14:paraId="557BA367" w14:textId="77777777" w:rsidR="00E5604E" w:rsidRPr="00E5604E" w:rsidRDefault="00E5604E" w:rsidP="00E5604E">
      <w:pPr>
        <w:jc w:val="both"/>
        <w:rPr>
          <w:rFonts w:cs="Arial"/>
          <w:szCs w:val="20"/>
        </w:rPr>
      </w:pPr>
    </w:p>
    <w:p w14:paraId="03387FE3" w14:textId="77777777" w:rsidR="00E5604E" w:rsidRPr="00E5604E" w:rsidRDefault="00E5604E" w:rsidP="00E5604E">
      <w:pPr>
        <w:jc w:val="both"/>
        <w:rPr>
          <w:rFonts w:cs="Arial"/>
          <w:b/>
          <w:bCs/>
          <w:szCs w:val="20"/>
        </w:rPr>
      </w:pPr>
      <w:r w:rsidRPr="00E5604E">
        <w:rPr>
          <w:rFonts w:cs="Arial"/>
          <w:b/>
          <w:bCs/>
          <w:szCs w:val="20"/>
        </w:rPr>
        <w:t xml:space="preserve">Directors’ responsibilities </w:t>
      </w:r>
    </w:p>
    <w:p w14:paraId="298ED64C" w14:textId="77777777" w:rsidR="00E5604E" w:rsidRPr="00E5604E" w:rsidRDefault="00E5604E" w:rsidP="00E5604E">
      <w:pPr>
        <w:jc w:val="both"/>
        <w:rPr>
          <w:rFonts w:cs="Arial"/>
          <w:szCs w:val="20"/>
        </w:rPr>
      </w:pPr>
    </w:p>
    <w:p w14:paraId="67BFE93E" w14:textId="77777777" w:rsidR="00E5604E" w:rsidRPr="00E5604E" w:rsidRDefault="00E5604E" w:rsidP="00E5604E">
      <w:pPr>
        <w:jc w:val="both"/>
        <w:rPr>
          <w:rFonts w:cs="Arial"/>
          <w:szCs w:val="20"/>
        </w:rPr>
      </w:pPr>
      <w:r w:rsidRPr="00E5604E">
        <w:rPr>
          <w:rFonts w:cs="Arial"/>
          <w:szCs w:val="20"/>
        </w:rPr>
        <w:t xml:space="preserve">The half-yearly financial report is the responsibility of, and has been approved by, the directors. The directors are responsible for preparing the half-yearly financial report in accordance with the Transparency Directive and the Transparency Rules of the Central Bank of Ireland. </w:t>
      </w:r>
    </w:p>
    <w:p w14:paraId="4863D2E1" w14:textId="77777777" w:rsidR="00E5604E" w:rsidRPr="00E5604E" w:rsidRDefault="00E5604E" w:rsidP="00E5604E">
      <w:pPr>
        <w:jc w:val="both"/>
        <w:rPr>
          <w:rFonts w:cs="Arial"/>
          <w:szCs w:val="20"/>
        </w:rPr>
      </w:pPr>
    </w:p>
    <w:p w14:paraId="389DD609" w14:textId="77777777" w:rsidR="00E5604E" w:rsidRPr="00E5604E" w:rsidRDefault="00E5604E" w:rsidP="00E5604E">
      <w:pPr>
        <w:jc w:val="both"/>
        <w:rPr>
          <w:rFonts w:cs="Arial"/>
          <w:szCs w:val="20"/>
        </w:rPr>
      </w:pPr>
      <w:r w:rsidRPr="00E5604E">
        <w:rPr>
          <w:rFonts w:cs="Arial"/>
          <w:szCs w:val="20"/>
        </w:rPr>
        <w:t xml:space="preserve">The directors are responsible for preparing the condensed set of consolidated financial statements included in the half-yearly financial report in accordance with IAS 34 as adopted by the EU.  </w:t>
      </w:r>
    </w:p>
    <w:p w14:paraId="1A28D803" w14:textId="77777777" w:rsidR="00E5604E" w:rsidRPr="00E5604E" w:rsidRDefault="00E5604E" w:rsidP="00E5604E">
      <w:pPr>
        <w:jc w:val="both"/>
        <w:rPr>
          <w:rFonts w:cs="Arial"/>
          <w:szCs w:val="20"/>
        </w:rPr>
      </w:pPr>
    </w:p>
    <w:p w14:paraId="2BF39C2B" w14:textId="77777777" w:rsidR="00E5604E" w:rsidRPr="00E5604E" w:rsidRDefault="00E5604E" w:rsidP="00E5604E">
      <w:pPr>
        <w:jc w:val="both"/>
        <w:rPr>
          <w:rFonts w:cs="Arial"/>
          <w:szCs w:val="20"/>
        </w:rPr>
      </w:pPr>
      <w:r w:rsidRPr="00E5604E">
        <w:rPr>
          <w:rFonts w:cs="Arial"/>
          <w:szCs w:val="20"/>
        </w:rPr>
        <w:t xml:space="preserve">As disclosed in note 2, the annual financial statements of the Entity for the year ended 31 December 2024 are prepared in accordance with International Financial Reporting Standards as adopted by the EU.  </w:t>
      </w:r>
    </w:p>
    <w:p w14:paraId="3BBAF67D" w14:textId="77777777" w:rsidR="00E5604E" w:rsidRPr="00E5604E" w:rsidRDefault="00E5604E" w:rsidP="00E5604E">
      <w:pPr>
        <w:jc w:val="both"/>
        <w:rPr>
          <w:rFonts w:cs="Arial"/>
          <w:szCs w:val="20"/>
        </w:rPr>
      </w:pPr>
    </w:p>
    <w:p w14:paraId="0E8EDD39" w14:textId="77777777" w:rsidR="00E5604E" w:rsidRDefault="00E5604E" w:rsidP="00E5604E">
      <w:pPr>
        <w:jc w:val="both"/>
        <w:rPr>
          <w:rFonts w:cs="Arial"/>
          <w:szCs w:val="20"/>
        </w:rPr>
      </w:pPr>
      <w:r w:rsidRPr="00E5604E">
        <w:rPr>
          <w:rFonts w:cs="Arial"/>
          <w:szCs w:val="20"/>
        </w:rPr>
        <w:t>In preparing the condensed set of consolidated financial statements, the directors are responsible for assessing the Entity’s ability to continue as a going concern, disclosing, as applicable, matters related to going concern and using the going concern basis of accounting unless the directors either intend to liquidate the Entity or to cease operations, or have no realistic alternative but to do so.</w:t>
      </w:r>
    </w:p>
    <w:p w14:paraId="0123F2CB" w14:textId="77777777" w:rsidR="00E5604E" w:rsidRDefault="00E5604E" w:rsidP="00E5604E">
      <w:pPr>
        <w:jc w:val="both"/>
        <w:rPr>
          <w:rFonts w:cs="Arial"/>
          <w:szCs w:val="20"/>
        </w:rPr>
      </w:pPr>
    </w:p>
    <w:p w14:paraId="5C428CA1" w14:textId="77777777" w:rsidR="00E5604E" w:rsidRPr="00E5604E" w:rsidRDefault="00E5604E" w:rsidP="00E5604E">
      <w:pPr>
        <w:jc w:val="both"/>
        <w:rPr>
          <w:rFonts w:cs="Arial"/>
          <w:szCs w:val="20"/>
        </w:rPr>
      </w:pPr>
    </w:p>
    <w:p w14:paraId="44F94914" w14:textId="77777777" w:rsidR="00E5604E" w:rsidRPr="00D745E8" w:rsidRDefault="00E5604E" w:rsidP="00E5604E">
      <w:pPr>
        <w:rPr>
          <w:rFonts w:cs="Arial"/>
          <w:b/>
          <w:bCs/>
          <w:sz w:val="22"/>
        </w:rPr>
      </w:pPr>
      <w:r w:rsidRPr="00906EC6">
        <w:rPr>
          <w:rFonts w:cs="Arial"/>
          <w:b/>
          <w:bCs/>
          <w:sz w:val="22"/>
        </w:rPr>
        <w:lastRenderedPageBreak/>
        <w:t xml:space="preserve">Independent Review Report to </w:t>
      </w:r>
      <w:r>
        <w:rPr>
          <w:rFonts w:cs="Arial"/>
          <w:b/>
          <w:bCs/>
          <w:sz w:val="22"/>
        </w:rPr>
        <w:t xml:space="preserve">Glenveagh Properties plc </w:t>
      </w:r>
      <w:r w:rsidRPr="00906EC6">
        <w:rPr>
          <w:rFonts w:cs="Arial"/>
          <w:b/>
          <w:bCs/>
          <w:sz w:val="22"/>
        </w:rPr>
        <w:t>(“the Entity”)</w:t>
      </w:r>
      <w:r>
        <w:rPr>
          <w:rFonts w:cs="Arial"/>
          <w:b/>
          <w:bCs/>
          <w:sz w:val="22"/>
        </w:rPr>
        <w:t xml:space="preserve"> </w:t>
      </w:r>
      <w:r w:rsidRPr="00D93E4B">
        <w:rPr>
          <w:rFonts w:cs="Arial"/>
          <w:bCs/>
          <w:i/>
          <w:iCs/>
          <w:szCs w:val="20"/>
        </w:rPr>
        <w:t>(continued)</w:t>
      </w:r>
    </w:p>
    <w:p w14:paraId="19C995F2" w14:textId="77777777" w:rsidR="00E5604E" w:rsidRPr="00E5604E" w:rsidRDefault="00E5604E" w:rsidP="00E5604E">
      <w:pPr>
        <w:jc w:val="both"/>
        <w:rPr>
          <w:rFonts w:cs="Arial"/>
          <w:szCs w:val="20"/>
        </w:rPr>
      </w:pPr>
    </w:p>
    <w:p w14:paraId="658A2E44" w14:textId="77777777" w:rsidR="00E5604E" w:rsidRPr="00E5604E" w:rsidRDefault="00E5604E" w:rsidP="00E5604E">
      <w:pPr>
        <w:jc w:val="both"/>
        <w:rPr>
          <w:rFonts w:cs="Arial"/>
          <w:b/>
          <w:bCs/>
          <w:szCs w:val="20"/>
        </w:rPr>
      </w:pPr>
      <w:r w:rsidRPr="00E5604E">
        <w:rPr>
          <w:rFonts w:cs="Arial"/>
          <w:b/>
          <w:bCs/>
          <w:szCs w:val="20"/>
        </w:rPr>
        <w:t>Our responsibility</w:t>
      </w:r>
    </w:p>
    <w:p w14:paraId="011DE03E" w14:textId="77777777" w:rsidR="00E5604E" w:rsidRPr="00E5604E" w:rsidRDefault="00E5604E" w:rsidP="00E5604E">
      <w:pPr>
        <w:jc w:val="both"/>
        <w:rPr>
          <w:rFonts w:cs="Arial"/>
          <w:szCs w:val="20"/>
        </w:rPr>
      </w:pPr>
    </w:p>
    <w:p w14:paraId="72304F76" w14:textId="77777777" w:rsidR="00E5604E" w:rsidRPr="00E5604E" w:rsidRDefault="00E5604E" w:rsidP="00E5604E">
      <w:pPr>
        <w:jc w:val="both"/>
        <w:rPr>
          <w:rFonts w:cs="Arial"/>
          <w:szCs w:val="20"/>
        </w:rPr>
      </w:pPr>
      <w:r w:rsidRPr="00E5604E">
        <w:rPr>
          <w:rFonts w:cs="Arial"/>
          <w:szCs w:val="20"/>
        </w:rPr>
        <w:t>Our responsibility is to express to the Entity a conclusion on the condensed set of consolidated financial statements in the half-yearly financial report based on our review.</w:t>
      </w:r>
    </w:p>
    <w:p w14:paraId="426550C3" w14:textId="77777777" w:rsidR="00E5604E" w:rsidRPr="00E5604E" w:rsidRDefault="00E5604E" w:rsidP="00E5604E">
      <w:pPr>
        <w:jc w:val="both"/>
        <w:rPr>
          <w:rFonts w:cs="Arial"/>
          <w:szCs w:val="20"/>
        </w:rPr>
      </w:pPr>
    </w:p>
    <w:p w14:paraId="43D827A0" w14:textId="77777777" w:rsidR="00E5604E" w:rsidRPr="00E5604E" w:rsidRDefault="00E5604E" w:rsidP="00E5604E">
      <w:pPr>
        <w:jc w:val="both"/>
        <w:rPr>
          <w:rFonts w:cs="Arial"/>
          <w:szCs w:val="20"/>
        </w:rPr>
      </w:pPr>
      <w:r w:rsidRPr="00E5604E">
        <w:rPr>
          <w:rFonts w:cs="Arial"/>
          <w:szCs w:val="20"/>
        </w:rPr>
        <w:t>Our conclusion, including our conclusions relating to going concern, are based on procedures that are less extensive than audit procedures, as described in the Basis for conclusion section of this report.</w:t>
      </w:r>
    </w:p>
    <w:p w14:paraId="5674F659" w14:textId="77777777" w:rsidR="00E5604E" w:rsidRPr="00E5604E" w:rsidRDefault="00E5604E" w:rsidP="00E5604E">
      <w:pPr>
        <w:jc w:val="both"/>
        <w:rPr>
          <w:rFonts w:cs="Arial"/>
          <w:szCs w:val="20"/>
        </w:rPr>
      </w:pPr>
    </w:p>
    <w:p w14:paraId="601B8A46" w14:textId="77777777" w:rsidR="00E5604E" w:rsidRPr="00E5604E" w:rsidRDefault="00E5604E" w:rsidP="00E5604E">
      <w:pPr>
        <w:jc w:val="both"/>
        <w:rPr>
          <w:rFonts w:cs="Arial"/>
          <w:b/>
          <w:bCs/>
          <w:szCs w:val="20"/>
        </w:rPr>
      </w:pPr>
      <w:r w:rsidRPr="00E5604E">
        <w:rPr>
          <w:rFonts w:cs="Arial"/>
          <w:b/>
          <w:bCs/>
          <w:szCs w:val="20"/>
        </w:rPr>
        <w:t>The purpose of our review work and to whom we owe our responsibilities</w:t>
      </w:r>
    </w:p>
    <w:p w14:paraId="1B948662" w14:textId="77777777" w:rsidR="00E5604E" w:rsidRPr="00E5604E" w:rsidRDefault="00E5604E" w:rsidP="00E5604E">
      <w:pPr>
        <w:jc w:val="both"/>
        <w:rPr>
          <w:rFonts w:cs="Arial"/>
          <w:szCs w:val="20"/>
        </w:rPr>
      </w:pPr>
    </w:p>
    <w:p w14:paraId="272AB3AA" w14:textId="2BF4271C" w:rsidR="002300FC" w:rsidRDefault="00E5604E" w:rsidP="00E5604E">
      <w:pPr>
        <w:jc w:val="both"/>
        <w:rPr>
          <w:rFonts w:cs="Arial"/>
          <w:szCs w:val="20"/>
        </w:rPr>
      </w:pPr>
      <w:r w:rsidRPr="00E5604E">
        <w:rPr>
          <w:rFonts w:cs="Arial"/>
          <w:szCs w:val="20"/>
        </w:rPr>
        <w:t>This report is made solely to the Entity in accordance with the terms of our engagement to assist the Entity in meeting the requirements of the Transparency Directive and the Transparency Rules of the Central Bank of Ireland. Our review has been undertaken so that we might state to the Entity those matters we are required to state to it in this report and for no other purpose. To the fullest extent permitted by law, we do not accept or assume responsibility to anyone other than the Entity for our review work, for this report, or for the conclusions we have reached.</w:t>
      </w:r>
    </w:p>
    <w:p w14:paraId="3D172647" w14:textId="77777777" w:rsidR="002300FC" w:rsidRDefault="002300FC" w:rsidP="002300FC">
      <w:pPr>
        <w:jc w:val="both"/>
        <w:rPr>
          <w:rFonts w:cs="Arial"/>
          <w:szCs w:val="20"/>
        </w:rPr>
      </w:pPr>
    </w:p>
    <w:p w14:paraId="3C245154" w14:textId="77777777" w:rsidR="002300FC" w:rsidRDefault="002300FC" w:rsidP="002300FC">
      <w:pPr>
        <w:rPr>
          <w:rFonts w:cs="Arial"/>
          <w:b/>
          <w:szCs w:val="20"/>
        </w:rPr>
      </w:pPr>
    </w:p>
    <w:p w14:paraId="0EA789A1" w14:textId="77777777" w:rsidR="002300FC" w:rsidRDefault="002300FC" w:rsidP="002300FC">
      <w:pPr>
        <w:rPr>
          <w:rFonts w:cs="Arial"/>
          <w:b/>
          <w:szCs w:val="20"/>
        </w:rPr>
      </w:pPr>
    </w:p>
    <w:p w14:paraId="6146059D" w14:textId="77777777" w:rsidR="002300FC" w:rsidRPr="009A7834" w:rsidRDefault="002300FC" w:rsidP="002300FC">
      <w:pPr>
        <w:jc w:val="both"/>
        <w:rPr>
          <w:rFonts w:cs="Arial"/>
          <w:szCs w:val="20"/>
        </w:rPr>
      </w:pPr>
    </w:p>
    <w:p w14:paraId="56525311" w14:textId="77777777" w:rsidR="002300FC" w:rsidRPr="009A7834" w:rsidRDefault="002300FC" w:rsidP="002300FC">
      <w:pPr>
        <w:jc w:val="both"/>
        <w:rPr>
          <w:rFonts w:cs="Arial"/>
          <w:szCs w:val="20"/>
        </w:rPr>
      </w:pPr>
    </w:p>
    <w:p w14:paraId="2F4996C2" w14:textId="48136A03" w:rsidR="002300FC" w:rsidRPr="009A7834" w:rsidRDefault="002300FC" w:rsidP="002300FC">
      <w:pPr>
        <w:jc w:val="both"/>
        <w:rPr>
          <w:rFonts w:cs="Arial"/>
        </w:rPr>
      </w:pPr>
      <w:r w:rsidRPr="7821F417">
        <w:rPr>
          <w:rFonts w:cs="Arial"/>
        </w:rPr>
        <w:t xml:space="preserve">KPMG </w:t>
      </w:r>
      <w:r>
        <w:tab/>
      </w:r>
      <w:r>
        <w:tab/>
      </w:r>
      <w:r>
        <w:tab/>
      </w:r>
      <w:r>
        <w:tab/>
      </w:r>
      <w:r>
        <w:tab/>
      </w:r>
      <w:r>
        <w:tab/>
      </w:r>
      <w:r>
        <w:tab/>
      </w:r>
      <w:r>
        <w:tab/>
      </w:r>
      <w:r>
        <w:tab/>
      </w:r>
      <w:r>
        <w:tab/>
      </w:r>
      <w:r w:rsidR="00002211">
        <w:rPr>
          <w:rFonts w:cs="Arial"/>
          <w:lang w:eastAsia="en-IE"/>
        </w:rPr>
        <w:t>24</w:t>
      </w:r>
      <w:r w:rsidRPr="7821F417">
        <w:rPr>
          <w:rFonts w:cs="Arial"/>
          <w:lang w:eastAsia="en-IE"/>
        </w:rPr>
        <w:t xml:space="preserve"> </w:t>
      </w:r>
      <w:r>
        <w:rPr>
          <w:rFonts w:cs="Arial"/>
          <w:lang w:eastAsia="en-IE"/>
        </w:rPr>
        <w:t>September</w:t>
      </w:r>
      <w:r w:rsidRPr="7821F417">
        <w:rPr>
          <w:rFonts w:cs="Arial"/>
          <w:lang w:eastAsia="en-IE"/>
        </w:rPr>
        <w:t xml:space="preserve"> 202</w:t>
      </w:r>
      <w:r w:rsidR="00A45658">
        <w:rPr>
          <w:rFonts w:cs="Arial"/>
          <w:lang w:eastAsia="en-IE"/>
        </w:rPr>
        <w:t>5</w:t>
      </w:r>
    </w:p>
    <w:p w14:paraId="35295350" w14:textId="77777777" w:rsidR="002300FC" w:rsidRPr="009A7834" w:rsidRDefault="002300FC" w:rsidP="002300FC">
      <w:pPr>
        <w:jc w:val="both"/>
        <w:rPr>
          <w:rFonts w:cs="Arial"/>
          <w:i/>
          <w:szCs w:val="20"/>
        </w:rPr>
      </w:pPr>
      <w:r w:rsidRPr="009A7834">
        <w:rPr>
          <w:rFonts w:cs="Arial"/>
          <w:i/>
          <w:szCs w:val="20"/>
        </w:rPr>
        <w:t xml:space="preserve">Chartered Accountants </w:t>
      </w:r>
    </w:p>
    <w:p w14:paraId="0D6DFECE" w14:textId="77777777" w:rsidR="002300FC" w:rsidRPr="009A7834" w:rsidRDefault="002300FC" w:rsidP="002300FC">
      <w:pPr>
        <w:jc w:val="both"/>
        <w:rPr>
          <w:rFonts w:cs="Arial"/>
          <w:i/>
          <w:szCs w:val="20"/>
        </w:rPr>
      </w:pPr>
      <w:r w:rsidRPr="009A7834">
        <w:rPr>
          <w:rFonts w:cs="Arial"/>
          <w:i/>
          <w:szCs w:val="20"/>
        </w:rPr>
        <w:t xml:space="preserve">1 Stokes Place </w:t>
      </w:r>
    </w:p>
    <w:p w14:paraId="4FD4D70A" w14:textId="77777777" w:rsidR="002300FC" w:rsidRPr="009A7834" w:rsidRDefault="002300FC" w:rsidP="002300FC">
      <w:pPr>
        <w:jc w:val="both"/>
        <w:rPr>
          <w:rFonts w:cs="Arial"/>
          <w:i/>
          <w:szCs w:val="20"/>
        </w:rPr>
      </w:pPr>
      <w:r w:rsidRPr="009A7834">
        <w:rPr>
          <w:rFonts w:cs="Arial"/>
          <w:i/>
          <w:szCs w:val="20"/>
        </w:rPr>
        <w:t xml:space="preserve">St. Stephen’s Green </w:t>
      </w:r>
    </w:p>
    <w:p w14:paraId="334A68EF" w14:textId="77777777" w:rsidR="002300FC" w:rsidRPr="009A7834" w:rsidRDefault="002300FC" w:rsidP="002300FC">
      <w:pPr>
        <w:jc w:val="both"/>
        <w:rPr>
          <w:rFonts w:cs="Arial"/>
          <w:szCs w:val="20"/>
        </w:rPr>
      </w:pPr>
      <w:r w:rsidRPr="009A7834">
        <w:rPr>
          <w:rFonts w:cs="Arial"/>
          <w:i/>
          <w:szCs w:val="20"/>
        </w:rPr>
        <w:t>Dublin, Ireland</w:t>
      </w:r>
    </w:p>
    <w:p w14:paraId="63144CF4" w14:textId="77777777" w:rsidR="002300FC" w:rsidRPr="004F0D79" w:rsidRDefault="002300FC" w:rsidP="00704079">
      <w:pPr>
        <w:jc w:val="both"/>
        <w:rPr>
          <w:rFonts w:cs="Arial"/>
          <w:szCs w:val="20"/>
        </w:rPr>
      </w:pPr>
    </w:p>
    <w:p w14:paraId="7CAE3949" w14:textId="77777777" w:rsidR="0007064B" w:rsidRPr="004F0D79" w:rsidRDefault="0007064B" w:rsidP="00704079">
      <w:pPr>
        <w:jc w:val="both"/>
        <w:rPr>
          <w:rFonts w:cs="Arial"/>
          <w:szCs w:val="20"/>
        </w:rPr>
      </w:pPr>
    </w:p>
    <w:p w14:paraId="42D8A14D" w14:textId="77777777" w:rsidR="0007064B" w:rsidRPr="004F0D79" w:rsidRDefault="0007064B" w:rsidP="00704079">
      <w:pPr>
        <w:jc w:val="both"/>
        <w:rPr>
          <w:rFonts w:cs="Arial"/>
          <w:szCs w:val="20"/>
        </w:rPr>
      </w:pPr>
    </w:p>
    <w:p w14:paraId="0BB0E383" w14:textId="77777777" w:rsidR="0007064B" w:rsidRPr="004F0D79" w:rsidRDefault="0007064B" w:rsidP="005C02FC">
      <w:pPr>
        <w:jc w:val="both"/>
        <w:rPr>
          <w:rFonts w:cs="Arial"/>
          <w:szCs w:val="20"/>
        </w:rPr>
      </w:pPr>
    </w:p>
    <w:p w14:paraId="1C14D895" w14:textId="77777777" w:rsidR="0007064B" w:rsidRPr="004F0D79" w:rsidRDefault="0007064B" w:rsidP="005C02FC">
      <w:pPr>
        <w:jc w:val="both"/>
        <w:rPr>
          <w:rFonts w:cs="Arial"/>
          <w:szCs w:val="20"/>
        </w:rPr>
      </w:pPr>
    </w:p>
    <w:p w14:paraId="66C58440" w14:textId="77777777" w:rsidR="00725CAF" w:rsidRDefault="00725CAF" w:rsidP="005C02FC">
      <w:pPr>
        <w:jc w:val="both"/>
        <w:sectPr w:rsidR="00725CAF" w:rsidSect="00F728B5">
          <w:headerReference w:type="default" r:id="rId33"/>
          <w:footerReference w:type="even" r:id="rId34"/>
          <w:footerReference w:type="default" r:id="rId35"/>
          <w:footerReference w:type="first" r:id="rId36"/>
          <w:pgSz w:w="11909" w:h="16834" w:code="9"/>
          <w:pgMar w:top="1077" w:right="1077" w:bottom="1077" w:left="1440" w:header="1134" w:footer="709" w:gutter="0"/>
          <w:cols w:space="708"/>
          <w:docGrid w:linePitch="360"/>
        </w:sectPr>
      </w:pPr>
    </w:p>
    <w:tbl>
      <w:tblPr>
        <w:tblW w:w="8814" w:type="dxa"/>
        <w:tblLayout w:type="fixed"/>
        <w:tblCellMar>
          <w:left w:w="0" w:type="dxa"/>
          <w:right w:w="115" w:type="dxa"/>
        </w:tblCellMar>
        <w:tblLook w:val="04A0" w:firstRow="1" w:lastRow="0" w:firstColumn="1" w:lastColumn="0" w:noHBand="0" w:noVBand="1"/>
      </w:tblPr>
      <w:tblGrid>
        <w:gridCol w:w="4820"/>
        <w:gridCol w:w="142"/>
        <w:gridCol w:w="708"/>
        <w:gridCol w:w="1560"/>
        <w:gridCol w:w="1584"/>
      </w:tblGrid>
      <w:tr w:rsidR="00662120" w:rsidRPr="00F0063D" w14:paraId="59B73CA8" w14:textId="77777777" w:rsidTr="7821F417">
        <w:tc>
          <w:tcPr>
            <w:tcW w:w="4820" w:type="dxa"/>
          </w:tcPr>
          <w:p w14:paraId="200ECF28" w14:textId="77777777" w:rsidR="00662120" w:rsidRPr="00670755" w:rsidRDefault="00662120" w:rsidP="00481D3D">
            <w:pPr>
              <w:ind w:right="-144"/>
              <w:jc w:val="both"/>
              <w:rPr>
                <w:rFonts w:cs="Arial"/>
                <w:szCs w:val="20"/>
              </w:rPr>
            </w:pPr>
          </w:p>
        </w:tc>
        <w:tc>
          <w:tcPr>
            <w:tcW w:w="142" w:type="dxa"/>
          </w:tcPr>
          <w:p w14:paraId="732DED9F" w14:textId="77777777" w:rsidR="00662120" w:rsidRPr="00670755" w:rsidRDefault="00662120" w:rsidP="00481D3D">
            <w:pPr>
              <w:pStyle w:val="Sub-header"/>
              <w:jc w:val="both"/>
            </w:pPr>
          </w:p>
        </w:tc>
        <w:tc>
          <w:tcPr>
            <w:tcW w:w="708" w:type="dxa"/>
          </w:tcPr>
          <w:p w14:paraId="4401E087" w14:textId="77777777" w:rsidR="00662120" w:rsidRPr="7821F417" w:rsidRDefault="00662120" w:rsidP="7821F417">
            <w:pPr>
              <w:tabs>
                <w:tab w:val="decimal" w:pos="564"/>
              </w:tabs>
              <w:ind w:right="-144"/>
              <w:jc w:val="both"/>
              <w:rPr>
                <w:i/>
                <w:iCs/>
              </w:rPr>
            </w:pPr>
          </w:p>
        </w:tc>
        <w:tc>
          <w:tcPr>
            <w:tcW w:w="1560" w:type="dxa"/>
          </w:tcPr>
          <w:p w14:paraId="170F66F3" w14:textId="5B3DC900" w:rsidR="00662120" w:rsidRPr="7821F417" w:rsidRDefault="00662120" w:rsidP="00662120">
            <w:pPr>
              <w:tabs>
                <w:tab w:val="decimal" w:pos="1276"/>
              </w:tabs>
              <w:jc w:val="right"/>
              <w:rPr>
                <w:rFonts w:cs="Arial"/>
                <w:b/>
                <w:bCs/>
              </w:rPr>
            </w:pPr>
            <w:r>
              <w:rPr>
                <w:rFonts w:cs="Arial"/>
                <w:b/>
                <w:bCs/>
              </w:rPr>
              <w:t>Unaudited</w:t>
            </w:r>
          </w:p>
        </w:tc>
        <w:tc>
          <w:tcPr>
            <w:tcW w:w="1584" w:type="dxa"/>
          </w:tcPr>
          <w:p w14:paraId="44ED2BD4" w14:textId="1322FFAC" w:rsidR="00662120" w:rsidRPr="7821F417" w:rsidRDefault="00662120" w:rsidP="00662120">
            <w:pPr>
              <w:tabs>
                <w:tab w:val="decimal" w:pos="1275"/>
              </w:tabs>
              <w:ind w:right="53"/>
              <w:jc w:val="right"/>
              <w:rPr>
                <w:rFonts w:cs="Arial"/>
                <w:b/>
                <w:bCs/>
              </w:rPr>
            </w:pPr>
            <w:r>
              <w:rPr>
                <w:rFonts w:cs="Arial"/>
                <w:b/>
                <w:bCs/>
              </w:rPr>
              <w:t>Unaudited</w:t>
            </w:r>
          </w:p>
        </w:tc>
      </w:tr>
      <w:tr w:rsidR="00AA0206" w:rsidRPr="00F0063D" w14:paraId="3D696C3F" w14:textId="77777777" w:rsidTr="7821F417">
        <w:tc>
          <w:tcPr>
            <w:tcW w:w="4820" w:type="dxa"/>
          </w:tcPr>
          <w:p w14:paraId="704DC9F7" w14:textId="77777777" w:rsidR="00AA0206" w:rsidRPr="00670755" w:rsidRDefault="00AA0206" w:rsidP="00481D3D">
            <w:pPr>
              <w:ind w:right="-144"/>
              <w:jc w:val="both"/>
              <w:rPr>
                <w:rFonts w:cs="Arial"/>
                <w:szCs w:val="20"/>
              </w:rPr>
            </w:pPr>
          </w:p>
        </w:tc>
        <w:tc>
          <w:tcPr>
            <w:tcW w:w="142" w:type="dxa"/>
          </w:tcPr>
          <w:p w14:paraId="7349F9CB" w14:textId="77777777" w:rsidR="00AA0206" w:rsidRPr="00670755" w:rsidRDefault="00AA0206" w:rsidP="00481D3D">
            <w:pPr>
              <w:pStyle w:val="Sub-header"/>
              <w:jc w:val="both"/>
            </w:pPr>
          </w:p>
        </w:tc>
        <w:tc>
          <w:tcPr>
            <w:tcW w:w="708" w:type="dxa"/>
          </w:tcPr>
          <w:p w14:paraId="7800E4B1" w14:textId="77777777" w:rsidR="00AA0206" w:rsidRPr="00F0063D" w:rsidRDefault="2CF1865D" w:rsidP="7821F417">
            <w:pPr>
              <w:tabs>
                <w:tab w:val="decimal" w:pos="564"/>
              </w:tabs>
              <w:ind w:right="-144"/>
              <w:jc w:val="both"/>
              <w:rPr>
                <w:rFonts w:cs="Arial"/>
                <w:b/>
                <w:bCs/>
              </w:rPr>
            </w:pPr>
            <w:r w:rsidRPr="7821F417">
              <w:rPr>
                <w:i/>
                <w:iCs/>
              </w:rPr>
              <w:t>Note</w:t>
            </w:r>
          </w:p>
        </w:tc>
        <w:tc>
          <w:tcPr>
            <w:tcW w:w="1560" w:type="dxa"/>
          </w:tcPr>
          <w:p w14:paraId="5552558F" w14:textId="77777777" w:rsidR="00AA0206" w:rsidRPr="00F0063D" w:rsidRDefault="7EB07F4B" w:rsidP="7821F417">
            <w:pPr>
              <w:tabs>
                <w:tab w:val="decimal" w:pos="1276"/>
              </w:tabs>
              <w:jc w:val="both"/>
              <w:rPr>
                <w:rFonts w:cs="Arial"/>
                <w:b/>
                <w:bCs/>
              </w:rPr>
            </w:pPr>
            <w:r w:rsidRPr="7821F417">
              <w:rPr>
                <w:rFonts w:cs="Arial"/>
                <w:b/>
                <w:bCs/>
              </w:rPr>
              <w:t>30 June</w:t>
            </w:r>
          </w:p>
        </w:tc>
        <w:tc>
          <w:tcPr>
            <w:tcW w:w="1584" w:type="dxa"/>
          </w:tcPr>
          <w:p w14:paraId="52A92125" w14:textId="77777777" w:rsidR="00AA0206" w:rsidRPr="00F0063D" w:rsidRDefault="7EB07F4B" w:rsidP="7821F417">
            <w:pPr>
              <w:tabs>
                <w:tab w:val="decimal" w:pos="1275"/>
              </w:tabs>
              <w:ind w:right="53"/>
              <w:jc w:val="both"/>
              <w:rPr>
                <w:rFonts w:cs="Arial"/>
                <w:b/>
                <w:bCs/>
              </w:rPr>
            </w:pPr>
            <w:r w:rsidRPr="7821F417">
              <w:rPr>
                <w:rFonts w:cs="Arial"/>
                <w:b/>
                <w:bCs/>
              </w:rPr>
              <w:t>30 June</w:t>
            </w:r>
          </w:p>
        </w:tc>
      </w:tr>
      <w:tr w:rsidR="00F5432F" w:rsidRPr="00F0063D" w14:paraId="2C27F5D2" w14:textId="77777777" w:rsidTr="7821F417">
        <w:tc>
          <w:tcPr>
            <w:tcW w:w="4820" w:type="dxa"/>
          </w:tcPr>
          <w:p w14:paraId="106A84A2" w14:textId="77777777" w:rsidR="00F5432F" w:rsidRPr="00670755" w:rsidRDefault="00F5432F" w:rsidP="00F5432F">
            <w:pPr>
              <w:ind w:right="-144"/>
              <w:jc w:val="both"/>
              <w:rPr>
                <w:rFonts w:cs="Arial"/>
                <w:szCs w:val="20"/>
              </w:rPr>
            </w:pPr>
          </w:p>
        </w:tc>
        <w:tc>
          <w:tcPr>
            <w:tcW w:w="142" w:type="dxa"/>
          </w:tcPr>
          <w:p w14:paraId="616EE2DD" w14:textId="77777777" w:rsidR="00F5432F" w:rsidRPr="00670755" w:rsidRDefault="00F5432F" w:rsidP="00F5432F">
            <w:pPr>
              <w:pStyle w:val="Sub-header"/>
              <w:jc w:val="both"/>
            </w:pPr>
          </w:p>
        </w:tc>
        <w:tc>
          <w:tcPr>
            <w:tcW w:w="708" w:type="dxa"/>
          </w:tcPr>
          <w:p w14:paraId="760211F9" w14:textId="77777777" w:rsidR="00F5432F" w:rsidRPr="00F0063D" w:rsidRDefault="00F5432F" w:rsidP="00F5432F">
            <w:pPr>
              <w:tabs>
                <w:tab w:val="decimal" w:pos="705"/>
              </w:tabs>
              <w:ind w:right="-144"/>
              <w:jc w:val="both"/>
              <w:rPr>
                <w:rFonts w:cs="Arial"/>
                <w:b/>
                <w:bCs/>
              </w:rPr>
            </w:pPr>
          </w:p>
        </w:tc>
        <w:tc>
          <w:tcPr>
            <w:tcW w:w="1560" w:type="dxa"/>
          </w:tcPr>
          <w:p w14:paraId="4878678E" w14:textId="533EB662" w:rsidR="00F5432F" w:rsidRPr="00F0063D" w:rsidRDefault="00F5432F" w:rsidP="00F5432F">
            <w:pPr>
              <w:tabs>
                <w:tab w:val="decimal" w:pos="1424"/>
              </w:tabs>
              <w:ind w:right="-144"/>
              <w:jc w:val="both"/>
              <w:rPr>
                <w:rFonts w:cs="Arial"/>
                <w:b/>
                <w:bCs/>
              </w:rPr>
            </w:pPr>
            <w:r w:rsidRPr="7821F417">
              <w:rPr>
                <w:rFonts w:cs="Arial"/>
                <w:b/>
                <w:bCs/>
              </w:rPr>
              <w:t>202</w:t>
            </w:r>
            <w:r w:rsidR="00161F15">
              <w:rPr>
                <w:rFonts w:cs="Arial"/>
                <w:b/>
                <w:bCs/>
              </w:rPr>
              <w:t>5</w:t>
            </w:r>
          </w:p>
        </w:tc>
        <w:tc>
          <w:tcPr>
            <w:tcW w:w="1584" w:type="dxa"/>
          </w:tcPr>
          <w:p w14:paraId="4E299438" w14:textId="23B7AF62" w:rsidR="00F5432F" w:rsidRPr="00F0063D" w:rsidRDefault="00F5432F" w:rsidP="00F5432F">
            <w:pPr>
              <w:tabs>
                <w:tab w:val="decimal" w:pos="1424"/>
              </w:tabs>
              <w:ind w:right="-144"/>
              <w:jc w:val="both"/>
              <w:rPr>
                <w:rFonts w:cs="Arial"/>
                <w:b/>
                <w:bCs/>
              </w:rPr>
            </w:pPr>
            <w:r w:rsidRPr="7821F417">
              <w:rPr>
                <w:rFonts w:cs="Arial"/>
                <w:b/>
                <w:bCs/>
              </w:rPr>
              <w:t>202</w:t>
            </w:r>
            <w:r>
              <w:rPr>
                <w:rFonts w:cs="Arial"/>
                <w:b/>
                <w:bCs/>
              </w:rPr>
              <w:t>4</w:t>
            </w:r>
          </w:p>
        </w:tc>
      </w:tr>
      <w:tr w:rsidR="00F5432F" w:rsidRPr="00F0063D" w14:paraId="3F8C955A" w14:textId="77777777" w:rsidTr="7821F417">
        <w:tc>
          <w:tcPr>
            <w:tcW w:w="4820" w:type="dxa"/>
          </w:tcPr>
          <w:p w14:paraId="140E4C16" w14:textId="77777777" w:rsidR="00F5432F" w:rsidRPr="00670755" w:rsidRDefault="00F5432F" w:rsidP="00F5432F">
            <w:pPr>
              <w:ind w:right="-144"/>
              <w:jc w:val="both"/>
              <w:rPr>
                <w:rFonts w:cs="Arial"/>
                <w:szCs w:val="20"/>
              </w:rPr>
            </w:pPr>
          </w:p>
        </w:tc>
        <w:tc>
          <w:tcPr>
            <w:tcW w:w="142" w:type="dxa"/>
          </w:tcPr>
          <w:p w14:paraId="0389B6D2" w14:textId="77777777" w:rsidR="00F5432F" w:rsidRPr="00670755" w:rsidRDefault="00F5432F" w:rsidP="00F5432F">
            <w:pPr>
              <w:pStyle w:val="Sub-header"/>
              <w:jc w:val="both"/>
            </w:pPr>
          </w:p>
        </w:tc>
        <w:tc>
          <w:tcPr>
            <w:tcW w:w="708" w:type="dxa"/>
          </w:tcPr>
          <w:p w14:paraId="55374D10" w14:textId="77777777" w:rsidR="00F5432F" w:rsidRPr="00F0063D" w:rsidRDefault="00F5432F" w:rsidP="00F5432F">
            <w:pPr>
              <w:tabs>
                <w:tab w:val="decimal" w:pos="705"/>
              </w:tabs>
              <w:ind w:right="-144"/>
              <w:jc w:val="both"/>
              <w:rPr>
                <w:rFonts w:cs="Arial"/>
                <w:b/>
                <w:bCs/>
              </w:rPr>
            </w:pPr>
          </w:p>
        </w:tc>
        <w:tc>
          <w:tcPr>
            <w:tcW w:w="1560" w:type="dxa"/>
          </w:tcPr>
          <w:p w14:paraId="4594302F" w14:textId="77777777" w:rsidR="00F5432F" w:rsidRPr="00F0063D" w:rsidRDefault="00F5432F" w:rsidP="00F5432F">
            <w:pPr>
              <w:tabs>
                <w:tab w:val="decimal" w:pos="1424"/>
              </w:tabs>
              <w:ind w:right="-144"/>
              <w:jc w:val="both"/>
              <w:rPr>
                <w:rFonts w:cs="Arial"/>
                <w:b/>
                <w:bCs/>
              </w:rPr>
            </w:pPr>
            <w:r w:rsidRPr="7821F417">
              <w:rPr>
                <w:rFonts w:cs="Arial"/>
                <w:b/>
                <w:bCs/>
              </w:rPr>
              <w:t>€’000</w:t>
            </w:r>
          </w:p>
        </w:tc>
        <w:tc>
          <w:tcPr>
            <w:tcW w:w="1584" w:type="dxa"/>
          </w:tcPr>
          <w:p w14:paraId="61095EF4" w14:textId="424A7373" w:rsidR="00F5432F" w:rsidRPr="00F0063D" w:rsidRDefault="00F5432F" w:rsidP="00F5432F">
            <w:pPr>
              <w:tabs>
                <w:tab w:val="decimal" w:pos="1424"/>
              </w:tabs>
              <w:ind w:right="-144"/>
              <w:jc w:val="both"/>
              <w:rPr>
                <w:rFonts w:cs="Arial"/>
                <w:b/>
                <w:bCs/>
              </w:rPr>
            </w:pPr>
            <w:r w:rsidRPr="7821F417">
              <w:rPr>
                <w:rFonts w:cs="Arial"/>
                <w:b/>
                <w:bCs/>
              </w:rPr>
              <w:t>€’000</w:t>
            </w:r>
          </w:p>
        </w:tc>
      </w:tr>
      <w:tr w:rsidR="00F5432F" w:rsidRPr="00670755" w14:paraId="2CA9E6D5" w14:textId="77777777" w:rsidTr="7821F417">
        <w:tc>
          <w:tcPr>
            <w:tcW w:w="4820" w:type="dxa"/>
          </w:tcPr>
          <w:p w14:paraId="2C941964" w14:textId="77777777" w:rsidR="00F5432F" w:rsidRPr="00EC5262" w:rsidRDefault="00F5432F" w:rsidP="00F5432F">
            <w:pPr>
              <w:ind w:right="-144"/>
              <w:jc w:val="both"/>
              <w:rPr>
                <w:rFonts w:cs="Arial"/>
                <w:szCs w:val="20"/>
              </w:rPr>
            </w:pPr>
          </w:p>
        </w:tc>
        <w:tc>
          <w:tcPr>
            <w:tcW w:w="142" w:type="dxa"/>
          </w:tcPr>
          <w:p w14:paraId="489EE7B8" w14:textId="77777777" w:rsidR="00F5432F" w:rsidRPr="00670755" w:rsidRDefault="00F5432F" w:rsidP="00F5432F">
            <w:pPr>
              <w:pStyle w:val="Sub-header"/>
              <w:jc w:val="both"/>
            </w:pPr>
          </w:p>
        </w:tc>
        <w:tc>
          <w:tcPr>
            <w:tcW w:w="708" w:type="dxa"/>
          </w:tcPr>
          <w:p w14:paraId="132C683F" w14:textId="77777777" w:rsidR="00F5432F" w:rsidRPr="007D6F5E" w:rsidRDefault="00F5432F" w:rsidP="00F5432F">
            <w:pPr>
              <w:tabs>
                <w:tab w:val="decimal" w:pos="422"/>
              </w:tabs>
              <w:ind w:right="-144"/>
              <w:jc w:val="both"/>
              <w:rPr>
                <w:rFonts w:cs="Arial"/>
                <w:i/>
                <w:iCs/>
              </w:rPr>
            </w:pPr>
          </w:p>
        </w:tc>
        <w:tc>
          <w:tcPr>
            <w:tcW w:w="1560" w:type="dxa"/>
          </w:tcPr>
          <w:p w14:paraId="29A7E9AB" w14:textId="77777777" w:rsidR="00F5432F" w:rsidRPr="00F0063D" w:rsidRDefault="00F5432F" w:rsidP="00F5432F">
            <w:pPr>
              <w:tabs>
                <w:tab w:val="decimal" w:pos="1424"/>
              </w:tabs>
              <w:ind w:right="-144"/>
              <w:jc w:val="both"/>
              <w:rPr>
                <w:rFonts w:cs="Arial"/>
                <w:b/>
                <w:bCs/>
              </w:rPr>
            </w:pPr>
          </w:p>
        </w:tc>
        <w:tc>
          <w:tcPr>
            <w:tcW w:w="1584" w:type="dxa"/>
          </w:tcPr>
          <w:p w14:paraId="29BC021D" w14:textId="77777777" w:rsidR="00F5432F" w:rsidRPr="003339AF" w:rsidRDefault="00F5432F" w:rsidP="00F5432F">
            <w:pPr>
              <w:tabs>
                <w:tab w:val="decimal" w:pos="1424"/>
              </w:tabs>
              <w:ind w:right="-144"/>
              <w:jc w:val="both"/>
              <w:rPr>
                <w:rFonts w:cs="Arial"/>
              </w:rPr>
            </w:pPr>
          </w:p>
        </w:tc>
      </w:tr>
      <w:tr w:rsidR="00F5432F" w:rsidRPr="00670755" w14:paraId="0FF36F48" w14:textId="77777777" w:rsidTr="7821F417">
        <w:tc>
          <w:tcPr>
            <w:tcW w:w="4820" w:type="dxa"/>
          </w:tcPr>
          <w:p w14:paraId="4300E8FB" w14:textId="77777777" w:rsidR="00F5432F" w:rsidRPr="00EC5262" w:rsidRDefault="00F5432F" w:rsidP="00F5432F">
            <w:pPr>
              <w:ind w:right="-144"/>
              <w:jc w:val="both"/>
              <w:rPr>
                <w:rFonts w:cs="Arial"/>
                <w:szCs w:val="20"/>
              </w:rPr>
            </w:pPr>
            <w:r w:rsidRPr="00EC5262">
              <w:rPr>
                <w:rFonts w:cs="Arial"/>
                <w:szCs w:val="20"/>
              </w:rPr>
              <w:t>Revenue</w:t>
            </w:r>
          </w:p>
        </w:tc>
        <w:tc>
          <w:tcPr>
            <w:tcW w:w="142" w:type="dxa"/>
          </w:tcPr>
          <w:p w14:paraId="14F6B80F" w14:textId="77777777" w:rsidR="00F5432F" w:rsidRPr="00670755" w:rsidRDefault="00F5432F" w:rsidP="00F5432F">
            <w:pPr>
              <w:pStyle w:val="Sub-header"/>
              <w:jc w:val="both"/>
            </w:pPr>
          </w:p>
        </w:tc>
        <w:tc>
          <w:tcPr>
            <w:tcW w:w="708" w:type="dxa"/>
          </w:tcPr>
          <w:p w14:paraId="57FFC6E1" w14:textId="3417DDCB" w:rsidR="00F5432F" w:rsidRPr="007D6F5E" w:rsidRDefault="00F5432F" w:rsidP="00F5432F">
            <w:pPr>
              <w:tabs>
                <w:tab w:val="decimal" w:pos="422"/>
              </w:tabs>
              <w:ind w:right="-144"/>
              <w:jc w:val="both"/>
              <w:rPr>
                <w:rFonts w:cs="Arial"/>
                <w:i/>
                <w:iCs/>
              </w:rPr>
            </w:pPr>
            <w:r w:rsidRPr="7821F417">
              <w:rPr>
                <w:rFonts w:cs="Arial"/>
                <w:i/>
                <w:iCs/>
              </w:rPr>
              <w:t>8</w:t>
            </w:r>
          </w:p>
        </w:tc>
        <w:tc>
          <w:tcPr>
            <w:tcW w:w="1560" w:type="dxa"/>
          </w:tcPr>
          <w:p w14:paraId="0A7D7EC2" w14:textId="4E5676EA" w:rsidR="00F5432F" w:rsidRPr="00F0063D" w:rsidRDefault="00CC0767" w:rsidP="00F5432F">
            <w:pPr>
              <w:tabs>
                <w:tab w:val="decimal" w:pos="1424"/>
              </w:tabs>
              <w:ind w:right="-144"/>
              <w:jc w:val="both"/>
              <w:rPr>
                <w:rFonts w:cs="Arial"/>
                <w:b/>
                <w:bCs/>
              </w:rPr>
            </w:pPr>
            <w:r>
              <w:rPr>
                <w:rFonts w:cs="Arial"/>
                <w:b/>
                <w:bCs/>
              </w:rPr>
              <w:t>341,592</w:t>
            </w:r>
          </w:p>
        </w:tc>
        <w:tc>
          <w:tcPr>
            <w:tcW w:w="1584" w:type="dxa"/>
          </w:tcPr>
          <w:p w14:paraId="0B7483DD" w14:textId="3A18C744" w:rsidR="00F5432F" w:rsidRPr="003339AF" w:rsidRDefault="00F5432F" w:rsidP="00F5432F">
            <w:pPr>
              <w:tabs>
                <w:tab w:val="decimal" w:pos="1424"/>
              </w:tabs>
              <w:ind w:right="-144"/>
              <w:jc w:val="both"/>
              <w:rPr>
                <w:rFonts w:cs="Arial"/>
              </w:rPr>
            </w:pPr>
            <w:r>
              <w:rPr>
                <w:rFonts w:cs="Arial"/>
                <w:b/>
                <w:bCs/>
              </w:rPr>
              <w:t>152,186</w:t>
            </w:r>
          </w:p>
        </w:tc>
      </w:tr>
      <w:tr w:rsidR="00F5432F" w:rsidRPr="00670755" w14:paraId="2A42BF15" w14:textId="77777777" w:rsidTr="7821F417">
        <w:tc>
          <w:tcPr>
            <w:tcW w:w="4820" w:type="dxa"/>
          </w:tcPr>
          <w:p w14:paraId="25316301" w14:textId="77777777" w:rsidR="00F5432F" w:rsidRPr="00EC5262" w:rsidRDefault="00F5432F" w:rsidP="00F5432F">
            <w:pPr>
              <w:ind w:right="-144"/>
              <w:jc w:val="both"/>
              <w:rPr>
                <w:rFonts w:cs="Arial"/>
                <w:szCs w:val="20"/>
              </w:rPr>
            </w:pPr>
          </w:p>
        </w:tc>
        <w:tc>
          <w:tcPr>
            <w:tcW w:w="142" w:type="dxa"/>
          </w:tcPr>
          <w:p w14:paraId="72AFF52D" w14:textId="77777777" w:rsidR="00F5432F" w:rsidRPr="00670755" w:rsidRDefault="00F5432F" w:rsidP="00F5432F">
            <w:pPr>
              <w:pStyle w:val="Sub-header"/>
              <w:jc w:val="both"/>
            </w:pPr>
          </w:p>
        </w:tc>
        <w:tc>
          <w:tcPr>
            <w:tcW w:w="708" w:type="dxa"/>
          </w:tcPr>
          <w:p w14:paraId="635DBB0D" w14:textId="77777777" w:rsidR="00F5432F" w:rsidRDefault="00F5432F" w:rsidP="00F5432F">
            <w:pPr>
              <w:tabs>
                <w:tab w:val="decimal" w:pos="422"/>
              </w:tabs>
              <w:ind w:right="-144"/>
              <w:jc w:val="both"/>
              <w:rPr>
                <w:rFonts w:cs="Arial"/>
                <w:i/>
                <w:iCs/>
              </w:rPr>
            </w:pPr>
          </w:p>
        </w:tc>
        <w:tc>
          <w:tcPr>
            <w:tcW w:w="1560" w:type="dxa"/>
          </w:tcPr>
          <w:p w14:paraId="1DDDDDBB" w14:textId="77777777" w:rsidR="00F5432F" w:rsidRDefault="00F5432F" w:rsidP="00F5432F">
            <w:pPr>
              <w:tabs>
                <w:tab w:val="decimal" w:pos="1424"/>
              </w:tabs>
              <w:ind w:right="-144"/>
              <w:jc w:val="both"/>
              <w:rPr>
                <w:rFonts w:cs="Arial"/>
                <w:b/>
                <w:bCs/>
              </w:rPr>
            </w:pPr>
          </w:p>
        </w:tc>
        <w:tc>
          <w:tcPr>
            <w:tcW w:w="1584" w:type="dxa"/>
          </w:tcPr>
          <w:p w14:paraId="63901A03" w14:textId="77777777" w:rsidR="00F5432F" w:rsidRPr="003339AF" w:rsidRDefault="00F5432F" w:rsidP="00F5432F">
            <w:pPr>
              <w:tabs>
                <w:tab w:val="decimal" w:pos="1424"/>
              </w:tabs>
              <w:ind w:right="-144"/>
              <w:jc w:val="both"/>
              <w:rPr>
                <w:rFonts w:cs="Arial"/>
              </w:rPr>
            </w:pPr>
          </w:p>
        </w:tc>
      </w:tr>
      <w:tr w:rsidR="00F5432F" w:rsidRPr="00670755" w14:paraId="10B9451E" w14:textId="77777777" w:rsidTr="7821F417">
        <w:tc>
          <w:tcPr>
            <w:tcW w:w="4820" w:type="dxa"/>
          </w:tcPr>
          <w:p w14:paraId="1DD87058" w14:textId="4F26570D" w:rsidR="00F5432F" w:rsidRPr="00EC5262" w:rsidRDefault="00F5432F" w:rsidP="00F5432F">
            <w:pPr>
              <w:ind w:right="-144"/>
              <w:jc w:val="both"/>
              <w:rPr>
                <w:rFonts w:cs="Arial"/>
                <w:szCs w:val="20"/>
              </w:rPr>
            </w:pPr>
            <w:r>
              <w:rPr>
                <w:rFonts w:cs="Arial"/>
                <w:szCs w:val="20"/>
              </w:rPr>
              <w:t>Cost of sales</w:t>
            </w:r>
          </w:p>
        </w:tc>
        <w:tc>
          <w:tcPr>
            <w:tcW w:w="142" w:type="dxa"/>
          </w:tcPr>
          <w:p w14:paraId="135AAD13" w14:textId="77777777" w:rsidR="00F5432F" w:rsidRPr="00670755" w:rsidRDefault="00F5432F" w:rsidP="00F5432F">
            <w:pPr>
              <w:pStyle w:val="Sub-header"/>
              <w:jc w:val="both"/>
            </w:pPr>
          </w:p>
        </w:tc>
        <w:tc>
          <w:tcPr>
            <w:tcW w:w="708" w:type="dxa"/>
          </w:tcPr>
          <w:p w14:paraId="18AE61DC" w14:textId="12058D1F" w:rsidR="00F5432F" w:rsidRDefault="00F5432F" w:rsidP="00F5432F">
            <w:pPr>
              <w:tabs>
                <w:tab w:val="decimal" w:pos="422"/>
              </w:tabs>
              <w:ind w:right="-144"/>
              <w:jc w:val="both"/>
              <w:rPr>
                <w:rFonts w:cs="Arial"/>
                <w:i/>
                <w:iCs/>
              </w:rPr>
            </w:pPr>
          </w:p>
        </w:tc>
        <w:tc>
          <w:tcPr>
            <w:tcW w:w="1560" w:type="dxa"/>
          </w:tcPr>
          <w:p w14:paraId="74ECF1FC" w14:textId="3E2F9CA0" w:rsidR="00F5432F" w:rsidRDefault="00CC0767" w:rsidP="00F5432F">
            <w:pPr>
              <w:tabs>
                <w:tab w:val="decimal" w:pos="1424"/>
              </w:tabs>
              <w:ind w:right="-144"/>
              <w:jc w:val="both"/>
              <w:rPr>
                <w:rFonts w:cs="Arial"/>
                <w:b/>
                <w:bCs/>
              </w:rPr>
            </w:pPr>
            <w:r>
              <w:rPr>
                <w:rFonts w:cs="Arial"/>
                <w:b/>
                <w:bCs/>
              </w:rPr>
              <w:t>(</w:t>
            </w:r>
            <w:r w:rsidR="00714CED">
              <w:rPr>
                <w:rFonts w:cs="Arial"/>
                <w:b/>
                <w:bCs/>
              </w:rPr>
              <w:t>274,819)</w:t>
            </w:r>
          </w:p>
        </w:tc>
        <w:tc>
          <w:tcPr>
            <w:tcW w:w="1584" w:type="dxa"/>
          </w:tcPr>
          <w:p w14:paraId="410C522C" w14:textId="3BF1AE7C" w:rsidR="00F5432F" w:rsidRPr="003339AF" w:rsidRDefault="00F5432F" w:rsidP="00F5432F">
            <w:pPr>
              <w:tabs>
                <w:tab w:val="decimal" w:pos="1424"/>
              </w:tabs>
              <w:ind w:right="-144"/>
              <w:jc w:val="both"/>
              <w:rPr>
                <w:rFonts w:cs="Arial"/>
              </w:rPr>
            </w:pPr>
            <w:r>
              <w:rPr>
                <w:rFonts w:cs="Arial"/>
                <w:b/>
                <w:bCs/>
              </w:rPr>
              <w:t>(124,480)</w:t>
            </w:r>
          </w:p>
        </w:tc>
      </w:tr>
      <w:tr w:rsidR="00F5432F" w:rsidRPr="00670755" w14:paraId="6813526D" w14:textId="77777777" w:rsidTr="7821F417">
        <w:tc>
          <w:tcPr>
            <w:tcW w:w="4820" w:type="dxa"/>
          </w:tcPr>
          <w:p w14:paraId="516AC78A" w14:textId="77777777" w:rsidR="00F5432F" w:rsidRPr="00670755" w:rsidRDefault="00F5432F" w:rsidP="00F5432F">
            <w:pPr>
              <w:ind w:right="-144"/>
              <w:jc w:val="both"/>
              <w:rPr>
                <w:rFonts w:cs="Arial"/>
                <w:szCs w:val="20"/>
              </w:rPr>
            </w:pPr>
          </w:p>
        </w:tc>
        <w:tc>
          <w:tcPr>
            <w:tcW w:w="142" w:type="dxa"/>
          </w:tcPr>
          <w:p w14:paraId="0875E51C" w14:textId="77777777" w:rsidR="00F5432F" w:rsidRPr="00670755" w:rsidRDefault="00F5432F" w:rsidP="00F5432F">
            <w:pPr>
              <w:pStyle w:val="Sub-header"/>
              <w:jc w:val="both"/>
            </w:pPr>
          </w:p>
        </w:tc>
        <w:tc>
          <w:tcPr>
            <w:tcW w:w="708" w:type="dxa"/>
          </w:tcPr>
          <w:p w14:paraId="2DE30CD5" w14:textId="77777777" w:rsidR="00F5432F" w:rsidRPr="00F0063D" w:rsidRDefault="00F5432F" w:rsidP="00F5432F">
            <w:pPr>
              <w:tabs>
                <w:tab w:val="decimal" w:pos="705"/>
              </w:tabs>
              <w:ind w:right="-144"/>
              <w:jc w:val="both"/>
              <w:rPr>
                <w:rFonts w:cs="Arial"/>
                <w:u w:val="single"/>
              </w:rPr>
            </w:pPr>
          </w:p>
        </w:tc>
        <w:tc>
          <w:tcPr>
            <w:tcW w:w="1560" w:type="dxa"/>
          </w:tcPr>
          <w:p w14:paraId="7A7020EA" w14:textId="16148FEC" w:rsidR="00F5432F" w:rsidRPr="00F0063D" w:rsidRDefault="00F5432F" w:rsidP="00F5432F">
            <w:pPr>
              <w:tabs>
                <w:tab w:val="decimal" w:pos="1424"/>
              </w:tabs>
              <w:ind w:right="-144"/>
              <w:jc w:val="both"/>
              <w:rPr>
                <w:rFonts w:cs="Arial"/>
                <w:u w:val="single"/>
              </w:rPr>
            </w:pPr>
            <w:r w:rsidRPr="7821F417">
              <w:rPr>
                <w:rFonts w:cs="Arial"/>
                <w:u w:val="single"/>
              </w:rPr>
              <w:t>                  </w:t>
            </w:r>
          </w:p>
        </w:tc>
        <w:tc>
          <w:tcPr>
            <w:tcW w:w="1584" w:type="dxa"/>
          </w:tcPr>
          <w:p w14:paraId="3AABB389" w14:textId="6E1A41AC" w:rsidR="00F5432F" w:rsidRPr="003339AF" w:rsidRDefault="00F5432F" w:rsidP="00F5432F">
            <w:pPr>
              <w:tabs>
                <w:tab w:val="decimal" w:pos="1424"/>
              </w:tabs>
              <w:ind w:right="-144"/>
              <w:jc w:val="both"/>
              <w:rPr>
                <w:rFonts w:cs="Arial"/>
                <w:u w:val="single"/>
              </w:rPr>
            </w:pPr>
            <w:r w:rsidRPr="7821F417">
              <w:rPr>
                <w:rFonts w:cs="Arial"/>
                <w:u w:val="single"/>
              </w:rPr>
              <w:t>                  </w:t>
            </w:r>
          </w:p>
        </w:tc>
      </w:tr>
      <w:tr w:rsidR="00F5432F" w:rsidRPr="00670755" w14:paraId="73C4D1C2" w14:textId="77777777" w:rsidTr="7821F417">
        <w:tc>
          <w:tcPr>
            <w:tcW w:w="4820" w:type="dxa"/>
          </w:tcPr>
          <w:p w14:paraId="484E20A0" w14:textId="77777777" w:rsidR="00F5432F" w:rsidRPr="00670755" w:rsidRDefault="00F5432F" w:rsidP="00F5432F">
            <w:pPr>
              <w:ind w:right="-144"/>
              <w:jc w:val="both"/>
              <w:rPr>
                <w:rFonts w:cs="Arial"/>
                <w:szCs w:val="20"/>
              </w:rPr>
            </w:pPr>
          </w:p>
        </w:tc>
        <w:tc>
          <w:tcPr>
            <w:tcW w:w="142" w:type="dxa"/>
          </w:tcPr>
          <w:p w14:paraId="78466BB8" w14:textId="77777777" w:rsidR="00F5432F" w:rsidRPr="00670755" w:rsidRDefault="00F5432F" w:rsidP="00F5432F">
            <w:pPr>
              <w:pStyle w:val="Sub-header"/>
              <w:jc w:val="both"/>
            </w:pPr>
          </w:p>
        </w:tc>
        <w:tc>
          <w:tcPr>
            <w:tcW w:w="708" w:type="dxa"/>
          </w:tcPr>
          <w:p w14:paraId="409F6AA1" w14:textId="77777777" w:rsidR="00F5432F" w:rsidRPr="00F0063D" w:rsidRDefault="00F5432F" w:rsidP="00F5432F">
            <w:pPr>
              <w:tabs>
                <w:tab w:val="decimal" w:pos="705"/>
              </w:tabs>
              <w:ind w:right="-144"/>
              <w:jc w:val="both"/>
              <w:rPr>
                <w:rFonts w:cs="Arial"/>
                <w:b/>
                <w:bCs/>
              </w:rPr>
            </w:pPr>
          </w:p>
        </w:tc>
        <w:tc>
          <w:tcPr>
            <w:tcW w:w="1560" w:type="dxa"/>
          </w:tcPr>
          <w:p w14:paraId="3ECA74D6" w14:textId="77777777" w:rsidR="00F5432F" w:rsidRPr="00F0063D" w:rsidRDefault="00F5432F" w:rsidP="00F5432F">
            <w:pPr>
              <w:tabs>
                <w:tab w:val="decimal" w:pos="1424"/>
              </w:tabs>
              <w:ind w:right="-144"/>
              <w:jc w:val="both"/>
              <w:rPr>
                <w:rFonts w:cs="Arial"/>
                <w:b/>
                <w:bCs/>
              </w:rPr>
            </w:pPr>
          </w:p>
        </w:tc>
        <w:tc>
          <w:tcPr>
            <w:tcW w:w="1584" w:type="dxa"/>
          </w:tcPr>
          <w:p w14:paraId="77F1011E" w14:textId="77777777" w:rsidR="00F5432F" w:rsidRPr="003339AF" w:rsidRDefault="00F5432F" w:rsidP="00F5432F">
            <w:pPr>
              <w:tabs>
                <w:tab w:val="decimal" w:pos="1424"/>
              </w:tabs>
              <w:ind w:right="-144"/>
              <w:jc w:val="both"/>
              <w:rPr>
                <w:rFonts w:cs="Arial"/>
              </w:rPr>
            </w:pPr>
          </w:p>
        </w:tc>
      </w:tr>
      <w:tr w:rsidR="00F5432F" w:rsidRPr="00670755" w14:paraId="743B2BBE" w14:textId="77777777" w:rsidTr="7821F417">
        <w:tc>
          <w:tcPr>
            <w:tcW w:w="4820" w:type="dxa"/>
          </w:tcPr>
          <w:p w14:paraId="60AFF50A" w14:textId="514ACBE3" w:rsidR="00F5432F" w:rsidRPr="00670755" w:rsidRDefault="00F5432F" w:rsidP="00F5432F">
            <w:pPr>
              <w:ind w:right="-144"/>
              <w:jc w:val="both"/>
              <w:rPr>
                <w:rFonts w:cs="Arial"/>
                <w:b/>
                <w:szCs w:val="20"/>
              </w:rPr>
            </w:pPr>
            <w:r w:rsidRPr="00670755">
              <w:rPr>
                <w:rFonts w:cs="Arial"/>
                <w:b/>
                <w:szCs w:val="20"/>
              </w:rPr>
              <w:t>Gross profit</w:t>
            </w:r>
            <w:r>
              <w:rPr>
                <w:rFonts w:cs="Arial"/>
                <w:b/>
                <w:szCs w:val="20"/>
              </w:rPr>
              <w:t xml:space="preserve"> </w:t>
            </w:r>
          </w:p>
        </w:tc>
        <w:tc>
          <w:tcPr>
            <w:tcW w:w="142" w:type="dxa"/>
          </w:tcPr>
          <w:p w14:paraId="59585A52" w14:textId="77777777" w:rsidR="00F5432F" w:rsidRPr="00670755" w:rsidRDefault="00F5432F" w:rsidP="00F5432F">
            <w:pPr>
              <w:pStyle w:val="Sub-header"/>
              <w:jc w:val="both"/>
            </w:pPr>
          </w:p>
        </w:tc>
        <w:tc>
          <w:tcPr>
            <w:tcW w:w="708" w:type="dxa"/>
          </w:tcPr>
          <w:p w14:paraId="2D8DE5E4" w14:textId="77777777" w:rsidR="00F5432F" w:rsidRPr="00F0063D" w:rsidRDefault="00F5432F" w:rsidP="00F5432F">
            <w:pPr>
              <w:tabs>
                <w:tab w:val="decimal" w:pos="705"/>
              </w:tabs>
              <w:ind w:right="-144"/>
              <w:jc w:val="both"/>
              <w:rPr>
                <w:rFonts w:cs="Arial"/>
                <w:b/>
                <w:bCs/>
              </w:rPr>
            </w:pPr>
          </w:p>
        </w:tc>
        <w:tc>
          <w:tcPr>
            <w:tcW w:w="1560" w:type="dxa"/>
          </w:tcPr>
          <w:p w14:paraId="37B91719" w14:textId="7AF4FA2D" w:rsidR="00F5432F" w:rsidRPr="00F0063D" w:rsidRDefault="00714CED" w:rsidP="00F5432F">
            <w:pPr>
              <w:tabs>
                <w:tab w:val="decimal" w:pos="1424"/>
              </w:tabs>
              <w:ind w:right="-144"/>
              <w:jc w:val="both"/>
              <w:rPr>
                <w:rFonts w:eastAsia="Calibri" w:cs="Arial"/>
                <w:b/>
                <w:bCs/>
                <w:szCs w:val="20"/>
              </w:rPr>
            </w:pPr>
            <w:r>
              <w:rPr>
                <w:rFonts w:eastAsia="Calibri" w:cs="Arial"/>
                <w:b/>
                <w:bCs/>
                <w:szCs w:val="20"/>
              </w:rPr>
              <w:t>66,773</w:t>
            </w:r>
          </w:p>
        </w:tc>
        <w:tc>
          <w:tcPr>
            <w:tcW w:w="1584" w:type="dxa"/>
          </w:tcPr>
          <w:p w14:paraId="52B7E78F" w14:textId="0A94C735" w:rsidR="00F5432F" w:rsidRPr="003339AF" w:rsidRDefault="00F5432F" w:rsidP="00F5432F">
            <w:pPr>
              <w:tabs>
                <w:tab w:val="decimal" w:pos="1424"/>
              </w:tabs>
              <w:ind w:right="-144"/>
              <w:jc w:val="both"/>
              <w:rPr>
                <w:rFonts w:cs="Arial"/>
              </w:rPr>
            </w:pPr>
            <w:r>
              <w:rPr>
                <w:rFonts w:eastAsia="Calibri" w:cs="Arial"/>
                <w:b/>
                <w:bCs/>
                <w:szCs w:val="20"/>
              </w:rPr>
              <w:t>27,706</w:t>
            </w:r>
          </w:p>
        </w:tc>
      </w:tr>
      <w:tr w:rsidR="00F5432F" w:rsidRPr="00670755" w14:paraId="48356F53" w14:textId="77777777" w:rsidTr="7821F417">
        <w:tc>
          <w:tcPr>
            <w:tcW w:w="4820" w:type="dxa"/>
          </w:tcPr>
          <w:p w14:paraId="1D0A0D37" w14:textId="77777777" w:rsidR="00F5432F" w:rsidRPr="00670755" w:rsidRDefault="00F5432F" w:rsidP="00F5432F">
            <w:pPr>
              <w:ind w:right="-144"/>
              <w:jc w:val="both"/>
              <w:rPr>
                <w:rFonts w:cs="Arial"/>
                <w:szCs w:val="20"/>
              </w:rPr>
            </w:pPr>
          </w:p>
        </w:tc>
        <w:tc>
          <w:tcPr>
            <w:tcW w:w="142" w:type="dxa"/>
          </w:tcPr>
          <w:p w14:paraId="25A9ADC1" w14:textId="77777777" w:rsidR="00F5432F" w:rsidRPr="00670755" w:rsidRDefault="00F5432F" w:rsidP="00F5432F">
            <w:pPr>
              <w:pStyle w:val="Sub-header"/>
              <w:jc w:val="both"/>
            </w:pPr>
          </w:p>
        </w:tc>
        <w:tc>
          <w:tcPr>
            <w:tcW w:w="708" w:type="dxa"/>
          </w:tcPr>
          <w:p w14:paraId="797B967B" w14:textId="77777777" w:rsidR="00F5432F" w:rsidRPr="00F0063D" w:rsidRDefault="00F5432F" w:rsidP="00F5432F">
            <w:pPr>
              <w:tabs>
                <w:tab w:val="decimal" w:pos="705"/>
              </w:tabs>
              <w:ind w:right="-144"/>
              <w:jc w:val="both"/>
              <w:rPr>
                <w:rFonts w:cs="Arial"/>
                <w:b/>
                <w:bCs/>
              </w:rPr>
            </w:pPr>
          </w:p>
        </w:tc>
        <w:tc>
          <w:tcPr>
            <w:tcW w:w="1560" w:type="dxa"/>
          </w:tcPr>
          <w:p w14:paraId="1548F6EE" w14:textId="77777777" w:rsidR="00F5432F" w:rsidRPr="00F0063D" w:rsidRDefault="00F5432F" w:rsidP="00F5432F">
            <w:pPr>
              <w:tabs>
                <w:tab w:val="decimal" w:pos="1424"/>
              </w:tabs>
              <w:ind w:right="-144"/>
              <w:jc w:val="both"/>
              <w:rPr>
                <w:rFonts w:cs="Arial"/>
                <w:b/>
                <w:bCs/>
              </w:rPr>
            </w:pPr>
          </w:p>
        </w:tc>
        <w:tc>
          <w:tcPr>
            <w:tcW w:w="1584" w:type="dxa"/>
          </w:tcPr>
          <w:p w14:paraId="2B35C0E2" w14:textId="77777777" w:rsidR="00F5432F" w:rsidRPr="003339AF" w:rsidRDefault="00F5432F" w:rsidP="00F5432F">
            <w:pPr>
              <w:tabs>
                <w:tab w:val="decimal" w:pos="1424"/>
              </w:tabs>
              <w:ind w:right="-144"/>
              <w:jc w:val="both"/>
              <w:rPr>
                <w:rFonts w:cs="Arial"/>
              </w:rPr>
            </w:pPr>
          </w:p>
        </w:tc>
      </w:tr>
      <w:tr w:rsidR="00F5432F" w:rsidRPr="00670755" w14:paraId="3C623D05" w14:textId="77777777" w:rsidTr="7821F417">
        <w:tc>
          <w:tcPr>
            <w:tcW w:w="4820" w:type="dxa"/>
          </w:tcPr>
          <w:p w14:paraId="44FC9918" w14:textId="77777777" w:rsidR="00F5432F" w:rsidRPr="00670755" w:rsidRDefault="00F5432F" w:rsidP="00F5432F">
            <w:pPr>
              <w:ind w:right="-144"/>
              <w:jc w:val="both"/>
              <w:rPr>
                <w:rFonts w:cs="Arial"/>
                <w:szCs w:val="20"/>
              </w:rPr>
            </w:pPr>
            <w:r w:rsidRPr="00670755">
              <w:rPr>
                <w:rFonts w:cs="Arial"/>
                <w:szCs w:val="20"/>
              </w:rPr>
              <w:t>Administrative expenses</w:t>
            </w:r>
          </w:p>
        </w:tc>
        <w:tc>
          <w:tcPr>
            <w:tcW w:w="142" w:type="dxa"/>
          </w:tcPr>
          <w:p w14:paraId="298A14AC" w14:textId="77777777" w:rsidR="00F5432F" w:rsidRPr="00670755" w:rsidRDefault="00F5432F" w:rsidP="00F5432F">
            <w:pPr>
              <w:pStyle w:val="Sub-header"/>
              <w:jc w:val="both"/>
            </w:pPr>
          </w:p>
        </w:tc>
        <w:tc>
          <w:tcPr>
            <w:tcW w:w="708" w:type="dxa"/>
          </w:tcPr>
          <w:p w14:paraId="3147D3FE" w14:textId="77777777" w:rsidR="00F5432F" w:rsidRPr="00F0063D" w:rsidRDefault="00F5432F" w:rsidP="00F5432F">
            <w:pPr>
              <w:tabs>
                <w:tab w:val="decimal" w:pos="705"/>
              </w:tabs>
              <w:ind w:right="-144"/>
              <w:jc w:val="both"/>
              <w:rPr>
                <w:rFonts w:cs="Arial"/>
                <w:b/>
                <w:bCs/>
              </w:rPr>
            </w:pPr>
          </w:p>
        </w:tc>
        <w:tc>
          <w:tcPr>
            <w:tcW w:w="1560" w:type="dxa"/>
          </w:tcPr>
          <w:p w14:paraId="2B9C7205" w14:textId="1CBCE42D" w:rsidR="00F5432F" w:rsidRPr="00F0063D" w:rsidRDefault="00714CED" w:rsidP="00F5432F">
            <w:pPr>
              <w:tabs>
                <w:tab w:val="decimal" w:pos="1424"/>
              </w:tabs>
              <w:ind w:right="-144"/>
              <w:jc w:val="both"/>
              <w:rPr>
                <w:rFonts w:eastAsia="Calibri" w:cs="Arial"/>
                <w:b/>
                <w:bCs/>
                <w:szCs w:val="20"/>
              </w:rPr>
            </w:pPr>
            <w:r>
              <w:rPr>
                <w:rFonts w:eastAsia="Calibri" w:cs="Arial"/>
                <w:b/>
                <w:bCs/>
                <w:szCs w:val="20"/>
              </w:rPr>
              <w:t>(24,6</w:t>
            </w:r>
            <w:r w:rsidR="0029712A">
              <w:rPr>
                <w:rFonts w:eastAsia="Calibri" w:cs="Arial"/>
                <w:b/>
                <w:bCs/>
                <w:szCs w:val="20"/>
              </w:rPr>
              <w:t>89</w:t>
            </w:r>
            <w:r>
              <w:rPr>
                <w:rFonts w:eastAsia="Calibri" w:cs="Arial"/>
                <w:b/>
                <w:bCs/>
                <w:szCs w:val="20"/>
              </w:rPr>
              <w:t>)</w:t>
            </w:r>
          </w:p>
        </w:tc>
        <w:tc>
          <w:tcPr>
            <w:tcW w:w="1584" w:type="dxa"/>
          </w:tcPr>
          <w:p w14:paraId="2BCEECE1" w14:textId="23BB3674" w:rsidR="00F5432F" w:rsidRPr="003339AF" w:rsidRDefault="00F5432F" w:rsidP="00F5432F">
            <w:pPr>
              <w:tabs>
                <w:tab w:val="decimal" w:pos="1424"/>
              </w:tabs>
              <w:ind w:right="-144"/>
              <w:jc w:val="both"/>
              <w:rPr>
                <w:rFonts w:cs="Arial"/>
              </w:rPr>
            </w:pPr>
            <w:r>
              <w:rPr>
                <w:rFonts w:eastAsia="Calibri" w:cs="Arial"/>
                <w:b/>
                <w:bCs/>
                <w:szCs w:val="20"/>
              </w:rPr>
              <w:t>(19,063)</w:t>
            </w:r>
          </w:p>
        </w:tc>
      </w:tr>
      <w:tr w:rsidR="00F5432F" w:rsidRPr="00670755" w14:paraId="6D6EF990" w14:textId="77777777" w:rsidTr="7821F417">
        <w:tc>
          <w:tcPr>
            <w:tcW w:w="4820" w:type="dxa"/>
          </w:tcPr>
          <w:p w14:paraId="1FCBB505" w14:textId="77777777" w:rsidR="00F5432F" w:rsidRPr="00670755" w:rsidRDefault="00F5432F" w:rsidP="00F5432F">
            <w:pPr>
              <w:ind w:right="-144"/>
              <w:jc w:val="both"/>
              <w:rPr>
                <w:rFonts w:cs="Arial"/>
                <w:szCs w:val="20"/>
              </w:rPr>
            </w:pPr>
          </w:p>
        </w:tc>
        <w:tc>
          <w:tcPr>
            <w:tcW w:w="142" w:type="dxa"/>
          </w:tcPr>
          <w:p w14:paraId="64EC503D" w14:textId="77777777" w:rsidR="00F5432F" w:rsidRPr="00670755" w:rsidRDefault="00F5432F" w:rsidP="00F5432F">
            <w:pPr>
              <w:pStyle w:val="Sub-header"/>
              <w:jc w:val="both"/>
            </w:pPr>
          </w:p>
        </w:tc>
        <w:tc>
          <w:tcPr>
            <w:tcW w:w="708" w:type="dxa"/>
          </w:tcPr>
          <w:p w14:paraId="58CF22AE" w14:textId="77777777" w:rsidR="00F5432F" w:rsidRPr="00F0063D" w:rsidRDefault="00F5432F" w:rsidP="00F5432F">
            <w:pPr>
              <w:tabs>
                <w:tab w:val="decimal" w:pos="705"/>
              </w:tabs>
              <w:ind w:right="-144"/>
              <w:jc w:val="both"/>
              <w:rPr>
                <w:rFonts w:cs="Arial"/>
                <w:u w:val="single"/>
              </w:rPr>
            </w:pPr>
          </w:p>
        </w:tc>
        <w:tc>
          <w:tcPr>
            <w:tcW w:w="1560" w:type="dxa"/>
          </w:tcPr>
          <w:p w14:paraId="1D7243FB" w14:textId="554E8F49" w:rsidR="00F5432F" w:rsidRPr="00F0063D" w:rsidRDefault="00F5432F" w:rsidP="00F5432F">
            <w:pPr>
              <w:tabs>
                <w:tab w:val="decimal" w:pos="1424"/>
              </w:tabs>
              <w:ind w:right="-144"/>
              <w:jc w:val="both"/>
              <w:rPr>
                <w:rFonts w:cs="Arial"/>
                <w:u w:val="single"/>
              </w:rPr>
            </w:pPr>
            <w:r w:rsidRPr="7821F417">
              <w:rPr>
                <w:rFonts w:cs="Arial"/>
                <w:u w:val="single"/>
              </w:rPr>
              <w:t>                  </w:t>
            </w:r>
          </w:p>
        </w:tc>
        <w:tc>
          <w:tcPr>
            <w:tcW w:w="1584" w:type="dxa"/>
          </w:tcPr>
          <w:p w14:paraId="43A6B4B2" w14:textId="7F8D462B" w:rsidR="00F5432F" w:rsidRPr="003339AF" w:rsidRDefault="00F5432F" w:rsidP="00F5432F">
            <w:pPr>
              <w:tabs>
                <w:tab w:val="decimal" w:pos="1424"/>
              </w:tabs>
              <w:ind w:right="-144"/>
              <w:jc w:val="both"/>
              <w:rPr>
                <w:rFonts w:cs="Arial"/>
                <w:u w:val="single"/>
              </w:rPr>
            </w:pPr>
            <w:r w:rsidRPr="7821F417">
              <w:rPr>
                <w:rFonts w:cs="Arial"/>
                <w:u w:val="single"/>
              </w:rPr>
              <w:t>                  </w:t>
            </w:r>
          </w:p>
        </w:tc>
      </w:tr>
      <w:tr w:rsidR="00F5432F" w:rsidRPr="00670755" w14:paraId="45217542" w14:textId="77777777" w:rsidTr="7821F417">
        <w:tc>
          <w:tcPr>
            <w:tcW w:w="4820" w:type="dxa"/>
          </w:tcPr>
          <w:p w14:paraId="5568EE8A" w14:textId="77777777" w:rsidR="00F5432F" w:rsidRPr="00670755" w:rsidRDefault="00F5432F" w:rsidP="00F5432F">
            <w:pPr>
              <w:ind w:right="-144"/>
              <w:jc w:val="both"/>
              <w:rPr>
                <w:rFonts w:cs="Arial"/>
                <w:szCs w:val="20"/>
              </w:rPr>
            </w:pPr>
          </w:p>
        </w:tc>
        <w:tc>
          <w:tcPr>
            <w:tcW w:w="142" w:type="dxa"/>
          </w:tcPr>
          <w:p w14:paraId="35940D42" w14:textId="77777777" w:rsidR="00F5432F" w:rsidRPr="00670755" w:rsidRDefault="00F5432F" w:rsidP="00F5432F">
            <w:pPr>
              <w:pStyle w:val="Sub-header"/>
              <w:jc w:val="both"/>
            </w:pPr>
          </w:p>
        </w:tc>
        <w:tc>
          <w:tcPr>
            <w:tcW w:w="708" w:type="dxa"/>
          </w:tcPr>
          <w:p w14:paraId="0BCD70C0" w14:textId="77777777" w:rsidR="00F5432F" w:rsidRPr="00F0063D" w:rsidRDefault="00F5432F" w:rsidP="00F5432F">
            <w:pPr>
              <w:tabs>
                <w:tab w:val="decimal" w:pos="705"/>
              </w:tabs>
              <w:ind w:right="-144"/>
              <w:jc w:val="both"/>
              <w:rPr>
                <w:rFonts w:cs="Arial"/>
                <w:b/>
                <w:bCs/>
              </w:rPr>
            </w:pPr>
          </w:p>
        </w:tc>
        <w:tc>
          <w:tcPr>
            <w:tcW w:w="1560" w:type="dxa"/>
          </w:tcPr>
          <w:p w14:paraId="636B2C12" w14:textId="77777777" w:rsidR="00F5432F" w:rsidRPr="00F0063D" w:rsidRDefault="00F5432F" w:rsidP="00F5432F">
            <w:pPr>
              <w:tabs>
                <w:tab w:val="decimal" w:pos="1424"/>
              </w:tabs>
              <w:ind w:right="-144"/>
              <w:jc w:val="both"/>
              <w:rPr>
                <w:rFonts w:cs="Arial"/>
                <w:b/>
                <w:bCs/>
              </w:rPr>
            </w:pPr>
          </w:p>
        </w:tc>
        <w:tc>
          <w:tcPr>
            <w:tcW w:w="1584" w:type="dxa"/>
          </w:tcPr>
          <w:p w14:paraId="2186A2D4" w14:textId="77777777" w:rsidR="00F5432F" w:rsidRPr="003339AF" w:rsidRDefault="00F5432F" w:rsidP="00F5432F">
            <w:pPr>
              <w:tabs>
                <w:tab w:val="decimal" w:pos="1424"/>
              </w:tabs>
              <w:ind w:right="-144"/>
              <w:jc w:val="both"/>
              <w:rPr>
                <w:rFonts w:cs="Arial"/>
              </w:rPr>
            </w:pPr>
          </w:p>
        </w:tc>
      </w:tr>
      <w:tr w:rsidR="00F5432F" w:rsidRPr="00670755" w14:paraId="582CBE38" w14:textId="77777777" w:rsidTr="7821F417">
        <w:tc>
          <w:tcPr>
            <w:tcW w:w="4820" w:type="dxa"/>
          </w:tcPr>
          <w:p w14:paraId="2F9C4170" w14:textId="7A34DF43" w:rsidR="00F5432F" w:rsidRPr="00670755" w:rsidRDefault="00F5432F" w:rsidP="00F5432F">
            <w:pPr>
              <w:ind w:right="-144"/>
              <w:jc w:val="both"/>
              <w:rPr>
                <w:rFonts w:cs="Arial"/>
                <w:b/>
                <w:szCs w:val="20"/>
              </w:rPr>
            </w:pPr>
            <w:r w:rsidRPr="00670755">
              <w:rPr>
                <w:rFonts w:cs="Arial"/>
                <w:b/>
                <w:szCs w:val="20"/>
              </w:rPr>
              <w:t>Operating profit</w:t>
            </w:r>
          </w:p>
        </w:tc>
        <w:tc>
          <w:tcPr>
            <w:tcW w:w="142" w:type="dxa"/>
          </w:tcPr>
          <w:p w14:paraId="18874513" w14:textId="77777777" w:rsidR="00F5432F" w:rsidRPr="00670755" w:rsidRDefault="00F5432F" w:rsidP="00F5432F">
            <w:pPr>
              <w:pStyle w:val="Sub-header"/>
              <w:jc w:val="both"/>
            </w:pPr>
          </w:p>
        </w:tc>
        <w:tc>
          <w:tcPr>
            <w:tcW w:w="708" w:type="dxa"/>
          </w:tcPr>
          <w:p w14:paraId="1871A626" w14:textId="77777777" w:rsidR="00F5432F" w:rsidRPr="00F0063D" w:rsidRDefault="00F5432F" w:rsidP="00F5432F">
            <w:pPr>
              <w:tabs>
                <w:tab w:val="decimal" w:pos="705"/>
              </w:tabs>
              <w:ind w:right="-144"/>
              <w:jc w:val="both"/>
              <w:rPr>
                <w:rFonts w:cs="Arial"/>
                <w:b/>
                <w:bCs/>
              </w:rPr>
            </w:pPr>
          </w:p>
        </w:tc>
        <w:tc>
          <w:tcPr>
            <w:tcW w:w="1560" w:type="dxa"/>
          </w:tcPr>
          <w:p w14:paraId="5AFFB4C7" w14:textId="3EACE885" w:rsidR="00F5432F" w:rsidRPr="00F0063D" w:rsidRDefault="002A0A9D" w:rsidP="00F5432F">
            <w:pPr>
              <w:tabs>
                <w:tab w:val="decimal" w:pos="1424"/>
              </w:tabs>
              <w:ind w:right="-144"/>
              <w:jc w:val="both"/>
              <w:rPr>
                <w:rFonts w:eastAsia="Calibri" w:cs="Arial"/>
                <w:b/>
                <w:bCs/>
                <w:szCs w:val="20"/>
              </w:rPr>
            </w:pPr>
            <w:r>
              <w:rPr>
                <w:rFonts w:eastAsia="Calibri" w:cs="Arial"/>
                <w:b/>
                <w:bCs/>
                <w:szCs w:val="20"/>
              </w:rPr>
              <w:t>42,08</w:t>
            </w:r>
            <w:r w:rsidR="00C31326">
              <w:rPr>
                <w:rFonts w:eastAsia="Calibri" w:cs="Arial"/>
                <w:b/>
                <w:bCs/>
                <w:szCs w:val="20"/>
              </w:rPr>
              <w:t>4</w:t>
            </w:r>
          </w:p>
        </w:tc>
        <w:tc>
          <w:tcPr>
            <w:tcW w:w="1584" w:type="dxa"/>
          </w:tcPr>
          <w:p w14:paraId="1EC7203E" w14:textId="00013A63" w:rsidR="00F5432F" w:rsidRPr="003339AF" w:rsidRDefault="00F5432F" w:rsidP="00F5432F">
            <w:pPr>
              <w:tabs>
                <w:tab w:val="decimal" w:pos="1424"/>
              </w:tabs>
              <w:ind w:right="-144"/>
              <w:jc w:val="both"/>
              <w:rPr>
                <w:rFonts w:eastAsia="Calibri" w:cs="Arial"/>
                <w:szCs w:val="20"/>
              </w:rPr>
            </w:pPr>
            <w:r>
              <w:rPr>
                <w:rFonts w:eastAsia="Calibri" w:cs="Arial"/>
                <w:b/>
                <w:bCs/>
                <w:szCs w:val="20"/>
              </w:rPr>
              <w:t>8,643</w:t>
            </w:r>
          </w:p>
        </w:tc>
      </w:tr>
      <w:tr w:rsidR="00F5432F" w:rsidRPr="00670755" w14:paraId="5B6938A9" w14:textId="77777777" w:rsidTr="7821F417">
        <w:tc>
          <w:tcPr>
            <w:tcW w:w="4820" w:type="dxa"/>
          </w:tcPr>
          <w:p w14:paraId="478A4010" w14:textId="77777777" w:rsidR="00F5432F" w:rsidRPr="00670755" w:rsidRDefault="00F5432F" w:rsidP="00F5432F">
            <w:pPr>
              <w:ind w:right="-144"/>
              <w:jc w:val="both"/>
              <w:rPr>
                <w:rFonts w:cs="Arial"/>
                <w:szCs w:val="20"/>
              </w:rPr>
            </w:pPr>
          </w:p>
        </w:tc>
        <w:tc>
          <w:tcPr>
            <w:tcW w:w="142" w:type="dxa"/>
          </w:tcPr>
          <w:p w14:paraId="1DC877DD" w14:textId="77777777" w:rsidR="00F5432F" w:rsidRPr="00670755" w:rsidRDefault="00F5432F" w:rsidP="00F5432F">
            <w:pPr>
              <w:pStyle w:val="Sub-header"/>
              <w:jc w:val="both"/>
            </w:pPr>
          </w:p>
        </w:tc>
        <w:tc>
          <w:tcPr>
            <w:tcW w:w="708" w:type="dxa"/>
          </w:tcPr>
          <w:p w14:paraId="2EAB08CB" w14:textId="77777777" w:rsidR="00F5432F" w:rsidRPr="00F0063D" w:rsidRDefault="00F5432F" w:rsidP="00F5432F">
            <w:pPr>
              <w:tabs>
                <w:tab w:val="decimal" w:pos="705"/>
              </w:tabs>
              <w:ind w:right="-144"/>
              <w:jc w:val="both"/>
              <w:rPr>
                <w:rFonts w:cs="Arial"/>
                <w:b/>
                <w:bCs/>
              </w:rPr>
            </w:pPr>
          </w:p>
        </w:tc>
        <w:tc>
          <w:tcPr>
            <w:tcW w:w="1560" w:type="dxa"/>
          </w:tcPr>
          <w:p w14:paraId="727D0D5D" w14:textId="77777777" w:rsidR="00F5432F" w:rsidRPr="00F0063D" w:rsidRDefault="00F5432F" w:rsidP="00F5432F">
            <w:pPr>
              <w:tabs>
                <w:tab w:val="decimal" w:pos="1424"/>
              </w:tabs>
              <w:ind w:right="-144"/>
              <w:jc w:val="both"/>
              <w:rPr>
                <w:rFonts w:cs="Arial"/>
                <w:b/>
                <w:bCs/>
              </w:rPr>
            </w:pPr>
          </w:p>
        </w:tc>
        <w:tc>
          <w:tcPr>
            <w:tcW w:w="1584" w:type="dxa"/>
          </w:tcPr>
          <w:p w14:paraId="42769CC6" w14:textId="77777777" w:rsidR="00F5432F" w:rsidRPr="003339AF" w:rsidRDefault="00F5432F" w:rsidP="00F5432F">
            <w:pPr>
              <w:tabs>
                <w:tab w:val="decimal" w:pos="1424"/>
              </w:tabs>
              <w:ind w:right="-144"/>
              <w:jc w:val="both"/>
              <w:rPr>
                <w:rFonts w:cs="Arial"/>
              </w:rPr>
            </w:pPr>
          </w:p>
        </w:tc>
      </w:tr>
      <w:tr w:rsidR="00F5432F" w:rsidRPr="00670755" w14:paraId="27A352E6" w14:textId="77777777" w:rsidTr="7821F417">
        <w:tc>
          <w:tcPr>
            <w:tcW w:w="4820" w:type="dxa"/>
          </w:tcPr>
          <w:p w14:paraId="6EAF9856" w14:textId="77777777" w:rsidR="00F5432F" w:rsidRPr="00670755" w:rsidRDefault="00F5432F" w:rsidP="00F5432F">
            <w:pPr>
              <w:ind w:right="-144"/>
              <w:jc w:val="both"/>
              <w:rPr>
                <w:rFonts w:cs="Arial"/>
                <w:szCs w:val="20"/>
              </w:rPr>
            </w:pPr>
            <w:r w:rsidRPr="00670755">
              <w:rPr>
                <w:rFonts w:cs="Arial"/>
                <w:szCs w:val="20"/>
              </w:rPr>
              <w:t>Finance expense</w:t>
            </w:r>
          </w:p>
        </w:tc>
        <w:tc>
          <w:tcPr>
            <w:tcW w:w="142" w:type="dxa"/>
          </w:tcPr>
          <w:p w14:paraId="61741F7D" w14:textId="77777777" w:rsidR="00F5432F" w:rsidRPr="00670755" w:rsidRDefault="00F5432F" w:rsidP="00F5432F">
            <w:pPr>
              <w:pStyle w:val="Sub-header"/>
              <w:jc w:val="both"/>
            </w:pPr>
          </w:p>
        </w:tc>
        <w:tc>
          <w:tcPr>
            <w:tcW w:w="708" w:type="dxa"/>
          </w:tcPr>
          <w:p w14:paraId="3EE8EF2D" w14:textId="77777777" w:rsidR="00F5432F" w:rsidRPr="00F0063D" w:rsidRDefault="00F5432F" w:rsidP="00F5432F">
            <w:pPr>
              <w:tabs>
                <w:tab w:val="decimal" w:pos="705"/>
              </w:tabs>
              <w:ind w:right="-144"/>
              <w:jc w:val="both"/>
              <w:rPr>
                <w:rFonts w:cs="Arial"/>
                <w:b/>
                <w:bCs/>
              </w:rPr>
            </w:pPr>
          </w:p>
        </w:tc>
        <w:tc>
          <w:tcPr>
            <w:tcW w:w="1560" w:type="dxa"/>
          </w:tcPr>
          <w:p w14:paraId="092C795A" w14:textId="5EDDE056" w:rsidR="00F5432F" w:rsidRPr="00F0063D" w:rsidRDefault="002A0A9D" w:rsidP="00F5432F">
            <w:pPr>
              <w:tabs>
                <w:tab w:val="decimal" w:pos="1424"/>
              </w:tabs>
              <w:ind w:right="-144"/>
              <w:jc w:val="both"/>
              <w:rPr>
                <w:rFonts w:eastAsia="Calibri" w:cs="Arial"/>
                <w:b/>
                <w:bCs/>
                <w:szCs w:val="20"/>
              </w:rPr>
            </w:pPr>
            <w:r>
              <w:rPr>
                <w:rFonts w:eastAsia="Calibri" w:cs="Arial"/>
                <w:b/>
                <w:bCs/>
                <w:szCs w:val="20"/>
              </w:rPr>
              <w:t>(9,612)</w:t>
            </w:r>
          </w:p>
        </w:tc>
        <w:tc>
          <w:tcPr>
            <w:tcW w:w="1584" w:type="dxa"/>
          </w:tcPr>
          <w:p w14:paraId="0A3829AC" w14:textId="3911F1AA" w:rsidR="00F5432F" w:rsidRPr="003339AF" w:rsidRDefault="00F5432F" w:rsidP="00F5432F">
            <w:pPr>
              <w:tabs>
                <w:tab w:val="decimal" w:pos="1424"/>
              </w:tabs>
              <w:ind w:right="-144"/>
              <w:jc w:val="both"/>
              <w:rPr>
                <w:rFonts w:cs="Arial"/>
              </w:rPr>
            </w:pPr>
            <w:r>
              <w:rPr>
                <w:rFonts w:eastAsia="Calibri" w:cs="Arial"/>
                <w:b/>
                <w:bCs/>
                <w:szCs w:val="20"/>
              </w:rPr>
              <w:t>(7,654)</w:t>
            </w:r>
          </w:p>
        </w:tc>
      </w:tr>
      <w:tr w:rsidR="00F5432F" w:rsidRPr="00670755" w14:paraId="3DB61538" w14:textId="77777777" w:rsidTr="7821F417">
        <w:tc>
          <w:tcPr>
            <w:tcW w:w="4820" w:type="dxa"/>
          </w:tcPr>
          <w:p w14:paraId="3FB009DC" w14:textId="77777777" w:rsidR="00F5432F" w:rsidRPr="00670755" w:rsidRDefault="00F5432F" w:rsidP="00F5432F">
            <w:pPr>
              <w:ind w:right="-144"/>
              <w:jc w:val="both"/>
              <w:rPr>
                <w:rFonts w:cs="Arial"/>
                <w:szCs w:val="20"/>
              </w:rPr>
            </w:pPr>
          </w:p>
        </w:tc>
        <w:tc>
          <w:tcPr>
            <w:tcW w:w="142" w:type="dxa"/>
          </w:tcPr>
          <w:p w14:paraId="5F7721A0" w14:textId="77777777" w:rsidR="00F5432F" w:rsidRPr="00670755" w:rsidRDefault="00F5432F" w:rsidP="00F5432F">
            <w:pPr>
              <w:pStyle w:val="Sub-header"/>
              <w:jc w:val="both"/>
            </w:pPr>
          </w:p>
        </w:tc>
        <w:tc>
          <w:tcPr>
            <w:tcW w:w="708" w:type="dxa"/>
          </w:tcPr>
          <w:p w14:paraId="7851D5C2" w14:textId="77777777" w:rsidR="00F5432F" w:rsidRPr="00F0063D" w:rsidRDefault="00F5432F" w:rsidP="00F5432F">
            <w:pPr>
              <w:tabs>
                <w:tab w:val="decimal" w:pos="705"/>
              </w:tabs>
              <w:ind w:right="-144"/>
              <w:jc w:val="both"/>
              <w:rPr>
                <w:rFonts w:cs="Arial"/>
                <w:u w:val="single"/>
              </w:rPr>
            </w:pPr>
          </w:p>
        </w:tc>
        <w:tc>
          <w:tcPr>
            <w:tcW w:w="1560" w:type="dxa"/>
          </w:tcPr>
          <w:p w14:paraId="76825D1F" w14:textId="7EC9DF11" w:rsidR="00F5432F" w:rsidRPr="00F0063D" w:rsidRDefault="00F5432F" w:rsidP="00F5432F">
            <w:pPr>
              <w:tabs>
                <w:tab w:val="decimal" w:pos="1424"/>
              </w:tabs>
              <w:ind w:right="-144"/>
              <w:jc w:val="both"/>
              <w:rPr>
                <w:rFonts w:cs="Arial"/>
                <w:u w:val="single"/>
              </w:rPr>
            </w:pPr>
            <w:r w:rsidRPr="7821F417">
              <w:rPr>
                <w:rFonts w:cs="Arial"/>
                <w:u w:val="single"/>
              </w:rPr>
              <w:t>                  </w:t>
            </w:r>
          </w:p>
        </w:tc>
        <w:tc>
          <w:tcPr>
            <w:tcW w:w="1584" w:type="dxa"/>
          </w:tcPr>
          <w:p w14:paraId="023B72F7" w14:textId="052BA1D8" w:rsidR="00F5432F" w:rsidRPr="003339AF" w:rsidRDefault="00F5432F" w:rsidP="00F5432F">
            <w:pPr>
              <w:tabs>
                <w:tab w:val="decimal" w:pos="1424"/>
              </w:tabs>
              <w:ind w:right="-144"/>
              <w:jc w:val="both"/>
              <w:rPr>
                <w:rFonts w:cs="Arial"/>
                <w:u w:val="single"/>
              </w:rPr>
            </w:pPr>
            <w:r w:rsidRPr="7821F417">
              <w:rPr>
                <w:rFonts w:cs="Arial"/>
                <w:u w:val="single"/>
              </w:rPr>
              <w:t>                  </w:t>
            </w:r>
          </w:p>
        </w:tc>
      </w:tr>
      <w:tr w:rsidR="00F5432F" w:rsidRPr="00670755" w14:paraId="300A83FE" w14:textId="77777777" w:rsidTr="7821F417">
        <w:tc>
          <w:tcPr>
            <w:tcW w:w="4820" w:type="dxa"/>
          </w:tcPr>
          <w:p w14:paraId="0D58D4A0" w14:textId="77777777" w:rsidR="00F5432F" w:rsidRPr="00670755" w:rsidRDefault="00F5432F" w:rsidP="00F5432F">
            <w:pPr>
              <w:ind w:right="-144"/>
              <w:jc w:val="both"/>
              <w:rPr>
                <w:rFonts w:cs="Arial"/>
                <w:szCs w:val="20"/>
              </w:rPr>
            </w:pPr>
          </w:p>
        </w:tc>
        <w:tc>
          <w:tcPr>
            <w:tcW w:w="142" w:type="dxa"/>
          </w:tcPr>
          <w:p w14:paraId="23E1A8FC" w14:textId="77777777" w:rsidR="00F5432F" w:rsidRPr="00670755" w:rsidRDefault="00F5432F" w:rsidP="00F5432F">
            <w:pPr>
              <w:pStyle w:val="Sub-header"/>
              <w:jc w:val="both"/>
            </w:pPr>
          </w:p>
        </w:tc>
        <w:tc>
          <w:tcPr>
            <w:tcW w:w="708" w:type="dxa"/>
          </w:tcPr>
          <w:p w14:paraId="231CA17E" w14:textId="77777777" w:rsidR="00F5432F" w:rsidRPr="00F0063D" w:rsidRDefault="00F5432F" w:rsidP="00F5432F">
            <w:pPr>
              <w:tabs>
                <w:tab w:val="decimal" w:pos="705"/>
              </w:tabs>
              <w:ind w:right="-144"/>
              <w:jc w:val="both"/>
              <w:rPr>
                <w:rFonts w:cs="Arial"/>
                <w:b/>
                <w:bCs/>
              </w:rPr>
            </w:pPr>
          </w:p>
        </w:tc>
        <w:tc>
          <w:tcPr>
            <w:tcW w:w="1560" w:type="dxa"/>
          </w:tcPr>
          <w:p w14:paraId="1C6C1F5D" w14:textId="77777777" w:rsidR="00F5432F" w:rsidRPr="00F0063D" w:rsidRDefault="00F5432F" w:rsidP="00F5432F">
            <w:pPr>
              <w:tabs>
                <w:tab w:val="decimal" w:pos="1424"/>
              </w:tabs>
              <w:ind w:right="-144"/>
              <w:jc w:val="both"/>
              <w:rPr>
                <w:rFonts w:cs="Arial"/>
                <w:b/>
                <w:bCs/>
              </w:rPr>
            </w:pPr>
          </w:p>
        </w:tc>
        <w:tc>
          <w:tcPr>
            <w:tcW w:w="1584" w:type="dxa"/>
          </w:tcPr>
          <w:p w14:paraId="7AFBFC49" w14:textId="77777777" w:rsidR="00F5432F" w:rsidRPr="003339AF" w:rsidRDefault="00F5432F" w:rsidP="00F5432F">
            <w:pPr>
              <w:tabs>
                <w:tab w:val="decimal" w:pos="1424"/>
              </w:tabs>
              <w:ind w:right="-144"/>
              <w:jc w:val="both"/>
              <w:rPr>
                <w:rFonts w:cs="Arial"/>
              </w:rPr>
            </w:pPr>
          </w:p>
        </w:tc>
      </w:tr>
      <w:tr w:rsidR="00F5432F" w:rsidRPr="00670755" w14:paraId="3D29554B" w14:textId="77777777" w:rsidTr="7821F417">
        <w:tc>
          <w:tcPr>
            <w:tcW w:w="4820" w:type="dxa"/>
          </w:tcPr>
          <w:p w14:paraId="1E766A56" w14:textId="11CCC9CA" w:rsidR="00F5432F" w:rsidRPr="00670755" w:rsidRDefault="00F5432F" w:rsidP="00F5432F">
            <w:pPr>
              <w:ind w:right="-144"/>
              <w:jc w:val="both"/>
              <w:rPr>
                <w:rFonts w:cs="Arial"/>
                <w:b/>
                <w:szCs w:val="20"/>
              </w:rPr>
            </w:pPr>
            <w:r>
              <w:rPr>
                <w:rFonts w:cs="Arial"/>
                <w:b/>
                <w:szCs w:val="20"/>
              </w:rPr>
              <w:t>Profit before tax</w:t>
            </w:r>
          </w:p>
        </w:tc>
        <w:tc>
          <w:tcPr>
            <w:tcW w:w="142" w:type="dxa"/>
          </w:tcPr>
          <w:p w14:paraId="3FDA2E86" w14:textId="77777777" w:rsidR="00F5432F" w:rsidRPr="00670755" w:rsidRDefault="00F5432F" w:rsidP="00F5432F">
            <w:pPr>
              <w:pStyle w:val="Sub-header"/>
              <w:jc w:val="both"/>
            </w:pPr>
          </w:p>
        </w:tc>
        <w:tc>
          <w:tcPr>
            <w:tcW w:w="708" w:type="dxa"/>
          </w:tcPr>
          <w:p w14:paraId="303796E2" w14:textId="77777777" w:rsidR="00F5432F" w:rsidRPr="00BD06CC" w:rsidRDefault="00F5432F" w:rsidP="00F5432F">
            <w:pPr>
              <w:tabs>
                <w:tab w:val="decimal" w:pos="705"/>
              </w:tabs>
              <w:ind w:right="-144"/>
              <w:jc w:val="both"/>
              <w:rPr>
                <w:rFonts w:cs="Arial"/>
                <w:i/>
                <w:iCs/>
              </w:rPr>
            </w:pPr>
          </w:p>
        </w:tc>
        <w:tc>
          <w:tcPr>
            <w:tcW w:w="1560" w:type="dxa"/>
          </w:tcPr>
          <w:p w14:paraId="5FA42B86" w14:textId="45826510" w:rsidR="00F5432F" w:rsidRPr="00F0063D" w:rsidRDefault="002A0A9D" w:rsidP="00F5432F">
            <w:pPr>
              <w:tabs>
                <w:tab w:val="decimal" w:pos="1424"/>
              </w:tabs>
              <w:ind w:right="-144"/>
              <w:jc w:val="both"/>
              <w:rPr>
                <w:rFonts w:eastAsia="Calibri" w:cs="Arial"/>
                <w:b/>
                <w:bCs/>
                <w:szCs w:val="20"/>
              </w:rPr>
            </w:pPr>
            <w:r>
              <w:rPr>
                <w:rFonts w:eastAsia="Calibri" w:cs="Arial"/>
                <w:b/>
                <w:bCs/>
                <w:szCs w:val="20"/>
              </w:rPr>
              <w:t>32,47</w:t>
            </w:r>
            <w:r w:rsidR="00C31326">
              <w:rPr>
                <w:rFonts w:eastAsia="Calibri" w:cs="Arial"/>
                <w:b/>
                <w:bCs/>
                <w:szCs w:val="20"/>
              </w:rPr>
              <w:t>2</w:t>
            </w:r>
          </w:p>
        </w:tc>
        <w:tc>
          <w:tcPr>
            <w:tcW w:w="1584" w:type="dxa"/>
          </w:tcPr>
          <w:p w14:paraId="3826A233" w14:textId="0FFDEE08" w:rsidR="00F5432F" w:rsidRPr="003339AF" w:rsidRDefault="00F5432F" w:rsidP="00F5432F">
            <w:pPr>
              <w:tabs>
                <w:tab w:val="decimal" w:pos="1424"/>
              </w:tabs>
              <w:ind w:right="-144"/>
              <w:jc w:val="both"/>
              <w:rPr>
                <w:rFonts w:eastAsia="Calibri" w:cs="Arial"/>
                <w:szCs w:val="20"/>
              </w:rPr>
            </w:pPr>
            <w:r>
              <w:rPr>
                <w:rFonts w:eastAsia="Calibri" w:cs="Arial"/>
                <w:b/>
                <w:bCs/>
                <w:szCs w:val="20"/>
              </w:rPr>
              <w:t>989</w:t>
            </w:r>
          </w:p>
        </w:tc>
      </w:tr>
      <w:tr w:rsidR="00F5432F" w:rsidRPr="00670755" w14:paraId="4572ACFC" w14:textId="77777777" w:rsidTr="7821F417">
        <w:tc>
          <w:tcPr>
            <w:tcW w:w="4820" w:type="dxa"/>
          </w:tcPr>
          <w:p w14:paraId="75BA051F" w14:textId="77777777" w:rsidR="00F5432F" w:rsidRPr="00670755" w:rsidRDefault="00F5432F" w:rsidP="00F5432F">
            <w:pPr>
              <w:ind w:right="-144"/>
              <w:jc w:val="both"/>
              <w:rPr>
                <w:rFonts w:cs="Arial"/>
                <w:b/>
                <w:szCs w:val="20"/>
              </w:rPr>
            </w:pPr>
          </w:p>
        </w:tc>
        <w:tc>
          <w:tcPr>
            <w:tcW w:w="142" w:type="dxa"/>
          </w:tcPr>
          <w:p w14:paraId="7C635F28" w14:textId="77777777" w:rsidR="00F5432F" w:rsidRPr="00670755" w:rsidRDefault="00F5432F" w:rsidP="00F5432F">
            <w:pPr>
              <w:pStyle w:val="Sub-header"/>
              <w:jc w:val="both"/>
            </w:pPr>
          </w:p>
        </w:tc>
        <w:tc>
          <w:tcPr>
            <w:tcW w:w="708" w:type="dxa"/>
          </w:tcPr>
          <w:p w14:paraId="0B468D20" w14:textId="77777777" w:rsidR="00F5432F" w:rsidRPr="00F0063D" w:rsidRDefault="00F5432F" w:rsidP="00F5432F">
            <w:pPr>
              <w:tabs>
                <w:tab w:val="decimal" w:pos="705"/>
              </w:tabs>
              <w:ind w:right="-144"/>
              <w:jc w:val="both"/>
              <w:rPr>
                <w:rFonts w:cs="Arial"/>
                <w:b/>
                <w:bCs/>
              </w:rPr>
            </w:pPr>
          </w:p>
        </w:tc>
        <w:tc>
          <w:tcPr>
            <w:tcW w:w="1560" w:type="dxa"/>
          </w:tcPr>
          <w:p w14:paraId="2CA0C763" w14:textId="77777777" w:rsidR="00F5432F" w:rsidRPr="00F0063D" w:rsidRDefault="00F5432F" w:rsidP="00F5432F">
            <w:pPr>
              <w:tabs>
                <w:tab w:val="decimal" w:pos="1424"/>
              </w:tabs>
              <w:ind w:right="-144"/>
              <w:jc w:val="both"/>
              <w:rPr>
                <w:rFonts w:cs="Arial"/>
                <w:b/>
                <w:bCs/>
              </w:rPr>
            </w:pPr>
          </w:p>
        </w:tc>
        <w:tc>
          <w:tcPr>
            <w:tcW w:w="1584" w:type="dxa"/>
          </w:tcPr>
          <w:p w14:paraId="2F0DF4BC" w14:textId="77777777" w:rsidR="00F5432F" w:rsidRPr="003339AF" w:rsidRDefault="00F5432F" w:rsidP="00F5432F">
            <w:pPr>
              <w:tabs>
                <w:tab w:val="decimal" w:pos="1424"/>
              </w:tabs>
              <w:ind w:right="-144"/>
              <w:jc w:val="both"/>
              <w:rPr>
                <w:rFonts w:cs="Arial"/>
              </w:rPr>
            </w:pPr>
          </w:p>
        </w:tc>
      </w:tr>
      <w:tr w:rsidR="00F5432F" w:rsidRPr="00670755" w14:paraId="2EF813D5" w14:textId="77777777" w:rsidTr="7821F417">
        <w:tc>
          <w:tcPr>
            <w:tcW w:w="4820" w:type="dxa"/>
          </w:tcPr>
          <w:p w14:paraId="5B630D79" w14:textId="61E82ED0" w:rsidR="00F5432F" w:rsidRPr="00670755" w:rsidRDefault="00F5432F" w:rsidP="00F5432F">
            <w:pPr>
              <w:ind w:right="-144"/>
              <w:jc w:val="both"/>
              <w:rPr>
                <w:rFonts w:cs="Arial"/>
                <w:szCs w:val="20"/>
              </w:rPr>
            </w:pPr>
            <w:r>
              <w:rPr>
                <w:rFonts w:cs="Arial"/>
                <w:szCs w:val="20"/>
              </w:rPr>
              <w:t xml:space="preserve">Income tax </w:t>
            </w:r>
          </w:p>
        </w:tc>
        <w:tc>
          <w:tcPr>
            <w:tcW w:w="142" w:type="dxa"/>
          </w:tcPr>
          <w:p w14:paraId="0208B134" w14:textId="77777777" w:rsidR="00F5432F" w:rsidRPr="00670755" w:rsidRDefault="00F5432F" w:rsidP="00F5432F">
            <w:pPr>
              <w:pStyle w:val="Sub-header"/>
              <w:jc w:val="both"/>
            </w:pPr>
          </w:p>
        </w:tc>
        <w:tc>
          <w:tcPr>
            <w:tcW w:w="708" w:type="dxa"/>
          </w:tcPr>
          <w:p w14:paraId="2282CDFE" w14:textId="5ED0D9D8" w:rsidR="00F5432F" w:rsidRPr="00F0063D" w:rsidRDefault="00F5432F" w:rsidP="00F5432F">
            <w:pPr>
              <w:tabs>
                <w:tab w:val="decimal" w:pos="422"/>
              </w:tabs>
              <w:ind w:right="-144"/>
              <w:jc w:val="both"/>
              <w:rPr>
                <w:rFonts w:cs="Arial"/>
                <w:b/>
                <w:bCs/>
              </w:rPr>
            </w:pPr>
            <w:r w:rsidRPr="7821F417">
              <w:rPr>
                <w:rFonts w:cs="Arial"/>
                <w:i/>
                <w:iCs/>
              </w:rPr>
              <w:t>10</w:t>
            </w:r>
          </w:p>
        </w:tc>
        <w:tc>
          <w:tcPr>
            <w:tcW w:w="1560" w:type="dxa"/>
          </w:tcPr>
          <w:p w14:paraId="0F25424D" w14:textId="080A60B7" w:rsidR="00F5432F" w:rsidRPr="00F0063D" w:rsidRDefault="002A0A9D" w:rsidP="00F5432F">
            <w:pPr>
              <w:tabs>
                <w:tab w:val="decimal" w:pos="1424"/>
              </w:tabs>
              <w:ind w:right="-144"/>
              <w:jc w:val="both"/>
              <w:rPr>
                <w:rFonts w:eastAsia="Calibri" w:cs="Arial"/>
                <w:b/>
                <w:bCs/>
                <w:szCs w:val="20"/>
              </w:rPr>
            </w:pPr>
            <w:r>
              <w:rPr>
                <w:rFonts w:eastAsia="Calibri" w:cs="Arial"/>
                <w:b/>
                <w:bCs/>
                <w:szCs w:val="20"/>
              </w:rPr>
              <w:t>(4,116)</w:t>
            </w:r>
          </w:p>
        </w:tc>
        <w:tc>
          <w:tcPr>
            <w:tcW w:w="1584" w:type="dxa"/>
          </w:tcPr>
          <w:p w14:paraId="236D30DB" w14:textId="1C220215" w:rsidR="00F5432F" w:rsidRPr="003339AF" w:rsidRDefault="00F5432F" w:rsidP="00F5432F">
            <w:pPr>
              <w:tabs>
                <w:tab w:val="decimal" w:pos="1424"/>
              </w:tabs>
              <w:ind w:right="-144"/>
              <w:jc w:val="both"/>
              <w:rPr>
                <w:rFonts w:eastAsia="Calibri" w:cs="Arial"/>
                <w:szCs w:val="20"/>
              </w:rPr>
            </w:pPr>
            <w:r>
              <w:rPr>
                <w:rFonts w:eastAsia="Calibri" w:cs="Arial"/>
                <w:b/>
                <w:bCs/>
                <w:szCs w:val="20"/>
              </w:rPr>
              <w:t>(319)</w:t>
            </w:r>
          </w:p>
        </w:tc>
      </w:tr>
      <w:tr w:rsidR="00F5432F" w:rsidRPr="00670755" w14:paraId="4D1EC59B" w14:textId="77777777" w:rsidTr="7821F417">
        <w:tc>
          <w:tcPr>
            <w:tcW w:w="4820" w:type="dxa"/>
          </w:tcPr>
          <w:p w14:paraId="7E1D96C9" w14:textId="77777777" w:rsidR="00F5432F" w:rsidRPr="00670755" w:rsidRDefault="00F5432F" w:rsidP="00F5432F">
            <w:pPr>
              <w:ind w:right="-144"/>
              <w:jc w:val="both"/>
              <w:rPr>
                <w:rFonts w:cs="Arial"/>
                <w:szCs w:val="20"/>
              </w:rPr>
            </w:pPr>
          </w:p>
        </w:tc>
        <w:tc>
          <w:tcPr>
            <w:tcW w:w="142" w:type="dxa"/>
          </w:tcPr>
          <w:p w14:paraId="502E9701" w14:textId="77777777" w:rsidR="00F5432F" w:rsidRPr="00670755" w:rsidRDefault="00F5432F" w:rsidP="00F5432F">
            <w:pPr>
              <w:pStyle w:val="Sub-header"/>
              <w:jc w:val="both"/>
            </w:pPr>
          </w:p>
        </w:tc>
        <w:tc>
          <w:tcPr>
            <w:tcW w:w="708" w:type="dxa"/>
          </w:tcPr>
          <w:p w14:paraId="2663D01D" w14:textId="77777777" w:rsidR="00F5432F" w:rsidRPr="00F0063D" w:rsidRDefault="00F5432F" w:rsidP="00F5432F">
            <w:pPr>
              <w:tabs>
                <w:tab w:val="decimal" w:pos="705"/>
              </w:tabs>
              <w:ind w:right="-144"/>
              <w:jc w:val="both"/>
              <w:rPr>
                <w:rFonts w:cs="Arial"/>
                <w:u w:val="single"/>
              </w:rPr>
            </w:pPr>
          </w:p>
        </w:tc>
        <w:tc>
          <w:tcPr>
            <w:tcW w:w="1560" w:type="dxa"/>
          </w:tcPr>
          <w:p w14:paraId="5E33BEB4" w14:textId="08DE8CA0" w:rsidR="00F5432F" w:rsidRPr="00F0063D" w:rsidRDefault="00F5432F" w:rsidP="00F5432F">
            <w:pPr>
              <w:tabs>
                <w:tab w:val="decimal" w:pos="1424"/>
              </w:tabs>
              <w:ind w:right="-144"/>
              <w:jc w:val="both"/>
              <w:rPr>
                <w:rFonts w:cs="Arial"/>
                <w:u w:val="single"/>
              </w:rPr>
            </w:pPr>
            <w:r w:rsidRPr="7821F417">
              <w:rPr>
                <w:rFonts w:cs="Arial"/>
                <w:u w:val="single"/>
              </w:rPr>
              <w:t>                  </w:t>
            </w:r>
          </w:p>
        </w:tc>
        <w:tc>
          <w:tcPr>
            <w:tcW w:w="1584" w:type="dxa"/>
          </w:tcPr>
          <w:p w14:paraId="0227D4E3" w14:textId="7AD73D3C" w:rsidR="00F5432F" w:rsidRPr="003339AF" w:rsidRDefault="00F5432F" w:rsidP="00F5432F">
            <w:pPr>
              <w:tabs>
                <w:tab w:val="decimal" w:pos="1424"/>
              </w:tabs>
              <w:ind w:right="-144"/>
              <w:jc w:val="both"/>
              <w:rPr>
                <w:rFonts w:cs="Arial"/>
                <w:u w:val="single"/>
              </w:rPr>
            </w:pPr>
            <w:r w:rsidRPr="7821F417">
              <w:rPr>
                <w:rFonts w:cs="Arial"/>
                <w:u w:val="single"/>
              </w:rPr>
              <w:t>                  </w:t>
            </w:r>
          </w:p>
        </w:tc>
      </w:tr>
      <w:tr w:rsidR="00F5432F" w:rsidRPr="00670755" w14:paraId="55134CFD" w14:textId="77777777" w:rsidTr="7821F417">
        <w:tc>
          <w:tcPr>
            <w:tcW w:w="4820" w:type="dxa"/>
          </w:tcPr>
          <w:p w14:paraId="308FAD8B" w14:textId="77777777" w:rsidR="00F5432F" w:rsidRPr="00670755" w:rsidRDefault="00F5432F" w:rsidP="00F5432F">
            <w:pPr>
              <w:ind w:right="-144"/>
              <w:jc w:val="both"/>
              <w:rPr>
                <w:rFonts w:cs="Arial"/>
                <w:szCs w:val="20"/>
              </w:rPr>
            </w:pPr>
          </w:p>
        </w:tc>
        <w:tc>
          <w:tcPr>
            <w:tcW w:w="142" w:type="dxa"/>
          </w:tcPr>
          <w:p w14:paraId="13017D00" w14:textId="77777777" w:rsidR="00F5432F" w:rsidRPr="00670755" w:rsidRDefault="00F5432F" w:rsidP="00F5432F">
            <w:pPr>
              <w:pStyle w:val="Sub-header"/>
              <w:jc w:val="both"/>
            </w:pPr>
          </w:p>
        </w:tc>
        <w:tc>
          <w:tcPr>
            <w:tcW w:w="708" w:type="dxa"/>
          </w:tcPr>
          <w:p w14:paraId="3B2511C3" w14:textId="77777777" w:rsidR="00F5432F" w:rsidRPr="00F0063D" w:rsidRDefault="00F5432F" w:rsidP="00F5432F">
            <w:pPr>
              <w:tabs>
                <w:tab w:val="decimal" w:pos="705"/>
              </w:tabs>
              <w:ind w:right="-144"/>
              <w:jc w:val="both"/>
              <w:rPr>
                <w:rFonts w:cs="Arial"/>
                <w:u w:val="single"/>
              </w:rPr>
            </w:pPr>
          </w:p>
        </w:tc>
        <w:tc>
          <w:tcPr>
            <w:tcW w:w="1560" w:type="dxa"/>
          </w:tcPr>
          <w:p w14:paraId="1827387D" w14:textId="77777777" w:rsidR="00F5432F" w:rsidRPr="00F0063D" w:rsidRDefault="00F5432F" w:rsidP="00F5432F">
            <w:pPr>
              <w:tabs>
                <w:tab w:val="decimal" w:pos="1424"/>
              </w:tabs>
              <w:ind w:right="-144"/>
              <w:jc w:val="both"/>
              <w:rPr>
                <w:rFonts w:cs="Arial"/>
                <w:u w:val="single"/>
              </w:rPr>
            </w:pPr>
          </w:p>
        </w:tc>
        <w:tc>
          <w:tcPr>
            <w:tcW w:w="1584" w:type="dxa"/>
          </w:tcPr>
          <w:p w14:paraId="33AED44D" w14:textId="77777777" w:rsidR="00F5432F" w:rsidRPr="003339AF" w:rsidRDefault="00F5432F" w:rsidP="00F5432F">
            <w:pPr>
              <w:tabs>
                <w:tab w:val="decimal" w:pos="1424"/>
              </w:tabs>
              <w:ind w:right="-144"/>
              <w:jc w:val="both"/>
              <w:rPr>
                <w:rFonts w:cs="Arial"/>
                <w:u w:val="single"/>
              </w:rPr>
            </w:pPr>
          </w:p>
        </w:tc>
      </w:tr>
      <w:tr w:rsidR="00F5432F" w:rsidRPr="00670755" w14:paraId="58835B9E" w14:textId="77777777" w:rsidTr="7821F417">
        <w:trPr>
          <w:trHeight w:val="112"/>
        </w:trPr>
        <w:tc>
          <w:tcPr>
            <w:tcW w:w="4820" w:type="dxa"/>
          </w:tcPr>
          <w:p w14:paraId="11A51A80" w14:textId="534573D0" w:rsidR="00F5432F" w:rsidRDefault="00F5432F" w:rsidP="00F5432F">
            <w:pPr>
              <w:ind w:right="-144"/>
              <w:jc w:val="both"/>
              <w:rPr>
                <w:rFonts w:cs="Arial"/>
                <w:b/>
                <w:szCs w:val="20"/>
              </w:rPr>
            </w:pPr>
            <w:r>
              <w:rPr>
                <w:rFonts w:cs="Arial"/>
                <w:b/>
                <w:szCs w:val="20"/>
              </w:rPr>
              <w:t>Profit</w:t>
            </w:r>
            <w:r w:rsidRPr="00670755">
              <w:rPr>
                <w:rFonts w:cs="Arial"/>
                <w:b/>
                <w:szCs w:val="20"/>
              </w:rPr>
              <w:t xml:space="preserve"> after tax</w:t>
            </w:r>
          </w:p>
        </w:tc>
        <w:tc>
          <w:tcPr>
            <w:tcW w:w="142" w:type="dxa"/>
          </w:tcPr>
          <w:p w14:paraId="05F657CD" w14:textId="77777777" w:rsidR="00F5432F" w:rsidRPr="00670755" w:rsidRDefault="00F5432F" w:rsidP="00F5432F">
            <w:pPr>
              <w:pStyle w:val="Sub-header"/>
              <w:jc w:val="both"/>
            </w:pPr>
          </w:p>
        </w:tc>
        <w:tc>
          <w:tcPr>
            <w:tcW w:w="708" w:type="dxa"/>
          </w:tcPr>
          <w:p w14:paraId="569308E5" w14:textId="77777777" w:rsidR="00F5432F" w:rsidRPr="00F0063D" w:rsidRDefault="00F5432F" w:rsidP="00F5432F">
            <w:pPr>
              <w:tabs>
                <w:tab w:val="decimal" w:pos="705"/>
              </w:tabs>
              <w:ind w:right="-144"/>
              <w:jc w:val="both"/>
              <w:rPr>
                <w:rFonts w:cs="Arial"/>
                <w:b/>
                <w:bCs/>
              </w:rPr>
            </w:pPr>
          </w:p>
        </w:tc>
        <w:tc>
          <w:tcPr>
            <w:tcW w:w="1560" w:type="dxa"/>
          </w:tcPr>
          <w:p w14:paraId="61C92696" w14:textId="63B48297" w:rsidR="00F5432F" w:rsidRPr="00F0063D" w:rsidRDefault="002A0A9D" w:rsidP="00F5432F">
            <w:pPr>
              <w:tabs>
                <w:tab w:val="decimal" w:pos="1424"/>
              </w:tabs>
              <w:ind w:right="-144"/>
              <w:jc w:val="both"/>
              <w:rPr>
                <w:rFonts w:cs="Arial"/>
                <w:b/>
                <w:bCs/>
              </w:rPr>
            </w:pPr>
            <w:r>
              <w:rPr>
                <w:rFonts w:cs="Arial"/>
                <w:b/>
                <w:bCs/>
              </w:rPr>
              <w:t>28,35</w:t>
            </w:r>
            <w:r w:rsidR="00C31326">
              <w:rPr>
                <w:rFonts w:cs="Arial"/>
                <w:b/>
                <w:bCs/>
              </w:rPr>
              <w:t>6</w:t>
            </w:r>
          </w:p>
        </w:tc>
        <w:tc>
          <w:tcPr>
            <w:tcW w:w="1584" w:type="dxa"/>
          </w:tcPr>
          <w:p w14:paraId="7CDA29D2" w14:textId="139DBE8F" w:rsidR="00F5432F" w:rsidRPr="003339AF" w:rsidRDefault="00F5432F" w:rsidP="00F5432F">
            <w:pPr>
              <w:tabs>
                <w:tab w:val="decimal" w:pos="1424"/>
              </w:tabs>
              <w:ind w:right="-144"/>
              <w:jc w:val="both"/>
              <w:rPr>
                <w:rFonts w:eastAsia="Calibri" w:cs="Arial"/>
                <w:szCs w:val="20"/>
              </w:rPr>
            </w:pPr>
            <w:r>
              <w:rPr>
                <w:rFonts w:cs="Arial"/>
                <w:b/>
                <w:bCs/>
              </w:rPr>
              <w:t>670</w:t>
            </w:r>
          </w:p>
        </w:tc>
      </w:tr>
      <w:tr w:rsidR="00F5432F" w:rsidRPr="00670755" w14:paraId="12D94B81" w14:textId="77777777" w:rsidTr="7821F417">
        <w:trPr>
          <w:trHeight w:val="80"/>
        </w:trPr>
        <w:tc>
          <w:tcPr>
            <w:tcW w:w="4820" w:type="dxa"/>
          </w:tcPr>
          <w:p w14:paraId="425E9FD4" w14:textId="77777777" w:rsidR="00F5432F" w:rsidRPr="00670755" w:rsidRDefault="00F5432F" w:rsidP="00F5432F">
            <w:pPr>
              <w:ind w:right="-144"/>
              <w:jc w:val="both"/>
              <w:rPr>
                <w:rFonts w:cs="Arial"/>
                <w:szCs w:val="20"/>
              </w:rPr>
            </w:pPr>
          </w:p>
        </w:tc>
        <w:tc>
          <w:tcPr>
            <w:tcW w:w="142" w:type="dxa"/>
          </w:tcPr>
          <w:p w14:paraId="43266347" w14:textId="77777777" w:rsidR="00F5432F" w:rsidRPr="00670755" w:rsidRDefault="00F5432F" w:rsidP="00F5432F">
            <w:pPr>
              <w:pStyle w:val="Sub-header"/>
              <w:jc w:val="both"/>
            </w:pPr>
          </w:p>
        </w:tc>
        <w:tc>
          <w:tcPr>
            <w:tcW w:w="708" w:type="dxa"/>
          </w:tcPr>
          <w:p w14:paraId="32BB7DC6" w14:textId="77777777" w:rsidR="00F5432F" w:rsidRPr="00AC5F39" w:rsidRDefault="00F5432F" w:rsidP="00F5432F">
            <w:pPr>
              <w:tabs>
                <w:tab w:val="decimal" w:pos="705"/>
              </w:tabs>
              <w:ind w:right="-144"/>
              <w:jc w:val="both"/>
              <w:rPr>
                <w:rFonts w:cs="Arial"/>
                <w:u w:val="double"/>
              </w:rPr>
            </w:pPr>
          </w:p>
        </w:tc>
        <w:tc>
          <w:tcPr>
            <w:tcW w:w="1560" w:type="dxa"/>
          </w:tcPr>
          <w:p w14:paraId="5DD4ECBF" w14:textId="22B8198C" w:rsidR="00F5432F" w:rsidRPr="00AC5F39" w:rsidRDefault="00F5432F" w:rsidP="00F5432F">
            <w:pPr>
              <w:tabs>
                <w:tab w:val="decimal" w:pos="1424"/>
              </w:tabs>
              <w:ind w:right="-144"/>
              <w:jc w:val="both"/>
              <w:rPr>
                <w:rFonts w:cs="Arial"/>
                <w:u w:val="double"/>
              </w:rPr>
            </w:pPr>
            <w:r w:rsidRPr="7821F417">
              <w:rPr>
                <w:rFonts w:cs="Arial"/>
                <w:u w:val="double"/>
              </w:rPr>
              <w:t>                  </w:t>
            </w:r>
          </w:p>
        </w:tc>
        <w:tc>
          <w:tcPr>
            <w:tcW w:w="1584" w:type="dxa"/>
          </w:tcPr>
          <w:p w14:paraId="4C8B30BB" w14:textId="296905A7" w:rsidR="00F5432F" w:rsidRPr="004158AA" w:rsidRDefault="00F5432F" w:rsidP="00F5432F">
            <w:pPr>
              <w:tabs>
                <w:tab w:val="decimal" w:pos="1424"/>
              </w:tabs>
              <w:ind w:right="-144"/>
              <w:jc w:val="both"/>
              <w:rPr>
                <w:rFonts w:cs="Arial"/>
              </w:rPr>
            </w:pPr>
            <w:r w:rsidRPr="7821F417">
              <w:rPr>
                <w:rFonts w:cs="Arial"/>
                <w:u w:val="double"/>
              </w:rPr>
              <w:t>                  </w:t>
            </w:r>
          </w:p>
        </w:tc>
      </w:tr>
      <w:tr w:rsidR="00F5432F" w:rsidRPr="00670755" w14:paraId="661BE9C7" w14:textId="77777777" w:rsidTr="7821F417">
        <w:tc>
          <w:tcPr>
            <w:tcW w:w="4820" w:type="dxa"/>
          </w:tcPr>
          <w:p w14:paraId="353257F9" w14:textId="77777777" w:rsidR="00F5432F" w:rsidRPr="00670755" w:rsidRDefault="00F5432F" w:rsidP="00F5432F">
            <w:pPr>
              <w:ind w:right="-144"/>
              <w:jc w:val="both"/>
              <w:rPr>
                <w:rFonts w:cs="Arial"/>
                <w:szCs w:val="20"/>
              </w:rPr>
            </w:pPr>
          </w:p>
        </w:tc>
        <w:tc>
          <w:tcPr>
            <w:tcW w:w="142" w:type="dxa"/>
          </w:tcPr>
          <w:p w14:paraId="6765C991" w14:textId="77777777" w:rsidR="00F5432F" w:rsidRPr="00670755" w:rsidRDefault="00F5432F" w:rsidP="00F5432F">
            <w:pPr>
              <w:pStyle w:val="Sub-header"/>
              <w:jc w:val="both"/>
            </w:pPr>
          </w:p>
        </w:tc>
        <w:tc>
          <w:tcPr>
            <w:tcW w:w="708" w:type="dxa"/>
          </w:tcPr>
          <w:p w14:paraId="46F29EE9" w14:textId="77777777" w:rsidR="00F5432F" w:rsidRPr="00F0063D" w:rsidRDefault="00F5432F" w:rsidP="00F5432F">
            <w:pPr>
              <w:tabs>
                <w:tab w:val="decimal" w:pos="705"/>
              </w:tabs>
              <w:ind w:right="-144"/>
              <w:jc w:val="both"/>
              <w:rPr>
                <w:rFonts w:cs="Arial"/>
                <w:b/>
                <w:bCs/>
              </w:rPr>
            </w:pPr>
          </w:p>
        </w:tc>
        <w:tc>
          <w:tcPr>
            <w:tcW w:w="1560" w:type="dxa"/>
          </w:tcPr>
          <w:p w14:paraId="64C72550" w14:textId="77777777" w:rsidR="00F5432F" w:rsidRPr="00F0063D" w:rsidRDefault="00F5432F" w:rsidP="00F5432F">
            <w:pPr>
              <w:tabs>
                <w:tab w:val="decimal" w:pos="1424"/>
              </w:tabs>
              <w:ind w:right="-144"/>
              <w:jc w:val="both"/>
              <w:rPr>
                <w:rFonts w:cs="Arial"/>
                <w:b/>
                <w:bCs/>
              </w:rPr>
            </w:pPr>
          </w:p>
        </w:tc>
        <w:tc>
          <w:tcPr>
            <w:tcW w:w="1584" w:type="dxa"/>
          </w:tcPr>
          <w:p w14:paraId="46EF51A4" w14:textId="77777777" w:rsidR="00F5432F" w:rsidRPr="004158AA" w:rsidRDefault="00F5432F" w:rsidP="00F5432F">
            <w:pPr>
              <w:tabs>
                <w:tab w:val="decimal" w:pos="1424"/>
              </w:tabs>
              <w:ind w:right="-144"/>
              <w:jc w:val="both"/>
              <w:rPr>
                <w:rFonts w:cs="Arial"/>
              </w:rPr>
            </w:pPr>
          </w:p>
        </w:tc>
      </w:tr>
      <w:tr w:rsidR="00F5432F" w:rsidRPr="00670755" w14:paraId="017D9641" w14:textId="77777777" w:rsidTr="7821F417">
        <w:tc>
          <w:tcPr>
            <w:tcW w:w="4820" w:type="dxa"/>
          </w:tcPr>
          <w:p w14:paraId="57E45208" w14:textId="1CCD3D45" w:rsidR="00F5432F" w:rsidRPr="00961019" w:rsidRDefault="00F5432F" w:rsidP="00F5432F">
            <w:pPr>
              <w:ind w:right="-144"/>
              <w:jc w:val="both"/>
              <w:rPr>
                <w:rFonts w:cs="Arial"/>
                <w:b/>
                <w:bCs/>
                <w:szCs w:val="20"/>
              </w:rPr>
            </w:pPr>
            <w:r w:rsidRPr="000B47CD">
              <w:rPr>
                <w:rFonts w:cs="Arial"/>
                <w:b/>
                <w:bCs/>
                <w:szCs w:val="20"/>
              </w:rPr>
              <w:t>Items that are or may be reclassified subsequently to profit or loss:</w:t>
            </w:r>
          </w:p>
        </w:tc>
        <w:tc>
          <w:tcPr>
            <w:tcW w:w="142" w:type="dxa"/>
          </w:tcPr>
          <w:p w14:paraId="6D2BD578" w14:textId="77777777" w:rsidR="00F5432F" w:rsidRPr="00670755" w:rsidRDefault="00F5432F" w:rsidP="00F5432F">
            <w:pPr>
              <w:pStyle w:val="Sub-header"/>
              <w:jc w:val="both"/>
            </w:pPr>
          </w:p>
        </w:tc>
        <w:tc>
          <w:tcPr>
            <w:tcW w:w="708" w:type="dxa"/>
          </w:tcPr>
          <w:p w14:paraId="45A95142" w14:textId="77777777" w:rsidR="00F5432F" w:rsidRDefault="00F5432F" w:rsidP="00F5432F">
            <w:pPr>
              <w:tabs>
                <w:tab w:val="decimal" w:pos="705"/>
              </w:tabs>
              <w:ind w:right="-144"/>
              <w:jc w:val="both"/>
              <w:rPr>
                <w:rFonts w:cs="Arial"/>
                <w:b/>
                <w:bCs/>
              </w:rPr>
            </w:pPr>
          </w:p>
        </w:tc>
        <w:tc>
          <w:tcPr>
            <w:tcW w:w="1560" w:type="dxa"/>
          </w:tcPr>
          <w:p w14:paraId="0B9F23C7" w14:textId="24D114C9" w:rsidR="00F5432F" w:rsidRDefault="00F5432F" w:rsidP="00F5432F">
            <w:pPr>
              <w:tabs>
                <w:tab w:val="decimal" w:pos="1424"/>
              </w:tabs>
              <w:ind w:right="-144"/>
              <w:jc w:val="both"/>
              <w:rPr>
                <w:rFonts w:cs="Arial"/>
                <w:b/>
                <w:bCs/>
              </w:rPr>
            </w:pPr>
          </w:p>
        </w:tc>
        <w:tc>
          <w:tcPr>
            <w:tcW w:w="1584" w:type="dxa"/>
          </w:tcPr>
          <w:p w14:paraId="732C31C0" w14:textId="04172BC7" w:rsidR="00F5432F" w:rsidRPr="004158AA" w:rsidRDefault="00F5432F" w:rsidP="00F5432F">
            <w:pPr>
              <w:tabs>
                <w:tab w:val="decimal" w:pos="1424"/>
              </w:tabs>
              <w:ind w:right="-144"/>
              <w:jc w:val="both"/>
              <w:rPr>
                <w:rFonts w:cs="Arial"/>
              </w:rPr>
            </w:pPr>
          </w:p>
        </w:tc>
      </w:tr>
      <w:tr w:rsidR="00F5432F" w:rsidRPr="00670755" w14:paraId="2BE25484" w14:textId="77777777" w:rsidTr="7821F417">
        <w:tc>
          <w:tcPr>
            <w:tcW w:w="4820" w:type="dxa"/>
          </w:tcPr>
          <w:p w14:paraId="3AAC0A33" w14:textId="7EA79C61" w:rsidR="00F5432F" w:rsidRPr="00AB5062" w:rsidRDefault="00F5432F" w:rsidP="00F5432F">
            <w:pPr>
              <w:ind w:right="-144"/>
              <w:jc w:val="both"/>
              <w:rPr>
                <w:rFonts w:cs="Arial"/>
                <w:szCs w:val="20"/>
              </w:rPr>
            </w:pPr>
            <w:r w:rsidRPr="00AB5062">
              <w:rPr>
                <w:rFonts w:cs="Arial"/>
                <w:szCs w:val="20"/>
              </w:rPr>
              <w:t>Fair value movement on cashflow hedges</w:t>
            </w:r>
          </w:p>
        </w:tc>
        <w:tc>
          <w:tcPr>
            <w:tcW w:w="142" w:type="dxa"/>
          </w:tcPr>
          <w:p w14:paraId="75101679" w14:textId="77777777" w:rsidR="00F5432F" w:rsidRPr="00670755" w:rsidRDefault="00F5432F" w:rsidP="00F5432F">
            <w:pPr>
              <w:pStyle w:val="Sub-header"/>
              <w:jc w:val="both"/>
            </w:pPr>
          </w:p>
        </w:tc>
        <w:tc>
          <w:tcPr>
            <w:tcW w:w="708" w:type="dxa"/>
          </w:tcPr>
          <w:p w14:paraId="053B18E5" w14:textId="77777777" w:rsidR="00F5432F" w:rsidRDefault="00F5432F" w:rsidP="00F5432F">
            <w:pPr>
              <w:tabs>
                <w:tab w:val="decimal" w:pos="705"/>
              </w:tabs>
              <w:ind w:right="-144"/>
              <w:jc w:val="both"/>
              <w:rPr>
                <w:rFonts w:cs="Arial"/>
                <w:b/>
                <w:bCs/>
              </w:rPr>
            </w:pPr>
          </w:p>
        </w:tc>
        <w:tc>
          <w:tcPr>
            <w:tcW w:w="1560" w:type="dxa"/>
          </w:tcPr>
          <w:p w14:paraId="4736C343" w14:textId="085B04F5" w:rsidR="00F5432F" w:rsidRPr="7821F417" w:rsidRDefault="000644F6" w:rsidP="00F5432F">
            <w:pPr>
              <w:tabs>
                <w:tab w:val="decimal" w:pos="1424"/>
              </w:tabs>
              <w:ind w:right="-144"/>
              <w:jc w:val="both"/>
              <w:rPr>
                <w:rFonts w:cs="Arial"/>
                <w:b/>
                <w:bCs/>
              </w:rPr>
            </w:pPr>
            <w:r>
              <w:rPr>
                <w:rFonts w:cs="Arial"/>
                <w:b/>
                <w:bCs/>
              </w:rPr>
              <w:t>33</w:t>
            </w:r>
          </w:p>
        </w:tc>
        <w:tc>
          <w:tcPr>
            <w:tcW w:w="1584" w:type="dxa"/>
          </w:tcPr>
          <w:p w14:paraId="1AEDB26A" w14:textId="5DDE3EAF" w:rsidR="00F5432F" w:rsidRPr="003339AF" w:rsidRDefault="00F5432F" w:rsidP="00F5432F">
            <w:pPr>
              <w:tabs>
                <w:tab w:val="decimal" w:pos="1424"/>
              </w:tabs>
              <w:ind w:right="-144"/>
              <w:jc w:val="both"/>
              <w:rPr>
                <w:rFonts w:cs="Arial"/>
              </w:rPr>
            </w:pPr>
            <w:r>
              <w:rPr>
                <w:rFonts w:cs="Arial"/>
                <w:b/>
                <w:bCs/>
              </w:rPr>
              <w:t>1,671</w:t>
            </w:r>
          </w:p>
        </w:tc>
      </w:tr>
      <w:tr w:rsidR="00F5432F" w:rsidRPr="00670755" w14:paraId="0112EFAD" w14:textId="77777777" w:rsidTr="7821F417">
        <w:tc>
          <w:tcPr>
            <w:tcW w:w="4820" w:type="dxa"/>
          </w:tcPr>
          <w:p w14:paraId="62FB3CF1" w14:textId="735B28E1" w:rsidR="00F5432F" w:rsidRPr="00AB5062" w:rsidRDefault="00F5432F" w:rsidP="00F5432F">
            <w:pPr>
              <w:ind w:right="-144"/>
              <w:jc w:val="both"/>
              <w:rPr>
                <w:rFonts w:cs="Arial"/>
                <w:szCs w:val="20"/>
              </w:rPr>
            </w:pPr>
            <w:r w:rsidRPr="00AB5062">
              <w:rPr>
                <w:rFonts w:cs="Arial"/>
                <w:szCs w:val="20"/>
              </w:rPr>
              <w:t>Cashflow hedges reclassified to profit</w:t>
            </w:r>
            <w:r>
              <w:rPr>
                <w:rFonts w:cs="Arial"/>
                <w:szCs w:val="20"/>
              </w:rPr>
              <w:t xml:space="preserve"> or</w:t>
            </w:r>
            <w:r w:rsidRPr="00AB5062">
              <w:rPr>
                <w:rFonts w:cs="Arial"/>
                <w:szCs w:val="20"/>
              </w:rPr>
              <w:t xml:space="preserve"> loss</w:t>
            </w:r>
          </w:p>
        </w:tc>
        <w:tc>
          <w:tcPr>
            <w:tcW w:w="142" w:type="dxa"/>
          </w:tcPr>
          <w:p w14:paraId="5B5DD37F" w14:textId="77777777" w:rsidR="00F5432F" w:rsidRPr="00670755" w:rsidRDefault="00F5432F" w:rsidP="00F5432F">
            <w:pPr>
              <w:pStyle w:val="Sub-header"/>
              <w:jc w:val="both"/>
            </w:pPr>
          </w:p>
        </w:tc>
        <w:tc>
          <w:tcPr>
            <w:tcW w:w="708" w:type="dxa"/>
          </w:tcPr>
          <w:p w14:paraId="3987A932" w14:textId="77777777" w:rsidR="00F5432F" w:rsidRDefault="00F5432F" w:rsidP="00F5432F">
            <w:pPr>
              <w:tabs>
                <w:tab w:val="decimal" w:pos="705"/>
              </w:tabs>
              <w:ind w:right="-144"/>
              <w:jc w:val="both"/>
              <w:rPr>
                <w:rFonts w:cs="Arial"/>
                <w:b/>
                <w:bCs/>
              </w:rPr>
            </w:pPr>
          </w:p>
        </w:tc>
        <w:tc>
          <w:tcPr>
            <w:tcW w:w="1560" w:type="dxa"/>
          </w:tcPr>
          <w:p w14:paraId="2472B8E2" w14:textId="6571F44F" w:rsidR="00F5432F" w:rsidRPr="7821F417" w:rsidRDefault="000644F6" w:rsidP="00F5432F">
            <w:pPr>
              <w:tabs>
                <w:tab w:val="decimal" w:pos="1424"/>
              </w:tabs>
              <w:ind w:right="-144"/>
              <w:jc w:val="both"/>
              <w:rPr>
                <w:rFonts w:cs="Arial"/>
                <w:b/>
                <w:bCs/>
              </w:rPr>
            </w:pPr>
            <w:r>
              <w:rPr>
                <w:rFonts w:cs="Arial"/>
                <w:b/>
                <w:bCs/>
              </w:rPr>
              <w:t>174</w:t>
            </w:r>
          </w:p>
        </w:tc>
        <w:tc>
          <w:tcPr>
            <w:tcW w:w="1584" w:type="dxa"/>
          </w:tcPr>
          <w:p w14:paraId="602B8825" w14:textId="4E2EABA3" w:rsidR="00F5432F" w:rsidRPr="003339AF" w:rsidRDefault="00F5432F" w:rsidP="00F5432F">
            <w:pPr>
              <w:tabs>
                <w:tab w:val="decimal" w:pos="1424"/>
              </w:tabs>
              <w:ind w:right="-144"/>
              <w:jc w:val="both"/>
              <w:rPr>
                <w:rFonts w:cs="Arial"/>
              </w:rPr>
            </w:pPr>
            <w:r>
              <w:rPr>
                <w:rFonts w:cs="Arial"/>
                <w:b/>
                <w:bCs/>
              </w:rPr>
              <w:t>(437)</w:t>
            </w:r>
          </w:p>
        </w:tc>
      </w:tr>
      <w:tr w:rsidR="00247E03" w:rsidRPr="00670755" w14:paraId="40FFB043" w14:textId="77777777" w:rsidTr="7821F417">
        <w:tc>
          <w:tcPr>
            <w:tcW w:w="4820" w:type="dxa"/>
          </w:tcPr>
          <w:p w14:paraId="51B42822" w14:textId="2527B28A" w:rsidR="00247E03" w:rsidRPr="00AB5062" w:rsidRDefault="00247E03" w:rsidP="00F5432F">
            <w:pPr>
              <w:ind w:right="-144"/>
              <w:jc w:val="both"/>
              <w:rPr>
                <w:rFonts w:cs="Arial"/>
                <w:szCs w:val="20"/>
              </w:rPr>
            </w:pPr>
            <w:r>
              <w:rPr>
                <w:rFonts w:cs="Arial"/>
                <w:szCs w:val="20"/>
              </w:rPr>
              <w:t xml:space="preserve">Cashflow hedges </w:t>
            </w:r>
            <w:r w:rsidR="00F778D5">
              <w:rPr>
                <w:rFonts w:cs="Arial"/>
                <w:szCs w:val="20"/>
              </w:rPr>
              <w:t>– deferred tax</w:t>
            </w:r>
          </w:p>
        </w:tc>
        <w:tc>
          <w:tcPr>
            <w:tcW w:w="142" w:type="dxa"/>
          </w:tcPr>
          <w:p w14:paraId="07748C2D" w14:textId="77777777" w:rsidR="00247E03" w:rsidRPr="00670755" w:rsidRDefault="00247E03" w:rsidP="00F5432F">
            <w:pPr>
              <w:pStyle w:val="Sub-header"/>
              <w:jc w:val="both"/>
            </w:pPr>
          </w:p>
        </w:tc>
        <w:tc>
          <w:tcPr>
            <w:tcW w:w="708" w:type="dxa"/>
          </w:tcPr>
          <w:p w14:paraId="1D325C70" w14:textId="77777777" w:rsidR="00247E03" w:rsidRDefault="00247E03" w:rsidP="00F5432F">
            <w:pPr>
              <w:tabs>
                <w:tab w:val="decimal" w:pos="705"/>
              </w:tabs>
              <w:ind w:right="-144"/>
              <w:jc w:val="both"/>
              <w:rPr>
                <w:rFonts w:cs="Arial"/>
                <w:b/>
                <w:bCs/>
              </w:rPr>
            </w:pPr>
          </w:p>
        </w:tc>
        <w:tc>
          <w:tcPr>
            <w:tcW w:w="1560" w:type="dxa"/>
          </w:tcPr>
          <w:p w14:paraId="3010F01B" w14:textId="0E74A8A1" w:rsidR="00247E03" w:rsidRPr="7821F417" w:rsidRDefault="000644F6" w:rsidP="00F5432F">
            <w:pPr>
              <w:tabs>
                <w:tab w:val="decimal" w:pos="1424"/>
              </w:tabs>
              <w:ind w:right="-144"/>
              <w:jc w:val="both"/>
              <w:rPr>
                <w:rFonts w:cs="Arial"/>
                <w:b/>
                <w:bCs/>
              </w:rPr>
            </w:pPr>
            <w:r>
              <w:rPr>
                <w:rFonts w:cs="Arial"/>
                <w:b/>
                <w:bCs/>
              </w:rPr>
              <w:t>(</w:t>
            </w:r>
            <w:r w:rsidR="00A655E5">
              <w:rPr>
                <w:rFonts w:cs="Arial"/>
                <w:b/>
                <w:bCs/>
              </w:rPr>
              <w:t>52</w:t>
            </w:r>
            <w:r>
              <w:rPr>
                <w:rFonts w:cs="Arial"/>
                <w:b/>
                <w:bCs/>
              </w:rPr>
              <w:t>)</w:t>
            </w:r>
          </w:p>
        </w:tc>
        <w:tc>
          <w:tcPr>
            <w:tcW w:w="1584" w:type="dxa"/>
          </w:tcPr>
          <w:p w14:paraId="14D81739" w14:textId="7EF91007" w:rsidR="00247E03" w:rsidRDefault="00F778D5" w:rsidP="00F5432F">
            <w:pPr>
              <w:tabs>
                <w:tab w:val="decimal" w:pos="1424"/>
              </w:tabs>
              <w:ind w:right="-144"/>
              <w:jc w:val="both"/>
              <w:rPr>
                <w:rFonts w:cs="Arial"/>
                <w:b/>
                <w:bCs/>
              </w:rPr>
            </w:pPr>
            <w:r>
              <w:rPr>
                <w:rFonts w:cs="Arial"/>
                <w:b/>
                <w:bCs/>
              </w:rPr>
              <w:t>-</w:t>
            </w:r>
          </w:p>
        </w:tc>
      </w:tr>
      <w:tr w:rsidR="00F5432F" w:rsidRPr="00670755" w14:paraId="09D3DACE" w14:textId="77777777" w:rsidTr="7821F417">
        <w:tc>
          <w:tcPr>
            <w:tcW w:w="4820" w:type="dxa"/>
          </w:tcPr>
          <w:p w14:paraId="49F9E6B2" w14:textId="77777777" w:rsidR="00F5432F" w:rsidRPr="00670755" w:rsidRDefault="00F5432F" w:rsidP="00F5432F">
            <w:pPr>
              <w:ind w:right="-144"/>
              <w:jc w:val="both"/>
              <w:rPr>
                <w:rFonts w:cs="Arial"/>
                <w:szCs w:val="20"/>
              </w:rPr>
            </w:pPr>
          </w:p>
        </w:tc>
        <w:tc>
          <w:tcPr>
            <w:tcW w:w="142" w:type="dxa"/>
          </w:tcPr>
          <w:p w14:paraId="13142584" w14:textId="77777777" w:rsidR="00F5432F" w:rsidRPr="00670755" w:rsidRDefault="00F5432F" w:rsidP="00F5432F">
            <w:pPr>
              <w:pStyle w:val="Sub-header"/>
              <w:jc w:val="both"/>
            </w:pPr>
          </w:p>
        </w:tc>
        <w:tc>
          <w:tcPr>
            <w:tcW w:w="708" w:type="dxa"/>
          </w:tcPr>
          <w:p w14:paraId="06EFF8A5" w14:textId="77777777" w:rsidR="00F5432F" w:rsidRPr="007C2FA3" w:rsidRDefault="00F5432F" w:rsidP="00F5432F">
            <w:pPr>
              <w:tabs>
                <w:tab w:val="decimal" w:pos="705"/>
              </w:tabs>
              <w:ind w:right="-144"/>
              <w:jc w:val="both"/>
              <w:rPr>
                <w:rFonts w:cs="Arial"/>
                <w:u w:val="single"/>
              </w:rPr>
            </w:pPr>
          </w:p>
        </w:tc>
        <w:tc>
          <w:tcPr>
            <w:tcW w:w="1560" w:type="dxa"/>
          </w:tcPr>
          <w:p w14:paraId="3F22948E" w14:textId="4ED0965F" w:rsidR="00F5432F" w:rsidRPr="007C2FA3" w:rsidRDefault="00F5432F" w:rsidP="00F5432F">
            <w:pPr>
              <w:tabs>
                <w:tab w:val="decimal" w:pos="1424"/>
              </w:tabs>
              <w:ind w:right="-144"/>
              <w:jc w:val="both"/>
              <w:rPr>
                <w:rFonts w:cs="Arial"/>
                <w:u w:val="single"/>
              </w:rPr>
            </w:pPr>
            <w:r w:rsidRPr="7821F417">
              <w:rPr>
                <w:rFonts w:cs="Arial"/>
                <w:u w:val="single"/>
              </w:rPr>
              <w:t>                  </w:t>
            </w:r>
          </w:p>
        </w:tc>
        <w:tc>
          <w:tcPr>
            <w:tcW w:w="1584" w:type="dxa"/>
          </w:tcPr>
          <w:p w14:paraId="2CA9D16C" w14:textId="6C3216D1" w:rsidR="00F5432F" w:rsidRPr="003339AF" w:rsidRDefault="00F5432F" w:rsidP="00F5432F">
            <w:pPr>
              <w:tabs>
                <w:tab w:val="decimal" w:pos="1424"/>
              </w:tabs>
              <w:ind w:right="-144"/>
              <w:jc w:val="both"/>
              <w:rPr>
                <w:rFonts w:cs="Arial"/>
                <w:u w:val="single"/>
              </w:rPr>
            </w:pPr>
            <w:r w:rsidRPr="7821F417">
              <w:rPr>
                <w:rFonts w:cs="Arial"/>
                <w:u w:val="single"/>
              </w:rPr>
              <w:t>                  </w:t>
            </w:r>
          </w:p>
        </w:tc>
      </w:tr>
      <w:tr w:rsidR="00F5432F" w:rsidRPr="00670755" w14:paraId="4E7C859D" w14:textId="77777777" w:rsidTr="7821F417">
        <w:tc>
          <w:tcPr>
            <w:tcW w:w="4820" w:type="dxa"/>
          </w:tcPr>
          <w:p w14:paraId="4F9D5F54" w14:textId="77777777" w:rsidR="00F5432F" w:rsidRPr="00670755" w:rsidRDefault="00F5432F" w:rsidP="00F5432F">
            <w:pPr>
              <w:ind w:right="-144"/>
              <w:jc w:val="both"/>
              <w:rPr>
                <w:rFonts w:cs="Arial"/>
                <w:szCs w:val="20"/>
              </w:rPr>
            </w:pPr>
          </w:p>
        </w:tc>
        <w:tc>
          <w:tcPr>
            <w:tcW w:w="142" w:type="dxa"/>
          </w:tcPr>
          <w:p w14:paraId="635F03E9" w14:textId="77777777" w:rsidR="00F5432F" w:rsidRPr="00670755" w:rsidRDefault="00F5432F" w:rsidP="00F5432F">
            <w:pPr>
              <w:pStyle w:val="Sub-header"/>
              <w:jc w:val="both"/>
            </w:pPr>
          </w:p>
        </w:tc>
        <w:tc>
          <w:tcPr>
            <w:tcW w:w="708" w:type="dxa"/>
          </w:tcPr>
          <w:p w14:paraId="4F25FF26" w14:textId="77777777" w:rsidR="00F5432F" w:rsidRPr="007C2FA3" w:rsidRDefault="00F5432F" w:rsidP="00F5432F">
            <w:pPr>
              <w:tabs>
                <w:tab w:val="decimal" w:pos="705"/>
              </w:tabs>
              <w:ind w:right="-144"/>
              <w:jc w:val="both"/>
              <w:rPr>
                <w:rFonts w:cs="Arial"/>
                <w:u w:val="single"/>
              </w:rPr>
            </w:pPr>
          </w:p>
        </w:tc>
        <w:tc>
          <w:tcPr>
            <w:tcW w:w="1560" w:type="dxa"/>
          </w:tcPr>
          <w:p w14:paraId="7FBA3828" w14:textId="77777777" w:rsidR="00F5432F" w:rsidRPr="7821F417" w:rsidRDefault="00F5432F" w:rsidP="00F5432F">
            <w:pPr>
              <w:tabs>
                <w:tab w:val="decimal" w:pos="1424"/>
              </w:tabs>
              <w:ind w:right="-144"/>
              <w:jc w:val="both"/>
              <w:rPr>
                <w:rFonts w:cs="Arial"/>
                <w:u w:val="single"/>
              </w:rPr>
            </w:pPr>
          </w:p>
        </w:tc>
        <w:tc>
          <w:tcPr>
            <w:tcW w:w="1584" w:type="dxa"/>
          </w:tcPr>
          <w:p w14:paraId="26095131" w14:textId="77777777" w:rsidR="00F5432F" w:rsidRPr="003339AF" w:rsidRDefault="00F5432F" w:rsidP="00F5432F">
            <w:pPr>
              <w:tabs>
                <w:tab w:val="decimal" w:pos="1424"/>
              </w:tabs>
              <w:ind w:right="-144"/>
              <w:jc w:val="both"/>
              <w:rPr>
                <w:rFonts w:cs="Arial"/>
                <w:u w:val="single"/>
              </w:rPr>
            </w:pPr>
          </w:p>
        </w:tc>
      </w:tr>
      <w:tr w:rsidR="00F5432F" w:rsidRPr="00670755" w14:paraId="5E5180DF" w14:textId="77777777" w:rsidTr="7821F417">
        <w:tc>
          <w:tcPr>
            <w:tcW w:w="4820" w:type="dxa"/>
          </w:tcPr>
          <w:p w14:paraId="68C7A1C2" w14:textId="654067F8" w:rsidR="00F5432F" w:rsidRPr="00670755" w:rsidRDefault="00F5432F" w:rsidP="00F5432F">
            <w:pPr>
              <w:ind w:right="-144"/>
              <w:jc w:val="both"/>
              <w:rPr>
                <w:rFonts w:cs="Arial"/>
                <w:szCs w:val="20"/>
              </w:rPr>
            </w:pPr>
            <w:r>
              <w:rPr>
                <w:rFonts w:cs="Arial"/>
                <w:b/>
                <w:bCs/>
                <w:szCs w:val="20"/>
              </w:rPr>
              <w:t>Total o</w:t>
            </w:r>
            <w:r w:rsidRPr="00961019">
              <w:rPr>
                <w:rFonts w:cs="Arial"/>
                <w:b/>
                <w:bCs/>
                <w:szCs w:val="20"/>
              </w:rPr>
              <w:t>ther comprehensive income</w:t>
            </w:r>
          </w:p>
        </w:tc>
        <w:tc>
          <w:tcPr>
            <w:tcW w:w="142" w:type="dxa"/>
          </w:tcPr>
          <w:p w14:paraId="4D958018" w14:textId="77777777" w:rsidR="00F5432F" w:rsidRPr="00670755" w:rsidRDefault="00F5432F" w:rsidP="00F5432F">
            <w:pPr>
              <w:pStyle w:val="Sub-header"/>
              <w:jc w:val="both"/>
            </w:pPr>
          </w:p>
        </w:tc>
        <w:tc>
          <w:tcPr>
            <w:tcW w:w="708" w:type="dxa"/>
          </w:tcPr>
          <w:p w14:paraId="7B5FF2C7" w14:textId="77777777" w:rsidR="00F5432F" w:rsidRPr="007C2FA3" w:rsidRDefault="00F5432F" w:rsidP="00F5432F">
            <w:pPr>
              <w:tabs>
                <w:tab w:val="decimal" w:pos="705"/>
              </w:tabs>
              <w:ind w:right="-144"/>
              <w:jc w:val="both"/>
              <w:rPr>
                <w:rFonts w:cs="Arial"/>
                <w:u w:val="single"/>
              </w:rPr>
            </w:pPr>
          </w:p>
        </w:tc>
        <w:tc>
          <w:tcPr>
            <w:tcW w:w="1560" w:type="dxa"/>
          </w:tcPr>
          <w:p w14:paraId="2AF1C93C" w14:textId="48D973DA" w:rsidR="00F5432F" w:rsidRPr="00D13D8A" w:rsidRDefault="0013307E" w:rsidP="00F5432F">
            <w:pPr>
              <w:tabs>
                <w:tab w:val="decimal" w:pos="1424"/>
              </w:tabs>
              <w:ind w:right="-144"/>
              <w:jc w:val="both"/>
              <w:rPr>
                <w:rFonts w:cs="Arial"/>
                <w:b/>
                <w:bCs/>
              </w:rPr>
            </w:pPr>
            <w:r>
              <w:rPr>
                <w:rFonts w:cs="Arial"/>
                <w:b/>
                <w:bCs/>
              </w:rPr>
              <w:t>155</w:t>
            </w:r>
          </w:p>
        </w:tc>
        <w:tc>
          <w:tcPr>
            <w:tcW w:w="1584" w:type="dxa"/>
          </w:tcPr>
          <w:p w14:paraId="18C1CFE7" w14:textId="6256BCDC" w:rsidR="00F5432F" w:rsidRPr="003339AF" w:rsidRDefault="00F5432F" w:rsidP="00F5432F">
            <w:pPr>
              <w:tabs>
                <w:tab w:val="decimal" w:pos="1424"/>
              </w:tabs>
              <w:ind w:right="-144"/>
              <w:jc w:val="both"/>
              <w:rPr>
                <w:rFonts w:cs="Arial"/>
              </w:rPr>
            </w:pPr>
            <w:r>
              <w:rPr>
                <w:rFonts w:cs="Arial"/>
                <w:b/>
                <w:bCs/>
              </w:rPr>
              <w:t>1,234</w:t>
            </w:r>
          </w:p>
        </w:tc>
      </w:tr>
      <w:tr w:rsidR="00F5432F" w:rsidRPr="00670755" w14:paraId="4A4E1516" w14:textId="77777777" w:rsidTr="7821F417">
        <w:tc>
          <w:tcPr>
            <w:tcW w:w="4820" w:type="dxa"/>
          </w:tcPr>
          <w:p w14:paraId="1D0512AD" w14:textId="77777777" w:rsidR="00F5432F" w:rsidRPr="00670755" w:rsidRDefault="00F5432F" w:rsidP="00F5432F">
            <w:pPr>
              <w:ind w:right="-144"/>
              <w:jc w:val="both"/>
              <w:rPr>
                <w:rFonts w:cs="Arial"/>
                <w:szCs w:val="20"/>
              </w:rPr>
            </w:pPr>
          </w:p>
        </w:tc>
        <w:tc>
          <w:tcPr>
            <w:tcW w:w="142" w:type="dxa"/>
          </w:tcPr>
          <w:p w14:paraId="66AA308A" w14:textId="77777777" w:rsidR="00F5432F" w:rsidRPr="00670755" w:rsidRDefault="00F5432F" w:rsidP="00F5432F">
            <w:pPr>
              <w:pStyle w:val="Sub-header"/>
              <w:jc w:val="both"/>
            </w:pPr>
          </w:p>
        </w:tc>
        <w:tc>
          <w:tcPr>
            <w:tcW w:w="708" w:type="dxa"/>
          </w:tcPr>
          <w:p w14:paraId="2A151918" w14:textId="77777777" w:rsidR="00F5432F" w:rsidRPr="007C2FA3" w:rsidRDefault="00F5432F" w:rsidP="00F5432F">
            <w:pPr>
              <w:tabs>
                <w:tab w:val="decimal" w:pos="705"/>
              </w:tabs>
              <w:ind w:right="-144"/>
              <w:jc w:val="both"/>
              <w:rPr>
                <w:rFonts w:cs="Arial"/>
                <w:u w:val="single"/>
              </w:rPr>
            </w:pPr>
          </w:p>
        </w:tc>
        <w:tc>
          <w:tcPr>
            <w:tcW w:w="1560" w:type="dxa"/>
          </w:tcPr>
          <w:p w14:paraId="067063F8" w14:textId="4CEA5E33" w:rsidR="00F5432F" w:rsidRPr="7821F417" w:rsidRDefault="00F5432F" w:rsidP="00F5432F">
            <w:pPr>
              <w:tabs>
                <w:tab w:val="decimal" w:pos="1424"/>
              </w:tabs>
              <w:ind w:right="-144"/>
              <w:jc w:val="both"/>
              <w:rPr>
                <w:rFonts w:cs="Arial"/>
                <w:u w:val="single"/>
              </w:rPr>
            </w:pPr>
            <w:r w:rsidRPr="7821F417">
              <w:rPr>
                <w:rFonts w:cs="Arial"/>
                <w:u w:val="single"/>
              </w:rPr>
              <w:t>                  </w:t>
            </w:r>
          </w:p>
        </w:tc>
        <w:tc>
          <w:tcPr>
            <w:tcW w:w="1584" w:type="dxa"/>
          </w:tcPr>
          <w:p w14:paraId="20B7E80E" w14:textId="4CA05DA8" w:rsidR="00F5432F" w:rsidRPr="003339AF" w:rsidRDefault="00F5432F" w:rsidP="00F5432F">
            <w:pPr>
              <w:tabs>
                <w:tab w:val="decimal" w:pos="1424"/>
              </w:tabs>
              <w:ind w:right="-144"/>
              <w:jc w:val="both"/>
              <w:rPr>
                <w:rFonts w:cs="Arial"/>
                <w:u w:val="single"/>
              </w:rPr>
            </w:pPr>
            <w:r w:rsidRPr="7821F417">
              <w:rPr>
                <w:rFonts w:cs="Arial"/>
                <w:u w:val="single"/>
              </w:rPr>
              <w:t>                  </w:t>
            </w:r>
          </w:p>
        </w:tc>
      </w:tr>
      <w:tr w:rsidR="00F5432F" w:rsidRPr="00670755" w14:paraId="4069A11D" w14:textId="77777777" w:rsidTr="7821F417">
        <w:tc>
          <w:tcPr>
            <w:tcW w:w="4820" w:type="dxa"/>
          </w:tcPr>
          <w:p w14:paraId="247D8241" w14:textId="77777777" w:rsidR="00F5432F" w:rsidRPr="00670755" w:rsidRDefault="00F5432F" w:rsidP="00F5432F">
            <w:pPr>
              <w:ind w:right="-144"/>
              <w:jc w:val="both"/>
              <w:rPr>
                <w:rFonts w:cs="Arial"/>
                <w:szCs w:val="20"/>
              </w:rPr>
            </w:pPr>
          </w:p>
        </w:tc>
        <w:tc>
          <w:tcPr>
            <w:tcW w:w="142" w:type="dxa"/>
          </w:tcPr>
          <w:p w14:paraId="7DFACEFA" w14:textId="77777777" w:rsidR="00F5432F" w:rsidRPr="00670755" w:rsidRDefault="00F5432F" w:rsidP="00F5432F">
            <w:pPr>
              <w:pStyle w:val="Sub-header"/>
              <w:jc w:val="both"/>
            </w:pPr>
          </w:p>
        </w:tc>
        <w:tc>
          <w:tcPr>
            <w:tcW w:w="708" w:type="dxa"/>
          </w:tcPr>
          <w:p w14:paraId="19E34515" w14:textId="77777777" w:rsidR="00F5432F" w:rsidRPr="007C2FA3" w:rsidRDefault="00F5432F" w:rsidP="00F5432F">
            <w:pPr>
              <w:tabs>
                <w:tab w:val="decimal" w:pos="705"/>
              </w:tabs>
              <w:ind w:right="-144"/>
              <w:jc w:val="both"/>
              <w:rPr>
                <w:rFonts w:cs="Arial"/>
                <w:u w:val="single"/>
              </w:rPr>
            </w:pPr>
          </w:p>
        </w:tc>
        <w:tc>
          <w:tcPr>
            <w:tcW w:w="1560" w:type="dxa"/>
          </w:tcPr>
          <w:p w14:paraId="3EDDFEA3" w14:textId="77777777" w:rsidR="00F5432F" w:rsidRPr="7821F417" w:rsidRDefault="00F5432F" w:rsidP="00F5432F">
            <w:pPr>
              <w:tabs>
                <w:tab w:val="decimal" w:pos="1424"/>
              </w:tabs>
              <w:ind w:right="-144"/>
              <w:jc w:val="both"/>
              <w:rPr>
                <w:rFonts w:cs="Arial"/>
                <w:u w:val="single"/>
              </w:rPr>
            </w:pPr>
          </w:p>
        </w:tc>
        <w:tc>
          <w:tcPr>
            <w:tcW w:w="1584" w:type="dxa"/>
          </w:tcPr>
          <w:p w14:paraId="657E7C0B" w14:textId="77777777" w:rsidR="00F5432F" w:rsidRPr="003339AF" w:rsidRDefault="00F5432F" w:rsidP="00F5432F">
            <w:pPr>
              <w:tabs>
                <w:tab w:val="decimal" w:pos="1424"/>
              </w:tabs>
              <w:ind w:right="-144"/>
              <w:jc w:val="both"/>
              <w:rPr>
                <w:rFonts w:cs="Arial"/>
                <w:u w:val="single"/>
              </w:rPr>
            </w:pPr>
          </w:p>
        </w:tc>
      </w:tr>
      <w:tr w:rsidR="00F5432F" w:rsidRPr="00670755" w14:paraId="53D347E1" w14:textId="77777777" w:rsidTr="7821F417">
        <w:tc>
          <w:tcPr>
            <w:tcW w:w="4820" w:type="dxa"/>
          </w:tcPr>
          <w:p w14:paraId="1F7DB7A7" w14:textId="1ABFE805" w:rsidR="00F5432F" w:rsidRPr="00CD120E" w:rsidRDefault="00F5432F" w:rsidP="00F5432F">
            <w:pPr>
              <w:ind w:right="-144"/>
              <w:jc w:val="both"/>
              <w:rPr>
                <w:rFonts w:cs="Arial"/>
                <w:b/>
                <w:szCs w:val="20"/>
              </w:rPr>
            </w:pPr>
            <w:r w:rsidRPr="00CD120E">
              <w:rPr>
                <w:rFonts w:cs="Arial"/>
                <w:b/>
                <w:szCs w:val="20"/>
              </w:rPr>
              <w:t>T</w:t>
            </w:r>
            <w:r>
              <w:rPr>
                <w:rFonts w:cs="Arial"/>
                <w:b/>
                <w:szCs w:val="20"/>
              </w:rPr>
              <w:t>otal comprehensive profit for the period</w:t>
            </w:r>
          </w:p>
        </w:tc>
        <w:tc>
          <w:tcPr>
            <w:tcW w:w="142" w:type="dxa"/>
          </w:tcPr>
          <w:p w14:paraId="34FB3897" w14:textId="77777777" w:rsidR="00F5432F" w:rsidRPr="007C2FA3" w:rsidRDefault="00F5432F" w:rsidP="00F5432F">
            <w:pPr>
              <w:pStyle w:val="Sub-header"/>
              <w:jc w:val="both"/>
            </w:pPr>
          </w:p>
        </w:tc>
        <w:tc>
          <w:tcPr>
            <w:tcW w:w="708" w:type="dxa"/>
          </w:tcPr>
          <w:p w14:paraId="24B6D82B" w14:textId="77777777" w:rsidR="00F5432F" w:rsidRPr="007C2FA3" w:rsidRDefault="00F5432F" w:rsidP="00F5432F">
            <w:pPr>
              <w:tabs>
                <w:tab w:val="decimal" w:pos="705"/>
              </w:tabs>
              <w:ind w:right="-144"/>
              <w:jc w:val="both"/>
              <w:rPr>
                <w:rFonts w:cs="Arial"/>
              </w:rPr>
            </w:pPr>
          </w:p>
        </w:tc>
        <w:tc>
          <w:tcPr>
            <w:tcW w:w="1560" w:type="dxa"/>
          </w:tcPr>
          <w:p w14:paraId="158F9EE6" w14:textId="77777777" w:rsidR="00F5432F" w:rsidRPr="007C2FA3" w:rsidRDefault="00F5432F" w:rsidP="00F5432F">
            <w:pPr>
              <w:tabs>
                <w:tab w:val="decimal" w:pos="1424"/>
              </w:tabs>
              <w:ind w:right="-144"/>
              <w:jc w:val="both"/>
              <w:rPr>
                <w:rFonts w:cs="Arial"/>
              </w:rPr>
            </w:pPr>
          </w:p>
        </w:tc>
        <w:tc>
          <w:tcPr>
            <w:tcW w:w="1584" w:type="dxa"/>
          </w:tcPr>
          <w:p w14:paraId="41CF96A6" w14:textId="77777777" w:rsidR="00F5432F" w:rsidRPr="003339AF" w:rsidRDefault="00F5432F" w:rsidP="00F5432F">
            <w:pPr>
              <w:tabs>
                <w:tab w:val="decimal" w:pos="1424"/>
              </w:tabs>
              <w:ind w:right="-144"/>
              <w:jc w:val="both"/>
              <w:rPr>
                <w:rFonts w:cs="Arial"/>
              </w:rPr>
            </w:pPr>
          </w:p>
        </w:tc>
      </w:tr>
      <w:tr w:rsidR="00F5432F" w:rsidRPr="00670755" w14:paraId="1A9C8480" w14:textId="77777777" w:rsidTr="7821F417">
        <w:tc>
          <w:tcPr>
            <w:tcW w:w="4820" w:type="dxa"/>
          </w:tcPr>
          <w:p w14:paraId="6B7959F4" w14:textId="51CD9664" w:rsidR="00F5432F" w:rsidRPr="00CD120E" w:rsidRDefault="00F5432F" w:rsidP="00F5432F">
            <w:pPr>
              <w:ind w:right="-144"/>
              <w:jc w:val="both"/>
              <w:rPr>
                <w:rFonts w:cs="Arial"/>
                <w:b/>
                <w:szCs w:val="20"/>
              </w:rPr>
            </w:pPr>
            <w:r w:rsidRPr="00CD120E">
              <w:rPr>
                <w:rFonts w:cs="Arial"/>
                <w:b/>
                <w:szCs w:val="20"/>
              </w:rPr>
              <w:t xml:space="preserve">attributable of the owners of </w:t>
            </w:r>
            <w:r>
              <w:rPr>
                <w:rFonts w:cs="Arial"/>
                <w:b/>
                <w:szCs w:val="20"/>
              </w:rPr>
              <w:t>the Company</w:t>
            </w:r>
          </w:p>
        </w:tc>
        <w:tc>
          <w:tcPr>
            <w:tcW w:w="142" w:type="dxa"/>
          </w:tcPr>
          <w:p w14:paraId="297CCFF7" w14:textId="77777777" w:rsidR="00F5432F" w:rsidRPr="007C2FA3" w:rsidRDefault="00F5432F" w:rsidP="00F5432F">
            <w:pPr>
              <w:pStyle w:val="Sub-header"/>
              <w:jc w:val="both"/>
            </w:pPr>
          </w:p>
        </w:tc>
        <w:tc>
          <w:tcPr>
            <w:tcW w:w="708" w:type="dxa"/>
          </w:tcPr>
          <w:p w14:paraId="344306FB" w14:textId="77777777" w:rsidR="00F5432F" w:rsidRPr="00993A3C" w:rsidRDefault="00F5432F" w:rsidP="00F5432F">
            <w:pPr>
              <w:tabs>
                <w:tab w:val="decimal" w:pos="705"/>
              </w:tabs>
              <w:ind w:right="-144"/>
              <w:jc w:val="both"/>
              <w:rPr>
                <w:rFonts w:cs="Arial"/>
                <w:b/>
                <w:bCs/>
              </w:rPr>
            </w:pPr>
          </w:p>
        </w:tc>
        <w:tc>
          <w:tcPr>
            <w:tcW w:w="1560" w:type="dxa"/>
          </w:tcPr>
          <w:p w14:paraId="0A6F9345" w14:textId="7EAB7E76" w:rsidR="00F5432F" w:rsidRPr="00993A3C" w:rsidRDefault="00CF663D" w:rsidP="00F5432F">
            <w:pPr>
              <w:tabs>
                <w:tab w:val="decimal" w:pos="1424"/>
              </w:tabs>
              <w:ind w:right="-144"/>
              <w:jc w:val="both"/>
              <w:rPr>
                <w:rFonts w:cs="Arial"/>
                <w:b/>
                <w:bCs/>
              </w:rPr>
            </w:pPr>
            <w:r>
              <w:rPr>
                <w:rFonts w:cs="Arial"/>
                <w:b/>
                <w:bCs/>
              </w:rPr>
              <w:t>28,</w:t>
            </w:r>
            <w:r w:rsidR="00070685">
              <w:rPr>
                <w:rFonts w:cs="Arial"/>
                <w:b/>
                <w:bCs/>
              </w:rPr>
              <w:t>511</w:t>
            </w:r>
          </w:p>
        </w:tc>
        <w:tc>
          <w:tcPr>
            <w:tcW w:w="1584" w:type="dxa"/>
          </w:tcPr>
          <w:p w14:paraId="75716780" w14:textId="0D801AAE" w:rsidR="00F5432F" w:rsidRPr="003339AF" w:rsidRDefault="00F5432F" w:rsidP="00F5432F">
            <w:pPr>
              <w:tabs>
                <w:tab w:val="decimal" w:pos="1424"/>
              </w:tabs>
              <w:ind w:right="-144"/>
              <w:jc w:val="both"/>
              <w:rPr>
                <w:rFonts w:cs="Arial"/>
              </w:rPr>
            </w:pPr>
            <w:r>
              <w:rPr>
                <w:rFonts w:cs="Arial"/>
                <w:b/>
                <w:bCs/>
              </w:rPr>
              <w:t>1,904</w:t>
            </w:r>
          </w:p>
        </w:tc>
      </w:tr>
      <w:tr w:rsidR="00F5432F" w:rsidRPr="00670755" w14:paraId="5BCC5D71" w14:textId="77777777" w:rsidTr="7821F417">
        <w:tc>
          <w:tcPr>
            <w:tcW w:w="4820" w:type="dxa"/>
          </w:tcPr>
          <w:p w14:paraId="0193E4AA" w14:textId="77777777" w:rsidR="00F5432F" w:rsidRPr="00CD120E" w:rsidRDefault="00F5432F" w:rsidP="00F5432F">
            <w:pPr>
              <w:ind w:right="-144"/>
              <w:jc w:val="both"/>
              <w:rPr>
                <w:rFonts w:cs="Arial"/>
                <w:b/>
                <w:szCs w:val="20"/>
              </w:rPr>
            </w:pPr>
          </w:p>
        </w:tc>
        <w:tc>
          <w:tcPr>
            <w:tcW w:w="142" w:type="dxa"/>
          </w:tcPr>
          <w:p w14:paraId="21B81025" w14:textId="77777777" w:rsidR="00F5432F" w:rsidRPr="007C2FA3" w:rsidRDefault="00F5432F" w:rsidP="00F5432F">
            <w:pPr>
              <w:pStyle w:val="Sub-header"/>
              <w:jc w:val="both"/>
            </w:pPr>
          </w:p>
        </w:tc>
        <w:tc>
          <w:tcPr>
            <w:tcW w:w="708" w:type="dxa"/>
          </w:tcPr>
          <w:p w14:paraId="2D5032BC" w14:textId="77777777" w:rsidR="00F5432F" w:rsidRDefault="00F5432F" w:rsidP="00F5432F">
            <w:pPr>
              <w:tabs>
                <w:tab w:val="decimal" w:pos="705"/>
              </w:tabs>
              <w:ind w:right="-144"/>
              <w:jc w:val="both"/>
              <w:rPr>
                <w:rFonts w:cs="Arial"/>
                <w:u w:val="double"/>
              </w:rPr>
            </w:pPr>
          </w:p>
        </w:tc>
        <w:tc>
          <w:tcPr>
            <w:tcW w:w="1560" w:type="dxa"/>
          </w:tcPr>
          <w:p w14:paraId="78B72CB9" w14:textId="46AFF03A" w:rsidR="00F5432F" w:rsidRDefault="00F5432F" w:rsidP="00F5432F">
            <w:pPr>
              <w:tabs>
                <w:tab w:val="decimal" w:pos="1424"/>
              </w:tabs>
              <w:ind w:right="-144"/>
              <w:jc w:val="both"/>
              <w:rPr>
                <w:rFonts w:cs="Arial"/>
                <w:u w:val="double"/>
              </w:rPr>
            </w:pPr>
            <w:r w:rsidRPr="7821F417">
              <w:rPr>
                <w:rFonts w:cs="Arial"/>
                <w:u w:val="double"/>
              </w:rPr>
              <w:t>                  </w:t>
            </w:r>
          </w:p>
        </w:tc>
        <w:tc>
          <w:tcPr>
            <w:tcW w:w="1584" w:type="dxa"/>
          </w:tcPr>
          <w:p w14:paraId="263BB646" w14:textId="4D16E1B8" w:rsidR="00F5432F" w:rsidRPr="003339AF" w:rsidRDefault="00F5432F" w:rsidP="00F5432F">
            <w:pPr>
              <w:tabs>
                <w:tab w:val="decimal" w:pos="1424"/>
              </w:tabs>
              <w:ind w:right="-144"/>
              <w:jc w:val="both"/>
              <w:rPr>
                <w:rFonts w:cs="Arial"/>
              </w:rPr>
            </w:pPr>
            <w:r w:rsidRPr="7821F417">
              <w:rPr>
                <w:rFonts w:cs="Arial"/>
                <w:u w:val="double"/>
              </w:rPr>
              <w:t>                  </w:t>
            </w:r>
          </w:p>
        </w:tc>
      </w:tr>
      <w:tr w:rsidR="00F5432F" w:rsidRPr="00670755" w14:paraId="4724DADE" w14:textId="77777777" w:rsidTr="7821F417">
        <w:tc>
          <w:tcPr>
            <w:tcW w:w="4820" w:type="dxa"/>
          </w:tcPr>
          <w:p w14:paraId="4A2992DD" w14:textId="77777777" w:rsidR="00F5432F" w:rsidRPr="00CD120E" w:rsidRDefault="00F5432F" w:rsidP="00F5432F">
            <w:pPr>
              <w:ind w:right="-144"/>
              <w:jc w:val="both"/>
              <w:rPr>
                <w:rFonts w:cs="Arial"/>
                <w:b/>
                <w:szCs w:val="20"/>
              </w:rPr>
            </w:pPr>
          </w:p>
        </w:tc>
        <w:tc>
          <w:tcPr>
            <w:tcW w:w="142" w:type="dxa"/>
          </w:tcPr>
          <w:p w14:paraId="37F407D2" w14:textId="77777777" w:rsidR="00F5432F" w:rsidRPr="007C2FA3" w:rsidRDefault="00F5432F" w:rsidP="00F5432F">
            <w:pPr>
              <w:pStyle w:val="Sub-header"/>
              <w:jc w:val="both"/>
            </w:pPr>
          </w:p>
        </w:tc>
        <w:tc>
          <w:tcPr>
            <w:tcW w:w="708" w:type="dxa"/>
          </w:tcPr>
          <w:p w14:paraId="27DCCD78" w14:textId="77777777" w:rsidR="00F5432F" w:rsidRPr="007C2FA3" w:rsidRDefault="00F5432F" w:rsidP="00F5432F">
            <w:pPr>
              <w:tabs>
                <w:tab w:val="decimal" w:pos="705"/>
              </w:tabs>
              <w:ind w:right="-144"/>
              <w:jc w:val="both"/>
              <w:rPr>
                <w:rFonts w:cs="Arial"/>
              </w:rPr>
            </w:pPr>
          </w:p>
        </w:tc>
        <w:tc>
          <w:tcPr>
            <w:tcW w:w="1560" w:type="dxa"/>
          </w:tcPr>
          <w:p w14:paraId="5CC347B0" w14:textId="77777777" w:rsidR="00F5432F" w:rsidRPr="007C2FA3" w:rsidRDefault="00F5432F" w:rsidP="00F5432F">
            <w:pPr>
              <w:tabs>
                <w:tab w:val="decimal" w:pos="1424"/>
              </w:tabs>
              <w:ind w:right="-144"/>
              <w:jc w:val="both"/>
              <w:rPr>
                <w:rFonts w:cs="Arial"/>
              </w:rPr>
            </w:pPr>
          </w:p>
        </w:tc>
        <w:tc>
          <w:tcPr>
            <w:tcW w:w="1584" w:type="dxa"/>
          </w:tcPr>
          <w:p w14:paraId="4AA215A3" w14:textId="77777777" w:rsidR="00F5432F" w:rsidRPr="003339AF" w:rsidRDefault="00F5432F" w:rsidP="00F5432F">
            <w:pPr>
              <w:tabs>
                <w:tab w:val="decimal" w:pos="1424"/>
              </w:tabs>
              <w:ind w:right="-144"/>
              <w:jc w:val="both"/>
              <w:rPr>
                <w:rFonts w:cs="Arial"/>
              </w:rPr>
            </w:pPr>
          </w:p>
        </w:tc>
      </w:tr>
      <w:tr w:rsidR="00F5432F" w:rsidRPr="00702D78" w14:paraId="374746A2" w14:textId="77777777" w:rsidTr="7821F417">
        <w:tc>
          <w:tcPr>
            <w:tcW w:w="4820" w:type="dxa"/>
          </w:tcPr>
          <w:p w14:paraId="6BED4984" w14:textId="294A0EB8" w:rsidR="00F5432F" w:rsidRPr="00CE587F" w:rsidRDefault="00F5432F" w:rsidP="00F5432F">
            <w:pPr>
              <w:ind w:right="-144"/>
              <w:jc w:val="both"/>
              <w:rPr>
                <w:rFonts w:cs="Arial"/>
                <w:b/>
                <w:szCs w:val="20"/>
              </w:rPr>
            </w:pPr>
            <w:r w:rsidRPr="00CE587F">
              <w:rPr>
                <w:rFonts w:cs="Arial"/>
                <w:b/>
                <w:szCs w:val="20"/>
              </w:rPr>
              <w:t>Basic earnings per share (cents)</w:t>
            </w:r>
          </w:p>
        </w:tc>
        <w:tc>
          <w:tcPr>
            <w:tcW w:w="142" w:type="dxa"/>
          </w:tcPr>
          <w:p w14:paraId="092A491D" w14:textId="77777777" w:rsidR="00F5432F" w:rsidRPr="00CE587F" w:rsidRDefault="00F5432F" w:rsidP="00F5432F">
            <w:pPr>
              <w:pStyle w:val="Sub-header"/>
              <w:jc w:val="both"/>
            </w:pPr>
          </w:p>
        </w:tc>
        <w:tc>
          <w:tcPr>
            <w:tcW w:w="708" w:type="dxa"/>
          </w:tcPr>
          <w:p w14:paraId="36439043" w14:textId="293D3899" w:rsidR="00F5432F" w:rsidRPr="00CE587F" w:rsidRDefault="00F5432F" w:rsidP="00F5432F">
            <w:pPr>
              <w:tabs>
                <w:tab w:val="decimal" w:pos="422"/>
              </w:tabs>
              <w:ind w:right="-144"/>
              <w:jc w:val="both"/>
              <w:rPr>
                <w:rFonts w:cs="Arial"/>
                <w:i/>
                <w:iCs/>
              </w:rPr>
            </w:pPr>
          </w:p>
        </w:tc>
        <w:tc>
          <w:tcPr>
            <w:tcW w:w="1560" w:type="dxa"/>
          </w:tcPr>
          <w:p w14:paraId="5902330E" w14:textId="0BE0607C" w:rsidR="00F5432F" w:rsidRPr="00CE587F" w:rsidRDefault="00CE587F" w:rsidP="00F5432F">
            <w:pPr>
              <w:tabs>
                <w:tab w:val="decimal" w:pos="1418"/>
              </w:tabs>
              <w:jc w:val="both"/>
              <w:rPr>
                <w:rFonts w:cs="Arial"/>
                <w:b/>
                <w:bCs/>
              </w:rPr>
            </w:pPr>
            <w:r w:rsidRPr="00CE587F">
              <w:rPr>
                <w:rFonts w:cs="Arial"/>
                <w:b/>
                <w:bCs/>
              </w:rPr>
              <w:t>5.2</w:t>
            </w:r>
          </w:p>
        </w:tc>
        <w:tc>
          <w:tcPr>
            <w:tcW w:w="1584" w:type="dxa"/>
          </w:tcPr>
          <w:p w14:paraId="446D7C53" w14:textId="4572F368" w:rsidR="00F5432F" w:rsidRPr="003339AF" w:rsidRDefault="00F5432F" w:rsidP="00F5432F">
            <w:pPr>
              <w:tabs>
                <w:tab w:val="decimal" w:pos="1139"/>
              </w:tabs>
              <w:ind w:right="-144"/>
              <w:jc w:val="both"/>
              <w:rPr>
                <w:rFonts w:cs="Arial"/>
              </w:rPr>
            </w:pPr>
            <w:r>
              <w:rPr>
                <w:rFonts w:cs="Arial"/>
                <w:b/>
                <w:bCs/>
              </w:rPr>
              <w:t>0.12</w:t>
            </w:r>
          </w:p>
        </w:tc>
      </w:tr>
      <w:tr w:rsidR="00F5432F" w:rsidRPr="00670755" w14:paraId="0D00EE64" w14:textId="77777777" w:rsidTr="7821F417">
        <w:tc>
          <w:tcPr>
            <w:tcW w:w="4820" w:type="dxa"/>
          </w:tcPr>
          <w:p w14:paraId="446D7D75" w14:textId="77777777" w:rsidR="00F5432F" w:rsidRPr="00CE587F" w:rsidRDefault="00F5432F" w:rsidP="00F5432F">
            <w:pPr>
              <w:ind w:right="-144"/>
              <w:jc w:val="both"/>
              <w:rPr>
                <w:rFonts w:cs="Arial"/>
                <w:b/>
                <w:szCs w:val="20"/>
              </w:rPr>
            </w:pPr>
            <w:r w:rsidRPr="00CE587F">
              <w:rPr>
                <w:rFonts w:cs="Arial"/>
                <w:b/>
                <w:szCs w:val="20"/>
              </w:rPr>
              <w:t xml:space="preserve">   </w:t>
            </w:r>
          </w:p>
        </w:tc>
        <w:tc>
          <w:tcPr>
            <w:tcW w:w="142" w:type="dxa"/>
          </w:tcPr>
          <w:p w14:paraId="3772CBB8" w14:textId="77777777" w:rsidR="00F5432F" w:rsidRPr="00CE587F" w:rsidRDefault="00F5432F" w:rsidP="00F5432F">
            <w:pPr>
              <w:pStyle w:val="Sub-header"/>
              <w:jc w:val="both"/>
            </w:pPr>
          </w:p>
        </w:tc>
        <w:tc>
          <w:tcPr>
            <w:tcW w:w="708" w:type="dxa"/>
          </w:tcPr>
          <w:p w14:paraId="49FE1FFE" w14:textId="77777777" w:rsidR="00F5432F" w:rsidRPr="00CE587F" w:rsidRDefault="00F5432F" w:rsidP="00F5432F">
            <w:pPr>
              <w:tabs>
                <w:tab w:val="decimal" w:pos="705"/>
              </w:tabs>
              <w:ind w:right="-144"/>
              <w:jc w:val="both"/>
              <w:rPr>
                <w:rFonts w:cs="Arial"/>
                <w:u w:val="double"/>
              </w:rPr>
            </w:pPr>
          </w:p>
        </w:tc>
        <w:tc>
          <w:tcPr>
            <w:tcW w:w="1560" w:type="dxa"/>
          </w:tcPr>
          <w:p w14:paraId="351E3E6C" w14:textId="16B026E4" w:rsidR="00F5432F" w:rsidRPr="00CE587F" w:rsidRDefault="00F5432F" w:rsidP="00F5432F">
            <w:pPr>
              <w:tabs>
                <w:tab w:val="decimal" w:pos="1424"/>
              </w:tabs>
              <w:ind w:right="-144"/>
              <w:jc w:val="both"/>
              <w:rPr>
                <w:rFonts w:cs="Arial"/>
                <w:u w:val="double"/>
              </w:rPr>
            </w:pPr>
            <w:r w:rsidRPr="00CE587F">
              <w:rPr>
                <w:rFonts w:cs="Arial"/>
                <w:u w:val="double"/>
              </w:rPr>
              <w:t>                  </w:t>
            </w:r>
          </w:p>
        </w:tc>
        <w:tc>
          <w:tcPr>
            <w:tcW w:w="1584" w:type="dxa"/>
          </w:tcPr>
          <w:p w14:paraId="644D8555" w14:textId="5ECBB83D" w:rsidR="00F5432F" w:rsidRPr="003339AF" w:rsidRDefault="00F5432F" w:rsidP="00F5432F">
            <w:pPr>
              <w:tabs>
                <w:tab w:val="decimal" w:pos="1424"/>
              </w:tabs>
              <w:ind w:right="-144"/>
              <w:jc w:val="both"/>
              <w:rPr>
                <w:rFonts w:cs="Arial"/>
              </w:rPr>
            </w:pPr>
            <w:r w:rsidRPr="7821F417">
              <w:rPr>
                <w:rFonts w:cs="Arial"/>
                <w:u w:val="double"/>
              </w:rPr>
              <w:t>                  </w:t>
            </w:r>
          </w:p>
        </w:tc>
      </w:tr>
      <w:tr w:rsidR="00F5432F" w:rsidRPr="00670755" w14:paraId="00969772" w14:textId="77777777" w:rsidTr="7821F417">
        <w:tc>
          <w:tcPr>
            <w:tcW w:w="4820" w:type="dxa"/>
          </w:tcPr>
          <w:p w14:paraId="77C62401" w14:textId="77777777" w:rsidR="00F5432F" w:rsidRPr="00FC6995" w:rsidRDefault="00F5432F" w:rsidP="00F5432F">
            <w:pPr>
              <w:ind w:right="-144"/>
              <w:jc w:val="both"/>
              <w:rPr>
                <w:rFonts w:cs="Arial"/>
                <w:b/>
                <w:szCs w:val="20"/>
                <w:highlight w:val="yellow"/>
              </w:rPr>
            </w:pPr>
          </w:p>
        </w:tc>
        <w:tc>
          <w:tcPr>
            <w:tcW w:w="142" w:type="dxa"/>
          </w:tcPr>
          <w:p w14:paraId="0760249E" w14:textId="77777777" w:rsidR="00F5432F" w:rsidRPr="00FC6995" w:rsidRDefault="00F5432F" w:rsidP="00F5432F">
            <w:pPr>
              <w:pStyle w:val="Sub-header"/>
              <w:jc w:val="both"/>
              <w:rPr>
                <w:highlight w:val="yellow"/>
              </w:rPr>
            </w:pPr>
          </w:p>
        </w:tc>
        <w:tc>
          <w:tcPr>
            <w:tcW w:w="708" w:type="dxa"/>
          </w:tcPr>
          <w:p w14:paraId="0E696465" w14:textId="77777777" w:rsidR="00F5432F" w:rsidRPr="00FC6995" w:rsidRDefault="00F5432F" w:rsidP="00F5432F">
            <w:pPr>
              <w:tabs>
                <w:tab w:val="decimal" w:pos="705"/>
              </w:tabs>
              <w:ind w:right="-144"/>
              <w:jc w:val="both"/>
              <w:rPr>
                <w:rFonts w:cs="Arial"/>
                <w:highlight w:val="yellow"/>
              </w:rPr>
            </w:pPr>
          </w:p>
        </w:tc>
        <w:tc>
          <w:tcPr>
            <w:tcW w:w="1560" w:type="dxa"/>
          </w:tcPr>
          <w:p w14:paraId="7C3D237F" w14:textId="77777777" w:rsidR="00F5432F" w:rsidRPr="00FC6995" w:rsidRDefault="00F5432F" w:rsidP="00F5432F">
            <w:pPr>
              <w:tabs>
                <w:tab w:val="decimal" w:pos="1424"/>
              </w:tabs>
              <w:ind w:right="-144"/>
              <w:jc w:val="both"/>
              <w:rPr>
                <w:rFonts w:cs="Arial"/>
                <w:highlight w:val="yellow"/>
              </w:rPr>
            </w:pPr>
          </w:p>
        </w:tc>
        <w:tc>
          <w:tcPr>
            <w:tcW w:w="1584" w:type="dxa"/>
          </w:tcPr>
          <w:p w14:paraId="5087B0CD" w14:textId="77777777" w:rsidR="00F5432F" w:rsidRPr="003339AF" w:rsidRDefault="00F5432F" w:rsidP="00F5432F">
            <w:pPr>
              <w:tabs>
                <w:tab w:val="decimal" w:pos="1424"/>
              </w:tabs>
              <w:ind w:right="-144"/>
              <w:jc w:val="both"/>
              <w:rPr>
                <w:rFonts w:cs="Arial"/>
              </w:rPr>
            </w:pPr>
          </w:p>
        </w:tc>
      </w:tr>
      <w:tr w:rsidR="00F5432F" w:rsidRPr="00670755" w14:paraId="4715F4AD" w14:textId="77777777" w:rsidTr="7821F417">
        <w:trPr>
          <w:trHeight w:val="300"/>
        </w:trPr>
        <w:tc>
          <w:tcPr>
            <w:tcW w:w="4820" w:type="dxa"/>
          </w:tcPr>
          <w:p w14:paraId="2C3CA444" w14:textId="3C3BA816" w:rsidR="00F5432F" w:rsidRPr="007A0F9C" w:rsidRDefault="00F5432F" w:rsidP="00F5432F">
            <w:pPr>
              <w:ind w:right="-144"/>
              <w:jc w:val="both"/>
              <w:rPr>
                <w:rFonts w:cs="Arial"/>
                <w:b/>
                <w:szCs w:val="20"/>
              </w:rPr>
            </w:pPr>
            <w:r w:rsidRPr="007A0F9C">
              <w:rPr>
                <w:rFonts w:cs="Arial"/>
                <w:b/>
                <w:szCs w:val="20"/>
              </w:rPr>
              <w:t>Diluted earnings per share (cents)</w:t>
            </w:r>
          </w:p>
        </w:tc>
        <w:tc>
          <w:tcPr>
            <w:tcW w:w="142" w:type="dxa"/>
          </w:tcPr>
          <w:p w14:paraId="2D7692DB" w14:textId="77777777" w:rsidR="00F5432F" w:rsidRPr="007A0F9C" w:rsidRDefault="00F5432F" w:rsidP="00F5432F">
            <w:pPr>
              <w:pStyle w:val="Sub-header"/>
              <w:jc w:val="both"/>
            </w:pPr>
          </w:p>
        </w:tc>
        <w:tc>
          <w:tcPr>
            <w:tcW w:w="708" w:type="dxa"/>
          </w:tcPr>
          <w:p w14:paraId="38ECABD8" w14:textId="221AC364" w:rsidR="00F5432F" w:rsidRPr="007A0F9C" w:rsidRDefault="00F5432F" w:rsidP="00F5432F">
            <w:pPr>
              <w:tabs>
                <w:tab w:val="decimal" w:pos="422"/>
              </w:tabs>
              <w:ind w:right="-144"/>
              <w:jc w:val="both"/>
              <w:rPr>
                <w:rFonts w:cs="Arial"/>
                <w:i/>
                <w:iCs/>
              </w:rPr>
            </w:pPr>
          </w:p>
        </w:tc>
        <w:tc>
          <w:tcPr>
            <w:tcW w:w="1560" w:type="dxa"/>
          </w:tcPr>
          <w:p w14:paraId="6A895C37" w14:textId="4682EE2A" w:rsidR="00F5432F" w:rsidRPr="007A0F9C" w:rsidRDefault="007A0F9C" w:rsidP="00F5432F">
            <w:pPr>
              <w:tabs>
                <w:tab w:val="decimal" w:pos="1276"/>
              </w:tabs>
              <w:jc w:val="both"/>
              <w:rPr>
                <w:rFonts w:cs="Arial"/>
                <w:b/>
                <w:bCs/>
              </w:rPr>
            </w:pPr>
            <w:r w:rsidRPr="007A0F9C">
              <w:rPr>
                <w:rFonts w:cs="Arial"/>
                <w:b/>
                <w:bCs/>
              </w:rPr>
              <w:t>5.2</w:t>
            </w:r>
          </w:p>
        </w:tc>
        <w:tc>
          <w:tcPr>
            <w:tcW w:w="1584" w:type="dxa"/>
          </w:tcPr>
          <w:p w14:paraId="32A38AF0" w14:textId="521C5496" w:rsidR="00F5432F" w:rsidRPr="003339AF" w:rsidRDefault="00F5432F" w:rsidP="00F5432F">
            <w:pPr>
              <w:tabs>
                <w:tab w:val="decimal" w:pos="1139"/>
              </w:tabs>
              <w:ind w:right="-144"/>
              <w:jc w:val="both"/>
              <w:rPr>
                <w:rFonts w:cs="Arial"/>
              </w:rPr>
            </w:pPr>
            <w:r>
              <w:rPr>
                <w:rFonts w:cs="Arial"/>
                <w:b/>
                <w:bCs/>
              </w:rPr>
              <w:t>0.12</w:t>
            </w:r>
          </w:p>
        </w:tc>
      </w:tr>
      <w:tr w:rsidR="00F5432F" w:rsidRPr="00670755" w14:paraId="5CD8F753" w14:textId="77777777" w:rsidTr="7821F417">
        <w:trPr>
          <w:trHeight w:val="248"/>
        </w:trPr>
        <w:tc>
          <w:tcPr>
            <w:tcW w:w="4820" w:type="dxa"/>
          </w:tcPr>
          <w:p w14:paraId="3058625F" w14:textId="77777777" w:rsidR="00F5432F" w:rsidRDefault="00F5432F" w:rsidP="00F5432F">
            <w:pPr>
              <w:ind w:right="-144"/>
              <w:jc w:val="both"/>
              <w:rPr>
                <w:rFonts w:cs="Arial"/>
                <w:szCs w:val="20"/>
              </w:rPr>
            </w:pPr>
          </w:p>
        </w:tc>
        <w:tc>
          <w:tcPr>
            <w:tcW w:w="142" w:type="dxa"/>
          </w:tcPr>
          <w:p w14:paraId="49C2A1F7" w14:textId="77777777" w:rsidR="00F5432F" w:rsidRPr="007C2FA3" w:rsidRDefault="00F5432F" w:rsidP="00F5432F">
            <w:pPr>
              <w:pStyle w:val="Sub-header"/>
              <w:jc w:val="both"/>
            </w:pPr>
          </w:p>
        </w:tc>
        <w:tc>
          <w:tcPr>
            <w:tcW w:w="708" w:type="dxa"/>
          </w:tcPr>
          <w:p w14:paraId="4ACC5733" w14:textId="77777777" w:rsidR="00F5432F" w:rsidRPr="00F0063D" w:rsidRDefault="00F5432F" w:rsidP="00F5432F">
            <w:pPr>
              <w:tabs>
                <w:tab w:val="decimal" w:pos="1424"/>
              </w:tabs>
              <w:ind w:right="-144"/>
              <w:jc w:val="both"/>
              <w:rPr>
                <w:rFonts w:cs="Arial"/>
                <w:szCs w:val="20"/>
                <w:u w:val="double"/>
              </w:rPr>
            </w:pPr>
          </w:p>
        </w:tc>
        <w:tc>
          <w:tcPr>
            <w:tcW w:w="1560" w:type="dxa"/>
          </w:tcPr>
          <w:p w14:paraId="1C3A0A88" w14:textId="28B963A1" w:rsidR="00F5432F" w:rsidRPr="00F0063D" w:rsidRDefault="00F5432F" w:rsidP="00F5432F">
            <w:pPr>
              <w:tabs>
                <w:tab w:val="decimal" w:pos="1424"/>
              </w:tabs>
              <w:ind w:right="-144"/>
              <w:jc w:val="both"/>
              <w:rPr>
                <w:rFonts w:cs="Arial"/>
                <w:szCs w:val="20"/>
                <w:u w:val="double"/>
              </w:rPr>
            </w:pPr>
            <w:r w:rsidRPr="00F0063D">
              <w:rPr>
                <w:rFonts w:cs="Arial"/>
                <w:szCs w:val="20"/>
                <w:u w:val="double"/>
              </w:rPr>
              <w:t>                  </w:t>
            </w:r>
          </w:p>
        </w:tc>
        <w:tc>
          <w:tcPr>
            <w:tcW w:w="1584" w:type="dxa"/>
          </w:tcPr>
          <w:p w14:paraId="79B2D66C" w14:textId="441081E5" w:rsidR="00F5432F" w:rsidRPr="004158AA" w:rsidRDefault="00F5432F" w:rsidP="00F5432F">
            <w:pPr>
              <w:tabs>
                <w:tab w:val="decimal" w:pos="1424"/>
              </w:tabs>
              <w:ind w:right="-144"/>
              <w:jc w:val="both"/>
              <w:rPr>
                <w:rFonts w:cs="Arial"/>
                <w:szCs w:val="20"/>
              </w:rPr>
            </w:pPr>
            <w:r w:rsidRPr="00F0063D">
              <w:rPr>
                <w:rFonts w:cs="Arial"/>
                <w:szCs w:val="20"/>
                <w:u w:val="double"/>
              </w:rPr>
              <w:t>                  </w:t>
            </w:r>
          </w:p>
        </w:tc>
      </w:tr>
    </w:tbl>
    <w:p w14:paraId="14A856A5" w14:textId="77777777" w:rsidR="005035CE" w:rsidRPr="00670755" w:rsidRDefault="005035CE" w:rsidP="005C02FC">
      <w:pPr>
        <w:jc w:val="both"/>
        <w:rPr>
          <w:rFonts w:cs="Arial"/>
          <w:szCs w:val="20"/>
        </w:rPr>
      </w:pPr>
    </w:p>
    <w:p w14:paraId="1910AAAC" w14:textId="77777777" w:rsidR="00F313EF" w:rsidRPr="00670755" w:rsidRDefault="00F313EF" w:rsidP="005C02FC">
      <w:pPr>
        <w:jc w:val="both"/>
        <w:rPr>
          <w:rFonts w:cs="Arial"/>
          <w:szCs w:val="20"/>
        </w:rPr>
      </w:pPr>
    </w:p>
    <w:p w14:paraId="2F703AD6" w14:textId="77777777" w:rsidR="007C0D62" w:rsidRPr="00670755" w:rsidRDefault="007C0D62" w:rsidP="005C02FC">
      <w:pPr>
        <w:jc w:val="both"/>
        <w:rPr>
          <w:rFonts w:cs="Arial"/>
          <w:szCs w:val="20"/>
        </w:rPr>
        <w:sectPr w:rsidR="007C0D62" w:rsidRPr="00670755" w:rsidSect="00E5419A">
          <w:headerReference w:type="even" r:id="rId37"/>
          <w:headerReference w:type="default" r:id="rId38"/>
          <w:footerReference w:type="even" r:id="rId39"/>
          <w:footerReference w:type="default" r:id="rId40"/>
          <w:headerReference w:type="first" r:id="rId41"/>
          <w:footerReference w:type="first" r:id="rId42"/>
          <w:pgSz w:w="11909" w:h="16834" w:code="9"/>
          <w:pgMar w:top="1080" w:right="1077" w:bottom="1077" w:left="1440" w:header="907" w:footer="709" w:gutter="0"/>
          <w:cols w:space="708"/>
          <w:docGrid w:linePitch="360"/>
        </w:sectPr>
      </w:pPr>
    </w:p>
    <w:tbl>
      <w:tblPr>
        <w:tblW w:w="0" w:type="auto"/>
        <w:tblLayout w:type="fixed"/>
        <w:tblCellMar>
          <w:left w:w="0" w:type="dxa"/>
          <w:right w:w="115" w:type="dxa"/>
        </w:tblCellMar>
        <w:tblLook w:val="04A0" w:firstRow="1" w:lastRow="0" w:firstColumn="1" w:lastColumn="0" w:noHBand="0" w:noVBand="1"/>
      </w:tblPr>
      <w:tblGrid>
        <w:gridCol w:w="5184"/>
        <w:gridCol w:w="668"/>
        <w:gridCol w:w="1584"/>
        <w:gridCol w:w="1584"/>
      </w:tblGrid>
      <w:tr w:rsidR="004479B6" w:rsidRPr="00670755" w14:paraId="4E18C3DF" w14:textId="77777777" w:rsidTr="00802A8A">
        <w:trPr>
          <w:trHeight w:val="149"/>
        </w:trPr>
        <w:tc>
          <w:tcPr>
            <w:tcW w:w="5184" w:type="dxa"/>
          </w:tcPr>
          <w:p w14:paraId="7725A73D" w14:textId="77777777" w:rsidR="004479B6" w:rsidRPr="00362407" w:rsidRDefault="004479B6" w:rsidP="00704079">
            <w:pPr>
              <w:jc w:val="both"/>
              <w:rPr>
                <w:rFonts w:cs="Arial"/>
                <w:sz w:val="19"/>
                <w:szCs w:val="19"/>
              </w:rPr>
            </w:pPr>
          </w:p>
        </w:tc>
        <w:tc>
          <w:tcPr>
            <w:tcW w:w="668" w:type="dxa"/>
          </w:tcPr>
          <w:p w14:paraId="7A8DC71E" w14:textId="77777777" w:rsidR="004479B6" w:rsidRPr="00362407" w:rsidRDefault="004479B6" w:rsidP="00704079">
            <w:pPr>
              <w:pStyle w:val="Sub-header"/>
              <w:jc w:val="both"/>
              <w:rPr>
                <w:sz w:val="19"/>
                <w:szCs w:val="19"/>
              </w:rPr>
            </w:pPr>
          </w:p>
        </w:tc>
        <w:tc>
          <w:tcPr>
            <w:tcW w:w="1584" w:type="dxa"/>
          </w:tcPr>
          <w:p w14:paraId="2C1CC2C2" w14:textId="1F95619D" w:rsidR="004479B6" w:rsidRPr="00362407" w:rsidRDefault="004479B6" w:rsidP="7821F417">
            <w:pPr>
              <w:tabs>
                <w:tab w:val="decimal" w:pos="1424"/>
              </w:tabs>
              <w:ind w:right="43"/>
              <w:jc w:val="both"/>
              <w:rPr>
                <w:rFonts w:cs="Arial"/>
                <w:b/>
                <w:bCs/>
                <w:sz w:val="19"/>
                <w:szCs w:val="19"/>
              </w:rPr>
            </w:pPr>
            <w:r>
              <w:rPr>
                <w:rFonts w:cs="Arial"/>
                <w:b/>
                <w:bCs/>
              </w:rPr>
              <w:t>Unaudited</w:t>
            </w:r>
          </w:p>
        </w:tc>
        <w:tc>
          <w:tcPr>
            <w:tcW w:w="1584" w:type="dxa"/>
          </w:tcPr>
          <w:p w14:paraId="666865DD" w14:textId="40CE98A1" w:rsidR="004479B6" w:rsidRPr="00362407" w:rsidRDefault="004479B6" w:rsidP="7821F417">
            <w:pPr>
              <w:tabs>
                <w:tab w:val="decimal" w:pos="1424"/>
              </w:tabs>
              <w:ind w:right="43"/>
              <w:jc w:val="both"/>
              <w:rPr>
                <w:rFonts w:cs="Arial"/>
                <w:b/>
                <w:bCs/>
                <w:sz w:val="19"/>
                <w:szCs w:val="19"/>
              </w:rPr>
            </w:pPr>
            <w:r>
              <w:rPr>
                <w:rFonts w:cs="Arial"/>
                <w:b/>
                <w:bCs/>
              </w:rPr>
              <w:t>Unaudited</w:t>
            </w:r>
          </w:p>
        </w:tc>
      </w:tr>
      <w:tr w:rsidR="009D74AF" w:rsidRPr="00670755" w14:paraId="68FC8F7A" w14:textId="77777777" w:rsidTr="7821F417">
        <w:tc>
          <w:tcPr>
            <w:tcW w:w="5184" w:type="dxa"/>
          </w:tcPr>
          <w:p w14:paraId="347FE484" w14:textId="77777777" w:rsidR="009D74AF" w:rsidRPr="00362407" w:rsidRDefault="009D74AF" w:rsidP="00704079">
            <w:pPr>
              <w:jc w:val="both"/>
              <w:rPr>
                <w:rFonts w:cs="Arial"/>
                <w:sz w:val="19"/>
                <w:szCs w:val="19"/>
              </w:rPr>
            </w:pPr>
          </w:p>
        </w:tc>
        <w:tc>
          <w:tcPr>
            <w:tcW w:w="668" w:type="dxa"/>
          </w:tcPr>
          <w:p w14:paraId="296E5DBE" w14:textId="77777777" w:rsidR="009D74AF" w:rsidRPr="00362407" w:rsidRDefault="009D74AF" w:rsidP="00704079">
            <w:pPr>
              <w:pStyle w:val="Sub-header"/>
              <w:jc w:val="both"/>
              <w:rPr>
                <w:sz w:val="19"/>
                <w:szCs w:val="19"/>
              </w:rPr>
            </w:pPr>
          </w:p>
        </w:tc>
        <w:tc>
          <w:tcPr>
            <w:tcW w:w="1584" w:type="dxa"/>
          </w:tcPr>
          <w:p w14:paraId="0A0F07EF" w14:textId="77777777" w:rsidR="009D74AF" w:rsidRPr="00362407" w:rsidRDefault="00EB2864" w:rsidP="7821F417">
            <w:pPr>
              <w:tabs>
                <w:tab w:val="decimal" w:pos="1424"/>
              </w:tabs>
              <w:ind w:right="43"/>
              <w:jc w:val="both"/>
              <w:rPr>
                <w:rFonts w:cs="Arial"/>
                <w:b/>
                <w:bCs/>
                <w:sz w:val="19"/>
                <w:szCs w:val="19"/>
              </w:rPr>
            </w:pPr>
            <w:r w:rsidRPr="00362407">
              <w:rPr>
                <w:rFonts w:cs="Arial"/>
                <w:b/>
                <w:bCs/>
                <w:sz w:val="19"/>
                <w:szCs w:val="19"/>
              </w:rPr>
              <w:t>30 June</w:t>
            </w:r>
          </w:p>
        </w:tc>
        <w:tc>
          <w:tcPr>
            <w:tcW w:w="1584" w:type="dxa"/>
          </w:tcPr>
          <w:p w14:paraId="7DB0215B" w14:textId="6E386F78" w:rsidR="009D74AF" w:rsidRPr="00362407" w:rsidRDefault="77B81AC1" w:rsidP="7821F417">
            <w:pPr>
              <w:tabs>
                <w:tab w:val="decimal" w:pos="1424"/>
              </w:tabs>
              <w:ind w:right="43"/>
              <w:jc w:val="both"/>
              <w:rPr>
                <w:rFonts w:cs="Arial"/>
                <w:b/>
                <w:bCs/>
                <w:sz w:val="19"/>
                <w:szCs w:val="19"/>
              </w:rPr>
            </w:pPr>
            <w:r w:rsidRPr="00362407">
              <w:rPr>
                <w:rFonts w:cs="Arial"/>
                <w:b/>
                <w:bCs/>
                <w:sz w:val="19"/>
                <w:szCs w:val="19"/>
              </w:rPr>
              <w:t>3</w:t>
            </w:r>
            <w:r w:rsidR="2D057DE3" w:rsidRPr="00362407">
              <w:rPr>
                <w:rFonts w:cs="Arial"/>
                <w:b/>
                <w:bCs/>
                <w:sz w:val="19"/>
                <w:szCs w:val="19"/>
              </w:rPr>
              <w:t>1 December</w:t>
            </w:r>
          </w:p>
        </w:tc>
      </w:tr>
      <w:tr w:rsidR="009D74AF" w:rsidRPr="00670755" w14:paraId="329DD35C" w14:textId="77777777" w:rsidTr="7821F417">
        <w:tc>
          <w:tcPr>
            <w:tcW w:w="5184" w:type="dxa"/>
          </w:tcPr>
          <w:p w14:paraId="3C19190E" w14:textId="77777777" w:rsidR="009D74AF" w:rsidRPr="00362407" w:rsidRDefault="009D74AF" w:rsidP="00704079">
            <w:pPr>
              <w:ind w:right="-144"/>
              <w:jc w:val="both"/>
              <w:rPr>
                <w:rFonts w:cs="Arial"/>
                <w:sz w:val="19"/>
                <w:szCs w:val="19"/>
              </w:rPr>
            </w:pPr>
          </w:p>
        </w:tc>
        <w:tc>
          <w:tcPr>
            <w:tcW w:w="668" w:type="dxa"/>
          </w:tcPr>
          <w:p w14:paraId="29E310D8" w14:textId="77777777" w:rsidR="009D74AF" w:rsidRPr="00362407" w:rsidRDefault="009D74AF" w:rsidP="00704079">
            <w:pPr>
              <w:pStyle w:val="Sub-header"/>
              <w:jc w:val="both"/>
              <w:rPr>
                <w:sz w:val="19"/>
                <w:szCs w:val="19"/>
              </w:rPr>
            </w:pPr>
            <w:r w:rsidRPr="00362407">
              <w:rPr>
                <w:sz w:val="19"/>
                <w:szCs w:val="19"/>
              </w:rPr>
              <w:t>Note</w:t>
            </w:r>
          </w:p>
        </w:tc>
        <w:tc>
          <w:tcPr>
            <w:tcW w:w="1584" w:type="dxa"/>
          </w:tcPr>
          <w:p w14:paraId="0709F162" w14:textId="665A8EFB" w:rsidR="009D74AF" w:rsidRPr="00362407" w:rsidRDefault="0C2FF1E1" w:rsidP="7821F417">
            <w:pPr>
              <w:tabs>
                <w:tab w:val="decimal" w:pos="1424"/>
              </w:tabs>
              <w:ind w:right="-144"/>
              <w:jc w:val="both"/>
              <w:rPr>
                <w:rFonts w:cs="Arial"/>
                <w:b/>
                <w:bCs/>
                <w:sz w:val="19"/>
                <w:szCs w:val="19"/>
              </w:rPr>
            </w:pPr>
            <w:r w:rsidRPr="00362407">
              <w:rPr>
                <w:rFonts w:cs="Arial"/>
                <w:b/>
                <w:bCs/>
                <w:sz w:val="19"/>
                <w:szCs w:val="19"/>
              </w:rPr>
              <w:t>202</w:t>
            </w:r>
            <w:r w:rsidR="00056E84">
              <w:rPr>
                <w:rFonts w:cs="Arial"/>
                <w:b/>
                <w:bCs/>
                <w:sz w:val="19"/>
                <w:szCs w:val="19"/>
              </w:rPr>
              <w:t>5</w:t>
            </w:r>
          </w:p>
        </w:tc>
        <w:tc>
          <w:tcPr>
            <w:tcW w:w="1584" w:type="dxa"/>
          </w:tcPr>
          <w:p w14:paraId="237DF7F2" w14:textId="1BA69EC7" w:rsidR="009D74AF" w:rsidRPr="00362407" w:rsidRDefault="2EE2AA99" w:rsidP="7821F417">
            <w:pPr>
              <w:tabs>
                <w:tab w:val="decimal" w:pos="1424"/>
              </w:tabs>
              <w:ind w:right="-144"/>
              <w:jc w:val="both"/>
              <w:rPr>
                <w:rFonts w:cs="Arial"/>
                <w:b/>
                <w:bCs/>
                <w:sz w:val="19"/>
                <w:szCs w:val="19"/>
              </w:rPr>
            </w:pPr>
            <w:r w:rsidRPr="00362407">
              <w:rPr>
                <w:rFonts w:cs="Arial"/>
                <w:b/>
                <w:bCs/>
                <w:sz w:val="19"/>
                <w:szCs w:val="19"/>
              </w:rPr>
              <w:t>202</w:t>
            </w:r>
            <w:r w:rsidR="00EC2A48">
              <w:rPr>
                <w:rFonts w:cs="Arial"/>
                <w:b/>
                <w:bCs/>
                <w:sz w:val="19"/>
                <w:szCs w:val="19"/>
              </w:rPr>
              <w:t>4</w:t>
            </w:r>
          </w:p>
        </w:tc>
      </w:tr>
      <w:tr w:rsidR="009D74AF" w:rsidRPr="00670755" w14:paraId="0A5CF450" w14:textId="77777777" w:rsidTr="7821F417">
        <w:tc>
          <w:tcPr>
            <w:tcW w:w="5184" w:type="dxa"/>
          </w:tcPr>
          <w:p w14:paraId="6BC23F18" w14:textId="5821C1E1" w:rsidR="009D74AF" w:rsidRPr="00362407" w:rsidRDefault="0086559B" w:rsidP="00704079">
            <w:pPr>
              <w:ind w:right="-144"/>
              <w:jc w:val="both"/>
              <w:rPr>
                <w:rFonts w:cs="Arial"/>
                <w:sz w:val="19"/>
                <w:szCs w:val="19"/>
              </w:rPr>
            </w:pPr>
            <w:r w:rsidRPr="00362407">
              <w:rPr>
                <w:rFonts w:cs="Arial"/>
                <w:b/>
                <w:sz w:val="19"/>
                <w:szCs w:val="19"/>
              </w:rPr>
              <w:t>Assets</w:t>
            </w:r>
          </w:p>
        </w:tc>
        <w:tc>
          <w:tcPr>
            <w:tcW w:w="668" w:type="dxa"/>
          </w:tcPr>
          <w:p w14:paraId="15FB7149" w14:textId="77777777" w:rsidR="009D74AF" w:rsidRPr="00362407" w:rsidRDefault="009D74AF" w:rsidP="00704079">
            <w:pPr>
              <w:pStyle w:val="Sub-header"/>
              <w:jc w:val="both"/>
              <w:rPr>
                <w:sz w:val="19"/>
                <w:szCs w:val="19"/>
              </w:rPr>
            </w:pPr>
          </w:p>
        </w:tc>
        <w:tc>
          <w:tcPr>
            <w:tcW w:w="1584" w:type="dxa"/>
          </w:tcPr>
          <w:p w14:paraId="6A35B0D8" w14:textId="77777777" w:rsidR="009D74AF" w:rsidRPr="00362407" w:rsidRDefault="77B81AC1" w:rsidP="7821F417">
            <w:pPr>
              <w:tabs>
                <w:tab w:val="decimal" w:pos="1424"/>
              </w:tabs>
              <w:ind w:right="-144"/>
              <w:jc w:val="both"/>
              <w:rPr>
                <w:rFonts w:cs="Arial"/>
                <w:b/>
                <w:bCs/>
                <w:sz w:val="19"/>
                <w:szCs w:val="19"/>
              </w:rPr>
            </w:pPr>
            <w:r w:rsidRPr="00362407">
              <w:rPr>
                <w:rFonts w:cs="Arial"/>
                <w:b/>
                <w:bCs/>
                <w:sz w:val="19"/>
                <w:szCs w:val="19"/>
              </w:rPr>
              <w:t>€’000</w:t>
            </w:r>
          </w:p>
        </w:tc>
        <w:tc>
          <w:tcPr>
            <w:tcW w:w="1584" w:type="dxa"/>
          </w:tcPr>
          <w:p w14:paraId="28CE3892" w14:textId="77777777" w:rsidR="009D74AF" w:rsidRPr="00362407" w:rsidRDefault="77B81AC1" w:rsidP="7821F417">
            <w:pPr>
              <w:tabs>
                <w:tab w:val="decimal" w:pos="1424"/>
              </w:tabs>
              <w:ind w:right="-144"/>
              <w:jc w:val="both"/>
              <w:rPr>
                <w:rFonts w:cs="Arial"/>
                <w:b/>
                <w:bCs/>
                <w:sz w:val="19"/>
                <w:szCs w:val="19"/>
              </w:rPr>
            </w:pPr>
            <w:r w:rsidRPr="00362407">
              <w:rPr>
                <w:rFonts w:cs="Arial"/>
                <w:b/>
                <w:bCs/>
                <w:sz w:val="19"/>
                <w:szCs w:val="19"/>
              </w:rPr>
              <w:t>€’000</w:t>
            </w:r>
          </w:p>
        </w:tc>
      </w:tr>
      <w:tr w:rsidR="009D74AF" w:rsidRPr="00670755" w14:paraId="087DC1C5" w14:textId="77777777" w:rsidTr="7821F417">
        <w:tc>
          <w:tcPr>
            <w:tcW w:w="5184" w:type="dxa"/>
          </w:tcPr>
          <w:p w14:paraId="40137133" w14:textId="77777777" w:rsidR="009D74AF" w:rsidRPr="00362407" w:rsidRDefault="009D74AF" w:rsidP="00704079">
            <w:pPr>
              <w:ind w:right="-144"/>
              <w:jc w:val="both"/>
              <w:rPr>
                <w:rFonts w:cs="Arial"/>
                <w:b/>
                <w:sz w:val="19"/>
                <w:szCs w:val="19"/>
              </w:rPr>
            </w:pPr>
            <w:r w:rsidRPr="00362407">
              <w:rPr>
                <w:rFonts w:cs="Arial"/>
                <w:b/>
                <w:sz w:val="19"/>
                <w:szCs w:val="19"/>
              </w:rPr>
              <w:t>Non-current assets</w:t>
            </w:r>
          </w:p>
        </w:tc>
        <w:tc>
          <w:tcPr>
            <w:tcW w:w="668" w:type="dxa"/>
          </w:tcPr>
          <w:p w14:paraId="44EA903D" w14:textId="77777777" w:rsidR="009D74AF" w:rsidRPr="00362407" w:rsidRDefault="009D74AF" w:rsidP="00704079">
            <w:pPr>
              <w:pStyle w:val="Sub-header"/>
              <w:jc w:val="both"/>
              <w:rPr>
                <w:sz w:val="19"/>
                <w:szCs w:val="19"/>
              </w:rPr>
            </w:pPr>
          </w:p>
        </w:tc>
        <w:tc>
          <w:tcPr>
            <w:tcW w:w="1584" w:type="dxa"/>
          </w:tcPr>
          <w:p w14:paraId="75AC3E69" w14:textId="77777777" w:rsidR="009D74AF" w:rsidRPr="00362407" w:rsidRDefault="009D74AF" w:rsidP="00704079">
            <w:pPr>
              <w:tabs>
                <w:tab w:val="decimal" w:pos="1424"/>
              </w:tabs>
              <w:ind w:right="-144"/>
              <w:jc w:val="both"/>
              <w:rPr>
                <w:rFonts w:cs="Arial"/>
                <w:sz w:val="19"/>
                <w:szCs w:val="19"/>
              </w:rPr>
            </w:pPr>
          </w:p>
        </w:tc>
        <w:tc>
          <w:tcPr>
            <w:tcW w:w="1584" w:type="dxa"/>
          </w:tcPr>
          <w:p w14:paraId="6BE34292" w14:textId="77777777" w:rsidR="009D74AF" w:rsidRPr="00362407" w:rsidRDefault="009D74AF" w:rsidP="00704079">
            <w:pPr>
              <w:tabs>
                <w:tab w:val="decimal" w:pos="1424"/>
              </w:tabs>
              <w:ind w:right="-144"/>
              <w:jc w:val="both"/>
              <w:rPr>
                <w:rFonts w:cs="Arial"/>
                <w:sz w:val="19"/>
                <w:szCs w:val="19"/>
              </w:rPr>
            </w:pPr>
          </w:p>
        </w:tc>
      </w:tr>
      <w:tr w:rsidR="005F2E04" w:rsidRPr="00670755" w14:paraId="28716C63" w14:textId="77777777" w:rsidTr="7821F417">
        <w:tc>
          <w:tcPr>
            <w:tcW w:w="5184" w:type="dxa"/>
          </w:tcPr>
          <w:p w14:paraId="574AD0EF" w14:textId="0753E35B" w:rsidR="005F2E04" w:rsidRPr="00362407" w:rsidRDefault="005F2E04" w:rsidP="005F2E04">
            <w:pPr>
              <w:ind w:right="-144"/>
              <w:jc w:val="both"/>
              <w:rPr>
                <w:rFonts w:cs="Arial"/>
                <w:sz w:val="19"/>
                <w:szCs w:val="19"/>
              </w:rPr>
            </w:pPr>
            <w:r w:rsidRPr="00362407">
              <w:rPr>
                <w:rFonts w:cs="Arial"/>
                <w:sz w:val="19"/>
                <w:szCs w:val="19"/>
              </w:rPr>
              <w:t>Goodwill</w:t>
            </w:r>
          </w:p>
        </w:tc>
        <w:tc>
          <w:tcPr>
            <w:tcW w:w="668" w:type="dxa"/>
          </w:tcPr>
          <w:p w14:paraId="6C3E4AC5" w14:textId="15744138" w:rsidR="005F2E04" w:rsidRPr="00362407" w:rsidRDefault="005F2E04" w:rsidP="005F2E04">
            <w:pPr>
              <w:pStyle w:val="Sub-header"/>
              <w:jc w:val="both"/>
              <w:rPr>
                <w:sz w:val="19"/>
                <w:szCs w:val="19"/>
              </w:rPr>
            </w:pPr>
          </w:p>
        </w:tc>
        <w:tc>
          <w:tcPr>
            <w:tcW w:w="1584" w:type="dxa"/>
          </w:tcPr>
          <w:p w14:paraId="2CC761A0" w14:textId="42385325" w:rsidR="005F2E04" w:rsidRPr="00362407" w:rsidRDefault="001719AC" w:rsidP="005F2E04">
            <w:pPr>
              <w:tabs>
                <w:tab w:val="decimal" w:pos="1424"/>
              </w:tabs>
              <w:ind w:right="-144"/>
              <w:jc w:val="both"/>
              <w:rPr>
                <w:rFonts w:cs="Arial"/>
                <w:b/>
                <w:bCs/>
                <w:sz w:val="19"/>
                <w:szCs w:val="19"/>
              </w:rPr>
            </w:pPr>
            <w:r>
              <w:rPr>
                <w:rFonts w:cs="Arial"/>
                <w:b/>
                <w:bCs/>
                <w:sz w:val="19"/>
                <w:szCs w:val="19"/>
              </w:rPr>
              <w:t>5,697</w:t>
            </w:r>
          </w:p>
        </w:tc>
        <w:tc>
          <w:tcPr>
            <w:tcW w:w="1584" w:type="dxa"/>
          </w:tcPr>
          <w:p w14:paraId="77F90CEA" w14:textId="3F7649E5" w:rsidR="005F2E04" w:rsidRPr="005F2E04" w:rsidRDefault="005F2E04" w:rsidP="005F2E04">
            <w:pPr>
              <w:tabs>
                <w:tab w:val="decimal" w:pos="1424"/>
              </w:tabs>
              <w:ind w:right="-144"/>
              <w:jc w:val="both"/>
              <w:rPr>
                <w:rFonts w:cs="Arial"/>
                <w:bCs/>
                <w:sz w:val="19"/>
                <w:szCs w:val="19"/>
              </w:rPr>
            </w:pPr>
            <w:r w:rsidRPr="005F2E04">
              <w:rPr>
                <w:rFonts w:cs="Arial"/>
                <w:bCs/>
                <w:szCs w:val="20"/>
              </w:rPr>
              <w:t>5,697</w:t>
            </w:r>
          </w:p>
        </w:tc>
      </w:tr>
      <w:tr w:rsidR="005F2E04" w:rsidRPr="00670755" w14:paraId="47D57095" w14:textId="77777777" w:rsidTr="7821F417">
        <w:tc>
          <w:tcPr>
            <w:tcW w:w="5184" w:type="dxa"/>
          </w:tcPr>
          <w:p w14:paraId="5B7F573D" w14:textId="77777777" w:rsidR="005F2E04" w:rsidRPr="00362407" w:rsidRDefault="005F2E04" w:rsidP="005F2E04">
            <w:pPr>
              <w:ind w:right="-144"/>
              <w:jc w:val="both"/>
              <w:rPr>
                <w:rFonts w:cs="Arial"/>
                <w:sz w:val="19"/>
                <w:szCs w:val="19"/>
              </w:rPr>
            </w:pPr>
            <w:r w:rsidRPr="00362407">
              <w:rPr>
                <w:rFonts w:cs="Arial"/>
                <w:sz w:val="19"/>
                <w:szCs w:val="19"/>
              </w:rPr>
              <w:t>Property, plant and equipment</w:t>
            </w:r>
          </w:p>
        </w:tc>
        <w:tc>
          <w:tcPr>
            <w:tcW w:w="668" w:type="dxa"/>
          </w:tcPr>
          <w:p w14:paraId="3F42B399" w14:textId="57AE383E" w:rsidR="005F2E04" w:rsidRPr="00362407" w:rsidRDefault="005F2E04" w:rsidP="00A05E88">
            <w:pPr>
              <w:pStyle w:val="Sub-header"/>
              <w:jc w:val="center"/>
              <w:rPr>
                <w:sz w:val="19"/>
                <w:szCs w:val="19"/>
              </w:rPr>
            </w:pPr>
            <w:r w:rsidRPr="00362407">
              <w:rPr>
                <w:sz w:val="19"/>
                <w:szCs w:val="19"/>
              </w:rPr>
              <w:t>12</w:t>
            </w:r>
          </w:p>
        </w:tc>
        <w:tc>
          <w:tcPr>
            <w:tcW w:w="1584" w:type="dxa"/>
          </w:tcPr>
          <w:p w14:paraId="7CF0D8C2" w14:textId="6588CB60" w:rsidR="005F2E04" w:rsidRPr="00362407" w:rsidRDefault="001719AC" w:rsidP="005F2E04">
            <w:pPr>
              <w:tabs>
                <w:tab w:val="decimal" w:pos="1424"/>
              </w:tabs>
              <w:ind w:right="-144"/>
              <w:jc w:val="both"/>
              <w:rPr>
                <w:rFonts w:cs="Arial"/>
                <w:b/>
                <w:bCs/>
                <w:sz w:val="19"/>
                <w:szCs w:val="19"/>
              </w:rPr>
            </w:pPr>
            <w:r>
              <w:rPr>
                <w:rFonts w:cs="Arial"/>
                <w:b/>
                <w:bCs/>
                <w:sz w:val="19"/>
                <w:szCs w:val="19"/>
              </w:rPr>
              <w:t>62,501</w:t>
            </w:r>
          </w:p>
        </w:tc>
        <w:tc>
          <w:tcPr>
            <w:tcW w:w="1584" w:type="dxa"/>
          </w:tcPr>
          <w:p w14:paraId="3EB8850F" w14:textId="1BCCA3C5" w:rsidR="005F2E04" w:rsidRPr="005F2E04" w:rsidRDefault="005F2E04" w:rsidP="005F2E04">
            <w:pPr>
              <w:tabs>
                <w:tab w:val="decimal" w:pos="1424"/>
              </w:tabs>
              <w:ind w:right="-144"/>
              <w:jc w:val="both"/>
              <w:rPr>
                <w:rFonts w:cs="Arial"/>
                <w:bCs/>
                <w:sz w:val="19"/>
                <w:szCs w:val="19"/>
              </w:rPr>
            </w:pPr>
            <w:r w:rsidRPr="005F2E04">
              <w:rPr>
                <w:rFonts w:cs="Arial"/>
                <w:bCs/>
                <w:szCs w:val="20"/>
              </w:rPr>
              <w:t>62,404</w:t>
            </w:r>
          </w:p>
        </w:tc>
      </w:tr>
      <w:tr w:rsidR="005F2E04" w:rsidRPr="00670755" w14:paraId="61D7A7A7" w14:textId="77777777" w:rsidTr="7821F417">
        <w:tc>
          <w:tcPr>
            <w:tcW w:w="5184" w:type="dxa"/>
          </w:tcPr>
          <w:p w14:paraId="624CDFB1" w14:textId="77777777" w:rsidR="005F2E04" w:rsidRPr="00362407" w:rsidRDefault="005F2E04" w:rsidP="005F2E04">
            <w:pPr>
              <w:ind w:right="-144"/>
              <w:jc w:val="both"/>
              <w:rPr>
                <w:rFonts w:cs="Arial"/>
                <w:sz w:val="19"/>
                <w:szCs w:val="19"/>
              </w:rPr>
            </w:pPr>
            <w:r w:rsidRPr="00362407">
              <w:rPr>
                <w:rFonts w:cs="Arial"/>
                <w:sz w:val="19"/>
                <w:szCs w:val="19"/>
              </w:rPr>
              <w:t>Intangible assets</w:t>
            </w:r>
          </w:p>
        </w:tc>
        <w:tc>
          <w:tcPr>
            <w:tcW w:w="668" w:type="dxa"/>
          </w:tcPr>
          <w:p w14:paraId="3A2E61CB" w14:textId="796F1B2A" w:rsidR="005F2E04" w:rsidRPr="00362407" w:rsidRDefault="005F2E04" w:rsidP="00A05E88">
            <w:pPr>
              <w:pStyle w:val="Sub-header"/>
              <w:jc w:val="center"/>
              <w:rPr>
                <w:sz w:val="19"/>
                <w:szCs w:val="19"/>
              </w:rPr>
            </w:pPr>
          </w:p>
        </w:tc>
        <w:tc>
          <w:tcPr>
            <w:tcW w:w="1584" w:type="dxa"/>
          </w:tcPr>
          <w:p w14:paraId="206A7015" w14:textId="3F7CC357" w:rsidR="005F2E04" w:rsidRPr="00362407" w:rsidRDefault="001719AC" w:rsidP="005F2E04">
            <w:pPr>
              <w:tabs>
                <w:tab w:val="decimal" w:pos="1424"/>
              </w:tabs>
              <w:ind w:right="-144"/>
              <w:jc w:val="both"/>
              <w:rPr>
                <w:rFonts w:cs="Arial"/>
                <w:b/>
                <w:bCs/>
                <w:sz w:val="19"/>
                <w:szCs w:val="19"/>
              </w:rPr>
            </w:pPr>
            <w:r>
              <w:rPr>
                <w:rFonts w:cs="Arial"/>
                <w:b/>
                <w:bCs/>
                <w:sz w:val="19"/>
                <w:szCs w:val="19"/>
              </w:rPr>
              <w:t>7,930</w:t>
            </w:r>
          </w:p>
        </w:tc>
        <w:tc>
          <w:tcPr>
            <w:tcW w:w="1584" w:type="dxa"/>
          </w:tcPr>
          <w:p w14:paraId="2E5A861C" w14:textId="4300A61E" w:rsidR="005F2E04" w:rsidRPr="005F2E04" w:rsidRDefault="005F2E04" w:rsidP="005F2E04">
            <w:pPr>
              <w:tabs>
                <w:tab w:val="decimal" w:pos="1424"/>
              </w:tabs>
              <w:ind w:right="-144"/>
              <w:jc w:val="both"/>
              <w:rPr>
                <w:rFonts w:cs="Arial"/>
                <w:bCs/>
                <w:sz w:val="19"/>
                <w:szCs w:val="19"/>
              </w:rPr>
            </w:pPr>
            <w:r w:rsidRPr="005F2E04">
              <w:rPr>
                <w:rFonts w:cs="Arial"/>
                <w:bCs/>
                <w:szCs w:val="20"/>
              </w:rPr>
              <w:t>7,277</w:t>
            </w:r>
          </w:p>
        </w:tc>
      </w:tr>
      <w:tr w:rsidR="005F2E04" w:rsidRPr="00670755" w14:paraId="45D955B4" w14:textId="77777777" w:rsidTr="7821F417">
        <w:tc>
          <w:tcPr>
            <w:tcW w:w="5184" w:type="dxa"/>
          </w:tcPr>
          <w:p w14:paraId="29479673" w14:textId="77777777" w:rsidR="005F2E04" w:rsidRPr="00362407" w:rsidRDefault="005F2E04" w:rsidP="005F2E04">
            <w:pPr>
              <w:ind w:right="-144"/>
              <w:jc w:val="both"/>
              <w:rPr>
                <w:rFonts w:cs="Arial"/>
                <w:sz w:val="19"/>
                <w:szCs w:val="19"/>
              </w:rPr>
            </w:pPr>
            <w:r w:rsidRPr="00362407">
              <w:rPr>
                <w:rFonts w:cs="Arial"/>
                <w:sz w:val="19"/>
                <w:szCs w:val="19"/>
              </w:rPr>
              <w:t>Deferred tax asset</w:t>
            </w:r>
          </w:p>
        </w:tc>
        <w:tc>
          <w:tcPr>
            <w:tcW w:w="668" w:type="dxa"/>
          </w:tcPr>
          <w:p w14:paraId="3A637904" w14:textId="4ED61BFF" w:rsidR="005F2E04" w:rsidRPr="00362407" w:rsidRDefault="005F2E04" w:rsidP="00A05E88">
            <w:pPr>
              <w:pStyle w:val="Sub-header"/>
              <w:jc w:val="center"/>
              <w:rPr>
                <w:sz w:val="19"/>
                <w:szCs w:val="19"/>
              </w:rPr>
            </w:pPr>
            <w:r w:rsidRPr="00362407">
              <w:rPr>
                <w:sz w:val="19"/>
                <w:szCs w:val="19"/>
              </w:rPr>
              <w:t>10</w:t>
            </w:r>
          </w:p>
        </w:tc>
        <w:tc>
          <w:tcPr>
            <w:tcW w:w="1584" w:type="dxa"/>
          </w:tcPr>
          <w:p w14:paraId="152673FC" w14:textId="35A78CD8" w:rsidR="005F2E04" w:rsidRPr="00362407" w:rsidRDefault="001719AC" w:rsidP="005F2E04">
            <w:pPr>
              <w:tabs>
                <w:tab w:val="decimal" w:pos="1424"/>
              </w:tabs>
              <w:ind w:right="-144"/>
              <w:jc w:val="both"/>
              <w:rPr>
                <w:rFonts w:cs="Arial"/>
                <w:b/>
                <w:bCs/>
                <w:sz w:val="19"/>
                <w:szCs w:val="19"/>
              </w:rPr>
            </w:pPr>
            <w:r>
              <w:rPr>
                <w:rFonts w:cs="Arial"/>
                <w:b/>
                <w:bCs/>
                <w:sz w:val="19"/>
                <w:szCs w:val="19"/>
              </w:rPr>
              <w:t>1,</w:t>
            </w:r>
            <w:r w:rsidR="00B40FA8">
              <w:rPr>
                <w:rFonts w:cs="Arial"/>
                <w:b/>
                <w:bCs/>
                <w:sz w:val="19"/>
                <w:szCs w:val="19"/>
              </w:rPr>
              <w:t>369</w:t>
            </w:r>
          </w:p>
        </w:tc>
        <w:tc>
          <w:tcPr>
            <w:tcW w:w="1584" w:type="dxa"/>
          </w:tcPr>
          <w:p w14:paraId="7F3C42BD" w14:textId="71DBC63F" w:rsidR="005F2E04" w:rsidRPr="005F2E04" w:rsidRDefault="005F2E04" w:rsidP="005F2E04">
            <w:pPr>
              <w:tabs>
                <w:tab w:val="decimal" w:pos="1424"/>
              </w:tabs>
              <w:ind w:right="-144"/>
              <w:jc w:val="both"/>
              <w:rPr>
                <w:rFonts w:cs="Arial"/>
                <w:bCs/>
                <w:sz w:val="19"/>
                <w:szCs w:val="19"/>
              </w:rPr>
            </w:pPr>
            <w:r w:rsidRPr="005F2E04">
              <w:rPr>
                <w:rFonts w:cs="Arial"/>
                <w:bCs/>
                <w:szCs w:val="20"/>
              </w:rPr>
              <w:t>1,339</w:t>
            </w:r>
          </w:p>
        </w:tc>
      </w:tr>
      <w:tr w:rsidR="00DC2D1F" w:rsidRPr="00670755" w14:paraId="1A786BAF" w14:textId="77777777" w:rsidTr="7821F417">
        <w:tc>
          <w:tcPr>
            <w:tcW w:w="5184" w:type="dxa"/>
          </w:tcPr>
          <w:p w14:paraId="1B46EEF6" w14:textId="77777777" w:rsidR="00DC2D1F" w:rsidRPr="00362407" w:rsidRDefault="00DC2D1F" w:rsidP="00DC2D1F">
            <w:pPr>
              <w:ind w:right="-144"/>
              <w:jc w:val="both"/>
              <w:rPr>
                <w:rFonts w:cs="Arial"/>
                <w:sz w:val="19"/>
                <w:szCs w:val="19"/>
              </w:rPr>
            </w:pPr>
          </w:p>
        </w:tc>
        <w:tc>
          <w:tcPr>
            <w:tcW w:w="668" w:type="dxa"/>
          </w:tcPr>
          <w:p w14:paraId="0B4A239E" w14:textId="77777777" w:rsidR="00DC2D1F" w:rsidRPr="00362407" w:rsidRDefault="00DC2D1F" w:rsidP="00A05E88">
            <w:pPr>
              <w:pStyle w:val="Sub-header"/>
              <w:jc w:val="center"/>
              <w:rPr>
                <w:sz w:val="19"/>
                <w:szCs w:val="19"/>
              </w:rPr>
            </w:pPr>
          </w:p>
        </w:tc>
        <w:tc>
          <w:tcPr>
            <w:tcW w:w="1584" w:type="dxa"/>
          </w:tcPr>
          <w:p w14:paraId="36452C7B" w14:textId="77777777" w:rsidR="00DC2D1F" w:rsidRPr="00362407" w:rsidRDefault="00DC2D1F" w:rsidP="00DC2D1F">
            <w:pPr>
              <w:tabs>
                <w:tab w:val="decimal" w:pos="1424"/>
              </w:tabs>
              <w:ind w:right="-144"/>
              <w:jc w:val="both"/>
              <w:rPr>
                <w:rFonts w:cs="Arial"/>
                <w:sz w:val="19"/>
                <w:szCs w:val="19"/>
                <w:u w:val="single"/>
              </w:rPr>
            </w:pPr>
            <w:r w:rsidRPr="00362407">
              <w:rPr>
                <w:rFonts w:cs="Arial"/>
                <w:sz w:val="19"/>
                <w:szCs w:val="19"/>
                <w:u w:val="single"/>
              </w:rPr>
              <w:t>                  </w:t>
            </w:r>
          </w:p>
        </w:tc>
        <w:tc>
          <w:tcPr>
            <w:tcW w:w="1584" w:type="dxa"/>
          </w:tcPr>
          <w:p w14:paraId="16C83A7C" w14:textId="49F60130" w:rsidR="00DC2D1F" w:rsidRPr="00362407" w:rsidRDefault="00DC2D1F" w:rsidP="00DC2D1F">
            <w:pPr>
              <w:tabs>
                <w:tab w:val="decimal" w:pos="1424"/>
              </w:tabs>
              <w:ind w:right="-144"/>
              <w:jc w:val="both"/>
              <w:rPr>
                <w:rFonts w:cs="Arial"/>
                <w:sz w:val="19"/>
                <w:szCs w:val="19"/>
                <w:u w:val="single"/>
              </w:rPr>
            </w:pPr>
            <w:r w:rsidRPr="00362407">
              <w:rPr>
                <w:rFonts w:cs="Arial"/>
                <w:sz w:val="19"/>
                <w:szCs w:val="19"/>
                <w:u w:val="single"/>
              </w:rPr>
              <w:t>                  </w:t>
            </w:r>
          </w:p>
        </w:tc>
      </w:tr>
      <w:tr w:rsidR="00DC2D1F" w:rsidRPr="00670755" w14:paraId="11D004A3" w14:textId="77777777" w:rsidTr="00802A8A">
        <w:trPr>
          <w:trHeight w:val="180"/>
        </w:trPr>
        <w:tc>
          <w:tcPr>
            <w:tcW w:w="5184" w:type="dxa"/>
          </w:tcPr>
          <w:p w14:paraId="18C7DABD" w14:textId="77777777" w:rsidR="00DC2D1F" w:rsidRPr="00362407" w:rsidRDefault="00DC2D1F" w:rsidP="00DC2D1F">
            <w:pPr>
              <w:ind w:right="-144"/>
              <w:jc w:val="both"/>
              <w:rPr>
                <w:rFonts w:cs="Arial"/>
                <w:sz w:val="19"/>
                <w:szCs w:val="19"/>
              </w:rPr>
            </w:pPr>
          </w:p>
        </w:tc>
        <w:tc>
          <w:tcPr>
            <w:tcW w:w="668" w:type="dxa"/>
          </w:tcPr>
          <w:p w14:paraId="461F470C" w14:textId="77777777" w:rsidR="00DC2D1F" w:rsidRPr="00362407" w:rsidRDefault="00DC2D1F" w:rsidP="00A05E88">
            <w:pPr>
              <w:pStyle w:val="Sub-header"/>
              <w:jc w:val="center"/>
              <w:rPr>
                <w:sz w:val="19"/>
                <w:szCs w:val="19"/>
              </w:rPr>
            </w:pPr>
          </w:p>
        </w:tc>
        <w:tc>
          <w:tcPr>
            <w:tcW w:w="1584" w:type="dxa"/>
          </w:tcPr>
          <w:p w14:paraId="38F56EA7" w14:textId="77777777" w:rsidR="00DC2D1F" w:rsidRPr="00362407" w:rsidRDefault="00DC2D1F" w:rsidP="00DC2D1F">
            <w:pPr>
              <w:tabs>
                <w:tab w:val="decimal" w:pos="1424"/>
              </w:tabs>
              <w:ind w:right="-144"/>
              <w:jc w:val="both"/>
              <w:rPr>
                <w:rFonts w:cs="Arial"/>
                <w:b/>
                <w:sz w:val="19"/>
                <w:szCs w:val="19"/>
              </w:rPr>
            </w:pPr>
          </w:p>
        </w:tc>
        <w:tc>
          <w:tcPr>
            <w:tcW w:w="1584" w:type="dxa"/>
          </w:tcPr>
          <w:p w14:paraId="3AA2C799" w14:textId="77777777" w:rsidR="00DC2D1F" w:rsidRPr="00362407" w:rsidRDefault="00DC2D1F" w:rsidP="00DC2D1F">
            <w:pPr>
              <w:tabs>
                <w:tab w:val="decimal" w:pos="1424"/>
              </w:tabs>
              <w:ind w:right="-144"/>
              <w:jc w:val="both"/>
              <w:rPr>
                <w:rFonts w:cs="Arial"/>
                <w:sz w:val="19"/>
                <w:szCs w:val="19"/>
              </w:rPr>
            </w:pPr>
          </w:p>
        </w:tc>
      </w:tr>
      <w:tr w:rsidR="00DC2D1F" w:rsidRPr="00670755" w14:paraId="7EB2A617" w14:textId="77777777" w:rsidTr="00802A8A">
        <w:trPr>
          <w:trHeight w:val="98"/>
        </w:trPr>
        <w:tc>
          <w:tcPr>
            <w:tcW w:w="5184" w:type="dxa"/>
          </w:tcPr>
          <w:p w14:paraId="744EA2B3" w14:textId="77777777" w:rsidR="00DC2D1F" w:rsidRPr="00362407" w:rsidRDefault="00DC2D1F" w:rsidP="00DC2D1F">
            <w:pPr>
              <w:ind w:right="-144"/>
              <w:jc w:val="both"/>
              <w:rPr>
                <w:rFonts w:cs="Arial"/>
                <w:sz w:val="19"/>
                <w:szCs w:val="19"/>
              </w:rPr>
            </w:pPr>
          </w:p>
        </w:tc>
        <w:tc>
          <w:tcPr>
            <w:tcW w:w="668" w:type="dxa"/>
          </w:tcPr>
          <w:p w14:paraId="07C4A3CB" w14:textId="77777777" w:rsidR="00DC2D1F" w:rsidRPr="00362407" w:rsidRDefault="00DC2D1F" w:rsidP="00A05E88">
            <w:pPr>
              <w:pStyle w:val="Sub-header"/>
              <w:jc w:val="center"/>
              <w:rPr>
                <w:sz w:val="19"/>
                <w:szCs w:val="19"/>
              </w:rPr>
            </w:pPr>
          </w:p>
        </w:tc>
        <w:tc>
          <w:tcPr>
            <w:tcW w:w="1584" w:type="dxa"/>
          </w:tcPr>
          <w:p w14:paraId="1DCC527A" w14:textId="0BCA53E7" w:rsidR="00DC2D1F" w:rsidRPr="00362407" w:rsidRDefault="001719AC" w:rsidP="00DC2D1F">
            <w:pPr>
              <w:tabs>
                <w:tab w:val="decimal" w:pos="1424"/>
              </w:tabs>
              <w:ind w:right="-144"/>
              <w:jc w:val="both"/>
              <w:rPr>
                <w:rFonts w:cs="Arial"/>
                <w:b/>
                <w:bCs/>
                <w:sz w:val="19"/>
                <w:szCs w:val="19"/>
              </w:rPr>
            </w:pPr>
            <w:r>
              <w:rPr>
                <w:rFonts w:cs="Arial"/>
                <w:b/>
                <w:bCs/>
                <w:sz w:val="19"/>
                <w:szCs w:val="19"/>
              </w:rPr>
              <w:t>77,</w:t>
            </w:r>
            <w:r w:rsidR="005850AE">
              <w:rPr>
                <w:rFonts w:cs="Arial"/>
                <w:b/>
                <w:bCs/>
                <w:sz w:val="19"/>
                <w:szCs w:val="19"/>
              </w:rPr>
              <w:t>497</w:t>
            </w:r>
          </w:p>
        </w:tc>
        <w:tc>
          <w:tcPr>
            <w:tcW w:w="1584" w:type="dxa"/>
          </w:tcPr>
          <w:p w14:paraId="4284E0D8" w14:textId="313FD4E3" w:rsidR="00DC2D1F" w:rsidRPr="009502D8" w:rsidRDefault="009502D8" w:rsidP="00DC2D1F">
            <w:pPr>
              <w:tabs>
                <w:tab w:val="decimal" w:pos="1424"/>
              </w:tabs>
              <w:ind w:right="-144"/>
              <w:jc w:val="both"/>
              <w:rPr>
                <w:rFonts w:cs="Arial"/>
                <w:bCs/>
                <w:sz w:val="19"/>
                <w:szCs w:val="19"/>
              </w:rPr>
            </w:pPr>
            <w:r w:rsidRPr="009502D8">
              <w:rPr>
                <w:rFonts w:cs="Arial"/>
                <w:bCs/>
                <w:szCs w:val="20"/>
              </w:rPr>
              <w:t>76,717</w:t>
            </w:r>
          </w:p>
        </w:tc>
      </w:tr>
      <w:tr w:rsidR="00DC2D1F" w:rsidRPr="00670755" w14:paraId="7557B167" w14:textId="77777777" w:rsidTr="7821F417">
        <w:tc>
          <w:tcPr>
            <w:tcW w:w="5184" w:type="dxa"/>
          </w:tcPr>
          <w:p w14:paraId="269AC894" w14:textId="77777777" w:rsidR="00DC2D1F" w:rsidRPr="00362407" w:rsidRDefault="00DC2D1F" w:rsidP="00DC2D1F">
            <w:pPr>
              <w:ind w:right="-144"/>
              <w:jc w:val="both"/>
              <w:rPr>
                <w:rFonts w:cs="Arial"/>
                <w:sz w:val="19"/>
                <w:szCs w:val="19"/>
              </w:rPr>
            </w:pPr>
          </w:p>
        </w:tc>
        <w:tc>
          <w:tcPr>
            <w:tcW w:w="668" w:type="dxa"/>
          </w:tcPr>
          <w:p w14:paraId="1B0D91F0" w14:textId="77777777" w:rsidR="00DC2D1F" w:rsidRPr="00362407" w:rsidRDefault="00DC2D1F" w:rsidP="00A05E88">
            <w:pPr>
              <w:pStyle w:val="Sub-header"/>
              <w:jc w:val="center"/>
              <w:rPr>
                <w:sz w:val="19"/>
                <w:szCs w:val="19"/>
              </w:rPr>
            </w:pPr>
          </w:p>
        </w:tc>
        <w:tc>
          <w:tcPr>
            <w:tcW w:w="1584" w:type="dxa"/>
          </w:tcPr>
          <w:p w14:paraId="72A45231" w14:textId="77777777" w:rsidR="00DC2D1F" w:rsidRPr="00362407" w:rsidRDefault="00DC2D1F" w:rsidP="00DC2D1F">
            <w:pPr>
              <w:tabs>
                <w:tab w:val="decimal" w:pos="1424"/>
              </w:tabs>
              <w:ind w:right="-144"/>
              <w:jc w:val="both"/>
              <w:rPr>
                <w:rFonts w:cs="Arial"/>
                <w:sz w:val="19"/>
                <w:szCs w:val="19"/>
                <w:u w:val="single"/>
              </w:rPr>
            </w:pPr>
            <w:r w:rsidRPr="00362407">
              <w:rPr>
                <w:rFonts w:cs="Arial"/>
                <w:sz w:val="19"/>
                <w:szCs w:val="19"/>
                <w:u w:val="single"/>
              </w:rPr>
              <w:t>                  </w:t>
            </w:r>
          </w:p>
        </w:tc>
        <w:tc>
          <w:tcPr>
            <w:tcW w:w="1584" w:type="dxa"/>
          </w:tcPr>
          <w:p w14:paraId="24F20FDF" w14:textId="1A506C82" w:rsidR="00DC2D1F" w:rsidRPr="00362407" w:rsidRDefault="00DC2D1F" w:rsidP="00DC2D1F">
            <w:pPr>
              <w:tabs>
                <w:tab w:val="decimal" w:pos="1424"/>
              </w:tabs>
              <w:ind w:right="-144"/>
              <w:jc w:val="both"/>
              <w:rPr>
                <w:rFonts w:cs="Arial"/>
                <w:sz w:val="19"/>
                <w:szCs w:val="19"/>
                <w:u w:val="single"/>
              </w:rPr>
            </w:pPr>
            <w:r w:rsidRPr="00362407">
              <w:rPr>
                <w:rFonts w:cs="Arial"/>
                <w:sz w:val="19"/>
                <w:szCs w:val="19"/>
                <w:u w:val="single"/>
              </w:rPr>
              <w:t>                  </w:t>
            </w:r>
          </w:p>
        </w:tc>
      </w:tr>
      <w:tr w:rsidR="00DC2D1F" w:rsidRPr="00670755" w14:paraId="6866C7DE" w14:textId="77777777" w:rsidTr="7821F417">
        <w:tc>
          <w:tcPr>
            <w:tcW w:w="5184" w:type="dxa"/>
          </w:tcPr>
          <w:p w14:paraId="403DC2FD" w14:textId="77777777" w:rsidR="00DC2D1F" w:rsidRPr="00362407" w:rsidRDefault="00DC2D1F" w:rsidP="00DC2D1F">
            <w:pPr>
              <w:ind w:right="-144"/>
              <w:jc w:val="both"/>
              <w:rPr>
                <w:rFonts w:cs="Arial"/>
                <w:b/>
                <w:sz w:val="19"/>
                <w:szCs w:val="19"/>
              </w:rPr>
            </w:pPr>
            <w:r w:rsidRPr="00362407">
              <w:rPr>
                <w:rFonts w:cs="Arial"/>
                <w:b/>
                <w:sz w:val="19"/>
                <w:szCs w:val="19"/>
              </w:rPr>
              <w:t>Current assets</w:t>
            </w:r>
          </w:p>
        </w:tc>
        <w:tc>
          <w:tcPr>
            <w:tcW w:w="668" w:type="dxa"/>
          </w:tcPr>
          <w:p w14:paraId="1C6E4671" w14:textId="77777777" w:rsidR="00DC2D1F" w:rsidRPr="00362407" w:rsidRDefault="00DC2D1F" w:rsidP="00A05E88">
            <w:pPr>
              <w:pStyle w:val="Sub-header"/>
              <w:jc w:val="center"/>
              <w:rPr>
                <w:sz w:val="19"/>
                <w:szCs w:val="19"/>
              </w:rPr>
            </w:pPr>
          </w:p>
        </w:tc>
        <w:tc>
          <w:tcPr>
            <w:tcW w:w="1584" w:type="dxa"/>
          </w:tcPr>
          <w:p w14:paraId="4D91316B" w14:textId="77777777" w:rsidR="00DC2D1F" w:rsidRPr="00362407" w:rsidRDefault="00DC2D1F" w:rsidP="00DC2D1F">
            <w:pPr>
              <w:tabs>
                <w:tab w:val="decimal" w:pos="1424"/>
              </w:tabs>
              <w:ind w:right="-144"/>
              <w:jc w:val="both"/>
              <w:rPr>
                <w:rFonts w:cs="Arial"/>
                <w:sz w:val="19"/>
                <w:szCs w:val="19"/>
              </w:rPr>
            </w:pPr>
          </w:p>
        </w:tc>
        <w:tc>
          <w:tcPr>
            <w:tcW w:w="1584" w:type="dxa"/>
          </w:tcPr>
          <w:p w14:paraId="5621C3F1" w14:textId="77777777" w:rsidR="00DC2D1F" w:rsidRPr="00362407" w:rsidRDefault="00DC2D1F" w:rsidP="00DC2D1F">
            <w:pPr>
              <w:tabs>
                <w:tab w:val="decimal" w:pos="1424"/>
              </w:tabs>
              <w:ind w:right="-144"/>
              <w:jc w:val="both"/>
              <w:rPr>
                <w:rFonts w:cs="Arial"/>
                <w:sz w:val="19"/>
                <w:szCs w:val="19"/>
              </w:rPr>
            </w:pPr>
          </w:p>
        </w:tc>
      </w:tr>
      <w:tr w:rsidR="00B97DF1" w:rsidRPr="00670755" w14:paraId="1551BABA" w14:textId="77777777" w:rsidTr="7821F417">
        <w:tc>
          <w:tcPr>
            <w:tcW w:w="5184" w:type="dxa"/>
          </w:tcPr>
          <w:p w14:paraId="4A0E8F40" w14:textId="77777777" w:rsidR="00B97DF1" w:rsidRPr="00362407" w:rsidRDefault="00B97DF1" w:rsidP="00B97DF1">
            <w:pPr>
              <w:ind w:right="-144"/>
              <w:jc w:val="both"/>
              <w:rPr>
                <w:rFonts w:cs="Arial"/>
                <w:sz w:val="19"/>
                <w:szCs w:val="19"/>
              </w:rPr>
            </w:pPr>
            <w:r w:rsidRPr="00362407">
              <w:rPr>
                <w:rFonts w:cs="Arial"/>
                <w:sz w:val="19"/>
                <w:szCs w:val="19"/>
              </w:rPr>
              <w:t>Inventory</w:t>
            </w:r>
          </w:p>
        </w:tc>
        <w:tc>
          <w:tcPr>
            <w:tcW w:w="668" w:type="dxa"/>
          </w:tcPr>
          <w:p w14:paraId="2B9A70E7" w14:textId="4FF35BD9" w:rsidR="00B97DF1" w:rsidRPr="00362407" w:rsidRDefault="00B97DF1" w:rsidP="00A05E88">
            <w:pPr>
              <w:pStyle w:val="Sub-header"/>
              <w:jc w:val="center"/>
              <w:rPr>
                <w:sz w:val="19"/>
                <w:szCs w:val="19"/>
              </w:rPr>
            </w:pPr>
            <w:r w:rsidRPr="00362407">
              <w:rPr>
                <w:sz w:val="19"/>
                <w:szCs w:val="19"/>
              </w:rPr>
              <w:t>11</w:t>
            </w:r>
          </w:p>
        </w:tc>
        <w:tc>
          <w:tcPr>
            <w:tcW w:w="1584" w:type="dxa"/>
          </w:tcPr>
          <w:p w14:paraId="5EEA21E9" w14:textId="4855699D" w:rsidR="00B97DF1" w:rsidRPr="00362407" w:rsidRDefault="001719AC" w:rsidP="00B97DF1">
            <w:pPr>
              <w:tabs>
                <w:tab w:val="decimal" w:pos="1424"/>
              </w:tabs>
              <w:ind w:right="-144"/>
              <w:jc w:val="both"/>
              <w:rPr>
                <w:rFonts w:cs="Arial"/>
                <w:b/>
                <w:bCs/>
                <w:sz w:val="19"/>
                <w:szCs w:val="19"/>
              </w:rPr>
            </w:pPr>
            <w:r>
              <w:rPr>
                <w:rFonts w:cs="Arial"/>
                <w:b/>
                <w:bCs/>
                <w:sz w:val="19"/>
                <w:szCs w:val="19"/>
              </w:rPr>
              <w:t>911,474</w:t>
            </w:r>
          </w:p>
        </w:tc>
        <w:tc>
          <w:tcPr>
            <w:tcW w:w="1584" w:type="dxa"/>
          </w:tcPr>
          <w:p w14:paraId="5723D93C" w14:textId="545026D7" w:rsidR="00B97DF1" w:rsidRPr="00B97DF1" w:rsidRDefault="00B97DF1" w:rsidP="00B97DF1">
            <w:pPr>
              <w:tabs>
                <w:tab w:val="decimal" w:pos="1424"/>
              </w:tabs>
              <w:ind w:right="-144"/>
              <w:jc w:val="both"/>
              <w:rPr>
                <w:rFonts w:cs="Arial"/>
                <w:bCs/>
                <w:sz w:val="19"/>
                <w:szCs w:val="19"/>
              </w:rPr>
            </w:pPr>
            <w:r w:rsidRPr="00B97DF1">
              <w:rPr>
                <w:rFonts w:cs="Arial"/>
                <w:bCs/>
                <w:szCs w:val="20"/>
              </w:rPr>
              <w:t>864,353</w:t>
            </w:r>
          </w:p>
        </w:tc>
      </w:tr>
      <w:tr w:rsidR="00B97DF1" w:rsidRPr="00670755" w14:paraId="67EA0835" w14:textId="77777777" w:rsidTr="7821F417">
        <w:tc>
          <w:tcPr>
            <w:tcW w:w="5184" w:type="dxa"/>
          </w:tcPr>
          <w:p w14:paraId="7B752292" w14:textId="77777777" w:rsidR="00B97DF1" w:rsidRPr="00362407" w:rsidRDefault="00B97DF1" w:rsidP="00B97DF1">
            <w:pPr>
              <w:ind w:right="-144"/>
              <w:jc w:val="both"/>
              <w:rPr>
                <w:rFonts w:cs="Arial"/>
                <w:sz w:val="19"/>
                <w:szCs w:val="19"/>
              </w:rPr>
            </w:pPr>
            <w:r w:rsidRPr="00362407">
              <w:rPr>
                <w:rFonts w:cs="Arial"/>
                <w:sz w:val="19"/>
                <w:szCs w:val="19"/>
              </w:rPr>
              <w:t>Trade and other receivables</w:t>
            </w:r>
          </w:p>
        </w:tc>
        <w:tc>
          <w:tcPr>
            <w:tcW w:w="668" w:type="dxa"/>
          </w:tcPr>
          <w:p w14:paraId="57BC334C" w14:textId="0ABA9DF7" w:rsidR="00B97DF1" w:rsidRPr="00362407" w:rsidRDefault="00B97DF1" w:rsidP="00A05E88">
            <w:pPr>
              <w:pStyle w:val="Sub-header"/>
              <w:jc w:val="center"/>
              <w:rPr>
                <w:sz w:val="19"/>
                <w:szCs w:val="19"/>
              </w:rPr>
            </w:pPr>
          </w:p>
        </w:tc>
        <w:tc>
          <w:tcPr>
            <w:tcW w:w="1584" w:type="dxa"/>
          </w:tcPr>
          <w:p w14:paraId="6A08D8FA" w14:textId="6955C92E" w:rsidR="00B97DF1" w:rsidRPr="00362407" w:rsidRDefault="001719AC" w:rsidP="00B97DF1">
            <w:pPr>
              <w:tabs>
                <w:tab w:val="decimal" w:pos="1424"/>
              </w:tabs>
              <w:ind w:right="-144"/>
              <w:jc w:val="both"/>
              <w:rPr>
                <w:rFonts w:cs="Arial"/>
                <w:b/>
                <w:bCs/>
                <w:sz w:val="19"/>
                <w:szCs w:val="19"/>
              </w:rPr>
            </w:pPr>
            <w:r>
              <w:rPr>
                <w:rFonts w:cs="Arial"/>
                <w:b/>
                <w:bCs/>
                <w:sz w:val="19"/>
                <w:szCs w:val="19"/>
              </w:rPr>
              <w:t>172,326</w:t>
            </w:r>
          </w:p>
        </w:tc>
        <w:tc>
          <w:tcPr>
            <w:tcW w:w="1584" w:type="dxa"/>
          </w:tcPr>
          <w:p w14:paraId="7078DE03" w14:textId="64E6CF04" w:rsidR="00B97DF1" w:rsidRPr="00B97DF1" w:rsidRDefault="00B97DF1" w:rsidP="00B97DF1">
            <w:pPr>
              <w:tabs>
                <w:tab w:val="decimal" w:pos="1424"/>
              </w:tabs>
              <w:ind w:right="-144"/>
              <w:jc w:val="both"/>
              <w:rPr>
                <w:rFonts w:cs="Arial"/>
                <w:bCs/>
                <w:sz w:val="19"/>
                <w:szCs w:val="19"/>
              </w:rPr>
            </w:pPr>
            <w:r w:rsidRPr="00B97DF1">
              <w:rPr>
                <w:rFonts w:cs="Arial"/>
                <w:bCs/>
                <w:szCs w:val="20"/>
              </w:rPr>
              <w:t>173,221</w:t>
            </w:r>
          </w:p>
        </w:tc>
      </w:tr>
      <w:tr w:rsidR="00B97DF1" w:rsidRPr="00670755" w14:paraId="6B7A3DF6" w14:textId="77777777" w:rsidTr="7821F417">
        <w:tc>
          <w:tcPr>
            <w:tcW w:w="5184" w:type="dxa"/>
          </w:tcPr>
          <w:p w14:paraId="2DA3E92F" w14:textId="1C77A892" w:rsidR="00B97DF1" w:rsidRPr="00362407" w:rsidRDefault="00B97DF1" w:rsidP="00B97DF1">
            <w:pPr>
              <w:ind w:right="-144"/>
              <w:jc w:val="both"/>
              <w:rPr>
                <w:rFonts w:cs="Arial"/>
                <w:sz w:val="19"/>
                <w:szCs w:val="19"/>
              </w:rPr>
            </w:pPr>
            <w:r w:rsidRPr="00362407">
              <w:rPr>
                <w:rFonts w:cs="Arial"/>
                <w:sz w:val="19"/>
                <w:szCs w:val="19"/>
              </w:rPr>
              <w:t xml:space="preserve">Income tax receivable </w:t>
            </w:r>
          </w:p>
        </w:tc>
        <w:tc>
          <w:tcPr>
            <w:tcW w:w="668" w:type="dxa"/>
          </w:tcPr>
          <w:p w14:paraId="0435844C" w14:textId="3E8B3345" w:rsidR="00B97DF1" w:rsidRPr="00362407" w:rsidRDefault="00B97DF1" w:rsidP="00A05E88">
            <w:pPr>
              <w:pStyle w:val="Sub-header"/>
              <w:jc w:val="center"/>
              <w:rPr>
                <w:sz w:val="19"/>
                <w:szCs w:val="19"/>
              </w:rPr>
            </w:pPr>
          </w:p>
        </w:tc>
        <w:tc>
          <w:tcPr>
            <w:tcW w:w="1584" w:type="dxa"/>
          </w:tcPr>
          <w:p w14:paraId="14211162" w14:textId="0CEAC75F" w:rsidR="00B97DF1" w:rsidRPr="00362407" w:rsidRDefault="000F788B" w:rsidP="00B97DF1">
            <w:pPr>
              <w:tabs>
                <w:tab w:val="decimal" w:pos="1424"/>
              </w:tabs>
              <w:ind w:right="-144"/>
              <w:jc w:val="both"/>
              <w:rPr>
                <w:rFonts w:cs="Arial"/>
                <w:b/>
                <w:bCs/>
                <w:sz w:val="19"/>
                <w:szCs w:val="19"/>
              </w:rPr>
            </w:pPr>
            <w:r>
              <w:rPr>
                <w:rFonts w:cs="Arial"/>
                <w:b/>
                <w:bCs/>
                <w:sz w:val="19"/>
                <w:szCs w:val="19"/>
              </w:rPr>
              <w:t>4,182</w:t>
            </w:r>
          </w:p>
        </w:tc>
        <w:tc>
          <w:tcPr>
            <w:tcW w:w="1584" w:type="dxa"/>
          </w:tcPr>
          <w:p w14:paraId="53A491CD" w14:textId="7F51DA54" w:rsidR="00B97DF1" w:rsidRPr="00B97DF1" w:rsidRDefault="00B97DF1" w:rsidP="00B97DF1">
            <w:pPr>
              <w:tabs>
                <w:tab w:val="decimal" w:pos="1424"/>
              </w:tabs>
              <w:ind w:right="-144"/>
              <w:jc w:val="both"/>
              <w:rPr>
                <w:rFonts w:cs="Arial"/>
                <w:bCs/>
                <w:sz w:val="19"/>
                <w:szCs w:val="19"/>
              </w:rPr>
            </w:pPr>
            <w:r w:rsidRPr="00B97DF1">
              <w:rPr>
                <w:rFonts w:cs="Arial"/>
                <w:bCs/>
                <w:szCs w:val="20"/>
              </w:rPr>
              <w:t>-</w:t>
            </w:r>
          </w:p>
        </w:tc>
      </w:tr>
      <w:tr w:rsidR="00B97DF1" w:rsidRPr="00670755" w14:paraId="709326BF" w14:textId="77777777" w:rsidTr="7821F417">
        <w:tc>
          <w:tcPr>
            <w:tcW w:w="5184" w:type="dxa"/>
          </w:tcPr>
          <w:p w14:paraId="6E8087C5" w14:textId="46BC1D65" w:rsidR="00B97DF1" w:rsidRPr="00362407" w:rsidRDefault="00B97DF1" w:rsidP="00B97DF1">
            <w:pPr>
              <w:ind w:right="-144"/>
              <w:jc w:val="both"/>
              <w:rPr>
                <w:rFonts w:cs="Arial"/>
                <w:sz w:val="19"/>
                <w:szCs w:val="19"/>
              </w:rPr>
            </w:pPr>
            <w:r w:rsidRPr="00362407">
              <w:rPr>
                <w:rFonts w:cs="Arial"/>
                <w:sz w:val="19"/>
                <w:szCs w:val="19"/>
              </w:rPr>
              <w:t>Restricted cash</w:t>
            </w:r>
          </w:p>
        </w:tc>
        <w:tc>
          <w:tcPr>
            <w:tcW w:w="668" w:type="dxa"/>
          </w:tcPr>
          <w:p w14:paraId="53E58933" w14:textId="74515523" w:rsidR="00B97DF1" w:rsidRPr="00362407" w:rsidRDefault="00B97DF1" w:rsidP="00A05E88">
            <w:pPr>
              <w:pStyle w:val="Sub-header"/>
              <w:jc w:val="center"/>
              <w:rPr>
                <w:sz w:val="19"/>
                <w:szCs w:val="19"/>
              </w:rPr>
            </w:pPr>
          </w:p>
        </w:tc>
        <w:tc>
          <w:tcPr>
            <w:tcW w:w="1584" w:type="dxa"/>
          </w:tcPr>
          <w:p w14:paraId="27CD5474" w14:textId="03687473" w:rsidR="00B97DF1" w:rsidRPr="00362407" w:rsidRDefault="000F788B" w:rsidP="00B97DF1">
            <w:pPr>
              <w:tabs>
                <w:tab w:val="decimal" w:pos="1424"/>
              </w:tabs>
              <w:ind w:right="-144"/>
              <w:jc w:val="both"/>
              <w:rPr>
                <w:rFonts w:cs="Arial"/>
                <w:b/>
                <w:bCs/>
                <w:sz w:val="19"/>
                <w:szCs w:val="19"/>
              </w:rPr>
            </w:pPr>
            <w:r>
              <w:rPr>
                <w:rFonts w:cs="Arial"/>
                <w:b/>
                <w:bCs/>
                <w:sz w:val="19"/>
                <w:szCs w:val="19"/>
              </w:rPr>
              <w:t>458</w:t>
            </w:r>
          </w:p>
        </w:tc>
        <w:tc>
          <w:tcPr>
            <w:tcW w:w="1584" w:type="dxa"/>
          </w:tcPr>
          <w:p w14:paraId="0B2DA156" w14:textId="4A025732" w:rsidR="00B97DF1" w:rsidRPr="00B97DF1" w:rsidRDefault="00B97DF1" w:rsidP="00B97DF1">
            <w:pPr>
              <w:tabs>
                <w:tab w:val="decimal" w:pos="1424"/>
              </w:tabs>
              <w:ind w:right="-144"/>
              <w:jc w:val="both"/>
              <w:rPr>
                <w:rFonts w:cs="Arial"/>
                <w:bCs/>
                <w:sz w:val="19"/>
                <w:szCs w:val="19"/>
              </w:rPr>
            </w:pPr>
            <w:r w:rsidRPr="00B97DF1">
              <w:rPr>
                <w:rFonts w:cs="Arial"/>
                <w:bCs/>
                <w:szCs w:val="20"/>
              </w:rPr>
              <w:t>458</w:t>
            </w:r>
          </w:p>
        </w:tc>
      </w:tr>
      <w:tr w:rsidR="00B97DF1" w:rsidRPr="00670755" w14:paraId="432FB424" w14:textId="77777777" w:rsidTr="7821F417">
        <w:tc>
          <w:tcPr>
            <w:tcW w:w="5184" w:type="dxa"/>
          </w:tcPr>
          <w:p w14:paraId="1849C17B" w14:textId="77777777" w:rsidR="00B97DF1" w:rsidRPr="00362407" w:rsidRDefault="00B97DF1" w:rsidP="00B97DF1">
            <w:pPr>
              <w:ind w:right="-144"/>
              <w:jc w:val="both"/>
              <w:rPr>
                <w:rFonts w:cs="Arial"/>
                <w:sz w:val="19"/>
                <w:szCs w:val="19"/>
              </w:rPr>
            </w:pPr>
            <w:r w:rsidRPr="00362407">
              <w:rPr>
                <w:rFonts w:cs="Arial"/>
                <w:sz w:val="19"/>
                <w:szCs w:val="19"/>
              </w:rPr>
              <w:t>Cash and cash equivalents</w:t>
            </w:r>
          </w:p>
        </w:tc>
        <w:tc>
          <w:tcPr>
            <w:tcW w:w="668" w:type="dxa"/>
          </w:tcPr>
          <w:p w14:paraId="6090588F" w14:textId="0E0CB369" w:rsidR="00B97DF1" w:rsidRPr="00362407" w:rsidRDefault="00B97DF1" w:rsidP="00A05E88">
            <w:pPr>
              <w:pStyle w:val="Sub-header"/>
              <w:jc w:val="center"/>
              <w:rPr>
                <w:sz w:val="19"/>
                <w:szCs w:val="19"/>
              </w:rPr>
            </w:pPr>
          </w:p>
        </w:tc>
        <w:tc>
          <w:tcPr>
            <w:tcW w:w="1584" w:type="dxa"/>
          </w:tcPr>
          <w:p w14:paraId="1CA24DBA" w14:textId="459149D2" w:rsidR="00B97DF1" w:rsidRPr="00362407" w:rsidRDefault="000F788B" w:rsidP="00B97DF1">
            <w:pPr>
              <w:tabs>
                <w:tab w:val="decimal" w:pos="1424"/>
              </w:tabs>
              <w:ind w:right="-144"/>
              <w:jc w:val="both"/>
              <w:rPr>
                <w:rFonts w:cs="Arial"/>
                <w:b/>
                <w:bCs/>
                <w:sz w:val="19"/>
                <w:szCs w:val="19"/>
              </w:rPr>
            </w:pPr>
            <w:r>
              <w:rPr>
                <w:rFonts w:cs="Arial"/>
                <w:b/>
                <w:bCs/>
                <w:sz w:val="19"/>
                <w:szCs w:val="19"/>
              </w:rPr>
              <w:t>92,766</w:t>
            </w:r>
          </w:p>
        </w:tc>
        <w:tc>
          <w:tcPr>
            <w:tcW w:w="1584" w:type="dxa"/>
          </w:tcPr>
          <w:p w14:paraId="198CA201" w14:textId="3572B776" w:rsidR="00B97DF1" w:rsidRPr="00B97DF1" w:rsidRDefault="00B97DF1" w:rsidP="00B97DF1">
            <w:pPr>
              <w:tabs>
                <w:tab w:val="decimal" w:pos="1424"/>
              </w:tabs>
              <w:ind w:right="-144"/>
              <w:jc w:val="both"/>
              <w:rPr>
                <w:rFonts w:cs="Arial"/>
                <w:bCs/>
                <w:sz w:val="19"/>
                <w:szCs w:val="19"/>
              </w:rPr>
            </w:pPr>
            <w:r w:rsidRPr="00B97DF1">
              <w:rPr>
                <w:rFonts w:cs="Arial"/>
                <w:bCs/>
                <w:szCs w:val="20"/>
              </w:rPr>
              <w:t>63,165</w:t>
            </w:r>
          </w:p>
        </w:tc>
      </w:tr>
      <w:tr w:rsidR="00C546D8" w:rsidRPr="00670755" w14:paraId="0D5262AD" w14:textId="77777777" w:rsidTr="7821F417">
        <w:tc>
          <w:tcPr>
            <w:tcW w:w="5184" w:type="dxa"/>
          </w:tcPr>
          <w:p w14:paraId="181E9043" w14:textId="77777777" w:rsidR="00C546D8" w:rsidRPr="00362407" w:rsidRDefault="00C546D8" w:rsidP="00C546D8">
            <w:pPr>
              <w:ind w:right="-144"/>
              <w:jc w:val="both"/>
              <w:rPr>
                <w:rFonts w:cs="Arial"/>
                <w:sz w:val="19"/>
                <w:szCs w:val="19"/>
              </w:rPr>
            </w:pPr>
          </w:p>
        </w:tc>
        <w:tc>
          <w:tcPr>
            <w:tcW w:w="668" w:type="dxa"/>
          </w:tcPr>
          <w:p w14:paraId="6791233E" w14:textId="77777777" w:rsidR="00C546D8" w:rsidRPr="00362407" w:rsidRDefault="00C546D8" w:rsidP="00A05E88">
            <w:pPr>
              <w:pStyle w:val="Sub-header"/>
              <w:jc w:val="center"/>
              <w:rPr>
                <w:sz w:val="19"/>
                <w:szCs w:val="19"/>
              </w:rPr>
            </w:pPr>
          </w:p>
        </w:tc>
        <w:tc>
          <w:tcPr>
            <w:tcW w:w="1584" w:type="dxa"/>
          </w:tcPr>
          <w:p w14:paraId="4601F79C" w14:textId="77777777" w:rsidR="00C546D8" w:rsidRPr="00362407" w:rsidRDefault="00C546D8" w:rsidP="00C546D8">
            <w:pPr>
              <w:tabs>
                <w:tab w:val="decimal" w:pos="1424"/>
              </w:tabs>
              <w:ind w:right="-144"/>
              <w:jc w:val="both"/>
              <w:rPr>
                <w:rFonts w:cs="Arial"/>
                <w:sz w:val="19"/>
                <w:szCs w:val="19"/>
                <w:u w:val="single"/>
              </w:rPr>
            </w:pPr>
            <w:r w:rsidRPr="00362407">
              <w:rPr>
                <w:rFonts w:cs="Arial"/>
                <w:sz w:val="19"/>
                <w:szCs w:val="19"/>
                <w:u w:val="single"/>
              </w:rPr>
              <w:t>                  </w:t>
            </w:r>
          </w:p>
        </w:tc>
        <w:tc>
          <w:tcPr>
            <w:tcW w:w="1584" w:type="dxa"/>
          </w:tcPr>
          <w:p w14:paraId="5484FFB3" w14:textId="07A5D00E" w:rsidR="00C546D8" w:rsidRPr="00362407" w:rsidRDefault="00C546D8" w:rsidP="00C546D8">
            <w:pPr>
              <w:tabs>
                <w:tab w:val="decimal" w:pos="1424"/>
              </w:tabs>
              <w:ind w:right="-144"/>
              <w:jc w:val="both"/>
              <w:rPr>
                <w:rFonts w:cs="Arial"/>
                <w:sz w:val="19"/>
                <w:szCs w:val="19"/>
                <w:u w:val="single"/>
              </w:rPr>
            </w:pPr>
            <w:r w:rsidRPr="00362407">
              <w:rPr>
                <w:rFonts w:cs="Arial"/>
                <w:sz w:val="19"/>
                <w:szCs w:val="19"/>
                <w:u w:val="single"/>
              </w:rPr>
              <w:t>                  </w:t>
            </w:r>
          </w:p>
        </w:tc>
      </w:tr>
      <w:tr w:rsidR="00C546D8" w:rsidRPr="00670755" w14:paraId="485E870B" w14:textId="77777777" w:rsidTr="7821F417">
        <w:tc>
          <w:tcPr>
            <w:tcW w:w="5184" w:type="dxa"/>
          </w:tcPr>
          <w:p w14:paraId="2CA048DC" w14:textId="77777777" w:rsidR="00C546D8" w:rsidRPr="00362407" w:rsidRDefault="00C546D8" w:rsidP="00C546D8">
            <w:pPr>
              <w:ind w:right="-144"/>
              <w:jc w:val="both"/>
              <w:rPr>
                <w:rFonts w:cs="Arial"/>
                <w:sz w:val="19"/>
                <w:szCs w:val="19"/>
              </w:rPr>
            </w:pPr>
          </w:p>
        </w:tc>
        <w:tc>
          <w:tcPr>
            <w:tcW w:w="668" w:type="dxa"/>
          </w:tcPr>
          <w:p w14:paraId="1C17FABD" w14:textId="77777777" w:rsidR="00C546D8" w:rsidRPr="00362407" w:rsidRDefault="00C546D8" w:rsidP="00A05E88">
            <w:pPr>
              <w:pStyle w:val="Sub-header"/>
              <w:jc w:val="center"/>
              <w:rPr>
                <w:sz w:val="19"/>
                <w:szCs w:val="19"/>
              </w:rPr>
            </w:pPr>
          </w:p>
        </w:tc>
        <w:tc>
          <w:tcPr>
            <w:tcW w:w="1584" w:type="dxa"/>
          </w:tcPr>
          <w:p w14:paraId="5EFADDD4" w14:textId="77777777" w:rsidR="00C546D8" w:rsidRPr="00362407" w:rsidRDefault="00C546D8" w:rsidP="00C546D8">
            <w:pPr>
              <w:tabs>
                <w:tab w:val="decimal" w:pos="1424"/>
              </w:tabs>
              <w:ind w:right="-144"/>
              <w:jc w:val="both"/>
              <w:rPr>
                <w:rFonts w:cs="Arial"/>
                <w:sz w:val="19"/>
                <w:szCs w:val="19"/>
                <w:u w:val="single"/>
              </w:rPr>
            </w:pPr>
          </w:p>
        </w:tc>
        <w:tc>
          <w:tcPr>
            <w:tcW w:w="1584" w:type="dxa"/>
          </w:tcPr>
          <w:p w14:paraId="591CFE8F" w14:textId="77777777" w:rsidR="00C546D8" w:rsidRPr="00362407" w:rsidRDefault="00C546D8" w:rsidP="00C546D8">
            <w:pPr>
              <w:tabs>
                <w:tab w:val="decimal" w:pos="1424"/>
              </w:tabs>
              <w:ind w:right="-144"/>
              <w:jc w:val="both"/>
              <w:rPr>
                <w:rFonts w:cs="Arial"/>
                <w:sz w:val="19"/>
                <w:szCs w:val="19"/>
                <w:u w:val="single"/>
              </w:rPr>
            </w:pPr>
          </w:p>
        </w:tc>
      </w:tr>
      <w:tr w:rsidR="00C546D8" w:rsidRPr="00670755" w14:paraId="70A75531" w14:textId="77777777" w:rsidTr="7821F417">
        <w:tc>
          <w:tcPr>
            <w:tcW w:w="5184" w:type="dxa"/>
          </w:tcPr>
          <w:p w14:paraId="6D6F9BB1" w14:textId="77777777" w:rsidR="00C546D8" w:rsidRPr="00362407" w:rsidRDefault="00C546D8" w:rsidP="00C546D8">
            <w:pPr>
              <w:ind w:right="-144"/>
              <w:jc w:val="both"/>
              <w:rPr>
                <w:rFonts w:cs="Arial"/>
                <w:sz w:val="19"/>
                <w:szCs w:val="19"/>
              </w:rPr>
            </w:pPr>
          </w:p>
        </w:tc>
        <w:tc>
          <w:tcPr>
            <w:tcW w:w="668" w:type="dxa"/>
          </w:tcPr>
          <w:p w14:paraId="6DB4C850" w14:textId="77777777" w:rsidR="00C546D8" w:rsidRPr="00362407" w:rsidRDefault="00C546D8" w:rsidP="00A05E88">
            <w:pPr>
              <w:pStyle w:val="Sub-header"/>
              <w:jc w:val="center"/>
              <w:rPr>
                <w:sz w:val="19"/>
                <w:szCs w:val="19"/>
              </w:rPr>
            </w:pPr>
          </w:p>
        </w:tc>
        <w:tc>
          <w:tcPr>
            <w:tcW w:w="1584" w:type="dxa"/>
          </w:tcPr>
          <w:p w14:paraId="4B759E5F" w14:textId="5E8FCF9A" w:rsidR="00C546D8" w:rsidRPr="00362407" w:rsidRDefault="0080480B" w:rsidP="00C546D8">
            <w:pPr>
              <w:tabs>
                <w:tab w:val="decimal" w:pos="1424"/>
              </w:tabs>
              <w:ind w:right="-144"/>
              <w:jc w:val="both"/>
              <w:rPr>
                <w:rFonts w:cs="Arial"/>
                <w:b/>
                <w:bCs/>
                <w:sz w:val="19"/>
                <w:szCs w:val="19"/>
              </w:rPr>
            </w:pPr>
            <w:r>
              <w:rPr>
                <w:rFonts w:cs="Arial"/>
                <w:b/>
                <w:bCs/>
                <w:sz w:val="19"/>
                <w:szCs w:val="19"/>
              </w:rPr>
              <w:t>1,181,206</w:t>
            </w:r>
          </w:p>
        </w:tc>
        <w:tc>
          <w:tcPr>
            <w:tcW w:w="1584" w:type="dxa"/>
          </w:tcPr>
          <w:p w14:paraId="7A497F58" w14:textId="286F0ED1" w:rsidR="00C546D8" w:rsidRPr="007966AE" w:rsidRDefault="007966AE" w:rsidP="00C546D8">
            <w:pPr>
              <w:tabs>
                <w:tab w:val="decimal" w:pos="1424"/>
              </w:tabs>
              <w:ind w:right="-144"/>
              <w:jc w:val="both"/>
              <w:rPr>
                <w:rFonts w:cs="Arial"/>
                <w:bCs/>
                <w:sz w:val="19"/>
                <w:szCs w:val="19"/>
              </w:rPr>
            </w:pPr>
            <w:r w:rsidRPr="007966AE">
              <w:rPr>
                <w:rFonts w:cs="Arial"/>
                <w:bCs/>
                <w:szCs w:val="20"/>
              </w:rPr>
              <w:t>1,101,197</w:t>
            </w:r>
          </w:p>
        </w:tc>
      </w:tr>
      <w:tr w:rsidR="00C546D8" w:rsidRPr="00670755" w14:paraId="70975227" w14:textId="77777777" w:rsidTr="7821F417">
        <w:tc>
          <w:tcPr>
            <w:tcW w:w="5184" w:type="dxa"/>
          </w:tcPr>
          <w:p w14:paraId="5E7C2D50" w14:textId="77777777" w:rsidR="00C546D8" w:rsidRPr="00362407" w:rsidRDefault="00C546D8" w:rsidP="00C546D8">
            <w:pPr>
              <w:ind w:right="-144"/>
              <w:jc w:val="both"/>
              <w:rPr>
                <w:rFonts w:cs="Arial"/>
                <w:sz w:val="19"/>
                <w:szCs w:val="19"/>
              </w:rPr>
            </w:pPr>
          </w:p>
        </w:tc>
        <w:tc>
          <w:tcPr>
            <w:tcW w:w="668" w:type="dxa"/>
          </w:tcPr>
          <w:p w14:paraId="5CE34149" w14:textId="77777777" w:rsidR="00C546D8" w:rsidRPr="00362407" w:rsidRDefault="00C546D8" w:rsidP="00A05E88">
            <w:pPr>
              <w:pStyle w:val="Sub-header"/>
              <w:jc w:val="center"/>
              <w:rPr>
                <w:sz w:val="19"/>
                <w:szCs w:val="19"/>
              </w:rPr>
            </w:pPr>
          </w:p>
        </w:tc>
        <w:tc>
          <w:tcPr>
            <w:tcW w:w="1584" w:type="dxa"/>
          </w:tcPr>
          <w:p w14:paraId="154C6497" w14:textId="77777777" w:rsidR="00C546D8" w:rsidRPr="00362407" w:rsidRDefault="00C546D8" w:rsidP="00C546D8">
            <w:pPr>
              <w:tabs>
                <w:tab w:val="decimal" w:pos="1424"/>
              </w:tabs>
              <w:ind w:right="-144"/>
              <w:jc w:val="both"/>
              <w:rPr>
                <w:rFonts w:cs="Arial"/>
                <w:sz w:val="19"/>
                <w:szCs w:val="19"/>
                <w:u w:val="single"/>
              </w:rPr>
            </w:pPr>
            <w:r w:rsidRPr="00362407">
              <w:rPr>
                <w:rFonts w:cs="Arial"/>
                <w:sz w:val="19"/>
                <w:szCs w:val="19"/>
                <w:u w:val="single"/>
              </w:rPr>
              <w:t>                  </w:t>
            </w:r>
          </w:p>
        </w:tc>
        <w:tc>
          <w:tcPr>
            <w:tcW w:w="1584" w:type="dxa"/>
          </w:tcPr>
          <w:p w14:paraId="2EBBAAE1" w14:textId="55600B84" w:rsidR="00C546D8" w:rsidRPr="00362407" w:rsidRDefault="00C546D8" w:rsidP="00C546D8">
            <w:pPr>
              <w:tabs>
                <w:tab w:val="decimal" w:pos="1424"/>
              </w:tabs>
              <w:ind w:right="-144"/>
              <w:jc w:val="both"/>
              <w:rPr>
                <w:rFonts w:cs="Arial"/>
                <w:sz w:val="19"/>
                <w:szCs w:val="19"/>
                <w:u w:val="single"/>
              </w:rPr>
            </w:pPr>
            <w:r w:rsidRPr="00362407">
              <w:rPr>
                <w:rFonts w:cs="Arial"/>
                <w:sz w:val="19"/>
                <w:szCs w:val="19"/>
                <w:u w:val="single"/>
              </w:rPr>
              <w:t>                  </w:t>
            </w:r>
          </w:p>
        </w:tc>
      </w:tr>
      <w:tr w:rsidR="00C546D8" w:rsidRPr="00670755" w14:paraId="2F68C7E5" w14:textId="77777777" w:rsidTr="7821F417">
        <w:tc>
          <w:tcPr>
            <w:tcW w:w="5184" w:type="dxa"/>
          </w:tcPr>
          <w:p w14:paraId="783788E4" w14:textId="77777777" w:rsidR="00C546D8" w:rsidRPr="00362407" w:rsidRDefault="00C546D8" w:rsidP="00C546D8">
            <w:pPr>
              <w:ind w:right="-144"/>
              <w:jc w:val="both"/>
              <w:rPr>
                <w:rFonts w:cs="Arial"/>
                <w:sz w:val="19"/>
                <w:szCs w:val="19"/>
              </w:rPr>
            </w:pPr>
          </w:p>
        </w:tc>
        <w:tc>
          <w:tcPr>
            <w:tcW w:w="668" w:type="dxa"/>
          </w:tcPr>
          <w:p w14:paraId="058B943C" w14:textId="77777777" w:rsidR="00C546D8" w:rsidRPr="00362407" w:rsidRDefault="00C546D8" w:rsidP="00A05E88">
            <w:pPr>
              <w:pStyle w:val="Sub-header"/>
              <w:jc w:val="center"/>
              <w:rPr>
                <w:sz w:val="19"/>
                <w:szCs w:val="19"/>
              </w:rPr>
            </w:pPr>
          </w:p>
        </w:tc>
        <w:tc>
          <w:tcPr>
            <w:tcW w:w="1584" w:type="dxa"/>
          </w:tcPr>
          <w:p w14:paraId="56C26995" w14:textId="77777777" w:rsidR="00C546D8" w:rsidRPr="00362407" w:rsidRDefault="00C546D8" w:rsidP="00C546D8">
            <w:pPr>
              <w:tabs>
                <w:tab w:val="decimal" w:pos="1424"/>
              </w:tabs>
              <w:ind w:right="-144"/>
              <w:jc w:val="both"/>
              <w:rPr>
                <w:rFonts w:cs="Arial"/>
                <w:sz w:val="19"/>
                <w:szCs w:val="19"/>
              </w:rPr>
            </w:pPr>
          </w:p>
        </w:tc>
        <w:tc>
          <w:tcPr>
            <w:tcW w:w="1584" w:type="dxa"/>
          </w:tcPr>
          <w:p w14:paraId="7B596446" w14:textId="77777777" w:rsidR="00C546D8" w:rsidRPr="00362407" w:rsidRDefault="00C546D8" w:rsidP="00C546D8">
            <w:pPr>
              <w:tabs>
                <w:tab w:val="decimal" w:pos="1424"/>
              </w:tabs>
              <w:ind w:right="-144"/>
              <w:jc w:val="both"/>
              <w:rPr>
                <w:rFonts w:cs="Arial"/>
                <w:sz w:val="19"/>
                <w:szCs w:val="19"/>
              </w:rPr>
            </w:pPr>
          </w:p>
        </w:tc>
      </w:tr>
      <w:tr w:rsidR="00C546D8" w:rsidRPr="00670755" w14:paraId="1C27DD84" w14:textId="77777777" w:rsidTr="7821F417">
        <w:tc>
          <w:tcPr>
            <w:tcW w:w="5184" w:type="dxa"/>
          </w:tcPr>
          <w:p w14:paraId="61C95669" w14:textId="77777777" w:rsidR="00C546D8" w:rsidRPr="00362407" w:rsidRDefault="00C546D8" w:rsidP="00C546D8">
            <w:pPr>
              <w:ind w:right="-144"/>
              <w:jc w:val="both"/>
              <w:rPr>
                <w:rFonts w:cs="Arial"/>
                <w:b/>
                <w:sz w:val="19"/>
                <w:szCs w:val="19"/>
              </w:rPr>
            </w:pPr>
            <w:r w:rsidRPr="00362407">
              <w:rPr>
                <w:rFonts w:cs="Arial"/>
                <w:b/>
                <w:sz w:val="19"/>
                <w:szCs w:val="19"/>
              </w:rPr>
              <w:t>Total assets</w:t>
            </w:r>
          </w:p>
        </w:tc>
        <w:tc>
          <w:tcPr>
            <w:tcW w:w="668" w:type="dxa"/>
          </w:tcPr>
          <w:p w14:paraId="0404D928" w14:textId="77777777" w:rsidR="00C546D8" w:rsidRPr="00362407" w:rsidRDefault="00C546D8" w:rsidP="00A05E88">
            <w:pPr>
              <w:pStyle w:val="Sub-header"/>
              <w:jc w:val="center"/>
              <w:rPr>
                <w:sz w:val="19"/>
                <w:szCs w:val="19"/>
              </w:rPr>
            </w:pPr>
          </w:p>
        </w:tc>
        <w:tc>
          <w:tcPr>
            <w:tcW w:w="1584" w:type="dxa"/>
          </w:tcPr>
          <w:p w14:paraId="490B934C" w14:textId="1FDD0213" w:rsidR="00C546D8" w:rsidRPr="00362407" w:rsidRDefault="00E10DF1" w:rsidP="00C546D8">
            <w:pPr>
              <w:tabs>
                <w:tab w:val="decimal" w:pos="1424"/>
              </w:tabs>
              <w:ind w:right="-144"/>
              <w:jc w:val="both"/>
              <w:rPr>
                <w:rFonts w:cs="Arial"/>
                <w:b/>
                <w:bCs/>
                <w:sz w:val="19"/>
                <w:szCs w:val="19"/>
              </w:rPr>
            </w:pPr>
            <w:r>
              <w:rPr>
                <w:rFonts w:cs="Arial"/>
                <w:b/>
                <w:bCs/>
                <w:sz w:val="19"/>
                <w:szCs w:val="19"/>
              </w:rPr>
              <w:t>1,258,</w:t>
            </w:r>
            <w:r w:rsidR="002162F9">
              <w:rPr>
                <w:rFonts w:cs="Arial"/>
                <w:b/>
                <w:bCs/>
                <w:sz w:val="19"/>
                <w:szCs w:val="19"/>
              </w:rPr>
              <w:t>703</w:t>
            </w:r>
          </w:p>
        </w:tc>
        <w:tc>
          <w:tcPr>
            <w:tcW w:w="1584" w:type="dxa"/>
          </w:tcPr>
          <w:p w14:paraId="5C1E9430" w14:textId="1983CA9F" w:rsidR="00C546D8" w:rsidRPr="00912B09" w:rsidRDefault="00912B09" w:rsidP="00C546D8">
            <w:pPr>
              <w:tabs>
                <w:tab w:val="decimal" w:pos="1424"/>
              </w:tabs>
              <w:ind w:right="-144"/>
              <w:jc w:val="both"/>
              <w:rPr>
                <w:rFonts w:cs="Arial"/>
                <w:bCs/>
                <w:sz w:val="19"/>
                <w:szCs w:val="19"/>
              </w:rPr>
            </w:pPr>
            <w:r w:rsidRPr="00912B09">
              <w:rPr>
                <w:rFonts w:cs="Arial"/>
                <w:bCs/>
                <w:szCs w:val="20"/>
              </w:rPr>
              <w:t>1,177,914</w:t>
            </w:r>
          </w:p>
        </w:tc>
      </w:tr>
      <w:tr w:rsidR="00C546D8" w:rsidRPr="00670755" w14:paraId="4F96A5F5" w14:textId="77777777" w:rsidTr="00B91C4E">
        <w:trPr>
          <w:trHeight w:val="80"/>
        </w:trPr>
        <w:tc>
          <w:tcPr>
            <w:tcW w:w="5184" w:type="dxa"/>
          </w:tcPr>
          <w:p w14:paraId="4069CFE5" w14:textId="77777777" w:rsidR="00C546D8" w:rsidRPr="00362407" w:rsidRDefault="00C546D8" w:rsidP="00C546D8">
            <w:pPr>
              <w:ind w:right="-144"/>
              <w:jc w:val="both"/>
              <w:rPr>
                <w:rFonts w:cs="Arial"/>
                <w:sz w:val="19"/>
                <w:szCs w:val="19"/>
              </w:rPr>
            </w:pPr>
          </w:p>
        </w:tc>
        <w:tc>
          <w:tcPr>
            <w:tcW w:w="668" w:type="dxa"/>
          </w:tcPr>
          <w:p w14:paraId="36594DD9" w14:textId="77777777" w:rsidR="00C546D8" w:rsidRPr="00362407" w:rsidRDefault="00C546D8" w:rsidP="00A05E88">
            <w:pPr>
              <w:pStyle w:val="Sub-header"/>
              <w:jc w:val="center"/>
              <w:rPr>
                <w:sz w:val="19"/>
                <w:szCs w:val="19"/>
              </w:rPr>
            </w:pPr>
          </w:p>
        </w:tc>
        <w:tc>
          <w:tcPr>
            <w:tcW w:w="1584" w:type="dxa"/>
          </w:tcPr>
          <w:p w14:paraId="1B0C4684" w14:textId="77777777" w:rsidR="00C546D8" w:rsidRPr="00362407" w:rsidRDefault="00C546D8" w:rsidP="00C546D8">
            <w:pPr>
              <w:tabs>
                <w:tab w:val="decimal" w:pos="1424"/>
              </w:tabs>
              <w:ind w:right="-144"/>
              <w:jc w:val="both"/>
              <w:rPr>
                <w:rFonts w:cs="Arial"/>
                <w:sz w:val="19"/>
                <w:szCs w:val="19"/>
                <w:u w:val="double"/>
              </w:rPr>
            </w:pPr>
            <w:r w:rsidRPr="00362407">
              <w:rPr>
                <w:rFonts w:cs="Arial"/>
                <w:sz w:val="19"/>
                <w:szCs w:val="19"/>
                <w:u w:val="double"/>
              </w:rPr>
              <w:t>                  </w:t>
            </w:r>
          </w:p>
        </w:tc>
        <w:tc>
          <w:tcPr>
            <w:tcW w:w="1584" w:type="dxa"/>
          </w:tcPr>
          <w:p w14:paraId="40F9F0C6" w14:textId="36A9E2AA" w:rsidR="00C546D8" w:rsidRPr="00362407" w:rsidRDefault="00C546D8" w:rsidP="00C546D8">
            <w:pPr>
              <w:tabs>
                <w:tab w:val="decimal" w:pos="1424"/>
              </w:tabs>
              <w:ind w:right="-144"/>
              <w:jc w:val="both"/>
              <w:rPr>
                <w:rFonts w:cs="Arial"/>
                <w:sz w:val="19"/>
                <w:szCs w:val="19"/>
                <w:u w:val="double"/>
              </w:rPr>
            </w:pPr>
            <w:r w:rsidRPr="00362407">
              <w:rPr>
                <w:rFonts w:cs="Arial"/>
                <w:sz w:val="19"/>
                <w:szCs w:val="19"/>
                <w:u w:val="double"/>
              </w:rPr>
              <w:t>                  </w:t>
            </w:r>
          </w:p>
        </w:tc>
      </w:tr>
      <w:tr w:rsidR="00C546D8" w:rsidRPr="00670755" w14:paraId="1DFBC320" w14:textId="77777777" w:rsidTr="7821F417">
        <w:tc>
          <w:tcPr>
            <w:tcW w:w="5184" w:type="dxa"/>
          </w:tcPr>
          <w:p w14:paraId="61699386" w14:textId="77777777" w:rsidR="00C546D8" w:rsidRPr="00362407" w:rsidRDefault="00C546D8" w:rsidP="00C546D8">
            <w:pPr>
              <w:ind w:right="-144"/>
              <w:jc w:val="both"/>
              <w:rPr>
                <w:rFonts w:cs="Arial"/>
                <w:b/>
                <w:sz w:val="19"/>
                <w:szCs w:val="19"/>
              </w:rPr>
            </w:pPr>
            <w:r w:rsidRPr="00362407">
              <w:rPr>
                <w:rFonts w:cs="Arial"/>
                <w:b/>
                <w:sz w:val="19"/>
                <w:szCs w:val="19"/>
              </w:rPr>
              <w:t>Equity</w:t>
            </w:r>
          </w:p>
        </w:tc>
        <w:tc>
          <w:tcPr>
            <w:tcW w:w="668" w:type="dxa"/>
          </w:tcPr>
          <w:p w14:paraId="2A4D6E9F" w14:textId="77777777" w:rsidR="00C546D8" w:rsidRPr="00362407" w:rsidRDefault="00C546D8" w:rsidP="00A05E88">
            <w:pPr>
              <w:pStyle w:val="Sub-header"/>
              <w:jc w:val="center"/>
              <w:rPr>
                <w:sz w:val="19"/>
                <w:szCs w:val="19"/>
              </w:rPr>
            </w:pPr>
          </w:p>
        </w:tc>
        <w:tc>
          <w:tcPr>
            <w:tcW w:w="1584" w:type="dxa"/>
          </w:tcPr>
          <w:p w14:paraId="779995A9" w14:textId="77777777" w:rsidR="00C546D8" w:rsidRPr="00362407" w:rsidRDefault="00C546D8" w:rsidP="00C546D8">
            <w:pPr>
              <w:tabs>
                <w:tab w:val="decimal" w:pos="1424"/>
              </w:tabs>
              <w:ind w:right="-144"/>
              <w:jc w:val="both"/>
              <w:rPr>
                <w:rFonts w:cs="Arial"/>
                <w:sz w:val="19"/>
                <w:szCs w:val="19"/>
              </w:rPr>
            </w:pPr>
          </w:p>
        </w:tc>
        <w:tc>
          <w:tcPr>
            <w:tcW w:w="1584" w:type="dxa"/>
          </w:tcPr>
          <w:p w14:paraId="5A0F74AC" w14:textId="77777777" w:rsidR="00C546D8" w:rsidRPr="00362407" w:rsidRDefault="00C546D8" w:rsidP="00C546D8">
            <w:pPr>
              <w:tabs>
                <w:tab w:val="decimal" w:pos="1424"/>
              </w:tabs>
              <w:ind w:right="-144"/>
              <w:jc w:val="both"/>
              <w:rPr>
                <w:rFonts w:cs="Arial"/>
                <w:sz w:val="19"/>
                <w:szCs w:val="19"/>
              </w:rPr>
            </w:pPr>
          </w:p>
        </w:tc>
      </w:tr>
      <w:tr w:rsidR="00C84FFC" w:rsidRPr="00670755" w14:paraId="00A37B58" w14:textId="77777777" w:rsidTr="7821F417">
        <w:tc>
          <w:tcPr>
            <w:tcW w:w="5184" w:type="dxa"/>
          </w:tcPr>
          <w:p w14:paraId="5E7977E4" w14:textId="77777777" w:rsidR="00C84FFC" w:rsidRPr="00362407" w:rsidRDefault="00C84FFC" w:rsidP="00C84FFC">
            <w:pPr>
              <w:ind w:right="-144"/>
              <w:jc w:val="both"/>
              <w:rPr>
                <w:rFonts w:cs="Arial"/>
                <w:sz w:val="19"/>
                <w:szCs w:val="19"/>
              </w:rPr>
            </w:pPr>
            <w:r w:rsidRPr="00362407">
              <w:rPr>
                <w:rFonts w:cs="Arial"/>
                <w:sz w:val="19"/>
                <w:szCs w:val="19"/>
              </w:rPr>
              <w:t>Share capital</w:t>
            </w:r>
          </w:p>
        </w:tc>
        <w:tc>
          <w:tcPr>
            <w:tcW w:w="668" w:type="dxa"/>
          </w:tcPr>
          <w:p w14:paraId="74F95ACA" w14:textId="626FB940" w:rsidR="00C84FFC" w:rsidRPr="00362407" w:rsidRDefault="00C84FFC" w:rsidP="00A05E88">
            <w:pPr>
              <w:pStyle w:val="Sub-header"/>
              <w:jc w:val="center"/>
              <w:rPr>
                <w:sz w:val="19"/>
                <w:szCs w:val="19"/>
              </w:rPr>
            </w:pPr>
            <w:r w:rsidRPr="00362407">
              <w:rPr>
                <w:sz w:val="19"/>
                <w:szCs w:val="19"/>
              </w:rPr>
              <w:t>13</w:t>
            </w:r>
          </w:p>
        </w:tc>
        <w:tc>
          <w:tcPr>
            <w:tcW w:w="1584" w:type="dxa"/>
          </w:tcPr>
          <w:p w14:paraId="1D1CE5FB" w14:textId="7CAFDB18" w:rsidR="00C84FFC" w:rsidRPr="00362407" w:rsidRDefault="00625FBD" w:rsidP="00C84FFC">
            <w:pPr>
              <w:tabs>
                <w:tab w:val="decimal" w:pos="1424"/>
              </w:tabs>
              <w:ind w:right="-144"/>
              <w:jc w:val="both"/>
              <w:rPr>
                <w:rFonts w:cs="Arial"/>
                <w:b/>
                <w:bCs/>
                <w:sz w:val="19"/>
                <w:szCs w:val="19"/>
              </w:rPr>
            </w:pPr>
            <w:r>
              <w:rPr>
                <w:rFonts w:cs="Arial"/>
                <w:b/>
                <w:bCs/>
                <w:sz w:val="19"/>
                <w:szCs w:val="19"/>
              </w:rPr>
              <w:t>541</w:t>
            </w:r>
          </w:p>
        </w:tc>
        <w:tc>
          <w:tcPr>
            <w:tcW w:w="1584" w:type="dxa"/>
          </w:tcPr>
          <w:p w14:paraId="78AF858D" w14:textId="72618E28" w:rsidR="00C84FFC" w:rsidRPr="00C84FFC" w:rsidRDefault="00C84FFC" w:rsidP="00C84FFC">
            <w:pPr>
              <w:tabs>
                <w:tab w:val="decimal" w:pos="1424"/>
              </w:tabs>
              <w:ind w:right="-144"/>
              <w:jc w:val="both"/>
              <w:rPr>
                <w:rFonts w:cs="Arial"/>
                <w:bCs/>
                <w:sz w:val="19"/>
                <w:szCs w:val="19"/>
              </w:rPr>
            </w:pPr>
            <w:r w:rsidRPr="00C84FFC">
              <w:rPr>
                <w:rFonts w:cs="Arial"/>
                <w:bCs/>
                <w:szCs w:val="20"/>
              </w:rPr>
              <w:t>642</w:t>
            </w:r>
          </w:p>
        </w:tc>
      </w:tr>
      <w:tr w:rsidR="00C84FFC" w:rsidRPr="00670755" w14:paraId="43CFA6AC" w14:textId="77777777" w:rsidTr="7821F417">
        <w:tc>
          <w:tcPr>
            <w:tcW w:w="5184" w:type="dxa"/>
          </w:tcPr>
          <w:p w14:paraId="1ABFA208" w14:textId="77777777" w:rsidR="00C84FFC" w:rsidRPr="00362407" w:rsidRDefault="00C84FFC" w:rsidP="00C84FFC">
            <w:pPr>
              <w:ind w:right="-144"/>
              <w:jc w:val="both"/>
              <w:rPr>
                <w:rFonts w:cs="Arial"/>
                <w:sz w:val="19"/>
                <w:szCs w:val="19"/>
              </w:rPr>
            </w:pPr>
            <w:r w:rsidRPr="00362407">
              <w:rPr>
                <w:rFonts w:cs="Arial"/>
                <w:sz w:val="19"/>
                <w:szCs w:val="19"/>
              </w:rPr>
              <w:t>Share premium</w:t>
            </w:r>
          </w:p>
        </w:tc>
        <w:tc>
          <w:tcPr>
            <w:tcW w:w="668" w:type="dxa"/>
          </w:tcPr>
          <w:p w14:paraId="44B7D630" w14:textId="1489A3AD" w:rsidR="00C84FFC" w:rsidRPr="00362407" w:rsidRDefault="00C84FFC" w:rsidP="00A05E88">
            <w:pPr>
              <w:pStyle w:val="Sub-header"/>
              <w:jc w:val="center"/>
              <w:rPr>
                <w:sz w:val="19"/>
                <w:szCs w:val="19"/>
              </w:rPr>
            </w:pPr>
            <w:r w:rsidRPr="00362407">
              <w:rPr>
                <w:sz w:val="19"/>
                <w:szCs w:val="19"/>
              </w:rPr>
              <w:t>13</w:t>
            </w:r>
          </w:p>
        </w:tc>
        <w:tc>
          <w:tcPr>
            <w:tcW w:w="1584" w:type="dxa"/>
          </w:tcPr>
          <w:p w14:paraId="5BA0C724" w14:textId="4EA2F92D" w:rsidR="00C84FFC" w:rsidRPr="00362407" w:rsidRDefault="00E10DF1" w:rsidP="00C84FFC">
            <w:pPr>
              <w:tabs>
                <w:tab w:val="decimal" w:pos="1424"/>
              </w:tabs>
              <w:ind w:right="-144"/>
              <w:jc w:val="both"/>
              <w:rPr>
                <w:rFonts w:cs="Arial"/>
                <w:b/>
                <w:bCs/>
                <w:sz w:val="19"/>
                <w:szCs w:val="19"/>
              </w:rPr>
            </w:pPr>
            <w:r>
              <w:rPr>
                <w:rFonts w:cs="Arial"/>
                <w:b/>
                <w:bCs/>
                <w:sz w:val="19"/>
                <w:szCs w:val="19"/>
              </w:rPr>
              <w:t>179,856</w:t>
            </w:r>
          </w:p>
        </w:tc>
        <w:tc>
          <w:tcPr>
            <w:tcW w:w="1584" w:type="dxa"/>
          </w:tcPr>
          <w:p w14:paraId="42048E30" w14:textId="06352473" w:rsidR="00C84FFC" w:rsidRPr="00C84FFC" w:rsidRDefault="00C84FFC" w:rsidP="00C84FFC">
            <w:pPr>
              <w:tabs>
                <w:tab w:val="decimal" w:pos="1424"/>
              </w:tabs>
              <w:ind w:right="-144"/>
              <w:jc w:val="both"/>
              <w:rPr>
                <w:rFonts w:cs="Arial"/>
                <w:bCs/>
                <w:sz w:val="19"/>
                <w:szCs w:val="19"/>
              </w:rPr>
            </w:pPr>
            <w:r w:rsidRPr="00C84FFC">
              <w:rPr>
                <w:rFonts w:cs="Arial"/>
                <w:bCs/>
                <w:szCs w:val="20"/>
              </w:rPr>
              <w:t>179,788</w:t>
            </w:r>
          </w:p>
        </w:tc>
      </w:tr>
      <w:tr w:rsidR="00C84FFC" w:rsidRPr="00670755" w14:paraId="4F07EDC9" w14:textId="77777777" w:rsidTr="7821F417">
        <w:tc>
          <w:tcPr>
            <w:tcW w:w="5184" w:type="dxa"/>
          </w:tcPr>
          <w:p w14:paraId="3FA47631" w14:textId="3119CBD2" w:rsidR="00C84FFC" w:rsidRPr="00362407" w:rsidRDefault="00C84FFC" w:rsidP="00C84FFC">
            <w:pPr>
              <w:ind w:right="-144"/>
              <w:jc w:val="both"/>
              <w:rPr>
                <w:rFonts w:cs="Arial"/>
                <w:sz w:val="19"/>
                <w:szCs w:val="19"/>
              </w:rPr>
            </w:pPr>
            <w:proofErr w:type="spellStart"/>
            <w:r w:rsidRPr="00362407">
              <w:rPr>
                <w:rFonts w:cs="Arial"/>
                <w:sz w:val="19"/>
                <w:szCs w:val="19"/>
              </w:rPr>
              <w:t>Undenominated</w:t>
            </w:r>
            <w:proofErr w:type="spellEnd"/>
            <w:r w:rsidRPr="00362407">
              <w:rPr>
                <w:rFonts w:cs="Arial"/>
                <w:sz w:val="19"/>
                <w:szCs w:val="19"/>
              </w:rPr>
              <w:t xml:space="preserve"> capital</w:t>
            </w:r>
          </w:p>
        </w:tc>
        <w:tc>
          <w:tcPr>
            <w:tcW w:w="668" w:type="dxa"/>
          </w:tcPr>
          <w:p w14:paraId="2356F977" w14:textId="216252D1" w:rsidR="00C84FFC" w:rsidRPr="00362407" w:rsidRDefault="00C84FFC" w:rsidP="00A05E88">
            <w:pPr>
              <w:pStyle w:val="Sub-header"/>
              <w:jc w:val="center"/>
              <w:rPr>
                <w:sz w:val="19"/>
                <w:szCs w:val="19"/>
              </w:rPr>
            </w:pPr>
          </w:p>
        </w:tc>
        <w:tc>
          <w:tcPr>
            <w:tcW w:w="1584" w:type="dxa"/>
          </w:tcPr>
          <w:p w14:paraId="5AACFE87" w14:textId="1B7A87E7" w:rsidR="00C84FFC" w:rsidRPr="00362407" w:rsidDel="00CF3EB2" w:rsidRDefault="004431E6" w:rsidP="00C84FFC">
            <w:pPr>
              <w:tabs>
                <w:tab w:val="decimal" w:pos="1424"/>
              </w:tabs>
              <w:ind w:right="-144"/>
              <w:jc w:val="both"/>
              <w:rPr>
                <w:rFonts w:cs="Arial"/>
                <w:b/>
                <w:bCs/>
                <w:sz w:val="19"/>
                <w:szCs w:val="19"/>
              </w:rPr>
            </w:pPr>
            <w:r>
              <w:rPr>
                <w:rFonts w:cs="Arial"/>
                <w:b/>
                <w:bCs/>
                <w:sz w:val="19"/>
                <w:szCs w:val="19"/>
              </w:rPr>
              <w:t>521</w:t>
            </w:r>
          </w:p>
        </w:tc>
        <w:tc>
          <w:tcPr>
            <w:tcW w:w="1584" w:type="dxa"/>
          </w:tcPr>
          <w:p w14:paraId="39AD7901" w14:textId="5C45173A" w:rsidR="00C84FFC" w:rsidRPr="00C84FFC" w:rsidRDefault="00C84FFC" w:rsidP="00C84FFC">
            <w:pPr>
              <w:tabs>
                <w:tab w:val="decimal" w:pos="1424"/>
              </w:tabs>
              <w:ind w:right="-144"/>
              <w:jc w:val="both"/>
              <w:rPr>
                <w:rFonts w:cs="Arial"/>
                <w:bCs/>
                <w:sz w:val="19"/>
                <w:szCs w:val="19"/>
              </w:rPr>
            </w:pPr>
            <w:r w:rsidRPr="00C84FFC">
              <w:rPr>
                <w:rFonts w:cs="Arial"/>
                <w:bCs/>
                <w:szCs w:val="20"/>
              </w:rPr>
              <w:t>418</w:t>
            </w:r>
          </w:p>
        </w:tc>
      </w:tr>
      <w:tr w:rsidR="00C84FFC" w:rsidRPr="00670755" w14:paraId="21093900" w14:textId="77777777" w:rsidTr="7821F417">
        <w:tc>
          <w:tcPr>
            <w:tcW w:w="5184" w:type="dxa"/>
          </w:tcPr>
          <w:p w14:paraId="1039E928" w14:textId="77777777" w:rsidR="00C84FFC" w:rsidRPr="00362407" w:rsidRDefault="00C84FFC" w:rsidP="00C84FFC">
            <w:pPr>
              <w:ind w:right="-144"/>
              <w:jc w:val="both"/>
              <w:rPr>
                <w:rFonts w:cs="Arial"/>
                <w:sz w:val="19"/>
                <w:szCs w:val="19"/>
              </w:rPr>
            </w:pPr>
            <w:r w:rsidRPr="00362407">
              <w:rPr>
                <w:rFonts w:cs="Arial"/>
                <w:sz w:val="19"/>
                <w:szCs w:val="19"/>
              </w:rPr>
              <w:t>Retained earnings</w:t>
            </w:r>
          </w:p>
        </w:tc>
        <w:tc>
          <w:tcPr>
            <w:tcW w:w="668" w:type="dxa"/>
          </w:tcPr>
          <w:p w14:paraId="18B260C0" w14:textId="77777777" w:rsidR="00C84FFC" w:rsidRPr="00362407" w:rsidRDefault="00C84FFC" w:rsidP="00A05E88">
            <w:pPr>
              <w:pStyle w:val="Sub-header"/>
              <w:jc w:val="center"/>
              <w:rPr>
                <w:sz w:val="19"/>
                <w:szCs w:val="19"/>
              </w:rPr>
            </w:pPr>
          </w:p>
        </w:tc>
        <w:tc>
          <w:tcPr>
            <w:tcW w:w="1584" w:type="dxa"/>
          </w:tcPr>
          <w:p w14:paraId="0E366897" w14:textId="78E88499" w:rsidR="00C84FFC" w:rsidRPr="00362407" w:rsidRDefault="000E685C" w:rsidP="00C84FFC">
            <w:pPr>
              <w:tabs>
                <w:tab w:val="decimal" w:pos="1424"/>
              </w:tabs>
              <w:ind w:right="-144"/>
              <w:jc w:val="both"/>
              <w:rPr>
                <w:rFonts w:cs="Arial"/>
                <w:b/>
                <w:bCs/>
                <w:sz w:val="19"/>
                <w:szCs w:val="19"/>
              </w:rPr>
            </w:pPr>
            <w:r>
              <w:rPr>
                <w:rFonts w:cs="Arial"/>
                <w:b/>
                <w:bCs/>
                <w:sz w:val="19"/>
                <w:szCs w:val="19"/>
              </w:rPr>
              <w:t>510,385</w:t>
            </w:r>
          </w:p>
        </w:tc>
        <w:tc>
          <w:tcPr>
            <w:tcW w:w="1584" w:type="dxa"/>
          </w:tcPr>
          <w:p w14:paraId="58571D3B" w14:textId="4212094F" w:rsidR="00C84FFC" w:rsidRPr="00C84FFC" w:rsidRDefault="00C84FFC" w:rsidP="00C84FFC">
            <w:pPr>
              <w:tabs>
                <w:tab w:val="decimal" w:pos="1424"/>
              </w:tabs>
              <w:ind w:right="-144"/>
              <w:jc w:val="both"/>
              <w:rPr>
                <w:rFonts w:cs="Arial"/>
                <w:bCs/>
                <w:sz w:val="19"/>
                <w:szCs w:val="19"/>
              </w:rPr>
            </w:pPr>
            <w:r w:rsidRPr="00C84FFC">
              <w:rPr>
                <w:rFonts w:cs="Arial"/>
                <w:bCs/>
                <w:szCs w:val="20"/>
              </w:rPr>
              <w:t>517,425</w:t>
            </w:r>
          </w:p>
        </w:tc>
      </w:tr>
      <w:tr w:rsidR="00C84FFC" w:rsidRPr="00670755" w14:paraId="133C82DA" w14:textId="77777777" w:rsidTr="7821F417">
        <w:tc>
          <w:tcPr>
            <w:tcW w:w="5184" w:type="dxa"/>
          </w:tcPr>
          <w:p w14:paraId="2BA62305" w14:textId="4299E5AD" w:rsidR="00C84FFC" w:rsidRPr="00362407" w:rsidRDefault="00C84FFC" w:rsidP="00C84FFC">
            <w:pPr>
              <w:ind w:right="-144"/>
              <w:jc w:val="both"/>
              <w:rPr>
                <w:rFonts w:cs="Arial"/>
                <w:sz w:val="19"/>
                <w:szCs w:val="19"/>
              </w:rPr>
            </w:pPr>
            <w:r w:rsidRPr="00362407">
              <w:rPr>
                <w:rFonts w:cs="Arial"/>
                <w:sz w:val="19"/>
                <w:szCs w:val="19"/>
              </w:rPr>
              <w:t>Cashflow hedge reserve</w:t>
            </w:r>
          </w:p>
        </w:tc>
        <w:tc>
          <w:tcPr>
            <w:tcW w:w="668" w:type="dxa"/>
          </w:tcPr>
          <w:p w14:paraId="1F9A463E" w14:textId="77777777" w:rsidR="00C84FFC" w:rsidRPr="00362407" w:rsidRDefault="00C84FFC" w:rsidP="00A05E88">
            <w:pPr>
              <w:pStyle w:val="Sub-header"/>
              <w:jc w:val="center"/>
              <w:rPr>
                <w:sz w:val="19"/>
                <w:szCs w:val="19"/>
              </w:rPr>
            </w:pPr>
          </w:p>
        </w:tc>
        <w:tc>
          <w:tcPr>
            <w:tcW w:w="1584" w:type="dxa"/>
          </w:tcPr>
          <w:p w14:paraId="7C8580AD" w14:textId="107C779C" w:rsidR="00C84FFC" w:rsidRPr="00362407" w:rsidRDefault="000E685C" w:rsidP="00C84FFC">
            <w:pPr>
              <w:tabs>
                <w:tab w:val="decimal" w:pos="1424"/>
              </w:tabs>
              <w:ind w:right="-144"/>
              <w:jc w:val="both"/>
              <w:rPr>
                <w:rFonts w:cs="Arial"/>
                <w:b/>
                <w:bCs/>
                <w:sz w:val="19"/>
                <w:szCs w:val="19"/>
              </w:rPr>
            </w:pPr>
            <w:r>
              <w:rPr>
                <w:rFonts w:cs="Arial"/>
                <w:b/>
                <w:bCs/>
                <w:sz w:val="19"/>
                <w:szCs w:val="19"/>
              </w:rPr>
              <w:t>(</w:t>
            </w:r>
            <w:r w:rsidR="00B40FA8">
              <w:rPr>
                <w:rFonts w:cs="Arial"/>
                <w:b/>
                <w:bCs/>
                <w:sz w:val="19"/>
                <w:szCs w:val="19"/>
              </w:rPr>
              <w:t>1,027</w:t>
            </w:r>
            <w:r>
              <w:rPr>
                <w:rFonts w:cs="Arial"/>
                <w:b/>
                <w:bCs/>
                <w:sz w:val="19"/>
                <w:szCs w:val="19"/>
              </w:rPr>
              <w:t>)</w:t>
            </w:r>
          </w:p>
        </w:tc>
        <w:tc>
          <w:tcPr>
            <w:tcW w:w="1584" w:type="dxa"/>
          </w:tcPr>
          <w:p w14:paraId="28A669FB" w14:textId="03107771" w:rsidR="00C84FFC" w:rsidRPr="00C84FFC" w:rsidRDefault="00C84FFC" w:rsidP="00C84FFC">
            <w:pPr>
              <w:tabs>
                <w:tab w:val="decimal" w:pos="1424"/>
              </w:tabs>
              <w:ind w:right="-144"/>
              <w:jc w:val="both"/>
              <w:rPr>
                <w:rFonts w:cs="Arial"/>
                <w:bCs/>
                <w:sz w:val="19"/>
                <w:szCs w:val="19"/>
              </w:rPr>
            </w:pPr>
            <w:r w:rsidRPr="00C84FFC">
              <w:rPr>
                <w:rFonts w:cs="Arial"/>
                <w:bCs/>
                <w:szCs w:val="20"/>
              </w:rPr>
              <w:t>(1,182)</w:t>
            </w:r>
          </w:p>
        </w:tc>
      </w:tr>
      <w:tr w:rsidR="00C84FFC" w:rsidRPr="00670755" w14:paraId="4C7BDE66" w14:textId="77777777" w:rsidTr="7821F417">
        <w:tc>
          <w:tcPr>
            <w:tcW w:w="5184" w:type="dxa"/>
          </w:tcPr>
          <w:p w14:paraId="79DC834C" w14:textId="77777777" w:rsidR="00C84FFC" w:rsidRPr="00362407" w:rsidRDefault="00C84FFC" w:rsidP="00C84FFC">
            <w:pPr>
              <w:ind w:right="-144"/>
              <w:jc w:val="both"/>
              <w:rPr>
                <w:rFonts w:cs="Arial"/>
                <w:sz w:val="19"/>
                <w:szCs w:val="19"/>
              </w:rPr>
            </w:pPr>
            <w:r w:rsidRPr="00362407">
              <w:rPr>
                <w:rFonts w:cs="Arial"/>
                <w:sz w:val="19"/>
                <w:szCs w:val="19"/>
              </w:rPr>
              <w:t>Share-based payment reserve</w:t>
            </w:r>
          </w:p>
        </w:tc>
        <w:tc>
          <w:tcPr>
            <w:tcW w:w="668" w:type="dxa"/>
          </w:tcPr>
          <w:p w14:paraId="1BA5F3B2" w14:textId="77777777" w:rsidR="00C84FFC" w:rsidRPr="00362407" w:rsidRDefault="00C84FFC" w:rsidP="00A05E88">
            <w:pPr>
              <w:pStyle w:val="Sub-header"/>
              <w:jc w:val="center"/>
              <w:rPr>
                <w:sz w:val="19"/>
                <w:szCs w:val="19"/>
              </w:rPr>
            </w:pPr>
          </w:p>
        </w:tc>
        <w:tc>
          <w:tcPr>
            <w:tcW w:w="1584" w:type="dxa"/>
          </w:tcPr>
          <w:p w14:paraId="4882BB85" w14:textId="666B826E" w:rsidR="00C84FFC" w:rsidRPr="00362407" w:rsidRDefault="000E685C" w:rsidP="00C84FFC">
            <w:pPr>
              <w:tabs>
                <w:tab w:val="decimal" w:pos="1424"/>
              </w:tabs>
              <w:ind w:right="-144"/>
              <w:jc w:val="both"/>
              <w:rPr>
                <w:rFonts w:cs="Arial"/>
                <w:b/>
                <w:bCs/>
                <w:sz w:val="19"/>
                <w:szCs w:val="19"/>
              </w:rPr>
            </w:pPr>
            <w:r>
              <w:rPr>
                <w:rFonts w:cs="Arial"/>
                <w:b/>
                <w:bCs/>
                <w:sz w:val="19"/>
                <w:szCs w:val="19"/>
              </w:rPr>
              <w:t>58,079</w:t>
            </w:r>
          </w:p>
        </w:tc>
        <w:tc>
          <w:tcPr>
            <w:tcW w:w="1584" w:type="dxa"/>
          </w:tcPr>
          <w:p w14:paraId="5A60BE92" w14:textId="328003D1" w:rsidR="00C84FFC" w:rsidRPr="00C84FFC" w:rsidRDefault="00C84FFC" w:rsidP="00C84FFC">
            <w:pPr>
              <w:tabs>
                <w:tab w:val="decimal" w:pos="1424"/>
              </w:tabs>
              <w:ind w:right="-144"/>
              <w:jc w:val="both"/>
              <w:rPr>
                <w:rFonts w:cs="Arial"/>
                <w:bCs/>
                <w:sz w:val="19"/>
                <w:szCs w:val="19"/>
              </w:rPr>
            </w:pPr>
            <w:r w:rsidRPr="00C84FFC">
              <w:rPr>
                <w:rFonts w:cs="Arial"/>
                <w:bCs/>
                <w:szCs w:val="20"/>
              </w:rPr>
              <w:t>54,079</w:t>
            </w:r>
          </w:p>
        </w:tc>
      </w:tr>
      <w:tr w:rsidR="00C546D8" w:rsidRPr="00670755" w14:paraId="34E3BA72" w14:textId="77777777" w:rsidTr="7821F417">
        <w:tc>
          <w:tcPr>
            <w:tcW w:w="5184" w:type="dxa"/>
          </w:tcPr>
          <w:p w14:paraId="470FD675" w14:textId="77777777" w:rsidR="00C546D8" w:rsidRPr="00362407" w:rsidRDefault="00C546D8" w:rsidP="00C546D8">
            <w:pPr>
              <w:ind w:right="-144"/>
              <w:jc w:val="both"/>
              <w:rPr>
                <w:rFonts w:cs="Arial"/>
                <w:sz w:val="19"/>
                <w:szCs w:val="19"/>
              </w:rPr>
            </w:pPr>
          </w:p>
        </w:tc>
        <w:tc>
          <w:tcPr>
            <w:tcW w:w="668" w:type="dxa"/>
          </w:tcPr>
          <w:p w14:paraId="45A31375" w14:textId="77777777" w:rsidR="00C546D8" w:rsidRPr="00362407" w:rsidRDefault="00C546D8" w:rsidP="00A05E88">
            <w:pPr>
              <w:pStyle w:val="Sub-header"/>
              <w:jc w:val="center"/>
              <w:rPr>
                <w:sz w:val="19"/>
                <w:szCs w:val="19"/>
              </w:rPr>
            </w:pPr>
          </w:p>
        </w:tc>
        <w:tc>
          <w:tcPr>
            <w:tcW w:w="1584" w:type="dxa"/>
          </w:tcPr>
          <w:p w14:paraId="1C2E37E3" w14:textId="77777777" w:rsidR="00C546D8" w:rsidRPr="00362407" w:rsidRDefault="00C546D8" w:rsidP="00C546D8">
            <w:pPr>
              <w:tabs>
                <w:tab w:val="decimal" w:pos="1424"/>
              </w:tabs>
              <w:ind w:right="-144"/>
              <w:jc w:val="both"/>
              <w:rPr>
                <w:rFonts w:cs="Arial"/>
                <w:sz w:val="19"/>
                <w:szCs w:val="19"/>
                <w:u w:val="single"/>
              </w:rPr>
            </w:pPr>
            <w:r w:rsidRPr="00362407">
              <w:rPr>
                <w:rFonts w:cs="Arial"/>
                <w:sz w:val="19"/>
                <w:szCs w:val="19"/>
                <w:u w:val="single"/>
              </w:rPr>
              <w:t>                  </w:t>
            </w:r>
          </w:p>
        </w:tc>
        <w:tc>
          <w:tcPr>
            <w:tcW w:w="1584" w:type="dxa"/>
          </w:tcPr>
          <w:p w14:paraId="3422C4C6" w14:textId="094A93D2" w:rsidR="00C546D8" w:rsidRPr="00362407" w:rsidRDefault="00C546D8" w:rsidP="00C546D8">
            <w:pPr>
              <w:tabs>
                <w:tab w:val="decimal" w:pos="1424"/>
              </w:tabs>
              <w:ind w:right="-144"/>
              <w:jc w:val="both"/>
              <w:rPr>
                <w:rFonts w:cs="Arial"/>
                <w:sz w:val="19"/>
                <w:szCs w:val="19"/>
                <w:u w:val="single"/>
              </w:rPr>
            </w:pPr>
            <w:r w:rsidRPr="00362407">
              <w:rPr>
                <w:rFonts w:cs="Arial"/>
                <w:sz w:val="19"/>
                <w:szCs w:val="19"/>
                <w:u w:val="single"/>
              </w:rPr>
              <w:t>                  </w:t>
            </w:r>
          </w:p>
        </w:tc>
      </w:tr>
      <w:tr w:rsidR="00C546D8" w:rsidRPr="00670755" w14:paraId="6519F68A" w14:textId="77777777" w:rsidTr="7821F417">
        <w:tc>
          <w:tcPr>
            <w:tcW w:w="5184" w:type="dxa"/>
          </w:tcPr>
          <w:p w14:paraId="1F746B14" w14:textId="77777777" w:rsidR="00C546D8" w:rsidRPr="00362407" w:rsidRDefault="00C546D8" w:rsidP="00C546D8">
            <w:pPr>
              <w:ind w:right="-144"/>
              <w:jc w:val="both"/>
              <w:rPr>
                <w:rFonts w:cs="Arial"/>
                <w:sz w:val="19"/>
                <w:szCs w:val="19"/>
              </w:rPr>
            </w:pPr>
          </w:p>
        </w:tc>
        <w:tc>
          <w:tcPr>
            <w:tcW w:w="668" w:type="dxa"/>
          </w:tcPr>
          <w:p w14:paraId="503C9291" w14:textId="77777777" w:rsidR="00C546D8" w:rsidRPr="00362407" w:rsidRDefault="00C546D8" w:rsidP="00A05E88">
            <w:pPr>
              <w:pStyle w:val="Sub-header"/>
              <w:jc w:val="center"/>
              <w:rPr>
                <w:sz w:val="19"/>
                <w:szCs w:val="19"/>
              </w:rPr>
            </w:pPr>
          </w:p>
        </w:tc>
        <w:tc>
          <w:tcPr>
            <w:tcW w:w="1584" w:type="dxa"/>
          </w:tcPr>
          <w:p w14:paraId="3ECF9646" w14:textId="77777777" w:rsidR="00C546D8" w:rsidRPr="00362407" w:rsidRDefault="00C546D8" w:rsidP="00C546D8">
            <w:pPr>
              <w:tabs>
                <w:tab w:val="decimal" w:pos="1424"/>
              </w:tabs>
              <w:ind w:right="-144"/>
              <w:jc w:val="both"/>
              <w:rPr>
                <w:rFonts w:cs="Arial"/>
                <w:sz w:val="19"/>
                <w:szCs w:val="19"/>
                <w:u w:val="single"/>
              </w:rPr>
            </w:pPr>
          </w:p>
        </w:tc>
        <w:tc>
          <w:tcPr>
            <w:tcW w:w="1584" w:type="dxa"/>
          </w:tcPr>
          <w:p w14:paraId="3CC4CDDA" w14:textId="77777777" w:rsidR="00C546D8" w:rsidRPr="00362407" w:rsidRDefault="00C546D8" w:rsidP="00C546D8">
            <w:pPr>
              <w:tabs>
                <w:tab w:val="decimal" w:pos="1424"/>
              </w:tabs>
              <w:ind w:right="-144"/>
              <w:jc w:val="both"/>
              <w:rPr>
                <w:rFonts w:cs="Arial"/>
                <w:sz w:val="19"/>
                <w:szCs w:val="19"/>
                <w:u w:val="single"/>
              </w:rPr>
            </w:pPr>
          </w:p>
        </w:tc>
      </w:tr>
      <w:tr w:rsidR="00873A9C" w:rsidRPr="00670755" w14:paraId="38269CB2" w14:textId="77777777" w:rsidTr="7821F417">
        <w:tc>
          <w:tcPr>
            <w:tcW w:w="5184" w:type="dxa"/>
          </w:tcPr>
          <w:p w14:paraId="3013FDE0" w14:textId="77777777" w:rsidR="00873A9C" w:rsidRPr="00362407" w:rsidRDefault="00873A9C" w:rsidP="00873A9C">
            <w:pPr>
              <w:ind w:right="-144"/>
              <w:jc w:val="both"/>
              <w:rPr>
                <w:rFonts w:cs="Arial"/>
                <w:b/>
                <w:sz w:val="19"/>
                <w:szCs w:val="19"/>
              </w:rPr>
            </w:pPr>
            <w:r w:rsidRPr="00362407">
              <w:rPr>
                <w:rFonts w:cs="Arial"/>
                <w:b/>
                <w:sz w:val="19"/>
                <w:szCs w:val="19"/>
              </w:rPr>
              <w:t>Total equity</w:t>
            </w:r>
          </w:p>
        </w:tc>
        <w:tc>
          <w:tcPr>
            <w:tcW w:w="668" w:type="dxa"/>
          </w:tcPr>
          <w:p w14:paraId="09FF49E1" w14:textId="77777777" w:rsidR="00873A9C" w:rsidRPr="00362407" w:rsidRDefault="00873A9C" w:rsidP="00A05E88">
            <w:pPr>
              <w:pStyle w:val="Sub-header"/>
              <w:jc w:val="center"/>
              <w:rPr>
                <w:sz w:val="19"/>
                <w:szCs w:val="19"/>
              </w:rPr>
            </w:pPr>
          </w:p>
        </w:tc>
        <w:tc>
          <w:tcPr>
            <w:tcW w:w="1584" w:type="dxa"/>
          </w:tcPr>
          <w:p w14:paraId="21C1E580" w14:textId="449F3017" w:rsidR="00873A9C" w:rsidRPr="00362407" w:rsidRDefault="000E685C" w:rsidP="00873A9C">
            <w:pPr>
              <w:tabs>
                <w:tab w:val="decimal" w:pos="1424"/>
              </w:tabs>
              <w:ind w:right="-144"/>
              <w:jc w:val="both"/>
              <w:rPr>
                <w:rFonts w:cs="Arial"/>
                <w:b/>
                <w:bCs/>
                <w:sz w:val="19"/>
                <w:szCs w:val="19"/>
              </w:rPr>
            </w:pPr>
            <w:r>
              <w:rPr>
                <w:rFonts w:cs="Arial"/>
                <w:b/>
                <w:bCs/>
                <w:sz w:val="19"/>
                <w:szCs w:val="19"/>
              </w:rPr>
              <w:t>748,</w:t>
            </w:r>
            <w:r w:rsidR="002162F9">
              <w:rPr>
                <w:rFonts w:cs="Arial"/>
                <w:b/>
                <w:bCs/>
                <w:sz w:val="19"/>
                <w:szCs w:val="19"/>
              </w:rPr>
              <w:t>355</w:t>
            </w:r>
          </w:p>
        </w:tc>
        <w:tc>
          <w:tcPr>
            <w:tcW w:w="1584" w:type="dxa"/>
          </w:tcPr>
          <w:p w14:paraId="268E3226" w14:textId="590C7999" w:rsidR="00873A9C" w:rsidRPr="00873A9C" w:rsidRDefault="00873A9C" w:rsidP="00873A9C">
            <w:pPr>
              <w:tabs>
                <w:tab w:val="decimal" w:pos="1424"/>
              </w:tabs>
              <w:ind w:right="-144"/>
              <w:jc w:val="both"/>
              <w:rPr>
                <w:rFonts w:cs="Arial"/>
                <w:bCs/>
                <w:sz w:val="19"/>
                <w:szCs w:val="19"/>
              </w:rPr>
            </w:pPr>
            <w:r w:rsidRPr="00873A9C">
              <w:rPr>
                <w:rFonts w:cs="Arial"/>
                <w:bCs/>
                <w:szCs w:val="20"/>
              </w:rPr>
              <w:t>751,170</w:t>
            </w:r>
          </w:p>
        </w:tc>
      </w:tr>
      <w:tr w:rsidR="00873A9C" w:rsidRPr="00670755" w14:paraId="74B842E9" w14:textId="77777777" w:rsidTr="7821F417">
        <w:tc>
          <w:tcPr>
            <w:tcW w:w="5184" w:type="dxa"/>
          </w:tcPr>
          <w:p w14:paraId="3C5617AE" w14:textId="77777777" w:rsidR="00873A9C" w:rsidRPr="00362407" w:rsidRDefault="00873A9C" w:rsidP="00873A9C">
            <w:pPr>
              <w:ind w:right="-144"/>
              <w:jc w:val="both"/>
              <w:rPr>
                <w:rFonts w:cs="Arial"/>
                <w:b/>
                <w:sz w:val="19"/>
                <w:szCs w:val="19"/>
              </w:rPr>
            </w:pPr>
          </w:p>
        </w:tc>
        <w:tc>
          <w:tcPr>
            <w:tcW w:w="668" w:type="dxa"/>
          </w:tcPr>
          <w:p w14:paraId="4DD73ED5" w14:textId="77777777" w:rsidR="00873A9C" w:rsidRPr="00362407" w:rsidRDefault="00873A9C" w:rsidP="00A05E88">
            <w:pPr>
              <w:pStyle w:val="Sub-header"/>
              <w:jc w:val="center"/>
              <w:rPr>
                <w:sz w:val="19"/>
                <w:szCs w:val="19"/>
              </w:rPr>
            </w:pPr>
          </w:p>
        </w:tc>
        <w:tc>
          <w:tcPr>
            <w:tcW w:w="1584" w:type="dxa"/>
          </w:tcPr>
          <w:p w14:paraId="55925C4D" w14:textId="77777777" w:rsidR="00873A9C" w:rsidRPr="00362407" w:rsidRDefault="00873A9C" w:rsidP="00873A9C">
            <w:pPr>
              <w:tabs>
                <w:tab w:val="decimal" w:pos="1424"/>
              </w:tabs>
              <w:ind w:right="-144"/>
              <w:jc w:val="both"/>
              <w:rPr>
                <w:rFonts w:cs="Arial"/>
                <w:sz w:val="19"/>
                <w:szCs w:val="19"/>
                <w:u w:val="single"/>
              </w:rPr>
            </w:pPr>
            <w:r w:rsidRPr="00362407">
              <w:rPr>
                <w:rFonts w:cs="Arial"/>
                <w:sz w:val="19"/>
                <w:szCs w:val="19"/>
                <w:u w:val="single"/>
              </w:rPr>
              <w:t>                  </w:t>
            </w:r>
          </w:p>
        </w:tc>
        <w:tc>
          <w:tcPr>
            <w:tcW w:w="1584" w:type="dxa"/>
          </w:tcPr>
          <w:p w14:paraId="6AEBD787" w14:textId="4619F48B" w:rsidR="00873A9C" w:rsidRPr="00362407" w:rsidRDefault="00873A9C" w:rsidP="00873A9C">
            <w:pPr>
              <w:tabs>
                <w:tab w:val="decimal" w:pos="1424"/>
              </w:tabs>
              <w:ind w:right="-144"/>
              <w:jc w:val="both"/>
              <w:rPr>
                <w:rFonts w:cs="Arial"/>
                <w:sz w:val="19"/>
                <w:szCs w:val="19"/>
                <w:u w:val="single"/>
              </w:rPr>
            </w:pPr>
            <w:r w:rsidRPr="00362407">
              <w:rPr>
                <w:rFonts w:cs="Arial"/>
                <w:sz w:val="19"/>
                <w:szCs w:val="19"/>
                <w:u w:val="single"/>
              </w:rPr>
              <w:t>                  </w:t>
            </w:r>
          </w:p>
        </w:tc>
      </w:tr>
      <w:tr w:rsidR="00873A9C" w:rsidRPr="00670755" w14:paraId="7C09E20A" w14:textId="77777777" w:rsidTr="7821F417">
        <w:tc>
          <w:tcPr>
            <w:tcW w:w="5184" w:type="dxa"/>
          </w:tcPr>
          <w:p w14:paraId="5BEBE200" w14:textId="77777777" w:rsidR="00873A9C" w:rsidRPr="00362407" w:rsidRDefault="00873A9C" w:rsidP="00873A9C">
            <w:pPr>
              <w:ind w:right="-144"/>
              <w:jc w:val="both"/>
              <w:rPr>
                <w:rFonts w:cs="Arial"/>
                <w:b/>
                <w:sz w:val="19"/>
                <w:szCs w:val="19"/>
              </w:rPr>
            </w:pPr>
            <w:r w:rsidRPr="00362407">
              <w:rPr>
                <w:rFonts w:cs="Arial"/>
                <w:b/>
                <w:sz w:val="19"/>
                <w:szCs w:val="19"/>
              </w:rPr>
              <w:t>Liabilities</w:t>
            </w:r>
          </w:p>
        </w:tc>
        <w:tc>
          <w:tcPr>
            <w:tcW w:w="668" w:type="dxa"/>
          </w:tcPr>
          <w:p w14:paraId="0349EF7F" w14:textId="77777777" w:rsidR="00873A9C" w:rsidRPr="00362407" w:rsidRDefault="00873A9C" w:rsidP="00A05E88">
            <w:pPr>
              <w:pStyle w:val="Sub-header"/>
              <w:jc w:val="center"/>
              <w:rPr>
                <w:sz w:val="19"/>
                <w:szCs w:val="19"/>
                <w:u w:val="single"/>
              </w:rPr>
            </w:pPr>
          </w:p>
        </w:tc>
        <w:tc>
          <w:tcPr>
            <w:tcW w:w="1584" w:type="dxa"/>
          </w:tcPr>
          <w:p w14:paraId="46759847" w14:textId="77777777" w:rsidR="00873A9C" w:rsidRPr="00362407" w:rsidRDefault="00873A9C" w:rsidP="00873A9C">
            <w:pPr>
              <w:tabs>
                <w:tab w:val="decimal" w:pos="1424"/>
              </w:tabs>
              <w:ind w:right="-144"/>
              <w:jc w:val="both"/>
              <w:rPr>
                <w:rFonts w:cs="Arial"/>
                <w:sz w:val="19"/>
                <w:szCs w:val="19"/>
              </w:rPr>
            </w:pPr>
          </w:p>
        </w:tc>
        <w:tc>
          <w:tcPr>
            <w:tcW w:w="1584" w:type="dxa"/>
          </w:tcPr>
          <w:p w14:paraId="285FBE07" w14:textId="77777777" w:rsidR="00873A9C" w:rsidRPr="00362407" w:rsidRDefault="00873A9C" w:rsidP="00873A9C">
            <w:pPr>
              <w:tabs>
                <w:tab w:val="decimal" w:pos="1424"/>
              </w:tabs>
              <w:ind w:right="-144"/>
              <w:jc w:val="both"/>
              <w:rPr>
                <w:rFonts w:cs="Arial"/>
                <w:sz w:val="19"/>
                <w:szCs w:val="19"/>
              </w:rPr>
            </w:pPr>
          </w:p>
        </w:tc>
      </w:tr>
      <w:tr w:rsidR="00873A9C" w:rsidRPr="00670755" w14:paraId="019FB2A6" w14:textId="77777777" w:rsidTr="7821F417">
        <w:tc>
          <w:tcPr>
            <w:tcW w:w="5184" w:type="dxa"/>
          </w:tcPr>
          <w:p w14:paraId="22318F1F" w14:textId="77777777" w:rsidR="00873A9C" w:rsidRPr="00362407" w:rsidRDefault="00873A9C" w:rsidP="00873A9C">
            <w:pPr>
              <w:ind w:right="-144"/>
              <w:jc w:val="both"/>
              <w:rPr>
                <w:rFonts w:cs="Arial"/>
                <w:b/>
                <w:sz w:val="19"/>
                <w:szCs w:val="19"/>
              </w:rPr>
            </w:pPr>
            <w:r w:rsidRPr="00362407">
              <w:rPr>
                <w:rFonts w:cs="Arial"/>
                <w:b/>
                <w:sz w:val="19"/>
                <w:szCs w:val="19"/>
              </w:rPr>
              <w:t>Non-current liabilities</w:t>
            </w:r>
          </w:p>
        </w:tc>
        <w:tc>
          <w:tcPr>
            <w:tcW w:w="668" w:type="dxa"/>
          </w:tcPr>
          <w:p w14:paraId="624C6AE8" w14:textId="77777777" w:rsidR="00873A9C" w:rsidRPr="00362407" w:rsidRDefault="00873A9C" w:rsidP="00A05E88">
            <w:pPr>
              <w:pStyle w:val="Sub-header"/>
              <w:jc w:val="center"/>
              <w:rPr>
                <w:sz w:val="19"/>
                <w:szCs w:val="19"/>
              </w:rPr>
            </w:pPr>
          </w:p>
        </w:tc>
        <w:tc>
          <w:tcPr>
            <w:tcW w:w="1584" w:type="dxa"/>
          </w:tcPr>
          <w:p w14:paraId="28AE2D89" w14:textId="02CFE4C8" w:rsidR="00873A9C" w:rsidRPr="00362407" w:rsidRDefault="00873A9C" w:rsidP="00873A9C">
            <w:pPr>
              <w:tabs>
                <w:tab w:val="decimal" w:pos="1424"/>
              </w:tabs>
              <w:ind w:right="-144"/>
              <w:jc w:val="both"/>
              <w:rPr>
                <w:rFonts w:cs="Arial"/>
                <w:sz w:val="19"/>
                <w:szCs w:val="19"/>
              </w:rPr>
            </w:pPr>
          </w:p>
        </w:tc>
        <w:tc>
          <w:tcPr>
            <w:tcW w:w="1584" w:type="dxa"/>
          </w:tcPr>
          <w:p w14:paraId="3D159FC9" w14:textId="77777777" w:rsidR="00873A9C" w:rsidRPr="00362407" w:rsidRDefault="00873A9C" w:rsidP="00873A9C">
            <w:pPr>
              <w:tabs>
                <w:tab w:val="decimal" w:pos="1424"/>
              </w:tabs>
              <w:ind w:right="-144"/>
              <w:jc w:val="both"/>
              <w:rPr>
                <w:rFonts w:cs="Arial"/>
                <w:sz w:val="19"/>
                <w:szCs w:val="19"/>
              </w:rPr>
            </w:pPr>
          </w:p>
        </w:tc>
      </w:tr>
      <w:tr w:rsidR="00CE3296" w:rsidRPr="000708AB" w14:paraId="08A435B9" w14:textId="77777777" w:rsidTr="7821F417">
        <w:tc>
          <w:tcPr>
            <w:tcW w:w="5184" w:type="dxa"/>
          </w:tcPr>
          <w:p w14:paraId="569847B1" w14:textId="380C2AE5" w:rsidR="00CE3296" w:rsidRPr="00362407" w:rsidRDefault="00CE3296" w:rsidP="00CE3296">
            <w:pPr>
              <w:ind w:right="-144"/>
              <w:jc w:val="both"/>
              <w:rPr>
                <w:rFonts w:cs="Arial"/>
                <w:sz w:val="19"/>
                <w:szCs w:val="19"/>
              </w:rPr>
            </w:pPr>
            <w:r w:rsidRPr="00362407">
              <w:rPr>
                <w:rFonts w:cs="Arial"/>
                <w:sz w:val="19"/>
                <w:szCs w:val="19"/>
              </w:rPr>
              <w:t>Loans and borrowings</w:t>
            </w:r>
          </w:p>
        </w:tc>
        <w:tc>
          <w:tcPr>
            <w:tcW w:w="668" w:type="dxa"/>
          </w:tcPr>
          <w:p w14:paraId="2B03261F" w14:textId="08ADEF1E" w:rsidR="00CE3296" w:rsidRPr="00362407" w:rsidRDefault="00CE3296" w:rsidP="00A05E88">
            <w:pPr>
              <w:pStyle w:val="Sub-header"/>
              <w:jc w:val="center"/>
              <w:rPr>
                <w:sz w:val="19"/>
                <w:szCs w:val="19"/>
              </w:rPr>
            </w:pPr>
            <w:r w:rsidRPr="00362407">
              <w:rPr>
                <w:sz w:val="19"/>
                <w:szCs w:val="19"/>
              </w:rPr>
              <w:t>14</w:t>
            </w:r>
          </w:p>
        </w:tc>
        <w:tc>
          <w:tcPr>
            <w:tcW w:w="1584" w:type="dxa"/>
          </w:tcPr>
          <w:p w14:paraId="32DA3E6A" w14:textId="3B2E3B0E" w:rsidR="00CE3296" w:rsidRPr="00362407" w:rsidRDefault="000E685C" w:rsidP="00CE3296">
            <w:pPr>
              <w:tabs>
                <w:tab w:val="decimal" w:pos="1424"/>
              </w:tabs>
              <w:ind w:right="-144"/>
              <w:jc w:val="both"/>
              <w:rPr>
                <w:rFonts w:cs="Arial"/>
                <w:b/>
                <w:bCs/>
                <w:sz w:val="19"/>
                <w:szCs w:val="19"/>
              </w:rPr>
            </w:pPr>
            <w:r>
              <w:rPr>
                <w:rFonts w:cs="Arial"/>
                <w:b/>
                <w:bCs/>
                <w:sz w:val="19"/>
                <w:szCs w:val="19"/>
              </w:rPr>
              <w:t>315,635</w:t>
            </w:r>
          </w:p>
        </w:tc>
        <w:tc>
          <w:tcPr>
            <w:tcW w:w="1584" w:type="dxa"/>
          </w:tcPr>
          <w:p w14:paraId="79994976" w14:textId="106C9010" w:rsidR="00CE3296" w:rsidRPr="00CE3296" w:rsidRDefault="00CE3296" w:rsidP="00CE3296">
            <w:pPr>
              <w:tabs>
                <w:tab w:val="decimal" w:pos="1424"/>
              </w:tabs>
              <w:ind w:right="-144"/>
              <w:jc w:val="both"/>
              <w:rPr>
                <w:rFonts w:cs="Arial"/>
                <w:bCs/>
                <w:sz w:val="19"/>
                <w:szCs w:val="19"/>
              </w:rPr>
            </w:pPr>
            <w:r w:rsidRPr="00CE3296">
              <w:rPr>
                <w:rFonts w:cs="Arial"/>
                <w:bCs/>
                <w:szCs w:val="20"/>
              </w:rPr>
              <w:t>235,039</w:t>
            </w:r>
          </w:p>
        </w:tc>
      </w:tr>
      <w:tr w:rsidR="00CE3296" w:rsidRPr="000708AB" w14:paraId="4E6DFDD4" w14:textId="77777777" w:rsidTr="7821F417">
        <w:tc>
          <w:tcPr>
            <w:tcW w:w="5184" w:type="dxa"/>
          </w:tcPr>
          <w:p w14:paraId="5F71350D" w14:textId="29DFE655" w:rsidR="00CE3296" w:rsidRPr="00362407" w:rsidRDefault="00CE3296" w:rsidP="00CE3296">
            <w:pPr>
              <w:ind w:right="-144"/>
              <w:jc w:val="both"/>
              <w:rPr>
                <w:rFonts w:cs="Arial"/>
                <w:sz w:val="19"/>
                <w:szCs w:val="19"/>
              </w:rPr>
            </w:pPr>
            <w:r w:rsidRPr="00362407">
              <w:rPr>
                <w:rFonts w:cs="Arial"/>
                <w:sz w:val="19"/>
                <w:szCs w:val="19"/>
              </w:rPr>
              <w:t>Lease liabilities</w:t>
            </w:r>
          </w:p>
        </w:tc>
        <w:tc>
          <w:tcPr>
            <w:tcW w:w="668" w:type="dxa"/>
          </w:tcPr>
          <w:p w14:paraId="150D18CE" w14:textId="77777777" w:rsidR="00CE3296" w:rsidRPr="00362407" w:rsidRDefault="00CE3296" w:rsidP="00A05E88">
            <w:pPr>
              <w:pStyle w:val="Sub-header"/>
              <w:jc w:val="center"/>
              <w:rPr>
                <w:sz w:val="19"/>
                <w:szCs w:val="19"/>
              </w:rPr>
            </w:pPr>
          </w:p>
        </w:tc>
        <w:tc>
          <w:tcPr>
            <w:tcW w:w="1584" w:type="dxa"/>
          </w:tcPr>
          <w:p w14:paraId="327D4B96" w14:textId="3DD867F6" w:rsidR="00CE3296" w:rsidRPr="00362407" w:rsidRDefault="000E685C" w:rsidP="00CE3296">
            <w:pPr>
              <w:tabs>
                <w:tab w:val="decimal" w:pos="1424"/>
              </w:tabs>
              <w:ind w:right="-144"/>
              <w:jc w:val="both"/>
              <w:rPr>
                <w:rFonts w:cs="Arial"/>
                <w:b/>
                <w:bCs/>
                <w:sz w:val="19"/>
                <w:szCs w:val="19"/>
              </w:rPr>
            </w:pPr>
            <w:r>
              <w:rPr>
                <w:rFonts w:cs="Arial"/>
                <w:b/>
                <w:bCs/>
                <w:sz w:val="19"/>
                <w:szCs w:val="19"/>
              </w:rPr>
              <w:t>3,096</w:t>
            </w:r>
          </w:p>
        </w:tc>
        <w:tc>
          <w:tcPr>
            <w:tcW w:w="1584" w:type="dxa"/>
          </w:tcPr>
          <w:p w14:paraId="0BC98E8A" w14:textId="2CA581B7" w:rsidR="00CE3296" w:rsidRPr="00CE3296" w:rsidRDefault="00CE3296" w:rsidP="00CE3296">
            <w:pPr>
              <w:tabs>
                <w:tab w:val="decimal" w:pos="1424"/>
              </w:tabs>
              <w:ind w:right="-144"/>
              <w:jc w:val="both"/>
              <w:rPr>
                <w:rFonts w:cs="Arial"/>
                <w:bCs/>
                <w:sz w:val="19"/>
                <w:szCs w:val="19"/>
              </w:rPr>
            </w:pPr>
            <w:r w:rsidRPr="00CE3296">
              <w:rPr>
                <w:rFonts w:cs="Arial"/>
                <w:bCs/>
                <w:szCs w:val="20"/>
              </w:rPr>
              <w:t>3,136</w:t>
            </w:r>
          </w:p>
        </w:tc>
      </w:tr>
      <w:tr w:rsidR="00CE3296" w:rsidRPr="000708AB" w14:paraId="5D1999C5" w14:textId="77777777" w:rsidTr="7821F417">
        <w:tc>
          <w:tcPr>
            <w:tcW w:w="5184" w:type="dxa"/>
          </w:tcPr>
          <w:p w14:paraId="790A167F" w14:textId="35CB4EE6" w:rsidR="00CE3296" w:rsidRPr="00362407" w:rsidRDefault="00CE3296" w:rsidP="00CE3296">
            <w:pPr>
              <w:ind w:right="-144"/>
              <w:jc w:val="both"/>
              <w:rPr>
                <w:rFonts w:cs="Arial"/>
                <w:sz w:val="19"/>
                <w:szCs w:val="19"/>
              </w:rPr>
            </w:pPr>
            <w:r>
              <w:rPr>
                <w:rFonts w:cs="Arial"/>
                <w:sz w:val="19"/>
                <w:szCs w:val="19"/>
              </w:rPr>
              <w:t>Derivative contracts</w:t>
            </w:r>
          </w:p>
        </w:tc>
        <w:tc>
          <w:tcPr>
            <w:tcW w:w="668" w:type="dxa"/>
          </w:tcPr>
          <w:p w14:paraId="130E02D2" w14:textId="77777777" w:rsidR="00CE3296" w:rsidRPr="00362407" w:rsidRDefault="00CE3296" w:rsidP="00A05E88">
            <w:pPr>
              <w:pStyle w:val="Sub-header"/>
              <w:jc w:val="center"/>
              <w:rPr>
                <w:sz w:val="19"/>
                <w:szCs w:val="19"/>
              </w:rPr>
            </w:pPr>
          </w:p>
        </w:tc>
        <w:tc>
          <w:tcPr>
            <w:tcW w:w="1584" w:type="dxa"/>
          </w:tcPr>
          <w:p w14:paraId="1B8EEF5C" w14:textId="6430EBEB" w:rsidR="00CE3296" w:rsidRPr="00362407" w:rsidRDefault="000E685C" w:rsidP="00CE3296">
            <w:pPr>
              <w:tabs>
                <w:tab w:val="decimal" w:pos="1424"/>
              </w:tabs>
              <w:ind w:right="-144"/>
              <w:jc w:val="both"/>
              <w:rPr>
                <w:rFonts w:cs="Arial"/>
                <w:b/>
                <w:bCs/>
                <w:sz w:val="19"/>
                <w:szCs w:val="19"/>
              </w:rPr>
            </w:pPr>
            <w:r>
              <w:rPr>
                <w:rFonts w:cs="Arial"/>
                <w:b/>
                <w:bCs/>
                <w:sz w:val="19"/>
                <w:szCs w:val="19"/>
              </w:rPr>
              <w:t>1,370</w:t>
            </w:r>
          </w:p>
        </w:tc>
        <w:tc>
          <w:tcPr>
            <w:tcW w:w="1584" w:type="dxa"/>
          </w:tcPr>
          <w:p w14:paraId="55815152" w14:textId="6DD84EC8" w:rsidR="00CE3296" w:rsidRPr="00CE3296" w:rsidRDefault="00CE3296" w:rsidP="00CE3296">
            <w:pPr>
              <w:tabs>
                <w:tab w:val="decimal" w:pos="1424"/>
              </w:tabs>
              <w:ind w:right="-144"/>
              <w:jc w:val="both"/>
              <w:rPr>
                <w:rFonts w:cs="Arial"/>
                <w:bCs/>
                <w:sz w:val="19"/>
                <w:szCs w:val="19"/>
              </w:rPr>
            </w:pPr>
            <w:r w:rsidRPr="00CE3296">
              <w:rPr>
                <w:rFonts w:cs="Arial"/>
                <w:bCs/>
                <w:szCs w:val="20"/>
              </w:rPr>
              <w:t>1,576</w:t>
            </w:r>
          </w:p>
        </w:tc>
      </w:tr>
      <w:tr w:rsidR="00873A9C" w:rsidRPr="00670755" w14:paraId="1C3071AA" w14:textId="77777777" w:rsidTr="7821F417">
        <w:tc>
          <w:tcPr>
            <w:tcW w:w="5184" w:type="dxa"/>
          </w:tcPr>
          <w:p w14:paraId="6CAF829B" w14:textId="77777777" w:rsidR="00873A9C" w:rsidRPr="00362407" w:rsidRDefault="00873A9C" w:rsidP="00873A9C">
            <w:pPr>
              <w:ind w:right="-144"/>
              <w:jc w:val="both"/>
              <w:rPr>
                <w:rFonts w:cs="Arial"/>
                <w:sz w:val="19"/>
                <w:szCs w:val="19"/>
              </w:rPr>
            </w:pPr>
          </w:p>
        </w:tc>
        <w:tc>
          <w:tcPr>
            <w:tcW w:w="668" w:type="dxa"/>
          </w:tcPr>
          <w:p w14:paraId="24327749" w14:textId="77777777" w:rsidR="00873A9C" w:rsidRPr="00362407" w:rsidRDefault="00873A9C" w:rsidP="00A05E88">
            <w:pPr>
              <w:pStyle w:val="Sub-header"/>
              <w:jc w:val="center"/>
              <w:rPr>
                <w:sz w:val="19"/>
                <w:szCs w:val="19"/>
              </w:rPr>
            </w:pPr>
          </w:p>
        </w:tc>
        <w:tc>
          <w:tcPr>
            <w:tcW w:w="1584" w:type="dxa"/>
          </w:tcPr>
          <w:p w14:paraId="3F16F27A" w14:textId="050F9A7D" w:rsidR="00873A9C" w:rsidRPr="00362407" w:rsidRDefault="00873A9C" w:rsidP="00873A9C">
            <w:pPr>
              <w:tabs>
                <w:tab w:val="decimal" w:pos="1424"/>
              </w:tabs>
              <w:ind w:right="-144"/>
              <w:jc w:val="both"/>
              <w:rPr>
                <w:rFonts w:cs="Arial"/>
                <w:sz w:val="19"/>
                <w:szCs w:val="19"/>
                <w:u w:val="single"/>
              </w:rPr>
            </w:pPr>
            <w:r w:rsidRPr="00362407">
              <w:rPr>
                <w:rFonts w:cs="Arial"/>
                <w:sz w:val="19"/>
                <w:szCs w:val="19"/>
                <w:u w:val="single"/>
              </w:rPr>
              <w:t>                  </w:t>
            </w:r>
          </w:p>
        </w:tc>
        <w:tc>
          <w:tcPr>
            <w:tcW w:w="1584" w:type="dxa"/>
          </w:tcPr>
          <w:p w14:paraId="6E610CAE" w14:textId="412E5C51" w:rsidR="00873A9C" w:rsidRPr="00362407" w:rsidRDefault="00873A9C" w:rsidP="00873A9C">
            <w:pPr>
              <w:tabs>
                <w:tab w:val="decimal" w:pos="1424"/>
              </w:tabs>
              <w:ind w:right="-144"/>
              <w:jc w:val="both"/>
              <w:rPr>
                <w:rFonts w:cs="Arial"/>
                <w:sz w:val="19"/>
                <w:szCs w:val="19"/>
                <w:u w:val="single"/>
              </w:rPr>
            </w:pPr>
            <w:r w:rsidRPr="00362407">
              <w:rPr>
                <w:rFonts w:cs="Arial"/>
                <w:sz w:val="19"/>
                <w:szCs w:val="19"/>
                <w:u w:val="single"/>
              </w:rPr>
              <w:t>                  </w:t>
            </w:r>
          </w:p>
        </w:tc>
      </w:tr>
      <w:tr w:rsidR="00873A9C" w:rsidRPr="00670755" w14:paraId="2EADA0B3" w14:textId="77777777" w:rsidTr="00E3754E">
        <w:trPr>
          <w:trHeight w:val="190"/>
        </w:trPr>
        <w:tc>
          <w:tcPr>
            <w:tcW w:w="5184" w:type="dxa"/>
          </w:tcPr>
          <w:p w14:paraId="09854361" w14:textId="77777777" w:rsidR="00873A9C" w:rsidRPr="00E3754E" w:rsidRDefault="00873A9C" w:rsidP="00873A9C">
            <w:pPr>
              <w:ind w:right="-144"/>
              <w:jc w:val="both"/>
              <w:rPr>
                <w:rFonts w:cs="Arial"/>
                <w:sz w:val="18"/>
                <w:szCs w:val="18"/>
              </w:rPr>
            </w:pPr>
          </w:p>
        </w:tc>
        <w:tc>
          <w:tcPr>
            <w:tcW w:w="668" w:type="dxa"/>
          </w:tcPr>
          <w:p w14:paraId="587691B1" w14:textId="77777777" w:rsidR="00873A9C" w:rsidRPr="00362407" w:rsidRDefault="00873A9C" w:rsidP="00A05E88">
            <w:pPr>
              <w:pStyle w:val="Sub-header"/>
              <w:jc w:val="center"/>
              <w:rPr>
                <w:sz w:val="19"/>
                <w:szCs w:val="19"/>
              </w:rPr>
            </w:pPr>
          </w:p>
        </w:tc>
        <w:tc>
          <w:tcPr>
            <w:tcW w:w="1584" w:type="dxa"/>
          </w:tcPr>
          <w:p w14:paraId="57C008A5" w14:textId="77777777" w:rsidR="00873A9C" w:rsidRPr="00362407" w:rsidRDefault="00873A9C" w:rsidP="00873A9C">
            <w:pPr>
              <w:tabs>
                <w:tab w:val="decimal" w:pos="1424"/>
              </w:tabs>
              <w:ind w:right="-144"/>
              <w:jc w:val="both"/>
              <w:rPr>
                <w:rFonts w:cs="Arial"/>
                <w:sz w:val="19"/>
                <w:szCs w:val="19"/>
                <w:u w:val="single"/>
              </w:rPr>
            </w:pPr>
          </w:p>
        </w:tc>
        <w:tc>
          <w:tcPr>
            <w:tcW w:w="1584" w:type="dxa"/>
          </w:tcPr>
          <w:p w14:paraId="7D187782" w14:textId="77777777" w:rsidR="00873A9C" w:rsidRPr="00362407" w:rsidRDefault="00873A9C" w:rsidP="00873A9C">
            <w:pPr>
              <w:tabs>
                <w:tab w:val="decimal" w:pos="1424"/>
              </w:tabs>
              <w:ind w:right="-144"/>
              <w:jc w:val="both"/>
              <w:rPr>
                <w:rFonts w:cs="Arial"/>
                <w:sz w:val="19"/>
                <w:szCs w:val="19"/>
                <w:u w:val="single"/>
              </w:rPr>
            </w:pPr>
          </w:p>
        </w:tc>
      </w:tr>
      <w:tr w:rsidR="00873A9C" w:rsidRPr="00670755" w14:paraId="15B3AD58" w14:textId="77777777" w:rsidTr="7821F417">
        <w:tc>
          <w:tcPr>
            <w:tcW w:w="5184" w:type="dxa"/>
          </w:tcPr>
          <w:p w14:paraId="55FAD136" w14:textId="77777777" w:rsidR="00873A9C" w:rsidRPr="00362407" w:rsidRDefault="00873A9C" w:rsidP="00873A9C">
            <w:pPr>
              <w:ind w:right="-144"/>
              <w:jc w:val="both"/>
              <w:rPr>
                <w:rFonts w:cs="Arial"/>
                <w:sz w:val="19"/>
                <w:szCs w:val="19"/>
              </w:rPr>
            </w:pPr>
          </w:p>
        </w:tc>
        <w:tc>
          <w:tcPr>
            <w:tcW w:w="668" w:type="dxa"/>
          </w:tcPr>
          <w:p w14:paraId="1238EAD3" w14:textId="77777777" w:rsidR="00873A9C" w:rsidRPr="00362407" w:rsidRDefault="00873A9C" w:rsidP="00A05E88">
            <w:pPr>
              <w:pStyle w:val="Sub-header"/>
              <w:jc w:val="center"/>
              <w:rPr>
                <w:sz w:val="19"/>
                <w:szCs w:val="19"/>
              </w:rPr>
            </w:pPr>
          </w:p>
        </w:tc>
        <w:tc>
          <w:tcPr>
            <w:tcW w:w="1584" w:type="dxa"/>
          </w:tcPr>
          <w:p w14:paraId="2C954AD7" w14:textId="390F37B6" w:rsidR="00873A9C" w:rsidRPr="00362407" w:rsidRDefault="009C3C7F" w:rsidP="00873A9C">
            <w:pPr>
              <w:tabs>
                <w:tab w:val="decimal" w:pos="1424"/>
              </w:tabs>
              <w:ind w:right="-144"/>
              <w:jc w:val="both"/>
              <w:rPr>
                <w:rFonts w:cs="Arial"/>
                <w:b/>
                <w:bCs/>
                <w:sz w:val="19"/>
                <w:szCs w:val="19"/>
              </w:rPr>
            </w:pPr>
            <w:r>
              <w:rPr>
                <w:rFonts w:cs="Arial"/>
                <w:b/>
                <w:bCs/>
                <w:sz w:val="19"/>
                <w:szCs w:val="19"/>
              </w:rPr>
              <w:t>320,101</w:t>
            </w:r>
          </w:p>
        </w:tc>
        <w:tc>
          <w:tcPr>
            <w:tcW w:w="1584" w:type="dxa"/>
          </w:tcPr>
          <w:p w14:paraId="7664D7B2" w14:textId="56D4389F" w:rsidR="00873A9C" w:rsidRPr="007903F5" w:rsidRDefault="007903F5" w:rsidP="00873A9C">
            <w:pPr>
              <w:tabs>
                <w:tab w:val="decimal" w:pos="1424"/>
              </w:tabs>
              <w:ind w:right="-144"/>
              <w:jc w:val="both"/>
              <w:rPr>
                <w:rFonts w:cs="Arial"/>
                <w:bCs/>
                <w:sz w:val="19"/>
                <w:szCs w:val="19"/>
              </w:rPr>
            </w:pPr>
            <w:r w:rsidRPr="007903F5">
              <w:rPr>
                <w:rFonts w:cs="Arial"/>
                <w:bCs/>
                <w:szCs w:val="20"/>
              </w:rPr>
              <w:t>239,751</w:t>
            </w:r>
          </w:p>
        </w:tc>
      </w:tr>
      <w:tr w:rsidR="00873A9C" w:rsidRPr="00670755" w14:paraId="1BAF5805" w14:textId="77777777" w:rsidTr="7821F417">
        <w:tc>
          <w:tcPr>
            <w:tcW w:w="5184" w:type="dxa"/>
          </w:tcPr>
          <w:p w14:paraId="290DCF2E" w14:textId="77777777" w:rsidR="00873A9C" w:rsidRPr="00362407" w:rsidRDefault="00873A9C" w:rsidP="00873A9C">
            <w:pPr>
              <w:ind w:right="-144"/>
              <w:jc w:val="both"/>
              <w:rPr>
                <w:rFonts w:cs="Arial"/>
                <w:sz w:val="19"/>
                <w:szCs w:val="19"/>
              </w:rPr>
            </w:pPr>
          </w:p>
        </w:tc>
        <w:tc>
          <w:tcPr>
            <w:tcW w:w="668" w:type="dxa"/>
          </w:tcPr>
          <w:p w14:paraId="11D1D2C2" w14:textId="77777777" w:rsidR="00873A9C" w:rsidRPr="00362407" w:rsidRDefault="00873A9C" w:rsidP="00A05E88">
            <w:pPr>
              <w:pStyle w:val="Sub-header"/>
              <w:jc w:val="center"/>
              <w:rPr>
                <w:sz w:val="19"/>
                <w:szCs w:val="19"/>
              </w:rPr>
            </w:pPr>
          </w:p>
        </w:tc>
        <w:tc>
          <w:tcPr>
            <w:tcW w:w="1584" w:type="dxa"/>
          </w:tcPr>
          <w:p w14:paraId="398F150C" w14:textId="77777777" w:rsidR="00873A9C" w:rsidRPr="00362407" w:rsidRDefault="00873A9C" w:rsidP="00873A9C">
            <w:pPr>
              <w:tabs>
                <w:tab w:val="decimal" w:pos="1424"/>
              </w:tabs>
              <w:ind w:right="-144"/>
              <w:jc w:val="both"/>
              <w:rPr>
                <w:rFonts w:cs="Arial"/>
                <w:b/>
                <w:sz w:val="19"/>
                <w:szCs w:val="19"/>
              </w:rPr>
            </w:pPr>
            <w:r w:rsidRPr="00362407">
              <w:rPr>
                <w:rFonts w:cs="Arial"/>
                <w:sz w:val="19"/>
                <w:szCs w:val="19"/>
                <w:u w:val="single"/>
              </w:rPr>
              <w:t>                  </w:t>
            </w:r>
          </w:p>
        </w:tc>
        <w:tc>
          <w:tcPr>
            <w:tcW w:w="1584" w:type="dxa"/>
          </w:tcPr>
          <w:p w14:paraId="41274C85" w14:textId="0605568A" w:rsidR="00873A9C" w:rsidRPr="00362407" w:rsidRDefault="00873A9C" w:rsidP="00873A9C">
            <w:pPr>
              <w:tabs>
                <w:tab w:val="decimal" w:pos="1424"/>
              </w:tabs>
              <w:ind w:right="-144"/>
              <w:jc w:val="both"/>
              <w:rPr>
                <w:rFonts w:cs="Arial"/>
                <w:sz w:val="19"/>
                <w:szCs w:val="19"/>
                <w:u w:val="single"/>
              </w:rPr>
            </w:pPr>
            <w:r w:rsidRPr="00362407">
              <w:rPr>
                <w:rFonts w:cs="Arial"/>
                <w:sz w:val="19"/>
                <w:szCs w:val="19"/>
                <w:u w:val="single"/>
              </w:rPr>
              <w:t>                  </w:t>
            </w:r>
          </w:p>
        </w:tc>
      </w:tr>
      <w:tr w:rsidR="00873A9C" w:rsidRPr="00670755" w14:paraId="36C2B732" w14:textId="77777777" w:rsidTr="7821F417">
        <w:tc>
          <w:tcPr>
            <w:tcW w:w="5184" w:type="dxa"/>
          </w:tcPr>
          <w:p w14:paraId="30D07928" w14:textId="77777777" w:rsidR="00873A9C" w:rsidRPr="00362407" w:rsidRDefault="00873A9C" w:rsidP="00873A9C">
            <w:pPr>
              <w:ind w:right="-144"/>
              <w:jc w:val="both"/>
              <w:rPr>
                <w:rFonts w:cs="Arial"/>
                <w:b/>
                <w:sz w:val="19"/>
                <w:szCs w:val="19"/>
              </w:rPr>
            </w:pPr>
            <w:r w:rsidRPr="00362407">
              <w:rPr>
                <w:rFonts w:cs="Arial"/>
                <w:b/>
                <w:sz w:val="19"/>
                <w:szCs w:val="19"/>
              </w:rPr>
              <w:t>Current liabilities</w:t>
            </w:r>
          </w:p>
        </w:tc>
        <w:tc>
          <w:tcPr>
            <w:tcW w:w="668" w:type="dxa"/>
          </w:tcPr>
          <w:p w14:paraId="48C4B5FE" w14:textId="77777777" w:rsidR="00873A9C" w:rsidRPr="00362407" w:rsidRDefault="00873A9C" w:rsidP="00A05E88">
            <w:pPr>
              <w:pStyle w:val="Sub-header"/>
              <w:jc w:val="center"/>
              <w:rPr>
                <w:sz w:val="19"/>
                <w:szCs w:val="19"/>
              </w:rPr>
            </w:pPr>
          </w:p>
        </w:tc>
        <w:tc>
          <w:tcPr>
            <w:tcW w:w="1584" w:type="dxa"/>
          </w:tcPr>
          <w:p w14:paraId="3D86AF89" w14:textId="77777777" w:rsidR="00873A9C" w:rsidRPr="00362407" w:rsidRDefault="00873A9C" w:rsidP="00873A9C">
            <w:pPr>
              <w:tabs>
                <w:tab w:val="decimal" w:pos="1424"/>
              </w:tabs>
              <w:ind w:right="-144"/>
              <w:jc w:val="both"/>
              <w:rPr>
                <w:rFonts w:cs="Arial"/>
                <w:sz w:val="19"/>
                <w:szCs w:val="19"/>
              </w:rPr>
            </w:pPr>
          </w:p>
        </w:tc>
        <w:tc>
          <w:tcPr>
            <w:tcW w:w="1584" w:type="dxa"/>
          </w:tcPr>
          <w:p w14:paraId="7308E193" w14:textId="77777777" w:rsidR="00873A9C" w:rsidRPr="00362407" w:rsidRDefault="00873A9C" w:rsidP="00873A9C">
            <w:pPr>
              <w:tabs>
                <w:tab w:val="decimal" w:pos="1424"/>
              </w:tabs>
              <w:ind w:right="-144"/>
              <w:jc w:val="both"/>
              <w:rPr>
                <w:rFonts w:cs="Arial"/>
                <w:sz w:val="19"/>
                <w:szCs w:val="19"/>
              </w:rPr>
            </w:pPr>
          </w:p>
        </w:tc>
      </w:tr>
      <w:tr w:rsidR="00052B7A" w:rsidRPr="00670755" w14:paraId="74E7043F" w14:textId="77777777" w:rsidTr="7821F417">
        <w:tc>
          <w:tcPr>
            <w:tcW w:w="5184" w:type="dxa"/>
          </w:tcPr>
          <w:p w14:paraId="66FAB721" w14:textId="77777777" w:rsidR="00052B7A" w:rsidRPr="00362407" w:rsidRDefault="00052B7A" w:rsidP="00052B7A">
            <w:pPr>
              <w:ind w:right="-144"/>
              <w:jc w:val="both"/>
              <w:rPr>
                <w:rFonts w:cs="Arial"/>
                <w:sz w:val="19"/>
                <w:szCs w:val="19"/>
              </w:rPr>
            </w:pPr>
            <w:r w:rsidRPr="00362407">
              <w:rPr>
                <w:rFonts w:cs="Arial"/>
                <w:sz w:val="19"/>
                <w:szCs w:val="19"/>
              </w:rPr>
              <w:t>Trade and other payables</w:t>
            </w:r>
          </w:p>
        </w:tc>
        <w:tc>
          <w:tcPr>
            <w:tcW w:w="668" w:type="dxa"/>
          </w:tcPr>
          <w:p w14:paraId="3B504F25" w14:textId="6745A351" w:rsidR="00052B7A" w:rsidRPr="00362407" w:rsidRDefault="00052B7A" w:rsidP="00A05E88">
            <w:pPr>
              <w:pStyle w:val="Sub-header"/>
              <w:jc w:val="center"/>
              <w:rPr>
                <w:sz w:val="19"/>
                <w:szCs w:val="19"/>
              </w:rPr>
            </w:pPr>
          </w:p>
        </w:tc>
        <w:tc>
          <w:tcPr>
            <w:tcW w:w="1584" w:type="dxa"/>
          </w:tcPr>
          <w:p w14:paraId="12F91656" w14:textId="5D7BB76B" w:rsidR="00052B7A" w:rsidRPr="00362407" w:rsidRDefault="009C3C7F" w:rsidP="00052B7A">
            <w:pPr>
              <w:tabs>
                <w:tab w:val="decimal" w:pos="1424"/>
              </w:tabs>
              <w:ind w:right="-144"/>
              <w:jc w:val="both"/>
              <w:rPr>
                <w:rFonts w:cs="Arial"/>
                <w:b/>
                <w:bCs/>
                <w:sz w:val="19"/>
                <w:szCs w:val="19"/>
              </w:rPr>
            </w:pPr>
            <w:r>
              <w:rPr>
                <w:rFonts w:cs="Arial"/>
                <w:b/>
                <w:bCs/>
                <w:sz w:val="19"/>
                <w:szCs w:val="19"/>
              </w:rPr>
              <w:t>185,87</w:t>
            </w:r>
            <w:r w:rsidR="00AB63D7">
              <w:rPr>
                <w:rFonts w:cs="Arial"/>
                <w:b/>
                <w:bCs/>
                <w:sz w:val="19"/>
                <w:szCs w:val="19"/>
              </w:rPr>
              <w:t>3</w:t>
            </w:r>
          </w:p>
        </w:tc>
        <w:tc>
          <w:tcPr>
            <w:tcW w:w="1584" w:type="dxa"/>
          </w:tcPr>
          <w:p w14:paraId="78DA9730" w14:textId="7C51AE2D" w:rsidR="00052B7A" w:rsidRPr="00052B7A" w:rsidRDefault="00052B7A" w:rsidP="00052B7A">
            <w:pPr>
              <w:tabs>
                <w:tab w:val="decimal" w:pos="1424"/>
              </w:tabs>
              <w:ind w:right="-144"/>
              <w:jc w:val="both"/>
              <w:rPr>
                <w:rFonts w:cs="Arial"/>
                <w:bCs/>
                <w:sz w:val="19"/>
                <w:szCs w:val="19"/>
              </w:rPr>
            </w:pPr>
            <w:r w:rsidRPr="00052B7A">
              <w:rPr>
                <w:rFonts w:cs="Arial"/>
                <w:bCs/>
                <w:szCs w:val="20"/>
              </w:rPr>
              <w:t>181,235</w:t>
            </w:r>
          </w:p>
        </w:tc>
      </w:tr>
      <w:tr w:rsidR="00052B7A" w:rsidRPr="00670755" w14:paraId="20F91EBC" w14:textId="77777777" w:rsidTr="7821F417">
        <w:tc>
          <w:tcPr>
            <w:tcW w:w="5184" w:type="dxa"/>
          </w:tcPr>
          <w:p w14:paraId="3A95AB02" w14:textId="4D0D62B5" w:rsidR="00052B7A" w:rsidRPr="00362407" w:rsidRDefault="00052B7A" w:rsidP="00052B7A">
            <w:pPr>
              <w:ind w:right="-144"/>
              <w:jc w:val="both"/>
              <w:rPr>
                <w:rFonts w:cs="Arial"/>
                <w:sz w:val="19"/>
                <w:szCs w:val="19"/>
              </w:rPr>
            </w:pPr>
            <w:r>
              <w:rPr>
                <w:rFonts w:cs="Arial"/>
                <w:sz w:val="19"/>
                <w:szCs w:val="19"/>
              </w:rPr>
              <w:t xml:space="preserve">Income </w:t>
            </w:r>
            <w:r w:rsidR="00740024">
              <w:rPr>
                <w:rFonts w:cs="Arial"/>
                <w:sz w:val="19"/>
                <w:szCs w:val="19"/>
              </w:rPr>
              <w:t>tax payable</w:t>
            </w:r>
          </w:p>
        </w:tc>
        <w:tc>
          <w:tcPr>
            <w:tcW w:w="668" w:type="dxa"/>
          </w:tcPr>
          <w:p w14:paraId="1ACE511B" w14:textId="77777777" w:rsidR="00052B7A" w:rsidRPr="00362407" w:rsidRDefault="00052B7A" w:rsidP="00A05E88">
            <w:pPr>
              <w:pStyle w:val="Sub-header"/>
              <w:jc w:val="center"/>
              <w:rPr>
                <w:sz w:val="19"/>
                <w:szCs w:val="19"/>
              </w:rPr>
            </w:pPr>
          </w:p>
        </w:tc>
        <w:tc>
          <w:tcPr>
            <w:tcW w:w="1584" w:type="dxa"/>
          </w:tcPr>
          <w:p w14:paraId="780A496E" w14:textId="3AA8A4AE" w:rsidR="00052B7A" w:rsidRDefault="009C3C7F" w:rsidP="00052B7A">
            <w:pPr>
              <w:tabs>
                <w:tab w:val="decimal" w:pos="1424"/>
              </w:tabs>
              <w:ind w:right="-144"/>
              <w:jc w:val="both"/>
              <w:rPr>
                <w:rFonts w:cs="Arial"/>
                <w:b/>
                <w:bCs/>
                <w:sz w:val="19"/>
                <w:szCs w:val="19"/>
              </w:rPr>
            </w:pPr>
            <w:r>
              <w:rPr>
                <w:rFonts w:cs="Arial"/>
                <w:b/>
                <w:bCs/>
                <w:sz w:val="19"/>
                <w:szCs w:val="19"/>
              </w:rPr>
              <w:t>-</w:t>
            </w:r>
          </w:p>
        </w:tc>
        <w:tc>
          <w:tcPr>
            <w:tcW w:w="1584" w:type="dxa"/>
          </w:tcPr>
          <w:p w14:paraId="3DAFEBE2" w14:textId="6493FBF7" w:rsidR="00052B7A" w:rsidRPr="00052B7A" w:rsidRDefault="00052B7A" w:rsidP="00052B7A">
            <w:pPr>
              <w:tabs>
                <w:tab w:val="decimal" w:pos="1424"/>
              </w:tabs>
              <w:ind w:right="-144"/>
              <w:jc w:val="both"/>
              <w:rPr>
                <w:rFonts w:cs="Arial"/>
                <w:bCs/>
                <w:sz w:val="19"/>
                <w:szCs w:val="19"/>
              </w:rPr>
            </w:pPr>
            <w:r w:rsidRPr="00052B7A">
              <w:rPr>
                <w:rFonts w:cs="Arial"/>
                <w:bCs/>
                <w:szCs w:val="20"/>
              </w:rPr>
              <w:t>1,350</w:t>
            </w:r>
          </w:p>
        </w:tc>
      </w:tr>
      <w:tr w:rsidR="00052B7A" w:rsidRPr="00670755" w14:paraId="5D32FAE2" w14:textId="77777777" w:rsidTr="7821F417">
        <w:tc>
          <w:tcPr>
            <w:tcW w:w="5184" w:type="dxa"/>
          </w:tcPr>
          <w:p w14:paraId="5D9ACFCF" w14:textId="77777777" w:rsidR="00052B7A" w:rsidRPr="00362407" w:rsidRDefault="00052B7A" w:rsidP="00052B7A">
            <w:pPr>
              <w:ind w:right="-144"/>
              <w:jc w:val="both"/>
              <w:rPr>
                <w:rFonts w:cs="Arial"/>
                <w:sz w:val="19"/>
                <w:szCs w:val="19"/>
              </w:rPr>
            </w:pPr>
            <w:r w:rsidRPr="00362407">
              <w:rPr>
                <w:rFonts w:cs="Arial"/>
                <w:sz w:val="19"/>
                <w:szCs w:val="19"/>
              </w:rPr>
              <w:t>Loans and borrowings</w:t>
            </w:r>
          </w:p>
        </w:tc>
        <w:tc>
          <w:tcPr>
            <w:tcW w:w="668" w:type="dxa"/>
          </w:tcPr>
          <w:p w14:paraId="172319D5" w14:textId="0BBB23AB" w:rsidR="00052B7A" w:rsidRPr="00362407" w:rsidRDefault="00052B7A" w:rsidP="00A05E88">
            <w:pPr>
              <w:pStyle w:val="Sub-header"/>
              <w:jc w:val="center"/>
              <w:rPr>
                <w:sz w:val="19"/>
                <w:szCs w:val="19"/>
              </w:rPr>
            </w:pPr>
            <w:r w:rsidRPr="00362407">
              <w:rPr>
                <w:sz w:val="19"/>
                <w:szCs w:val="19"/>
              </w:rPr>
              <w:t>14</w:t>
            </w:r>
          </w:p>
        </w:tc>
        <w:tc>
          <w:tcPr>
            <w:tcW w:w="1584" w:type="dxa"/>
          </w:tcPr>
          <w:p w14:paraId="38A2CDDB" w14:textId="4D8FC918" w:rsidR="00052B7A" w:rsidRPr="00362407" w:rsidRDefault="009C3C7F" w:rsidP="00052B7A">
            <w:pPr>
              <w:tabs>
                <w:tab w:val="decimal" w:pos="1424"/>
              </w:tabs>
              <w:ind w:right="-144"/>
              <w:jc w:val="both"/>
              <w:rPr>
                <w:rFonts w:cs="Arial"/>
                <w:b/>
                <w:bCs/>
                <w:sz w:val="19"/>
                <w:szCs w:val="19"/>
              </w:rPr>
            </w:pPr>
            <w:r>
              <w:rPr>
                <w:rFonts w:cs="Arial"/>
                <w:b/>
                <w:bCs/>
                <w:sz w:val="19"/>
                <w:szCs w:val="19"/>
              </w:rPr>
              <w:t>2,732</w:t>
            </w:r>
          </w:p>
        </w:tc>
        <w:tc>
          <w:tcPr>
            <w:tcW w:w="1584" w:type="dxa"/>
          </w:tcPr>
          <w:p w14:paraId="58C01D5A" w14:textId="64FF5B7F" w:rsidR="00052B7A" w:rsidRPr="00052B7A" w:rsidRDefault="00052B7A" w:rsidP="00052B7A">
            <w:pPr>
              <w:tabs>
                <w:tab w:val="decimal" w:pos="1424"/>
              </w:tabs>
              <w:ind w:right="-144"/>
              <w:jc w:val="both"/>
              <w:rPr>
                <w:rFonts w:cs="Arial"/>
                <w:bCs/>
                <w:sz w:val="19"/>
                <w:szCs w:val="19"/>
                <w:highlight w:val="yellow"/>
              </w:rPr>
            </w:pPr>
            <w:r w:rsidRPr="00052B7A">
              <w:rPr>
                <w:rFonts w:cs="Arial"/>
                <w:bCs/>
                <w:szCs w:val="20"/>
              </w:rPr>
              <w:t>3,129</w:t>
            </w:r>
          </w:p>
        </w:tc>
      </w:tr>
      <w:tr w:rsidR="00052B7A" w:rsidRPr="00670755" w14:paraId="7388E7AF" w14:textId="77777777" w:rsidTr="7821F417">
        <w:tc>
          <w:tcPr>
            <w:tcW w:w="5184" w:type="dxa"/>
          </w:tcPr>
          <w:p w14:paraId="07CF8D3E" w14:textId="38F452D3" w:rsidR="00052B7A" w:rsidRPr="00362407" w:rsidRDefault="00052B7A" w:rsidP="00052B7A">
            <w:pPr>
              <w:ind w:right="-144"/>
              <w:jc w:val="both"/>
              <w:rPr>
                <w:rFonts w:cs="Arial"/>
                <w:sz w:val="19"/>
                <w:szCs w:val="19"/>
              </w:rPr>
            </w:pPr>
            <w:r w:rsidRPr="00362407">
              <w:rPr>
                <w:rFonts w:cs="Arial"/>
                <w:sz w:val="19"/>
                <w:szCs w:val="19"/>
              </w:rPr>
              <w:t xml:space="preserve">Lease liabilities </w:t>
            </w:r>
          </w:p>
        </w:tc>
        <w:tc>
          <w:tcPr>
            <w:tcW w:w="668" w:type="dxa"/>
          </w:tcPr>
          <w:p w14:paraId="406A2E88" w14:textId="77777777" w:rsidR="00052B7A" w:rsidRPr="00362407" w:rsidRDefault="00052B7A" w:rsidP="00A05E88">
            <w:pPr>
              <w:pStyle w:val="Sub-header"/>
              <w:jc w:val="center"/>
              <w:rPr>
                <w:sz w:val="19"/>
                <w:szCs w:val="19"/>
              </w:rPr>
            </w:pPr>
          </w:p>
        </w:tc>
        <w:tc>
          <w:tcPr>
            <w:tcW w:w="1584" w:type="dxa"/>
          </w:tcPr>
          <w:p w14:paraId="4487FB49" w14:textId="54232EE3" w:rsidR="00052B7A" w:rsidRPr="00362407" w:rsidRDefault="009C3C7F" w:rsidP="00052B7A">
            <w:pPr>
              <w:tabs>
                <w:tab w:val="decimal" w:pos="1424"/>
              </w:tabs>
              <w:ind w:right="-144"/>
              <w:jc w:val="both"/>
              <w:rPr>
                <w:rFonts w:cs="Arial"/>
                <w:b/>
                <w:bCs/>
                <w:sz w:val="19"/>
                <w:szCs w:val="19"/>
              </w:rPr>
            </w:pPr>
            <w:r>
              <w:rPr>
                <w:rFonts w:cs="Arial"/>
                <w:b/>
                <w:bCs/>
                <w:sz w:val="19"/>
                <w:szCs w:val="19"/>
              </w:rPr>
              <w:t>1,642</w:t>
            </w:r>
          </w:p>
        </w:tc>
        <w:tc>
          <w:tcPr>
            <w:tcW w:w="1584" w:type="dxa"/>
          </w:tcPr>
          <w:p w14:paraId="2FBFFE3B" w14:textId="6B6F9ABF" w:rsidR="00052B7A" w:rsidRPr="00052B7A" w:rsidRDefault="00052B7A" w:rsidP="00052B7A">
            <w:pPr>
              <w:tabs>
                <w:tab w:val="decimal" w:pos="1424"/>
              </w:tabs>
              <w:ind w:right="-144"/>
              <w:jc w:val="both"/>
              <w:rPr>
                <w:rFonts w:cs="Arial"/>
                <w:bCs/>
                <w:sz w:val="19"/>
                <w:szCs w:val="19"/>
                <w:highlight w:val="yellow"/>
              </w:rPr>
            </w:pPr>
            <w:r w:rsidRPr="00052B7A">
              <w:rPr>
                <w:rFonts w:cs="Arial"/>
                <w:bCs/>
                <w:szCs w:val="20"/>
              </w:rPr>
              <w:t>1,279</w:t>
            </w:r>
          </w:p>
        </w:tc>
      </w:tr>
      <w:tr w:rsidR="00873A9C" w:rsidRPr="00670755" w14:paraId="73DC4C6B" w14:textId="77777777" w:rsidTr="7821F417">
        <w:tc>
          <w:tcPr>
            <w:tcW w:w="5184" w:type="dxa"/>
          </w:tcPr>
          <w:p w14:paraId="662D2500" w14:textId="77777777" w:rsidR="00873A9C" w:rsidRPr="00362407" w:rsidRDefault="00873A9C" w:rsidP="00873A9C">
            <w:pPr>
              <w:ind w:right="-144"/>
              <w:jc w:val="both"/>
              <w:rPr>
                <w:rFonts w:cs="Arial"/>
                <w:sz w:val="19"/>
                <w:szCs w:val="19"/>
              </w:rPr>
            </w:pPr>
          </w:p>
        </w:tc>
        <w:tc>
          <w:tcPr>
            <w:tcW w:w="668" w:type="dxa"/>
          </w:tcPr>
          <w:p w14:paraId="6CF157B9" w14:textId="77777777" w:rsidR="00873A9C" w:rsidRPr="00362407" w:rsidRDefault="00873A9C" w:rsidP="00A05E88">
            <w:pPr>
              <w:pStyle w:val="Sub-header"/>
              <w:jc w:val="center"/>
              <w:rPr>
                <w:sz w:val="19"/>
                <w:szCs w:val="19"/>
              </w:rPr>
            </w:pPr>
          </w:p>
        </w:tc>
        <w:tc>
          <w:tcPr>
            <w:tcW w:w="1584" w:type="dxa"/>
          </w:tcPr>
          <w:p w14:paraId="01BF558A" w14:textId="77777777" w:rsidR="00873A9C" w:rsidRPr="00362407" w:rsidRDefault="00873A9C" w:rsidP="00873A9C">
            <w:pPr>
              <w:tabs>
                <w:tab w:val="decimal" w:pos="1424"/>
              </w:tabs>
              <w:ind w:right="-144"/>
              <w:jc w:val="both"/>
              <w:rPr>
                <w:rFonts w:cs="Arial"/>
                <w:sz w:val="19"/>
                <w:szCs w:val="19"/>
                <w:u w:val="single"/>
              </w:rPr>
            </w:pPr>
            <w:r w:rsidRPr="00362407">
              <w:rPr>
                <w:rFonts w:cs="Arial"/>
                <w:sz w:val="19"/>
                <w:szCs w:val="19"/>
                <w:u w:val="single"/>
              </w:rPr>
              <w:t>                  </w:t>
            </w:r>
          </w:p>
        </w:tc>
        <w:tc>
          <w:tcPr>
            <w:tcW w:w="1584" w:type="dxa"/>
          </w:tcPr>
          <w:p w14:paraId="24413007" w14:textId="5B38CE57" w:rsidR="00873A9C" w:rsidRPr="00362407" w:rsidRDefault="00873A9C" w:rsidP="00873A9C">
            <w:pPr>
              <w:tabs>
                <w:tab w:val="decimal" w:pos="1424"/>
              </w:tabs>
              <w:ind w:right="-144"/>
              <w:jc w:val="both"/>
              <w:rPr>
                <w:rFonts w:cs="Arial"/>
                <w:sz w:val="19"/>
                <w:szCs w:val="19"/>
                <w:highlight w:val="yellow"/>
                <w:u w:val="single"/>
              </w:rPr>
            </w:pPr>
            <w:r w:rsidRPr="00362407">
              <w:rPr>
                <w:rFonts w:cs="Arial"/>
                <w:sz w:val="19"/>
                <w:szCs w:val="19"/>
                <w:u w:val="single"/>
              </w:rPr>
              <w:t>                  </w:t>
            </w:r>
          </w:p>
        </w:tc>
      </w:tr>
      <w:tr w:rsidR="00873A9C" w:rsidRPr="00670755" w14:paraId="5E256974" w14:textId="77777777" w:rsidTr="7821F417">
        <w:tc>
          <w:tcPr>
            <w:tcW w:w="5184" w:type="dxa"/>
          </w:tcPr>
          <w:p w14:paraId="656C877A" w14:textId="77777777" w:rsidR="00873A9C" w:rsidRPr="00362407" w:rsidRDefault="00873A9C" w:rsidP="00873A9C">
            <w:pPr>
              <w:ind w:right="-144"/>
              <w:jc w:val="both"/>
              <w:rPr>
                <w:rFonts w:cs="Arial"/>
                <w:sz w:val="19"/>
                <w:szCs w:val="19"/>
              </w:rPr>
            </w:pPr>
          </w:p>
        </w:tc>
        <w:tc>
          <w:tcPr>
            <w:tcW w:w="668" w:type="dxa"/>
          </w:tcPr>
          <w:p w14:paraId="0F962EA9" w14:textId="77777777" w:rsidR="00873A9C" w:rsidRPr="00362407" w:rsidRDefault="00873A9C" w:rsidP="00A05E88">
            <w:pPr>
              <w:pStyle w:val="Sub-header"/>
              <w:jc w:val="center"/>
              <w:rPr>
                <w:sz w:val="19"/>
                <w:szCs w:val="19"/>
              </w:rPr>
            </w:pPr>
          </w:p>
        </w:tc>
        <w:tc>
          <w:tcPr>
            <w:tcW w:w="1584" w:type="dxa"/>
          </w:tcPr>
          <w:p w14:paraId="0F88CCFC" w14:textId="77777777" w:rsidR="00873A9C" w:rsidRPr="00362407" w:rsidRDefault="00873A9C" w:rsidP="00873A9C">
            <w:pPr>
              <w:tabs>
                <w:tab w:val="decimal" w:pos="1424"/>
              </w:tabs>
              <w:ind w:right="-144"/>
              <w:jc w:val="both"/>
              <w:rPr>
                <w:rFonts w:cs="Arial"/>
                <w:b/>
                <w:sz w:val="19"/>
                <w:szCs w:val="19"/>
              </w:rPr>
            </w:pPr>
          </w:p>
        </w:tc>
        <w:tc>
          <w:tcPr>
            <w:tcW w:w="1584" w:type="dxa"/>
          </w:tcPr>
          <w:p w14:paraId="0E2C8CE2" w14:textId="77777777" w:rsidR="00873A9C" w:rsidRPr="00362407" w:rsidRDefault="00873A9C" w:rsidP="00873A9C">
            <w:pPr>
              <w:tabs>
                <w:tab w:val="decimal" w:pos="1424"/>
              </w:tabs>
              <w:ind w:right="-144"/>
              <w:jc w:val="both"/>
              <w:rPr>
                <w:rFonts w:cs="Arial"/>
                <w:sz w:val="19"/>
                <w:szCs w:val="19"/>
                <w:highlight w:val="yellow"/>
              </w:rPr>
            </w:pPr>
          </w:p>
        </w:tc>
      </w:tr>
      <w:tr w:rsidR="00873A9C" w:rsidRPr="00670755" w14:paraId="031AB72C" w14:textId="77777777" w:rsidTr="7821F417">
        <w:tc>
          <w:tcPr>
            <w:tcW w:w="5184" w:type="dxa"/>
          </w:tcPr>
          <w:p w14:paraId="5C4B7F8D" w14:textId="77777777" w:rsidR="00873A9C" w:rsidRPr="00362407" w:rsidRDefault="00873A9C" w:rsidP="00873A9C">
            <w:pPr>
              <w:ind w:right="-144"/>
              <w:jc w:val="both"/>
              <w:rPr>
                <w:rFonts w:cs="Arial"/>
                <w:sz w:val="19"/>
                <w:szCs w:val="19"/>
              </w:rPr>
            </w:pPr>
          </w:p>
        </w:tc>
        <w:tc>
          <w:tcPr>
            <w:tcW w:w="668" w:type="dxa"/>
          </w:tcPr>
          <w:p w14:paraId="57691A17" w14:textId="77777777" w:rsidR="00873A9C" w:rsidRPr="00362407" w:rsidRDefault="00873A9C" w:rsidP="00A05E88">
            <w:pPr>
              <w:pStyle w:val="Sub-header"/>
              <w:jc w:val="center"/>
              <w:rPr>
                <w:sz w:val="19"/>
                <w:szCs w:val="19"/>
              </w:rPr>
            </w:pPr>
          </w:p>
        </w:tc>
        <w:tc>
          <w:tcPr>
            <w:tcW w:w="1584" w:type="dxa"/>
          </w:tcPr>
          <w:p w14:paraId="761AC456" w14:textId="050DCE2C" w:rsidR="00873A9C" w:rsidRPr="00362407" w:rsidRDefault="009C3C7F" w:rsidP="00873A9C">
            <w:pPr>
              <w:tabs>
                <w:tab w:val="decimal" w:pos="1424"/>
              </w:tabs>
              <w:ind w:right="-144"/>
              <w:jc w:val="both"/>
              <w:rPr>
                <w:rFonts w:cs="Arial"/>
                <w:b/>
                <w:bCs/>
                <w:sz w:val="19"/>
                <w:szCs w:val="19"/>
              </w:rPr>
            </w:pPr>
            <w:r>
              <w:rPr>
                <w:rFonts w:cs="Arial"/>
                <w:b/>
                <w:bCs/>
                <w:sz w:val="19"/>
                <w:szCs w:val="19"/>
              </w:rPr>
              <w:t>190,24</w:t>
            </w:r>
            <w:r w:rsidR="00AB63D7">
              <w:rPr>
                <w:rFonts w:cs="Arial"/>
                <w:b/>
                <w:bCs/>
                <w:sz w:val="19"/>
                <w:szCs w:val="19"/>
              </w:rPr>
              <w:t>7</w:t>
            </w:r>
          </w:p>
        </w:tc>
        <w:tc>
          <w:tcPr>
            <w:tcW w:w="1584" w:type="dxa"/>
          </w:tcPr>
          <w:p w14:paraId="7BEB0B3A" w14:textId="5A71F76A" w:rsidR="00873A9C" w:rsidRPr="00054F3D" w:rsidRDefault="00054F3D" w:rsidP="00873A9C">
            <w:pPr>
              <w:tabs>
                <w:tab w:val="decimal" w:pos="1424"/>
              </w:tabs>
              <w:ind w:right="-144"/>
              <w:jc w:val="both"/>
              <w:rPr>
                <w:rFonts w:cs="Arial"/>
                <w:bCs/>
                <w:sz w:val="19"/>
                <w:szCs w:val="19"/>
                <w:highlight w:val="yellow"/>
              </w:rPr>
            </w:pPr>
            <w:r w:rsidRPr="00054F3D">
              <w:rPr>
                <w:rFonts w:cs="Arial"/>
                <w:bCs/>
                <w:szCs w:val="20"/>
              </w:rPr>
              <w:t>186,993</w:t>
            </w:r>
          </w:p>
        </w:tc>
      </w:tr>
      <w:tr w:rsidR="00873A9C" w:rsidRPr="00670755" w14:paraId="35EA6D15" w14:textId="77777777" w:rsidTr="7821F417">
        <w:tc>
          <w:tcPr>
            <w:tcW w:w="5184" w:type="dxa"/>
          </w:tcPr>
          <w:p w14:paraId="32F1B348" w14:textId="77777777" w:rsidR="00873A9C" w:rsidRPr="00362407" w:rsidRDefault="00873A9C" w:rsidP="00873A9C">
            <w:pPr>
              <w:ind w:right="-144"/>
              <w:jc w:val="both"/>
              <w:rPr>
                <w:rFonts w:cs="Arial"/>
                <w:sz w:val="19"/>
                <w:szCs w:val="19"/>
              </w:rPr>
            </w:pPr>
          </w:p>
        </w:tc>
        <w:tc>
          <w:tcPr>
            <w:tcW w:w="668" w:type="dxa"/>
          </w:tcPr>
          <w:p w14:paraId="7D778FA5" w14:textId="77777777" w:rsidR="00873A9C" w:rsidRPr="00362407" w:rsidRDefault="00873A9C" w:rsidP="00A05E88">
            <w:pPr>
              <w:pStyle w:val="Sub-header"/>
              <w:jc w:val="center"/>
              <w:rPr>
                <w:sz w:val="19"/>
                <w:szCs w:val="19"/>
              </w:rPr>
            </w:pPr>
          </w:p>
        </w:tc>
        <w:tc>
          <w:tcPr>
            <w:tcW w:w="1584" w:type="dxa"/>
          </w:tcPr>
          <w:p w14:paraId="6ECEB083" w14:textId="77777777" w:rsidR="00873A9C" w:rsidRPr="00362407" w:rsidRDefault="00873A9C" w:rsidP="00873A9C">
            <w:pPr>
              <w:tabs>
                <w:tab w:val="decimal" w:pos="1424"/>
              </w:tabs>
              <w:ind w:right="-144"/>
              <w:jc w:val="both"/>
              <w:rPr>
                <w:rFonts w:cs="Arial"/>
                <w:sz w:val="19"/>
                <w:szCs w:val="19"/>
              </w:rPr>
            </w:pPr>
            <w:r w:rsidRPr="00362407">
              <w:rPr>
                <w:rFonts w:cs="Arial"/>
                <w:sz w:val="19"/>
                <w:szCs w:val="19"/>
                <w:u w:val="single"/>
              </w:rPr>
              <w:t>                  </w:t>
            </w:r>
          </w:p>
        </w:tc>
        <w:tc>
          <w:tcPr>
            <w:tcW w:w="1584" w:type="dxa"/>
          </w:tcPr>
          <w:p w14:paraId="0A56904C" w14:textId="17A684BF" w:rsidR="00873A9C" w:rsidRPr="00362407" w:rsidRDefault="00873A9C" w:rsidP="00873A9C">
            <w:pPr>
              <w:tabs>
                <w:tab w:val="decimal" w:pos="1424"/>
              </w:tabs>
              <w:ind w:right="-144"/>
              <w:jc w:val="both"/>
              <w:rPr>
                <w:rFonts w:cs="Arial"/>
                <w:sz w:val="19"/>
                <w:szCs w:val="19"/>
                <w:u w:val="single"/>
              </w:rPr>
            </w:pPr>
            <w:r w:rsidRPr="00362407">
              <w:rPr>
                <w:rFonts w:cs="Arial"/>
                <w:sz w:val="19"/>
                <w:szCs w:val="19"/>
                <w:u w:val="single"/>
              </w:rPr>
              <w:t>                  </w:t>
            </w:r>
          </w:p>
        </w:tc>
      </w:tr>
      <w:tr w:rsidR="00873A9C" w:rsidRPr="00670755" w14:paraId="2040DEC8" w14:textId="77777777" w:rsidTr="7821F417">
        <w:tc>
          <w:tcPr>
            <w:tcW w:w="5184" w:type="dxa"/>
          </w:tcPr>
          <w:p w14:paraId="7D677E51" w14:textId="77777777" w:rsidR="00873A9C" w:rsidRPr="00362407" w:rsidRDefault="00873A9C" w:rsidP="00873A9C">
            <w:pPr>
              <w:ind w:right="-144"/>
              <w:jc w:val="both"/>
              <w:rPr>
                <w:rFonts w:cs="Arial"/>
                <w:sz w:val="19"/>
                <w:szCs w:val="19"/>
              </w:rPr>
            </w:pPr>
          </w:p>
        </w:tc>
        <w:tc>
          <w:tcPr>
            <w:tcW w:w="668" w:type="dxa"/>
          </w:tcPr>
          <w:p w14:paraId="0665D267" w14:textId="77777777" w:rsidR="00873A9C" w:rsidRPr="00362407" w:rsidRDefault="00873A9C" w:rsidP="00A05E88">
            <w:pPr>
              <w:pStyle w:val="Sub-header"/>
              <w:jc w:val="center"/>
              <w:rPr>
                <w:sz w:val="19"/>
                <w:szCs w:val="19"/>
              </w:rPr>
            </w:pPr>
          </w:p>
        </w:tc>
        <w:tc>
          <w:tcPr>
            <w:tcW w:w="1584" w:type="dxa"/>
          </w:tcPr>
          <w:p w14:paraId="0B457F54" w14:textId="77777777" w:rsidR="00873A9C" w:rsidRPr="00362407" w:rsidRDefault="00873A9C" w:rsidP="00873A9C">
            <w:pPr>
              <w:tabs>
                <w:tab w:val="decimal" w:pos="1424"/>
              </w:tabs>
              <w:ind w:right="-144"/>
              <w:jc w:val="both"/>
              <w:rPr>
                <w:rFonts w:cs="Arial"/>
                <w:sz w:val="19"/>
                <w:szCs w:val="19"/>
                <w:u w:val="single"/>
              </w:rPr>
            </w:pPr>
          </w:p>
        </w:tc>
        <w:tc>
          <w:tcPr>
            <w:tcW w:w="1584" w:type="dxa"/>
          </w:tcPr>
          <w:p w14:paraId="04327F0E" w14:textId="77777777" w:rsidR="00873A9C" w:rsidRPr="00362407" w:rsidRDefault="00873A9C" w:rsidP="00873A9C">
            <w:pPr>
              <w:tabs>
                <w:tab w:val="decimal" w:pos="1424"/>
              </w:tabs>
              <w:ind w:right="-144"/>
              <w:jc w:val="both"/>
              <w:rPr>
                <w:rFonts w:cs="Arial"/>
                <w:sz w:val="19"/>
                <w:szCs w:val="19"/>
                <w:u w:val="single"/>
              </w:rPr>
            </w:pPr>
          </w:p>
        </w:tc>
      </w:tr>
      <w:tr w:rsidR="00873A9C" w:rsidRPr="00670755" w14:paraId="62135C2A" w14:textId="77777777" w:rsidTr="7821F417">
        <w:tc>
          <w:tcPr>
            <w:tcW w:w="5184" w:type="dxa"/>
          </w:tcPr>
          <w:p w14:paraId="73AF55F3" w14:textId="77777777" w:rsidR="00873A9C" w:rsidRPr="00362407" w:rsidRDefault="00873A9C" w:rsidP="00873A9C">
            <w:pPr>
              <w:ind w:right="-144"/>
              <w:jc w:val="both"/>
              <w:rPr>
                <w:rFonts w:cs="Arial"/>
                <w:b/>
                <w:sz w:val="19"/>
                <w:szCs w:val="19"/>
              </w:rPr>
            </w:pPr>
            <w:r w:rsidRPr="00362407">
              <w:rPr>
                <w:rFonts w:cs="Arial"/>
                <w:b/>
                <w:sz w:val="19"/>
                <w:szCs w:val="19"/>
              </w:rPr>
              <w:t>Total liabilities</w:t>
            </w:r>
          </w:p>
        </w:tc>
        <w:tc>
          <w:tcPr>
            <w:tcW w:w="668" w:type="dxa"/>
          </w:tcPr>
          <w:p w14:paraId="28814D6E" w14:textId="77777777" w:rsidR="00873A9C" w:rsidRPr="00362407" w:rsidRDefault="00873A9C" w:rsidP="00A05E88">
            <w:pPr>
              <w:pStyle w:val="Sub-header"/>
              <w:jc w:val="center"/>
              <w:rPr>
                <w:sz w:val="19"/>
                <w:szCs w:val="19"/>
              </w:rPr>
            </w:pPr>
          </w:p>
        </w:tc>
        <w:tc>
          <w:tcPr>
            <w:tcW w:w="1584" w:type="dxa"/>
          </w:tcPr>
          <w:p w14:paraId="03843C12" w14:textId="26721D19" w:rsidR="00873A9C" w:rsidRPr="00362407" w:rsidRDefault="009C3C7F" w:rsidP="00873A9C">
            <w:pPr>
              <w:tabs>
                <w:tab w:val="decimal" w:pos="1424"/>
              </w:tabs>
              <w:ind w:right="-144"/>
              <w:jc w:val="both"/>
              <w:rPr>
                <w:rFonts w:cs="Arial"/>
                <w:b/>
                <w:bCs/>
                <w:sz w:val="19"/>
                <w:szCs w:val="19"/>
              </w:rPr>
            </w:pPr>
            <w:r>
              <w:rPr>
                <w:rFonts w:cs="Arial"/>
                <w:b/>
                <w:bCs/>
                <w:sz w:val="19"/>
                <w:szCs w:val="19"/>
              </w:rPr>
              <w:t>510,34</w:t>
            </w:r>
            <w:r w:rsidR="00AB63D7">
              <w:rPr>
                <w:rFonts w:cs="Arial"/>
                <w:b/>
                <w:bCs/>
                <w:sz w:val="19"/>
                <w:szCs w:val="19"/>
              </w:rPr>
              <w:t>8</w:t>
            </w:r>
          </w:p>
        </w:tc>
        <w:tc>
          <w:tcPr>
            <w:tcW w:w="1584" w:type="dxa"/>
          </w:tcPr>
          <w:p w14:paraId="0301407B" w14:textId="06743F0B" w:rsidR="00873A9C" w:rsidRPr="0077660B" w:rsidRDefault="0077660B" w:rsidP="00873A9C">
            <w:pPr>
              <w:tabs>
                <w:tab w:val="decimal" w:pos="1424"/>
              </w:tabs>
              <w:ind w:right="-144"/>
              <w:jc w:val="both"/>
              <w:rPr>
                <w:rFonts w:cs="Arial"/>
                <w:bCs/>
                <w:sz w:val="19"/>
                <w:szCs w:val="19"/>
              </w:rPr>
            </w:pPr>
            <w:r w:rsidRPr="0077660B">
              <w:rPr>
                <w:rFonts w:cs="Arial"/>
                <w:bCs/>
                <w:szCs w:val="20"/>
              </w:rPr>
              <w:t>426,744</w:t>
            </w:r>
          </w:p>
        </w:tc>
      </w:tr>
      <w:tr w:rsidR="00873A9C" w:rsidRPr="00670755" w14:paraId="5AD136B2" w14:textId="77777777" w:rsidTr="0048231B">
        <w:trPr>
          <w:trHeight w:val="150"/>
        </w:trPr>
        <w:tc>
          <w:tcPr>
            <w:tcW w:w="5184" w:type="dxa"/>
          </w:tcPr>
          <w:p w14:paraId="1BC39AEB" w14:textId="77777777" w:rsidR="00873A9C" w:rsidRPr="00362407" w:rsidRDefault="00873A9C" w:rsidP="00873A9C">
            <w:pPr>
              <w:ind w:right="-144"/>
              <w:jc w:val="both"/>
              <w:rPr>
                <w:rFonts w:cs="Arial"/>
                <w:sz w:val="19"/>
                <w:szCs w:val="19"/>
              </w:rPr>
            </w:pPr>
          </w:p>
        </w:tc>
        <w:tc>
          <w:tcPr>
            <w:tcW w:w="668" w:type="dxa"/>
          </w:tcPr>
          <w:p w14:paraId="3A1AE3D1" w14:textId="77777777" w:rsidR="00873A9C" w:rsidRPr="00362407" w:rsidRDefault="00873A9C" w:rsidP="00A05E88">
            <w:pPr>
              <w:pStyle w:val="Sub-header"/>
              <w:jc w:val="center"/>
              <w:rPr>
                <w:sz w:val="19"/>
                <w:szCs w:val="19"/>
              </w:rPr>
            </w:pPr>
          </w:p>
        </w:tc>
        <w:tc>
          <w:tcPr>
            <w:tcW w:w="1584" w:type="dxa"/>
          </w:tcPr>
          <w:p w14:paraId="34A2967A" w14:textId="77777777" w:rsidR="00873A9C" w:rsidRPr="00362407" w:rsidRDefault="00873A9C" w:rsidP="00873A9C">
            <w:pPr>
              <w:tabs>
                <w:tab w:val="decimal" w:pos="1424"/>
              </w:tabs>
              <w:ind w:right="-144"/>
              <w:jc w:val="both"/>
              <w:rPr>
                <w:rFonts w:cs="Arial"/>
                <w:sz w:val="19"/>
                <w:szCs w:val="19"/>
                <w:u w:val="single"/>
              </w:rPr>
            </w:pPr>
            <w:r w:rsidRPr="00362407">
              <w:rPr>
                <w:rFonts w:cs="Arial"/>
                <w:sz w:val="19"/>
                <w:szCs w:val="19"/>
                <w:u w:val="single"/>
              </w:rPr>
              <w:t>                  </w:t>
            </w:r>
          </w:p>
        </w:tc>
        <w:tc>
          <w:tcPr>
            <w:tcW w:w="1584" w:type="dxa"/>
          </w:tcPr>
          <w:p w14:paraId="5C73A015" w14:textId="29F34E11" w:rsidR="00873A9C" w:rsidRPr="00362407" w:rsidRDefault="00873A9C" w:rsidP="00873A9C">
            <w:pPr>
              <w:tabs>
                <w:tab w:val="decimal" w:pos="1424"/>
              </w:tabs>
              <w:ind w:right="-144"/>
              <w:jc w:val="both"/>
              <w:rPr>
                <w:rFonts w:cs="Arial"/>
                <w:sz w:val="19"/>
                <w:szCs w:val="19"/>
                <w:u w:val="single"/>
              </w:rPr>
            </w:pPr>
            <w:r w:rsidRPr="00362407">
              <w:rPr>
                <w:rFonts w:cs="Arial"/>
                <w:sz w:val="19"/>
                <w:szCs w:val="19"/>
                <w:u w:val="single"/>
              </w:rPr>
              <w:t>                  </w:t>
            </w:r>
          </w:p>
        </w:tc>
      </w:tr>
      <w:tr w:rsidR="00873A9C" w:rsidRPr="00670755" w14:paraId="0B773C19" w14:textId="77777777" w:rsidTr="7821F417">
        <w:tc>
          <w:tcPr>
            <w:tcW w:w="5184" w:type="dxa"/>
          </w:tcPr>
          <w:p w14:paraId="272C282D" w14:textId="77777777" w:rsidR="00873A9C" w:rsidRPr="00362407" w:rsidRDefault="00873A9C" w:rsidP="00873A9C">
            <w:pPr>
              <w:ind w:right="-144"/>
              <w:jc w:val="both"/>
              <w:rPr>
                <w:rFonts w:cs="Arial"/>
                <w:sz w:val="19"/>
                <w:szCs w:val="19"/>
              </w:rPr>
            </w:pPr>
          </w:p>
        </w:tc>
        <w:tc>
          <w:tcPr>
            <w:tcW w:w="668" w:type="dxa"/>
          </w:tcPr>
          <w:p w14:paraId="640E1432" w14:textId="77777777" w:rsidR="00873A9C" w:rsidRPr="00362407" w:rsidRDefault="00873A9C" w:rsidP="00A05E88">
            <w:pPr>
              <w:pStyle w:val="Sub-header"/>
              <w:jc w:val="center"/>
              <w:rPr>
                <w:sz w:val="19"/>
                <w:szCs w:val="19"/>
              </w:rPr>
            </w:pPr>
          </w:p>
        </w:tc>
        <w:tc>
          <w:tcPr>
            <w:tcW w:w="1584" w:type="dxa"/>
          </w:tcPr>
          <w:p w14:paraId="0B29B7CE" w14:textId="77777777" w:rsidR="00873A9C" w:rsidRPr="00362407" w:rsidRDefault="00873A9C" w:rsidP="00873A9C">
            <w:pPr>
              <w:tabs>
                <w:tab w:val="decimal" w:pos="1424"/>
              </w:tabs>
              <w:ind w:right="-144"/>
              <w:jc w:val="both"/>
              <w:rPr>
                <w:rFonts w:cs="Arial"/>
                <w:sz w:val="19"/>
                <w:szCs w:val="19"/>
                <w:u w:val="single"/>
              </w:rPr>
            </w:pPr>
          </w:p>
        </w:tc>
        <w:tc>
          <w:tcPr>
            <w:tcW w:w="1584" w:type="dxa"/>
          </w:tcPr>
          <w:p w14:paraId="5A7D140E" w14:textId="77777777" w:rsidR="00873A9C" w:rsidRPr="00362407" w:rsidRDefault="00873A9C" w:rsidP="00873A9C">
            <w:pPr>
              <w:tabs>
                <w:tab w:val="decimal" w:pos="1424"/>
              </w:tabs>
              <w:ind w:right="-144"/>
              <w:jc w:val="both"/>
              <w:rPr>
                <w:rFonts w:cs="Arial"/>
                <w:sz w:val="19"/>
                <w:szCs w:val="19"/>
                <w:u w:val="single"/>
              </w:rPr>
            </w:pPr>
          </w:p>
        </w:tc>
      </w:tr>
      <w:tr w:rsidR="00873A9C" w:rsidRPr="00670755" w14:paraId="6942B6E3" w14:textId="77777777" w:rsidTr="7821F417">
        <w:tc>
          <w:tcPr>
            <w:tcW w:w="5184" w:type="dxa"/>
          </w:tcPr>
          <w:p w14:paraId="78494AD8" w14:textId="77777777" w:rsidR="00873A9C" w:rsidRPr="00362407" w:rsidRDefault="00873A9C" w:rsidP="00873A9C">
            <w:pPr>
              <w:ind w:right="-144"/>
              <w:jc w:val="both"/>
              <w:rPr>
                <w:rFonts w:cs="Arial"/>
                <w:b/>
                <w:sz w:val="19"/>
                <w:szCs w:val="19"/>
              </w:rPr>
            </w:pPr>
            <w:r w:rsidRPr="00362407">
              <w:rPr>
                <w:rFonts w:cs="Arial"/>
                <w:b/>
                <w:sz w:val="19"/>
                <w:szCs w:val="19"/>
              </w:rPr>
              <w:t>Total liabilities and equity</w:t>
            </w:r>
          </w:p>
        </w:tc>
        <w:tc>
          <w:tcPr>
            <w:tcW w:w="668" w:type="dxa"/>
          </w:tcPr>
          <w:p w14:paraId="2EC9306A" w14:textId="77777777" w:rsidR="00873A9C" w:rsidRPr="00362407" w:rsidRDefault="00873A9C" w:rsidP="00A05E88">
            <w:pPr>
              <w:pStyle w:val="Sub-header"/>
              <w:jc w:val="center"/>
              <w:rPr>
                <w:sz w:val="19"/>
                <w:szCs w:val="19"/>
              </w:rPr>
            </w:pPr>
          </w:p>
        </w:tc>
        <w:tc>
          <w:tcPr>
            <w:tcW w:w="1584" w:type="dxa"/>
          </w:tcPr>
          <w:p w14:paraId="7753145E" w14:textId="17DD5371" w:rsidR="00873A9C" w:rsidRPr="00362407" w:rsidRDefault="009C3C7F" w:rsidP="00873A9C">
            <w:pPr>
              <w:tabs>
                <w:tab w:val="decimal" w:pos="1424"/>
              </w:tabs>
              <w:ind w:right="-144"/>
              <w:jc w:val="both"/>
              <w:rPr>
                <w:rFonts w:cs="Arial"/>
                <w:b/>
                <w:bCs/>
                <w:sz w:val="19"/>
                <w:szCs w:val="19"/>
              </w:rPr>
            </w:pPr>
            <w:r>
              <w:rPr>
                <w:rFonts w:cs="Arial"/>
                <w:b/>
                <w:bCs/>
                <w:sz w:val="19"/>
                <w:szCs w:val="19"/>
              </w:rPr>
              <w:t>1,258,</w:t>
            </w:r>
            <w:r w:rsidR="004273D5">
              <w:rPr>
                <w:rFonts w:cs="Arial"/>
                <w:b/>
                <w:bCs/>
                <w:sz w:val="19"/>
                <w:szCs w:val="19"/>
              </w:rPr>
              <w:t>703</w:t>
            </w:r>
          </w:p>
        </w:tc>
        <w:tc>
          <w:tcPr>
            <w:tcW w:w="1584" w:type="dxa"/>
          </w:tcPr>
          <w:p w14:paraId="49414D63" w14:textId="63BD2686" w:rsidR="00873A9C" w:rsidRPr="00F274FD" w:rsidRDefault="00F274FD" w:rsidP="00873A9C">
            <w:pPr>
              <w:tabs>
                <w:tab w:val="decimal" w:pos="1424"/>
              </w:tabs>
              <w:ind w:right="-144"/>
              <w:jc w:val="both"/>
              <w:rPr>
                <w:rFonts w:cs="Arial"/>
                <w:bCs/>
                <w:sz w:val="19"/>
                <w:szCs w:val="19"/>
              </w:rPr>
            </w:pPr>
            <w:r w:rsidRPr="00F274FD">
              <w:rPr>
                <w:rFonts w:cs="Arial"/>
                <w:bCs/>
                <w:szCs w:val="20"/>
              </w:rPr>
              <w:t>1,177,914</w:t>
            </w:r>
          </w:p>
        </w:tc>
      </w:tr>
      <w:tr w:rsidR="00873A9C" w:rsidRPr="00670755" w14:paraId="7926A620" w14:textId="77777777" w:rsidTr="7821F417">
        <w:trPr>
          <w:trHeight w:val="257"/>
        </w:trPr>
        <w:tc>
          <w:tcPr>
            <w:tcW w:w="5184" w:type="dxa"/>
          </w:tcPr>
          <w:p w14:paraId="3F6F2032" w14:textId="77777777" w:rsidR="00873A9C" w:rsidRPr="00362407" w:rsidRDefault="00873A9C" w:rsidP="00873A9C">
            <w:pPr>
              <w:ind w:right="-144"/>
              <w:jc w:val="both"/>
              <w:rPr>
                <w:rFonts w:cs="Arial"/>
                <w:sz w:val="19"/>
                <w:szCs w:val="19"/>
              </w:rPr>
            </w:pPr>
          </w:p>
        </w:tc>
        <w:tc>
          <w:tcPr>
            <w:tcW w:w="668" w:type="dxa"/>
          </w:tcPr>
          <w:p w14:paraId="2532F010" w14:textId="77777777" w:rsidR="00873A9C" w:rsidRPr="00362407" w:rsidRDefault="00873A9C" w:rsidP="00873A9C">
            <w:pPr>
              <w:pStyle w:val="Sub-header"/>
              <w:jc w:val="both"/>
              <w:rPr>
                <w:sz w:val="19"/>
                <w:szCs w:val="19"/>
              </w:rPr>
            </w:pPr>
          </w:p>
        </w:tc>
        <w:tc>
          <w:tcPr>
            <w:tcW w:w="1584" w:type="dxa"/>
          </w:tcPr>
          <w:p w14:paraId="2E305DBF" w14:textId="77777777" w:rsidR="00873A9C" w:rsidRPr="00362407" w:rsidRDefault="00873A9C" w:rsidP="00873A9C">
            <w:pPr>
              <w:tabs>
                <w:tab w:val="decimal" w:pos="1424"/>
              </w:tabs>
              <w:ind w:right="-144"/>
              <w:jc w:val="both"/>
              <w:rPr>
                <w:rFonts w:cs="Arial"/>
                <w:sz w:val="19"/>
                <w:szCs w:val="19"/>
                <w:u w:val="double"/>
              </w:rPr>
            </w:pPr>
            <w:r w:rsidRPr="00362407">
              <w:rPr>
                <w:rFonts w:cs="Arial"/>
                <w:sz w:val="19"/>
                <w:szCs w:val="19"/>
                <w:u w:val="double"/>
              </w:rPr>
              <w:t>                  </w:t>
            </w:r>
          </w:p>
        </w:tc>
        <w:tc>
          <w:tcPr>
            <w:tcW w:w="1584" w:type="dxa"/>
          </w:tcPr>
          <w:p w14:paraId="10892A40" w14:textId="77777777" w:rsidR="00873A9C" w:rsidRPr="00362407" w:rsidRDefault="00873A9C" w:rsidP="00873A9C">
            <w:pPr>
              <w:tabs>
                <w:tab w:val="decimal" w:pos="1424"/>
              </w:tabs>
              <w:ind w:right="-144"/>
              <w:jc w:val="both"/>
              <w:rPr>
                <w:rFonts w:cs="Arial"/>
                <w:sz w:val="19"/>
                <w:szCs w:val="19"/>
                <w:u w:val="double"/>
              </w:rPr>
            </w:pPr>
            <w:r w:rsidRPr="00362407">
              <w:rPr>
                <w:rFonts w:cs="Arial"/>
                <w:sz w:val="19"/>
                <w:szCs w:val="19"/>
                <w:u w:val="double"/>
              </w:rPr>
              <w:t>                  </w:t>
            </w:r>
          </w:p>
        </w:tc>
      </w:tr>
    </w:tbl>
    <w:p w14:paraId="5AC00166" w14:textId="77777777" w:rsidR="007E0E45" w:rsidRPr="00670755" w:rsidRDefault="007E0E45" w:rsidP="005C02FC">
      <w:pPr>
        <w:pStyle w:val="Sub-header"/>
        <w:tabs>
          <w:tab w:val="left" w:pos="4320"/>
        </w:tabs>
        <w:jc w:val="both"/>
        <w:rPr>
          <w:rFonts w:cs="Arial"/>
          <w:szCs w:val="20"/>
        </w:rPr>
        <w:sectPr w:rsidR="007E0E45" w:rsidRPr="00670755" w:rsidSect="00E820D8">
          <w:headerReference w:type="even" r:id="rId43"/>
          <w:headerReference w:type="default" r:id="rId44"/>
          <w:footerReference w:type="even" r:id="rId45"/>
          <w:footerReference w:type="default" r:id="rId46"/>
          <w:headerReference w:type="first" r:id="rId47"/>
          <w:footerReference w:type="first" r:id="rId48"/>
          <w:pgSz w:w="11909" w:h="16834" w:code="9"/>
          <w:pgMar w:top="1080" w:right="1077" w:bottom="1077" w:left="1440" w:header="907" w:footer="624" w:gutter="0"/>
          <w:cols w:space="708"/>
          <w:docGrid w:linePitch="360"/>
        </w:sectPr>
      </w:pPr>
    </w:p>
    <w:p w14:paraId="0DB2B6F6" w14:textId="77777777" w:rsidR="0050348A" w:rsidRDefault="0050348A" w:rsidP="0050348A">
      <w:pPr>
        <w:pStyle w:val="ACSectionTOCHeading"/>
        <w:jc w:val="both"/>
      </w:pPr>
      <w:r>
        <w:lastRenderedPageBreak/>
        <w:t>Condensed consolidated statement of changes in equity</w:t>
      </w:r>
    </w:p>
    <w:p w14:paraId="6AEAB0CB" w14:textId="6C25BE83" w:rsidR="00746309" w:rsidRDefault="0050348A" w:rsidP="00C221FA">
      <w:pPr>
        <w:pStyle w:val="Sub-header"/>
        <w:jc w:val="both"/>
      </w:pPr>
      <w:r>
        <w:t>for the six months ended 30 June 202</w:t>
      </w:r>
      <w:r w:rsidR="00E820D8">
        <w:t>5</w:t>
      </w:r>
    </w:p>
    <w:p w14:paraId="00899F05" w14:textId="77777777" w:rsidR="00C221FA" w:rsidRPr="00C221FA" w:rsidRDefault="00C221FA" w:rsidP="00C221FA"/>
    <w:tbl>
      <w:tblPr>
        <w:tblW w:w="15874" w:type="dxa"/>
        <w:tblInd w:w="-730" w:type="dxa"/>
        <w:tblLayout w:type="fixed"/>
        <w:tblCellMar>
          <w:left w:w="0" w:type="dxa"/>
          <w:right w:w="115" w:type="dxa"/>
        </w:tblCellMar>
        <w:tblLook w:val="04A0" w:firstRow="1" w:lastRow="0" w:firstColumn="1" w:lastColumn="0" w:noHBand="0" w:noVBand="1"/>
      </w:tblPr>
      <w:tblGrid>
        <w:gridCol w:w="3402"/>
        <w:gridCol w:w="1559"/>
        <w:gridCol w:w="1559"/>
        <w:gridCol w:w="1559"/>
        <w:gridCol w:w="1559"/>
        <w:gridCol w:w="1559"/>
        <w:gridCol w:w="1559"/>
        <w:gridCol w:w="1559"/>
        <w:gridCol w:w="1559"/>
      </w:tblGrid>
      <w:tr w:rsidR="00F23AE3" w:rsidRPr="0048226D" w14:paraId="2355FE8F" w14:textId="77777777" w:rsidTr="00930E36">
        <w:tc>
          <w:tcPr>
            <w:tcW w:w="3402" w:type="dxa"/>
          </w:tcPr>
          <w:p w14:paraId="0A7E479A" w14:textId="77777777" w:rsidR="00F23AE3" w:rsidRPr="00AA34BF" w:rsidRDefault="00F23AE3">
            <w:pPr>
              <w:rPr>
                <w:rFonts w:cs="Arial"/>
                <w:sz w:val="18"/>
                <w:szCs w:val="18"/>
              </w:rPr>
            </w:pPr>
          </w:p>
        </w:tc>
        <w:tc>
          <w:tcPr>
            <w:tcW w:w="3118" w:type="dxa"/>
            <w:gridSpan w:val="2"/>
          </w:tcPr>
          <w:p w14:paraId="298DA3A8" w14:textId="103BE80A" w:rsidR="00F23AE3" w:rsidRPr="00AA34BF" w:rsidRDefault="00F23AE3">
            <w:pPr>
              <w:tabs>
                <w:tab w:val="decimal" w:pos="1426"/>
              </w:tabs>
              <w:ind w:right="-144"/>
              <w:jc w:val="center"/>
              <w:rPr>
                <w:rFonts w:cs="Arial"/>
                <w:b/>
                <w:sz w:val="18"/>
                <w:szCs w:val="18"/>
              </w:rPr>
            </w:pPr>
            <w:r w:rsidRPr="00AA34BF">
              <w:rPr>
                <w:rFonts w:cs="Arial"/>
                <w:b/>
                <w:sz w:val="18"/>
                <w:szCs w:val="18"/>
              </w:rPr>
              <w:t>Share Capital</w:t>
            </w:r>
          </w:p>
        </w:tc>
        <w:tc>
          <w:tcPr>
            <w:tcW w:w="1559" w:type="dxa"/>
          </w:tcPr>
          <w:p w14:paraId="39CC38AA" w14:textId="77777777" w:rsidR="00F23AE3" w:rsidRPr="00AA34BF" w:rsidRDefault="00F23AE3">
            <w:pPr>
              <w:tabs>
                <w:tab w:val="decimal" w:pos="1426"/>
              </w:tabs>
              <w:ind w:right="-144"/>
              <w:jc w:val="center"/>
              <w:rPr>
                <w:rFonts w:cs="Arial"/>
                <w:b/>
                <w:sz w:val="18"/>
                <w:szCs w:val="18"/>
              </w:rPr>
            </w:pPr>
          </w:p>
        </w:tc>
        <w:tc>
          <w:tcPr>
            <w:tcW w:w="1559" w:type="dxa"/>
          </w:tcPr>
          <w:p w14:paraId="6AA69EAB" w14:textId="77777777" w:rsidR="00F23AE3" w:rsidRPr="00AA34BF" w:rsidRDefault="00F23AE3">
            <w:pPr>
              <w:tabs>
                <w:tab w:val="decimal" w:pos="1426"/>
              </w:tabs>
              <w:ind w:right="-144"/>
              <w:rPr>
                <w:rFonts w:cs="Arial"/>
                <w:b/>
                <w:sz w:val="18"/>
                <w:szCs w:val="18"/>
              </w:rPr>
            </w:pPr>
          </w:p>
        </w:tc>
        <w:tc>
          <w:tcPr>
            <w:tcW w:w="1559" w:type="dxa"/>
          </w:tcPr>
          <w:p w14:paraId="1522049A" w14:textId="77777777" w:rsidR="00F23AE3" w:rsidRPr="00AA34BF" w:rsidRDefault="00F23AE3">
            <w:pPr>
              <w:tabs>
                <w:tab w:val="decimal" w:pos="1426"/>
              </w:tabs>
              <w:ind w:right="-144"/>
              <w:rPr>
                <w:rFonts w:cs="Arial"/>
                <w:b/>
                <w:sz w:val="18"/>
                <w:szCs w:val="18"/>
              </w:rPr>
            </w:pPr>
          </w:p>
        </w:tc>
        <w:tc>
          <w:tcPr>
            <w:tcW w:w="1559" w:type="dxa"/>
          </w:tcPr>
          <w:p w14:paraId="3BA72E49" w14:textId="77777777" w:rsidR="00F23AE3" w:rsidRPr="00AA34BF" w:rsidRDefault="00F23AE3">
            <w:pPr>
              <w:tabs>
                <w:tab w:val="decimal" w:pos="1426"/>
              </w:tabs>
              <w:ind w:right="-144"/>
              <w:rPr>
                <w:rFonts w:cs="Arial"/>
                <w:b/>
                <w:sz w:val="18"/>
                <w:szCs w:val="18"/>
              </w:rPr>
            </w:pPr>
          </w:p>
        </w:tc>
        <w:tc>
          <w:tcPr>
            <w:tcW w:w="1559" w:type="dxa"/>
          </w:tcPr>
          <w:p w14:paraId="551752CC" w14:textId="2A9F4858" w:rsidR="00F23AE3" w:rsidRPr="00AA34BF" w:rsidRDefault="00F23AE3">
            <w:pPr>
              <w:tabs>
                <w:tab w:val="decimal" w:pos="1426"/>
              </w:tabs>
              <w:ind w:right="-144"/>
              <w:rPr>
                <w:rFonts w:cs="Arial"/>
                <w:b/>
                <w:sz w:val="18"/>
                <w:szCs w:val="18"/>
              </w:rPr>
            </w:pPr>
          </w:p>
        </w:tc>
        <w:tc>
          <w:tcPr>
            <w:tcW w:w="1559" w:type="dxa"/>
          </w:tcPr>
          <w:p w14:paraId="7AD0478E" w14:textId="77777777" w:rsidR="00F23AE3" w:rsidRPr="00AA34BF" w:rsidRDefault="00F23AE3">
            <w:pPr>
              <w:tabs>
                <w:tab w:val="decimal" w:pos="1426"/>
              </w:tabs>
              <w:ind w:right="-144"/>
              <w:rPr>
                <w:rFonts w:cs="Arial"/>
                <w:b/>
                <w:sz w:val="18"/>
                <w:szCs w:val="18"/>
              </w:rPr>
            </w:pPr>
          </w:p>
        </w:tc>
      </w:tr>
      <w:tr w:rsidR="00AA34BF" w:rsidRPr="0048226D" w14:paraId="0F495AA4" w14:textId="77777777" w:rsidTr="00930E36">
        <w:tc>
          <w:tcPr>
            <w:tcW w:w="3402" w:type="dxa"/>
          </w:tcPr>
          <w:p w14:paraId="3513840C" w14:textId="77777777" w:rsidR="00AA34BF" w:rsidRPr="00AA34BF" w:rsidRDefault="00AA34BF" w:rsidP="00BE666E">
            <w:pPr>
              <w:rPr>
                <w:rFonts w:cs="Arial"/>
                <w:sz w:val="18"/>
                <w:szCs w:val="18"/>
              </w:rPr>
            </w:pPr>
          </w:p>
        </w:tc>
        <w:tc>
          <w:tcPr>
            <w:tcW w:w="1559" w:type="dxa"/>
          </w:tcPr>
          <w:p w14:paraId="48BDA0DE" w14:textId="77777777" w:rsidR="00AA34BF" w:rsidRPr="00AA34BF" w:rsidRDefault="00AA34BF" w:rsidP="00BE666E">
            <w:pPr>
              <w:tabs>
                <w:tab w:val="decimal" w:pos="1426"/>
              </w:tabs>
              <w:ind w:right="-144"/>
              <w:rPr>
                <w:rFonts w:cs="Arial"/>
                <w:b/>
                <w:sz w:val="18"/>
                <w:szCs w:val="18"/>
              </w:rPr>
            </w:pPr>
          </w:p>
          <w:p w14:paraId="2DD13CB1"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Ordinary</w:t>
            </w:r>
          </w:p>
        </w:tc>
        <w:tc>
          <w:tcPr>
            <w:tcW w:w="1559" w:type="dxa"/>
          </w:tcPr>
          <w:p w14:paraId="41F4972D" w14:textId="77777777" w:rsidR="00AA34BF" w:rsidRPr="00AA34BF" w:rsidRDefault="00AA34BF" w:rsidP="00BE666E">
            <w:pPr>
              <w:tabs>
                <w:tab w:val="decimal" w:pos="1426"/>
              </w:tabs>
              <w:ind w:right="-144"/>
              <w:rPr>
                <w:rFonts w:cs="Arial"/>
                <w:b/>
                <w:sz w:val="18"/>
                <w:szCs w:val="18"/>
              </w:rPr>
            </w:pPr>
          </w:p>
          <w:p w14:paraId="5F586CE4" w14:textId="77777777" w:rsidR="00AA34BF" w:rsidRPr="00AA34BF" w:rsidRDefault="00AA34BF" w:rsidP="00BE666E">
            <w:pPr>
              <w:tabs>
                <w:tab w:val="decimal" w:pos="1426"/>
              </w:tabs>
              <w:jc w:val="center"/>
              <w:rPr>
                <w:rFonts w:cs="Arial"/>
                <w:b/>
                <w:sz w:val="18"/>
                <w:szCs w:val="18"/>
              </w:rPr>
            </w:pPr>
            <w:r w:rsidRPr="00AA34BF">
              <w:rPr>
                <w:rFonts w:cs="Arial"/>
                <w:b/>
                <w:sz w:val="18"/>
                <w:szCs w:val="18"/>
              </w:rPr>
              <w:t>Deferred</w:t>
            </w:r>
          </w:p>
        </w:tc>
        <w:tc>
          <w:tcPr>
            <w:tcW w:w="1559" w:type="dxa"/>
          </w:tcPr>
          <w:p w14:paraId="5E5654F9" w14:textId="77777777" w:rsidR="00AA34BF" w:rsidRPr="00AA34BF" w:rsidRDefault="00AA34BF" w:rsidP="00BE666E">
            <w:pPr>
              <w:tabs>
                <w:tab w:val="decimal" w:pos="1426"/>
              </w:tabs>
              <w:jc w:val="center"/>
              <w:rPr>
                <w:rFonts w:cs="Arial"/>
                <w:b/>
                <w:sz w:val="18"/>
                <w:szCs w:val="18"/>
              </w:rPr>
            </w:pPr>
          </w:p>
          <w:p w14:paraId="3106AEBF" w14:textId="77777777" w:rsidR="00AA34BF" w:rsidRPr="00AA34BF" w:rsidRDefault="00AA34BF" w:rsidP="00BE666E">
            <w:pPr>
              <w:tabs>
                <w:tab w:val="decimal" w:pos="1426"/>
              </w:tabs>
              <w:jc w:val="center"/>
              <w:rPr>
                <w:rFonts w:cs="Arial"/>
                <w:b/>
                <w:sz w:val="18"/>
                <w:szCs w:val="18"/>
              </w:rPr>
            </w:pPr>
            <w:proofErr w:type="spellStart"/>
            <w:r w:rsidRPr="00AA34BF">
              <w:rPr>
                <w:rFonts w:cs="Arial"/>
                <w:b/>
                <w:sz w:val="18"/>
                <w:szCs w:val="18"/>
              </w:rPr>
              <w:t>Undenominated</w:t>
            </w:r>
            <w:proofErr w:type="spellEnd"/>
          </w:p>
        </w:tc>
        <w:tc>
          <w:tcPr>
            <w:tcW w:w="1559" w:type="dxa"/>
          </w:tcPr>
          <w:p w14:paraId="686AAA81" w14:textId="77777777" w:rsidR="00AA34BF" w:rsidRPr="00AA34BF" w:rsidRDefault="00AA34BF" w:rsidP="00BE666E">
            <w:pPr>
              <w:tabs>
                <w:tab w:val="decimal" w:pos="1426"/>
              </w:tabs>
              <w:ind w:right="-144"/>
              <w:rPr>
                <w:rFonts w:cs="Arial"/>
                <w:b/>
                <w:sz w:val="18"/>
                <w:szCs w:val="18"/>
              </w:rPr>
            </w:pPr>
          </w:p>
          <w:p w14:paraId="5F1BFDE3"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Share</w:t>
            </w:r>
          </w:p>
        </w:tc>
        <w:tc>
          <w:tcPr>
            <w:tcW w:w="1559" w:type="dxa"/>
          </w:tcPr>
          <w:p w14:paraId="4FE7E44D"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Share-based</w:t>
            </w:r>
          </w:p>
          <w:p w14:paraId="0E2E3AF6"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payment</w:t>
            </w:r>
          </w:p>
        </w:tc>
        <w:tc>
          <w:tcPr>
            <w:tcW w:w="1559" w:type="dxa"/>
          </w:tcPr>
          <w:p w14:paraId="487E942A" w14:textId="77777777" w:rsidR="00AA34BF" w:rsidRPr="00AA34BF" w:rsidRDefault="00AA34BF" w:rsidP="00BE666E">
            <w:pPr>
              <w:tabs>
                <w:tab w:val="decimal" w:pos="1426"/>
              </w:tabs>
              <w:ind w:right="-144"/>
              <w:rPr>
                <w:rFonts w:cs="Arial"/>
                <w:b/>
                <w:sz w:val="18"/>
                <w:szCs w:val="18"/>
              </w:rPr>
            </w:pPr>
          </w:p>
          <w:p w14:paraId="6AB6B759" w14:textId="09D55AF6" w:rsidR="00AA34BF" w:rsidRPr="00AA34BF" w:rsidRDefault="00AA34BF" w:rsidP="00BE666E">
            <w:pPr>
              <w:tabs>
                <w:tab w:val="decimal" w:pos="1426"/>
              </w:tabs>
              <w:ind w:right="-144"/>
              <w:rPr>
                <w:rFonts w:cs="Arial"/>
                <w:b/>
                <w:sz w:val="18"/>
                <w:szCs w:val="18"/>
              </w:rPr>
            </w:pPr>
            <w:r w:rsidRPr="00AA34BF">
              <w:rPr>
                <w:rFonts w:cs="Arial"/>
                <w:b/>
                <w:sz w:val="18"/>
                <w:szCs w:val="18"/>
              </w:rPr>
              <w:t>Cashflow</w:t>
            </w:r>
          </w:p>
        </w:tc>
        <w:tc>
          <w:tcPr>
            <w:tcW w:w="1559" w:type="dxa"/>
          </w:tcPr>
          <w:p w14:paraId="1E98B2CE" w14:textId="45F5331D" w:rsidR="00AA34BF" w:rsidRPr="00AA34BF" w:rsidRDefault="00AA34BF" w:rsidP="00BE666E">
            <w:pPr>
              <w:tabs>
                <w:tab w:val="decimal" w:pos="1426"/>
              </w:tabs>
              <w:ind w:right="-144"/>
              <w:rPr>
                <w:rFonts w:cs="Arial"/>
                <w:b/>
                <w:sz w:val="18"/>
                <w:szCs w:val="18"/>
              </w:rPr>
            </w:pPr>
          </w:p>
          <w:p w14:paraId="63104E98"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Retained</w:t>
            </w:r>
          </w:p>
        </w:tc>
        <w:tc>
          <w:tcPr>
            <w:tcW w:w="1559" w:type="dxa"/>
          </w:tcPr>
          <w:p w14:paraId="03A3FB2F" w14:textId="77777777" w:rsidR="00AA34BF" w:rsidRPr="00AA34BF" w:rsidRDefault="00AA34BF" w:rsidP="00BE666E">
            <w:pPr>
              <w:tabs>
                <w:tab w:val="decimal" w:pos="1426"/>
              </w:tabs>
              <w:ind w:right="-144"/>
              <w:rPr>
                <w:rFonts w:cs="Arial"/>
                <w:b/>
                <w:sz w:val="18"/>
                <w:szCs w:val="18"/>
              </w:rPr>
            </w:pPr>
          </w:p>
          <w:p w14:paraId="44E7E502"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Total</w:t>
            </w:r>
          </w:p>
        </w:tc>
      </w:tr>
      <w:tr w:rsidR="00AA34BF" w:rsidRPr="0048226D" w14:paraId="363B693A" w14:textId="77777777" w:rsidTr="007D0D5A">
        <w:tc>
          <w:tcPr>
            <w:tcW w:w="3402" w:type="dxa"/>
          </w:tcPr>
          <w:p w14:paraId="0C27020C" w14:textId="77777777" w:rsidR="00AA34BF" w:rsidRPr="00AA34BF" w:rsidRDefault="00AA34BF" w:rsidP="00BE666E">
            <w:pPr>
              <w:rPr>
                <w:rFonts w:cs="Arial"/>
                <w:sz w:val="18"/>
                <w:szCs w:val="18"/>
              </w:rPr>
            </w:pPr>
          </w:p>
        </w:tc>
        <w:tc>
          <w:tcPr>
            <w:tcW w:w="1559" w:type="dxa"/>
          </w:tcPr>
          <w:p w14:paraId="4F86503D"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shares</w:t>
            </w:r>
          </w:p>
        </w:tc>
        <w:tc>
          <w:tcPr>
            <w:tcW w:w="1559" w:type="dxa"/>
          </w:tcPr>
          <w:p w14:paraId="7FD2A134" w14:textId="77777777" w:rsidR="00AA34BF" w:rsidRPr="00AA34BF" w:rsidRDefault="00AA34BF" w:rsidP="00BE666E">
            <w:pPr>
              <w:tabs>
                <w:tab w:val="decimal" w:pos="1426"/>
              </w:tabs>
              <w:jc w:val="center"/>
              <w:rPr>
                <w:rFonts w:cs="Arial"/>
                <w:b/>
                <w:sz w:val="18"/>
                <w:szCs w:val="18"/>
              </w:rPr>
            </w:pPr>
            <w:r w:rsidRPr="00AA34BF">
              <w:rPr>
                <w:rFonts w:cs="Arial"/>
                <w:b/>
                <w:sz w:val="18"/>
                <w:szCs w:val="18"/>
              </w:rPr>
              <w:t>Shares</w:t>
            </w:r>
          </w:p>
        </w:tc>
        <w:tc>
          <w:tcPr>
            <w:tcW w:w="1559" w:type="dxa"/>
          </w:tcPr>
          <w:p w14:paraId="4E7F3968" w14:textId="77777777" w:rsidR="00AA34BF" w:rsidRPr="00AA34BF" w:rsidRDefault="00AA34BF" w:rsidP="00BE666E">
            <w:pPr>
              <w:tabs>
                <w:tab w:val="decimal" w:pos="1426"/>
              </w:tabs>
              <w:jc w:val="center"/>
              <w:rPr>
                <w:rFonts w:cs="Arial"/>
                <w:b/>
                <w:sz w:val="18"/>
                <w:szCs w:val="18"/>
              </w:rPr>
            </w:pPr>
            <w:r w:rsidRPr="00AA34BF">
              <w:rPr>
                <w:rFonts w:cs="Arial"/>
                <w:b/>
                <w:sz w:val="18"/>
                <w:szCs w:val="18"/>
              </w:rPr>
              <w:t>capital</w:t>
            </w:r>
          </w:p>
        </w:tc>
        <w:tc>
          <w:tcPr>
            <w:tcW w:w="1559" w:type="dxa"/>
          </w:tcPr>
          <w:p w14:paraId="01CA2BD1"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premium</w:t>
            </w:r>
          </w:p>
        </w:tc>
        <w:tc>
          <w:tcPr>
            <w:tcW w:w="1559" w:type="dxa"/>
          </w:tcPr>
          <w:p w14:paraId="43FFAD05"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reserve</w:t>
            </w:r>
          </w:p>
        </w:tc>
        <w:tc>
          <w:tcPr>
            <w:tcW w:w="1559" w:type="dxa"/>
          </w:tcPr>
          <w:p w14:paraId="6D264ED9" w14:textId="32071D7D" w:rsidR="00AA34BF" w:rsidRPr="00AA34BF" w:rsidRDefault="00AA34BF" w:rsidP="00BE666E">
            <w:pPr>
              <w:tabs>
                <w:tab w:val="decimal" w:pos="1426"/>
              </w:tabs>
              <w:ind w:right="-144"/>
              <w:rPr>
                <w:rFonts w:cs="Arial"/>
                <w:b/>
                <w:sz w:val="18"/>
                <w:szCs w:val="18"/>
              </w:rPr>
            </w:pPr>
            <w:r w:rsidRPr="00AA34BF">
              <w:rPr>
                <w:rFonts w:cs="Arial"/>
                <w:b/>
                <w:sz w:val="18"/>
                <w:szCs w:val="18"/>
              </w:rPr>
              <w:t>hedge reserve</w:t>
            </w:r>
          </w:p>
        </w:tc>
        <w:tc>
          <w:tcPr>
            <w:tcW w:w="1559" w:type="dxa"/>
          </w:tcPr>
          <w:p w14:paraId="429D6638" w14:textId="1DA56527" w:rsidR="00AA34BF" w:rsidRPr="00AA34BF" w:rsidRDefault="00AA34BF" w:rsidP="00BE666E">
            <w:pPr>
              <w:tabs>
                <w:tab w:val="decimal" w:pos="1426"/>
              </w:tabs>
              <w:ind w:right="-144"/>
              <w:rPr>
                <w:rFonts w:cs="Arial"/>
                <w:b/>
                <w:sz w:val="18"/>
                <w:szCs w:val="18"/>
              </w:rPr>
            </w:pPr>
            <w:r w:rsidRPr="00AA34BF">
              <w:rPr>
                <w:rFonts w:cs="Arial"/>
                <w:b/>
                <w:sz w:val="18"/>
                <w:szCs w:val="18"/>
              </w:rPr>
              <w:t>earnings</w:t>
            </w:r>
          </w:p>
        </w:tc>
        <w:tc>
          <w:tcPr>
            <w:tcW w:w="1559" w:type="dxa"/>
          </w:tcPr>
          <w:p w14:paraId="2B67552D"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equity</w:t>
            </w:r>
          </w:p>
        </w:tc>
      </w:tr>
      <w:tr w:rsidR="00AA34BF" w:rsidRPr="0048226D" w14:paraId="30EF213E" w14:textId="77777777" w:rsidTr="007D0D5A">
        <w:tc>
          <w:tcPr>
            <w:tcW w:w="3402" w:type="dxa"/>
          </w:tcPr>
          <w:p w14:paraId="2040B3A8" w14:textId="779B6718" w:rsidR="00AA34BF" w:rsidRPr="00AA34BF" w:rsidRDefault="0035143A" w:rsidP="00BE666E">
            <w:pPr>
              <w:rPr>
                <w:rFonts w:cs="Arial"/>
                <w:sz w:val="18"/>
                <w:szCs w:val="18"/>
              </w:rPr>
            </w:pPr>
            <w:r w:rsidRPr="00EC6F18">
              <w:rPr>
                <w:rFonts w:cs="Arial"/>
                <w:b/>
                <w:sz w:val="18"/>
                <w:szCs w:val="18"/>
              </w:rPr>
              <w:t>Unaudited</w:t>
            </w:r>
          </w:p>
        </w:tc>
        <w:tc>
          <w:tcPr>
            <w:tcW w:w="1559" w:type="dxa"/>
          </w:tcPr>
          <w:p w14:paraId="6D3908D9"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€’000</w:t>
            </w:r>
          </w:p>
        </w:tc>
        <w:tc>
          <w:tcPr>
            <w:tcW w:w="1559" w:type="dxa"/>
          </w:tcPr>
          <w:p w14:paraId="0ED15D5E"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€’000</w:t>
            </w:r>
          </w:p>
        </w:tc>
        <w:tc>
          <w:tcPr>
            <w:tcW w:w="1559" w:type="dxa"/>
          </w:tcPr>
          <w:p w14:paraId="10F79B3E"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€’000</w:t>
            </w:r>
          </w:p>
        </w:tc>
        <w:tc>
          <w:tcPr>
            <w:tcW w:w="1559" w:type="dxa"/>
          </w:tcPr>
          <w:p w14:paraId="060B66EE"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€’000</w:t>
            </w:r>
          </w:p>
        </w:tc>
        <w:tc>
          <w:tcPr>
            <w:tcW w:w="1559" w:type="dxa"/>
          </w:tcPr>
          <w:p w14:paraId="7E785DEC"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€’000</w:t>
            </w:r>
          </w:p>
        </w:tc>
        <w:tc>
          <w:tcPr>
            <w:tcW w:w="1559" w:type="dxa"/>
          </w:tcPr>
          <w:p w14:paraId="3707ECD5" w14:textId="75C741D5" w:rsidR="00AA34BF" w:rsidRPr="00AA34BF" w:rsidRDefault="00AA34BF" w:rsidP="00BE666E">
            <w:pPr>
              <w:tabs>
                <w:tab w:val="decimal" w:pos="1426"/>
              </w:tabs>
              <w:ind w:right="-144"/>
              <w:rPr>
                <w:rFonts w:cs="Arial"/>
                <w:b/>
                <w:sz w:val="18"/>
                <w:szCs w:val="18"/>
              </w:rPr>
            </w:pPr>
            <w:r w:rsidRPr="00AA34BF">
              <w:rPr>
                <w:rFonts w:cs="Arial"/>
                <w:b/>
                <w:sz w:val="18"/>
                <w:szCs w:val="18"/>
              </w:rPr>
              <w:t>€’000</w:t>
            </w:r>
          </w:p>
        </w:tc>
        <w:tc>
          <w:tcPr>
            <w:tcW w:w="1559" w:type="dxa"/>
          </w:tcPr>
          <w:p w14:paraId="6AB8200A" w14:textId="30BF540B" w:rsidR="00AA34BF" w:rsidRPr="00AA34BF" w:rsidRDefault="00AA34BF" w:rsidP="00BE666E">
            <w:pPr>
              <w:tabs>
                <w:tab w:val="decimal" w:pos="1426"/>
              </w:tabs>
              <w:ind w:right="-144"/>
              <w:rPr>
                <w:rFonts w:cs="Arial"/>
                <w:b/>
                <w:sz w:val="18"/>
                <w:szCs w:val="18"/>
              </w:rPr>
            </w:pPr>
            <w:r w:rsidRPr="00AA34BF">
              <w:rPr>
                <w:rFonts w:cs="Arial"/>
                <w:b/>
                <w:sz w:val="18"/>
                <w:szCs w:val="18"/>
              </w:rPr>
              <w:t>€’000</w:t>
            </w:r>
          </w:p>
        </w:tc>
        <w:tc>
          <w:tcPr>
            <w:tcW w:w="1559" w:type="dxa"/>
          </w:tcPr>
          <w:p w14:paraId="34B222D5"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€’000</w:t>
            </w:r>
          </w:p>
        </w:tc>
      </w:tr>
      <w:tr w:rsidR="00AA34BF" w:rsidRPr="0048226D" w14:paraId="1D03A3F9" w14:textId="77777777" w:rsidTr="007D0D5A">
        <w:tc>
          <w:tcPr>
            <w:tcW w:w="3402" w:type="dxa"/>
          </w:tcPr>
          <w:p w14:paraId="60DB1586" w14:textId="77777777" w:rsidR="00AA34BF" w:rsidRPr="00AA34BF" w:rsidRDefault="00AA34BF" w:rsidP="00BE666E">
            <w:pPr>
              <w:rPr>
                <w:rFonts w:cs="Arial"/>
                <w:sz w:val="18"/>
                <w:szCs w:val="18"/>
              </w:rPr>
            </w:pPr>
          </w:p>
        </w:tc>
        <w:tc>
          <w:tcPr>
            <w:tcW w:w="1559" w:type="dxa"/>
          </w:tcPr>
          <w:p w14:paraId="4FD592E4" w14:textId="77777777" w:rsidR="00AA34BF" w:rsidRPr="00AA34BF" w:rsidRDefault="00AA34BF" w:rsidP="00BE666E">
            <w:pPr>
              <w:tabs>
                <w:tab w:val="decimal" w:pos="1426"/>
              </w:tabs>
              <w:ind w:right="-144"/>
              <w:rPr>
                <w:rFonts w:cs="Arial"/>
                <w:sz w:val="18"/>
                <w:szCs w:val="18"/>
              </w:rPr>
            </w:pPr>
          </w:p>
        </w:tc>
        <w:tc>
          <w:tcPr>
            <w:tcW w:w="1559" w:type="dxa"/>
          </w:tcPr>
          <w:p w14:paraId="3F130A61" w14:textId="77777777" w:rsidR="00AA34BF" w:rsidRPr="00AA34BF" w:rsidRDefault="00AA34BF" w:rsidP="00BE666E">
            <w:pPr>
              <w:tabs>
                <w:tab w:val="decimal" w:pos="1426"/>
              </w:tabs>
              <w:ind w:right="-144"/>
              <w:rPr>
                <w:rFonts w:cs="Arial"/>
                <w:sz w:val="18"/>
                <w:szCs w:val="18"/>
              </w:rPr>
            </w:pPr>
          </w:p>
        </w:tc>
        <w:tc>
          <w:tcPr>
            <w:tcW w:w="1559" w:type="dxa"/>
          </w:tcPr>
          <w:p w14:paraId="58820A52" w14:textId="77777777" w:rsidR="00AA34BF" w:rsidRPr="00AA34BF" w:rsidRDefault="00AA34BF" w:rsidP="00BE666E">
            <w:pPr>
              <w:tabs>
                <w:tab w:val="decimal" w:pos="1426"/>
              </w:tabs>
              <w:ind w:right="-144"/>
              <w:rPr>
                <w:rFonts w:cs="Arial"/>
                <w:sz w:val="18"/>
                <w:szCs w:val="18"/>
              </w:rPr>
            </w:pPr>
          </w:p>
        </w:tc>
        <w:tc>
          <w:tcPr>
            <w:tcW w:w="1559" w:type="dxa"/>
          </w:tcPr>
          <w:p w14:paraId="0FD2D8E3" w14:textId="77777777" w:rsidR="00AA34BF" w:rsidRPr="00AA34BF" w:rsidRDefault="00AA34BF" w:rsidP="00BE666E">
            <w:pPr>
              <w:tabs>
                <w:tab w:val="decimal" w:pos="1426"/>
              </w:tabs>
              <w:ind w:right="-144"/>
              <w:rPr>
                <w:rFonts w:cs="Arial"/>
                <w:sz w:val="18"/>
                <w:szCs w:val="18"/>
              </w:rPr>
            </w:pPr>
          </w:p>
        </w:tc>
        <w:tc>
          <w:tcPr>
            <w:tcW w:w="1559" w:type="dxa"/>
          </w:tcPr>
          <w:p w14:paraId="26D741ED" w14:textId="77777777" w:rsidR="00AA34BF" w:rsidRPr="00AA34BF" w:rsidRDefault="00AA34BF" w:rsidP="00BE666E">
            <w:pPr>
              <w:tabs>
                <w:tab w:val="decimal" w:pos="1426"/>
              </w:tabs>
              <w:ind w:right="-144"/>
              <w:rPr>
                <w:rFonts w:cs="Arial"/>
                <w:sz w:val="18"/>
                <w:szCs w:val="18"/>
              </w:rPr>
            </w:pPr>
          </w:p>
        </w:tc>
        <w:tc>
          <w:tcPr>
            <w:tcW w:w="1559" w:type="dxa"/>
          </w:tcPr>
          <w:p w14:paraId="4A484420" w14:textId="77777777" w:rsidR="00AA34BF" w:rsidRPr="00AA34BF" w:rsidRDefault="00AA34BF" w:rsidP="00BE666E">
            <w:pPr>
              <w:tabs>
                <w:tab w:val="decimal" w:pos="1426"/>
              </w:tabs>
              <w:ind w:right="-144"/>
              <w:rPr>
                <w:rFonts w:cs="Arial"/>
                <w:sz w:val="18"/>
                <w:szCs w:val="18"/>
              </w:rPr>
            </w:pPr>
          </w:p>
        </w:tc>
        <w:tc>
          <w:tcPr>
            <w:tcW w:w="1559" w:type="dxa"/>
          </w:tcPr>
          <w:p w14:paraId="2B08E330" w14:textId="69325087" w:rsidR="00AA34BF" w:rsidRPr="00AA34BF" w:rsidRDefault="00AA34BF" w:rsidP="00BE666E">
            <w:pPr>
              <w:tabs>
                <w:tab w:val="decimal" w:pos="1426"/>
              </w:tabs>
              <w:ind w:right="-144"/>
              <w:rPr>
                <w:rFonts w:cs="Arial"/>
                <w:sz w:val="18"/>
                <w:szCs w:val="18"/>
              </w:rPr>
            </w:pPr>
          </w:p>
        </w:tc>
        <w:tc>
          <w:tcPr>
            <w:tcW w:w="1559" w:type="dxa"/>
          </w:tcPr>
          <w:p w14:paraId="0F0063DC" w14:textId="77777777" w:rsidR="00AA34BF" w:rsidRPr="00AA34BF" w:rsidRDefault="00AA34BF" w:rsidP="00BE666E">
            <w:pPr>
              <w:tabs>
                <w:tab w:val="decimal" w:pos="1426"/>
              </w:tabs>
              <w:ind w:right="-144"/>
              <w:rPr>
                <w:rFonts w:cs="Arial"/>
                <w:sz w:val="18"/>
                <w:szCs w:val="18"/>
              </w:rPr>
            </w:pPr>
          </w:p>
        </w:tc>
      </w:tr>
      <w:tr w:rsidR="008402AB" w:rsidRPr="0048226D" w14:paraId="30AF8FB3" w14:textId="77777777" w:rsidTr="007D0D5A">
        <w:tc>
          <w:tcPr>
            <w:tcW w:w="3402" w:type="dxa"/>
          </w:tcPr>
          <w:p w14:paraId="2FB65203" w14:textId="0A9C7CA8" w:rsidR="008402AB" w:rsidRPr="00AA34BF" w:rsidRDefault="008402AB" w:rsidP="008402AB">
            <w:pPr>
              <w:rPr>
                <w:rFonts w:cs="Arial"/>
                <w:b/>
                <w:sz w:val="18"/>
                <w:szCs w:val="18"/>
              </w:rPr>
            </w:pPr>
            <w:r w:rsidRPr="00AA34BF">
              <w:rPr>
                <w:rFonts w:cs="Arial"/>
                <w:b/>
                <w:sz w:val="18"/>
                <w:szCs w:val="18"/>
              </w:rPr>
              <w:t xml:space="preserve">Balance as </w:t>
            </w:r>
            <w:proofErr w:type="gramStart"/>
            <w:r w:rsidRPr="00AA34BF">
              <w:rPr>
                <w:rFonts w:cs="Arial"/>
                <w:b/>
                <w:sz w:val="18"/>
                <w:szCs w:val="18"/>
              </w:rPr>
              <w:t>at</w:t>
            </w:r>
            <w:proofErr w:type="gramEnd"/>
            <w:r w:rsidRPr="00AA34BF">
              <w:rPr>
                <w:rFonts w:cs="Arial"/>
                <w:b/>
                <w:sz w:val="18"/>
                <w:szCs w:val="18"/>
              </w:rPr>
              <w:t xml:space="preserve"> 1 January 202</w:t>
            </w:r>
            <w:r>
              <w:rPr>
                <w:rFonts w:cs="Arial"/>
                <w:b/>
                <w:sz w:val="18"/>
                <w:szCs w:val="18"/>
              </w:rPr>
              <w:t>5</w:t>
            </w:r>
          </w:p>
        </w:tc>
        <w:tc>
          <w:tcPr>
            <w:tcW w:w="1559" w:type="dxa"/>
          </w:tcPr>
          <w:p w14:paraId="00750CAB" w14:textId="56ED7081" w:rsidR="008402AB" w:rsidRPr="00AA34BF" w:rsidRDefault="008402AB" w:rsidP="008402AB">
            <w:pPr>
              <w:tabs>
                <w:tab w:val="decimal" w:pos="1426"/>
              </w:tabs>
              <w:ind w:right="-144"/>
              <w:rPr>
                <w:rFonts w:cs="Arial"/>
                <w:b/>
                <w:sz w:val="18"/>
                <w:szCs w:val="18"/>
              </w:rPr>
            </w:pPr>
            <w:r>
              <w:rPr>
                <w:rFonts w:cs="Arial"/>
                <w:b/>
                <w:sz w:val="18"/>
                <w:szCs w:val="18"/>
              </w:rPr>
              <w:t>561</w:t>
            </w:r>
          </w:p>
        </w:tc>
        <w:tc>
          <w:tcPr>
            <w:tcW w:w="1559" w:type="dxa"/>
          </w:tcPr>
          <w:p w14:paraId="619498B8" w14:textId="5BB4CF70" w:rsidR="008402AB" w:rsidRPr="00AA34BF" w:rsidRDefault="008402AB" w:rsidP="008402AB">
            <w:pPr>
              <w:tabs>
                <w:tab w:val="decimal" w:pos="1426"/>
              </w:tabs>
              <w:ind w:right="-144"/>
              <w:rPr>
                <w:rFonts w:cs="Arial"/>
                <w:b/>
                <w:sz w:val="18"/>
                <w:szCs w:val="18"/>
              </w:rPr>
            </w:pPr>
            <w:r>
              <w:rPr>
                <w:rFonts w:cs="Arial"/>
                <w:b/>
                <w:sz w:val="18"/>
                <w:szCs w:val="18"/>
              </w:rPr>
              <w:t>81</w:t>
            </w:r>
          </w:p>
        </w:tc>
        <w:tc>
          <w:tcPr>
            <w:tcW w:w="1559" w:type="dxa"/>
          </w:tcPr>
          <w:p w14:paraId="1CB3BDF9" w14:textId="4A166993" w:rsidR="008402AB" w:rsidRPr="00AA34BF" w:rsidRDefault="008402AB" w:rsidP="008402AB">
            <w:pPr>
              <w:tabs>
                <w:tab w:val="decimal" w:pos="1426"/>
              </w:tabs>
              <w:ind w:right="-144"/>
              <w:rPr>
                <w:rFonts w:cs="Arial"/>
                <w:b/>
                <w:sz w:val="18"/>
                <w:szCs w:val="18"/>
              </w:rPr>
            </w:pPr>
            <w:r>
              <w:rPr>
                <w:rFonts w:cs="Arial"/>
                <w:b/>
                <w:sz w:val="18"/>
                <w:szCs w:val="18"/>
              </w:rPr>
              <w:t>418</w:t>
            </w:r>
          </w:p>
        </w:tc>
        <w:tc>
          <w:tcPr>
            <w:tcW w:w="1559" w:type="dxa"/>
          </w:tcPr>
          <w:p w14:paraId="368BC3A3" w14:textId="356FE5BA" w:rsidR="008402AB" w:rsidRPr="00AA34BF" w:rsidRDefault="008402AB" w:rsidP="008402AB">
            <w:pPr>
              <w:tabs>
                <w:tab w:val="decimal" w:pos="1426"/>
              </w:tabs>
              <w:ind w:right="-144"/>
              <w:rPr>
                <w:rFonts w:cs="Arial"/>
                <w:b/>
                <w:sz w:val="18"/>
                <w:szCs w:val="18"/>
              </w:rPr>
            </w:pPr>
            <w:r>
              <w:rPr>
                <w:rFonts w:cs="Arial"/>
                <w:b/>
                <w:sz w:val="18"/>
                <w:szCs w:val="18"/>
              </w:rPr>
              <w:t>179,788</w:t>
            </w:r>
          </w:p>
        </w:tc>
        <w:tc>
          <w:tcPr>
            <w:tcW w:w="1559" w:type="dxa"/>
          </w:tcPr>
          <w:p w14:paraId="2ADD1750" w14:textId="6E8923FD" w:rsidR="008402AB" w:rsidRPr="00AA34BF" w:rsidRDefault="008402AB" w:rsidP="008402AB">
            <w:pPr>
              <w:tabs>
                <w:tab w:val="decimal" w:pos="1426"/>
              </w:tabs>
              <w:ind w:right="-144"/>
              <w:rPr>
                <w:rFonts w:cs="Arial"/>
                <w:b/>
                <w:sz w:val="18"/>
                <w:szCs w:val="18"/>
              </w:rPr>
            </w:pPr>
            <w:r>
              <w:rPr>
                <w:rFonts w:cs="Arial"/>
                <w:b/>
                <w:sz w:val="18"/>
                <w:szCs w:val="18"/>
              </w:rPr>
              <w:t>54,079</w:t>
            </w:r>
          </w:p>
        </w:tc>
        <w:tc>
          <w:tcPr>
            <w:tcW w:w="1559" w:type="dxa"/>
          </w:tcPr>
          <w:p w14:paraId="55502A27" w14:textId="2F59F818" w:rsidR="008402AB" w:rsidRPr="00AA34BF" w:rsidRDefault="008402AB" w:rsidP="008402AB">
            <w:pPr>
              <w:tabs>
                <w:tab w:val="decimal" w:pos="1426"/>
              </w:tabs>
              <w:ind w:right="-144"/>
              <w:rPr>
                <w:rFonts w:cs="Arial"/>
                <w:b/>
                <w:sz w:val="18"/>
                <w:szCs w:val="18"/>
              </w:rPr>
            </w:pPr>
            <w:r>
              <w:rPr>
                <w:rFonts w:cs="Arial"/>
                <w:b/>
                <w:sz w:val="18"/>
                <w:szCs w:val="18"/>
              </w:rPr>
              <w:t>(1,182)</w:t>
            </w:r>
          </w:p>
        </w:tc>
        <w:tc>
          <w:tcPr>
            <w:tcW w:w="1559" w:type="dxa"/>
          </w:tcPr>
          <w:p w14:paraId="7ED41C65" w14:textId="0389B8B4" w:rsidR="008402AB" w:rsidRPr="00AA34BF" w:rsidRDefault="008402AB" w:rsidP="008402AB">
            <w:pPr>
              <w:tabs>
                <w:tab w:val="decimal" w:pos="1426"/>
              </w:tabs>
              <w:ind w:right="-144"/>
              <w:rPr>
                <w:rFonts w:cs="Arial"/>
                <w:b/>
                <w:sz w:val="18"/>
                <w:szCs w:val="18"/>
              </w:rPr>
            </w:pPr>
            <w:r>
              <w:rPr>
                <w:rFonts w:cs="Arial"/>
                <w:b/>
                <w:sz w:val="18"/>
                <w:szCs w:val="18"/>
              </w:rPr>
              <w:t>517,425</w:t>
            </w:r>
          </w:p>
        </w:tc>
        <w:tc>
          <w:tcPr>
            <w:tcW w:w="1559" w:type="dxa"/>
          </w:tcPr>
          <w:p w14:paraId="2A5241B5" w14:textId="15A94663" w:rsidR="008402AB" w:rsidRPr="00AA34BF" w:rsidRDefault="008402AB" w:rsidP="008402AB">
            <w:pPr>
              <w:tabs>
                <w:tab w:val="decimal" w:pos="1426"/>
              </w:tabs>
              <w:ind w:right="-144"/>
              <w:rPr>
                <w:rFonts w:cs="Arial"/>
                <w:b/>
                <w:sz w:val="18"/>
                <w:szCs w:val="18"/>
              </w:rPr>
            </w:pPr>
            <w:r>
              <w:rPr>
                <w:rFonts w:cs="Arial"/>
                <w:b/>
                <w:sz w:val="18"/>
                <w:szCs w:val="18"/>
              </w:rPr>
              <w:t>751,170</w:t>
            </w:r>
          </w:p>
        </w:tc>
      </w:tr>
      <w:tr w:rsidR="00AA34BF" w:rsidRPr="0048226D" w14:paraId="70EA88DD" w14:textId="77777777" w:rsidTr="007D0D5A">
        <w:tc>
          <w:tcPr>
            <w:tcW w:w="3402" w:type="dxa"/>
          </w:tcPr>
          <w:p w14:paraId="5A28A2CA" w14:textId="77777777" w:rsidR="00AA34BF" w:rsidRPr="00AA34BF" w:rsidRDefault="00AA34BF" w:rsidP="00BE666E">
            <w:pPr>
              <w:rPr>
                <w:rFonts w:cs="Arial"/>
                <w:b/>
                <w:sz w:val="18"/>
                <w:szCs w:val="18"/>
              </w:rPr>
            </w:pPr>
          </w:p>
        </w:tc>
        <w:tc>
          <w:tcPr>
            <w:tcW w:w="1559" w:type="dxa"/>
          </w:tcPr>
          <w:p w14:paraId="63F9F446" w14:textId="77777777" w:rsidR="00AA34BF" w:rsidRPr="00AA34BF" w:rsidRDefault="00AA34BF" w:rsidP="00BE666E">
            <w:pPr>
              <w:tabs>
                <w:tab w:val="decimal" w:pos="1426"/>
              </w:tabs>
              <w:ind w:right="-144"/>
              <w:rPr>
                <w:rFonts w:cs="Arial"/>
                <w:sz w:val="18"/>
                <w:szCs w:val="18"/>
              </w:rPr>
            </w:pPr>
          </w:p>
        </w:tc>
        <w:tc>
          <w:tcPr>
            <w:tcW w:w="1559" w:type="dxa"/>
          </w:tcPr>
          <w:p w14:paraId="027802D9" w14:textId="77777777" w:rsidR="00AA34BF" w:rsidRPr="00AA34BF" w:rsidRDefault="00AA34BF" w:rsidP="00BE666E">
            <w:pPr>
              <w:tabs>
                <w:tab w:val="decimal" w:pos="1426"/>
              </w:tabs>
              <w:ind w:right="-144"/>
              <w:rPr>
                <w:rFonts w:cs="Arial"/>
                <w:sz w:val="18"/>
                <w:szCs w:val="18"/>
              </w:rPr>
            </w:pPr>
          </w:p>
        </w:tc>
        <w:tc>
          <w:tcPr>
            <w:tcW w:w="1559" w:type="dxa"/>
          </w:tcPr>
          <w:p w14:paraId="5111F455" w14:textId="77777777" w:rsidR="00AA34BF" w:rsidRPr="00AA34BF" w:rsidRDefault="00AA34BF" w:rsidP="00BE666E">
            <w:pPr>
              <w:tabs>
                <w:tab w:val="decimal" w:pos="1426"/>
              </w:tabs>
              <w:ind w:right="-144"/>
              <w:rPr>
                <w:rFonts w:cs="Arial"/>
                <w:sz w:val="18"/>
                <w:szCs w:val="18"/>
              </w:rPr>
            </w:pPr>
          </w:p>
        </w:tc>
        <w:tc>
          <w:tcPr>
            <w:tcW w:w="1559" w:type="dxa"/>
          </w:tcPr>
          <w:p w14:paraId="38D72EE2" w14:textId="77777777" w:rsidR="00AA34BF" w:rsidRPr="00AA34BF" w:rsidRDefault="00AA34BF" w:rsidP="00BE666E">
            <w:pPr>
              <w:tabs>
                <w:tab w:val="decimal" w:pos="1426"/>
              </w:tabs>
              <w:ind w:right="-144"/>
              <w:rPr>
                <w:rFonts w:cs="Arial"/>
                <w:sz w:val="18"/>
                <w:szCs w:val="18"/>
              </w:rPr>
            </w:pPr>
          </w:p>
        </w:tc>
        <w:tc>
          <w:tcPr>
            <w:tcW w:w="1559" w:type="dxa"/>
          </w:tcPr>
          <w:p w14:paraId="322E61F4" w14:textId="77777777" w:rsidR="00AA34BF" w:rsidRPr="00AA34BF" w:rsidRDefault="00AA34BF" w:rsidP="00BE666E">
            <w:pPr>
              <w:tabs>
                <w:tab w:val="decimal" w:pos="1426"/>
              </w:tabs>
              <w:ind w:right="-144"/>
              <w:rPr>
                <w:rFonts w:cs="Arial"/>
                <w:sz w:val="18"/>
                <w:szCs w:val="18"/>
              </w:rPr>
            </w:pPr>
          </w:p>
        </w:tc>
        <w:tc>
          <w:tcPr>
            <w:tcW w:w="1559" w:type="dxa"/>
          </w:tcPr>
          <w:p w14:paraId="6B10AF7D" w14:textId="77777777" w:rsidR="00AA34BF" w:rsidRPr="00AA34BF" w:rsidRDefault="00AA34BF" w:rsidP="00BE666E">
            <w:pPr>
              <w:tabs>
                <w:tab w:val="decimal" w:pos="1426"/>
              </w:tabs>
              <w:ind w:right="-144"/>
              <w:rPr>
                <w:rFonts w:cs="Arial"/>
                <w:sz w:val="18"/>
                <w:szCs w:val="18"/>
              </w:rPr>
            </w:pPr>
          </w:p>
        </w:tc>
        <w:tc>
          <w:tcPr>
            <w:tcW w:w="1559" w:type="dxa"/>
          </w:tcPr>
          <w:p w14:paraId="38709CEA" w14:textId="2011EF29" w:rsidR="00AA34BF" w:rsidRPr="00AA34BF" w:rsidRDefault="00AA34BF" w:rsidP="00BE666E">
            <w:pPr>
              <w:tabs>
                <w:tab w:val="decimal" w:pos="1426"/>
              </w:tabs>
              <w:ind w:right="-144"/>
              <w:rPr>
                <w:rFonts w:cs="Arial"/>
                <w:sz w:val="18"/>
                <w:szCs w:val="18"/>
              </w:rPr>
            </w:pPr>
          </w:p>
        </w:tc>
        <w:tc>
          <w:tcPr>
            <w:tcW w:w="1559" w:type="dxa"/>
          </w:tcPr>
          <w:p w14:paraId="53409D97" w14:textId="77777777" w:rsidR="00AA34BF" w:rsidRPr="00AA34BF" w:rsidRDefault="00AA34BF" w:rsidP="00BE666E">
            <w:pPr>
              <w:tabs>
                <w:tab w:val="decimal" w:pos="1426"/>
              </w:tabs>
              <w:ind w:right="-144"/>
              <w:rPr>
                <w:rFonts w:cs="Arial"/>
                <w:sz w:val="18"/>
                <w:szCs w:val="18"/>
              </w:rPr>
            </w:pPr>
          </w:p>
        </w:tc>
      </w:tr>
      <w:tr w:rsidR="00AA34BF" w:rsidRPr="0048226D" w14:paraId="2BC8D511" w14:textId="77777777" w:rsidTr="007D0D5A">
        <w:trPr>
          <w:trHeight w:val="104"/>
        </w:trPr>
        <w:tc>
          <w:tcPr>
            <w:tcW w:w="3402" w:type="dxa"/>
          </w:tcPr>
          <w:p w14:paraId="70916C69" w14:textId="77777777" w:rsidR="00AA34BF" w:rsidRPr="00AA34BF" w:rsidRDefault="00AA34BF" w:rsidP="00BE666E">
            <w:pPr>
              <w:rPr>
                <w:rFonts w:cs="Arial"/>
                <w:b/>
                <w:sz w:val="18"/>
                <w:szCs w:val="18"/>
              </w:rPr>
            </w:pPr>
            <w:r w:rsidRPr="00AA34BF">
              <w:rPr>
                <w:rFonts w:cs="Arial"/>
                <w:b/>
                <w:sz w:val="18"/>
                <w:szCs w:val="18"/>
              </w:rPr>
              <w:t>Total comprehensive profit for the year</w:t>
            </w:r>
          </w:p>
        </w:tc>
        <w:tc>
          <w:tcPr>
            <w:tcW w:w="1559" w:type="dxa"/>
          </w:tcPr>
          <w:p w14:paraId="15F8E82A" w14:textId="77777777" w:rsidR="00AA34BF" w:rsidRPr="00AA34BF" w:rsidRDefault="00AA34BF" w:rsidP="00BE666E">
            <w:pPr>
              <w:tabs>
                <w:tab w:val="decimal" w:pos="1426"/>
              </w:tabs>
              <w:ind w:right="-144"/>
              <w:jc w:val="both"/>
              <w:rPr>
                <w:rFonts w:cs="Arial"/>
                <w:sz w:val="18"/>
                <w:szCs w:val="18"/>
              </w:rPr>
            </w:pPr>
          </w:p>
        </w:tc>
        <w:tc>
          <w:tcPr>
            <w:tcW w:w="1559" w:type="dxa"/>
          </w:tcPr>
          <w:p w14:paraId="61A9C73D" w14:textId="77777777" w:rsidR="00AA34BF" w:rsidRPr="00AA34BF" w:rsidRDefault="00AA34BF" w:rsidP="00BE666E">
            <w:pPr>
              <w:tabs>
                <w:tab w:val="decimal" w:pos="1426"/>
              </w:tabs>
              <w:ind w:right="-144"/>
              <w:rPr>
                <w:rFonts w:cs="Arial"/>
                <w:sz w:val="18"/>
                <w:szCs w:val="18"/>
              </w:rPr>
            </w:pPr>
          </w:p>
        </w:tc>
        <w:tc>
          <w:tcPr>
            <w:tcW w:w="1559" w:type="dxa"/>
          </w:tcPr>
          <w:p w14:paraId="494D5B6E" w14:textId="77777777" w:rsidR="00AA34BF" w:rsidRPr="00AA34BF" w:rsidRDefault="00AA34BF" w:rsidP="00BE666E">
            <w:pPr>
              <w:tabs>
                <w:tab w:val="decimal" w:pos="1426"/>
              </w:tabs>
              <w:ind w:right="-144"/>
              <w:rPr>
                <w:rFonts w:cs="Arial"/>
                <w:sz w:val="18"/>
                <w:szCs w:val="18"/>
              </w:rPr>
            </w:pPr>
          </w:p>
        </w:tc>
        <w:tc>
          <w:tcPr>
            <w:tcW w:w="1559" w:type="dxa"/>
          </w:tcPr>
          <w:p w14:paraId="37B976DC" w14:textId="77777777" w:rsidR="00AA34BF" w:rsidRPr="00AA34BF" w:rsidRDefault="00AA34BF" w:rsidP="00BE666E">
            <w:pPr>
              <w:tabs>
                <w:tab w:val="decimal" w:pos="1426"/>
              </w:tabs>
              <w:ind w:right="-144"/>
              <w:rPr>
                <w:rFonts w:cs="Arial"/>
                <w:sz w:val="18"/>
                <w:szCs w:val="18"/>
              </w:rPr>
            </w:pPr>
          </w:p>
        </w:tc>
        <w:tc>
          <w:tcPr>
            <w:tcW w:w="1559" w:type="dxa"/>
          </w:tcPr>
          <w:p w14:paraId="61119EFA" w14:textId="77777777" w:rsidR="00AA34BF" w:rsidRPr="00AA34BF" w:rsidRDefault="00AA34BF" w:rsidP="00BE666E">
            <w:pPr>
              <w:tabs>
                <w:tab w:val="decimal" w:pos="1426"/>
              </w:tabs>
              <w:ind w:right="-144"/>
              <w:rPr>
                <w:rFonts w:cs="Arial"/>
                <w:sz w:val="18"/>
                <w:szCs w:val="18"/>
              </w:rPr>
            </w:pPr>
          </w:p>
        </w:tc>
        <w:tc>
          <w:tcPr>
            <w:tcW w:w="1559" w:type="dxa"/>
          </w:tcPr>
          <w:p w14:paraId="1C1AFF51" w14:textId="77777777" w:rsidR="00AA34BF" w:rsidRPr="00AA34BF" w:rsidRDefault="00AA34BF" w:rsidP="00BE666E">
            <w:pPr>
              <w:tabs>
                <w:tab w:val="decimal" w:pos="1426"/>
              </w:tabs>
              <w:ind w:right="-144"/>
              <w:rPr>
                <w:rFonts w:cs="Arial"/>
                <w:sz w:val="18"/>
                <w:szCs w:val="18"/>
              </w:rPr>
            </w:pPr>
          </w:p>
        </w:tc>
        <w:tc>
          <w:tcPr>
            <w:tcW w:w="1559" w:type="dxa"/>
          </w:tcPr>
          <w:p w14:paraId="7C0CBA7A" w14:textId="5C17E78D" w:rsidR="00AA34BF" w:rsidRPr="00AA34BF" w:rsidRDefault="00AA34BF" w:rsidP="00BE666E">
            <w:pPr>
              <w:tabs>
                <w:tab w:val="decimal" w:pos="1426"/>
              </w:tabs>
              <w:ind w:right="-144"/>
              <w:rPr>
                <w:rFonts w:cs="Arial"/>
                <w:sz w:val="18"/>
                <w:szCs w:val="18"/>
              </w:rPr>
            </w:pPr>
          </w:p>
        </w:tc>
        <w:tc>
          <w:tcPr>
            <w:tcW w:w="1559" w:type="dxa"/>
          </w:tcPr>
          <w:p w14:paraId="0F5ADC79" w14:textId="77777777" w:rsidR="00AA34BF" w:rsidRPr="00AA34BF" w:rsidRDefault="00AA34BF" w:rsidP="00BE666E">
            <w:pPr>
              <w:tabs>
                <w:tab w:val="decimal" w:pos="1426"/>
              </w:tabs>
              <w:ind w:right="-144"/>
              <w:rPr>
                <w:rFonts w:cs="Arial"/>
                <w:sz w:val="18"/>
                <w:szCs w:val="18"/>
              </w:rPr>
            </w:pPr>
          </w:p>
        </w:tc>
      </w:tr>
      <w:tr w:rsidR="00AA34BF" w:rsidRPr="0048226D" w14:paraId="0F98E9E8" w14:textId="77777777" w:rsidTr="007D0D5A">
        <w:tc>
          <w:tcPr>
            <w:tcW w:w="3402" w:type="dxa"/>
          </w:tcPr>
          <w:p w14:paraId="52A2AF1D" w14:textId="77777777" w:rsidR="00AA34BF" w:rsidRPr="00AA34BF" w:rsidRDefault="00AA34BF" w:rsidP="00BE666E">
            <w:pPr>
              <w:rPr>
                <w:rFonts w:cs="Arial"/>
                <w:sz w:val="18"/>
                <w:szCs w:val="18"/>
              </w:rPr>
            </w:pPr>
            <w:r w:rsidRPr="00AA34BF">
              <w:rPr>
                <w:rFonts w:cs="Arial"/>
                <w:sz w:val="18"/>
                <w:szCs w:val="18"/>
              </w:rPr>
              <w:t>Income for the year</w:t>
            </w:r>
          </w:p>
        </w:tc>
        <w:tc>
          <w:tcPr>
            <w:tcW w:w="1559" w:type="dxa"/>
          </w:tcPr>
          <w:p w14:paraId="4624BF61" w14:textId="3453EDC6" w:rsidR="00AA34BF" w:rsidRPr="00AA34BF" w:rsidRDefault="00606CDE" w:rsidP="00BE666E">
            <w:pPr>
              <w:tabs>
                <w:tab w:val="decimal" w:pos="1426"/>
              </w:tabs>
              <w:ind w:right="-144"/>
              <w:rPr>
                <w:rFonts w:cs="Arial"/>
                <w:sz w:val="18"/>
                <w:szCs w:val="18"/>
              </w:rPr>
            </w:pPr>
            <w:r>
              <w:rPr>
                <w:rFonts w:cs="Arial"/>
                <w:sz w:val="18"/>
                <w:szCs w:val="18"/>
              </w:rPr>
              <w:t>-</w:t>
            </w:r>
          </w:p>
        </w:tc>
        <w:tc>
          <w:tcPr>
            <w:tcW w:w="1559" w:type="dxa"/>
          </w:tcPr>
          <w:p w14:paraId="3B0A4DFF" w14:textId="297C2770" w:rsidR="00AA34BF" w:rsidRPr="00AA34BF" w:rsidRDefault="00162A72" w:rsidP="00BE666E">
            <w:pPr>
              <w:tabs>
                <w:tab w:val="decimal" w:pos="1426"/>
              </w:tabs>
              <w:ind w:right="-144"/>
              <w:rPr>
                <w:rFonts w:cs="Arial"/>
                <w:sz w:val="18"/>
                <w:szCs w:val="18"/>
              </w:rPr>
            </w:pPr>
            <w:r>
              <w:rPr>
                <w:rFonts w:cs="Arial"/>
                <w:sz w:val="18"/>
                <w:szCs w:val="18"/>
              </w:rPr>
              <w:t>-</w:t>
            </w:r>
          </w:p>
        </w:tc>
        <w:tc>
          <w:tcPr>
            <w:tcW w:w="1559" w:type="dxa"/>
          </w:tcPr>
          <w:p w14:paraId="155F0642" w14:textId="391A06E8" w:rsidR="00AA34BF" w:rsidRPr="00AA34BF" w:rsidRDefault="00162A72" w:rsidP="00BE666E">
            <w:pPr>
              <w:tabs>
                <w:tab w:val="decimal" w:pos="1426"/>
              </w:tabs>
              <w:ind w:right="-144"/>
              <w:rPr>
                <w:rFonts w:cs="Arial"/>
                <w:sz w:val="18"/>
                <w:szCs w:val="18"/>
              </w:rPr>
            </w:pPr>
            <w:r>
              <w:rPr>
                <w:rFonts w:cs="Arial"/>
                <w:sz w:val="18"/>
                <w:szCs w:val="18"/>
              </w:rPr>
              <w:t>-</w:t>
            </w:r>
          </w:p>
        </w:tc>
        <w:tc>
          <w:tcPr>
            <w:tcW w:w="1559" w:type="dxa"/>
          </w:tcPr>
          <w:p w14:paraId="797FC48D" w14:textId="18429C96" w:rsidR="00AA34BF" w:rsidRPr="00AA34BF" w:rsidRDefault="00494C02" w:rsidP="00BE666E">
            <w:pPr>
              <w:tabs>
                <w:tab w:val="decimal" w:pos="1426"/>
              </w:tabs>
              <w:ind w:right="-144"/>
              <w:rPr>
                <w:rFonts w:cs="Arial"/>
                <w:sz w:val="18"/>
                <w:szCs w:val="18"/>
              </w:rPr>
            </w:pPr>
            <w:r>
              <w:rPr>
                <w:rFonts w:cs="Arial"/>
                <w:sz w:val="18"/>
                <w:szCs w:val="18"/>
              </w:rPr>
              <w:t>-</w:t>
            </w:r>
          </w:p>
        </w:tc>
        <w:tc>
          <w:tcPr>
            <w:tcW w:w="1559" w:type="dxa"/>
          </w:tcPr>
          <w:p w14:paraId="35A4465E" w14:textId="132BB011" w:rsidR="00AA34BF" w:rsidRPr="00AA34BF" w:rsidRDefault="004F5246" w:rsidP="00BE666E">
            <w:pPr>
              <w:tabs>
                <w:tab w:val="decimal" w:pos="1426"/>
              </w:tabs>
              <w:ind w:right="-144"/>
              <w:rPr>
                <w:rFonts w:cs="Arial"/>
                <w:sz w:val="18"/>
                <w:szCs w:val="18"/>
              </w:rPr>
            </w:pPr>
            <w:r>
              <w:rPr>
                <w:rFonts w:cs="Arial"/>
                <w:sz w:val="18"/>
                <w:szCs w:val="18"/>
              </w:rPr>
              <w:t>-</w:t>
            </w:r>
          </w:p>
        </w:tc>
        <w:tc>
          <w:tcPr>
            <w:tcW w:w="1559" w:type="dxa"/>
          </w:tcPr>
          <w:p w14:paraId="6896151C" w14:textId="63A14E97" w:rsidR="00AA34BF" w:rsidRPr="00AA34BF" w:rsidRDefault="00610672" w:rsidP="00BE666E">
            <w:pPr>
              <w:tabs>
                <w:tab w:val="decimal" w:pos="1426"/>
              </w:tabs>
              <w:ind w:right="-144"/>
              <w:rPr>
                <w:rFonts w:cs="Arial"/>
                <w:b/>
                <w:sz w:val="18"/>
                <w:szCs w:val="18"/>
              </w:rPr>
            </w:pPr>
            <w:r>
              <w:rPr>
                <w:rFonts w:cs="Arial"/>
                <w:b/>
                <w:sz w:val="18"/>
                <w:szCs w:val="18"/>
              </w:rPr>
              <w:t>-</w:t>
            </w:r>
          </w:p>
        </w:tc>
        <w:tc>
          <w:tcPr>
            <w:tcW w:w="1559" w:type="dxa"/>
          </w:tcPr>
          <w:p w14:paraId="7A2C4269" w14:textId="46AC95AE" w:rsidR="00AA34BF" w:rsidRPr="00AA34BF" w:rsidRDefault="000139DC" w:rsidP="00BE666E">
            <w:pPr>
              <w:tabs>
                <w:tab w:val="decimal" w:pos="1426"/>
              </w:tabs>
              <w:ind w:right="-144"/>
              <w:rPr>
                <w:rFonts w:cs="Arial"/>
                <w:b/>
                <w:sz w:val="18"/>
                <w:szCs w:val="18"/>
              </w:rPr>
            </w:pPr>
            <w:r>
              <w:rPr>
                <w:rFonts w:cs="Arial"/>
                <w:b/>
                <w:sz w:val="18"/>
                <w:szCs w:val="18"/>
              </w:rPr>
              <w:t>28,356</w:t>
            </w:r>
          </w:p>
        </w:tc>
        <w:tc>
          <w:tcPr>
            <w:tcW w:w="1559" w:type="dxa"/>
          </w:tcPr>
          <w:p w14:paraId="0EFCB42D" w14:textId="5B22B32C" w:rsidR="00AA34BF" w:rsidRPr="00AA34BF" w:rsidRDefault="005873D4" w:rsidP="00BE666E">
            <w:pPr>
              <w:tabs>
                <w:tab w:val="decimal" w:pos="1426"/>
              </w:tabs>
              <w:ind w:right="-144"/>
              <w:rPr>
                <w:rFonts w:cs="Arial"/>
                <w:b/>
                <w:sz w:val="18"/>
                <w:szCs w:val="18"/>
              </w:rPr>
            </w:pPr>
            <w:r>
              <w:rPr>
                <w:rFonts w:cs="Arial"/>
                <w:b/>
                <w:sz w:val="18"/>
                <w:szCs w:val="18"/>
              </w:rPr>
              <w:t>28,356</w:t>
            </w:r>
          </w:p>
        </w:tc>
      </w:tr>
      <w:tr w:rsidR="00AA34BF" w:rsidRPr="0048226D" w14:paraId="462D4591" w14:textId="77777777" w:rsidTr="007D0D5A">
        <w:tc>
          <w:tcPr>
            <w:tcW w:w="3402" w:type="dxa"/>
          </w:tcPr>
          <w:p w14:paraId="01175281" w14:textId="7A503461" w:rsidR="00AA34BF" w:rsidRPr="00AA34BF" w:rsidRDefault="00AA34BF" w:rsidP="00BE666E">
            <w:pPr>
              <w:rPr>
                <w:rFonts w:cs="Arial"/>
                <w:sz w:val="18"/>
                <w:szCs w:val="18"/>
              </w:rPr>
            </w:pPr>
            <w:r w:rsidRPr="00AA34BF">
              <w:rPr>
                <w:rFonts w:cs="Arial"/>
                <w:sz w:val="18"/>
                <w:szCs w:val="18"/>
              </w:rPr>
              <w:t>Fair value movement on cashflow hedges</w:t>
            </w:r>
          </w:p>
        </w:tc>
        <w:tc>
          <w:tcPr>
            <w:tcW w:w="1559" w:type="dxa"/>
          </w:tcPr>
          <w:p w14:paraId="76C4D209" w14:textId="5926907E" w:rsidR="00AA34BF" w:rsidRPr="00AA34BF" w:rsidRDefault="00F85CB5" w:rsidP="00BE666E">
            <w:pPr>
              <w:tabs>
                <w:tab w:val="decimal" w:pos="1426"/>
              </w:tabs>
              <w:ind w:right="-144"/>
              <w:rPr>
                <w:rFonts w:cs="Arial"/>
                <w:sz w:val="18"/>
                <w:szCs w:val="18"/>
              </w:rPr>
            </w:pPr>
            <w:r>
              <w:rPr>
                <w:rFonts w:cs="Arial"/>
                <w:sz w:val="18"/>
                <w:szCs w:val="18"/>
              </w:rPr>
              <w:t>-</w:t>
            </w:r>
          </w:p>
        </w:tc>
        <w:tc>
          <w:tcPr>
            <w:tcW w:w="1559" w:type="dxa"/>
          </w:tcPr>
          <w:p w14:paraId="4E775228" w14:textId="1B01BDA5" w:rsidR="00AA34BF" w:rsidRPr="00AA34BF" w:rsidRDefault="00162A72" w:rsidP="00BE666E">
            <w:pPr>
              <w:tabs>
                <w:tab w:val="decimal" w:pos="1426"/>
              </w:tabs>
              <w:ind w:right="-144"/>
              <w:rPr>
                <w:rFonts w:cs="Arial"/>
                <w:sz w:val="18"/>
                <w:szCs w:val="18"/>
              </w:rPr>
            </w:pPr>
            <w:r>
              <w:rPr>
                <w:rFonts w:cs="Arial"/>
                <w:sz w:val="18"/>
                <w:szCs w:val="18"/>
              </w:rPr>
              <w:t>-</w:t>
            </w:r>
          </w:p>
        </w:tc>
        <w:tc>
          <w:tcPr>
            <w:tcW w:w="1559" w:type="dxa"/>
          </w:tcPr>
          <w:p w14:paraId="5297BAA5" w14:textId="3687C59A" w:rsidR="00AA34BF" w:rsidRPr="00AA34BF" w:rsidRDefault="00162A72" w:rsidP="00BE666E">
            <w:pPr>
              <w:tabs>
                <w:tab w:val="decimal" w:pos="1426"/>
              </w:tabs>
              <w:ind w:right="-144"/>
              <w:rPr>
                <w:rFonts w:cs="Arial"/>
                <w:sz w:val="18"/>
                <w:szCs w:val="18"/>
              </w:rPr>
            </w:pPr>
            <w:r>
              <w:rPr>
                <w:rFonts w:cs="Arial"/>
                <w:sz w:val="18"/>
                <w:szCs w:val="18"/>
              </w:rPr>
              <w:t>-</w:t>
            </w:r>
          </w:p>
        </w:tc>
        <w:tc>
          <w:tcPr>
            <w:tcW w:w="1559" w:type="dxa"/>
          </w:tcPr>
          <w:p w14:paraId="21E03E49" w14:textId="4E7DD792" w:rsidR="00AA34BF" w:rsidRPr="00AA34BF" w:rsidRDefault="00494C02" w:rsidP="00BE666E">
            <w:pPr>
              <w:tabs>
                <w:tab w:val="decimal" w:pos="1426"/>
              </w:tabs>
              <w:ind w:right="-144"/>
              <w:rPr>
                <w:rFonts w:cs="Arial"/>
                <w:sz w:val="18"/>
                <w:szCs w:val="18"/>
              </w:rPr>
            </w:pPr>
            <w:r>
              <w:rPr>
                <w:rFonts w:cs="Arial"/>
                <w:sz w:val="18"/>
                <w:szCs w:val="18"/>
              </w:rPr>
              <w:t>-</w:t>
            </w:r>
          </w:p>
        </w:tc>
        <w:tc>
          <w:tcPr>
            <w:tcW w:w="1559" w:type="dxa"/>
          </w:tcPr>
          <w:p w14:paraId="32C2310A" w14:textId="0E0E490E" w:rsidR="00AA34BF" w:rsidRPr="00AA34BF" w:rsidRDefault="004F5246" w:rsidP="00BE666E">
            <w:pPr>
              <w:tabs>
                <w:tab w:val="decimal" w:pos="1426"/>
              </w:tabs>
              <w:ind w:right="-144"/>
              <w:rPr>
                <w:rFonts w:cs="Arial"/>
                <w:sz w:val="18"/>
                <w:szCs w:val="18"/>
              </w:rPr>
            </w:pPr>
            <w:r>
              <w:rPr>
                <w:rFonts w:cs="Arial"/>
                <w:sz w:val="18"/>
                <w:szCs w:val="18"/>
              </w:rPr>
              <w:t>-</w:t>
            </w:r>
          </w:p>
        </w:tc>
        <w:tc>
          <w:tcPr>
            <w:tcW w:w="1559" w:type="dxa"/>
          </w:tcPr>
          <w:p w14:paraId="5EE02126" w14:textId="79FFAF1A" w:rsidR="00AA34BF" w:rsidRPr="00AA34BF" w:rsidRDefault="00057166" w:rsidP="00BE666E">
            <w:pPr>
              <w:tabs>
                <w:tab w:val="decimal" w:pos="1426"/>
              </w:tabs>
              <w:ind w:right="-144"/>
              <w:rPr>
                <w:rFonts w:cs="Arial"/>
                <w:b/>
                <w:sz w:val="18"/>
                <w:szCs w:val="18"/>
              </w:rPr>
            </w:pPr>
            <w:r>
              <w:rPr>
                <w:rFonts w:cs="Arial"/>
                <w:b/>
                <w:sz w:val="18"/>
                <w:szCs w:val="18"/>
              </w:rPr>
              <w:t>33</w:t>
            </w:r>
          </w:p>
        </w:tc>
        <w:tc>
          <w:tcPr>
            <w:tcW w:w="1559" w:type="dxa"/>
          </w:tcPr>
          <w:p w14:paraId="5764AACF" w14:textId="65F6FEB0" w:rsidR="00AA34BF" w:rsidRPr="00AA34BF" w:rsidRDefault="000139DC" w:rsidP="00BE666E">
            <w:pPr>
              <w:tabs>
                <w:tab w:val="decimal" w:pos="1426"/>
              </w:tabs>
              <w:ind w:right="-144"/>
              <w:rPr>
                <w:rFonts w:cs="Arial"/>
                <w:b/>
                <w:sz w:val="18"/>
                <w:szCs w:val="18"/>
              </w:rPr>
            </w:pPr>
            <w:r>
              <w:rPr>
                <w:rFonts w:cs="Arial"/>
                <w:b/>
                <w:sz w:val="18"/>
                <w:szCs w:val="18"/>
              </w:rPr>
              <w:t>-</w:t>
            </w:r>
          </w:p>
        </w:tc>
        <w:tc>
          <w:tcPr>
            <w:tcW w:w="1559" w:type="dxa"/>
          </w:tcPr>
          <w:p w14:paraId="4BF9B8A4" w14:textId="0CE98E05" w:rsidR="00AA34BF" w:rsidRPr="00AA34BF" w:rsidRDefault="005873D4" w:rsidP="00BE666E">
            <w:pPr>
              <w:tabs>
                <w:tab w:val="decimal" w:pos="1426"/>
              </w:tabs>
              <w:ind w:right="-144"/>
              <w:rPr>
                <w:rFonts w:cs="Arial"/>
                <w:b/>
                <w:bCs/>
                <w:sz w:val="18"/>
                <w:szCs w:val="18"/>
              </w:rPr>
            </w:pPr>
            <w:r>
              <w:rPr>
                <w:rFonts w:cs="Arial"/>
                <w:b/>
                <w:bCs/>
                <w:sz w:val="18"/>
                <w:szCs w:val="18"/>
              </w:rPr>
              <w:t>33</w:t>
            </w:r>
          </w:p>
        </w:tc>
      </w:tr>
      <w:tr w:rsidR="00AA34BF" w:rsidRPr="0048226D" w14:paraId="426EC6F1" w14:textId="77777777" w:rsidTr="007D0D5A">
        <w:tc>
          <w:tcPr>
            <w:tcW w:w="3402" w:type="dxa"/>
          </w:tcPr>
          <w:p w14:paraId="4EA25157" w14:textId="5486EE48" w:rsidR="00AA34BF" w:rsidRPr="00AA34BF" w:rsidRDefault="00AA34BF" w:rsidP="00BE666E">
            <w:pPr>
              <w:rPr>
                <w:rFonts w:cs="Arial"/>
                <w:sz w:val="18"/>
                <w:szCs w:val="18"/>
              </w:rPr>
            </w:pPr>
            <w:r w:rsidRPr="00AA34BF">
              <w:rPr>
                <w:rFonts w:cs="Arial"/>
                <w:sz w:val="18"/>
                <w:szCs w:val="18"/>
              </w:rPr>
              <w:t>Cashflow hedges reclassified to profit and loss</w:t>
            </w:r>
          </w:p>
        </w:tc>
        <w:tc>
          <w:tcPr>
            <w:tcW w:w="1559" w:type="dxa"/>
          </w:tcPr>
          <w:p w14:paraId="44174BCD" w14:textId="621AC16D" w:rsidR="00AA34BF" w:rsidRPr="00AA34BF" w:rsidRDefault="00F85CB5" w:rsidP="00BE666E">
            <w:pPr>
              <w:tabs>
                <w:tab w:val="decimal" w:pos="1426"/>
              </w:tabs>
              <w:ind w:right="-144"/>
              <w:rPr>
                <w:rFonts w:cs="Arial"/>
                <w:sz w:val="18"/>
                <w:szCs w:val="18"/>
              </w:rPr>
            </w:pPr>
            <w:r>
              <w:rPr>
                <w:rFonts w:cs="Arial"/>
                <w:sz w:val="18"/>
                <w:szCs w:val="18"/>
              </w:rPr>
              <w:t>-</w:t>
            </w:r>
          </w:p>
        </w:tc>
        <w:tc>
          <w:tcPr>
            <w:tcW w:w="1559" w:type="dxa"/>
          </w:tcPr>
          <w:p w14:paraId="0C873B2A" w14:textId="2CD52122" w:rsidR="00AA34BF" w:rsidRPr="00AA34BF" w:rsidRDefault="00162A72" w:rsidP="00BE666E">
            <w:pPr>
              <w:tabs>
                <w:tab w:val="decimal" w:pos="1426"/>
              </w:tabs>
              <w:ind w:right="-144"/>
              <w:rPr>
                <w:rFonts w:cs="Arial"/>
                <w:sz w:val="18"/>
                <w:szCs w:val="18"/>
              </w:rPr>
            </w:pPr>
            <w:r>
              <w:rPr>
                <w:rFonts w:cs="Arial"/>
                <w:sz w:val="18"/>
                <w:szCs w:val="18"/>
              </w:rPr>
              <w:t>-</w:t>
            </w:r>
          </w:p>
        </w:tc>
        <w:tc>
          <w:tcPr>
            <w:tcW w:w="1559" w:type="dxa"/>
          </w:tcPr>
          <w:p w14:paraId="3AF57141" w14:textId="11B47E30" w:rsidR="00AA34BF" w:rsidRPr="00AA34BF" w:rsidRDefault="00162A72" w:rsidP="00BE666E">
            <w:pPr>
              <w:tabs>
                <w:tab w:val="decimal" w:pos="1426"/>
              </w:tabs>
              <w:ind w:right="-144"/>
              <w:rPr>
                <w:rFonts w:cs="Arial"/>
                <w:sz w:val="18"/>
                <w:szCs w:val="18"/>
              </w:rPr>
            </w:pPr>
            <w:r>
              <w:rPr>
                <w:rFonts w:cs="Arial"/>
                <w:sz w:val="18"/>
                <w:szCs w:val="18"/>
              </w:rPr>
              <w:t>-</w:t>
            </w:r>
          </w:p>
        </w:tc>
        <w:tc>
          <w:tcPr>
            <w:tcW w:w="1559" w:type="dxa"/>
          </w:tcPr>
          <w:p w14:paraId="7506B0E3" w14:textId="4CC3D4E7" w:rsidR="00AA34BF" w:rsidRPr="00AA34BF" w:rsidRDefault="00494C02" w:rsidP="00BE666E">
            <w:pPr>
              <w:tabs>
                <w:tab w:val="decimal" w:pos="1426"/>
              </w:tabs>
              <w:ind w:right="-144"/>
              <w:rPr>
                <w:rFonts w:cs="Arial"/>
                <w:sz w:val="18"/>
                <w:szCs w:val="18"/>
              </w:rPr>
            </w:pPr>
            <w:r>
              <w:rPr>
                <w:rFonts w:cs="Arial"/>
                <w:sz w:val="18"/>
                <w:szCs w:val="18"/>
              </w:rPr>
              <w:t>-</w:t>
            </w:r>
          </w:p>
        </w:tc>
        <w:tc>
          <w:tcPr>
            <w:tcW w:w="1559" w:type="dxa"/>
          </w:tcPr>
          <w:p w14:paraId="1CBCF259" w14:textId="55155F7F" w:rsidR="00AA34BF" w:rsidRPr="00AA34BF" w:rsidRDefault="004F5246" w:rsidP="00BE666E">
            <w:pPr>
              <w:tabs>
                <w:tab w:val="decimal" w:pos="1426"/>
              </w:tabs>
              <w:ind w:right="-144"/>
              <w:rPr>
                <w:rFonts w:cs="Arial"/>
                <w:sz w:val="18"/>
                <w:szCs w:val="18"/>
              </w:rPr>
            </w:pPr>
            <w:r>
              <w:rPr>
                <w:rFonts w:cs="Arial"/>
                <w:sz w:val="18"/>
                <w:szCs w:val="18"/>
              </w:rPr>
              <w:t>-</w:t>
            </w:r>
          </w:p>
        </w:tc>
        <w:tc>
          <w:tcPr>
            <w:tcW w:w="1559" w:type="dxa"/>
          </w:tcPr>
          <w:p w14:paraId="17A9F9CE" w14:textId="0C33E046" w:rsidR="00AA34BF" w:rsidRPr="00AA34BF" w:rsidRDefault="00EC0E18" w:rsidP="00BE666E">
            <w:pPr>
              <w:tabs>
                <w:tab w:val="decimal" w:pos="1426"/>
              </w:tabs>
              <w:ind w:right="-144"/>
              <w:rPr>
                <w:rFonts w:cs="Arial"/>
                <w:b/>
                <w:sz w:val="18"/>
                <w:szCs w:val="18"/>
              </w:rPr>
            </w:pPr>
            <w:r>
              <w:rPr>
                <w:rFonts w:cs="Arial"/>
                <w:b/>
                <w:sz w:val="18"/>
                <w:szCs w:val="18"/>
              </w:rPr>
              <w:t>174</w:t>
            </w:r>
          </w:p>
        </w:tc>
        <w:tc>
          <w:tcPr>
            <w:tcW w:w="1559" w:type="dxa"/>
          </w:tcPr>
          <w:p w14:paraId="6EE11386" w14:textId="4F9594E8" w:rsidR="00AA34BF" w:rsidRPr="00AA34BF" w:rsidRDefault="000139DC" w:rsidP="00BE666E">
            <w:pPr>
              <w:tabs>
                <w:tab w:val="decimal" w:pos="1426"/>
              </w:tabs>
              <w:ind w:right="-144"/>
              <w:rPr>
                <w:rFonts w:cs="Arial"/>
                <w:b/>
                <w:sz w:val="18"/>
                <w:szCs w:val="18"/>
              </w:rPr>
            </w:pPr>
            <w:r>
              <w:rPr>
                <w:rFonts w:cs="Arial"/>
                <w:b/>
                <w:sz w:val="18"/>
                <w:szCs w:val="18"/>
              </w:rPr>
              <w:t>-</w:t>
            </w:r>
          </w:p>
        </w:tc>
        <w:tc>
          <w:tcPr>
            <w:tcW w:w="1559" w:type="dxa"/>
          </w:tcPr>
          <w:p w14:paraId="4BB6E4A7" w14:textId="5ACED3B9" w:rsidR="00AA34BF" w:rsidRPr="00AA34BF" w:rsidRDefault="005873D4" w:rsidP="00BE666E">
            <w:pPr>
              <w:tabs>
                <w:tab w:val="decimal" w:pos="1426"/>
              </w:tabs>
              <w:ind w:right="-144"/>
              <w:rPr>
                <w:rFonts w:cs="Arial"/>
                <w:b/>
                <w:bCs/>
                <w:sz w:val="18"/>
                <w:szCs w:val="18"/>
              </w:rPr>
            </w:pPr>
            <w:r>
              <w:rPr>
                <w:rFonts w:cs="Arial"/>
                <w:b/>
                <w:bCs/>
                <w:sz w:val="18"/>
                <w:szCs w:val="18"/>
              </w:rPr>
              <w:t>174</w:t>
            </w:r>
          </w:p>
        </w:tc>
      </w:tr>
      <w:tr w:rsidR="00447E1D" w:rsidRPr="0048226D" w14:paraId="4B6B64FD" w14:textId="77777777" w:rsidTr="00930E36">
        <w:tc>
          <w:tcPr>
            <w:tcW w:w="3402" w:type="dxa"/>
          </w:tcPr>
          <w:p w14:paraId="6F38632A" w14:textId="7BFFB495" w:rsidR="00447E1D" w:rsidRPr="00AA34BF" w:rsidRDefault="00447E1D" w:rsidP="00BE666E">
            <w:pPr>
              <w:rPr>
                <w:rFonts w:cs="Arial"/>
                <w:sz w:val="18"/>
                <w:szCs w:val="18"/>
              </w:rPr>
            </w:pPr>
            <w:r>
              <w:rPr>
                <w:rFonts w:cs="Arial"/>
                <w:sz w:val="18"/>
                <w:szCs w:val="18"/>
              </w:rPr>
              <w:t xml:space="preserve">Cash flow </w:t>
            </w:r>
            <w:r w:rsidR="00DF4393">
              <w:rPr>
                <w:rFonts w:cs="Arial"/>
                <w:sz w:val="18"/>
                <w:szCs w:val="18"/>
              </w:rPr>
              <w:t>hedges</w:t>
            </w:r>
            <w:r w:rsidR="0002129A">
              <w:rPr>
                <w:rFonts w:cs="Arial"/>
                <w:sz w:val="18"/>
                <w:szCs w:val="18"/>
              </w:rPr>
              <w:t>- Deferred tax</w:t>
            </w:r>
          </w:p>
        </w:tc>
        <w:tc>
          <w:tcPr>
            <w:tcW w:w="1559" w:type="dxa"/>
          </w:tcPr>
          <w:p w14:paraId="61413D23" w14:textId="377B6790" w:rsidR="00447E1D" w:rsidRPr="00AA34BF" w:rsidRDefault="00F85CB5" w:rsidP="00BE666E">
            <w:pPr>
              <w:tabs>
                <w:tab w:val="decimal" w:pos="1426"/>
              </w:tabs>
              <w:ind w:right="-144"/>
              <w:rPr>
                <w:rFonts w:cs="Arial"/>
                <w:sz w:val="18"/>
                <w:szCs w:val="18"/>
              </w:rPr>
            </w:pPr>
            <w:r>
              <w:rPr>
                <w:rFonts w:cs="Arial"/>
                <w:sz w:val="18"/>
                <w:szCs w:val="18"/>
              </w:rPr>
              <w:t>-</w:t>
            </w:r>
          </w:p>
        </w:tc>
        <w:tc>
          <w:tcPr>
            <w:tcW w:w="1559" w:type="dxa"/>
          </w:tcPr>
          <w:p w14:paraId="1ED363B9" w14:textId="0764E60E" w:rsidR="00447E1D" w:rsidRPr="00AA34BF" w:rsidRDefault="00162A72" w:rsidP="00BE666E">
            <w:pPr>
              <w:tabs>
                <w:tab w:val="decimal" w:pos="1426"/>
              </w:tabs>
              <w:ind w:right="-144"/>
              <w:rPr>
                <w:rFonts w:cs="Arial"/>
                <w:sz w:val="18"/>
                <w:szCs w:val="18"/>
              </w:rPr>
            </w:pPr>
            <w:r>
              <w:rPr>
                <w:rFonts w:cs="Arial"/>
                <w:sz w:val="18"/>
                <w:szCs w:val="18"/>
              </w:rPr>
              <w:t>-</w:t>
            </w:r>
          </w:p>
        </w:tc>
        <w:tc>
          <w:tcPr>
            <w:tcW w:w="1559" w:type="dxa"/>
          </w:tcPr>
          <w:p w14:paraId="2EA57B49" w14:textId="5459B7BA" w:rsidR="00447E1D" w:rsidRPr="00AA34BF" w:rsidRDefault="00162A72" w:rsidP="00BE666E">
            <w:pPr>
              <w:tabs>
                <w:tab w:val="decimal" w:pos="1426"/>
              </w:tabs>
              <w:ind w:right="-144"/>
              <w:rPr>
                <w:rFonts w:cs="Arial"/>
                <w:sz w:val="18"/>
                <w:szCs w:val="18"/>
              </w:rPr>
            </w:pPr>
            <w:r>
              <w:rPr>
                <w:rFonts w:cs="Arial"/>
                <w:sz w:val="18"/>
                <w:szCs w:val="18"/>
              </w:rPr>
              <w:t>-</w:t>
            </w:r>
          </w:p>
        </w:tc>
        <w:tc>
          <w:tcPr>
            <w:tcW w:w="1559" w:type="dxa"/>
          </w:tcPr>
          <w:p w14:paraId="1D777983" w14:textId="0FCB8C18" w:rsidR="00447E1D" w:rsidRPr="00AA34BF" w:rsidRDefault="00494C02" w:rsidP="00BE666E">
            <w:pPr>
              <w:tabs>
                <w:tab w:val="decimal" w:pos="1426"/>
              </w:tabs>
              <w:ind w:right="-144"/>
              <w:rPr>
                <w:rFonts w:cs="Arial"/>
                <w:sz w:val="18"/>
                <w:szCs w:val="18"/>
              </w:rPr>
            </w:pPr>
            <w:r>
              <w:rPr>
                <w:rFonts w:cs="Arial"/>
                <w:sz w:val="18"/>
                <w:szCs w:val="18"/>
              </w:rPr>
              <w:t>-</w:t>
            </w:r>
          </w:p>
        </w:tc>
        <w:tc>
          <w:tcPr>
            <w:tcW w:w="1559" w:type="dxa"/>
          </w:tcPr>
          <w:p w14:paraId="0B7D4FD7" w14:textId="2FFD7AEE" w:rsidR="00447E1D" w:rsidRPr="00AA34BF" w:rsidRDefault="004F5246" w:rsidP="00BE666E">
            <w:pPr>
              <w:tabs>
                <w:tab w:val="decimal" w:pos="1426"/>
              </w:tabs>
              <w:ind w:right="-144"/>
              <w:rPr>
                <w:rFonts w:cs="Arial"/>
                <w:sz w:val="18"/>
                <w:szCs w:val="18"/>
              </w:rPr>
            </w:pPr>
            <w:r>
              <w:rPr>
                <w:rFonts w:cs="Arial"/>
                <w:sz w:val="18"/>
                <w:szCs w:val="18"/>
              </w:rPr>
              <w:t>-</w:t>
            </w:r>
          </w:p>
        </w:tc>
        <w:tc>
          <w:tcPr>
            <w:tcW w:w="1559" w:type="dxa"/>
          </w:tcPr>
          <w:p w14:paraId="616C95E3" w14:textId="085EAD2C" w:rsidR="00447E1D" w:rsidRPr="00AA34BF" w:rsidRDefault="00EC0E18" w:rsidP="00BE666E">
            <w:pPr>
              <w:tabs>
                <w:tab w:val="decimal" w:pos="1426"/>
              </w:tabs>
              <w:ind w:right="-144"/>
              <w:rPr>
                <w:rFonts w:cs="Arial"/>
                <w:b/>
                <w:sz w:val="18"/>
                <w:szCs w:val="18"/>
              </w:rPr>
            </w:pPr>
            <w:r>
              <w:rPr>
                <w:rFonts w:cs="Arial"/>
                <w:b/>
                <w:sz w:val="18"/>
                <w:szCs w:val="18"/>
              </w:rPr>
              <w:t>(</w:t>
            </w:r>
            <w:r w:rsidR="002B7EA1">
              <w:rPr>
                <w:rFonts w:cs="Arial"/>
                <w:b/>
                <w:sz w:val="18"/>
                <w:szCs w:val="18"/>
              </w:rPr>
              <w:t>52</w:t>
            </w:r>
            <w:r>
              <w:rPr>
                <w:rFonts w:cs="Arial"/>
                <w:b/>
                <w:sz w:val="18"/>
                <w:szCs w:val="18"/>
              </w:rPr>
              <w:t>)</w:t>
            </w:r>
          </w:p>
        </w:tc>
        <w:tc>
          <w:tcPr>
            <w:tcW w:w="1559" w:type="dxa"/>
          </w:tcPr>
          <w:p w14:paraId="1DBF1ACE" w14:textId="387E627F" w:rsidR="00447E1D" w:rsidRPr="00AA34BF" w:rsidRDefault="000139DC" w:rsidP="00BE666E">
            <w:pPr>
              <w:tabs>
                <w:tab w:val="decimal" w:pos="1426"/>
              </w:tabs>
              <w:ind w:right="-144"/>
              <w:rPr>
                <w:rFonts w:cs="Arial"/>
                <w:b/>
                <w:sz w:val="18"/>
                <w:szCs w:val="18"/>
              </w:rPr>
            </w:pPr>
            <w:r>
              <w:rPr>
                <w:rFonts w:cs="Arial"/>
                <w:b/>
                <w:sz w:val="18"/>
                <w:szCs w:val="18"/>
              </w:rPr>
              <w:t>-</w:t>
            </w:r>
          </w:p>
        </w:tc>
        <w:tc>
          <w:tcPr>
            <w:tcW w:w="1559" w:type="dxa"/>
          </w:tcPr>
          <w:p w14:paraId="4774158C" w14:textId="3E257962" w:rsidR="00447E1D" w:rsidRPr="00AA34BF" w:rsidRDefault="005873D4" w:rsidP="00BE666E">
            <w:pPr>
              <w:tabs>
                <w:tab w:val="decimal" w:pos="1426"/>
              </w:tabs>
              <w:ind w:right="-144"/>
              <w:rPr>
                <w:rFonts w:cs="Arial"/>
                <w:b/>
                <w:bCs/>
                <w:sz w:val="18"/>
                <w:szCs w:val="18"/>
              </w:rPr>
            </w:pPr>
            <w:r>
              <w:rPr>
                <w:rFonts w:cs="Arial"/>
                <w:b/>
                <w:bCs/>
                <w:sz w:val="18"/>
                <w:szCs w:val="18"/>
              </w:rPr>
              <w:t>(</w:t>
            </w:r>
            <w:r w:rsidR="003623BC">
              <w:rPr>
                <w:rFonts w:cs="Arial"/>
                <w:b/>
                <w:bCs/>
                <w:sz w:val="18"/>
                <w:szCs w:val="18"/>
              </w:rPr>
              <w:t>52</w:t>
            </w:r>
            <w:r>
              <w:rPr>
                <w:rFonts w:cs="Arial"/>
                <w:b/>
                <w:bCs/>
                <w:sz w:val="18"/>
                <w:szCs w:val="18"/>
              </w:rPr>
              <w:t>)</w:t>
            </w:r>
          </w:p>
        </w:tc>
      </w:tr>
      <w:tr w:rsidR="00AA34BF" w:rsidRPr="0048226D" w14:paraId="2985BE80" w14:textId="77777777" w:rsidTr="007D0D5A">
        <w:tc>
          <w:tcPr>
            <w:tcW w:w="3402" w:type="dxa"/>
          </w:tcPr>
          <w:p w14:paraId="1D668AE1" w14:textId="77777777" w:rsidR="00AA34BF" w:rsidRPr="00AA34BF" w:rsidRDefault="00AA34BF" w:rsidP="00BE666E">
            <w:pPr>
              <w:rPr>
                <w:rFonts w:cs="Arial"/>
                <w:sz w:val="18"/>
                <w:szCs w:val="18"/>
              </w:rPr>
            </w:pPr>
          </w:p>
        </w:tc>
        <w:tc>
          <w:tcPr>
            <w:tcW w:w="1559" w:type="dxa"/>
          </w:tcPr>
          <w:p w14:paraId="01EA9011"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4EBBBFE8"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13BDF463"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795529EA" w14:textId="77777777" w:rsidR="00AA34BF" w:rsidRPr="00AA34BF" w:rsidRDefault="00AA34BF" w:rsidP="00BE666E">
            <w:pPr>
              <w:tabs>
                <w:tab w:val="decimal" w:pos="1426"/>
              </w:tabs>
              <w:ind w:right="-144"/>
              <w:rPr>
                <w:rFonts w:cs="Arial"/>
                <w:sz w:val="18"/>
                <w:szCs w:val="18"/>
              </w:rPr>
            </w:pPr>
            <w:r w:rsidRPr="00AA34BF">
              <w:rPr>
                <w:rFonts w:cs="Arial"/>
                <w:sz w:val="18"/>
                <w:szCs w:val="18"/>
                <w:u w:val="single"/>
              </w:rPr>
              <w:t>                  </w:t>
            </w:r>
          </w:p>
        </w:tc>
        <w:tc>
          <w:tcPr>
            <w:tcW w:w="1559" w:type="dxa"/>
          </w:tcPr>
          <w:p w14:paraId="5335FFCD"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067D26BE" w14:textId="551C2EDF"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59A336CF" w14:textId="76DC8F94" w:rsidR="00AA34BF" w:rsidRPr="00AA34BF" w:rsidRDefault="00AA34BF" w:rsidP="00BE666E">
            <w:pPr>
              <w:tabs>
                <w:tab w:val="decimal" w:pos="1426"/>
              </w:tabs>
              <w:ind w:right="-144"/>
              <w:rPr>
                <w:rFonts w:cs="Arial"/>
                <w:sz w:val="18"/>
                <w:szCs w:val="18"/>
              </w:rPr>
            </w:pPr>
            <w:r w:rsidRPr="00AA34BF">
              <w:rPr>
                <w:rFonts w:cs="Arial"/>
                <w:sz w:val="18"/>
                <w:szCs w:val="18"/>
                <w:u w:val="single"/>
              </w:rPr>
              <w:t>                  </w:t>
            </w:r>
          </w:p>
        </w:tc>
        <w:tc>
          <w:tcPr>
            <w:tcW w:w="1559" w:type="dxa"/>
          </w:tcPr>
          <w:p w14:paraId="657A8D25" w14:textId="77777777" w:rsidR="00AA34BF" w:rsidRPr="00AA34BF" w:rsidRDefault="00AA34BF" w:rsidP="00BE666E">
            <w:pPr>
              <w:tabs>
                <w:tab w:val="decimal" w:pos="1426"/>
              </w:tabs>
              <w:ind w:right="-144"/>
              <w:rPr>
                <w:rFonts w:cs="Arial"/>
                <w:sz w:val="18"/>
                <w:szCs w:val="18"/>
              </w:rPr>
            </w:pPr>
            <w:r w:rsidRPr="00AA34BF">
              <w:rPr>
                <w:rFonts w:cs="Arial"/>
                <w:sz w:val="18"/>
                <w:szCs w:val="18"/>
                <w:u w:val="single"/>
              </w:rPr>
              <w:t>                  </w:t>
            </w:r>
          </w:p>
        </w:tc>
      </w:tr>
      <w:tr w:rsidR="00AA34BF" w:rsidRPr="0048226D" w14:paraId="04AF0F03" w14:textId="77777777" w:rsidTr="007D0D5A">
        <w:tc>
          <w:tcPr>
            <w:tcW w:w="3402" w:type="dxa"/>
          </w:tcPr>
          <w:p w14:paraId="0AEA0A39" w14:textId="77777777" w:rsidR="00AA34BF" w:rsidRPr="00AA34BF" w:rsidRDefault="00AA34BF" w:rsidP="00BE666E">
            <w:pPr>
              <w:rPr>
                <w:rFonts w:cs="Arial"/>
                <w:sz w:val="18"/>
                <w:szCs w:val="18"/>
              </w:rPr>
            </w:pPr>
          </w:p>
        </w:tc>
        <w:tc>
          <w:tcPr>
            <w:tcW w:w="1559" w:type="dxa"/>
          </w:tcPr>
          <w:p w14:paraId="4F96D864" w14:textId="77777777" w:rsidR="00AA34BF" w:rsidRPr="00AA34BF" w:rsidRDefault="00AA34BF" w:rsidP="00BE666E">
            <w:pPr>
              <w:tabs>
                <w:tab w:val="decimal" w:pos="1426"/>
              </w:tabs>
              <w:ind w:right="-144"/>
              <w:rPr>
                <w:rFonts w:cs="Arial"/>
                <w:sz w:val="18"/>
                <w:szCs w:val="18"/>
                <w:u w:val="single"/>
              </w:rPr>
            </w:pPr>
          </w:p>
        </w:tc>
        <w:tc>
          <w:tcPr>
            <w:tcW w:w="1559" w:type="dxa"/>
          </w:tcPr>
          <w:p w14:paraId="18434026" w14:textId="77777777" w:rsidR="00AA34BF" w:rsidRPr="00AA34BF" w:rsidRDefault="00AA34BF" w:rsidP="00BE666E">
            <w:pPr>
              <w:tabs>
                <w:tab w:val="decimal" w:pos="1426"/>
              </w:tabs>
              <w:ind w:right="-144"/>
              <w:rPr>
                <w:rFonts w:cs="Arial"/>
                <w:sz w:val="18"/>
                <w:szCs w:val="18"/>
                <w:u w:val="single"/>
              </w:rPr>
            </w:pPr>
          </w:p>
        </w:tc>
        <w:tc>
          <w:tcPr>
            <w:tcW w:w="1559" w:type="dxa"/>
          </w:tcPr>
          <w:p w14:paraId="6700BF6E" w14:textId="77777777" w:rsidR="00AA34BF" w:rsidRPr="00AA34BF" w:rsidRDefault="00AA34BF" w:rsidP="00BE666E">
            <w:pPr>
              <w:tabs>
                <w:tab w:val="decimal" w:pos="1426"/>
              </w:tabs>
              <w:ind w:right="-144"/>
              <w:rPr>
                <w:rFonts w:cs="Arial"/>
                <w:sz w:val="18"/>
                <w:szCs w:val="18"/>
                <w:u w:val="single"/>
              </w:rPr>
            </w:pPr>
          </w:p>
        </w:tc>
        <w:tc>
          <w:tcPr>
            <w:tcW w:w="1559" w:type="dxa"/>
          </w:tcPr>
          <w:p w14:paraId="22BCBFB2" w14:textId="77777777" w:rsidR="00AA34BF" w:rsidRPr="00AA34BF" w:rsidRDefault="00AA34BF" w:rsidP="00BE666E">
            <w:pPr>
              <w:tabs>
                <w:tab w:val="decimal" w:pos="1426"/>
              </w:tabs>
              <w:ind w:right="-144"/>
              <w:rPr>
                <w:rFonts w:cs="Arial"/>
                <w:sz w:val="18"/>
                <w:szCs w:val="18"/>
                <w:u w:val="single"/>
              </w:rPr>
            </w:pPr>
          </w:p>
        </w:tc>
        <w:tc>
          <w:tcPr>
            <w:tcW w:w="1559" w:type="dxa"/>
          </w:tcPr>
          <w:p w14:paraId="3E12D63F" w14:textId="77777777" w:rsidR="00AA34BF" w:rsidRPr="00AA34BF" w:rsidRDefault="00AA34BF" w:rsidP="00BE666E">
            <w:pPr>
              <w:tabs>
                <w:tab w:val="decimal" w:pos="1426"/>
              </w:tabs>
              <w:ind w:right="-144"/>
              <w:rPr>
                <w:rFonts w:cs="Arial"/>
                <w:sz w:val="18"/>
                <w:szCs w:val="18"/>
                <w:u w:val="single"/>
              </w:rPr>
            </w:pPr>
          </w:p>
        </w:tc>
        <w:tc>
          <w:tcPr>
            <w:tcW w:w="1559" w:type="dxa"/>
          </w:tcPr>
          <w:p w14:paraId="1E20C8A8" w14:textId="77777777" w:rsidR="00AA34BF" w:rsidRPr="00AA34BF" w:rsidRDefault="00AA34BF" w:rsidP="00BE666E">
            <w:pPr>
              <w:tabs>
                <w:tab w:val="decimal" w:pos="1426"/>
              </w:tabs>
              <w:ind w:right="-144"/>
              <w:rPr>
                <w:rFonts w:cs="Arial"/>
                <w:sz w:val="18"/>
                <w:szCs w:val="18"/>
                <w:u w:val="single"/>
              </w:rPr>
            </w:pPr>
          </w:p>
        </w:tc>
        <w:tc>
          <w:tcPr>
            <w:tcW w:w="1559" w:type="dxa"/>
          </w:tcPr>
          <w:p w14:paraId="73B20CC5" w14:textId="02BCC010" w:rsidR="00AA34BF" w:rsidRPr="00AA34BF" w:rsidRDefault="00AA34BF" w:rsidP="00BE666E">
            <w:pPr>
              <w:tabs>
                <w:tab w:val="decimal" w:pos="1426"/>
              </w:tabs>
              <w:ind w:right="-144"/>
              <w:rPr>
                <w:rFonts w:cs="Arial"/>
                <w:sz w:val="18"/>
                <w:szCs w:val="18"/>
                <w:u w:val="single"/>
              </w:rPr>
            </w:pPr>
          </w:p>
        </w:tc>
        <w:tc>
          <w:tcPr>
            <w:tcW w:w="1559" w:type="dxa"/>
          </w:tcPr>
          <w:p w14:paraId="10A0D243" w14:textId="77777777" w:rsidR="00AA34BF" w:rsidRPr="00AA34BF" w:rsidRDefault="00AA34BF" w:rsidP="00BE666E">
            <w:pPr>
              <w:tabs>
                <w:tab w:val="decimal" w:pos="1426"/>
              </w:tabs>
              <w:ind w:right="-144"/>
              <w:rPr>
                <w:rFonts w:cs="Arial"/>
                <w:sz w:val="18"/>
                <w:szCs w:val="18"/>
                <w:u w:val="single"/>
              </w:rPr>
            </w:pPr>
          </w:p>
        </w:tc>
      </w:tr>
      <w:tr w:rsidR="00AA34BF" w:rsidRPr="0048226D" w14:paraId="77E7510E" w14:textId="77777777" w:rsidTr="007D0D5A">
        <w:tc>
          <w:tcPr>
            <w:tcW w:w="3402" w:type="dxa"/>
          </w:tcPr>
          <w:p w14:paraId="4ADFA22F" w14:textId="77777777" w:rsidR="00AA34BF" w:rsidRPr="00AA34BF" w:rsidRDefault="00AA34BF" w:rsidP="00BE666E">
            <w:pPr>
              <w:rPr>
                <w:rFonts w:cs="Arial"/>
                <w:sz w:val="18"/>
                <w:szCs w:val="18"/>
              </w:rPr>
            </w:pPr>
          </w:p>
        </w:tc>
        <w:tc>
          <w:tcPr>
            <w:tcW w:w="1559" w:type="dxa"/>
          </w:tcPr>
          <w:p w14:paraId="005DB27B" w14:textId="0E33BBF0" w:rsidR="00AA34BF" w:rsidRPr="00AA34BF" w:rsidRDefault="00AA34BF" w:rsidP="00BE666E">
            <w:pPr>
              <w:tabs>
                <w:tab w:val="decimal" w:pos="1426"/>
              </w:tabs>
              <w:ind w:right="-144"/>
              <w:rPr>
                <w:rFonts w:cs="Arial"/>
                <w:b/>
                <w:sz w:val="18"/>
                <w:szCs w:val="18"/>
              </w:rPr>
            </w:pPr>
            <w:r w:rsidRPr="00AA34BF">
              <w:rPr>
                <w:rFonts w:cs="Arial"/>
                <w:b/>
                <w:sz w:val="18"/>
                <w:szCs w:val="18"/>
              </w:rPr>
              <w:t>-</w:t>
            </w:r>
          </w:p>
        </w:tc>
        <w:tc>
          <w:tcPr>
            <w:tcW w:w="1559" w:type="dxa"/>
          </w:tcPr>
          <w:p w14:paraId="564F8AC0" w14:textId="77777777" w:rsidR="00AA34BF" w:rsidRPr="00AA34BF" w:rsidRDefault="00AA34BF" w:rsidP="00BE666E">
            <w:pPr>
              <w:tabs>
                <w:tab w:val="decimal" w:pos="1426"/>
              </w:tabs>
              <w:ind w:right="-144"/>
              <w:rPr>
                <w:rFonts w:cs="Arial"/>
                <w:b/>
                <w:sz w:val="18"/>
                <w:szCs w:val="18"/>
              </w:rPr>
            </w:pPr>
            <w:r w:rsidRPr="00AA34BF">
              <w:rPr>
                <w:rFonts w:cs="Arial"/>
                <w:b/>
                <w:sz w:val="18"/>
                <w:szCs w:val="18"/>
              </w:rPr>
              <w:t>-</w:t>
            </w:r>
          </w:p>
        </w:tc>
        <w:tc>
          <w:tcPr>
            <w:tcW w:w="1559" w:type="dxa"/>
          </w:tcPr>
          <w:p w14:paraId="448AD2E6" w14:textId="10A567C2" w:rsidR="00AA34BF" w:rsidRPr="00AA34BF" w:rsidRDefault="00AA34BF" w:rsidP="00BE666E">
            <w:pPr>
              <w:tabs>
                <w:tab w:val="decimal" w:pos="1426"/>
              </w:tabs>
              <w:ind w:right="-144"/>
              <w:rPr>
                <w:rFonts w:cs="Arial"/>
                <w:b/>
                <w:sz w:val="18"/>
                <w:szCs w:val="18"/>
              </w:rPr>
            </w:pPr>
            <w:r w:rsidRPr="00AA34BF">
              <w:rPr>
                <w:rFonts w:cs="Arial"/>
                <w:b/>
                <w:sz w:val="18"/>
                <w:szCs w:val="18"/>
              </w:rPr>
              <w:t>-</w:t>
            </w:r>
          </w:p>
        </w:tc>
        <w:tc>
          <w:tcPr>
            <w:tcW w:w="1559" w:type="dxa"/>
          </w:tcPr>
          <w:p w14:paraId="1CC991A8" w14:textId="3525D970" w:rsidR="00AA34BF" w:rsidRPr="00AA34BF" w:rsidRDefault="00AA34BF" w:rsidP="00BE666E">
            <w:pPr>
              <w:tabs>
                <w:tab w:val="decimal" w:pos="1426"/>
              </w:tabs>
              <w:ind w:right="-144"/>
              <w:rPr>
                <w:rFonts w:cs="Arial"/>
                <w:b/>
                <w:sz w:val="18"/>
                <w:szCs w:val="18"/>
              </w:rPr>
            </w:pPr>
            <w:r w:rsidRPr="00AA34BF">
              <w:rPr>
                <w:rFonts w:cs="Arial"/>
                <w:b/>
                <w:sz w:val="18"/>
                <w:szCs w:val="18"/>
              </w:rPr>
              <w:t>-</w:t>
            </w:r>
          </w:p>
        </w:tc>
        <w:tc>
          <w:tcPr>
            <w:tcW w:w="1559" w:type="dxa"/>
          </w:tcPr>
          <w:p w14:paraId="7BE5942C" w14:textId="6E2AE438" w:rsidR="00AA34BF" w:rsidRPr="00AA34BF" w:rsidRDefault="00AA34BF" w:rsidP="00BE666E">
            <w:pPr>
              <w:tabs>
                <w:tab w:val="decimal" w:pos="1426"/>
              </w:tabs>
              <w:ind w:right="-144"/>
              <w:rPr>
                <w:rFonts w:cs="Arial"/>
                <w:b/>
                <w:sz w:val="18"/>
                <w:szCs w:val="18"/>
              </w:rPr>
            </w:pPr>
            <w:r w:rsidRPr="00AA34BF">
              <w:rPr>
                <w:rFonts w:cs="Arial"/>
                <w:b/>
                <w:sz w:val="18"/>
                <w:szCs w:val="18"/>
              </w:rPr>
              <w:t>-</w:t>
            </w:r>
          </w:p>
        </w:tc>
        <w:tc>
          <w:tcPr>
            <w:tcW w:w="1559" w:type="dxa"/>
          </w:tcPr>
          <w:p w14:paraId="2DC8B2A1" w14:textId="2CE0CAD2" w:rsidR="00AA34BF" w:rsidRPr="00AA34BF" w:rsidRDefault="00EC0E18" w:rsidP="00BE666E">
            <w:pPr>
              <w:tabs>
                <w:tab w:val="decimal" w:pos="1426"/>
              </w:tabs>
              <w:ind w:right="-144"/>
              <w:rPr>
                <w:rFonts w:cs="Arial"/>
                <w:b/>
                <w:sz w:val="18"/>
                <w:szCs w:val="18"/>
              </w:rPr>
            </w:pPr>
            <w:r>
              <w:rPr>
                <w:rFonts w:cs="Arial"/>
                <w:b/>
                <w:sz w:val="18"/>
                <w:szCs w:val="18"/>
              </w:rPr>
              <w:t>1</w:t>
            </w:r>
            <w:r w:rsidR="000C6D94">
              <w:rPr>
                <w:rFonts w:cs="Arial"/>
                <w:b/>
                <w:sz w:val="18"/>
                <w:szCs w:val="18"/>
              </w:rPr>
              <w:t>55</w:t>
            </w:r>
          </w:p>
        </w:tc>
        <w:tc>
          <w:tcPr>
            <w:tcW w:w="1559" w:type="dxa"/>
          </w:tcPr>
          <w:p w14:paraId="31725A64" w14:textId="32B2B481" w:rsidR="00AA34BF" w:rsidRPr="00AA34BF" w:rsidRDefault="000139DC" w:rsidP="00BE666E">
            <w:pPr>
              <w:tabs>
                <w:tab w:val="decimal" w:pos="1426"/>
              </w:tabs>
              <w:ind w:right="-144"/>
              <w:rPr>
                <w:rFonts w:cs="Arial"/>
                <w:b/>
                <w:sz w:val="18"/>
                <w:szCs w:val="18"/>
              </w:rPr>
            </w:pPr>
            <w:r>
              <w:rPr>
                <w:rFonts w:cs="Arial"/>
                <w:b/>
                <w:sz w:val="18"/>
                <w:szCs w:val="18"/>
              </w:rPr>
              <w:t>28,356</w:t>
            </w:r>
          </w:p>
        </w:tc>
        <w:tc>
          <w:tcPr>
            <w:tcW w:w="1559" w:type="dxa"/>
          </w:tcPr>
          <w:p w14:paraId="0B02724B" w14:textId="7CBA76B8" w:rsidR="00AA34BF" w:rsidRPr="00AA34BF" w:rsidRDefault="005873D4" w:rsidP="00BE666E">
            <w:pPr>
              <w:tabs>
                <w:tab w:val="decimal" w:pos="1426"/>
              </w:tabs>
              <w:ind w:right="-144"/>
              <w:rPr>
                <w:rFonts w:cs="Arial"/>
                <w:b/>
                <w:sz w:val="18"/>
                <w:szCs w:val="18"/>
              </w:rPr>
            </w:pPr>
            <w:r>
              <w:rPr>
                <w:rFonts w:cs="Arial"/>
                <w:b/>
                <w:sz w:val="18"/>
                <w:szCs w:val="18"/>
              </w:rPr>
              <w:t>28,</w:t>
            </w:r>
            <w:r w:rsidR="003623BC">
              <w:rPr>
                <w:rFonts w:cs="Arial"/>
                <w:b/>
                <w:sz w:val="18"/>
                <w:szCs w:val="18"/>
              </w:rPr>
              <w:t>511</w:t>
            </w:r>
          </w:p>
        </w:tc>
      </w:tr>
      <w:tr w:rsidR="00AA34BF" w:rsidRPr="0048226D" w14:paraId="4228DE70" w14:textId="77777777" w:rsidTr="007D0D5A">
        <w:tc>
          <w:tcPr>
            <w:tcW w:w="3402" w:type="dxa"/>
          </w:tcPr>
          <w:p w14:paraId="001D6D91" w14:textId="77777777" w:rsidR="00AA34BF" w:rsidRPr="00AA34BF" w:rsidRDefault="00AA34BF" w:rsidP="00BE666E">
            <w:pPr>
              <w:rPr>
                <w:rFonts w:cs="Arial"/>
                <w:sz w:val="18"/>
                <w:szCs w:val="18"/>
              </w:rPr>
            </w:pPr>
          </w:p>
        </w:tc>
        <w:tc>
          <w:tcPr>
            <w:tcW w:w="1559" w:type="dxa"/>
          </w:tcPr>
          <w:p w14:paraId="04010150"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3C8FC065"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71D4C4C5"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0A8DB0DB" w14:textId="77777777" w:rsidR="00AA34BF" w:rsidRPr="00AA34BF" w:rsidRDefault="00AA34BF" w:rsidP="00BE666E">
            <w:pPr>
              <w:tabs>
                <w:tab w:val="decimal" w:pos="1426"/>
              </w:tabs>
              <w:ind w:right="-144"/>
              <w:rPr>
                <w:rFonts w:cs="Arial"/>
                <w:sz w:val="18"/>
                <w:szCs w:val="18"/>
              </w:rPr>
            </w:pPr>
            <w:r w:rsidRPr="00AA34BF">
              <w:rPr>
                <w:rFonts w:cs="Arial"/>
                <w:sz w:val="18"/>
                <w:szCs w:val="18"/>
                <w:u w:val="single"/>
              </w:rPr>
              <w:t>                  </w:t>
            </w:r>
          </w:p>
        </w:tc>
        <w:tc>
          <w:tcPr>
            <w:tcW w:w="1559" w:type="dxa"/>
          </w:tcPr>
          <w:p w14:paraId="78C67BA0"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12170444" w14:textId="4AD15E63"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7181A08F" w14:textId="2FBA1DD3" w:rsidR="00AA34BF" w:rsidRPr="00AA34BF" w:rsidRDefault="00AA34BF" w:rsidP="00BE666E">
            <w:pPr>
              <w:tabs>
                <w:tab w:val="decimal" w:pos="1426"/>
              </w:tabs>
              <w:ind w:right="-144"/>
              <w:rPr>
                <w:rFonts w:cs="Arial"/>
                <w:sz w:val="18"/>
                <w:szCs w:val="18"/>
              </w:rPr>
            </w:pPr>
            <w:r w:rsidRPr="00AA34BF">
              <w:rPr>
                <w:rFonts w:cs="Arial"/>
                <w:sz w:val="18"/>
                <w:szCs w:val="18"/>
                <w:u w:val="single"/>
              </w:rPr>
              <w:t>                  </w:t>
            </w:r>
          </w:p>
        </w:tc>
        <w:tc>
          <w:tcPr>
            <w:tcW w:w="1559" w:type="dxa"/>
          </w:tcPr>
          <w:p w14:paraId="14F97C79" w14:textId="77777777" w:rsidR="00AA34BF" w:rsidRPr="00AA34BF" w:rsidRDefault="00AA34BF" w:rsidP="00BE666E">
            <w:pPr>
              <w:tabs>
                <w:tab w:val="decimal" w:pos="1426"/>
              </w:tabs>
              <w:ind w:right="-144"/>
              <w:rPr>
                <w:rFonts w:cs="Arial"/>
                <w:sz w:val="18"/>
                <w:szCs w:val="18"/>
              </w:rPr>
            </w:pPr>
            <w:r w:rsidRPr="00AA34BF">
              <w:rPr>
                <w:rFonts w:cs="Arial"/>
                <w:sz w:val="18"/>
                <w:szCs w:val="18"/>
                <w:u w:val="single"/>
              </w:rPr>
              <w:t>                  </w:t>
            </w:r>
          </w:p>
        </w:tc>
      </w:tr>
      <w:tr w:rsidR="00AA34BF" w:rsidRPr="0048226D" w14:paraId="6046361E" w14:textId="77777777" w:rsidTr="007D0D5A">
        <w:tc>
          <w:tcPr>
            <w:tcW w:w="3402" w:type="dxa"/>
          </w:tcPr>
          <w:p w14:paraId="34EA362C" w14:textId="77777777" w:rsidR="00AA34BF" w:rsidRPr="00AA34BF" w:rsidRDefault="00AA34BF" w:rsidP="00BE666E">
            <w:pPr>
              <w:rPr>
                <w:rFonts w:cs="Arial"/>
                <w:sz w:val="18"/>
                <w:szCs w:val="18"/>
              </w:rPr>
            </w:pPr>
          </w:p>
        </w:tc>
        <w:tc>
          <w:tcPr>
            <w:tcW w:w="1559" w:type="dxa"/>
          </w:tcPr>
          <w:p w14:paraId="182CF467" w14:textId="77777777" w:rsidR="00AA34BF" w:rsidRPr="00AA34BF" w:rsidRDefault="00AA34BF" w:rsidP="00BE666E">
            <w:pPr>
              <w:tabs>
                <w:tab w:val="decimal" w:pos="1426"/>
              </w:tabs>
              <w:ind w:right="-144"/>
              <w:rPr>
                <w:rFonts w:cs="Arial"/>
                <w:sz w:val="18"/>
                <w:szCs w:val="18"/>
              </w:rPr>
            </w:pPr>
          </w:p>
        </w:tc>
        <w:tc>
          <w:tcPr>
            <w:tcW w:w="1559" w:type="dxa"/>
          </w:tcPr>
          <w:p w14:paraId="5AA65C8F" w14:textId="77777777" w:rsidR="00AA34BF" w:rsidRPr="00AA34BF" w:rsidRDefault="00AA34BF" w:rsidP="00BE666E">
            <w:pPr>
              <w:tabs>
                <w:tab w:val="decimal" w:pos="1426"/>
              </w:tabs>
              <w:ind w:right="-144"/>
              <w:rPr>
                <w:rFonts w:cs="Arial"/>
                <w:sz w:val="18"/>
                <w:szCs w:val="18"/>
              </w:rPr>
            </w:pPr>
          </w:p>
        </w:tc>
        <w:tc>
          <w:tcPr>
            <w:tcW w:w="1559" w:type="dxa"/>
          </w:tcPr>
          <w:p w14:paraId="3B39B882" w14:textId="77777777" w:rsidR="00AA34BF" w:rsidRPr="00AA34BF" w:rsidRDefault="00AA34BF" w:rsidP="00BE666E">
            <w:pPr>
              <w:tabs>
                <w:tab w:val="decimal" w:pos="1426"/>
              </w:tabs>
              <w:ind w:right="-144"/>
              <w:rPr>
                <w:rFonts w:cs="Arial"/>
                <w:sz w:val="18"/>
                <w:szCs w:val="18"/>
              </w:rPr>
            </w:pPr>
          </w:p>
        </w:tc>
        <w:tc>
          <w:tcPr>
            <w:tcW w:w="1559" w:type="dxa"/>
          </w:tcPr>
          <w:p w14:paraId="306835E9" w14:textId="77777777" w:rsidR="00AA34BF" w:rsidRPr="00AA34BF" w:rsidRDefault="00AA34BF" w:rsidP="00BE666E">
            <w:pPr>
              <w:tabs>
                <w:tab w:val="decimal" w:pos="1426"/>
              </w:tabs>
              <w:ind w:right="-144"/>
              <w:rPr>
                <w:rFonts w:cs="Arial"/>
                <w:sz w:val="18"/>
                <w:szCs w:val="18"/>
              </w:rPr>
            </w:pPr>
          </w:p>
        </w:tc>
        <w:tc>
          <w:tcPr>
            <w:tcW w:w="1559" w:type="dxa"/>
          </w:tcPr>
          <w:p w14:paraId="28E8E797" w14:textId="77777777" w:rsidR="00AA34BF" w:rsidRPr="00AA34BF" w:rsidRDefault="00AA34BF" w:rsidP="00BE666E">
            <w:pPr>
              <w:tabs>
                <w:tab w:val="decimal" w:pos="1426"/>
              </w:tabs>
              <w:ind w:right="-144"/>
              <w:rPr>
                <w:rFonts w:cs="Arial"/>
                <w:sz w:val="18"/>
                <w:szCs w:val="18"/>
              </w:rPr>
            </w:pPr>
          </w:p>
        </w:tc>
        <w:tc>
          <w:tcPr>
            <w:tcW w:w="1559" w:type="dxa"/>
          </w:tcPr>
          <w:p w14:paraId="5AB55937" w14:textId="77777777" w:rsidR="00AA34BF" w:rsidRPr="00AA34BF" w:rsidRDefault="00AA34BF" w:rsidP="00BE666E">
            <w:pPr>
              <w:tabs>
                <w:tab w:val="decimal" w:pos="1426"/>
              </w:tabs>
              <w:ind w:right="-144"/>
              <w:rPr>
                <w:rFonts w:cs="Arial"/>
                <w:sz w:val="18"/>
                <w:szCs w:val="18"/>
              </w:rPr>
            </w:pPr>
          </w:p>
        </w:tc>
        <w:tc>
          <w:tcPr>
            <w:tcW w:w="1559" w:type="dxa"/>
          </w:tcPr>
          <w:p w14:paraId="0A094B53" w14:textId="46AC4A90" w:rsidR="00AA34BF" w:rsidRPr="00AA34BF" w:rsidRDefault="00AA34BF" w:rsidP="00BE666E">
            <w:pPr>
              <w:tabs>
                <w:tab w:val="decimal" w:pos="1426"/>
              </w:tabs>
              <w:ind w:right="-144"/>
              <w:rPr>
                <w:rFonts w:cs="Arial"/>
                <w:sz w:val="18"/>
                <w:szCs w:val="18"/>
              </w:rPr>
            </w:pPr>
          </w:p>
        </w:tc>
        <w:tc>
          <w:tcPr>
            <w:tcW w:w="1559" w:type="dxa"/>
          </w:tcPr>
          <w:p w14:paraId="219B5CDC" w14:textId="77777777" w:rsidR="00AA34BF" w:rsidRPr="00AA34BF" w:rsidRDefault="00AA34BF" w:rsidP="00BE666E">
            <w:pPr>
              <w:tabs>
                <w:tab w:val="decimal" w:pos="1426"/>
              </w:tabs>
              <w:ind w:right="-144"/>
              <w:rPr>
                <w:rFonts w:cs="Arial"/>
                <w:sz w:val="18"/>
                <w:szCs w:val="18"/>
              </w:rPr>
            </w:pPr>
          </w:p>
        </w:tc>
      </w:tr>
      <w:tr w:rsidR="00AA34BF" w:rsidRPr="0048226D" w14:paraId="761283B6" w14:textId="77777777" w:rsidTr="007D0D5A">
        <w:tc>
          <w:tcPr>
            <w:tcW w:w="3402" w:type="dxa"/>
          </w:tcPr>
          <w:p w14:paraId="009700B5" w14:textId="77777777" w:rsidR="00AA34BF" w:rsidRPr="00AA34BF" w:rsidRDefault="00AA34BF" w:rsidP="00BE666E">
            <w:pPr>
              <w:rPr>
                <w:rFonts w:cs="Arial"/>
                <w:b/>
                <w:sz w:val="18"/>
                <w:szCs w:val="18"/>
              </w:rPr>
            </w:pPr>
            <w:r w:rsidRPr="00AA34BF">
              <w:rPr>
                <w:rFonts w:cs="Arial"/>
                <w:b/>
                <w:sz w:val="18"/>
                <w:szCs w:val="18"/>
              </w:rPr>
              <w:t>Transactions with owners of the Company</w:t>
            </w:r>
          </w:p>
        </w:tc>
        <w:tc>
          <w:tcPr>
            <w:tcW w:w="1559" w:type="dxa"/>
          </w:tcPr>
          <w:p w14:paraId="3C02D122" w14:textId="77777777" w:rsidR="00AA34BF" w:rsidRPr="00AA34BF" w:rsidRDefault="00AA34BF" w:rsidP="00BE666E">
            <w:pPr>
              <w:tabs>
                <w:tab w:val="decimal" w:pos="1426"/>
              </w:tabs>
              <w:ind w:right="-144"/>
              <w:rPr>
                <w:rFonts w:cs="Arial"/>
                <w:sz w:val="18"/>
                <w:szCs w:val="18"/>
              </w:rPr>
            </w:pPr>
          </w:p>
        </w:tc>
        <w:tc>
          <w:tcPr>
            <w:tcW w:w="1559" w:type="dxa"/>
          </w:tcPr>
          <w:p w14:paraId="3A506BB9" w14:textId="77777777" w:rsidR="00AA34BF" w:rsidRPr="00AA34BF" w:rsidRDefault="00AA34BF" w:rsidP="00BE666E">
            <w:pPr>
              <w:tabs>
                <w:tab w:val="decimal" w:pos="1426"/>
              </w:tabs>
              <w:ind w:right="-144"/>
              <w:rPr>
                <w:rFonts w:cs="Arial"/>
                <w:sz w:val="18"/>
                <w:szCs w:val="18"/>
              </w:rPr>
            </w:pPr>
          </w:p>
        </w:tc>
        <w:tc>
          <w:tcPr>
            <w:tcW w:w="1559" w:type="dxa"/>
          </w:tcPr>
          <w:p w14:paraId="3A417A4A" w14:textId="77777777" w:rsidR="00AA34BF" w:rsidRPr="00AA34BF" w:rsidRDefault="00AA34BF" w:rsidP="00BE666E">
            <w:pPr>
              <w:tabs>
                <w:tab w:val="decimal" w:pos="1426"/>
              </w:tabs>
              <w:ind w:right="-144"/>
              <w:rPr>
                <w:rFonts w:cs="Arial"/>
                <w:sz w:val="18"/>
                <w:szCs w:val="18"/>
              </w:rPr>
            </w:pPr>
          </w:p>
        </w:tc>
        <w:tc>
          <w:tcPr>
            <w:tcW w:w="1559" w:type="dxa"/>
          </w:tcPr>
          <w:p w14:paraId="7CFD39CD" w14:textId="77777777" w:rsidR="00AA34BF" w:rsidRPr="00AA34BF" w:rsidRDefault="00AA34BF" w:rsidP="00BE666E">
            <w:pPr>
              <w:tabs>
                <w:tab w:val="decimal" w:pos="1426"/>
              </w:tabs>
              <w:ind w:right="-144"/>
              <w:rPr>
                <w:rFonts w:cs="Arial"/>
                <w:sz w:val="18"/>
                <w:szCs w:val="18"/>
              </w:rPr>
            </w:pPr>
          </w:p>
        </w:tc>
        <w:tc>
          <w:tcPr>
            <w:tcW w:w="1559" w:type="dxa"/>
          </w:tcPr>
          <w:p w14:paraId="199F7445" w14:textId="77777777" w:rsidR="00AA34BF" w:rsidRPr="00AA34BF" w:rsidRDefault="00AA34BF" w:rsidP="00BE666E">
            <w:pPr>
              <w:tabs>
                <w:tab w:val="decimal" w:pos="1426"/>
              </w:tabs>
              <w:ind w:right="-144"/>
              <w:rPr>
                <w:rFonts w:cs="Arial"/>
                <w:sz w:val="18"/>
                <w:szCs w:val="18"/>
              </w:rPr>
            </w:pPr>
          </w:p>
        </w:tc>
        <w:tc>
          <w:tcPr>
            <w:tcW w:w="1559" w:type="dxa"/>
          </w:tcPr>
          <w:p w14:paraId="0405FAEE" w14:textId="77777777" w:rsidR="00AA34BF" w:rsidRPr="00AA34BF" w:rsidRDefault="00AA34BF" w:rsidP="00BE666E">
            <w:pPr>
              <w:tabs>
                <w:tab w:val="decimal" w:pos="1426"/>
              </w:tabs>
              <w:ind w:right="-144"/>
              <w:rPr>
                <w:rFonts w:cs="Arial"/>
                <w:sz w:val="18"/>
                <w:szCs w:val="18"/>
              </w:rPr>
            </w:pPr>
          </w:p>
        </w:tc>
        <w:tc>
          <w:tcPr>
            <w:tcW w:w="1559" w:type="dxa"/>
          </w:tcPr>
          <w:p w14:paraId="153C4C37" w14:textId="358D2D0C" w:rsidR="00AA34BF" w:rsidRPr="00AA34BF" w:rsidRDefault="00AA34BF" w:rsidP="00BE666E">
            <w:pPr>
              <w:tabs>
                <w:tab w:val="decimal" w:pos="1426"/>
              </w:tabs>
              <w:ind w:right="-144"/>
              <w:rPr>
                <w:rFonts w:cs="Arial"/>
                <w:sz w:val="18"/>
                <w:szCs w:val="18"/>
              </w:rPr>
            </w:pPr>
          </w:p>
        </w:tc>
        <w:tc>
          <w:tcPr>
            <w:tcW w:w="1559" w:type="dxa"/>
          </w:tcPr>
          <w:p w14:paraId="4544A8F4" w14:textId="77777777" w:rsidR="00AA34BF" w:rsidRPr="00AA34BF" w:rsidRDefault="00AA34BF" w:rsidP="00BE666E">
            <w:pPr>
              <w:tabs>
                <w:tab w:val="decimal" w:pos="1426"/>
              </w:tabs>
              <w:ind w:right="-144"/>
              <w:rPr>
                <w:rFonts w:cs="Arial"/>
                <w:sz w:val="18"/>
                <w:szCs w:val="18"/>
              </w:rPr>
            </w:pPr>
          </w:p>
        </w:tc>
      </w:tr>
      <w:tr w:rsidR="00AA34BF" w:rsidRPr="0048226D" w14:paraId="6B08F7B2" w14:textId="77777777" w:rsidTr="007D0D5A">
        <w:tc>
          <w:tcPr>
            <w:tcW w:w="3402" w:type="dxa"/>
          </w:tcPr>
          <w:p w14:paraId="3F53CC9C" w14:textId="77777777" w:rsidR="00AA34BF" w:rsidRPr="00AA34BF" w:rsidRDefault="00AA34BF" w:rsidP="00BE666E">
            <w:pPr>
              <w:ind w:right="-144"/>
              <w:rPr>
                <w:rFonts w:cs="Arial"/>
                <w:sz w:val="18"/>
                <w:szCs w:val="18"/>
              </w:rPr>
            </w:pPr>
            <w:r w:rsidRPr="00AA34BF">
              <w:rPr>
                <w:rFonts w:cs="Arial"/>
                <w:sz w:val="18"/>
                <w:szCs w:val="18"/>
              </w:rPr>
              <w:t>Equity-settled share-based payments</w:t>
            </w:r>
          </w:p>
        </w:tc>
        <w:tc>
          <w:tcPr>
            <w:tcW w:w="1559" w:type="dxa"/>
          </w:tcPr>
          <w:p w14:paraId="0CDD614E" w14:textId="2ADCE986" w:rsidR="00AA34BF" w:rsidRPr="00AA34BF" w:rsidRDefault="000D26A4" w:rsidP="00BE666E">
            <w:pPr>
              <w:tabs>
                <w:tab w:val="decimal" w:pos="1426"/>
              </w:tabs>
              <w:ind w:right="-144"/>
              <w:rPr>
                <w:rFonts w:cs="Arial"/>
                <w:b/>
                <w:sz w:val="18"/>
                <w:szCs w:val="18"/>
              </w:rPr>
            </w:pPr>
            <w:r>
              <w:rPr>
                <w:rFonts w:cs="Arial"/>
                <w:b/>
                <w:sz w:val="18"/>
                <w:szCs w:val="18"/>
              </w:rPr>
              <w:t>-</w:t>
            </w:r>
          </w:p>
        </w:tc>
        <w:tc>
          <w:tcPr>
            <w:tcW w:w="1559" w:type="dxa"/>
          </w:tcPr>
          <w:p w14:paraId="7AD4C0FB" w14:textId="44DA4C40" w:rsidR="00AA34BF" w:rsidRPr="00AA34BF" w:rsidRDefault="00162A72" w:rsidP="00BE666E">
            <w:pPr>
              <w:tabs>
                <w:tab w:val="decimal" w:pos="1426"/>
              </w:tabs>
              <w:ind w:right="-144"/>
              <w:rPr>
                <w:rFonts w:cs="Arial"/>
                <w:b/>
                <w:sz w:val="18"/>
                <w:szCs w:val="18"/>
              </w:rPr>
            </w:pPr>
            <w:r>
              <w:rPr>
                <w:rFonts w:cs="Arial"/>
                <w:b/>
                <w:sz w:val="18"/>
                <w:szCs w:val="18"/>
              </w:rPr>
              <w:t>-</w:t>
            </w:r>
          </w:p>
        </w:tc>
        <w:tc>
          <w:tcPr>
            <w:tcW w:w="1559" w:type="dxa"/>
          </w:tcPr>
          <w:p w14:paraId="4EFC615B" w14:textId="10EA2E91" w:rsidR="00AA34BF" w:rsidRPr="00AA34BF" w:rsidRDefault="00162A72" w:rsidP="00BE666E">
            <w:pPr>
              <w:tabs>
                <w:tab w:val="decimal" w:pos="1426"/>
              </w:tabs>
              <w:ind w:right="-144"/>
              <w:rPr>
                <w:rFonts w:cs="Arial"/>
                <w:b/>
                <w:sz w:val="18"/>
                <w:szCs w:val="18"/>
              </w:rPr>
            </w:pPr>
            <w:r>
              <w:rPr>
                <w:rFonts w:cs="Arial"/>
                <w:b/>
                <w:sz w:val="18"/>
                <w:szCs w:val="18"/>
              </w:rPr>
              <w:t>-</w:t>
            </w:r>
          </w:p>
        </w:tc>
        <w:tc>
          <w:tcPr>
            <w:tcW w:w="1559" w:type="dxa"/>
          </w:tcPr>
          <w:p w14:paraId="432FC9C8" w14:textId="27834843" w:rsidR="00AA34BF" w:rsidRPr="00AA34BF" w:rsidRDefault="00805F06" w:rsidP="00BE666E">
            <w:pPr>
              <w:tabs>
                <w:tab w:val="decimal" w:pos="1426"/>
              </w:tabs>
              <w:ind w:right="-144"/>
              <w:rPr>
                <w:rFonts w:cs="Arial"/>
                <w:b/>
                <w:sz w:val="18"/>
                <w:szCs w:val="18"/>
              </w:rPr>
            </w:pPr>
            <w:r>
              <w:rPr>
                <w:rFonts w:cs="Arial"/>
                <w:b/>
                <w:sz w:val="18"/>
                <w:szCs w:val="18"/>
              </w:rPr>
              <w:t>-</w:t>
            </w:r>
          </w:p>
        </w:tc>
        <w:tc>
          <w:tcPr>
            <w:tcW w:w="1559" w:type="dxa"/>
          </w:tcPr>
          <w:p w14:paraId="1B5CE2D0" w14:textId="6BD38661" w:rsidR="00AA34BF" w:rsidRPr="00AA34BF" w:rsidRDefault="00610672" w:rsidP="00BE666E">
            <w:pPr>
              <w:tabs>
                <w:tab w:val="decimal" w:pos="1426"/>
              </w:tabs>
              <w:ind w:right="-144"/>
              <w:rPr>
                <w:rFonts w:cs="Arial"/>
                <w:b/>
                <w:sz w:val="18"/>
                <w:szCs w:val="18"/>
              </w:rPr>
            </w:pPr>
            <w:r>
              <w:rPr>
                <w:rFonts w:cs="Arial"/>
                <w:b/>
                <w:sz w:val="18"/>
                <w:szCs w:val="18"/>
              </w:rPr>
              <w:t>4,000</w:t>
            </w:r>
          </w:p>
        </w:tc>
        <w:tc>
          <w:tcPr>
            <w:tcW w:w="1559" w:type="dxa"/>
          </w:tcPr>
          <w:p w14:paraId="20F7384E" w14:textId="662FBA8B" w:rsidR="00AA34BF" w:rsidRPr="00AA34BF" w:rsidRDefault="000139DC" w:rsidP="00BE666E">
            <w:pPr>
              <w:tabs>
                <w:tab w:val="decimal" w:pos="1426"/>
              </w:tabs>
              <w:ind w:right="-144"/>
              <w:rPr>
                <w:rFonts w:cs="Arial"/>
                <w:b/>
                <w:sz w:val="18"/>
                <w:szCs w:val="18"/>
              </w:rPr>
            </w:pPr>
            <w:r>
              <w:rPr>
                <w:rFonts w:cs="Arial"/>
                <w:b/>
                <w:sz w:val="18"/>
                <w:szCs w:val="18"/>
              </w:rPr>
              <w:t>-</w:t>
            </w:r>
          </w:p>
        </w:tc>
        <w:tc>
          <w:tcPr>
            <w:tcW w:w="1559" w:type="dxa"/>
          </w:tcPr>
          <w:p w14:paraId="55760148" w14:textId="0CC39567" w:rsidR="00AA34BF" w:rsidRPr="00AA34BF" w:rsidRDefault="000139DC" w:rsidP="00BE666E">
            <w:pPr>
              <w:tabs>
                <w:tab w:val="decimal" w:pos="1426"/>
              </w:tabs>
              <w:ind w:right="-144"/>
              <w:rPr>
                <w:rFonts w:cs="Arial"/>
                <w:b/>
                <w:sz w:val="18"/>
                <w:szCs w:val="18"/>
              </w:rPr>
            </w:pPr>
            <w:r>
              <w:rPr>
                <w:rFonts w:cs="Arial"/>
                <w:b/>
                <w:sz w:val="18"/>
                <w:szCs w:val="18"/>
              </w:rPr>
              <w:t>-</w:t>
            </w:r>
          </w:p>
        </w:tc>
        <w:tc>
          <w:tcPr>
            <w:tcW w:w="1559" w:type="dxa"/>
          </w:tcPr>
          <w:p w14:paraId="2B1BF815" w14:textId="5BA1FFA4" w:rsidR="00AA34BF" w:rsidRPr="00AA34BF" w:rsidRDefault="005873D4" w:rsidP="00BE666E">
            <w:pPr>
              <w:tabs>
                <w:tab w:val="decimal" w:pos="1426"/>
              </w:tabs>
              <w:ind w:right="-144"/>
              <w:rPr>
                <w:rFonts w:cs="Arial"/>
                <w:b/>
                <w:sz w:val="18"/>
                <w:szCs w:val="18"/>
              </w:rPr>
            </w:pPr>
            <w:r>
              <w:rPr>
                <w:rFonts w:cs="Arial"/>
                <w:b/>
                <w:sz w:val="18"/>
                <w:szCs w:val="18"/>
              </w:rPr>
              <w:t>4</w:t>
            </w:r>
            <w:r w:rsidR="00930E36">
              <w:rPr>
                <w:rFonts w:cs="Arial"/>
                <w:b/>
                <w:sz w:val="18"/>
                <w:szCs w:val="18"/>
              </w:rPr>
              <w:t>,</w:t>
            </w:r>
            <w:r>
              <w:rPr>
                <w:rFonts w:cs="Arial"/>
                <w:b/>
                <w:sz w:val="18"/>
                <w:szCs w:val="18"/>
              </w:rPr>
              <w:t>000</w:t>
            </w:r>
          </w:p>
        </w:tc>
      </w:tr>
      <w:tr w:rsidR="00AA34BF" w:rsidRPr="0048226D" w14:paraId="425DB5C5" w14:textId="77777777" w:rsidTr="007D0D5A">
        <w:tc>
          <w:tcPr>
            <w:tcW w:w="3402" w:type="dxa"/>
          </w:tcPr>
          <w:p w14:paraId="272DDE22" w14:textId="77777777" w:rsidR="00AA34BF" w:rsidRPr="00AA34BF" w:rsidRDefault="00AA34BF" w:rsidP="00BE666E">
            <w:pPr>
              <w:ind w:right="-144"/>
              <w:rPr>
                <w:rFonts w:cs="Arial"/>
                <w:sz w:val="18"/>
                <w:szCs w:val="18"/>
              </w:rPr>
            </w:pPr>
            <w:r w:rsidRPr="00AA34BF">
              <w:rPr>
                <w:rFonts w:cs="Arial"/>
                <w:sz w:val="18"/>
                <w:szCs w:val="18"/>
              </w:rPr>
              <w:t>Exercise of options</w:t>
            </w:r>
          </w:p>
        </w:tc>
        <w:tc>
          <w:tcPr>
            <w:tcW w:w="1559" w:type="dxa"/>
          </w:tcPr>
          <w:p w14:paraId="25AF8ED4" w14:textId="7434612B" w:rsidR="00AA34BF" w:rsidRPr="00AA34BF" w:rsidRDefault="00AB63D7" w:rsidP="00BE666E">
            <w:pPr>
              <w:tabs>
                <w:tab w:val="decimal" w:pos="1426"/>
              </w:tabs>
              <w:ind w:right="-144"/>
              <w:rPr>
                <w:rFonts w:cs="Arial"/>
                <w:b/>
                <w:sz w:val="18"/>
                <w:szCs w:val="18"/>
              </w:rPr>
            </w:pPr>
            <w:r>
              <w:rPr>
                <w:rFonts w:cs="Arial"/>
                <w:b/>
                <w:sz w:val="18"/>
                <w:szCs w:val="18"/>
              </w:rPr>
              <w:t>2</w:t>
            </w:r>
          </w:p>
        </w:tc>
        <w:tc>
          <w:tcPr>
            <w:tcW w:w="1559" w:type="dxa"/>
          </w:tcPr>
          <w:p w14:paraId="3AF5C02A" w14:textId="05AC10B1" w:rsidR="00AA34BF" w:rsidRPr="00AA34BF" w:rsidRDefault="00162A72" w:rsidP="00BE666E">
            <w:pPr>
              <w:tabs>
                <w:tab w:val="decimal" w:pos="1426"/>
              </w:tabs>
              <w:ind w:right="-144"/>
              <w:rPr>
                <w:rFonts w:cs="Arial"/>
                <w:b/>
                <w:sz w:val="18"/>
                <w:szCs w:val="18"/>
              </w:rPr>
            </w:pPr>
            <w:r>
              <w:rPr>
                <w:rFonts w:cs="Arial"/>
                <w:b/>
                <w:sz w:val="18"/>
                <w:szCs w:val="18"/>
              </w:rPr>
              <w:t>-</w:t>
            </w:r>
          </w:p>
        </w:tc>
        <w:tc>
          <w:tcPr>
            <w:tcW w:w="1559" w:type="dxa"/>
          </w:tcPr>
          <w:p w14:paraId="00D9D165" w14:textId="03093BE8" w:rsidR="00AA34BF" w:rsidRPr="00AA34BF" w:rsidRDefault="00162A72" w:rsidP="00BE666E">
            <w:pPr>
              <w:tabs>
                <w:tab w:val="decimal" w:pos="1426"/>
              </w:tabs>
              <w:ind w:right="-144"/>
              <w:rPr>
                <w:rFonts w:cs="Arial"/>
                <w:b/>
                <w:sz w:val="18"/>
                <w:szCs w:val="18"/>
              </w:rPr>
            </w:pPr>
            <w:r>
              <w:rPr>
                <w:rFonts w:cs="Arial"/>
                <w:b/>
                <w:sz w:val="18"/>
                <w:szCs w:val="18"/>
              </w:rPr>
              <w:t>-</w:t>
            </w:r>
          </w:p>
        </w:tc>
        <w:tc>
          <w:tcPr>
            <w:tcW w:w="1559" w:type="dxa"/>
          </w:tcPr>
          <w:p w14:paraId="3F42C3C4" w14:textId="6682275C" w:rsidR="00AA34BF" w:rsidRPr="00AA34BF" w:rsidRDefault="00805F06" w:rsidP="00BE666E">
            <w:pPr>
              <w:tabs>
                <w:tab w:val="decimal" w:pos="1426"/>
              </w:tabs>
              <w:ind w:right="-144"/>
              <w:rPr>
                <w:rFonts w:cs="Arial"/>
                <w:b/>
                <w:sz w:val="18"/>
                <w:szCs w:val="18"/>
              </w:rPr>
            </w:pPr>
            <w:r>
              <w:rPr>
                <w:rFonts w:cs="Arial"/>
                <w:b/>
                <w:sz w:val="18"/>
                <w:szCs w:val="18"/>
              </w:rPr>
              <w:t>6</w:t>
            </w:r>
            <w:r w:rsidR="002508C8">
              <w:rPr>
                <w:rFonts w:cs="Arial"/>
                <w:b/>
                <w:sz w:val="18"/>
                <w:szCs w:val="18"/>
              </w:rPr>
              <w:t>8</w:t>
            </w:r>
          </w:p>
        </w:tc>
        <w:tc>
          <w:tcPr>
            <w:tcW w:w="1559" w:type="dxa"/>
          </w:tcPr>
          <w:p w14:paraId="7F5D1942" w14:textId="2CD7386B" w:rsidR="00AA34BF" w:rsidRPr="00AA34BF" w:rsidRDefault="00610672" w:rsidP="00BE666E">
            <w:pPr>
              <w:tabs>
                <w:tab w:val="decimal" w:pos="1426"/>
              </w:tabs>
              <w:ind w:right="-144"/>
              <w:rPr>
                <w:rFonts w:cs="Arial"/>
                <w:b/>
                <w:sz w:val="18"/>
                <w:szCs w:val="18"/>
              </w:rPr>
            </w:pPr>
            <w:r>
              <w:rPr>
                <w:rFonts w:cs="Arial"/>
                <w:b/>
                <w:sz w:val="18"/>
                <w:szCs w:val="18"/>
              </w:rPr>
              <w:t>-</w:t>
            </w:r>
          </w:p>
        </w:tc>
        <w:tc>
          <w:tcPr>
            <w:tcW w:w="1559" w:type="dxa"/>
          </w:tcPr>
          <w:p w14:paraId="0E45833C" w14:textId="501441E8" w:rsidR="00AA34BF" w:rsidRPr="00AA34BF" w:rsidRDefault="000139DC" w:rsidP="00BE666E">
            <w:pPr>
              <w:tabs>
                <w:tab w:val="decimal" w:pos="1426"/>
              </w:tabs>
              <w:ind w:right="-144"/>
              <w:rPr>
                <w:rFonts w:cs="Arial"/>
                <w:b/>
                <w:sz w:val="18"/>
                <w:szCs w:val="18"/>
              </w:rPr>
            </w:pPr>
            <w:r>
              <w:rPr>
                <w:rFonts w:cs="Arial"/>
                <w:b/>
                <w:sz w:val="18"/>
                <w:szCs w:val="18"/>
              </w:rPr>
              <w:t>-</w:t>
            </w:r>
          </w:p>
        </w:tc>
        <w:tc>
          <w:tcPr>
            <w:tcW w:w="1559" w:type="dxa"/>
          </w:tcPr>
          <w:p w14:paraId="319EE33A" w14:textId="46475068" w:rsidR="00AA34BF" w:rsidRPr="00AA34BF" w:rsidRDefault="000139DC" w:rsidP="00BE666E">
            <w:pPr>
              <w:tabs>
                <w:tab w:val="decimal" w:pos="1426"/>
              </w:tabs>
              <w:ind w:right="-144"/>
              <w:rPr>
                <w:rFonts w:cs="Arial"/>
                <w:b/>
                <w:sz w:val="18"/>
                <w:szCs w:val="18"/>
              </w:rPr>
            </w:pPr>
            <w:r>
              <w:rPr>
                <w:rFonts w:cs="Arial"/>
                <w:b/>
                <w:sz w:val="18"/>
                <w:szCs w:val="18"/>
              </w:rPr>
              <w:t>-</w:t>
            </w:r>
          </w:p>
        </w:tc>
        <w:tc>
          <w:tcPr>
            <w:tcW w:w="1559" w:type="dxa"/>
          </w:tcPr>
          <w:p w14:paraId="377FF16D" w14:textId="7295C30C" w:rsidR="00AA34BF" w:rsidRPr="00AA34BF" w:rsidRDefault="005873D4" w:rsidP="00BE666E">
            <w:pPr>
              <w:tabs>
                <w:tab w:val="decimal" w:pos="1426"/>
              </w:tabs>
              <w:ind w:right="-144"/>
              <w:rPr>
                <w:rFonts w:cs="Arial"/>
                <w:b/>
                <w:sz w:val="18"/>
                <w:szCs w:val="18"/>
              </w:rPr>
            </w:pPr>
            <w:r>
              <w:rPr>
                <w:rFonts w:cs="Arial"/>
                <w:b/>
                <w:sz w:val="18"/>
                <w:szCs w:val="18"/>
              </w:rPr>
              <w:t>7</w:t>
            </w:r>
            <w:r w:rsidR="00E87F79">
              <w:rPr>
                <w:rFonts w:cs="Arial"/>
                <w:b/>
                <w:sz w:val="18"/>
                <w:szCs w:val="18"/>
              </w:rPr>
              <w:t>0</w:t>
            </w:r>
          </w:p>
        </w:tc>
      </w:tr>
      <w:tr w:rsidR="00295C57" w:rsidRPr="0048226D" w14:paraId="67D714B2" w14:textId="77777777" w:rsidTr="007D0D5A">
        <w:tc>
          <w:tcPr>
            <w:tcW w:w="3402" w:type="dxa"/>
          </w:tcPr>
          <w:p w14:paraId="7C9EB307" w14:textId="3B259891" w:rsidR="00295C57" w:rsidRPr="00AA34BF" w:rsidRDefault="00295C57" w:rsidP="00BE666E">
            <w:pPr>
              <w:ind w:right="-144"/>
              <w:rPr>
                <w:rFonts w:cs="Arial"/>
                <w:sz w:val="18"/>
                <w:szCs w:val="18"/>
              </w:rPr>
            </w:pPr>
            <w:r>
              <w:rPr>
                <w:rFonts w:cs="Arial"/>
                <w:sz w:val="18"/>
                <w:szCs w:val="18"/>
              </w:rPr>
              <w:t>Lapsed share</w:t>
            </w:r>
            <w:r w:rsidR="00A26F44">
              <w:rPr>
                <w:rFonts w:cs="Arial"/>
                <w:sz w:val="18"/>
                <w:szCs w:val="18"/>
              </w:rPr>
              <w:t xml:space="preserve"> options</w:t>
            </w:r>
          </w:p>
        </w:tc>
        <w:tc>
          <w:tcPr>
            <w:tcW w:w="1559" w:type="dxa"/>
          </w:tcPr>
          <w:p w14:paraId="6F470369" w14:textId="5AFD125E" w:rsidR="00295C57" w:rsidRDefault="000D26A4" w:rsidP="00BE666E">
            <w:pPr>
              <w:tabs>
                <w:tab w:val="decimal" w:pos="1426"/>
              </w:tabs>
              <w:ind w:right="-144"/>
              <w:rPr>
                <w:rFonts w:cs="Arial"/>
                <w:b/>
                <w:sz w:val="18"/>
                <w:szCs w:val="18"/>
              </w:rPr>
            </w:pPr>
            <w:r>
              <w:rPr>
                <w:rFonts w:cs="Arial"/>
                <w:b/>
                <w:sz w:val="18"/>
                <w:szCs w:val="18"/>
              </w:rPr>
              <w:t>-</w:t>
            </w:r>
          </w:p>
        </w:tc>
        <w:tc>
          <w:tcPr>
            <w:tcW w:w="1559" w:type="dxa"/>
          </w:tcPr>
          <w:p w14:paraId="125AB454" w14:textId="3508F6D2" w:rsidR="00295C57" w:rsidRPr="00AA34BF" w:rsidRDefault="00162A72" w:rsidP="00BE666E">
            <w:pPr>
              <w:tabs>
                <w:tab w:val="decimal" w:pos="1426"/>
              </w:tabs>
              <w:ind w:right="-144"/>
              <w:rPr>
                <w:rFonts w:cs="Arial"/>
                <w:b/>
                <w:sz w:val="18"/>
                <w:szCs w:val="18"/>
              </w:rPr>
            </w:pPr>
            <w:r>
              <w:rPr>
                <w:rFonts w:cs="Arial"/>
                <w:b/>
                <w:sz w:val="18"/>
                <w:szCs w:val="18"/>
              </w:rPr>
              <w:t>-</w:t>
            </w:r>
          </w:p>
        </w:tc>
        <w:tc>
          <w:tcPr>
            <w:tcW w:w="1559" w:type="dxa"/>
          </w:tcPr>
          <w:p w14:paraId="3CC4C49F" w14:textId="144BF4D9" w:rsidR="00295C57" w:rsidRDefault="00162A72" w:rsidP="00BE666E">
            <w:pPr>
              <w:tabs>
                <w:tab w:val="decimal" w:pos="1426"/>
              </w:tabs>
              <w:ind w:right="-144"/>
              <w:rPr>
                <w:rFonts w:cs="Arial"/>
                <w:b/>
                <w:sz w:val="18"/>
                <w:szCs w:val="18"/>
              </w:rPr>
            </w:pPr>
            <w:r>
              <w:rPr>
                <w:rFonts w:cs="Arial"/>
                <w:b/>
                <w:sz w:val="18"/>
                <w:szCs w:val="18"/>
              </w:rPr>
              <w:t>-</w:t>
            </w:r>
          </w:p>
        </w:tc>
        <w:tc>
          <w:tcPr>
            <w:tcW w:w="1559" w:type="dxa"/>
          </w:tcPr>
          <w:p w14:paraId="63B7D3E3" w14:textId="0CCA91B8" w:rsidR="00295C57" w:rsidRPr="00AA34BF" w:rsidRDefault="00805F06" w:rsidP="00BE666E">
            <w:pPr>
              <w:tabs>
                <w:tab w:val="decimal" w:pos="1426"/>
              </w:tabs>
              <w:ind w:right="-144"/>
              <w:rPr>
                <w:rFonts w:cs="Arial"/>
                <w:b/>
                <w:sz w:val="18"/>
                <w:szCs w:val="18"/>
              </w:rPr>
            </w:pPr>
            <w:r>
              <w:rPr>
                <w:rFonts w:cs="Arial"/>
                <w:b/>
                <w:sz w:val="18"/>
                <w:szCs w:val="18"/>
              </w:rPr>
              <w:t>-</w:t>
            </w:r>
          </w:p>
        </w:tc>
        <w:tc>
          <w:tcPr>
            <w:tcW w:w="1559" w:type="dxa"/>
          </w:tcPr>
          <w:p w14:paraId="1E489A49" w14:textId="579C1A0A" w:rsidR="00295C57" w:rsidRPr="00AA34BF" w:rsidRDefault="00610672" w:rsidP="00BE666E">
            <w:pPr>
              <w:tabs>
                <w:tab w:val="decimal" w:pos="1426"/>
              </w:tabs>
              <w:ind w:right="-144"/>
              <w:rPr>
                <w:rFonts w:cs="Arial"/>
                <w:b/>
                <w:sz w:val="18"/>
                <w:szCs w:val="18"/>
              </w:rPr>
            </w:pPr>
            <w:r>
              <w:rPr>
                <w:rFonts w:cs="Arial"/>
                <w:b/>
                <w:sz w:val="18"/>
                <w:szCs w:val="18"/>
              </w:rPr>
              <w:t>-</w:t>
            </w:r>
          </w:p>
        </w:tc>
        <w:tc>
          <w:tcPr>
            <w:tcW w:w="1559" w:type="dxa"/>
          </w:tcPr>
          <w:p w14:paraId="6253AECB" w14:textId="35D77E5B" w:rsidR="00295C57" w:rsidRPr="00AA34BF" w:rsidRDefault="000139DC" w:rsidP="00BE666E">
            <w:pPr>
              <w:tabs>
                <w:tab w:val="decimal" w:pos="1426"/>
              </w:tabs>
              <w:ind w:right="-144"/>
              <w:rPr>
                <w:rFonts w:cs="Arial"/>
                <w:b/>
                <w:sz w:val="18"/>
                <w:szCs w:val="18"/>
              </w:rPr>
            </w:pPr>
            <w:r>
              <w:rPr>
                <w:rFonts w:cs="Arial"/>
                <w:b/>
                <w:sz w:val="18"/>
                <w:szCs w:val="18"/>
              </w:rPr>
              <w:t>-</w:t>
            </w:r>
          </w:p>
        </w:tc>
        <w:tc>
          <w:tcPr>
            <w:tcW w:w="1559" w:type="dxa"/>
          </w:tcPr>
          <w:p w14:paraId="3F659E81" w14:textId="38E48444" w:rsidR="00295C57" w:rsidRDefault="000139DC" w:rsidP="00BE666E">
            <w:pPr>
              <w:tabs>
                <w:tab w:val="decimal" w:pos="1426"/>
              </w:tabs>
              <w:ind w:right="-144"/>
              <w:rPr>
                <w:rFonts w:cs="Arial"/>
                <w:b/>
                <w:sz w:val="18"/>
                <w:szCs w:val="18"/>
              </w:rPr>
            </w:pPr>
            <w:r>
              <w:rPr>
                <w:rFonts w:cs="Arial"/>
                <w:b/>
                <w:sz w:val="18"/>
                <w:szCs w:val="18"/>
              </w:rPr>
              <w:t>-</w:t>
            </w:r>
          </w:p>
        </w:tc>
        <w:tc>
          <w:tcPr>
            <w:tcW w:w="1559" w:type="dxa"/>
          </w:tcPr>
          <w:p w14:paraId="387E7EE6" w14:textId="57A9DAEC" w:rsidR="00295C57" w:rsidRDefault="005873D4" w:rsidP="00BE666E">
            <w:pPr>
              <w:tabs>
                <w:tab w:val="decimal" w:pos="1426"/>
              </w:tabs>
              <w:ind w:right="-144"/>
              <w:rPr>
                <w:rFonts w:cs="Arial"/>
                <w:b/>
                <w:sz w:val="18"/>
                <w:szCs w:val="18"/>
              </w:rPr>
            </w:pPr>
            <w:r>
              <w:rPr>
                <w:rFonts w:cs="Arial"/>
                <w:b/>
                <w:sz w:val="18"/>
                <w:szCs w:val="18"/>
              </w:rPr>
              <w:t>-</w:t>
            </w:r>
          </w:p>
        </w:tc>
      </w:tr>
      <w:tr w:rsidR="00D6155B" w:rsidRPr="0048226D" w14:paraId="22C4B7DD" w14:textId="77777777" w:rsidTr="007D0D5A">
        <w:tc>
          <w:tcPr>
            <w:tcW w:w="3402" w:type="dxa"/>
          </w:tcPr>
          <w:p w14:paraId="7BEC9241" w14:textId="525E2378" w:rsidR="00D6155B" w:rsidRDefault="00D6155B" w:rsidP="00BE666E">
            <w:pPr>
              <w:ind w:right="-144"/>
              <w:rPr>
                <w:rFonts w:cs="Arial"/>
                <w:sz w:val="18"/>
                <w:szCs w:val="18"/>
              </w:rPr>
            </w:pPr>
            <w:r>
              <w:rPr>
                <w:rFonts w:cs="Arial"/>
                <w:sz w:val="18"/>
                <w:szCs w:val="18"/>
              </w:rPr>
              <w:t>Cancellation of deferred share</w:t>
            </w:r>
            <w:r w:rsidR="00D36AEC">
              <w:rPr>
                <w:rFonts w:cs="Arial"/>
                <w:sz w:val="18"/>
                <w:szCs w:val="18"/>
              </w:rPr>
              <w:t>s (Note 13)</w:t>
            </w:r>
          </w:p>
        </w:tc>
        <w:tc>
          <w:tcPr>
            <w:tcW w:w="1559" w:type="dxa"/>
          </w:tcPr>
          <w:p w14:paraId="3DB3B3E3" w14:textId="0083938E" w:rsidR="00D6155B" w:rsidRDefault="00D36AEC" w:rsidP="00BE666E">
            <w:pPr>
              <w:tabs>
                <w:tab w:val="decimal" w:pos="1426"/>
              </w:tabs>
              <w:ind w:right="-144"/>
              <w:rPr>
                <w:rFonts w:cs="Arial"/>
                <w:b/>
                <w:sz w:val="18"/>
                <w:szCs w:val="18"/>
              </w:rPr>
            </w:pPr>
            <w:r>
              <w:rPr>
                <w:rFonts w:cs="Arial"/>
                <w:b/>
                <w:sz w:val="18"/>
                <w:szCs w:val="18"/>
              </w:rPr>
              <w:t>-</w:t>
            </w:r>
          </w:p>
        </w:tc>
        <w:tc>
          <w:tcPr>
            <w:tcW w:w="1559" w:type="dxa"/>
          </w:tcPr>
          <w:p w14:paraId="3208D113" w14:textId="76B6A6F7" w:rsidR="00D6155B" w:rsidRDefault="0085695D" w:rsidP="00BE666E">
            <w:pPr>
              <w:tabs>
                <w:tab w:val="decimal" w:pos="1426"/>
              </w:tabs>
              <w:ind w:right="-144"/>
              <w:rPr>
                <w:rFonts w:cs="Arial"/>
                <w:b/>
                <w:sz w:val="18"/>
                <w:szCs w:val="18"/>
              </w:rPr>
            </w:pPr>
            <w:r>
              <w:rPr>
                <w:rFonts w:cs="Arial"/>
                <w:b/>
                <w:sz w:val="18"/>
                <w:szCs w:val="18"/>
              </w:rPr>
              <w:t>(81)</w:t>
            </w:r>
          </w:p>
        </w:tc>
        <w:tc>
          <w:tcPr>
            <w:tcW w:w="1559" w:type="dxa"/>
          </w:tcPr>
          <w:p w14:paraId="174995EE" w14:textId="5A72ADDC" w:rsidR="00D6155B" w:rsidRDefault="001C302D" w:rsidP="00BE666E">
            <w:pPr>
              <w:tabs>
                <w:tab w:val="decimal" w:pos="1426"/>
              </w:tabs>
              <w:ind w:right="-144"/>
              <w:rPr>
                <w:rFonts w:cs="Arial"/>
                <w:b/>
                <w:sz w:val="18"/>
                <w:szCs w:val="18"/>
              </w:rPr>
            </w:pPr>
            <w:r>
              <w:rPr>
                <w:rFonts w:cs="Arial"/>
                <w:b/>
                <w:sz w:val="18"/>
                <w:szCs w:val="18"/>
              </w:rPr>
              <w:t>81</w:t>
            </w:r>
          </w:p>
        </w:tc>
        <w:tc>
          <w:tcPr>
            <w:tcW w:w="1559" w:type="dxa"/>
          </w:tcPr>
          <w:p w14:paraId="7D097EA2" w14:textId="189809A2" w:rsidR="00D6155B" w:rsidRDefault="001C302D" w:rsidP="00BE666E">
            <w:pPr>
              <w:tabs>
                <w:tab w:val="decimal" w:pos="1426"/>
              </w:tabs>
              <w:ind w:right="-144"/>
              <w:rPr>
                <w:rFonts w:cs="Arial"/>
                <w:b/>
                <w:sz w:val="18"/>
                <w:szCs w:val="18"/>
              </w:rPr>
            </w:pPr>
            <w:r>
              <w:rPr>
                <w:rFonts w:cs="Arial"/>
                <w:b/>
                <w:sz w:val="18"/>
                <w:szCs w:val="18"/>
              </w:rPr>
              <w:t>-</w:t>
            </w:r>
          </w:p>
        </w:tc>
        <w:tc>
          <w:tcPr>
            <w:tcW w:w="1559" w:type="dxa"/>
          </w:tcPr>
          <w:p w14:paraId="704C0F60" w14:textId="1BB6556F" w:rsidR="00D6155B" w:rsidRDefault="001C302D" w:rsidP="00BE666E">
            <w:pPr>
              <w:tabs>
                <w:tab w:val="decimal" w:pos="1426"/>
              </w:tabs>
              <w:ind w:right="-144"/>
              <w:rPr>
                <w:rFonts w:cs="Arial"/>
                <w:b/>
                <w:sz w:val="18"/>
                <w:szCs w:val="18"/>
              </w:rPr>
            </w:pPr>
            <w:r>
              <w:rPr>
                <w:rFonts w:cs="Arial"/>
                <w:b/>
                <w:sz w:val="18"/>
                <w:szCs w:val="18"/>
              </w:rPr>
              <w:t>-</w:t>
            </w:r>
          </w:p>
        </w:tc>
        <w:tc>
          <w:tcPr>
            <w:tcW w:w="1559" w:type="dxa"/>
          </w:tcPr>
          <w:p w14:paraId="30F6BFE6" w14:textId="3CF84509" w:rsidR="00D6155B" w:rsidRDefault="001C302D" w:rsidP="00BE666E">
            <w:pPr>
              <w:tabs>
                <w:tab w:val="decimal" w:pos="1426"/>
              </w:tabs>
              <w:ind w:right="-144"/>
              <w:rPr>
                <w:rFonts w:cs="Arial"/>
                <w:b/>
                <w:sz w:val="18"/>
                <w:szCs w:val="18"/>
              </w:rPr>
            </w:pPr>
            <w:r>
              <w:rPr>
                <w:rFonts w:cs="Arial"/>
                <w:b/>
                <w:sz w:val="18"/>
                <w:szCs w:val="18"/>
              </w:rPr>
              <w:t>-</w:t>
            </w:r>
          </w:p>
        </w:tc>
        <w:tc>
          <w:tcPr>
            <w:tcW w:w="1559" w:type="dxa"/>
          </w:tcPr>
          <w:p w14:paraId="052CB54C" w14:textId="1B7D4F93" w:rsidR="00D6155B" w:rsidRDefault="001C302D" w:rsidP="00BE666E">
            <w:pPr>
              <w:tabs>
                <w:tab w:val="decimal" w:pos="1426"/>
              </w:tabs>
              <w:ind w:right="-144"/>
              <w:rPr>
                <w:rFonts w:cs="Arial"/>
                <w:b/>
                <w:sz w:val="18"/>
                <w:szCs w:val="18"/>
              </w:rPr>
            </w:pPr>
            <w:r>
              <w:rPr>
                <w:rFonts w:cs="Arial"/>
                <w:b/>
                <w:sz w:val="18"/>
                <w:szCs w:val="18"/>
              </w:rPr>
              <w:t>-</w:t>
            </w:r>
          </w:p>
        </w:tc>
        <w:tc>
          <w:tcPr>
            <w:tcW w:w="1559" w:type="dxa"/>
          </w:tcPr>
          <w:p w14:paraId="1F33D6D0" w14:textId="3162840F" w:rsidR="00D6155B" w:rsidRDefault="001C302D" w:rsidP="00BE666E">
            <w:pPr>
              <w:tabs>
                <w:tab w:val="decimal" w:pos="1426"/>
              </w:tabs>
              <w:ind w:right="-144"/>
              <w:rPr>
                <w:rFonts w:cs="Arial"/>
                <w:b/>
                <w:sz w:val="18"/>
                <w:szCs w:val="18"/>
              </w:rPr>
            </w:pPr>
            <w:r>
              <w:rPr>
                <w:rFonts w:cs="Arial"/>
                <w:b/>
                <w:sz w:val="18"/>
                <w:szCs w:val="18"/>
              </w:rPr>
              <w:t>-</w:t>
            </w:r>
          </w:p>
        </w:tc>
      </w:tr>
      <w:tr w:rsidR="00AA34BF" w:rsidRPr="005873D4" w14:paraId="6A871ACC" w14:textId="77777777" w:rsidTr="007D0D5A">
        <w:tc>
          <w:tcPr>
            <w:tcW w:w="3402" w:type="dxa"/>
          </w:tcPr>
          <w:p w14:paraId="201311DF" w14:textId="6B2A02F1" w:rsidR="00AA34BF" w:rsidRPr="00AA34BF" w:rsidRDefault="00AA34BF" w:rsidP="00BE666E">
            <w:pPr>
              <w:ind w:right="-144"/>
              <w:rPr>
                <w:rFonts w:cs="Arial"/>
                <w:sz w:val="18"/>
                <w:szCs w:val="18"/>
              </w:rPr>
            </w:pPr>
            <w:r w:rsidRPr="00AA34BF">
              <w:rPr>
                <w:rFonts w:cs="Arial"/>
                <w:sz w:val="18"/>
                <w:szCs w:val="18"/>
              </w:rPr>
              <w:t>Purchase of own shares (Note 13)</w:t>
            </w:r>
          </w:p>
        </w:tc>
        <w:tc>
          <w:tcPr>
            <w:tcW w:w="1559" w:type="dxa"/>
          </w:tcPr>
          <w:p w14:paraId="16A1608C" w14:textId="4D0C22C2" w:rsidR="00AA34BF" w:rsidRPr="00AA34BF" w:rsidRDefault="000D26A4" w:rsidP="00BE666E">
            <w:pPr>
              <w:tabs>
                <w:tab w:val="decimal" w:pos="1426"/>
              </w:tabs>
              <w:ind w:right="-144"/>
              <w:rPr>
                <w:rFonts w:cs="Arial"/>
                <w:b/>
                <w:sz w:val="18"/>
                <w:szCs w:val="18"/>
              </w:rPr>
            </w:pPr>
            <w:r>
              <w:rPr>
                <w:rFonts w:cs="Arial"/>
                <w:b/>
                <w:sz w:val="18"/>
                <w:szCs w:val="18"/>
              </w:rPr>
              <w:t>(22)</w:t>
            </w:r>
          </w:p>
        </w:tc>
        <w:tc>
          <w:tcPr>
            <w:tcW w:w="1559" w:type="dxa"/>
          </w:tcPr>
          <w:p w14:paraId="7DC1564B" w14:textId="33F1A9AF" w:rsidR="00AA34BF" w:rsidRPr="00AA34BF" w:rsidRDefault="00162A72" w:rsidP="00BE666E">
            <w:pPr>
              <w:tabs>
                <w:tab w:val="decimal" w:pos="1426"/>
              </w:tabs>
              <w:ind w:right="-144"/>
              <w:rPr>
                <w:rFonts w:cs="Arial"/>
                <w:b/>
                <w:sz w:val="18"/>
                <w:szCs w:val="18"/>
              </w:rPr>
            </w:pPr>
            <w:r>
              <w:rPr>
                <w:rFonts w:cs="Arial"/>
                <w:b/>
                <w:sz w:val="18"/>
                <w:szCs w:val="18"/>
              </w:rPr>
              <w:t>-</w:t>
            </w:r>
          </w:p>
        </w:tc>
        <w:tc>
          <w:tcPr>
            <w:tcW w:w="1559" w:type="dxa"/>
          </w:tcPr>
          <w:p w14:paraId="7D186604" w14:textId="3F3DCFA4" w:rsidR="00AA34BF" w:rsidRPr="00AA34BF" w:rsidRDefault="00162A72" w:rsidP="00BE666E">
            <w:pPr>
              <w:tabs>
                <w:tab w:val="decimal" w:pos="1426"/>
              </w:tabs>
              <w:ind w:right="-144"/>
              <w:rPr>
                <w:rFonts w:cs="Arial"/>
                <w:b/>
                <w:sz w:val="18"/>
                <w:szCs w:val="18"/>
              </w:rPr>
            </w:pPr>
            <w:r>
              <w:rPr>
                <w:rFonts w:cs="Arial"/>
                <w:b/>
                <w:sz w:val="18"/>
                <w:szCs w:val="18"/>
              </w:rPr>
              <w:t>22</w:t>
            </w:r>
          </w:p>
        </w:tc>
        <w:tc>
          <w:tcPr>
            <w:tcW w:w="1559" w:type="dxa"/>
          </w:tcPr>
          <w:p w14:paraId="2C0EA183" w14:textId="52450A79" w:rsidR="00AA34BF" w:rsidRPr="00AA34BF" w:rsidDel="008D1194" w:rsidRDefault="00805F06" w:rsidP="00BE666E">
            <w:pPr>
              <w:tabs>
                <w:tab w:val="decimal" w:pos="1426"/>
              </w:tabs>
              <w:ind w:right="-144"/>
              <w:rPr>
                <w:rFonts w:cs="Arial"/>
                <w:b/>
                <w:sz w:val="18"/>
                <w:szCs w:val="18"/>
              </w:rPr>
            </w:pPr>
            <w:r>
              <w:rPr>
                <w:rFonts w:cs="Arial"/>
                <w:b/>
                <w:sz w:val="18"/>
                <w:szCs w:val="18"/>
              </w:rPr>
              <w:t>-</w:t>
            </w:r>
          </w:p>
        </w:tc>
        <w:tc>
          <w:tcPr>
            <w:tcW w:w="1559" w:type="dxa"/>
          </w:tcPr>
          <w:p w14:paraId="4856F462" w14:textId="1A9FE22D" w:rsidR="00AA34BF" w:rsidRPr="00AA34BF" w:rsidRDefault="00610672" w:rsidP="00BE666E">
            <w:pPr>
              <w:tabs>
                <w:tab w:val="decimal" w:pos="1426"/>
              </w:tabs>
              <w:ind w:right="-144"/>
              <w:rPr>
                <w:rFonts w:cs="Arial"/>
                <w:b/>
                <w:sz w:val="18"/>
                <w:szCs w:val="18"/>
              </w:rPr>
            </w:pPr>
            <w:r>
              <w:rPr>
                <w:rFonts w:cs="Arial"/>
                <w:b/>
                <w:sz w:val="18"/>
                <w:szCs w:val="18"/>
              </w:rPr>
              <w:t>-</w:t>
            </w:r>
          </w:p>
        </w:tc>
        <w:tc>
          <w:tcPr>
            <w:tcW w:w="1559" w:type="dxa"/>
          </w:tcPr>
          <w:p w14:paraId="3BB89D19" w14:textId="27174BBE" w:rsidR="00AA34BF" w:rsidRPr="00AA34BF" w:rsidRDefault="000139DC" w:rsidP="00BE666E">
            <w:pPr>
              <w:tabs>
                <w:tab w:val="decimal" w:pos="1426"/>
              </w:tabs>
              <w:ind w:right="-144"/>
              <w:rPr>
                <w:rFonts w:cs="Arial"/>
                <w:b/>
                <w:sz w:val="18"/>
                <w:szCs w:val="18"/>
              </w:rPr>
            </w:pPr>
            <w:r>
              <w:rPr>
                <w:rFonts w:cs="Arial"/>
                <w:b/>
                <w:sz w:val="18"/>
                <w:szCs w:val="18"/>
              </w:rPr>
              <w:t>-</w:t>
            </w:r>
          </w:p>
        </w:tc>
        <w:tc>
          <w:tcPr>
            <w:tcW w:w="1559" w:type="dxa"/>
          </w:tcPr>
          <w:p w14:paraId="4AEA2C9E" w14:textId="0736B6C3" w:rsidR="00AA34BF" w:rsidRPr="00AA34BF" w:rsidRDefault="000139DC" w:rsidP="00BE666E">
            <w:pPr>
              <w:tabs>
                <w:tab w:val="decimal" w:pos="1426"/>
              </w:tabs>
              <w:ind w:right="-144"/>
              <w:rPr>
                <w:rFonts w:cs="Arial"/>
                <w:b/>
                <w:sz w:val="18"/>
                <w:szCs w:val="18"/>
              </w:rPr>
            </w:pPr>
            <w:r>
              <w:rPr>
                <w:rFonts w:cs="Arial"/>
                <w:b/>
                <w:sz w:val="18"/>
                <w:szCs w:val="18"/>
              </w:rPr>
              <w:t>(35,396)</w:t>
            </w:r>
          </w:p>
        </w:tc>
        <w:tc>
          <w:tcPr>
            <w:tcW w:w="1559" w:type="dxa"/>
          </w:tcPr>
          <w:p w14:paraId="14BE7B26" w14:textId="2D6D33EC" w:rsidR="00AA34BF" w:rsidRPr="00AA34BF" w:rsidRDefault="005873D4" w:rsidP="00BE666E">
            <w:pPr>
              <w:tabs>
                <w:tab w:val="decimal" w:pos="1426"/>
              </w:tabs>
              <w:ind w:right="-144"/>
              <w:rPr>
                <w:rFonts w:cs="Arial"/>
                <w:b/>
                <w:sz w:val="18"/>
                <w:szCs w:val="18"/>
              </w:rPr>
            </w:pPr>
            <w:r>
              <w:rPr>
                <w:rFonts w:cs="Arial"/>
                <w:b/>
                <w:sz w:val="18"/>
                <w:szCs w:val="18"/>
              </w:rPr>
              <w:t>(35</w:t>
            </w:r>
            <w:r w:rsidR="00930E36">
              <w:rPr>
                <w:rFonts w:cs="Arial"/>
                <w:b/>
                <w:sz w:val="18"/>
                <w:szCs w:val="18"/>
              </w:rPr>
              <w:t>,</w:t>
            </w:r>
            <w:r>
              <w:rPr>
                <w:rFonts w:cs="Arial"/>
                <w:b/>
                <w:sz w:val="18"/>
                <w:szCs w:val="18"/>
              </w:rPr>
              <w:t>396</w:t>
            </w:r>
            <w:r w:rsidR="00930E36">
              <w:rPr>
                <w:rFonts w:cs="Arial"/>
                <w:b/>
                <w:sz w:val="18"/>
                <w:szCs w:val="18"/>
              </w:rPr>
              <w:t>)</w:t>
            </w:r>
          </w:p>
        </w:tc>
      </w:tr>
      <w:tr w:rsidR="00AA34BF" w:rsidRPr="0048226D" w14:paraId="1B83F3B9" w14:textId="77777777" w:rsidTr="007D0D5A">
        <w:tc>
          <w:tcPr>
            <w:tcW w:w="3402" w:type="dxa"/>
          </w:tcPr>
          <w:p w14:paraId="5C1BF493" w14:textId="47121FE2" w:rsidR="00AA34BF" w:rsidRPr="00AA34BF" w:rsidRDefault="00AA34BF" w:rsidP="00BE666E">
            <w:pPr>
              <w:rPr>
                <w:rFonts w:cs="Arial"/>
                <w:sz w:val="18"/>
                <w:szCs w:val="18"/>
              </w:rPr>
            </w:pPr>
          </w:p>
        </w:tc>
        <w:tc>
          <w:tcPr>
            <w:tcW w:w="1559" w:type="dxa"/>
          </w:tcPr>
          <w:p w14:paraId="37829DE5"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1F6E0696"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5AFF5885"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10F3D0B8" w14:textId="77777777" w:rsidR="00AA34BF" w:rsidRPr="00AA34BF" w:rsidRDefault="00AA34BF" w:rsidP="00BE666E">
            <w:pPr>
              <w:tabs>
                <w:tab w:val="decimal" w:pos="1426"/>
              </w:tabs>
              <w:ind w:right="-144"/>
              <w:rPr>
                <w:rFonts w:cs="Arial"/>
                <w:sz w:val="18"/>
                <w:szCs w:val="18"/>
              </w:rPr>
            </w:pPr>
            <w:r w:rsidRPr="00AA34BF">
              <w:rPr>
                <w:rFonts w:cs="Arial"/>
                <w:sz w:val="18"/>
                <w:szCs w:val="18"/>
                <w:u w:val="single"/>
              </w:rPr>
              <w:t>                  </w:t>
            </w:r>
          </w:p>
        </w:tc>
        <w:tc>
          <w:tcPr>
            <w:tcW w:w="1559" w:type="dxa"/>
          </w:tcPr>
          <w:p w14:paraId="749AD39F"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2CF51700" w14:textId="3366A49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72B55E1D" w14:textId="281E4977" w:rsidR="00AA34BF" w:rsidRPr="00AA34BF" w:rsidRDefault="00AA34BF" w:rsidP="00BE666E">
            <w:pPr>
              <w:tabs>
                <w:tab w:val="decimal" w:pos="1426"/>
              </w:tabs>
              <w:ind w:right="-144"/>
              <w:rPr>
                <w:rFonts w:cs="Arial"/>
                <w:sz w:val="18"/>
                <w:szCs w:val="18"/>
              </w:rPr>
            </w:pPr>
            <w:r w:rsidRPr="00AA34BF">
              <w:rPr>
                <w:rFonts w:cs="Arial"/>
                <w:sz w:val="18"/>
                <w:szCs w:val="18"/>
                <w:u w:val="single"/>
              </w:rPr>
              <w:t>                  </w:t>
            </w:r>
          </w:p>
        </w:tc>
        <w:tc>
          <w:tcPr>
            <w:tcW w:w="1559" w:type="dxa"/>
          </w:tcPr>
          <w:p w14:paraId="32E87958" w14:textId="77777777" w:rsidR="00AA34BF" w:rsidRPr="00AA34BF" w:rsidRDefault="00AA34BF" w:rsidP="00BE666E">
            <w:pPr>
              <w:tabs>
                <w:tab w:val="decimal" w:pos="1426"/>
              </w:tabs>
              <w:ind w:right="-144"/>
              <w:rPr>
                <w:rFonts w:cs="Arial"/>
                <w:sz w:val="18"/>
                <w:szCs w:val="18"/>
              </w:rPr>
            </w:pPr>
            <w:r w:rsidRPr="00AA34BF">
              <w:rPr>
                <w:rFonts w:cs="Arial"/>
                <w:sz w:val="18"/>
                <w:szCs w:val="18"/>
                <w:u w:val="single"/>
              </w:rPr>
              <w:t>                  </w:t>
            </w:r>
          </w:p>
        </w:tc>
      </w:tr>
      <w:tr w:rsidR="00AA34BF" w:rsidRPr="0048226D" w14:paraId="0ADDE156" w14:textId="77777777" w:rsidTr="007D0D5A">
        <w:tc>
          <w:tcPr>
            <w:tcW w:w="3402" w:type="dxa"/>
          </w:tcPr>
          <w:p w14:paraId="3029B003" w14:textId="77777777" w:rsidR="00AA34BF" w:rsidRPr="00AA34BF" w:rsidRDefault="00AA34BF" w:rsidP="00BE666E">
            <w:pPr>
              <w:rPr>
                <w:rFonts w:cs="Arial"/>
                <w:sz w:val="18"/>
                <w:szCs w:val="18"/>
              </w:rPr>
            </w:pPr>
          </w:p>
        </w:tc>
        <w:tc>
          <w:tcPr>
            <w:tcW w:w="1559" w:type="dxa"/>
          </w:tcPr>
          <w:p w14:paraId="4A523895" w14:textId="77777777" w:rsidR="00AA34BF" w:rsidRPr="00AA34BF" w:rsidRDefault="00AA34BF" w:rsidP="00BE666E">
            <w:pPr>
              <w:tabs>
                <w:tab w:val="decimal" w:pos="1426"/>
              </w:tabs>
              <w:ind w:right="-144"/>
              <w:rPr>
                <w:rFonts w:cs="Arial"/>
                <w:b/>
                <w:sz w:val="18"/>
                <w:szCs w:val="18"/>
              </w:rPr>
            </w:pPr>
          </w:p>
        </w:tc>
        <w:tc>
          <w:tcPr>
            <w:tcW w:w="1559" w:type="dxa"/>
          </w:tcPr>
          <w:p w14:paraId="07001C16" w14:textId="77777777" w:rsidR="00AA34BF" w:rsidRPr="00AA34BF" w:rsidRDefault="00AA34BF" w:rsidP="00BE666E">
            <w:pPr>
              <w:tabs>
                <w:tab w:val="decimal" w:pos="1426"/>
              </w:tabs>
              <w:ind w:right="-144"/>
              <w:rPr>
                <w:rFonts w:cs="Arial"/>
                <w:b/>
                <w:sz w:val="18"/>
                <w:szCs w:val="18"/>
              </w:rPr>
            </w:pPr>
          </w:p>
        </w:tc>
        <w:tc>
          <w:tcPr>
            <w:tcW w:w="1559" w:type="dxa"/>
          </w:tcPr>
          <w:p w14:paraId="2A42307D" w14:textId="77777777" w:rsidR="00AA34BF" w:rsidRPr="00AA34BF" w:rsidRDefault="00AA34BF" w:rsidP="00BE666E">
            <w:pPr>
              <w:tabs>
                <w:tab w:val="decimal" w:pos="1426"/>
              </w:tabs>
              <w:ind w:right="-144"/>
              <w:rPr>
                <w:rFonts w:cs="Arial"/>
                <w:b/>
                <w:sz w:val="18"/>
                <w:szCs w:val="18"/>
              </w:rPr>
            </w:pPr>
          </w:p>
        </w:tc>
        <w:tc>
          <w:tcPr>
            <w:tcW w:w="1559" w:type="dxa"/>
          </w:tcPr>
          <w:p w14:paraId="484B039A" w14:textId="77777777" w:rsidR="00AA34BF" w:rsidRPr="00AA34BF" w:rsidRDefault="00AA34BF" w:rsidP="00BE666E">
            <w:pPr>
              <w:tabs>
                <w:tab w:val="decimal" w:pos="1426"/>
              </w:tabs>
              <w:ind w:right="-144"/>
              <w:rPr>
                <w:rFonts w:cs="Arial"/>
                <w:b/>
                <w:sz w:val="18"/>
                <w:szCs w:val="18"/>
              </w:rPr>
            </w:pPr>
          </w:p>
        </w:tc>
        <w:tc>
          <w:tcPr>
            <w:tcW w:w="1559" w:type="dxa"/>
          </w:tcPr>
          <w:p w14:paraId="00D5FCC5" w14:textId="77777777" w:rsidR="00AA34BF" w:rsidRPr="00AA34BF" w:rsidRDefault="00AA34BF" w:rsidP="00BE666E">
            <w:pPr>
              <w:tabs>
                <w:tab w:val="decimal" w:pos="1426"/>
              </w:tabs>
              <w:ind w:right="-144"/>
              <w:rPr>
                <w:rFonts w:cs="Arial"/>
                <w:b/>
                <w:sz w:val="18"/>
                <w:szCs w:val="18"/>
                <w:u w:val="single"/>
              </w:rPr>
            </w:pPr>
          </w:p>
        </w:tc>
        <w:tc>
          <w:tcPr>
            <w:tcW w:w="1559" w:type="dxa"/>
          </w:tcPr>
          <w:p w14:paraId="2BF0A439" w14:textId="77777777" w:rsidR="00AA34BF" w:rsidRPr="00AA34BF" w:rsidRDefault="00AA34BF" w:rsidP="00BE666E">
            <w:pPr>
              <w:tabs>
                <w:tab w:val="decimal" w:pos="1426"/>
              </w:tabs>
              <w:ind w:right="-144"/>
              <w:rPr>
                <w:rFonts w:cs="Arial"/>
                <w:b/>
                <w:sz w:val="18"/>
                <w:szCs w:val="18"/>
                <w:u w:val="single"/>
              </w:rPr>
            </w:pPr>
          </w:p>
        </w:tc>
        <w:tc>
          <w:tcPr>
            <w:tcW w:w="1559" w:type="dxa"/>
          </w:tcPr>
          <w:p w14:paraId="2C4ED288" w14:textId="0AD1C148" w:rsidR="00AA34BF" w:rsidRPr="00AA34BF" w:rsidRDefault="00AA34BF" w:rsidP="00BE666E">
            <w:pPr>
              <w:tabs>
                <w:tab w:val="decimal" w:pos="1426"/>
              </w:tabs>
              <w:ind w:right="-144"/>
              <w:rPr>
                <w:rFonts w:cs="Arial"/>
                <w:b/>
                <w:sz w:val="18"/>
                <w:szCs w:val="18"/>
                <w:u w:val="single"/>
              </w:rPr>
            </w:pPr>
          </w:p>
        </w:tc>
        <w:tc>
          <w:tcPr>
            <w:tcW w:w="1559" w:type="dxa"/>
          </w:tcPr>
          <w:p w14:paraId="66EF7163" w14:textId="77777777" w:rsidR="00AA34BF" w:rsidRPr="00AA34BF" w:rsidRDefault="00AA34BF" w:rsidP="00BE666E">
            <w:pPr>
              <w:tabs>
                <w:tab w:val="decimal" w:pos="1426"/>
              </w:tabs>
              <w:ind w:right="-144"/>
              <w:rPr>
                <w:rFonts w:cs="Arial"/>
                <w:b/>
                <w:sz w:val="18"/>
                <w:szCs w:val="18"/>
                <w:u w:val="single"/>
              </w:rPr>
            </w:pPr>
          </w:p>
        </w:tc>
      </w:tr>
      <w:tr w:rsidR="00AA34BF" w:rsidRPr="0048226D" w:rsidDel="001C7459" w14:paraId="66779723" w14:textId="77777777" w:rsidTr="007D0D5A">
        <w:tc>
          <w:tcPr>
            <w:tcW w:w="3402" w:type="dxa"/>
          </w:tcPr>
          <w:p w14:paraId="7D1A4D7F" w14:textId="77777777" w:rsidR="00AA34BF" w:rsidRPr="00AA34BF" w:rsidRDefault="00AA34BF" w:rsidP="00BE666E">
            <w:pPr>
              <w:rPr>
                <w:rFonts w:cs="Arial"/>
                <w:sz w:val="18"/>
                <w:szCs w:val="18"/>
              </w:rPr>
            </w:pPr>
          </w:p>
        </w:tc>
        <w:tc>
          <w:tcPr>
            <w:tcW w:w="1559" w:type="dxa"/>
          </w:tcPr>
          <w:p w14:paraId="751BF63F" w14:textId="5D9A0718" w:rsidR="00AA34BF" w:rsidRPr="00AA34BF" w:rsidDel="001759FD" w:rsidRDefault="000D26A4" w:rsidP="00BE666E">
            <w:pPr>
              <w:tabs>
                <w:tab w:val="decimal" w:pos="1426"/>
              </w:tabs>
              <w:ind w:right="-144"/>
              <w:rPr>
                <w:rFonts w:cs="Arial"/>
                <w:b/>
                <w:sz w:val="18"/>
                <w:szCs w:val="18"/>
              </w:rPr>
            </w:pPr>
            <w:r>
              <w:rPr>
                <w:rFonts w:cs="Arial"/>
                <w:b/>
                <w:sz w:val="18"/>
                <w:szCs w:val="18"/>
              </w:rPr>
              <w:t>(</w:t>
            </w:r>
            <w:r w:rsidR="00AB63D7">
              <w:rPr>
                <w:rFonts w:cs="Arial"/>
                <w:b/>
                <w:sz w:val="18"/>
                <w:szCs w:val="18"/>
              </w:rPr>
              <w:t>20</w:t>
            </w:r>
            <w:r>
              <w:rPr>
                <w:rFonts w:cs="Arial"/>
                <w:b/>
                <w:sz w:val="18"/>
                <w:szCs w:val="18"/>
              </w:rPr>
              <w:t>)</w:t>
            </w:r>
          </w:p>
        </w:tc>
        <w:tc>
          <w:tcPr>
            <w:tcW w:w="1559" w:type="dxa"/>
          </w:tcPr>
          <w:p w14:paraId="68057D4F" w14:textId="59077EC8" w:rsidR="00AA34BF" w:rsidRPr="00AA34BF" w:rsidRDefault="00162A72" w:rsidP="00BE666E">
            <w:pPr>
              <w:tabs>
                <w:tab w:val="decimal" w:pos="1426"/>
              </w:tabs>
              <w:ind w:right="-144"/>
              <w:rPr>
                <w:rFonts w:cs="Arial"/>
                <w:b/>
                <w:sz w:val="18"/>
                <w:szCs w:val="18"/>
              </w:rPr>
            </w:pPr>
            <w:r>
              <w:rPr>
                <w:rFonts w:cs="Arial"/>
                <w:b/>
                <w:sz w:val="18"/>
                <w:szCs w:val="18"/>
              </w:rPr>
              <w:t>-</w:t>
            </w:r>
          </w:p>
        </w:tc>
        <w:tc>
          <w:tcPr>
            <w:tcW w:w="1559" w:type="dxa"/>
          </w:tcPr>
          <w:p w14:paraId="35A5260D" w14:textId="173AA86E" w:rsidR="00AA34BF" w:rsidRPr="00AA34BF" w:rsidRDefault="001C302D" w:rsidP="00BE666E">
            <w:pPr>
              <w:tabs>
                <w:tab w:val="decimal" w:pos="1426"/>
              </w:tabs>
              <w:ind w:right="-144"/>
              <w:rPr>
                <w:rFonts w:cs="Arial"/>
                <w:b/>
                <w:sz w:val="18"/>
                <w:szCs w:val="18"/>
              </w:rPr>
            </w:pPr>
            <w:r>
              <w:rPr>
                <w:rFonts w:cs="Arial"/>
                <w:b/>
                <w:sz w:val="18"/>
                <w:szCs w:val="18"/>
              </w:rPr>
              <w:t>103</w:t>
            </w:r>
          </w:p>
        </w:tc>
        <w:tc>
          <w:tcPr>
            <w:tcW w:w="1559" w:type="dxa"/>
          </w:tcPr>
          <w:p w14:paraId="1BB19F36" w14:textId="14816B8C" w:rsidR="00AA34BF" w:rsidRPr="00AA34BF" w:rsidDel="001759FD" w:rsidRDefault="00805F06" w:rsidP="00BE666E">
            <w:pPr>
              <w:tabs>
                <w:tab w:val="decimal" w:pos="1426"/>
              </w:tabs>
              <w:ind w:right="-144"/>
              <w:rPr>
                <w:rFonts w:cs="Arial"/>
                <w:b/>
                <w:sz w:val="18"/>
                <w:szCs w:val="18"/>
              </w:rPr>
            </w:pPr>
            <w:r>
              <w:rPr>
                <w:rFonts w:cs="Arial"/>
                <w:b/>
                <w:sz w:val="18"/>
                <w:szCs w:val="18"/>
              </w:rPr>
              <w:t>6</w:t>
            </w:r>
            <w:r w:rsidR="002508C8">
              <w:rPr>
                <w:rFonts w:cs="Arial"/>
                <w:b/>
                <w:sz w:val="18"/>
                <w:szCs w:val="18"/>
              </w:rPr>
              <w:t>8</w:t>
            </w:r>
          </w:p>
        </w:tc>
        <w:tc>
          <w:tcPr>
            <w:tcW w:w="1559" w:type="dxa"/>
          </w:tcPr>
          <w:p w14:paraId="08358FF8" w14:textId="1671D90D" w:rsidR="00AA34BF" w:rsidRPr="00AA34BF" w:rsidDel="001C7459" w:rsidRDefault="00610672" w:rsidP="00BE666E">
            <w:pPr>
              <w:tabs>
                <w:tab w:val="decimal" w:pos="1426"/>
              </w:tabs>
              <w:ind w:right="-144"/>
              <w:rPr>
                <w:rFonts w:cs="Arial"/>
                <w:b/>
                <w:sz w:val="18"/>
                <w:szCs w:val="18"/>
              </w:rPr>
            </w:pPr>
            <w:r>
              <w:rPr>
                <w:rFonts w:cs="Arial"/>
                <w:b/>
                <w:sz w:val="18"/>
                <w:szCs w:val="18"/>
              </w:rPr>
              <w:t>4,000</w:t>
            </w:r>
          </w:p>
        </w:tc>
        <w:tc>
          <w:tcPr>
            <w:tcW w:w="1559" w:type="dxa"/>
          </w:tcPr>
          <w:p w14:paraId="73A56A2F" w14:textId="43C173F7" w:rsidR="00AA34BF" w:rsidRPr="00AA34BF" w:rsidRDefault="000139DC" w:rsidP="00BE666E">
            <w:pPr>
              <w:tabs>
                <w:tab w:val="decimal" w:pos="1426"/>
              </w:tabs>
              <w:ind w:right="-144"/>
              <w:rPr>
                <w:rFonts w:cs="Arial"/>
                <w:b/>
                <w:sz w:val="18"/>
                <w:szCs w:val="18"/>
              </w:rPr>
            </w:pPr>
            <w:r>
              <w:rPr>
                <w:rFonts w:cs="Arial"/>
                <w:b/>
                <w:sz w:val="18"/>
                <w:szCs w:val="18"/>
              </w:rPr>
              <w:t>-</w:t>
            </w:r>
          </w:p>
        </w:tc>
        <w:tc>
          <w:tcPr>
            <w:tcW w:w="1559" w:type="dxa"/>
          </w:tcPr>
          <w:p w14:paraId="09E0DD29" w14:textId="4EF29AB9" w:rsidR="00AA34BF" w:rsidRPr="00AA34BF" w:rsidDel="001759FD" w:rsidRDefault="0079669D" w:rsidP="00BE666E">
            <w:pPr>
              <w:tabs>
                <w:tab w:val="decimal" w:pos="1426"/>
              </w:tabs>
              <w:ind w:right="-144"/>
              <w:rPr>
                <w:rFonts w:cs="Arial"/>
                <w:b/>
                <w:sz w:val="18"/>
                <w:szCs w:val="18"/>
              </w:rPr>
            </w:pPr>
            <w:r>
              <w:rPr>
                <w:rFonts w:cs="Arial"/>
                <w:b/>
                <w:sz w:val="18"/>
                <w:szCs w:val="18"/>
              </w:rPr>
              <w:t>(35,396</w:t>
            </w:r>
            <w:r w:rsidR="0058700F">
              <w:rPr>
                <w:rFonts w:cs="Arial"/>
                <w:b/>
                <w:sz w:val="18"/>
                <w:szCs w:val="18"/>
              </w:rPr>
              <w:t>)</w:t>
            </w:r>
          </w:p>
        </w:tc>
        <w:tc>
          <w:tcPr>
            <w:tcW w:w="1559" w:type="dxa"/>
          </w:tcPr>
          <w:p w14:paraId="12912CFD" w14:textId="23C2A63E" w:rsidR="00AA34BF" w:rsidRPr="00AA34BF" w:rsidDel="001C7459" w:rsidRDefault="005873D4" w:rsidP="00BE666E">
            <w:pPr>
              <w:tabs>
                <w:tab w:val="decimal" w:pos="1426"/>
              </w:tabs>
              <w:ind w:right="-144"/>
              <w:rPr>
                <w:rFonts w:cs="Arial"/>
                <w:b/>
                <w:sz w:val="18"/>
                <w:szCs w:val="18"/>
              </w:rPr>
            </w:pPr>
            <w:r>
              <w:rPr>
                <w:rFonts w:cs="Arial"/>
                <w:b/>
                <w:sz w:val="18"/>
                <w:szCs w:val="18"/>
              </w:rPr>
              <w:t>(31,32</w:t>
            </w:r>
            <w:r w:rsidR="00E87F79">
              <w:rPr>
                <w:rFonts w:cs="Arial"/>
                <w:b/>
                <w:sz w:val="18"/>
                <w:szCs w:val="18"/>
              </w:rPr>
              <w:t>6</w:t>
            </w:r>
            <w:r>
              <w:rPr>
                <w:rFonts w:cs="Arial"/>
                <w:b/>
                <w:sz w:val="18"/>
                <w:szCs w:val="18"/>
              </w:rPr>
              <w:t>)</w:t>
            </w:r>
          </w:p>
        </w:tc>
      </w:tr>
      <w:tr w:rsidR="00AA34BF" w:rsidRPr="0048226D" w14:paraId="75E67A75" w14:textId="77777777" w:rsidTr="007D0D5A">
        <w:tc>
          <w:tcPr>
            <w:tcW w:w="3402" w:type="dxa"/>
          </w:tcPr>
          <w:p w14:paraId="14EE0085" w14:textId="77777777" w:rsidR="00AA34BF" w:rsidRPr="00AA34BF" w:rsidRDefault="00AA34BF" w:rsidP="00BE666E">
            <w:pPr>
              <w:rPr>
                <w:rFonts w:cs="Arial"/>
                <w:sz w:val="18"/>
                <w:szCs w:val="18"/>
              </w:rPr>
            </w:pPr>
          </w:p>
        </w:tc>
        <w:tc>
          <w:tcPr>
            <w:tcW w:w="1559" w:type="dxa"/>
          </w:tcPr>
          <w:p w14:paraId="0996A9E3"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45B62074"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7707D289"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0224CE28" w14:textId="77777777" w:rsidR="00AA34BF" w:rsidRPr="00AA34BF" w:rsidRDefault="00AA34BF" w:rsidP="00BE666E">
            <w:pPr>
              <w:tabs>
                <w:tab w:val="decimal" w:pos="1426"/>
              </w:tabs>
              <w:ind w:right="-144"/>
              <w:rPr>
                <w:rFonts w:cs="Arial"/>
                <w:sz w:val="18"/>
                <w:szCs w:val="18"/>
              </w:rPr>
            </w:pPr>
            <w:r w:rsidRPr="00AA34BF">
              <w:rPr>
                <w:rFonts w:cs="Arial"/>
                <w:sz w:val="18"/>
                <w:szCs w:val="18"/>
                <w:u w:val="single"/>
              </w:rPr>
              <w:t>                  </w:t>
            </w:r>
          </w:p>
        </w:tc>
        <w:tc>
          <w:tcPr>
            <w:tcW w:w="1559" w:type="dxa"/>
          </w:tcPr>
          <w:p w14:paraId="590575B9" w14:textId="77777777"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7E266E5B" w14:textId="355987CF" w:rsidR="00AA34BF" w:rsidRPr="00AA34BF" w:rsidRDefault="00AA34BF" w:rsidP="00BE666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418225F5" w14:textId="7F411097" w:rsidR="00AA34BF" w:rsidRPr="00AA34BF" w:rsidRDefault="00AA34BF" w:rsidP="00BE666E">
            <w:pPr>
              <w:tabs>
                <w:tab w:val="decimal" w:pos="1426"/>
              </w:tabs>
              <w:ind w:right="-144"/>
              <w:rPr>
                <w:rFonts w:cs="Arial"/>
                <w:sz w:val="18"/>
                <w:szCs w:val="18"/>
              </w:rPr>
            </w:pPr>
            <w:r w:rsidRPr="00AA34BF">
              <w:rPr>
                <w:rFonts w:cs="Arial"/>
                <w:sz w:val="18"/>
                <w:szCs w:val="18"/>
                <w:u w:val="single"/>
              </w:rPr>
              <w:t>                  </w:t>
            </w:r>
          </w:p>
        </w:tc>
        <w:tc>
          <w:tcPr>
            <w:tcW w:w="1559" w:type="dxa"/>
          </w:tcPr>
          <w:p w14:paraId="38F6FA20" w14:textId="77777777" w:rsidR="00AA34BF" w:rsidRPr="00AA34BF" w:rsidRDefault="00AA34BF" w:rsidP="00BE666E">
            <w:pPr>
              <w:tabs>
                <w:tab w:val="decimal" w:pos="1426"/>
              </w:tabs>
              <w:ind w:right="-144"/>
              <w:rPr>
                <w:rFonts w:cs="Arial"/>
                <w:sz w:val="18"/>
                <w:szCs w:val="18"/>
              </w:rPr>
            </w:pPr>
            <w:r w:rsidRPr="00AA34BF">
              <w:rPr>
                <w:rFonts w:cs="Arial"/>
                <w:sz w:val="18"/>
                <w:szCs w:val="18"/>
                <w:u w:val="single"/>
              </w:rPr>
              <w:t>                  </w:t>
            </w:r>
          </w:p>
        </w:tc>
      </w:tr>
      <w:tr w:rsidR="00AA34BF" w:rsidRPr="0048226D" w14:paraId="4BF7F37C" w14:textId="77777777" w:rsidTr="007D0D5A">
        <w:tc>
          <w:tcPr>
            <w:tcW w:w="3402" w:type="dxa"/>
          </w:tcPr>
          <w:p w14:paraId="25F4DCBB" w14:textId="77777777" w:rsidR="00AA34BF" w:rsidRPr="00AA34BF" w:rsidRDefault="00AA34BF" w:rsidP="00BE666E">
            <w:pPr>
              <w:rPr>
                <w:rFonts w:cs="Arial"/>
                <w:sz w:val="18"/>
                <w:szCs w:val="18"/>
              </w:rPr>
            </w:pPr>
          </w:p>
        </w:tc>
        <w:tc>
          <w:tcPr>
            <w:tcW w:w="1559" w:type="dxa"/>
          </w:tcPr>
          <w:p w14:paraId="3DC4C016" w14:textId="77777777" w:rsidR="00AA34BF" w:rsidRPr="00AA34BF" w:rsidRDefault="00AA34BF" w:rsidP="00BE666E">
            <w:pPr>
              <w:tabs>
                <w:tab w:val="decimal" w:pos="1426"/>
              </w:tabs>
              <w:ind w:right="-144"/>
              <w:rPr>
                <w:rFonts w:cs="Arial"/>
                <w:b/>
                <w:sz w:val="18"/>
                <w:szCs w:val="18"/>
              </w:rPr>
            </w:pPr>
          </w:p>
        </w:tc>
        <w:tc>
          <w:tcPr>
            <w:tcW w:w="1559" w:type="dxa"/>
          </w:tcPr>
          <w:p w14:paraId="539B3264" w14:textId="77777777" w:rsidR="00AA34BF" w:rsidRPr="00AA34BF" w:rsidRDefault="00AA34BF" w:rsidP="00BE666E">
            <w:pPr>
              <w:tabs>
                <w:tab w:val="decimal" w:pos="1426"/>
              </w:tabs>
              <w:ind w:right="-144"/>
              <w:rPr>
                <w:rFonts w:cs="Arial"/>
                <w:b/>
                <w:sz w:val="18"/>
                <w:szCs w:val="18"/>
              </w:rPr>
            </w:pPr>
          </w:p>
        </w:tc>
        <w:tc>
          <w:tcPr>
            <w:tcW w:w="1559" w:type="dxa"/>
          </w:tcPr>
          <w:p w14:paraId="03E906D7" w14:textId="77777777" w:rsidR="00AA34BF" w:rsidRPr="00AA34BF" w:rsidRDefault="00AA34BF" w:rsidP="00BE666E">
            <w:pPr>
              <w:tabs>
                <w:tab w:val="decimal" w:pos="1426"/>
              </w:tabs>
              <w:ind w:right="-144"/>
              <w:rPr>
                <w:rFonts w:cs="Arial"/>
                <w:b/>
                <w:sz w:val="18"/>
                <w:szCs w:val="18"/>
              </w:rPr>
            </w:pPr>
          </w:p>
        </w:tc>
        <w:tc>
          <w:tcPr>
            <w:tcW w:w="1559" w:type="dxa"/>
          </w:tcPr>
          <w:p w14:paraId="1DB817C9" w14:textId="77777777" w:rsidR="00AA34BF" w:rsidRPr="00AA34BF" w:rsidRDefault="00AA34BF" w:rsidP="00BE666E">
            <w:pPr>
              <w:tabs>
                <w:tab w:val="decimal" w:pos="1426"/>
              </w:tabs>
              <w:ind w:right="-144"/>
              <w:rPr>
                <w:rFonts w:cs="Arial"/>
                <w:b/>
                <w:sz w:val="18"/>
                <w:szCs w:val="18"/>
              </w:rPr>
            </w:pPr>
          </w:p>
        </w:tc>
        <w:tc>
          <w:tcPr>
            <w:tcW w:w="1559" w:type="dxa"/>
          </w:tcPr>
          <w:p w14:paraId="3A753DE8" w14:textId="77777777" w:rsidR="00AA34BF" w:rsidRPr="00AA34BF" w:rsidRDefault="00AA34BF" w:rsidP="00BE666E">
            <w:pPr>
              <w:tabs>
                <w:tab w:val="decimal" w:pos="1426"/>
              </w:tabs>
              <w:ind w:right="-144"/>
              <w:rPr>
                <w:rFonts w:cs="Arial"/>
                <w:b/>
                <w:sz w:val="18"/>
                <w:szCs w:val="18"/>
              </w:rPr>
            </w:pPr>
          </w:p>
        </w:tc>
        <w:tc>
          <w:tcPr>
            <w:tcW w:w="1559" w:type="dxa"/>
          </w:tcPr>
          <w:p w14:paraId="298815C1" w14:textId="77777777" w:rsidR="00AA34BF" w:rsidRPr="00AA34BF" w:rsidRDefault="00AA34BF" w:rsidP="00BE666E">
            <w:pPr>
              <w:tabs>
                <w:tab w:val="decimal" w:pos="1426"/>
              </w:tabs>
              <w:ind w:right="-144"/>
              <w:rPr>
                <w:rFonts w:cs="Arial"/>
                <w:b/>
                <w:sz w:val="18"/>
                <w:szCs w:val="18"/>
              </w:rPr>
            </w:pPr>
          </w:p>
        </w:tc>
        <w:tc>
          <w:tcPr>
            <w:tcW w:w="1559" w:type="dxa"/>
          </w:tcPr>
          <w:p w14:paraId="3ED4B67D" w14:textId="302C2B5B" w:rsidR="00AA34BF" w:rsidRPr="00AA34BF" w:rsidRDefault="00AA34BF" w:rsidP="00BE666E">
            <w:pPr>
              <w:tabs>
                <w:tab w:val="decimal" w:pos="1426"/>
              </w:tabs>
              <w:ind w:right="-144"/>
              <w:rPr>
                <w:rFonts w:cs="Arial"/>
                <w:b/>
                <w:sz w:val="18"/>
                <w:szCs w:val="18"/>
              </w:rPr>
            </w:pPr>
          </w:p>
        </w:tc>
        <w:tc>
          <w:tcPr>
            <w:tcW w:w="1559" w:type="dxa"/>
          </w:tcPr>
          <w:p w14:paraId="01699EA6" w14:textId="77777777" w:rsidR="00AA34BF" w:rsidRPr="00AA34BF" w:rsidRDefault="00AA34BF" w:rsidP="00BE666E">
            <w:pPr>
              <w:tabs>
                <w:tab w:val="decimal" w:pos="1426"/>
              </w:tabs>
              <w:ind w:right="-144"/>
              <w:rPr>
                <w:rFonts w:cs="Arial"/>
                <w:b/>
                <w:sz w:val="18"/>
                <w:szCs w:val="18"/>
              </w:rPr>
            </w:pPr>
          </w:p>
        </w:tc>
      </w:tr>
      <w:tr w:rsidR="00AA34BF" w:rsidRPr="0048226D" w14:paraId="7AC027D6" w14:textId="77777777" w:rsidTr="007D0D5A">
        <w:tc>
          <w:tcPr>
            <w:tcW w:w="3402" w:type="dxa"/>
          </w:tcPr>
          <w:p w14:paraId="0244CA32" w14:textId="757560F3" w:rsidR="00AA34BF" w:rsidRPr="00AA34BF" w:rsidRDefault="00AA34BF" w:rsidP="00BE666E">
            <w:pPr>
              <w:rPr>
                <w:rFonts w:cs="Arial"/>
                <w:b/>
                <w:sz w:val="18"/>
                <w:szCs w:val="18"/>
              </w:rPr>
            </w:pPr>
            <w:r w:rsidRPr="00AA34BF">
              <w:rPr>
                <w:rFonts w:cs="Arial"/>
                <w:b/>
                <w:sz w:val="18"/>
                <w:szCs w:val="18"/>
              </w:rPr>
              <w:t xml:space="preserve">Balance as </w:t>
            </w:r>
            <w:proofErr w:type="gramStart"/>
            <w:r w:rsidRPr="00AA34BF">
              <w:rPr>
                <w:rFonts w:cs="Arial"/>
                <w:b/>
                <w:sz w:val="18"/>
                <w:szCs w:val="18"/>
              </w:rPr>
              <w:t>at</w:t>
            </w:r>
            <w:proofErr w:type="gramEnd"/>
            <w:r w:rsidRPr="00AA34BF">
              <w:rPr>
                <w:rFonts w:cs="Arial"/>
                <w:b/>
                <w:sz w:val="18"/>
                <w:szCs w:val="18"/>
              </w:rPr>
              <w:t xml:space="preserve"> 30 June 202</w:t>
            </w:r>
            <w:r w:rsidR="000D5AB2">
              <w:rPr>
                <w:rFonts w:cs="Arial"/>
                <w:b/>
                <w:sz w:val="18"/>
                <w:szCs w:val="18"/>
              </w:rPr>
              <w:t>5</w:t>
            </w:r>
          </w:p>
        </w:tc>
        <w:tc>
          <w:tcPr>
            <w:tcW w:w="1559" w:type="dxa"/>
          </w:tcPr>
          <w:p w14:paraId="240D9F8E" w14:textId="50A0776C" w:rsidR="00AA34BF" w:rsidRPr="00AA34BF" w:rsidRDefault="000D26A4" w:rsidP="00BE666E">
            <w:pPr>
              <w:tabs>
                <w:tab w:val="decimal" w:pos="1426"/>
              </w:tabs>
              <w:ind w:right="-144"/>
              <w:rPr>
                <w:rFonts w:cs="Arial"/>
                <w:b/>
                <w:sz w:val="18"/>
                <w:szCs w:val="18"/>
              </w:rPr>
            </w:pPr>
            <w:r>
              <w:rPr>
                <w:rFonts w:cs="Arial"/>
                <w:b/>
                <w:sz w:val="18"/>
                <w:szCs w:val="18"/>
              </w:rPr>
              <w:t>54</w:t>
            </w:r>
            <w:r w:rsidR="00AB63D7">
              <w:rPr>
                <w:rFonts w:cs="Arial"/>
                <w:b/>
                <w:sz w:val="18"/>
                <w:szCs w:val="18"/>
              </w:rPr>
              <w:t>1</w:t>
            </w:r>
          </w:p>
        </w:tc>
        <w:tc>
          <w:tcPr>
            <w:tcW w:w="1559" w:type="dxa"/>
          </w:tcPr>
          <w:p w14:paraId="03956843" w14:textId="33D728BF" w:rsidR="00AA34BF" w:rsidRPr="00AA34BF" w:rsidRDefault="0085695D" w:rsidP="00BE666E">
            <w:pPr>
              <w:tabs>
                <w:tab w:val="decimal" w:pos="1426"/>
              </w:tabs>
              <w:ind w:right="-144"/>
              <w:rPr>
                <w:rFonts w:cs="Arial"/>
                <w:b/>
                <w:sz w:val="18"/>
                <w:szCs w:val="18"/>
              </w:rPr>
            </w:pPr>
            <w:r>
              <w:rPr>
                <w:rFonts w:cs="Arial"/>
                <w:b/>
                <w:sz w:val="18"/>
                <w:szCs w:val="18"/>
              </w:rPr>
              <w:t>-</w:t>
            </w:r>
          </w:p>
        </w:tc>
        <w:tc>
          <w:tcPr>
            <w:tcW w:w="1559" w:type="dxa"/>
          </w:tcPr>
          <w:p w14:paraId="15CD8658" w14:textId="0D37BF36" w:rsidR="00AA34BF" w:rsidRPr="00AA34BF" w:rsidRDefault="001C302D" w:rsidP="00BE666E">
            <w:pPr>
              <w:tabs>
                <w:tab w:val="decimal" w:pos="1426"/>
              </w:tabs>
              <w:ind w:right="-144"/>
              <w:rPr>
                <w:rFonts w:cs="Arial"/>
                <w:b/>
                <w:sz w:val="18"/>
                <w:szCs w:val="18"/>
              </w:rPr>
            </w:pPr>
            <w:r>
              <w:rPr>
                <w:rFonts w:cs="Arial"/>
                <w:b/>
                <w:sz w:val="18"/>
                <w:szCs w:val="18"/>
              </w:rPr>
              <w:t>521</w:t>
            </w:r>
          </w:p>
        </w:tc>
        <w:tc>
          <w:tcPr>
            <w:tcW w:w="1559" w:type="dxa"/>
          </w:tcPr>
          <w:p w14:paraId="08A793B2" w14:textId="7452450B" w:rsidR="00AA34BF" w:rsidRPr="00AA34BF" w:rsidRDefault="00805F06" w:rsidP="00BE666E">
            <w:pPr>
              <w:tabs>
                <w:tab w:val="decimal" w:pos="1426"/>
              </w:tabs>
              <w:ind w:right="-144"/>
              <w:rPr>
                <w:rFonts w:cs="Arial"/>
                <w:b/>
                <w:sz w:val="18"/>
                <w:szCs w:val="18"/>
              </w:rPr>
            </w:pPr>
            <w:r>
              <w:rPr>
                <w:rFonts w:cs="Arial"/>
                <w:b/>
                <w:sz w:val="18"/>
                <w:szCs w:val="18"/>
              </w:rPr>
              <w:t>179,85</w:t>
            </w:r>
            <w:r w:rsidR="002508C8">
              <w:rPr>
                <w:rFonts w:cs="Arial"/>
                <w:b/>
                <w:sz w:val="18"/>
                <w:szCs w:val="18"/>
              </w:rPr>
              <w:t>6</w:t>
            </w:r>
          </w:p>
        </w:tc>
        <w:tc>
          <w:tcPr>
            <w:tcW w:w="1559" w:type="dxa"/>
          </w:tcPr>
          <w:p w14:paraId="1FD9D035" w14:textId="5137C585" w:rsidR="00AA34BF" w:rsidRPr="00AA34BF" w:rsidRDefault="00610672" w:rsidP="00BE666E">
            <w:pPr>
              <w:tabs>
                <w:tab w:val="decimal" w:pos="1426"/>
              </w:tabs>
              <w:ind w:right="-144"/>
              <w:rPr>
                <w:rFonts w:cs="Arial"/>
                <w:b/>
                <w:sz w:val="18"/>
                <w:szCs w:val="18"/>
              </w:rPr>
            </w:pPr>
            <w:r>
              <w:rPr>
                <w:rFonts w:cs="Arial"/>
                <w:b/>
                <w:sz w:val="18"/>
                <w:szCs w:val="18"/>
              </w:rPr>
              <w:t>58,079</w:t>
            </w:r>
          </w:p>
        </w:tc>
        <w:tc>
          <w:tcPr>
            <w:tcW w:w="1559" w:type="dxa"/>
          </w:tcPr>
          <w:p w14:paraId="2BE7A337" w14:textId="15E66CA6" w:rsidR="00AA34BF" w:rsidRPr="00AA34BF" w:rsidRDefault="000139DC" w:rsidP="00BE666E">
            <w:pPr>
              <w:tabs>
                <w:tab w:val="decimal" w:pos="1426"/>
              </w:tabs>
              <w:ind w:right="-144"/>
              <w:rPr>
                <w:rFonts w:cs="Arial"/>
                <w:b/>
                <w:sz w:val="18"/>
                <w:szCs w:val="18"/>
              </w:rPr>
            </w:pPr>
            <w:r>
              <w:rPr>
                <w:rFonts w:cs="Arial"/>
                <w:b/>
                <w:sz w:val="18"/>
                <w:szCs w:val="18"/>
              </w:rPr>
              <w:t>(1,</w:t>
            </w:r>
            <w:r w:rsidR="00D9164A">
              <w:rPr>
                <w:rFonts w:cs="Arial"/>
                <w:b/>
                <w:sz w:val="18"/>
                <w:szCs w:val="18"/>
              </w:rPr>
              <w:t>027</w:t>
            </w:r>
            <w:r>
              <w:rPr>
                <w:rFonts w:cs="Arial"/>
                <w:b/>
                <w:sz w:val="18"/>
                <w:szCs w:val="18"/>
              </w:rPr>
              <w:t>)</w:t>
            </w:r>
          </w:p>
        </w:tc>
        <w:tc>
          <w:tcPr>
            <w:tcW w:w="1559" w:type="dxa"/>
          </w:tcPr>
          <w:p w14:paraId="0215521B" w14:textId="19631D56" w:rsidR="00AA34BF" w:rsidRPr="00AA34BF" w:rsidRDefault="005873D4" w:rsidP="00BE666E">
            <w:pPr>
              <w:tabs>
                <w:tab w:val="decimal" w:pos="1426"/>
              </w:tabs>
              <w:ind w:right="-144"/>
              <w:rPr>
                <w:rFonts w:cs="Arial"/>
                <w:b/>
                <w:sz w:val="18"/>
                <w:szCs w:val="18"/>
              </w:rPr>
            </w:pPr>
            <w:r>
              <w:rPr>
                <w:rFonts w:cs="Arial"/>
                <w:b/>
                <w:sz w:val="18"/>
                <w:szCs w:val="18"/>
              </w:rPr>
              <w:t>510,385</w:t>
            </w:r>
          </w:p>
        </w:tc>
        <w:tc>
          <w:tcPr>
            <w:tcW w:w="1559" w:type="dxa"/>
          </w:tcPr>
          <w:p w14:paraId="06FB88EA" w14:textId="64092E85" w:rsidR="00AA34BF" w:rsidRPr="00AA34BF" w:rsidRDefault="005873D4" w:rsidP="00BE666E">
            <w:pPr>
              <w:tabs>
                <w:tab w:val="decimal" w:pos="1426"/>
              </w:tabs>
              <w:ind w:right="-144"/>
              <w:rPr>
                <w:rFonts w:cs="Arial"/>
                <w:b/>
                <w:sz w:val="18"/>
                <w:szCs w:val="18"/>
              </w:rPr>
            </w:pPr>
            <w:r>
              <w:rPr>
                <w:rFonts w:cs="Arial"/>
                <w:b/>
                <w:sz w:val="18"/>
                <w:szCs w:val="18"/>
              </w:rPr>
              <w:t>748,</w:t>
            </w:r>
            <w:r w:rsidR="001A086F">
              <w:rPr>
                <w:rFonts w:cs="Arial"/>
                <w:b/>
                <w:sz w:val="18"/>
                <w:szCs w:val="18"/>
              </w:rPr>
              <w:t>355</w:t>
            </w:r>
          </w:p>
        </w:tc>
      </w:tr>
      <w:tr w:rsidR="00AA34BF" w:rsidRPr="0048226D" w14:paraId="31B8A1C7" w14:textId="77777777" w:rsidTr="007D0D5A">
        <w:trPr>
          <w:trHeight w:val="391"/>
        </w:trPr>
        <w:tc>
          <w:tcPr>
            <w:tcW w:w="3402" w:type="dxa"/>
          </w:tcPr>
          <w:p w14:paraId="38C541BB" w14:textId="77777777" w:rsidR="00AA34BF" w:rsidRPr="00AA34BF" w:rsidRDefault="00AA34BF" w:rsidP="00BE666E">
            <w:pPr>
              <w:rPr>
                <w:rFonts w:cs="Arial"/>
                <w:b/>
                <w:sz w:val="18"/>
                <w:szCs w:val="18"/>
              </w:rPr>
            </w:pPr>
          </w:p>
        </w:tc>
        <w:tc>
          <w:tcPr>
            <w:tcW w:w="1559" w:type="dxa"/>
          </w:tcPr>
          <w:p w14:paraId="02777D60" w14:textId="77777777" w:rsidR="00AA34BF" w:rsidRPr="00AA34BF" w:rsidRDefault="00AA34BF" w:rsidP="00BE666E">
            <w:pPr>
              <w:tabs>
                <w:tab w:val="decimal" w:pos="1426"/>
              </w:tabs>
              <w:ind w:right="-144"/>
              <w:rPr>
                <w:rFonts w:cs="Arial"/>
                <w:sz w:val="18"/>
                <w:szCs w:val="18"/>
                <w:u w:val="double"/>
              </w:rPr>
            </w:pPr>
            <w:r w:rsidRPr="00AA34BF">
              <w:rPr>
                <w:rFonts w:cs="Arial"/>
                <w:sz w:val="18"/>
                <w:szCs w:val="18"/>
                <w:u w:val="double"/>
              </w:rPr>
              <w:t>                  </w:t>
            </w:r>
          </w:p>
        </w:tc>
        <w:tc>
          <w:tcPr>
            <w:tcW w:w="1559" w:type="dxa"/>
          </w:tcPr>
          <w:p w14:paraId="64B10176" w14:textId="77777777" w:rsidR="00AA34BF" w:rsidRPr="00AA34BF" w:rsidRDefault="00AA34BF" w:rsidP="00BE666E">
            <w:pPr>
              <w:tabs>
                <w:tab w:val="decimal" w:pos="1426"/>
              </w:tabs>
              <w:ind w:right="-144"/>
              <w:rPr>
                <w:rFonts w:cs="Arial"/>
                <w:sz w:val="18"/>
                <w:szCs w:val="18"/>
                <w:u w:val="double"/>
              </w:rPr>
            </w:pPr>
            <w:r w:rsidRPr="00AA34BF">
              <w:rPr>
                <w:rFonts w:cs="Arial"/>
                <w:sz w:val="18"/>
                <w:szCs w:val="18"/>
                <w:u w:val="double"/>
              </w:rPr>
              <w:t>                  </w:t>
            </w:r>
          </w:p>
        </w:tc>
        <w:tc>
          <w:tcPr>
            <w:tcW w:w="1559" w:type="dxa"/>
          </w:tcPr>
          <w:p w14:paraId="7591F417" w14:textId="77777777" w:rsidR="00AA34BF" w:rsidRPr="00AA34BF" w:rsidRDefault="00AA34BF" w:rsidP="00BE666E">
            <w:pPr>
              <w:tabs>
                <w:tab w:val="decimal" w:pos="1426"/>
              </w:tabs>
              <w:ind w:right="-144"/>
              <w:rPr>
                <w:rFonts w:cs="Arial"/>
                <w:sz w:val="18"/>
                <w:szCs w:val="18"/>
                <w:u w:val="double"/>
              </w:rPr>
            </w:pPr>
            <w:r w:rsidRPr="00AA34BF">
              <w:rPr>
                <w:rFonts w:cs="Arial"/>
                <w:sz w:val="18"/>
                <w:szCs w:val="18"/>
                <w:u w:val="double"/>
              </w:rPr>
              <w:t>                  </w:t>
            </w:r>
          </w:p>
        </w:tc>
        <w:tc>
          <w:tcPr>
            <w:tcW w:w="1559" w:type="dxa"/>
          </w:tcPr>
          <w:p w14:paraId="7B4E0998" w14:textId="77777777" w:rsidR="00AA34BF" w:rsidRPr="00AA34BF" w:rsidRDefault="00AA34BF" w:rsidP="00BE666E">
            <w:pPr>
              <w:tabs>
                <w:tab w:val="decimal" w:pos="1426"/>
              </w:tabs>
              <w:ind w:right="-144"/>
              <w:rPr>
                <w:rFonts w:cs="Arial"/>
                <w:sz w:val="18"/>
                <w:szCs w:val="18"/>
                <w:u w:val="double"/>
              </w:rPr>
            </w:pPr>
            <w:r w:rsidRPr="00AA34BF">
              <w:rPr>
                <w:rFonts w:cs="Arial"/>
                <w:sz w:val="18"/>
                <w:szCs w:val="18"/>
                <w:u w:val="double"/>
              </w:rPr>
              <w:t>                  </w:t>
            </w:r>
          </w:p>
        </w:tc>
        <w:tc>
          <w:tcPr>
            <w:tcW w:w="1559" w:type="dxa"/>
          </w:tcPr>
          <w:p w14:paraId="7BD2F424" w14:textId="77777777" w:rsidR="00AA34BF" w:rsidRPr="00AA34BF" w:rsidRDefault="00AA34BF" w:rsidP="00BE666E">
            <w:pPr>
              <w:tabs>
                <w:tab w:val="decimal" w:pos="1426"/>
              </w:tabs>
              <w:ind w:right="-144"/>
              <w:rPr>
                <w:rFonts w:cs="Arial"/>
                <w:sz w:val="18"/>
                <w:szCs w:val="18"/>
                <w:u w:val="double"/>
              </w:rPr>
            </w:pPr>
            <w:r w:rsidRPr="00AA34BF">
              <w:rPr>
                <w:rFonts w:cs="Arial"/>
                <w:sz w:val="18"/>
                <w:szCs w:val="18"/>
                <w:u w:val="double"/>
              </w:rPr>
              <w:t>                  </w:t>
            </w:r>
          </w:p>
        </w:tc>
        <w:tc>
          <w:tcPr>
            <w:tcW w:w="1559" w:type="dxa"/>
          </w:tcPr>
          <w:p w14:paraId="2365A486" w14:textId="3092E460" w:rsidR="00AA34BF" w:rsidRPr="00AA34BF" w:rsidRDefault="00AA34BF" w:rsidP="00BE666E">
            <w:pPr>
              <w:tabs>
                <w:tab w:val="decimal" w:pos="1426"/>
              </w:tabs>
              <w:ind w:right="-144"/>
              <w:rPr>
                <w:rFonts w:cs="Arial"/>
                <w:sz w:val="18"/>
                <w:szCs w:val="18"/>
                <w:u w:val="double"/>
              </w:rPr>
            </w:pPr>
            <w:r w:rsidRPr="00AA34BF">
              <w:rPr>
                <w:rFonts w:cs="Arial"/>
                <w:sz w:val="18"/>
                <w:szCs w:val="18"/>
                <w:u w:val="double"/>
              </w:rPr>
              <w:t>                  </w:t>
            </w:r>
          </w:p>
        </w:tc>
        <w:tc>
          <w:tcPr>
            <w:tcW w:w="1559" w:type="dxa"/>
          </w:tcPr>
          <w:p w14:paraId="66ED06E1" w14:textId="00B10DA8" w:rsidR="00AA34BF" w:rsidRPr="00AA34BF" w:rsidRDefault="00AA34BF" w:rsidP="00BE666E">
            <w:pPr>
              <w:tabs>
                <w:tab w:val="decimal" w:pos="1426"/>
              </w:tabs>
              <w:ind w:right="-144"/>
              <w:rPr>
                <w:rFonts w:cs="Arial"/>
                <w:sz w:val="18"/>
                <w:szCs w:val="18"/>
                <w:u w:val="double"/>
              </w:rPr>
            </w:pPr>
            <w:r w:rsidRPr="00AA34BF">
              <w:rPr>
                <w:rFonts w:cs="Arial"/>
                <w:sz w:val="18"/>
                <w:szCs w:val="18"/>
                <w:u w:val="double"/>
              </w:rPr>
              <w:t>                  </w:t>
            </w:r>
          </w:p>
        </w:tc>
        <w:tc>
          <w:tcPr>
            <w:tcW w:w="1559" w:type="dxa"/>
          </w:tcPr>
          <w:p w14:paraId="2E2DE50B" w14:textId="77777777" w:rsidR="00AA34BF" w:rsidRPr="00AA34BF" w:rsidRDefault="00AA34BF" w:rsidP="00BE666E">
            <w:pPr>
              <w:tabs>
                <w:tab w:val="decimal" w:pos="1426"/>
              </w:tabs>
              <w:ind w:right="-144"/>
              <w:rPr>
                <w:rFonts w:cs="Arial"/>
                <w:sz w:val="18"/>
                <w:szCs w:val="18"/>
                <w:u w:val="double"/>
              </w:rPr>
            </w:pPr>
            <w:r w:rsidRPr="00AA34BF">
              <w:rPr>
                <w:rFonts w:cs="Arial"/>
                <w:sz w:val="18"/>
                <w:szCs w:val="18"/>
                <w:u w:val="double"/>
              </w:rPr>
              <w:t>                  </w:t>
            </w:r>
          </w:p>
        </w:tc>
      </w:tr>
      <w:tr w:rsidR="00F23AE3" w:rsidRPr="0048226D" w14:paraId="6069EC9D" w14:textId="77777777" w:rsidTr="008A08F9">
        <w:trPr>
          <w:trHeight w:val="391"/>
        </w:trPr>
        <w:tc>
          <w:tcPr>
            <w:tcW w:w="15874" w:type="dxa"/>
            <w:gridSpan w:val="9"/>
          </w:tcPr>
          <w:p w14:paraId="72B9E3ED" w14:textId="6D734F1C" w:rsidR="00F23AE3" w:rsidRPr="00AA34BF" w:rsidRDefault="00F23AE3" w:rsidP="00BE666E">
            <w:pPr>
              <w:tabs>
                <w:tab w:val="decimal" w:pos="1426"/>
              </w:tabs>
              <w:ind w:right="-144"/>
              <w:rPr>
                <w:rFonts w:cs="Arial"/>
                <w:sz w:val="18"/>
                <w:szCs w:val="18"/>
                <w:u w:val="double"/>
              </w:rPr>
            </w:pPr>
          </w:p>
        </w:tc>
      </w:tr>
    </w:tbl>
    <w:p w14:paraId="3A1A332E" w14:textId="77777777" w:rsidR="00F728B5" w:rsidRDefault="00F728B5" w:rsidP="00746309">
      <w:pPr>
        <w:tabs>
          <w:tab w:val="left" w:pos="2565"/>
        </w:tabs>
      </w:pPr>
    </w:p>
    <w:p w14:paraId="0D35E673" w14:textId="66C7D276" w:rsidR="00AA34BF" w:rsidRDefault="00AA34BF" w:rsidP="00AA34BF">
      <w:pPr>
        <w:tabs>
          <w:tab w:val="left" w:pos="2565"/>
        </w:tabs>
      </w:pPr>
      <w:r>
        <w:lastRenderedPageBreak/>
        <w:t xml:space="preserve">               </w:t>
      </w:r>
    </w:p>
    <w:p w14:paraId="74154FE7" w14:textId="77777777" w:rsidR="00286689" w:rsidRDefault="00286689" w:rsidP="00746309">
      <w:pPr>
        <w:tabs>
          <w:tab w:val="left" w:pos="2565"/>
        </w:tabs>
      </w:pPr>
    </w:p>
    <w:p w14:paraId="4C8E7907" w14:textId="77777777" w:rsidR="0050348A" w:rsidRDefault="0050348A" w:rsidP="0050348A">
      <w:pPr>
        <w:pStyle w:val="ACSectionTOCHeading"/>
        <w:jc w:val="both"/>
      </w:pPr>
      <w:r>
        <w:t>Condensed consolidated s</w:t>
      </w:r>
      <w:r w:rsidRPr="00670755">
        <w:t>tatement of changes in equity</w:t>
      </w:r>
    </w:p>
    <w:p w14:paraId="10C5E055" w14:textId="3F8345EE" w:rsidR="0050348A" w:rsidRPr="00751747" w:rsidRDefault="0050348A" w:rsidP="0050348A">
      <w:pPr>
        <w:pStyle w:val="Sub-header"/>
        <w:jc w:val="both"/>
      </w:pPr>
      <w:r>
        <w:t>for the six months ended 30 June 202</w:t>
      </w:r>
      <w:r w:rsidR="00715B9B">
        <w:t>4</w:t>
      </w:r>
    </w:p>
    <w:p w14:paraId="770ACB8E" w14:textId="77777777" w:rsidR="0050348A" w:rsidRDefault="0050348A" w:rsidP="00A045C3">
      <w:pPr>
        <w:spacing w:after="160" w:line="259" w:lineRule="auto"/>
      </w:pPr>
    </w:p>
    <w:tbl>
      <w:tblPr>
        <w:tblW w:w="16149" w:type="dxa"/>
        <w:tblInd w:w="-840" w:type="dxa"/>
        <w:tblLayout w:type="fixed"/>
        <w:tblCellMar>
          <w:left w:w="0" w:type="dxa"/>
          <w:right w:w="115" w:type="dxa"/>
        </w:tblCellMar>
        <w:tblLook w:val="04A0" w:firstRow="1" w:lastRow="0" w:firstColumn="1" w:lastColumn="0" w:noHBand="0" w:noVBand="1"/>
      </w:tblPr>
      <w:tblGrid>
        <w:gridCol w:w="3392"/>
        <w:gridCol w:w="1843"/>
        <w:gridCol w:w="1559"/>
        <w:gridCol w:w="1559"/>
        <w:gridCol w:w="1559"/>
        <w:gridCol w:w="1560"/>
        <w:gridCol w:w="1559"/>
        <w:gridCol w:w="1559"/>
        <w:gridCol w:w="1559"/>
      </w:tblGrid>
      <w:tr w:rsidR="009A22B5" w:rsidRPr="00670755" w14:paraId="2634516C" w14:textId="77777777" w:rsidTr="00A256E7">
        <w:tc>
          <w:tcPr>
            <w:tcW w:w="3392" w:type="dxa"/>
          </w:tcPr>
          <w:p w14:paraId="74301146" w14:textId="77777777" w:rsidR="009A22B5" w:rsidRPr="00670755" w:rsidRDefault="009A22B5">
            <w:pPr>
              <w:rPr>
                <w:rFonts w:cs="Arial"/>
                <w:szCs w:val="20"/>
              </w:rPr>
            </w:pPr>
          </w:p>
        </w:tc>
        <w:tc>
          <w:tcPr>
            <w:tcW w:w="4961" w:type="dxa"/>
            <w:gridSpan w:val="3"/>
            <w:tcBorders>
              <w:bottom w:val="single" w:sz="4" w:space="0" w:color="auto"/>
            </w:tcBorders>
          </w:tcPr>
          <w:p w14:paraId="7313B305" w14:textId="77777777" w:rsidR="009A22B5" w:rsidRDefault="009A22B5">
            <w:pPr>
              <w:tabs>
                <w:tab w:val="decimal" w:pos="1426"/>
              </w:tabs>
              <w:ind w:right="-144"/>
              <w:jc w:val="center"/>
              <w:rPr>
                <w:rFonts w:cs="Arial"/>
                <w:b/>
                <w:szCs w:val="20"/>
              </w:rPr>
            </w:pPr>
            <w:r>
              <w:rPr>
                <w:rFonts w:cs="Arial"/>
                <w:b/>
                <w:szCs w:val="20"/>
              </w:rPr>
              <w:t>Share Capital</w:t>
            </w:r>
          </w:p>
        </w:tc>
        <w:tc>
          <w:tcPr>
            <w:tcW w:w="1559" w:type="dxa"/>
          </w:tcPr>
          <w:p w14:paraId="55C7CC1D" w14:textId="77777777" w:rsidR="009A22B5" w:rsidRDefault="009A22B5">
            <w:pPr>
              <w:tabs>
                <w:tab w:val="decimal" w:pos="1426"/>
              </w:tabs>
              <w:ind w:right="-144"/>
              <w:rPr>
                <w:rFonts w:cs="Arial"/>
                <w:b/>
                <w:szCs w:val="20"/>
              </w:rPr>
            </w:pPr>
          </w:p>
        </w:tc>
        <w:tc>
          <w:tcPr>
            <w:tcW w:w="1560" w:type="dxa"/>
          </w:tcPr>
          <w:p w14:paraId="6CEE53C4" w14:textId="77777777" w:rsidR="009A22B5" w:rsidRDefault="009A22B5">
            <w:pPr>
              <w:tabs>
                <w:tab w:val="decimal" w:pos="1426"/>
              </w:tabs>
              <w:ind w:right="-144"/>
              <w:rPr>
                <w:rFonts w:cs="Arial"/>
                <w:b/>
                <w:szCs w:val="20"/>
              </w:rPr>
            </w:pPr>
          </w:p>
        </w:tc>
        <w:tc>
          <w:tcPr>
            <w:tcW w:w="1559" w:type="dxa"/>
          </w:tcPr>
          <w:p w14:paraId="0E10813D" w14:textId="77777777" w:rsidR="009A22B5" w:rsidRDefault="009A22B5">
            <w:pPr>
              <w:tabs>
                <w:tab w:val="decimal" w:pos="1426"/>
              </w:tabs>
              <w:ind w:right="-144"/>
              <w:rPr>
                <w:rFonts w:cs="Arial"/>
                <w:b/>
                <w:szCs w:val="20"/>
              </w:rPr>
            </w:pPr>
          </w:p>
        </w:tc>
        <w:tc>
          <w:tcPr>
            <w:tcW w:w="1559" w:type="dxa"/>
          </w:tcPr>
          <w:p w14:paraId="2A3ABE87" w14:textId="77777777" w:rsidR="009A22B5" w:rsidRDefault="009A22B5">
            <w:pPr>
              <w:tabs>
                <w:tab w:val="decimal" w:pos="1426"/>
              </w:tabs>
              <w:ind w:right="-144"/>
              <w:rPr>
                <w:rFonts w:cs="Arial"/>
                <w:b/>
                <w:szCs w:val="20"/>
              </w:rPr>
            </w:pPr>
          </w:p>
        </w:tc>
        <w:tc>
          <w:tcPr>
            <w:tcW w:w="1559" w:type="dxa"/>
          </w:tcPr>
          <w:p w14:paraId="2AAC11D1" w14:textId="77777777" w:rsidR="009A22B5" w:rsidRDefault="009A22B5">
            <w:pPr>
              <w:tabs>
                <w:tab w:val="decimal" w:pos="1426"/>
              </w:tabs>
              <w:ind w:right="-144"/>
              <w:rPr>
                <w:rFonts w:cs="Arial"/>
                <w:b/>
                <w:szCs w:val="20"/>
              </w:rPr>
            </w:pPr>
          </w:p>
        </w:tc>
      </w:tr>
      <w:tr w:rsidR="004C3734" w:rsidRPr="00670755" w14:paraId="48C499FA" w14:textId="77777777" w:rsidTr="00A256E7">
        <w:tc>
          <w:tcPr>
            <w:tcW w:w="3392" w:type="dxa"/>
          </w:tcPr>
          <w:p w14:paraId="4024758D" w14:textId="77777777" w:rsidR="004C3734" w:rsidRPr="00663746" w:rsidRDefault="004C3734" w:rsidP="004C3734">
            <w:pPr>
              <w:rPr>
                <w:rFonts w:cs="Arial"/>
                <w:sz w:val="18"/>
                <w:szCs w:val="18"/>
              </w:rPr>
            </w:pPr>
          </w:p>
        </w:tc>
        <w:tc>
          <w:tcPr>
            <w:tcW w:w="1843" w:type="dxa"/>
            <w:tcBorders>
              <w:top w:val="single" w:sz="4" w:space="0" w:color="auto"/>
            </w:tcBorders>
          </w:tcPr>
          <w:p w14:paraId="51BE697B" w14:textId="77777777" w:rsidR="004C3734" w:rsidRPr="00663746" w:rsidRDefault="004C3734" w:rsidP="004C3734">
            <w:pPr>
              <w:tabs>
                <w:tab w:val="decimal" w:pos="1426"/>
              </w:tabs>
              <w:ind w:right="-144"/>
              <w:rPr>
                <w:rFonts w:cs="Arial"/>
                <w:b/>
                <w:sz w:val="18"/>
                <w:szCs w:val="18"/>
              </w:rPr>
            </w:pPr>
          </w:p>
          <w:p w14:paraId="10E1638F" w14:textId="77777777" w:rsidR="004C3734" w:rsidRPr="00663746" w:rsidRDefault="004C3734" w:rsidP="004C3734">
            <w:pPr>
              <w:tabs>
                <w:tab w:val="decimal" w:pos="1426"/>
              </w:tabs>
              <w:ind w:right="-144"/>
              <w:rPr>
                <w:rFonts w:cs="Arial"/>
                <w:b/>
                <w:sz w:val="18"/>
                <w:szCs w:val="18"/>
              </w:rPr>
            </w:pPr>
            <w:r w:rsidRPr="00663746">
              <w:rPr>
                <w:rFonts w:cs="Arial"/>
                <w:b/>
                <w:sz w:val="18"/>
                <w:szCs w:val="18"/>
              </w:rPr>
              <w:t>Ordinary</w:t>
            </w:r>
          </w:p>
        </w:tc>
        <w:tc>
          <w:tcPr>
            <w:tcW w:w="1559" w:type="dxa"/>
            <w:tcBorders>
              <w:top w:val="single" w:sz="4" w:space="0" w:color="auto"/>
            </w:tcBorders>
          </w:tcPr>
          <w:p w14:paraId="31B5308E" w14:textId="77777777" w:rsidR="004C3734" w:rsidRPr="00663746" w:rsidRDefault="004C3734" w:rsidP="004C3734">
            <w:pPr>
              <w:tabs>
                <w:tab w:val="decimal" w:pos="1426"/>
              </w:tabs>
              <w:ind w:right="-144"/>
              <w:rPr>
                <w:rFonts w:cs="Arial"/>
                <w:b/>
                <w:sz w:val="18"/>
                <w:szCs w:val="18"/>
              </w:rPr>
            </w:pPr>
          </w:p>
          <w:p w14:paraId="0F1475A1" w14:textId="475BA843" w:rsidR="004C3734" w:rsidRPr="00663746" w:rsidRDefault="00904C33" w:rsidP="004C3734">
            <w:pPr>
              <w:tabs>
                <w:tab w:val="decimal" w:pos="1426"/>
              </w:tabs>
              <w:ind w:right="-144"/>
              <w:rPr>
                <w:rFonts w:cs="Arial"/>
                <w:b/>
                <w:sz w:val="18"/>
                <w:szCs w:val="18"/>
              </w:rPr>
            </w:pPr>
            <w:r>
              <w:rPr>
                <w:rFonts w:cs="Arial"/>
                <w:b/>
                <w:sz w:val="18"/>
                <w:szCs w:val="18"/>
              </w:rPr>
              <w:t>Deferred</w:t>
            </w:r>
          </w:p>
        </w:tc>
        <w:tc>
          <w:tcPr>
            <w:tcW w:w="1559" w:type="dxa"/>
            <w:tcBorders>
              <w:top w:val="single" w:sz="4" w:space="0" w:color="auto"/>
            </w:tcBorders>
          </w:tcPr>
          <w:p w14:paraId="1EF16440" w14:textId="77777777" w:rsidR="004C3734" w:rsidRDefault="004C3734" w:rsidP="004C3734">
            <w:pPr>
              <w:tabs>
                <w:tab w:val="decimal" w:pos="1426"/>
              </w:tabs>
              <w:jc w:val="center"/>
              <w:rPr>
                <w:rFonts w:cs="Arial"/>
                <w:b/>
                <w:sz w:val="18"/>
                <w:szCs w:val="18"/>
              </w:rPr>
            </w:pPr>
          </w:p>
          <w:p w14:paraId="2D9FBF05" w14:textId="77777777" w:rsidR="004C3734" w:rsidRPr="00663746" w:rsidRDefault="004C3734" w:rsidP="004C3734">
            <w:pPr>
              <w:tabs>
                <w:tab w:val="decimal" w:pos="1426"/>
              </w:tabs>
              <w:jc w:val="center"/>
              <w:rPr>
                <w:rFonts w:cs="Arial"/>
                <w:b/>
                <w:sz w:val="18"/>
                <w:szCs w:val="18"/>
              </w:rPr>
            </w:pPr>
            <w:proofErr w:type="spellStart"/>
            <w:r>
              <w:rPr>
                <w:rFonts w:cs="Arial"/>
                <w:b/>
                <w:sz w:val="18"/>
                <w:szCs w:val="18"/>
              </w:rPr>
              <w:t>Undenominated</w:t>
            </w:r>
            <w:proofErr w:type="spellEnd"/>
          </w:p>
        </w:tc>
        <w:tc>
          <w:tcPr>
            <w:tcW w:w="1559" w:type="dxa"/>
          </w:tcPr>
          <w:p w14:paraId="230F39EF" w14:textId="77777777" w:rsidR="004C3734" w:rsidRPr="00AA34BF" w:rsidRDefault="004C3734" w:rsidP="004C3734">
            <w:pPr>
              <w:tabs>
                <w:tab w:val="decimal" w:pos="1426"/>
              </w:tabs>
              <w:ind w:right="-144"/>
              <w:rPr>
                <w:rFonts w:cs="Arial"/>
                <w:b/>
                <w:sz w:val="18"/>
                <w:szCs w:val="18"/>
              </w:rPr>
            </w:pPr>
          </w:p>
          <w:p w14:paraId="37A9C5CA" w14:textId="1A2E3AF3" w:rsidR="004C3734" w:rsidRPr="00663746" w:rsidRDefault="004C3734" w:rsidP="004C3734">
            <w:pPr>
              <w:tabs>
                <w:tab w:val="decimal" w:pos="1426"/>
              </w:tabs>
              <w:ind w:right="-144"/>
              <w:rPr>
                <w:rFonts w:cs="Arial"/>
                <w:b/>
                <w:sz w:val="18"/>
                <w:szCs w:val="18"/>
              </w:rPr>
            </w:pPr>
            <w:r w:rsidRPr="00AA34BF">
              <w:rPr>
                <w:rFonts w:cs="Arial"/>
                <w:b/>
                <w:sz w:val="18"/>
                <w:szCs w:val="18"/>
              </w:rPr>
              <w:t>Share</w:t>
            </w:r>
          </w:p>
        </w:tc>
        <w:tc>
          <w:tcPr>
            <w:tcW w:w="1560" w:type="dxa"/>
          </w:tcPr>
          <w:p w14:paraId="3FED7CED" w14:textId="77777777" w:rsidR="004C3734" w:rsidRPr="00AA34BF" w:rsidRDefault="004C3734" w:rsidP="004C3734">
            <w:pPr>
              <w:tabs>
                <w:tab w:val="decimal" w:pos="1426"/>
              </w:tabs>
              <w:ind w:right="-144"/>
              <w:rPr>
                <w:rFonts w:cs="Arial"/>
                <w:b/>
                <w:sz w:val="18"/>
                <w:szCs w:val="18"/>
              </w:rPr>
            </w:pPr>
            <w:r w:rsidRPr="00AA34BF">
              <w:rPr>
                <w:rFonts w:cs="Arial"/>
                <w:b/>
                <w:sz w:val="18"/>
                <w:szCs w:val="18"/>
              </w:rPr>
              <w:t>Share-based</w:t>
            </w:r>
          </w:p>
          <w:p w14:paraId="658C5296" w14:textId="14DE66A5" w:rsidR="004C3734" w:rsidRPr="00663746" w:rsidRDefault="004C3734" w:rsidP="004C3734">
            <w:pPr>
              <w:tabs>
                <w:tab w:val="decimal" w:pos="1426"/>
              </w:tabs>
              <w:ind w:right="-144"/>
              <w:rPr>
                <w:rFonts w:cs="Arial"/>
                <w:b/>
                <w:sz w:val="18"/>
                <w:szCs w:val="18"/>
              </w:rPr>
            </w:pPr>
            <w:r w:rsidRPr="00AA34BF">
              <w:rPr>
                <w:rFonts w:cs="Arial"/>
                <w:b/>
                <w:sz w:val="18"/>
                <w:szCs w:val="18"/>
              </w:rPr>
              <w:t>payment</w:t>
            </w:r>
          </w:p>
        </w:tc>
        <w:tc>
          <w:tcPr>
            <w:tcW w:w="1559" w:type="dxa"/>
          </w:tcPr>
          <w:p w14:paraId="32A1B720" w14:textId="77777777" w:rsidR="004C3734" w:rsidRPr="00AA34BF" w:rsidRDefault="004C3734" w:rsidP="004C3734">
            <w:pPr>
              <w:tabs>
                <w:tab w:val="decimal" w:pos="1426"/>
              </w:tabs>
              <w:ind w:right="-144"/>
              <w:rPr>
                <w:rFonts w:cs="Arial"/>
                <w:b/>
                <w:sz w:val="18"/>
                <w:szCs w:val="18"/>
              </w:rPr>
            </w:pPr>
          </w:p>
          <w:p w14:paraId="37F22AFB" w14:textId="00FB045F" w:rsidR="004C3734" w:rsidRPr="00663746" w:rsidRDefault="004C3734" w:rsidP="004C3734">
            <w:pPr>
              <w:tabs>
                <w:tab w:val="decimal" w:pos="1426"/>
              </w:tabs>
              <w:ind w:right="-144"/>
              <w:rPr>
                <w:rFonts w:cs="Arial"/>
                <w:b/>
                <w:sz w:val="18"/>
                <w:szCs w:val="18"/>
              </w:rPr>
            </w:pPr>
            <w:r w:rsidRPr="00AA34BF">
              <w:rPr>
                <w:rFonts w:cs="Arial"/>
                <w:b/>
                <w:sz w:val="18"/>
                <w:szCs w:val="18"/>
              </w:rPr>
              <w:t>Cashflow</w:t>
            </w:r>
          </w:p>
        </w:tc>
        <w:tc>
          <w:tcPr>
            <w:tcW w:w="1559" w:type="dxa"/>
          </w:tcPr>
          <w:p w14:paraId="049CC850" w14:textId="77777777" w:rsidR="004C3734" w:rsidRPr="00AA34BF" w:rsidRDefault="004C3734" w:rsidP="004C3734">
            <w:pPr>
              <w:tabs>
                <w:tab w:val="decimal" w:pos="1426"/>
              </w:tabs>
              <w:ind w:right="-144"/>
              <w:rPr>
                <w:rFonts w:cs="Arial"/>
                <w:b/>
                <w:sz w:val="18"/>
                <w:szCs w:val="18"/>
              </w:rPr>
            </w:pPr>
          </w:p>
          <w:p w14:paraId="066B6A45" w14:textId="0DBD655B" w:rsidR="004C3734" w:rsidRPr="00663746" w:rsidRDefault="004C3734" w:rsidP="004C3734">
            <w:pPr>
              <w:tabs>
                <w:tab w:val="decimal" w:pos="1426"/>
              </w:tabs>
              <w:ind w:right="-144"/>
              <w:rPr>
                <w:rFonts w:cs="Arial"/>
                <w:b/>
                <w:sz w:val="18"/>
                <w:szCs w:val="18"/>
              </w:rPr>
            </w:pPr>
            <w:r w:rsidRPr="00AA34BF">
              <w:rPr>
                <w:rFonts w:cs="Arial"/>
                <w:b/>
                <w:sz w:val="18"/>
                <w:szCs w:val="18"/>
              </w:rPr>
              <w:t>Retained</w:t>
            </w:r>
          </w:p>
        </w:tc>
        <w:tc>
          <w:tcPr>
            <w:tcW w:w="1559" w:type="dxa"/>
          </w:tcPr>
          <w:p w14:paraId="61D88665" w14:textId="77777777" w:rsidR="004C3734" w:rsidRPr="00663746" w:rsidRDefault="004C3734" w:rsidP="004C3734">
            <w:pPr>
              <w:tabs>
                <w:tab w:val="decimal" w:pos="1426"/>
              </w:tabs>
              <w:ind w:right="-144"/>
              <w:rPr>
                <w:rFonts w:cs="Arial"/>
                <w:b/>
                <w:sz w:val="18"/>
                <w:szCs w:val="18"/>
              </w:rPr>
            </w:pPr>
          </w:p>
          <w:p w14:paraId="4AA8CCC6" w14:textId="77777777" w:rsidR="004C3734" w:rsidRPr="00663746" w:rsidRDefault="004C3734" w:rsidP="004C3734">
            <w:pPr>
              <w:tabs>
                <w:tab w:val="decimal" w:pos="1426"/>
              </w:tabs>
              <w:ind w:right="-144"/>
              <w:rPr>
                <w:rFonts w:cs="Arial"/>
                <w:b/>
                <w:sz w:val="18"/>
                <w:szCs w:val="18"/>
              </w:rPr>
            </w:pPr>
            <w:r w:rsidRPr="00663746">
              <w:rPr>
                <w:rFonts w:cs="Arial"/>
                <w:b/>
                <w:sz w:val="18"/>
                <w:szCs w:val="18"/>
              </w:rPr>
              <w:t>Total</w:t>
            </w:r>
          </w:p>
        </w:tc>
      </w:tr>
      <w:tr w:rsidR="004C3734" w:rsidRPr="00670755" w14:paraId="4DF65ADE" w14:textId="77777777" w:rsidTr="00A256E7">
        <w:tc>
          <w:tcPr>
            <w:tcW w:w="3392" w:type="dxa"/>
          </w:tcPr>
          <w:p w14:paraId="3953E1B0" w14:textId="6AB1DB45" w:rsidR="004C3734" w:rsidRPr="00663746" w:rsidRDefault="004C3734" w:rsidP="004C3734">
            <w:pPr>
              <w:rPr>
                <w:rFonts w:cs="Arial"/>
                <w:sz w:val="18"/>
                <w:szCs w:val="18"/>
              </w:rPr>
            </w:pPr>
          </w:p>
        </w:tc>
        <w:tc>
          <w:tcPr>
            <w:tcW w:w="1843" w:type="dxa"/>
          </w:tcPr>
          <w:p w14:paraId="6205FCEB" w14:textId="77777777" w:rsidR="004C3734" w:rsidRPr="00663746" w:rsidRDefault="004C3734" w:rsidP="004C3734">
            <w:pPr>
              <w:tabs>
                <w:tab w:val="decimal" w:pos="1426"/>
              </w:tabs>
              <w:ind w:right="-144"/>
              <w:rPr>
                <w:rFonts w:cs="Arial"/>
                <w:b/>
                <w:sz w:val="18"/>
                <w:szCs w:val="18"/>
              </w:rPr>
            </w:pPr>
            <w:r w:rsidRPr="00663746">
              <w:rPr>
                <w:rFonts w:cs="Arial"/>
                <w:b/>
                <w:sz w:val="18"/>
                <w:szCs w:val="18"/>
              </w:rPr>
              <w:t>shares</w:t>
            </w:r>
          </w:p>
        </w:tc>
        <w:tc>
          <w:tcPr>
            <w:tcW w:w="1559" w:type="dxa"/>
          </w:tcPr>
          <w:p w14:paraId="1AC4B75D" w14:textId="23E5D89B" w:rsidR="004C3734" w:rsidRPr="00663746" w:rsidRDefault="0089205F" w:rsidP="004C3734">
            <w:pPr>
              <w:tabs>
                <w:tab w:val="decimal" w:pos="1426"/>
              </w:tabs>
              <w:ind w:right="-144"/>
              <w:rPr>
                <w:rFonts w:cs="Arial"/>
                <w:b/>
                <w:sz w:val="18"/>
                <w:szCs w:val="18"/>
              </w:rPr>
            </w:pPr>
            <w:r w:rsidRPr="00663746">
              <w:rPr>
                <w:rFonts w:cs="Arial"/>
                <w:b/>
                <w:sz w:val="18"/>
                <w:szCs w:val="18"/>
              </w:rPr>
              <w:t>S</w:t>
            </w:r>
            <w:r w:rsidR="004C3734" w:rsidRPr="00663746">
              <w:rPr>
                <w:rFonts w:cs="Arial"/>
                <w:b/>
                <w:sz w:val="18"/>
                <w:szCs w:val="18"/>
              </w:rPr>
              <w:t>hares</w:t>
            </w:r>
          </w:p>
        </w:tc>
        <w:tc>
          <w:tcPr>
            <w:tcW w:w="1559" w:type="dxa"/>
          </w:tcPr>
          <w:p w14:paraId="07BB2528" w14:textId="77777777" w:rsidR="004C3734" w:rsidRPr="00663746" w:rsidRDefault="004C3734" w:rsidP="004C3734">
            <w:pPr>
              <w:tabs>
                <w:tab w:val="decimal" w:pos="1426"/>
              </w:tabs>
              <w:jc w:val="center"/>
              <w:rPr>
                <w:rFonts w:cs="Arial"/>
                <w:b/>
                <w:sz w:val="18"/>
                <w:szCs w:val="18"/>
              </w:rPr>
            </w:pPr>
            <w:r>
              <w:rPr>
                <w:rFonts w:cs="Arial"/>
                <w:b/>
                <w:sz w:val="18"/>
                <w:szCs w:val="18"/>
              </w:rPr>
              <w:t>capital</w:t>
            </w:r>
          </w:p>
        </w:tc>
        <w:tc>
          <w:tcPr>
            <w:tcW w:w="1559" w:type="dxa"/>
          </w:tcPr>
          <w:p w14:paraId="318D361D" w14:textId="53DBAE87" w:rsidR="004C3734" w:rsidRPr="00663746" w:rsidRDefault="004C3734" w:rsidP="004C3734">
            <w:pPr>
              <w:tabs>
                <w:tab w:val="decimal" w:pos="1426"/>
              </w:tabs>
              <w:ind w:right="-144"/>
              <w:rPr>
                <w:rFonts w:cs="Arial"/>
                <w:b/>
                <w:sz w:val="18"/>
                <w:szCs w:val="18"/>
              </w:rPr>
            </w:pPr>
            <w:r w:rsidRPr="00AA34BF">
              <w:rPr>
                <w:rFonts w:cs="Arial"/>
                <w:b/>
                <w:sz w:val="18"/>
                <w:szCs w:val="18"/>
              </w:rPr>
              <w:t>premium</w:t>
            </w:r>
          </w:p>
        </w:tc>
        <w:tc>
          <w:tcPr>
            <w:tcW w:w="1560" w:type="dxa"/>
          </w:tcPr>
          <w:p w14:paraId="1161D46C" w14:textId="3A38F976" w:rsidR="004C3734" w:rsidRPr="00663746" w:rsidRDefault="004C3734" w:rsidP="004C3734">
            <w:pPr>
              <w:tabs>
                <w:tab w:val="decimal" w:pos="1426"/>
              </w:tabs>
              <w:ind w:right="-144"/>
              <w:rPr>
                <w:rFonts w:cs="Arial"/>
                <w:b/>
                <w:sz w:val="18"/>
                <w:szCs w:val="18"/>
              </w:rPr>
            </w:pPr>
            <w:r w:rsidRPr="00AA34BF">
              <w:rPr>
                <w:rFonts w:cs="Arial"/>
                <w:b/>
                <w:sz w:val="18"/>
                <w:szCs w:val="18"/>
              </w:rPr>
              <w:t>reserve</w:t>
            </w:r>
          </w:p>
        </w:tc>
        <w:tc>
          <w:tcPr>
            <w:tcW w:w="1559" w:type="dxa"/>
          </w:tcPr>
          <w:p w14:paraId="711EFD90" w14:textId="09CF2823" w:rsidR="004C3734" w:rsidRPr="00663746" w:rsidRDefault="004C3734" w:rsidP="004C3734">
            <w:pPr>
              <w:tabs>
                <w:tab w:val="decimal" w:pos="1426"/>
              </w:tabs>
              <w:ind w:right="-144"/>
              <w:rPr>
                <w:rFonts w:cs="Arial"/>
                <w:b/>
                <w:sz w:val="18"/>
                <w:szCs w:val="18"/>
              </w:rPr>
            </w:pPr>
            <w:r w:rsidRPr="00AA34BF">
              <w:rPr>
                <w:rFonts w:cs="Arial"/>
                <w:b/>
                <w:sz w:val="18"/>
                <w:szCs w:val="18"/>
              </w:rPr>
              <w:t>hedge reserve</w:t>
            </w:r>
          </w:p>
        </w:tc>
        <w:tc>
          <w:tcPr>
            <w:tcW w:w="1559" w:type="dxa"/>
          </w:tcPr>
          <w:p w14:paraId="4CF25E58" w14:textId="18DB62A5" w:rsidR="004C3734" w:rsidRPr="00663746" w:rsidRDefault="004C3734" w:rsidP="004C3734">
            <w:pPr>
              <w:tabs>
                <w:tab w:val="decimal" w:pos="1426"/>
              </w:tabs>
              <w:ind w:right="-144"/>
              <w:rPr>
                <w:rFonts w:cs="Arial"/>
                <w:b/>
                <w:sz w:val="18"/>
                <w:szCs w:val="18"/>
              </w:rPr>
            </w:pPr>
            <w:r w:rsidRPr="00AA34BF">
              <w:rPr>
                <w:rFonts w:cs="Arial"/>
                <w:b/>
                <w:sz w:val="18"/>
                <w:szCs w:val="18"/>
              </w:rPr>
              <w:t>earnings</w:t>
            </w:r>
          </w:p>
        </w:tc>
        <w:tc>
          <w:tcPr>
            <w:tcW w:w="1559" w:type="dxa"/>
          </w:tcPr>
          <w:p w14:paraId="091A3881" w14:textId="77777777" w:rsidR="004C3734" w:rsidRPr="00663746" w:rsidRDefault="004C3734" w:rsidP="004C3734">
            <w:pPr>
              <w:tabs>
                <w:tab w:val="decimal" w:pos="1426"/>
              </w:tabs>
              <w:ind w:right="-144"/>
              <w:rPr>
                <w:rFonts w:cs="Arial"/>
                <w:b/>
                <w:sz w:val="18"/>
                <w:szCs w:val="18"/>
              </w:rPr>
            </w:pPr>
            <w:r w:rsidRPr="00663746">
              <w:rPr>
                <w:rFonts w:cs="Arial"/>
                <w:b/>
                <w:sz w:val="18"/>
                <w:szCs w:val="18"/>
              </w:rPr>
              <w:t>equity</w:t>
            </w:r>
          </w:p>
        </w:tc>
      </w:tr>
      <w:tr w:rsidR="004C3734" w:rsidRPr="00670755" w14:paraId="6B2CC1E3" w14:textId="77777777" w:rsidTr="00A256E7">
        <w:tc>
          <w:tcPr>
            <w:tcW w:w="3392" w:type="dxa"/>
          </w:tcPr>
          <w:p w14:paraId="7F08E4B7" w14:textId="4435CC32" w:rsidR="004C3734" w:rsidRPr="00663746" w:rsidRDefault="00EC6F18" w:rsidP="004C3734">
            <w:pPr>
              <w:rPr>
                <w:rFonts w:cs="Arial"/>
                <w:sz w:val="18"/>
                <w:szCs w:val="18"/>
              </w:rPr>
            </w:pPr>
            <w:r w:rsidRPr="00EC6F18">
              <w:rPr>
                <w:rFonts w:cs="Arial"/>
                <w:b/>
                <w:sz w:val="18"/>
                <w:szCs w:val="18"/>
              </w:rPr>
              <w:t>Unaudited</w:t>
            </w:r>
          </w:p>
        </w:tc>
        <w:tc>
          <w:tcPr>
            <w:tcW w:w="1843" w:type="dxa"/>
          </w:tcPr>
          <w:p w14:paraId="133B3A2B" w14:textId="77777777" w:rsidR="004C3734" w:rsidRPr="00663746" w:rsidRDefault="004C3734" w:rsidP="004C3734">
            <w:pPr>
              <w:tabs>
                <w:tab w:val="decimal" w:pos="1426"/>
              </w:tabs>
              <w:ind w:right="-144"/>
              <w:rPr>
                <w:rFonts w:cs="Arial"/>
                <w:b/>
                <w:sz w:val="18"/>
                <w:szCs w:val="18"/>
              </w:rPr>
            </w:pPr>
            <w:r w:rsidRPr="00663746">
              <w:rPr>
                <w:rFonts w:cs="Arial"/>
                <w:b/>
                <w:sz w:val="18"/>
                <w:szCs w:val="18"/>
              </w:rPr>
              <w:t>€’000</w:t>
            </w:r>
          </w:p>
        </w:tc>
        <w:tc>
          <w:tcPr>
            <w:tcW w:w="1559" w:type="dxa"/>
          </w:tcPr>
          <w:p w14:paraId="6233367F" w14:textId="77777777" w:rsidR="004C3734" w:rsidRPr="00663746" w:rsidRDefault="004C3734" w:rsidP="004C3734">
            <w:pPr>
              <w:tabs>
                <w:tab w:val="decimal" w:pos="1426"/>
              </w:tabs>
              <w:ind w:right="-144"/>
              <w:rPr>
                <w:rFonts w:cs="Arial"/>
                <w:b/>
                <w:sz w:val="18"/>
                <w:szCs w:val="18"/>
              </w:rPr>
            </w:pPr>
            <w:r w:rsidRPr="00663746">
              <w:rPr>
                <w:rFonts w:cs="Arial"/>
                <w:b/>
                <w:sz w:val="18"/>
                <w:szCs w:val="18"/>
              </w:rPr>
              <w:t>€’000</w:t>
            </w:r>
          </w:p>
        </w:tc>
        <w:tc>
          <w:tcPr>
            <w:tcW w:w="1559" w:type="dxa"/>
          </w:tcPr>
          <w:p w14:paraId="61BE8CC9" w14:textId="77777777" w:rsidR="004C3734" w:rsidRPr="00663746" w:rsidRDefault="004C3734" w:rsidP="004C3734">
            <w:pPr>
              <w:tabs>
                <w:tab w:val="decimal" w:pos="1426"/>
              </w:tabs>
              <w:ind w:right="-144"/>
              <w:rPr>
                <w:rFonts w:cs="Arial"/>
                <w:b/>
                <w:sz w:val="18"/>
                <w:szCs w:val="18"/>
              </w:rPr>
            </w:pPr>
            <w:r w:rsidRPr="00663746">
              <w:rPr>
                <w:rFonts w:cs="Arial"/>
                <w:b/>
                <w:sz w:val="18"/>
                <w:szCs w:val="18"/>
              </w:rPr>
              <w:t>€’000</w:t>
            </w:r>
          </w:p>
        </w:tc>
        <w:tc>
          <w:tcPr>
            <w:tcW w:w="1559" w:type="dxa"/>
          </w:tcPr>
          <w:p w14:paraId="662BF560" w14:textId="2199CD3B" w:rsidR="004C3734" w:rsidRPr="00663746" w:rsidRDefault="004C3734" w:rsidP="004C3734">
            <w:pPr>
              <w:tabs>
                <w:tab w:val="decimal" w:pos="1426"/>
              </w:tabs>
              <w:ind w:right="-144"/>
              <w:rPr>
                <w:rFonts w:cs="Arial"/>
                <w:b/>
                <w:sz w:val="18"/>
                <w:szCs w:val="18"/>
              </w:rPr>
            </w:pPr>
            <w:r w:rsidRPr="00AA34BF">
              <w:rPr>
                <w:rFonts w:cs="Arial"/>
                <w:b/>
                <w:sz w:val="18"/>
                <w:szCs w:val="18"/>
              </w:rPr>
              <w:t>€’000</w:t>
            </w:r>
          </w:p>
        </w:tc>
        <w:tc>
          <w:tcPr>
            <w:tcW w:w="1560" w:type="dxa"/>
          </w:tcPr>
          <w:p w14:paraId="3F715577" w14:textId="0A28DED0" w:rsidR="004C3734" w:rsidRPr="00663746" w:rsidRDefault="004C3734" w:rsidP="004C3734">
            <w:pPr>
              <w:tabs>
                <w:tab w:val="decimal" w:pos="1426"/>
              </w:tabs>
              <w:ind w:right="-144"/>
              <w:rPr>
                <w:rFonts w:cs="Arial"/>
                <w:b/>
                <w:sz w:val="18"/>
                <w:szCs w:val="18"/>
              </w:rPr>
            </w:pPr>
            <w:r w:rsidRPr="00AA34BF">
              <w:rPr>
                <w:rFonts w:cs="Arial"/>
                <w:b/>
                <w:sz w:val="18"/>
                <w:szCs w:val="18"/>
              </w:rPr>
              <w:t>€’000</w:t>
            </w:r>
          </w:p>
        </w:tc>
        <w:tc>
          <w:tcPr>
            <w:tcW w:w="1559" w:type="dxa"/>
          </w:tcPr>
          <w:p w14:paraId="79E89E27" w14:textId="473C8979" w:rsidR="004C3734" w:rsidRPr="00663746" w:rsidRDefault="004C3734" w:rsidP="004C3734">
            <w:pPr>
              <w:tabs>
                <w:tab w:val="decimal" w:pos="1426"/>
              </w:tabs>
              <w:ind w:right="-144"/>
              <w:rPr>
                <w:rFonts w:cs="Arial"/>
                <w:b/>
                <w:sz w:val="18"/>
                <w:szCs w:val="18"/>
              </w:rPr>
            </w:pPr>
            <w:r w:rsidRPr="00AA34BF">
              <w:rPr>
                <w:rFonts w:cs="Arial"/>
                <w:b/>
                <w:sz w:val="18"/>
                <w:szCs w:val="18"/>
              </w:rPr>
              <w:t>€’000</w:t>
            </w:r>
          </w:p>
        </w:tc>
        <w:tc>
          <w:tcPr>
            <w:tcW w:w="1559" w:type="dxa"/>
          </w:tcPr>
          <w:p w14:paraId="6C083BE5" w14:textId="6771CBB9" w:rsidR="004C3734" w:rsidRPr="00663746" w:rsidRDefault="004C3734" w:rsidP="004C3734">
            <w:pPr>
              <w:tabs>
                <w:tab w:val="decimal" w:pos="1426"/>
              </w:tabs>
              <w:ind w:right="-144"/>
              <w:rPr>
                <w:rFonts w:cs="Arial"/>
                <w:b/>
                <w:sz w:val="18"/>
                <w:szCs w:val="18"/>
              </w:rPr>
            </w:pPr>
            <w:r w:rsidRPr="00AA34BF">
              <w:rPr>
                <w:rFonts w:cs="Arial"/>
                <w:b/>
                <w:sz w:val="18"/>
                <w:szCs w:val="18"/>
              </w:rPr>
              <w:t>€’000</w:t>
            </w:r>
          </w:p>
        </w:tc>
        <w:tc>
          <w:tcPr>
            <w:tcW w:w="1559" w:type="dxa"/>
          </w:tcPr>
          <w:p w14:paraId="12EEB89B" w14:textId="77777777" w:rsidR="004C3734" w:rsidRPr="00663746" w:rsidRDefault="004C3734" w:rsidP="004C3734">
            <w:pPr>
              <w:tabs>
                <w:tab w:val="decimal" w:pos="1426"/>
              </w:tabs>
              <w:ind w:right="-144"/>
              <w:rPr>
                <w:rFonts w:cs="Arial"/>
                <w:b/>
                <w:sz w:val="18"/>
                <w:szCs w:val="18"/>
              </w:rPr>
            </w:pPr>
            <w:r w:rsidRPr="00663746">
              <w:rPr>
                <w:rFonts w:cs="Arial"/>
                <w:b/>
                <w:sz w:val="18"/>
                <w:szCs w:val="18"/>
              </w:rPr>
              <w:t>€’000</w:t>
            </w:r>
          </w:p>
        </w:tc>
      </w:tr>
      <w:tr w:rsidR="009A22B5" w:rsidRPr="00670755" w14:paraId="06EEC057" w14:textId="77777777" w:rsidTr="00A256E7">
        <w:tc>
          <w:tcPr>
            <w:tcW w:w="3392" w:type="dxa"/>
          </w:tcPr>
          <w:p w14:paraId="2F17086B" w14:textId="77777777" w:rsidR="009A22B5" w:rsidRPr="00663746" w:rsidRDefault="009A22B5">
            <w:pPr>
              <w:rPr>
                <w:rFonts w:cs="Arial"/>
                <w:sz w:val="18"/>
                <w:szCs w:val="18"/>
              </w:rPr>
            </w:pPr>
          </w:p>
        </w:tc>
        <w:tc>
          <w:tcPr>
            <w:tcW w:w="1843" w:type="dxa"/>
          </w:tcPr>
          <w:p w14:paraId="21AABA87" w14:textId="77777777" w:rsidR="009A22B5" w:rsidRPr="00663746" w:rsidRDefault="009A22B5">
            <w:pPr>
              <w:tabs>
                <w:tab w:val="decimal" w:pos="1426"/>
              </w:tabs>
              <w:ind w:right="-144"/>
              <w:rPr>
                <w:rFonts w:cs="Arial"/>
                <w:sz w:val="18"/>
                <w:szCs w:val="18"/>
              </w:rPr>
            </w:pPr>
          </w:p>
        </w:tc>
        <w:tc>
          <w:tcPr>
            <w:tcW w:w="1559" w:type="dxa"/>
          </w:tcPr>
          <w:p w14:paraId="2DC295BA" w14:textId="77777777" w:rsidR="009A22B5" w:rsidRPr="00663746" w:rsidRDefault="009A22B5">
            <w:pPr>
              <w:tabs>
                <w:tab w:val="decimal" w:pos="1426"/>
              </w:tabs>
              <w:ind w:right="-144"/>
              <w:rPr>
                <w:rFonts w:cs="Arial"/>
                <w:sz w:val="18"/>
                <w:szCs w:val="18"/>
              </w:rPr>
            </w:pPr>
          </w:p>
        </w:tc>
        <w:tc>
          <w:tcPr>
            <w:tcW w:w="1559" w:type="dxa"/>
          </w:tcPr>
          <w:p w14:paraId="1CF6BB64" w14:textId="77777777" w:rsidR="009A22B5" w:rsidRPr="00663746" w:rsidRDefault="009A22B5">
            <w:pPr>
              <w:tabs>
                <w:tab w:val="decimal" w:pos="1426"/>
              </w:tabs>
              <w:ind w:right="-144"/>
              <w:rPr>
                <w:rFonts w:cs="Arial"/>
                <w:sz w:val="18"/>
                <w:szCs w:val="18"/>
              </w:rPr>
            </w:pPr>
          </w:p>
        </w:tc>
        <w:tc>
          <w:tcPr>
            <w:tcW w:w="1559" w:type="dxa"/>
          </w:tcPr>
          <w:p w14:paraId="407FB55C" w14:textId="77777777" w:rsidR="009A22B5" w:rsidRPr="00663746" w:rsidRDefault="009A22B5">
            <w:pPr>
              <w:tabs>
                <w:tab w:val="decimal" w:pos="1426"/>
              </w:tabs>
              <w:ind w:right="-144"/>
              <w:rPr>
                <w:rFonts w:cs="Arial"/>
                <w:sz w:val="18"/>
                <w:szCs w:val="18"/>
              </w:rPr>
            </w:pPr>
          </w:p>
        </w:tc>
        <w:tc>
          <w:tcPr>
            <w:tcW w:w="1560" w:type="dxa"/>
          </w:tcPr>
          <w:p w14:paraId="7E5D4F94" w14:textId="77777777" w:rsidR="009A22B5" w:rsidRPr="00663746" w:rsidRDefault="009A22B5">
            <w:pPr>
              <w:tabs>
                <w:tab w:val="decimal" w:pos="1426"/>
              </w:tabs>
              <w:ind w:right="-144"/>
              <w:rPr>
                <w:rFonts w:cs="Arial"/>
                <w:sz w:val="18"/>
                <w:szCs w:val="18"/>
              </w:rPr>
            </w:pPr>
          </w:p>
        </w:tc>
        <w:tc>
          <w:tcPr>
            <w:tcW w:w="1559" w:type="dxa"/>
          </w:tcPr>
          <w:p w14:paraId="5CC2D3B4" w14:textId="77777777" w:rsidR="009A22B5" w:rsidRPr="00663746" w:rsidRDefault="009A22B5">
            <w:pPr>
              <w:tabs>
                <w:tab w:val="decimal" w:pos="1426"/>
              </w:tabs>
              <w:ind w:right="-144"/>
              <w:rPr>
                <w:rFonts w:cs="Arial"/>
                <w:sz w:val="18"/>
                <w:szCs w:val="18"/>
              </w:rPr>
            </w:pPr>
          </w:p>
        </w:tc>
        <w:tc>
          <w:tcPr>
            <w:tcW w:w="1559" w:type="dxa"/>
          </w:tcPr>
          <w:p w14:paraId="394092CF" w14:textId="77777777" w:rsidR="009A22B5" w:rsidRPr="00663746" w:rsidRDefault="009A22B5">
            <w:pPr>
              <w:tabs>
                <w:tab w:val="decimal" w:pos="1426"/>
              </w:tabs>
              <w:ind w:right="-144"/>
              <w:rPr>
                <w:rFonts w:cs="Arial"/>
                <w:sz w:val="18"/>
                <w:szCs w:val="18"/>
              </w:rPr>
            </w:pPr>
          </w:p>
        </w:tc>
        <w:tc>
          <w:tcPr>
            <w:tcW w:w="1559" w:type="dxa"/>
          </w:tcPr>
          <w:p w14:paraId="7D4CD0AF" w14:textId="77777777" w:rsidR="009A22B5" w:rsidRPr="00663746" w:rsidRDefault="009A22B5">
            <w:pPr>
              <w:tabs>
                <w:tab w:val="decimal" w:pos="1426"/>
              </w:tabs>
              <w:ind w:right="-144"/>
              <w:rPr>
                <w:rFonts w:cs="Arial"/>
                <w:sz w:val="18"/>
                <w:szCs w:val="18"/>
              </w:rPr>
            </w:pPr>
          </w:p>
        </w:tc>
      </w:tr>
      <w:tr w:rsidR="00194B92" w:rsidRPr="00670755" w14:paraId="44ECDFDD" w14:textId="77777777" w:rsidTr="00A256E7">
        <w:tc>
          <w:tcPr>
            <w:tcW w:w="3392" w:type="dxa"/>
          </w:tcPr>
          <w:p w14:paraId="10557957" w14:textId="4BAFD4E7" w:rsidR="00194B92" w:rsidRPr="00663746" w:rsidRDefault="00194B92" w:rsidP="00194B92">
            <w:pPr>
              <w:rPr>
                <w:rFonts w:cs="Arial"/>
                <w:b/>
                <w:sz w:val="18"/>
                <w:szCs w:val="18"/>
              </w:rPr>
            </w:pPr>
            <w:r w:rsidRPr="00663746">
              <w:rPr>
                <w:rFonts w:cs="Arial"/>
                <w:b/>
                <w:sz w:val="18"/>
                <w:szCs w:val="18"/>
              </w:rPr>
              <w:t xml:space="preserve">Balance as </w:t>
            </w:r>
            <w:proofErr w:type="gramStart"/>
            <w:r w:rsidRPr="00663746">
              <w:rPr>
                <w:rFonts w:cs="Arial"/>
                <w:b/>
                <w:sz w:val="18"/>
                <w:szCs w:val="18"/>
              </w:rPr>
              <w:t>at</w:t>
            </w:r>
            <w:proofErr w:type="gramEnd"/>
            <w:r w:rsidRPr="00663746">
              <w:rPr>
                <w:rFonts w:cs="Arial"/>
                <w:b/>
                <w:sz w:val="18"/>
                <w:szCs w:val="18"/>
              </w:rPr>
              <w:t xml:space="preserve"> 1 January 202</w:t>
            </w:r>
            <w:r>
              <w:rPr>
                <w:rFonts w:cs="Arial"/>
                <w:b/>
                <w:sz w:val="18"/>
                <w:szCs w:val="18"/>
              </w:rPr>
              <w:t>4</w:t>
            </w:r>
          </w:p>
        </w:tc>
        <w:tc>
          <w:tcPr>
            <w:tcW w:w="1843" w:type="dxa"/>
          </w:tcPr>
          <w:p w14:paraId="3A1CA6C5" w14:textId="2667EA4B" w:rsidR="00194B92" w:rsidRPr="00663746" w:rsidRDefault="00194B92" w:rsidP="00194B92">
            <w:pPr>
              <w:tabs>
                <w:tab w:val="decimal" w:pos="1426"/>
              </w:tabs>
              <w:ind w:right="-144"/>
              <w:rPr>
                <w:rFonts w:cs="Arial"/>
                <w:b/>
                <w:sz w:val="18"/>
                <w:szCs w:val="18"/>
              </w:rPr>
            </w:pPr>
            <w:r>
              <w:rPr>
                <w:rFonts w:cs="Arial"/>
                <w:b/>
                <w:sz w:val="18"/>
                <w:szCs w:val="18"/>
              </w:rPr>
              <w:t>578</w:t>
            </w:r>
          </w:p>
        </w:tc>
        <w:tc>
          <w:tcPr>
            <w:tcW w:w="1559" w:type="dxa"/>
          </w:tcPr>
          <w:p w14:paraId="783694D3" w14:textId="7A68401C" w:rsidR="00194B92" w:rsidRPr="00663746" w:rsidRDefault="00194B92" w:rsidP="00194B92">
            <w:pPr>
              <w:tabs>
                <w:tab w:val="decimal" w:pos="1426"/>
              </w:tabs>
              <w:ind w:right="-144"/>
              <w:rPr>
                <w:rFonts w:cs="Arial"/>
                <w:b/>
                <w:sz w:val="18"/>
                <w:szCs w:val="18"/>
              </w:rPr>
            </w:pPr>
            <w:r>
              <w:rPr>
                <w:rFonts w:cs="Arial"/>
                <w:b/>
                <w:sz w:val="18"/>
                <w:szCs w:val="18"/>
              </w:rPr>
              <w:t>81</w:t>
            </w:r>
          </w:p>
        </w:tc>
        <w:tc>
          <w:tcPr>
            <w:tcW w:w="1559" w:type="dxa"/>
          </w:tcPr>
          <w:p w14:paraId="60F86ADF" w14:textId="51D213C2" w:rsidR="00194B92" w:rsidRPr="00663746" w:rsidRDefault="00194B92" w:rsidP="00194B92">
            <w:pPr>
              <w:tabs>
                <w:tab w:val="decimal" w:pos="1426"/>
              </w:tabs>
              <w:ind w:right="-144"/>
              <w:rPr>
                <w:rFonts w:cs="Arial"/>
                <w:b/>
                <w:sz w:val="18"/>
                <w:szCs w:val="18"/>
              </w:rPr>
            </w:pPr>
            <w:r>
              <w:rPr>
                <w:rFonts w:cs="Arial"/>
                <w:b/>
                <w:sz w:val="18"/>
                <w:szCs w:val="18"/>
              </w:rPr>
              <w:t>399</w:t>
            </w:r>
          </w:p>
        </w:tc>
        <w:tc>
          <w:tcPr>
            <w:tcW w:w="1559" w:type="dxa"/>
          </w:tcPr>
          <w:p w14:paraId="3528CF8B" w14:textId="362B3266" w:rsidR="00194B92" w:rsidRPr="00663746" w:rsidRDefault="00194B92" w:rsidP="00194B92">
            <w:pPr>
              <w:tabs>
                <w:tab w:val="decimal" w:pos="1426"/>
              </w:tabs>
              <w:ind w:right="-144"/>
              <w:rPr>
                <w:rFonts w:cs="Arial"/>
                <w:b/>
                <w:sz w:val="18"/>
                <w:szCs w:val="18"/>
              </w:rPr>
            </w:pPr>
            <w:r>
              <w:rPr>
                <w:rFonts w:cs="Arial"/>
                <w:b/>
                <w:sz w:val="18"/>
                <w:szCs w:val="18"/>
              </w:rPr>
              <w:t>179,719</w:t>
            </w:r>
          </w:p>
        </w:tc>
        <w:tc>
          <w:tcPr>
            <w:tcW w:w="1560" w:type="dxa"/>
          </w:tcPr>
          <w:p w14:paraId="79AEDBDD" w14:textId="5AE33A64" w:rsidR="00194B92" w:rsidRPr="00663746" w:rsidRDefault="00194B92" w:rsidP="00194B92">
            <w:pPr>
              <w:tabs>
                <w:tab w:val="decimal" w:pos="1426"/>
              </w:tabs>
              <w:ind w:right="-144"/>
              <w:rPr>
                <w:rFonts w:cs="Arial"/>
                <w:b/>
                <w:sz w:val="18"/>
                <w:szCs w:val="18"/>
              </w:rPr>
            </w:pPr>
            <w:r>
              <w:rPr>
                <w:rFonts w:cs="Arial"/>
                <w:b/>
                <w:sz w:val="18"/>
                <w:szCs w:val="18"/>
              </w:rPr>
              <w:t>48,899</w:t>
            </w:r>
          </w:p>
        </w:tc>
        <w:tc>
          <w:tcPr>
            <w:tcW w:w="1559" w:type="dxa"/>
          </w:tcPr>
          <w:p w14:paraId="44359B5B" w14:textId="7D1FA968" w:rsidR="00194B92" w:rsidRPr="00663746" w:rsidRDefault="00194B92" w:rsidP="00194B92">
            <w:pPr>
              <w:tabs>
                <w:tab w:val="decimal" w:pos="1426"/>
              </w:tabs>
              <w:ind w:right="-144"/>
              <w:rPr>
                <w:rFonts w:cs="Arial"/>
                <w:b/>
                <w:sz w:val="18"/>
                <w:szCs w:val="18"/>
              </w:rPr>
            </w:pPr>
            <w:r>
              <w:rPr>
                <w:rFonts w:cs="Arial"/>
                <w:b/>
                <w:sz w:val="18"/>
                <w:szCs w:val="18"/>
              </w:rPr>
              <w:t>(1,623)</w:t>
            </w:r>
          </w:p>
        </w:tc>
        <w:tc>
          <w:tcPr>
            <w:tcW w:w="1559" w:type="dxa"/>
          </w:tcPr>
          <w:p w14:paraId="5795C574" w14:textId="666D71A3" w:rsidR="00194B92" w:rsidRPr="00663746" w:rsidRDefault="00194B92" w:rsidP="00194B92">
            <w:pPr>
              <w:tabs>
                <w:tab w:val="decimal" w:pos="1426"/>
              </w:tabs>
              <w:ind w:right="-144"/>
              <w:rPr>
                <w:rFonts w:cs="Arial"/>
                <w:b/>
                <w:sz w:val="18"/>
                <w:szCs w:val="18"/>
              </w:rPr>
            </w:pPr>
            <w:r>
              <w:rPr>
                <w:rFonts w:cs="Arial"/>
                <w:b/>
                <w:sz w:val="18"/>
                <w:szCs w:val="18"/>
              </w:rPr>
              <w:t>450,103</w:t>
            </w:r>
          </w:p>
        </w:tc>
        <w:tc>
          <w:tcPr>
            <w:tcW w:w="1559" w:type="dxa"/>
          </w:tcPr>
          <w:p w14:paraId="27C4D35A" w14:textId="0BE25C32" w:rsidR="00194B92" w:rsidRPr="00663746" w:rsidRDefault="00194B92" w:rsidP="00194B92">
            <w:pPr>
              <w:tabs>
                <w:tab w:val="decimal" w:pos="1426"/>
              </w:tabs>
              <w:ind w:right="-144"/>
              <w:rPr>
                <w:rFonts w:cs="Arial"/>
                <w:b/>
                <w:sz w:val="18"/>
                <w:szCs w:val="18"/>
              </w:rPr>
            </w:pPr>
            <w:r>
              <w:rPr>
                <w:rFonts w:cs="Arial"/>
                <w:b/>
                <w:sz w:val="18"/>
                <w:szCs w:val="18"/>
              </w:rPr>
              <w:t>678,156</w:t>
            </w:r>
          </w:p>
        </w:tc>
      </w:tr>
      <w:tr w:rsidR="005A49BE" w:rsidRPr="00670755" w14:paraId="6B6AA498" w14:textId="77777777" w:rsidTr="00A256E7">
        <w:tc>
          <w:tcPr>
            <w:tcW w:w="3392" w:type="dxa"/>
          </w:tcPr>
          <w:p w14:paraId="4E54F5A7" w14:textId="77777777" w:rsidR="005A49BE" w:rsidRPr="00663746" w:rsidRDefault="005A49BE" w:rsidP="005A49BE">
            <w:pPr>
              <w:rPr>
                <w:rFonts w:cs="Arial"/>
                <w:b/>
                <w:sz w:val="18"/>
                <w:szCs w:val="18"/>
              </w:rPr>
            </w:pPr>
          </w:p>
        </w:tc>
        <w:tc>
          <w:tcPr>
            <w:tcW w:w="1843" w:type="dxa"/>
          </w:tcPr>
          <w:p w14:paraId="2C60F5BD" w14:textId="77777777" w:rsidR="005A49BE" w:rsidRPr="00663746" w:rsidRDefault="005A49BE" w:rsidP="005A49BE">
            <w:pPr>
              <w:tabs>
                <w:tab w:val="decimal" w:pos="1426"/>
              </w:tabs>
              <w:ind w:right="-144"/>
              <w:rPr>
                <w:rFonts w:cs="Arial"/>
                <w:sz w:val="18"/>
                <w:szCs w:val="18"/>
              </w:rPr>
            </w:pPr>
          </w:p>
        </w:tc>
        <w:tc>
          <w:tcPr>
            <w:tcW w:w="1559" w:type="dxa"/>
          </w:tcPr>
          <w:p w14:paraId="1EC026FC" w14:textId="77777777" w:rsidR="005A49BE" w:rsidRPr="00663746" w:rsidRDefault="005A49BE" w:rsidP="005A49BE">
            <w:pPr>
              <w:tabs>
                <w:tab w:val="decimal" w:pos="1426"/>
              </w:tabs>
              <w:ind w:right="-144"/>
              <w:rPr>
                <w:rFonts w:cs="Arial"/>
                <w:sz w:val="18"/>
                <w:szCs w:val="18"/>
              </w:rPr>
            </w:pPr>
          </w:p>
        </w:tc>
        <w:tc>
          <w:tcPr>
            <w:tcW w:w="1559" w:type="dxa"/>
          </w:tcPr>
          <w:p w14:paraId="4CA4446C" w14:textId="77777777" w:rsidR="005A49BE" w:rsidRPr="00663746" w:rsidRDefault="005A49BE" w:rsidP="005A49BE">
            <w:pPr>
              <w:tabs>
                <w:tab w:val="decimal" w:pos="1426"/>
              </w:tabs>
              <w:ind w:right="-144"/>
              <w:rPr>
                <w:rFonts w:cs="Arial"/>
                <w:sz w:val="18"/>
                <w:szCs w:val="18"/>
              </w:rPr>
            </w:pPr>
          </w:p>
        </w:tc>
        <w:tc>
          <w:tcPr>
            <w:tcW w:w="1559" w:type="dxa"/>
          </w:tcPr>
          <w:p w14:paraId="54E1C9E3" w14:textId="77777777" w:rsidR="005A49BE" w:rsidRPr="00663746" w:rsidRDefault="005A49BE" w:rsidP="005A49BE">
            <w:pPr>
              <w:tabs>
                <w:tab w:val="decimal" w:pos="1426"/>
              </w:tabs>
              <w:ind w:right="-144"/>
              <w:rPr>
                <w:rFonts w:cs="Arial"/>
                <w:sz w:val="18"/>
                <w:szCs w:val="18"/>
              </w:rPr>
            </w:pPr>
          </w:p>
        </w:tc>
        <w:tc>
          <w:tcPr>
            <w:tcW w:w="1560" w:type="dxa"/>
          </w:tcPr>
          <w:p w14:paraId="750ADD75" w14:textId="77777777" w:rsidR="005A49BE" w:rsidRPr="00663746" w:rsidRDefault="005A49BE" w:rsidP="005A49BE">
            <w:pPr>
              <w:tabs>
                <w:tab w:val="decimal" w:pos="1426"/>
              </w:tabs>
              <w:ind w:right="-144"/>
              <w:rPr>
                <w:rFonts w:cs="Arial"/>
                <w:sz w:val="18"/>
                <w:szCs w:val="18"/>
              </w:rPr>
            </w:pPr>
          </w:p>
        </w:tc>
        <w:tc>
          <w:tcPr>
            <w:tcW w:w="1559" w:type="dxa"/>
          </w:tcPr>
          <w:p w14:paraId="3CDEC319" w14:textId="77777777" w:rsidR="005A49BE" w:rsidRPr="00663746" w:rsidRDefault="005A49BE" w:rsidP="005A49BE">
            <w:pPr>
              <w:tabs>
                <w:tab w:val="decimal" w:pos="1426"/>
              </w:tabs>
              <w:ind w:right="-144"/>
              <w:rPr>
                <w:rFonts w:cs="Arial"/>
                <w:sz w:val="18"/>
                <w:szCs w:val="18"/>
              </w:rPr>
            </w:pPr>
          </w:p>
        </w:tc>
        <w:tc>
          <w:tcPr>
            <w:tcW w:w="1559" w:type="dxa"/>
          </w:tcPr>
          <w:p w14:paraId="48EF57A5" w14:textId="77777777" w:rsidR="005A49BE" w:rsidRPr="00663746" w:rsidRDefault="005A49BE" w:rsidP="005A49BE">
            <w:pPr>
              <w:tabs>
                <w:tab w:val="decimal" w:pos="1426"/>
              </w:tabs>
              <w:ind w:right="-144"/>
              <w:rPr>
                <w:rFonts w:cs="Arial"/>
                <w:sz w:val="18"/>
                <w:szCs w:val="18"/>
              </w:rPr>
            </w:pPr>
          </w:p>
        </w:tc>
        <w:tc>
          <w:tcPr>
            <w:tcW w:w="1559" w:type="dxa"/>
          </w:tcPr>
          <w:p w14:paraId="21022C4F" w14:textId="77777777" w:rsidR="005A49BE" w:rsidRPr="00663746" w:rsidRDefault="005A49BE" w:rsidP="005A49BE">
            <w:pPr>
              <w:tabs>
                <w:tab w:val="decimal" w:pos="1426"/>
              </w:tabs>
              <w:ind w:right="-144"/>
              <w:rPr>
                <w:rFonts w:cs="Arial"/>
                <w:sz w:val="18"/>
                <w:szCs w:val="18"/>
              </w:rPr>
            </w:pPr>
          </w:p>
        </w:tc>
      </w:tr>
      <w:tr w:rsidR="005A49BE" w:rsidRPr="00670755" w14:paraId="432E499A" w14:textId="77777777" w:rsidTr="00A256E7">
        <w:tc>
          <w:tcPr>
            <w:tcW w:w="3392" w:type="dxa"/>
          </w:tcPr>
          <w:p w14:paraId="75394983" w14:textId="77777777" w:rsidR="005A49BE" w:rsidRPr="00663746" w:rsidRDefault="005A49BE" w:rsidP="005A49BE">
            <w:pPr>
              <w:rPr>
                <w:rFonts w:cs="Arial"/>
                <w:b/>
                <w:sz w:val="18"/>
                <w:szCs w:val="18"/>
              </w:rPr>
            </w:pPr>
            <w:r w:rsidRPr="00663746">
              <w:rPr>
                <w:rFonts w:cs="Arial"/>
                <w:b/>
                <w:sz w:val="18"/>
                <w:szCs w:val="18"/>
              </w:rPr>
              <w:t>Total comprehensive profit for the period</w:t>
            </w:r>
          </w:p>
        </w:tc>
        <w:tc>
          <w:tcPr>
            <w:tcW w:w="1843" w:type="dxa"/>
          </w:tcPr>
          <w:p w14:paraId="31C60ED1" w14:textId="77777777" w:rsidR="005A49BE" w:rsidRPr="00663746" w:rsidRDefault="005A49BE" w:rsidP="005A49BE">
            <w:pPr>
              <w:tabs>
                <w:tab w:val="decimal" w:pos="1426"/>
              </w:tabs>
              <w:ind w:right="-144"/>
              <w:rPr>
                <w:rFonts w:cs="Arial"/>
                <w:sz w:val="18"/>
                <w:szCs w:val="18"/>
              </w:rPr>
            </w:pPr>
          </w:p>
        </w:tc>
        <w:tc>
          <w:tcPr>
            <w:tcW w:w="1559" w:type="dxa"/>
          </w:tcPr>
          <w:p w14:paraId="163334E1" w14:textId="77777777" w:rsidR="005A49BE" w:rsidRPr="00663746" w:rsidRDefault="005A49BE" w:rsidP="005A49BE">
            <w:pPr>
              <w:tabs>
                <w:tab w:val="decimal" w:pos="1426"/>
              </w:tabs>
              <w:ind w:right="-144"/>
              <w:rPr>
                <w:rFonts w:cs="Arial"/>
                <w:sz w:val="18"/>
                <w:szCs w:val="18"/>
              </w:rPr>
            </w:pPr>
          </w:p>
        </w:tc>
        <w:tc>
          <w:tcPr>
            <w:tcW w:w="1559" w:type="dxa"/>
          </w:tcPr>
          <w:p w14:paraId="4580641E" w14:textId="77777777" w:rsidR="005A49BE" w:rsidRPr="00663746" w:rsidRDefault="005A49BE" w:rsidP="005A49BE">
            <w:pPr>
              <w:tabs>
                <w:tab w:val="decimal" w:pos="1426"/>
              </w:tabs>
              <w:ind w:right="-144"/>
              <w:rPr>
                <w:rFonts w:cs="Arial"/>
                <w:sz w:val="18"/>
                <w:szCs w:val="18"/>
              </w:rPr>
            </w:pPr>
          </w:p>
        </w:tc>
        <w:tc>
          <w:tcPr>
            <w:tcW w:w="1559" w:type="dxa"/>
          </w:tcPr>
          <w:p w14:paraId="698DBE91" w14:textId="77777777" w:rsidR="005A49BE" w:rsidRPr="00663746" w:rsidRDefault="005A49BE" w:rsidP="005A49BE">
            <w:pPr>
              <w:tabs>
                <w:tab w:val="decimal" w:pos="1426"/>
              </w:tabs>
              <w:ind w:right="-144"/>
              <w:rPr>
                <w:rFonts w:cs="Arial"/>
                <w:sz w:val="18"/>
                <w:szCs w:val="18"/>
              </w:rPr>
            </w:pPr>
          </w:p>
        </w:tc>
        <w:tc>
          <w:tcPr>
            <w:tcW w:w="1560" w:type="dxa"/>
          </w:tcPr>
          <w:p w14:paraId="7DD4C18D" w14:textId="77777777" w:rsidR="005A49BE" w:rsidRPr="00663746" w:rsidRDefault="005A49BE" w:rsidP="005A49BE">
            <w:pPr>
              <w:tabs>
                <w:tab w:val="decimal" w:pos="1426"/>
              </w:tabs>
              <w:ind w:right="-144"/>
              <w:rPr>
                <w:rFonts w:cs="Arial"/>
                <w:sz w:val="18"/>
                <w:szCs w:val="18"/>
              </w:rPr>
            </w:pPr>
          </w:p>
        </w:tc>
        <w:tc>
          <w:tcPr>
            <w:tcW w:w="1559" w:type="dxa"/>
          </w:tcPr>
          <w:p w14:paraId="6612283F" w14:textId="77777777" w:rsidR="005A49BE" w:rsidRPr="00663746" w:rsidRDefault="005A49BE" w:rsidP="005A49BE">
            <w:pPr>
              <w:tabs>
                <w:tab w:val="decimal" w:pos="1426"/>
              </w:tabs>
              <w:ind w:right="-144"/>
              <w:rPr>
                <w:rFonts w:cs="Arial"/>
                <w:sz w:val="18"/>
                <w:szCs w:val="18"/>
              </w:rPr>
            </w:pPr>
          </w:p>
        </w:tc>
        <w:tc>
          <w:tcPr>
            <w:tcW w:w="1559" w:type="dxa"/>
          </w:tcPr>
          <w:p w14:paraId="619ED3A0" w14:textId="77777777" w:rsidR="005A49BE" w:rsidRPr="00663746" w:rsidRDefault="005A49BE" w:rsidP="005A49BE">
            <w:pPr>
              <w:tabs>
                <w:tab w:val="decimal" w:pos="1426"/>
              </w:tabs>
              <w:ind w:right="-144"/>
              <w:rPr>
                <w:rFonts w:cs="Arial"/>
                <w:sz w:val="18"/>
                <w:szCs w:val="18"/>
              </w:rPr>
            </w:pPr>
          </w:p>
        </w:tc>
        <w:tc>
          <w:tcPr>
            <w:tcW w:w="1559" w:type="dxa"/>
          </w:tcPr>
          <w:p w14:paraId="252979B1" w14:textId="77777777" w:rsidR="005A49BE" w:rsidRPr="00663746" w:rsidRDefault="005A49BE" w:rsidP="005A49BE">
            <w:pPr>
              <w:tabs>
                <w:tab w:val="decimal" w:pos="1426"/>
              </w:tabs>
              <w:ind w:right="-144"/>
              <w:rPr>
                <w:rFonts w:cs="Arial"/>
                <w:sz w:val="18"/>
                <w:szCs w:val="18"/>
              </w:rPr>
            </w:pPr>
          </w:p>
        </w:tc>
      </w:tr>
      <w:tr w:rsidR="00194B92" w:rsidRPr="00670755" w14:paraId="19F1D7A9" w14:textId="77777777" w:rsidTr="00A256E7">
        <w:tc>
          <w:tcPr>
            <w:tcW w:w="3392" w:type="dxa"/>
          </w:tcPr>
          <w:p w14:paraId="61CA6BAA" w14:textId="77777777" w:rsidR="00194B92" w:rsidRPr="00663746" w:rsidRDefault="00194B92" w:rsidP="00194B92">
            <w:pPr>
              <w:rPr>
                <w:rFonts w:cs="Arial"/>
                <w:sz w:val="18"/>
                <w:szCs w:val="18"/>
              </w:rPr>
            </w:pPr>
            <w:r w:rsidRPr="00663746">
              <w:rPr>
                <w:rFonts w:cs="Arial"/>
                <w:sz w:val="18"/>
                <w:szCs w:val="18"/>
              </w:rPr>
              <w:t>Profit for the period</w:t>
            </w:r>
          </w:p>
        </w:tc>
        <w:tc>
          <w:tcPr>
            <w:tcW w:w="1843" w:type="dxa"/>
          </w:tcPr>
          <w:p w14:paraId="2D9146FB" w14:textId="13FAC143" w:rsidR="00194B92" w:rsidRPr="00663746" w:rsidRDefault="00194B92" w:rsidP="00194B92">
            <w:pPr>
              <w:tabs>
                <w:tab w:val="decimal" w:pos="1426"/>
              </w:tabs>
              <w:ind w:right="-144"/>
              <w:rPr>
                <w:rFonts w:cs="Arial"/>
                <w:sz w:val="18"/>
                <w:szCs w:val="18"/>
              </w:rPr>
            </w:pPr>
            <w:r w:rsidRPr="00AA34BF">
              <w:rPr>
                <w:rFonts w:cs="Arial"/>
                <w:sz w:val="18"/>
                <w:szCs w:val="18"/>
              </w:rPr>
              <w:t>-</w:t>
            </w:r>
          </w:p>
        </w:tc>
        <w:tc>
          <w:tcPr>
            <w:tcW w:w="1559" w:type="dxa"/>
          </w:tcPr>
          <w:p w14:paraId="395CC614" w14:textId="2533EF0F" w:rsidR="00194B92" w:rsidRPr="00663746" w:rsidRDefault="00194B92" w:rsidP="00194B92">
            <w:pPr>
              <w:tabs>
                <w:tab w:val="decimal" w:pos="1426"/>
              </w:tabs>
              <w:ind w:right="-144"/>
              <w:rPr>
                <w:rFonts w:cs="Arial"/>
                <w:sz w:val="18"/>
                <w:szCs w:val="18"/>
              </w:rPr>
            </w:pPr>
            <w:r w:rsidRPr="00AA34BF">
              <w:rPr>
                <w:rFonts w:cs="Arial"/>
                <w:sz w:val="18"/>
                <w:szCs w:val="18"/>
              </w:rPr>
              <w:t>-</w:t>
            </w:r>
          </w:p>
        </w:tc>
        <w:tc>
          <w:tcPr>
            <w:tcW w:w="1559" w:type="dxa"/>
          </w:tcPr>
          <w:p w14:paraId="3727BE44" w14:textId="0B61261C" w:rsidR="00194B92" w:rsidRPr="00663746" w:rsidRDefault="00194B92" w:rsidP="00194B92">
            <w:pPr>
              <w:tabs>
                <w:tab w:val="decimal" w:pos="1426"/>
              </w:tabs>
              <w:ind w:right="-144"/>
              <w:rPr>
                <w:rFonts w:cs="Arial"/>
                <w:sz w:val="18"/>
                <w:szCs w:val="18"/>
              </w:rPr>
            </w:pPr>
            <w:r w:rsidRPr="00AA34BF">
              <w:rPr>
                <w:rFonts w:cs="Arial"/>
                <w:sz w:val="18"/>
                <w:szCs w:val="18"/>
              </w:rPr>
              <w:t>-</w:t>
            </w:r>
          </w:p>
        </w:tc>
        <w:tc>
          <w:tcPr>
            <w:tcW w:w="1559" w:type="dxa"/>
          </w:tcPr>
          <w:p w14:paraId="0ABAF7BF" w14:textId="7633E69C" w:rsidR="00194B92" w:rsidRPr="00663746" w:rsidRDefault="00194B92" w:rsidP="00194B92">
            <w:pPr>
              <w:tabs>
                <w:tab w:val="decimal" w:pos="1426"/>
              </w:tabs>
              <w:ind w:right="-144"/>
              <w:rPr>
                <w:rFonts w:cs="Arial"/>
                <w:sz w:val="18"/>
                <w:szCs w:val="18"/>
              </w:rPr>
            </w:pPr>
            <w:r w:rsidRPr="00AA34BF">
              <w:rPr>
                <w:rFonts w:cs="Arial"/>
                <w:sz w:val="18"/>
                <w:szCs w:val="18"/>
              </w:rPr>
              <w:t>-</w:t>
            </w:r>
          </w:p>
        </w:tc>
        <w:tc>
          <w:tcPr>
            <w:tcW w:w="1560" w:type="dxa"/>
          </w:tcPr>
          <w:p w14:paraId="41BF00FA" w14:textId="15ABEAB7" w:rsidR="00194B92" w:rsidRPr="00663746" w:rsidRDefault="00194B92" w:rsidP="00194B92">
            <w:pPr>
              <w:tabs>
                <w:tab w:val="decimal" w:pos="1426"/>
              </w:tabs>
              <w:ind w:right="-144"/>
              <w:rPr>
                <w:rFonts w:cs="Arial"/>
                <w:sz w:val="18"/>
                <w:szCs w:val="18"/>
              </w:rPr>
            </w:pPr>
            <w:r w:rsidRPr="00AA34BF">
              <w:rPr>
                <w:rFonts w:cs="Arial"/>
                <w:sz w:val="18"/>
                <w:szCs w:val="18"/>
              </w:rPr>
              <w:t>-</w:t>
            </w:r>
          </w:p>
        </w:tc>
        <w:tc>
          <w:tcPr>
            <w:tcW w:w="1559" w:type="dxa"/>
          </w:tcPr>
          <w:p w14:paraId="57953F33" w14:textId="71D6B449" w:rsidR="00194B92" w:rsidRPr="00663746" w:rsidRDefault="00194B92" w:rsidP="00194B92">
            <w:pPr>
              <w:tabs>
                <w:tab w:val="decimal" w:pos="1426"/>
              </w:tabs>
              <w:ind w:right="-144"/>
              <w:rPr>
                <w:rFonts w:cs="Arial"/>
                <w:sz w:val="18"/>
                <w:szCs w:val="18"/>
              </w:rPr>
            </w:pPr>
            <w:r w:rsidRPr="00AA34BF">
              <w:rPr>
                <w:rFonts w:cs="Arial"/>
                <w:b/>
                <w:sz w:val="18"/>
                <w:szCs w:val="18"/>
              </w:rPr>
              <w:t>-</w:t>
            </w:r>
          </w:p>
        </w:tc>
        <w:tc>
          <w:tcPr>
            <w:tcW w:w="1559" w:type="dxa"/>
          </w:tcPr>
          <w:p w14:paraId="13A67334" w14:textId="31AFC66B" w:rsidR="00194B92" w:rsidRPr="00663746" w:rsidRDefault="00194B92" w:rsidP="00194B92">
            <w:pPr>
              <w:tabs>
                <w:tab w:val="decimal" w:pos="1426"/>
              </w:tabs>
              <w:ind w:right="-144"/>
              <w:rPr>
                <w:rFonts w:cs="Arial"/>
                <w:b/>
                <w:bCs/>
                <w:sz w:val="18"/>
                <w:szCs w:val="18"/>
              </w:rPr>
            </w:pPr>
            <w:r>
              <w:rPr>
                <w:rFonts w:cs="Arial"/>
                <w:b/>
                <w:sz w:val="18"/>
                <w:szCs w:val="18"/>
              </w:rPr>
              <w:t>670</w:t>
            </w:r>
          </w:p>
        </w:tc>
        <w:tc>
          <w:tcPr>
            <w:tcW w:w="1559" w:type="dxa"/>
          </w:tcPr>
          <w:p w14:paraId="739E460A" w14:textId="40D8827D" w:rsidR="00194B92" w:rsidRPr="00663746" w:rsidRDefault="00194B92" w:rsidP="00194B92">
            <w:pPr>
              <w:tabs>
                <w:tab w:val="decimal" w:pos="1426"/>
              </w:tabs>
              <w:ind w:right="-144"/>
              <w:rPr>
                <w:rFonts w:cs="Arial"/>
                <w:b/>
                <w:bCs/>
                <w:sz w:val="18"/>
                <w:szCs w:val="18"/>
              </w:rPr>
            </w:pPr>
            <w:r>
              <w:rPr>
                <w:rFonts w:cs="Arial"/>
                <w:b/>
                <w:sz w:val="18"/>
                <w:szCs w:val="18"/>
              </w:rPr>
              <w:t>670</w:t>
            </w:r>
          </w:p>
        </w:tc>
      </w:tr>
      <w:tr w:rsidR="00194B92" w:rsidRPr="00670755" w14:paraId="64F48E1A" w14:textId="77777777" w:rsidTr="00A256E7">
        <w:tc>
          <w:tcPr>
            <w:tcW w:w="3392" w:type="dxa"/>
          </w:tcPr>
          <w:p w14:paraId="0C7BFED4" w14:textId="5262D575" w:rsidR="00194B92" w:rsidRPr="00663746" w:rsidRDefault="00194B92" w:rsidP="00194B92">
            <w:pPr>
              <w:rPr>
                <w:rFonts w:cs="Arial"/>
                <w:sz w:val="18"/>
                <w:szCs w:val="18"/>
              </w:rPr>
            </w:pPr>
            <w:r w:rsidRPr="00AA34BF">
              <w:rPr>
                <w:rFonts w:cs="Arial"/>
                <w:sz w:val="18"/>
                <w:szCs w:val="18"/>
              </w:rPr>
              <w:t>Fair value movement on cashflow hedges</w:t>
            </w:r>
          </w:p>
        </w:tc>
        <w:tc>
          <w:tcPr>
            <w:tcW w:w="1843" w:type="dxa"/>
          </w:tcPr>
          <w:p w14:paraId="63415777" w14:textId="77777777" w:rsidR="00194B92" w:rsidRDefault="00194B92" w:rsidP="00194B92">
            <w:pPr>
              <w:tabs>
                <w:tab w:val="decimal" w:pos="1426"/>
              </w:tabs>
              <w:ind w:right="-144"/>
              <w:rPr>
                <w:rFonts w:cs="Arial"/>
                <w:sz w:val="18"/>
                <w:szCs w:val="18"/>
              </w:rPr>
            </w:pPr>
          </w:p>
          <w:p w14:paraId="0BEBD13A" w14:textId="5CC56B69" w:rsidR="00194B92" w:rsidRPr="7821F417" w:rsidRDefault="00194B92" w:rsidP="00194B92">
            <w:pPr>
              <w:tabs>
                <w:tab w:val="decimal" w:pos="1426"/>
              </w:tabs>
              <w:ind w:right="-144"/>
              <w:rPr>
                <w:rFonts w:cs="Arial"/>
                <w:sz w:val="18"/>
                <w:szCs w:val="18"/>
              </w:rPr>
            </w:pPr>
            <w:r w:rsidRPr="00AA34BF">
              <w:rPr>
                <w:rFonts w:cs="Arial"/>
                <w:sz w:val="18"/>
                <w:szCs w:val="18"/>
              </w:rPr>
              <w:t>-</w:t>
            </w:r>
          </w:p>
        </w:tc>
        <w:tc>
          <w:tcPr>
            <w:tcW w:w="1559" w:type="dxa"/>
          </w:tcPr>
          <w:p w14:paraId="223F105B" w14:textId="77777777" w:rsidR="00194B92" w:rsidRDefault="00194B92" w:rsidP="00194B92">
            <w:pPr>
              <w:tabs>
                <w:tab w:val="decimal" w:pos="1426"/>
              </w:tabs>
              <w:ind w:right="-144"/>
              <w:rPr>
                <w:rFonts w:cs="Arial"/>
                <w:sz w:val="18"/>
                <w:szCs w:val="18"/>
              </w:rPr>
            </w:pPr>
          </w:p>
          <w:p w14:paraId="70C6591C" w14:textId="6863282E" w:rsidR="00194B92" w:rsidRPr="7821F417" w:rsidRDefault="00194B92" w:rsidP="00194B92">
            <w:pPr>
              <w:tabs>
                <w:tab w:val="decimal" w:pos="1426"/>
              </w:tabs>
              <w:ind w:right="-144"/>
              <w:rPr>
                <w:rFonts w:cs="Arial"/>
                <w:sz w:val="18"/>
                <w:szCs w:val="18"/>
              </w:rPr>
            </w:pPr>
            <w:r w:rsidRPr="00AA34BF">
              <w:rPr>
                <w:rFonts w:cs="Arial"/>
                <w:sz w:val="18"/>
                <w:szCs w:val="18"/>
              </w:rPr>
              <w:t>-</w:t>
            </w:r>
          </w:p>
        </w:tc>
        <w:tc>
          <w:tcPr>
            <w:tcW w:w="1559" w:type="dxa"/>
          </w:tcPr>
          <w:p w14:paraId="66650D08" w14:textId="77777777" w:rsidR="00194B92" w:rsidRDefault="00194B92" w:rsidP="00194B92">
            <w:pPr>
              <w:tabs>
                <w:tab w:val="decimal" w:pos="1426"/>
              </w:tabs>
              <w:ind w:right="-144"/>
              <w:rPr>
                <w:rFonts w:cs="Arial"/>
                <w:sz w:val="18"/>
                <w:szCs w:val="18"/>
              </w:rPr>
            </w:pPr>
          </w:p>
          <w:p w14:paraId="04558C79" w14:textId="4DB1E8BC" w:rsidR="00194B92" w:rsidRPr="7821F417" w:rsidRDefault="00194B92" w:rsidP="00194B92">
            <w:pPr>
              <w:tabs>
                <w:tab w:val="decimal" w:pos="1426"/>
              </w:tabs>
              <w:ind w:right="-144"/>
              <w:rPr>
                <w:rFonts w:cs="Arial"/>
                <w:sz w:val="18"/>
                <w:szCs w:val="18"/>
              </w:rPr>
            </w:pPr>
            <w:r w:rsidRPr="00AA34BF">
              <w:rPr>
                <w:rFonts w:cs="Arial"/>
                <w:sz w:val="18"/>
                <w:szCs w:val="18"/>
              </w:rPr>
              <w:t>-</w:t>
            </w:r>
          </w:p>
        </w:tc>
        <w:tc>
          <w:tcPr>
            <w:tcW w:w="1559" w:type="dxa"/>
          </w:tcPr>
          <w:p w14:paraId="045AFDC8" w14:textId="77777777" w:rsidR="00194B92" w:rsidRDefault="00194B92" w:rsidP="00194B92">
            <w:pPr>
              <w:tabs>
                <w:tab w:val="decimal" w:pos="1426"/>
              </w:tabs>
              <w:ind w:right="-144"/>
              <w:rPr>
                <w:rFonts w:cs="Arial"/>
                <w:sz w:val="18"/>
                <w:szCs w:val="18"/>
              </w:rPr>
            </w:pPr>
          </w:p>
          <w:p w14:paraId="60FAB6D3" w14:textId="31C69F06" w:rsidR="00194B92" w:rsidRPr="7821F417" w:rsidRDefault="00194B92" w:rsidP="00194B92">
            <w:pPr>
              <w:tabs>
                <w:tab w:val="decimal" w:pos="1426"/>
              </w:tabs>
              <w:ind w:right="-144"/>
              <w:rPr>
                <w:rFonts w:cs="Arial"/>
                <w:sz w:val="18"/>
                <w:szCs w:val="18"/>
              </w:rPr>
            </w:pPr>
            <w:r w:rsidRPr="00AA34BF">
              <w:rPr>
                <w:rFonts w:cs="Arial"/>
                <w:sz w:val="18"/>
                <w:szCs w:val="18"/>
              </w:rPr>
              <w:t>-</w:t>
            </w:r>
          </w:p>
        </w:tc>
        <w:tc>
          <w:tcPr>
            <w:tcW w:w="1560" w:type="dxa"/>
          </w:tcPr>
          <w:p w14:paraId="51865823" w14:textId="77777777" w:rsidR="00194B92" w:rsidRDefault="00194B92" w:rsidP="00194B92">
            <w:pPr>
              <w:tabs>
                <w:tab w:val="decimal" w:pos="1426"/>
              </w:tabs>
              <w:ind w:right="-144"/>
              <w:rPr>
                <w:rFonts w:cs="Arial"/>
                <w:sz w:val="18"/>
                <w:szCs w:val="18"/>
              </w:rPr>
            </w:pPr>
          </w:p>
          <w:p w14:paraId="0D44B7B0" w14:textId="29F01008" w:rsidR="00194B92" w:rsidRPr="7821F417" w:rsidRDefault="00194B92" w:rsidP="00194B92">
            <w:pPr>
              <w:tabs>
                <w:tab w:val="decimal" w:pos="1426"/>
              </w:tabs>
              <w:ind w:right="-144"/>
              <w:rPr>
                <w:rFonts w:cs="Arial"/>
                <w:sz w:val="18"/>
                <w:szCs w:val="18"/>
              </w:rPr>
            </w:pPr>
            <w:r w:rsidRPr="00AA34BF">
              <w:rPr>
                <w:rFonts w:cs="Arial"/>
                <w:sz w:val="18"/>
                <w:szCs w:val="18"/>
              </w:rPr>
              <w:t>-</w:t>
            </w:r>
          </w:p>
        </w:tc>
        <w:tc>
          <w:tcPr>
            <w:tcW w:w="1559" w:type="dxa"/>
          </w:tcPr>
          <w:p w14:paraId="1B8F7D22" w14:textId="77777777" w:rsidR="00194B92" w:rsidRDefault="00194B92" w:rsidP="00194B92">
            <w:pPr>
              <w:tabs>
                <w:tab w:val="decimal" w:pos="1426"/>
              </w:tabs>
              <w:ind w:right="-144"/>
              <w:rPr>
                <w:rFonts w:cs="Arial"/>
                <w:b/>
                <w:sz w:val="18"/>
                <w:szCs w:val="18"/>
              </w:rPr>
            </w:pPr>
          </w:p>
          <w:p w14:paraId="20479828" w14:textId="6AC04D1A" w:rsidR="00194B92" w:rsidRPr="7821F417" w:rsidRDefault="00194B92" w:rsidP="00194B92">
            <w:pPr>
              <w:tabs>
                <w:tab w:val="decimal" w:pos="1426"/>
              </w:tabs>
              <w:ind w:right="-144"/>
              <w:rPr>
                <w:rFonts w:cs="Arial"/>
                <w:sz w:val="18"/>
                <w:szCs w:val="18"/>
              </w:rPr>
            </w:pPr>
            <w:r>
              <w:rPr>
                <w:rFonts w:cs="Arial"/>
                <w:b/>
                <w:sz w:val="18"/>
                <w:szCs w:val="18"/>
              </w:rPr>
              <w:t>1,671</w:t>
            </w:r>
          </w:p>
        </w:tc>
        <w:tc>
          <w:tcPr>
            <w:tcW w:w="1559" w:type="dxa"/>
          </w:tcPr>
          <w:p w14:paraId="2D088FE7" w14:textId="77777777" w:rsidR="00194B92" w:rsidRDefault="00194B92" w:rsidP="00194B92">
            <w:pPr>
              <w:tabs>
                <w:tab w:val="decimal" w:pos="1426"/>
              </w:tabs>
              <w:ind w:right="-144"/>
              <w:rPr>
                <w:rFonts w:cs="Arial"/>
                <w:b/>
                <w:sz w:val="18"/>
                <w:szCs w:val="18"/>
              </w:rPr>
            </w:pPr>
          </w:p>
          <w:p w14:paraId="75A4F95D" w14:textId="3C856583" w:rsidR="00194B92" w:rsidRDefault="00194B92" w:rsidP="00194B92">
            <w:pPr>
              <w:tabs>
                <w:tab w:val="decimal" w:pos="1426"/>
              </w:tabs>
              <w:ind w:right="-144"/>
              <w:rPr>
                <w:rFonts w:cs="Arial"/>
                <w:b/>
                <w:bCs/>
                <w:sz w:val="18"/>
                <w:szCs w:val="18"/>
              </w:rPr>
            </w:pPr>
            <w:r w:rsidRPr="00AA34BF">
              <w:rPr>
                <w:rFonts w:cs="Arial"/>
                <w:b/>
                <w:sz w:val="18"/>
                <w:szCs w:val="18"/>
              </w:rPr>
              <w:t>-</w:t>
            </w:r>
          </w:p>
        </w:tc>
        <w:tc>
          <w:tcPr>
            <w:tcW w:w="1559" w:type="dxa"/>
          </w:tcPr>
          <w:p w14:paraId="23E3A4DA" w14:textId="77777777" w:rsidR="00194B92" w:rsidRDefault="00194B92" w:rsidP="00194B92">
            <w:pPr>
              <w:tabs>
                <w:tab w:val="decimal" w:pos="1426"/>
              </w:tabs>
              <w:ind w:right="-144"/>
              <w:rPr>
                <w:rFonts w:cs="Arial"/>
                <w:b/>
                <w:bCs/>
                <w:sz w:val="18"/>
                <w:szCs w:val="18"/>
              </w:rPr>
            </w:pPr>
          </w:p>
          <w:p w14:paraId="54FF65E3" w14:textId="6F37F331" w:rsidR="00194B92" w:rsidRDefault="00194B92" w:rsidP="00194B92">
            <w:pPr>
              <w:tabs>
                <w:tab w:val="decimal" w:pos="1426"/>
              </w:tabs>
              <w:ind w:right="-144"/>
              <w:rPr>
                <w:rFonts w:cs="Arial"/>
                <w:b/>
                <w:bCs/>
                <w:sz w:val="18"/>
                <w:szCs w:val="18"/>
              </w:rPr>
            </w:pPr>
            <w:r>
              <w:rPr>
                <w:rFonts w:cs="Arial"/>
                <w:b/>
                <w:bCs/>
                <w:sz w:val="18"/>
                <w:szCs w:val="18"/>
              </w:rPr>
              <w:t>1,671</w:t>
            </w:r>
          </w:p>
        </w:tc>
      </w:tr>
      <w:tr w:rsidR="00194B92" w:rsidRPr="00670755" w14:paraId="5145DDDF" w14:textId="77777777" w:rsidTr="00A256E7">
        <w:tc>
          <w:tcPr>
            <w:tcW w:w="3392" w:type="dxa"/>
          </w:tcPr>
          <w:p w14:paraId="3784230A" w14:textId="34A3CB70" w:rsidR="00194B92" w:rsidRPr="00663746" w:rsidRDefault="00194B92" w:rsidP="00194B92">
            <w:pPr>
              <w:rPr>
                <w:rFonts w:cs="Arial"/>
                <w:sz w:val="18"/>
                <w:szCs w:val="18"/>
              </w:rPr>
            </w:pPr>
            <w:r w:rsidRPr="00AA34BF">
              <w:rPr>
                <w:rFonts w:cs="Arial"/>
                <w:sz w:val="18"/>
                <w:szCs w:val="18"/>
              </w:rPr>
              <w:t>Cashflow hedges reclassified to profit and loss</w:t>
            </w:r>
          </w:p>
        </w:tc>
        <w:tc>
          <w:tcPr>
            <w:tcW w:w="1843" w:type="dxa"/>
          </w:tcPr>
          <w:p w14:paraId="652BF73A" w14:textId="77777777" w:rsidR="00194B92" w:rsidRDefault="00194B92" w:rsidP="00194B92">
            <w:pPr>
              <w:tabs>
                <w:tab w:val="decimal" w:pos="1426"/>
              </w:tabs>
              <w:ind w:right="-144"/>
              <w:rPr>
                <w:rFonts w:cs="Arial"/>
                <w:sz w:val="18"/>
                <w:szCs w:val="18"/>
              </w:rPr>
            </w:pPr>
          </w:p>
          <w:p w14:paraId="63411231" w14:textId="62B86A3F" w:rsidR="00194B92" w:rsidRPr="7821F417" w:rsidRDefault="00194B92" w:rsidP="00194B92">
            <w:pPr>
              <w:tabs>
                <w:tab w:val="decimal" w:pos="1426"/>
              </w:tabs>
              <w:ind w:right="-144"/>
              <w:rPr>
                <w:rFonts w:cs="Arial"/>
                <w:sz w:val="18"/>
                <w:szCs w:val="18"/>
              </w:rPr>
            </w:pPr>
            <w:r w:rsidRPr="00AA34BF">
              <w:rPr>
                <w:rFonts w:cs="Arial"/>
                <w:sz w:val="18"/>
                <w:szCs w:val="18"/>
              </w:rPr>
              <w:t>-</w:t>
            </w:r>
          </w:p>
        </w:tc>
        <w:tc>
          <w:tcPr>
            <w:tcW w:w="1559" w:type="dxa"/>
          </w:tcPr>
          <w:p w14:paraId="055E12CA" w14:textId="77777777" w:rsidR="00194B92" w:rsidRDefault="00194B92" w:rsidP="00194B92">
            <w:pPr>
              <w:tabs>
                <w:tab w:val="decimal" w:pos="1426"/>
              </w:tabs>
              <w:ind w:right="-144"/>
              <w:rPr>
                <w:rFonts w:cs="Arial"/>
                <w:sz w:val="18"/>
                <w:szCs w:val="18"/>
              </w:rPr>
            </w:pPr>
          </w:p>
          <w:p w14:paraId="5263E0A7" w14:textId="0503937F" w:rsidR="00194B92" w:rsidRPr="7821F417" w:rsidRDefault="00194B92" w:rsidP="00194B92">
            <w:pPr>
              <w:tabs>
                <w:tab w:val="decimal" w:pos="1426"/>
              </w:tabs>
              <w:ind w:right="-144"/>
              <w:rPr>
                <w:rFonts w:cs="Arial"/>
                <w:sz w:val="18"/>
                <w:szCs w:val="18"/>
              </w:rPr>
            </w:pPr>
            <w:r w:rsidRPr="00AA34BF">
              <w:rPr>
                <w:rFonts w:cs="Arial"/>
                <w:sz w:val="18"/>
                <w:szCs w:val="18"/>
              </w:rPr>
              <w:t>-</w:t>
            </w:r>
          </w:p>
        </w:tc>
        <w:tc>
          <w:tcPr>
            <w:tcW w:w="1559" w:type="dxa"/>
          </w:tcPr>
          <w:p w14:paraId="6C668B55" w14:textId="77777777" w:rsidR="00194B92" w:rsidRDefault="00194B92" w:rsidP="00194B92">
            <w:pPr>
              <w:tabs>
                <w:tab w:val="decimal" w:pos="1426"/>
              </w:tabs>
              <w:ind w:right="-144"/>
              <w:rPr>
                <w:rFonts w:cs="Arial"/>
                <w:sz w:val="18"/>
                <w:szCs w:val="18"/>
              </w:rPr>
            </w:pPr>
          </w:p>
          <w:p w14:paraId="5CAE545D" w14:textId="34FC36FD" w:rsidR="00194B92" w:rsidRPr="7821F417" w:rsidRDefault="00194B92" w:rsidP="00194B92">
            <w:pPr>
              <w:tabs>
                <w:tab w:val="decimal" w:pos="1426"/>
              </w:tabs>
              <w:ind w:right="-144"/>
              <w:rPr>
                <w:rFonts w:cs="Arial"/>
                <w:sz w:val="18"/>
                <w:szCs w:val="18"/>
              </w:rPr>
            </w:pPr>
            <w:r w:rsidRPr="00AA34BF">
              <w:rPr>
                <w:rFonts w:cs="Arial"/>
                <w:sz w:val="18"/>
                <w:szCs w:val="18"/>
              </w:rPr>
              <w:t>-</w:t>
            </w:r>
          </w:p>
        </w:tc>
        <w:tc>
          <w:tcPr>
            <w:tcW w:w="1559" w:type="dxa"/>
          </w:tcPr>
          <w:p w14:paraId="1A34F9AC" w14:textId="77777777" w:rsidR="00194B92" w:rsidRDefault="00194B92" w:rsidP="00194B92">
            <w:pPr>
              <w:tabs>
                <w:tab w:val="decimal" w:pos="1426"/>
              </w:tabs>
              <w:ind w:right="-144"/>
              <w:rPr>
                <w:rFonts w:cs="Arial"/>
                <w:sz w:val="18"/>
                <w:szCs w:val="18"/>
              </w:rPr>
            </w:pPr>
          </w:p>
          <w:p w14:paraId="26E74AA1" w14:textId="7D5AEC1C" w:rsidR="00194B92" w:rsidRPr="7821F417" w:rsidRDefault="00194B92" w:rsidP="00194B92">
            <w:pPr>
              <w:tabs>
                <w:tab w:val="decimal" w:pos="1426"/>
              </w:tabs>
              <w:ind w:right="-144"/>
              <w:rPr>
                <w:rFonts w:cs="Arial"/>
                <w:sz w:val="18"/>
                <w:szCs w:val="18"/>
              </w:rPr>
            </w:pPr>
            <w:r w:rsidRPr="00AA34BF">
              <w:rPr>
                <w:rFonts w:cs="Arial"/>
                <w:sz w:val="18"/>
                <w:szCs w:val="18"/>
              </w:rPr>
              <w:t>-</w:t>
            </w:r>
          </w:p>
        </w:tc>
        <w:tc>
          <w:tcPr>
            <w:tcW w:w="1560" w:type="dxa"/>
          </w:tcPr>
          <w:p w14:paraId="1DBC122E" w14:textId="77777777" w:rsidR="00194B92" w:rsidRDefault="00194B92" w:rsidP="00194B92">
            <w:pPr>
              <w:tabs>
                <w:tab w:val="decimal" w:pos="1426"/>
              </w:tabs>
              <w:ind w:right="-144"/>
              <w:rPr>
                <w:rFonts w:cs="Arial"/>
                <w:sz w:val="18"/>
                <w:szCs w:val="18"/>
              </w:rPr>
            </w:pPr>
          </w:p>
          <w:p w14:paraId="1226C9F9" w14:textId="53122EB3" w:rsidR="00194B92" w:rsidRPr="7821F417" w:rsidRDefault="00194B92" w:rsidP="00194B92">
            <w:pPr>
              <w:tabs>
                <w:tab w:val="decimal" w:pos="1426"/>
              </w:tabs>
              <w:ind w:right="-144"/>
              <w:rPr>
                <w:rFonts w:cs="Arial"/>
                <w:sz w:val="18"/>
                <w:szCs w:val="18"/>
              </w:rPr>
            </w:pPr>
            <w:r w:rsidRPr="00AA34BF">
              <w:rPr>
                <w:rFonts w:cs="Arial"/>
                <w:sz w:val="18"/>
                <w:szCs w:val="18"/>
              </w:rPr>
              <w:t>-</w:t>
            </w:r>
          </w:p>
        </w:tc>
        <w:tc>
          <w:tcPr>
            <w:tcW w:w="1559" w:type="dxa"/>
          </w:tcPr>
          <w:p w14:paraId="540DE84D" w14:textId="77777777" w:rsidR="00194B92" w:rsidRPr="00AA34BF" w:rsidRDefault="00194B92" w:rsidP="00194B92">
            <w:pPr>
              <w:tabs>
                <w:tab w:val="decimal" w:pos="1426"/>
              </w:tabs>
              <w:ind w:right="-144"/>
              <w:rPr>
                <w:rFonts w:cs="Arial"/>
                <w:b/>
                <w:sz w:val="18"/>
                <w:szCs w:val="18"/>
              </w:rPr>
            </w:pPr>
          </w:p>
          <w:p w14:paraId="751F13DF" w14:textId="3495B867" w:rsidR="00194B92" w:rsidRPr="7821F417" w:rsidRDefault="00194B92" w:rsidP="00194B92">
            <w:pPr>
              <w:tabs>
                <w:tab w:val="decimal" w:pos="1426"/>
              </w:tabs>
              <w:ind w:right="-144"/>
              <w:rPr>
                <w:rFonts w:cs="Arial"/>
                <w:sz w:val="18"/>
                <w:szCs w:val="18"/>
              </w:rPr>
            </w:pPr>
            <w:r>
              <w:rPr>
                <w:rFonts w:cs="Arial"/>
                <w:b/>
                <w:sz w:val="18"/>
                <w:szCs w:val="18"/>
              </w:rPr>
              <w:t>(437)</w:t>
            </w:r>
          </w:p>
        </w:tc>
        <w:tc>
          <w:tcPr>
            <w:tcW w:w="1559" w:type="dxa"/>
          </w:tcPr>
          <w:p w14:paraId="3D9680D1" w14:textId="77777777" w:rsidR="00194B92" w:rsidRPr="00AA34BF" w:rsidRDefault="00194B92" w:rsidP="00194B92">
            <w:pPr>
              <w:tabs>
                <w:tab w:val="decimal" w:pos="1426"/>
              </w:tabs>
              <w:ind w:right="-144"/>
              <w:rPr>
                <w:rFonts w:cs="Arial"/>
                <w:b/>
                <w:sz w:val="18"/>
                <w:szCs w:val="18"/>
              </w:rPr>
            </w:pPr>
          </w:p>
          <w:p w14:paraId="444A379D" w14:textId="51D8B8CD" w:rsidR="00194B92" w:rsidRDefault="00194B92" w:rsidP="00194B92">
            <w:pPr>
              <w:tabs>
                <w:tab w:val="decimal" w:pos="1426"/>
              </w:tabs>
              <w:ind w:right="-144"/>
              <w:rPr>
                <w:rFonts w:cs="Arial"/>
                <w:b/>
                <w:bCs/>
                <w:sz w:val="18"/>
                <w:szCs w:val="18"/>
              </w:rPr>
            </w:pPr>
            <w:r w:rsidRPr="00AA34BF">
              <w:rPr>
                <w:rFonts w:cs="Arial"/>
                <w:b/>
                <w:sz w:val="18"/>
                <w:szCs w:val="18"/>
              </w:rPr>
              <w:t>-</w:t>
            </w:r>
          </w:p>
        </w:tc>
        <w:tc>
          <w:tcPr>
            <w:tcW w:w="1559" w:type="dxa"/>
          </w:tcPr>
          <w:p w14:paraId="7EDB16BD" w14:textId="77777777" w:rsidR="00194B92" w:rsidRPr="00AA34BF" w:rsidRDefault="00194B92" w:rsidP="00194B92">
            <w:pPr>
              <w:tabs>
                <w:tab w:val="decimal" w:pos="1426"/>
              </w:tabs>
              <w:ind w:right="-144"/>
              <w:rPr>
                <w:rFonts w:cs="Arial"/>
                <w:b/>
                <w:bCs/>
                <w:sz w:val="18"/>
                <w:szCs w:val="18"/>
              </w:rPr>
            </w:pPr>
          </w:p>
          <w:p w14:paraId="6E44678F" w14:textId="360439B7" w:rsidR="00194B92" w:rsidRDefault="00194B92" w:rsidP="00194B92">
            <w:pPr>
              <w:tabs>
                <w:tab w:val="decimal" w:pos="1426"/>
              </w:tabs>
              <w:ind w:right="-144"/>
              <w:rPr>
                <w:rFonts w:cs="Arial"/>
                <w:b/>
                <w:bCs/>
                <w:sz w:val="18"/>
                <w:szCs w:val="18"/>
              </w:rPr>
            </w:pPr>
            <w:r>
              <w:rPr>
                <w:rFonts w:cs="Arial"/>
                <w:b/>
                <w:bCs/>
                <w:sz w:val="18"/>
                <w:szCs w:val="18"/>
              </w:rPr>
              <w:t>(437)</w:t>
            </w:r>
          </w:p>
        </w:tc>
      </w:tr>
      <w:tr w:rsidR="005A49BE" w:rsidRPr="00670755" w14:paraId="703B2BFA" w14:textId="77777777" w:rsidTr="00A256E7">
        <w:tc>
          <w:tcPr>
            <w:tcW w:w="3392" w:type="dxa"/>
          </w:tcPr>
          <w:p w14:paraId="7AD480E4" w14:textId="77777777" w:rsidR="005A49BE" w:rsidRPr="00663746" w:rsidRDefault="005A49BE" w:rsidP="005A49BE">
            <w:pPr>
              <w:rPr>
                <w:rFonts w:cs="Arial"/>
                <w:sz w:val="18"/>
                <w:szCs w:val="18"/>
              </w:rPr>
            </w:pPr>
          </w:p>
        </w:tc>
        <w:tc>
          <w:tcPr>
            <w:tcW w:w="1843" w:type="dxa"/>
          </w:tcPr>
          <w:p w14:paraId="4561A423" w14:textId="5A26575B" w:rsidR="005A49BE" w:rsidRPr="00663746" w:rsidRDefault="005A49BE" w:rsidP="005A49B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4DE2AF8D" w14:textId="660C505D" w:rsidR="005A49BE" w:rsidRPr="00663746" w:rsidRDefault="005A49BE" w:rsidP="005A49BE">
            <w:pPr>
              <w:tabs>
                <w:tab w:val="decimal" w:pos="1426"/>
              </w:tabs>
              <w:ind w:right="-144"/>
              <w:rPr>
                <w:rFonts w:cs="Arial"/>
                <w:sz w:val="18"/>
                <w:szCs w:val="18"/>
              </w:rPr>
            </w:pPr>
            <w:r w:rsidRPr="00AA34BF">
              <w:rPr>
                <w:rFonts w:cs="Arial"/>
                <w:sz w:val="18"/>
                <w:szCs w:val="18"/>
                <w:u w:val="single"/>
              </w:rPr>
              <w:t>                  </w:t>
            </w:r>
          </w:p>
        </w:tc>
        <w:tc>
          <w:tcPr>
            <w:tcW w:w="1559" w:type="dxa"/>
          </w:tcPr>
          <w:p w14:paraId="0C759017" w14:textId="59AF0467" w:rsidR="005A49BE" w:rsidRPr="00663746" w:rsidRDefault="005A49BE" w:rsidP="005A49B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152569FF" w14:textId="428BD5E2" w:rsidR="005A49BE" w:rsidRPr="00663746" w:rsidRDefault="005A49BE" w:rsidP="005A49BE">
            <w:pPr>
              <w:tabs>
                <w:tab w:val="decimal" w:pos="1426"/>
              </w:tabs>
              <w:ind w:right="-144"/>
              <w:rPr>
                <w:rFonts w:cs="Arial"/>
                <w:sz w:val="18"/>
                <w:szCs w:val="18"/>
                <w:u w:val="single"/>
              </w:rPr>
            </w:pPr>
            <w:r w:rsidRPr="00AA34BF">
              <w:rPr>
                <w:rFonts w:cs="Arial"/>
                <w:sz w:val="18"/>
                <w:szCs w:val="18"/>
                <w:u w:val="single"/>
              </w:rPr>
              <w:t>                  </w:t>
            </w:r>
          </w:p>
        </w:tc>
        <w:tc>
          <w:tcPr>
            <w:tcW w:w="1560" w:type="dxa"/>
          </w:tcPr>
          <w:p w14:paraId="5760127C" w14:textId="4ECF44B5" w:rsidR="005A49BE" w:rsidRPr="00663746" w:rsidRDefault="005A49BE" w:rsidP="005A49BE">
            <w:pPr>
              <w:tabs>
                <w:tab w:val="decimal" w:pos="1426"/>
              </w:tabs>
              <w:ind w:right="-144"/>
              <w:rPr>
                <w:rFonts w:cs="Arial"/>
                <w:sz w:val="18"/>
                <w:szCs w:val="18"/>
              </w:rPr>
            </w:pPr>
            <w:r w:rsidRPr="00AA34BF">
              <w:rPr>
                <w:rFonts w:cs="Arial"/>
                <w:sz w:val="18"/>
                <w:szCs w:val="18"/>
                <w:u w:val="single"/>
              </w:rPr>
              <w:t>                  </w:t>
            </w:r>
          </w:p>
        </w:tc>
        <w:tc>
          <w:tcPr>
            <w:tcW w:w="1559" w:type="dxa"/>
          </w:tcPr>
          <w:p w14:paraId="1BB1F764" w14:textId="0C529214" w:rsidR="005A49BE" w:rsidRPr="00663746" w:rsidRDefault="005A49BE" w:rsidP="005A49BE">
            <w:pPr>
              <w:tabs>
                <w:tab w:val="decimal" w:pos="1426"/>
              </w:tabs>
              <w:ind w:right="-144"/>
              <w:rPr>
                <w:rFonts w:cs="Arial"/>
                <w:sz w:val="18"/>
                <w:szCs w:val="18"/>
                <w:u w:val="single"/>
              </w:rPr>
            </w:pPr>
            <w:r w:rsidRPr="00AA34BF">
              <w:rPr>
                <w:rFonts w:cs="Arial"/>
                <w:sz w:val="18"/>
                <w:szCs w:val="18"/>
                <w:u w:val="single"/>
              </w:rPr>
              <w:t>                  </w:t>
            </w:r>
          </w:p>
        </w:tc>
        <w:tc>
          <w:tcPr>
            <w:tcW w:w="1559" w:type="dxa"/>
          </w:tcPr>
          <w:p w14:paraId="156C70BA" w14:textId="58237CF3" w:rsidR="005A49BE" w:rsidRPr="00663746" w:rsidRDefault="005A49BE" w:rsidP="005A49BE">
            <w:pPr>
              <w:tabs>
                <w:tab w:val="decimal" w:pos="1426"/>
              </w:tabs>
              <w:ind w:right="-144"/>
              <w:rPr>
                <w:rFonts w:cs="Arial"/>
                <w:sz w:val="18"/>
                <w:szCs w:val="18"/>
              </w:rPr>
            </w:pPr>
            <w:r w:rsidRPr="00AA34BF">
              <w:rPr>
                <w:rFonts w:cs="Arial"/>
                <w:sz w:val="18"/>
                <w:szCs w:val="18"/>
                <w:u w:val="single"/>
              </w:rPr>
              <w:t>                  </w:t>
            </w:r>
          </w:p>
        </w:tc>
        <w:tc>
          <w:tcPr>
            <w:tcW w:w="1559" w:type="dxa"/>
          </w:tcPr>
          <w:p w14:paraId="7C2D484A" w14:textId="38F2A3FD" w:rsidR="005A49BE" w:rsidRPr="00663746" w:rsidRDefault="005A49BE" w:rsidP="005A49BE">
            <w:pPr>
              <w:tabs>
                <w:tab w:val="decimal" w:pos="1426"/>
              </w:tabs>
              <w:ind w:right="-144"/>
              <w:rPr>
                <w:rFonts w:cs="Arial"/>
                <w:sz w:val="18"/>
                <w:szCs w:val="18"/>
              </w:rPr>
            </w:pPr>
            <w:r w:rsidRPr="00AA34BF">
              <w:rPr>
                <w:rFonts w:cs="Arial"/>
                <w:sz w:val="18"/>
                <w:szCs w:val="18"/>
                <w:u w:val="single"/>
              </w:rPr>
              <w:t>                  </w:t>
            </w:r>
          </w:p>
        </w:tc>
      </w:tr>
      <w:tr w:rsidR="005A49BE" w:rsidRPr="00670755" w14:paraId="5F441121" w14:textId="77777777" w:rsidTr="00A256E7">
        <w:tc>
          <w:tcPr>
            <w:tcW w:w="3392" w:type="dxa"/>
          </w:tcPr>
          <w:p w14:paraId="291301A5" w14:textId="77777777" w:rsidR="005A49BE" w:rsidRPr="00663746" w:rsidRDefault="005A49BE" w:rsidP="005A49BE">
            <w:pPr>
              <w:rPr>
                <w:rFonts w:cs="Arial"/>
                <w:sz w:val="18"/>
                <w:szCs w:val="18"/>
              </w:rPr>
            </w:pPr>
          </w:p>
        </w:tc>
        <w:tc>
          <w:tcPr>
            <w:tcW w:w="1843" w:type="dxa"/>
          </w:tcPr>
          <w:p w14:paraId="5932D91A" w14:textId="77777777" w:rsidR="005A49BE" w:rsidRPr="00663746" w:rsidRDefault="005A49BE" w:rsidP="005A49BE">
            <w:pPr>
              <w:tabs>
                <w:tab w:val="decimal" w:pos="1426"/>
              </w:tabs>
              <w:ind w:right="-144"/>
              <w:rPr>
                <w:rFonts w:cs="Arial"/>
                <w:sz w:val="18"/>
                <w:szCs w:val="18"/>
                <w:u w:val="single"/>
              </w:rPr>
            </w:pPr>
          </w:p>
        </w:tc>
        <w:tc>
          <w:tcPr>
            <w:tcW w:w="1559" w:type="dxa"/>
          </w:tcPr>
          <w:p w14:paraId="0EBFA333" w14:textId="77777777" w:rsidR="005A49BE" w:rsidRPr="00663746" w:rsidRDefault="005A49BE" w:rsidP="005A49BE">
            <w:pPr>
              <w:tabs>
                <w:tab w:val="decimal" w:pos="1426"/>
              </w:tabs>
              <w:ind w:right="-144"/>
              <w:rPr>
                <w:rFonts w:cs="Arial"/>
                <w:sz w:val="18"/>
                <w:szCs w:val="18"/>
                <w:u w:val="single"/>
              </w:rPr>
            </w:pPr>
          </w:p>
        </w:tc>
        <w:tc>
          <w:tcPr>
            <w:tcW w:w="1559" w:type="dxa"/>
          </w:tcPr>
          <w:p w14:paraId="68E48C74" w14:textId="77777777" w:rsidR="005A49BE" w:rsidRPr="00663746" w:rsidRDefault="005A49BE" w:rsidP="005A49BE">
            <w:pPr>
              <w:tabs>
                <w:tab w:val="decimal" w:pos="1426"/>
              </w:tabs>
              <w:ind w:right="-144"/>
              <w:rPr>
                <w:rFonts w:cs="Arial"/>
                <w:sz w:val="18"/>
                <w:szCs w:val="18"/>
                <w:u w:val="single"/>
              </w:rPr>
            </w:pPr>
          </w:p>
        </w:tc>
        <w:tc>
          <w:tcPr>
            <w:tcW w:w="1559" w:type="dxa"/>
          </w:tcPr>
          <w:p w14:paraId="22ED2F6F" w14:textId="77777777" w:rsidR="005A49BE" w:rsidRPr="00663746" w:rsidRDefault="005A49BE" w:rsidP="005A49BE">
            <w:pPr>
              <w:tabs>
                <w:tab w:val="decimal" w:pos="1426"/>
              </w:tabs>
              <w:ind w:right="-144"/>
              <w:rPr>
                <w:rFonts w:cs="Arial"/>
                <w:sz w:val="18"/>
                <w:szCs w:val="18"/>
                <w:u w:val="single"/>
              </w:rPr>
            </w:pPr>
          </w:p>
        </w:tc>
        <w:tc>
          <w:tcPr>
            <w:tcW w:w="1560" w:type="dxa"/>
          </w:tcPr>
          <w:p w14:paraId="00418161" w14:textId="77777777" w:rsidR="005A49BE" w:rsidRPr="00663746" w:rsidRDefault="005A49BE" w:rsidP="005A49BE">
            <w:pPr>
              <w:tabs>
                <w:tab w:val="decimal" w:pos="1426"/>
              </w:tabs>
              <w:ind w:right="-144"/>
              <w:rPr>
                <w:rFonts w:cs="Arial"/>
                <w:sz w:val="18"/>
                <w:szCs w:val="18"/>
                <w:u w:val="single"/>
              </w:rPr>
            </w:pPr>
          </w:p>
        </w:tc>
        <w:tc>
          <w:tcPr>
            <w:tcW w:w="1559" w:type="dxa"/>
          </w:tcPr>
          <w:p w14:paraId="6C0D27B9" w14:textId="77777777" w:rsidR="005A49BE" w:rsidRPr="00663746" w:rsidRDefault="005A49BE" w:rsidP="005A49BE">
            <w:pPr>
              <w:tabs>
                <w:tab w:val="decimal" w:pos="1426"/>
              </w:tabs>
              <w:ind w:right="-144"/>
              <w:rPr>
                <w:rFonts w:cs="Arial"/>
                <w:sz w:val="18"/>
                <w:szCs w:val="18"/>
                <w:u w:val="single"/>
              </w:rPr>
            </w:pPr>
          </w:p>
        </w:tc>
        <w:tc>
          <w:tcPr>
            <w:tcW w:w="1559" w:type="dxa"/>
          </w:tcPr>
          <w:p w14:paraId="4FB9DAF8" w14:textId="77777777" w:rsidR="005A49BE" w:rsidRPr="00663746" w:rsidRDefault="005A49BE" w:rsidP="005A49BE">
            <w:pPr>
              <w:tabs>
                <w:tab w:val="decimal" w:pos="1426"/>
              </w:tabs>
              <w:ind w:right="-144"/>
              <w:rPr>
                <w:rFonts w:cs="Arial"/>
                <w:sz w:val="18"/>
                <w:szCs w:val="18"/>
                <w:u w:val="single"/>
              </w:rPr>
            </w:pPr>
          </w:p>
        </w:tc>
        <w:tc>
          <w:tcPr>
            <w:tcW w:w="1559" w:type="dxa"/>
          </w:tcPr>
          <w:p w14:paraId="28124093" w14:textId="77777777" w:rsidR="005A49BE" w:rsidRPr="00663746" w:rsidRDefault="005A49BE" w:rsidP="005A49BE">
            <w:pPr>
              <w:tabs>
                <w:tab w:val="decimal" w:pos="1426"/>
              </w:tabs>
              <w:ind w:right="-144"/>
              <w:rPr>
                <w:rFonts w:cs="Arial"/>
                <w:sz w:val="18"/>
                <w:szCs w:val="18"/>
                <w:u w:val="single"/>
              </w:rPr>
            </w:pPr>
          </w:p>
        </w:tc>
      </w:tr>
      <w:tr w:rsidR="00194B92" w:rsidRPr="00670755" w14:paraId="3DD30705" w14:textId="77777777" w:rsidTr="00A256E7">
        <w:tc>
          <w:tcPr>
            <w:tcW w:w="3392" w:type="dxa"/>
          </w:tcPr>
          <w:p w14:paraId="51521500" w14:textId="77777777" w:rsidR="00194B92" w:rsidRPr="00663746" w:rsidRDefault="00194B92" w:rsidP="00194B92">
            <w:pPr>
              <w:rPr>
                <w:rFonts w:cs="Arial"/>
                <w:sz w:val="18"/>
                <w:szCs w:val="18"/>
              </w:rPr>
            </w:pPr>
          </w:p>
        </w:tc>
        <w:tc>
          <w:tcPr>
            <w:tcW w:w="1843" w:type="dxa"/>
          </w:tcPr>
          <w:p w14:paraId="54FC7E0F" w14:textId="16119A6C"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59" w:type="dxa"/>
          </w:tcPr>
          <w:p w14:paraId="757CF637" w14:textId="75714A66"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59" w:type="dxa"/>
          </w:tcPr>
          <w:p w14:paraId="55FE83FB" w14:textId="37832C3E"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59" w:type="dxa"/>
          </w:tcPr>
          <w:p w14:paraId="201A1285" w14:textId="7D000111"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60" w:type="dxa"/>
          </w:tcPr>
          <w:p w14:paraId="23454618" w14:textId="215B7607"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59" w:type="dxa"/>
          </w:tcPr>
          <w:p w14:paraId="339ECF07" w14:textId="3C87FFD2" w:rsidR="00194B92" w:rsidRPr="00663746" w:rsidRDefault="00194B92" w:rsidP="00194B92">
            <w:pPr>
              <w:tabs>
                <w:tab w:val="decimal" w:pos="1426"/>
              </w:tabs>
              <w:ind w:right="-144"/>
              <w:rPr>
                <w:rFonts w:cs="Arial"/>
                <w:b/>
                <w:sz w:val="18"/>
                <w:szCs w:val="18"/>
              </w:rPr>
            </w:pPr>
            <w:r>
              <w:rPr>
                <w:rFonts w:cs="Arial"/>
                <w:b/>
                <w:sz w:val="18"/>
                <w:szCs w:val="18"/>
              </w:rPr>
              <w:t>1,234</w:t>
            </w:r>
          </w:p>
        </w:tc>
        <w:tc>
          <w:tcPr>
            <w:tcW w:w="1559" w:type="dxa"/>
          </w:tcPr>
          <w:p w14:paraId="6E78FDE1" w14:textId="3F478ECE" w:rsidR="00194B92" w:rsidRPr="00663746" w:rsidRDefault="00194B92" w:rsidP="00194B92">
            <w:pPr>
              <w:tabs>
                <w:tab w:val="decimal" w:pos="1426"/>
              </w:tabs>
              <w:ind w:right="-144"/>
              <w:rPr>
                <w:rFonts w:cs="Arial"/>
                <w:b/>
                <w:sz w:val="18"/>
                <w:szCs w:val="18"/>
              </w:rPr>
            </w:pPr>
            <w:r>
              <w:rPr>
                <w:rFonts w:cs="Arial"/>
                <w:b/>
                <w:sz w:val="18"/>
                <w:szCs w:val="18"/>
              </w:rPr>
              <w:t>670</w:t>
            </w:r>
          </w:p>
        </w:tc>
        <w:tc>
          <w:tcPr>
            <w:tcW w:w="1559" w:type="dxa"/>
          </w:tcPr>
          <w:p w14:paraId="32B0A5BD" w14:textId="6B68BF83" w:rsidR="00194B92" w:rsidRPr="00663746" w:rsidRDefault="00194B92" w:rsidP="00194B92">
            <w:pPr>
              <w:tabs>
                <w:tab w:val="decimal" w:pos="1426"/>
              </w:tabs>
              <w:ind w:right="-144"/>
              <w:rPr>
                <w:rFonts w:cs="Arial"/>
                <w:b/>
                <w:sz w:val="18"/>
                <w:szCs w:val="18"/>
              </w:rPr>
            </w:pPr>
            <w:r>
              <w:rPr>
                <w:rFonts w:cs="Arial"/>
                <w:b/>
                <w:sz w:val="18"/>
                <w:szCs w:val="18"/>
              </w:rPr>
              <w:t>1,904</w:t>
            </w:r>
          </w:p>
        </w:tc>
      </w:tr>
      <w:tr w:rsidR="005A49BE" w:rsidRPr="00670755" w14:paraId="7974D966" w14:textId="77777777" w:rsidTr="00A256E7">
        <w:tc>
          <w:tcPr>
            <w:tcW w:w="3392" w:type="dxa"/>
          </w:tcPr>
          <w:p w14:paraId="63C12FF8" w14:textId="77777777" w:rsidR="005A49BE" w:rsidRPr="00663746" w:rsidRDefault="005A49BE" w:rsidP="005A49BE">
            <w:pPr>
              <w:rPr>
                <w:rFonts w:cs="Arial"/>
                <w:sz w:val="18"/>
                <w:szCs w:val="18"/>
              </w:rPr>
            </w:pPr>
          </w:p>
        </w:tc>
        <w:tc>
          <w:tcPr>
            <w:tcW w:w="1843" w:type="dxa"/>
          </w:tcPr>
          <w:p w14:paraId="055A1F2E" w14:textId="35CBB229" w:rsidR="005A49BE" w:rsidRPr="00663746" w:rsidRDefault="005A49BE" w:rsidP="005A49BE">
            <w:pPr>
              <w:tabs>
                <w:tab w:val="decimal" w:pos="1426"/>
              </w:tabs>
              <w:ind w:right="-144"/>
              <w:rPr>
                <w:rFonts w:cs="Arial"/>
                <w:sz w:val="18"/>
                <w:szCs w:val="18"/>
                <w:u w:val="single"/>
              </w:rPr>
            </w:pPr>
            <w:r w:rsidRPr="7821F417">
              <w:rPr>
                <w:rFonts w:cs="Arial"/>
                <w:sz w:val="18"/>
                <w:szCs w:val="18"/>
                <w:u w:val="single"/>
              </w:rPr>
              <w:t>                  </w:t>
            </w:r>
          </w:p>
        </w:tc>
        <w:tc>
          <w:tcPr>
            <w:tcW w:w="1559" w:type="dxa"/>
          </w:tcPr>
          <w:p w14:paraId="6D6AD245" w14:textId="2F640E3F" w:rsidR="005A49BE" w:rsidRPr="00663746" w:rsidRDefault="005A49BE" w:rsidP="005A49BE">
            <w:pPr>
              <w:tabs>
                <w:tab w:val="decimal" w:pos="1426"/>
              </w:tabs>
              <w:ind w:right="-144"/>
              <w:rPr>
                <w:rFonts w:cs="Arial"/>
                <w:sz w:val="18"/>
                <w:szCs w:val="18"/>
              </w:rPr>
            </w:pPr>
            <w:r w:rsidRPr="7821F417">
              <w:rPr>
                <w:rFonts w:cs="Arial"/>
                <w:sz w:val="18"/>
                <w:szCs w:val="18"/>
                <w:u w:val="single"/>
              </w:rPr>
              <w:t>                  </w:t>
            </w:r>
          </w:p>
        </w:tc>
        <w:tc>
          <w:tcPr>
            <w:tcW w:w="1559" w:type="dxa"/>
          </w:tcPr>
          <w:p w14:paraId="36118180" w14:textId="46595A4B" w:rsidR="005A49BE" w:rsidRPr="00663746" w:rsidRDefault="005A49BE" w:rsidP="005A49BE">
            <w:pPr>
              <w:tabs>
                <w:tab w:val="decimal" w:pos="1426"/>
              </w:tabs>
              <w:ind w:right="-144"/>
              <w:rPr>
                <w:rFonts w:cs="Arial"/>
                <w:sz w:val="18"/>
                <w:szCs w:val="18"/>
                <w:u w:val="single"/>
              </w:rPr>
            </w:pPr>
            <w:r w:rsidRPr="7821F417">
              <w:rPr>
                <w:rFonts w:cs="Arial"/>
                <w:sz w:val="18"/>
                <w:szCs w:val="18"/>
                <w:u w:val="single"/>
              </w:rPr>
              <w:t>                  </w:t>
            </w:r>
          </w:p>
        </w:tc>
        <w:tc>
          <w:tcPr>
            <w:tcW w:w="1559" w:type="dxa"/>
          </w:tcPr>
          <w:p w14:paraId="58A1DCA5" w14:textId="62BF810A" w:rsidR="005A49BE" w:rsidRPr="00663746" w:rsidRDefault="005A49BE" w:rsidP="005A49BE">
            <w:pPr>
              <w:tabs>
                <w:tab w:val="decimal" w:pos="1426"/>
              </w:tabs>
              <w:ind w:right="-144"/>
              <w:rPr>
                <w:rFonts w:cs="Arial"/>
                <w:sz w:val="18"/>
                <w:szCs w:val="18"/>
                <w:u w:val="single"/>
              </w:rPr>
            </w:pPr>
            <w:r w:rsidRPr="7821F417">
              <w:rPr>
                <w:rFonts w:cs="Arial"/>
                <w:sz w:val="18"/>
                <w:szCs w:val="18"/>
                <w:u w:val="single"/>
              </w:rPr>
              <w:t>                  </w:t>
            </w:r>
          </w:p>
        </w:tc>
        <w:tc>
          <w:tcPr>
            <w:tcW w:w="1560" w:type="dxa"/>
          </w:tcPr>
          <w:p w14:paraId="549A9B47" w14:textId="3A808D7E" w:rsidR="005A49BE" w:rsidRPr="00663746" w:rsidRDefault="005A49BE" w:rsidP="005A49BE">
            <w:pPr>
              <w:tabs>
                <w:tab w:val="decimal" w:pos="1426"/>
              </w:tabs>
              <w:ind w:right="-144"/>
              <w:rPr>
                <w:rFonts w:cs="Arial"/>
                <w:sz w:val="18"/>
                <w:szCs w:val="18"/>
              </w:rPr>
            </w:pPr>
            <w:r w:rsidRPr="7821F417">
              <w:rPr>
                <w:rFonts w:cs="Arial"/>
                <w:sz w:val="18"/>
                <w:szCs w:val="18"/>
                <w:u w:val="single"/>
              </w:rPr>
              <w:t>                  </w:t>
            </w:r>
          </w:p>
        </w:tc>
        <w:tc>
          <w:tcPr>
            <w:tcW w:w="1559" w:type="dxa"/>
          </w:tcPr>
          <w:p w14:paraId="4A43DDDD" w14:textId="32DFDA74" w:rsidR="005A49BE" w:rsidRPr="00663746" w:rsidRDefault="005A49BE" w:rsidP="005A49BE">
            <w:pPr>
              <w:tabs>
                <w:tab w:val="decimal" w:pos="1426"/>
              </w:tabs>
              <w:ind w:right="-144"/>
              <w:rPr>
                <w:rFonts w:cs="Arial"/>
                <w:sz w:val="18"/>
                <w:szCs w:val="18"/>
                <w:u w:val="single"/>
              </w:rPr>
            </w:pPr>
            <w:r w:rsidRPr="7821F417">
              <w:rPr>
                <w:rFonts w:cs="Arial"/>
                <w:sz w:val="18"/>
                <w:szCs w:val="18"/>
                <w:u w:val="single"/>
              </w:rPr>
              <w:t>                  </w:t>
            </w:r>
          </w:p>
        </w:tc>
        <w:tc>
          <w:tcPr>
            <w:tcW w:w="1559" w:type="dxa"/>
          </w:tcPr>
          <w:p w14:paraId="28A356C8" w14:textId="4BE39C08" w:rsidR="005A49BE" w:rsidRPr="00663746" w:rsidRDefault="005A49BE" w:rsidP="005A49BE">
            <w:pPr>
              <w:tabs>
                <w:tab w:val="decimal" w:pos="1426"/>
              </w:tabs>
              <w:ind w:right="-144"/>
              <w:rPr>
                <w:rFonts w:cs="Arial"/>
                <w:sz w:val="18"/>
                <w:szCs w:val="18"/>
              </w:rPr>
            </w:pPr>
            <w:r w:rsidRPr="7821F417">
              <w:rPr>
                <w:rFonts w:cs="Arial"/>
                <w:sz w:val="18"/>
                <w:szCs w:val="18"/>
                <w:u w:val="single"/>
              </w:rPr>
              <w:t>                  </w:t>
            </w:r>
          </w:p>
        </w:tc>
        <w:tc>
          <w:tcPr>
            <w:tcW w:w="1559" w:type="dxa"/>
          </w:tcPr>
          <w:p w14:paraId="1D44F4ED" w14:textId="077799E0" w:rsidR="005A49BE" w:rsidRPr="00663746" w:rsidRDefault="005A49BE" w:rsidP="005A49BE">
            <w:pPr>
              <w:tabs>
                <w:tab w:val="decimal" w:pos="1426"/>
              </w:tabs>
              <w:ind w:right="-144"/>
              <w:rPr>
                <w:rFonts w:cs="Arial"/>
                <w:sz w:val="18"/>
                <w:szCs w:val="18"/>
              </w:rPr>
            </w:pPr>
            <w:r w:rsidRPr="7821F417">
              <w:rPr>
                <w:rFonts w:cs="Arial"/>
                <w:sz w:val="18"/>
                <w:szCs w:val="18"/>
                <w:u w:val="single"/>
              </w:rPr>
              <w:t>                  </w:t>
            </w:r>
          </w:p>
        </w:tc>
      </w:tr>
      <w:tr w:rsidR="005A49BE" w:rsidRPr="00670755" w14:paraId="6CEE174B" w14:textId="77777777" w:rsidTr="00A256E7">
        <w:tc>
          <w:tcPr>
            <w:tcW w:w="3392" w:type="dxa"/>
          </w:tcPr>
          <w:p w14:paraId="12C50BD4" w14:textId="77777777" w:rsidR="005A49BE" w:rsidRPr="00663746" w:rsidRDefault="005A49BE" w:rsidP="005A49BE">
            <w:pPr>
              <w:rPr>
                <w:rFonts w:cs="Arial"/>
                <w:sz w:val="18"/>
                <w:szCs w:val="18"/>
              </w:rPr>
            </w:pPr>
          </w:p>
        </w:tc>
        <w:tc>
          <w:tcPr>
            <w:tcW w:w="1843" w:type="dxa"/>
          </w:tcPr>
          <w:p w14:paraId="2C637B8A" w14:textId="77777777" w:rsidR="005A49BE" w:rsidRPr="00663746" w:rsidRDefault="005A49BE" w:rsidP="005A49BE">
            <w:pPr>
              <w:tabs>
                <w:tab w:val="decimal" w:pos="1426"/>
              </w:tabs>
              <w:ind w:right="-144"/>
              <w:rPr>
                <w:rFonts w:cs="Arial"/>
                <w:sz w:val="18"/>
                <w:szCs w:val="18"/>
              </w:rPr>
            </w:pPr>
          </w:p>
        </w:tc>
        <w:tc>
          <w:tcPr>
            <w:tcW w:w="1559" w:type="dxa"/>
          </w:tcPr>
          <w:p w14:paraId="7F872775" w14:textId="77777777" w:rsidR="005A49BE" w:rsidRPr="00663746" w:rsidRDefault="005A49BE" w:rsidP="005A49BE">
            <w:pPr>
              <w:tabs>
                <w:tab w:val="decimal" w:pos="1426"/>
              </w:tabs>
              <w:ind w:right="-144"/>
              <w:rPr>
                <w:rFonts w:cs="Arial"/>
                <w:sz w:val="18"/>
                <w:szCs w:val="18"/>
              </w:rPr>
            </w:pPr>
          </w:p>
        </w:tc>
        <w:tc>
          <w:tcPr>
            <w:tcW w:w="1559" w:type="dxa"/>
          </w:tcPr>
          <w:p w14:paraId="7F01BAE5" w14:textId="77777777" w:rsidR="005A49BE" w:rsidRPr="00663746" w:rsidRDefault="005A49BE" w:rsidP="005A49BE">
            <w:pPr>
              <w:tabs>
                <w:tab w:val="decimal" w:pos="1426"/>
              </w:tabs>
              <w:ind w:right="-144"/>
              <w:rPr>
                <w:rFonts w:cs="Arial"/>
                <w:sz w:val="18"/>
                <w:szCs w:val="18"/>
              </w:rPr>
            </w:pPr>
          </w:p>
        </w:tc>
        <w:tc>
          <w:tcPr>
            <w:tcW w:w="1559" w:type="dxa"/>
          </w:tcPr>
          <w:p w14:paraId="006BEC17" w14:textId="77777777" w:rsidR="005A49BE" w:rsidRPr="00663746" w:rsidRDefault="005A49BE" w:rsidP="005A49BE">
            <w:pPr>
              <w:tabs>
                <w:tab w:val="decimal" w:pos="1426"/>
              </w:tabs>
              <w:ind w:right="-144"/>
              <w:rPr>
                <w:rFonts w:cs="Arial"/>
                <w:sz w:val="18"/>
                <w:szCs w:val="18"/>
              </w:rPr>
            </w:pPr>
          </w:p>
        </w:tc>
        <w:tc>
          <w:tcPr>
            <w:tcW w:w="1560" w:type="dxa"/>
          </w:tcPr>
          <w:p w14:paraId="474CDC70" w14:textId="77777777" w:rsidR="005A49BE" w:rsidRPr="00663746" w:rsidRDefault="005A49BE" w:rsidP="005A49BE">
            <w:pPr>
              <w:tabs>
                <w:tab w:val="decimal" w:pos="1426"/>
              </w:tabs>
              <w:ind w:right="-144"/>
              <w:rPr>
                <w:rFonts w:cs="Arial"/>
                <w:sz w:val="18"/>
                <w:szCs w:val="18"/>
              </w:rPr>
            </w:pPr>
          </w:p>
        </w:tc>
        <w:tc>
          <w:tcPr>
            <w:tcW w:w="1559" w:type="dxa"/>
          </w:tcPr>
          <w:p w14:paraId="6AB1835C" w14:textId="77777777" w:rsidR="005A49BE" w:rsidRPr="00663746" w:rsidRDefault="005A49BE" w:rsidP="005A49BE">
            <w:pPr>
              <w:tabs>
                <w:tab w:val="decimal" w:pos="1426"/>
              </w:tabs>
              <w:ind w:right="-144"/>
              <w:rPr>
                <w:rFonts w:cs="Arial"/>
                <w:sz w:val="18"/>
                <w:szCs w:val="18"/>
              </w:rPr>
            </w:pPr>
          </w:p>
        </w:tc>
        <w:tc>
          <w:tcPr>
            <w:tcW w:w="1559" w:type="dxa"/>
          </w:tcPr>
          <w:p w14:paraId="37096173" w14:textId="77777777" w:rsidR="005A49BE" w:rsidRPr="00663746" w:rsidRDefault="005A49BE" w:rsidP="005A49BE">
            <w:pPr>
              <w:tabs>
                <w:tab w:val="decimal" w:pos="1426"/>
              </w:tabs>
              <w:ind w:right="-144"/>
              <w:rPr>
                <w:rFonts w:cs="Arial"/>
                <w:sz w:val="18"/>
                <w:szCs w:val="18"/>
              </w:rPr>
            </w:pPr>
          </w:p>
        </w:tc>
        <w:tc>
          <w:tcPr>
            <w:tcW w:w="1559" w:type="dxa"/>
          </w:tcPr>
          <w:p w14:paraId="7DEC4A5F" w14:textId="77777777" w:rsidR="005A49BE" w:rsidRPr="00663746" w:rsidRDefault="005A49BE" w:rsidP="005A49BE">
            <w:pPr>
              <w:tabs>
                <w:tab w:val="decimal" w:pos="1426"/>
              </w:tabs>
              <w:ind w:right="-144"/>
              <w:rPr>
                <w:rFonts w:cs="Arial"/>
                <w:sz w:val="18"/>
                <w:szCs w:val="18"/>
              </w:rPr>
            </w:pPr>
          </w:p>
        </w:tc>
      </w:tr>
      <w:tr w:rsidR="005A49BE" w:rsidRPr="00670755" w14:paraId="6B4F47EF" w14:textId="77777777" w:rsidTr="00A256E7">
        <w:tc>
          <w:tcPr>
            <w:tcW w:w="3392" w:type="dxa"/>
          </w:tcPr>
          <w:p w14:paraId="050090F6" w14:textId="77777777" w:rsidR="005A49BE" w:rsidRPr="00663746" w:rsidRDefault="005A49BE" w:rsidP="005A49BE">
            <w:pPr>
              <w:rPr>
                <w:rFonts w:cs="Arial"/>
                <w:b/>
                <w:sz w:val="18"/>
                <w:szCs w:val="18"/>
              </w:rPr>
            </w:pPr>
            <w:r w:rsidRPr="00663746">
              <w:rPr>
                <w:rFonts w:cs="Arial"/>
                <w:b/>
                <w:sz w:val="18"/>
                <w:szCs w:val="18"/>
              </w:rPr>
              <w:t>Transactions with owners of the Company</w:t>
            </w:r>
          </w:p>
        </w:tc>
        <w:tc>
          <w:tcPr>
            <w:tcW w:w="1843" w:type="dxa"/>
          </w:tcPr>
          <w:p w14:paraId="01C5D276" w14:textId="77777777" w:rsidR="005A49BE" w:rsidRPr="00663746" w:rsidRDefault="005A49BE" w:rsidP="005A49BE">
            <w:pPr>
              <w:tabs>
                <w:tab w:val="decimal" w:pos="1426"/>
              </w:tabs>
              <w:ind w:right="-144"/>
              <w:rPr>
                <w:rFonts w:cs="Arial"/>
                <w:sz w:val="18"/>
                <w:szCs w:val="18"/>
              </w:rPr>
            </w:pPr>
          </w:p>
        </w:tc>
        <w:tc>
          <w:tcPr>
            <w:tcW w:w="1559" w:type="dxa"/>
          </w:tcPr>
          <w:p w14:paraId="1D27A8F9" w14:textId="77777777" w:rsidR="005A49BE" w:rsidRPr="00663746" w:rsidRDefault="005A49BE" w:rsidP="005A49BE">
            <w:pPr>
              <w:tabs>
                <w:tab w:val="decimal" w:pos="1426"/>
              </w:tabs>
              <w:ind w:right="-144"/>
              <w:rPr>
                <w:rFonts w:cs="Arial"/>
                <w:sz w:val="18"/>
                <w:szCs w:val="18"/>
              </w:rPr>
            </w:pPr>
          </w:p>
        </w:tc>
        <w:tc>
          <w:tcPr>
            <w:tcW w:w="1559" w:type="dxa"/>
          </w:tcPr>
          <w:p w14:paraId="158A2377" w14:textId="77777777" w:rsidR="005A49BE" w:rsidRPr="00663746" w:rsidRDefault="005A49BE" w:rsidP="005A49BE">
            <w:pPr>
              <w:tabs>
                <w:tab w:val="decimal" w:pos="1426"/>
              </w:tabs>
              <w:ind w:right="-144"/>
              <w:rPr>
                <w:rFonts w:cs="Arial"/>
                <w:sz w:val="18"/>
                <w:szCs w:val="18"/>
              </w:rPr>
            </w:pPr>
          </w:p>
        </w:tc>
        <w:tc>
          <w:tcPr>
            <w:tcW w:w="1559" w:type="dxa"/>
          </w:tcPr>
          <w:p w14:paraId="6F7F4FE3" w14:textId="77777777" w:rsidR="005A49BE" w:rsidRPr="00663746" w:rsidRDefault="005A49BE" w:rsidP="005A49BE">
            <w:pPr>
              <w:tabs>
                <w:tab w:val="decimal" w:pos="1426"/>
              </w:tabs>
              <w:ind w:right="-144"/>
              <w:rPr>
                <w:rFonts w:cs="Arial"/>
                <w:sz w:val="18"/>
                <w:szCs w:val="18"/>
              </w:rPr>
            </w:pPr>
          </w:p>
        </w:tc>
        <w:tc>
          <w:tcPr>
            <w:tcW w:w="1560" w:type="dxa"/>
          </w:tcPr>
          <w:p w14:paraId="0228B87F" w14:textId="77777777" w:rsidR="005A49BE" w:rsidRPr="00663746" w:rsidRDefault="005A49BE" w:rsidP="005A49BE">
            <w:pPr>
              <w:tabs>
                <w:tab w:val="decimal" w:pos="1426"/>
              </w:tabs>
              <w:ind w:right="-144"/>
              <w:rPr>
                <w:rFonts w:cs="Arial"/>
                <w:sz w:val="18"/>
                <w:szCs w:val="18"/>
              </w:rPr>
            </w:pPr>
          </w:p>
        </w:tc>
        <w:tc>
          <w:tcPr>
            <w:tcW w:w="1559" w:type="dxa"/>
          </w:tcPr>
          <w:p w14:paraId="6F3A8B85" w14:textId="77777777" w:rsidR="005A49BE" w:rsidRPr="00663746" w:rsidRDefault="005A49BE" w:rsidP="005A49BE">
            <w:pPr>
              <w:tabs>
                <w:tab w:val="decimal" w:pos="1426"/>
              </w:tabs>
              <w:ind w:right="-144"/>
              <w:rPr>
                <w:rFonts w:cs="Arial"/>
                <w:sz w:val="18"/>
                <w:szCs w:val="18"/>
              </w:rPr>
            </w:pPr>
          </w:p>
        </w:tc>
        <w:tc>
          <w:tcPr>
            <w:tcW w:w="1559" w:type="dxa"/>
          </w:tcPr>
          <w:p w14:paraId="34074DAD" w14:textId="77777777" w:rsidR="005A49BE" w:rsidRPr="00663746" w:rsidRDefault="005A49BE" w:rsidP="005A49BE">
            <w:pPr>
              <w:tabs>
                <w:tab w:val="decimal" w:pos="1426"/>
              </w:tabs>
              <w:ind w:right="-144"/>
              <w:rPr>
                <w:rFonts w:cs="Arial"/>
                <w:sz w:val="18"/>
                <w:szCs w:val="18"/>
              </w:rPr>
            </w:pPr>
          </w:p>
        </w:tc>
        <w:tc>
          <w:tcPr>
            <w:tcW w:w="1559" w:type="dxa"/>
          </w:tcPr>
          <w:p w14:paraId="173BC708" w14:textId="77777777" w:rsidR="005A49BE" w:rsidRPr="00663746" w:rsidRDefault="005A49BE" w:rsidP="005A49BE">
            <w:pPr>
              <w:tabs>
                <w:tab w:val="decimal" w:pos="1426"/>
              </w:tabs>
              <w:ind w:right="-144"/>
              <w:rPr>
                <w:rFonts w:cs="Arial"/>
                <w:sz w:val="18"/>
                <w:szCs w:val="18"/>
              </w:rPr>
            </w:pPr>
          </w:p>
        </w:tc>
      </w:tr>
      <w:tr w:rsidR="00194B92" w:rsidRPr="00670755" w14:paraId="6119421D" w14:textId="77777777" w:rsidTr="00A256E7">
        <w:tc>
          <w:tcPr>
            <w:tcW w:w="3392" w:type="dxa"/>
          </w:tcPr>
          <w:p w14:paraId="5B878758" w14:textId="77777777" w:rsidR="00194B92" w:rsidRPr="00663746" w:rsidRDefault="00194B92" w:rsidP="00194B92">
            <w:pPr>
              <w:ind w:right="-144"/>
              <w:rPr>
                <w:rFonts w:cs="Arial"/>
                <w:sz w:val="18"/>
                <w:szCs w:val="18"/>
              </w:rPr>
            </w:pPr>
            <w:r w:rsidRPr="00663746">
              <w:rPr>
                <w:rFonts w:cs="Arial"/>
                <w:sz w:val="18"/>
                <w:szCs w:val="18"/>
              </w:rPr>
              <w:t>Equity-settled share-based payments</w:t>
            </w:r>
          </w:p>
        </w:tc>
        <w:tc>
          <w:tcPr>
            <w:tcW w:w="1843" w:type="dxa"/>
          </w:tcPr>
          <w:p w14:paraId="79602DFB" w14:textId="0C1E7C65"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59" w:type="dxa"/>
          </w:tcPr>
          <w:p w14:paraId="79D0EF6A" w14:textId="1E10AD13"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59" w:type="dxa"/>
          </w:tcPr>
          <w:p w14:paraId="5F7DB1D0" w14:textId="3CE405B4"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59" w:type="dxa"/>
          </w:tcPr>
          <w:p w14:paraId="741B5F96" w14:textId="42A113B1"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60" w:type="dxa"/>
          </w:tcPr>
          <w:p w14:paraId="592EF454" w14:textId="3938E096" w:rsidR="00194B92" w:rsidRPr="00663746" w:rsidRDefault="00194B92" w:rsidP="00194B92">
            <w:pPr>
              <w:tabs>
                <w:tab w:val="decimal" w:pos="1426"/>
              </w:tabs>
              <w:ind w:right="-144"/>
              <w:rPr>
                <w:rFonts w:cs="Arial"/>
                <w:b/>
                <w:sz w:val="18"/>
                <w:szCs w:val="18"/>
              </w:rPr>
            </w:pPr>
            <w:r>
              <w:rPr>
                <w:rFonts w:cs="Arial"/>
                <w:b/>
                <w:sz w:val="18"/>
                <w:szCs w:val="18"/>
              </w:rPr>
              <w:t>1,523</w:t>
            </w:r>
          </w:p>
        </w:tc>
        <w:tc>
          <w:tcPr>
            <w:tcW w:w="1559" w:type="dxa"/>
          </w:tcPr>
          <w:p w14:paraId="796017A6" w14:textId="408E9121"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59" w:type="dxa"/>
          </w:tcPr>
          <w:p w14:paraId="7678330A" w14:textId="33A59B7E"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59" w:type="dxa"/>
          </w:tcPr>
          <w:p w14:paraId="7C4AEAA9" w14:textId="1EB833AB" w:rsidR="00194B92" w:rsidRPr="00663746" w:rsidRDefault="00194B92" w:rsidP="00194B92">
            <w:pPr>
              <w:tabs>
                <w:tab w:val="decimal" w:pos="1426"/>
              </w:tabs>
              <w:ind w:right="-144"/>
              <w:rPr>
                <w:rFonts w:cs="Arial"/>
                <w:b/>
                <w:sz w:val="18"/>
                <w:szCs w:val="18"/>
              </w:rPr>
            </w:pPr>
            <w:r>
              <w:rPr>
                <w:rFonts w:cs="Arial"/>
                <w:b/>
                <w:sz w:val="18"/>
                <w:szCs w:val="18"/>
              </w:rPr>
              <w:t>1,523</w:t>
            </w:r>
          </w:p>
        </w:tc>
      </w:tr>
      <w:tr w:rsidR="00194B92" w:rsidRPr="00670755" w14:paraId="5890B06F" w14:textId="77777777" w:rsidTr="00A256E7">
        <w:tc>
          <w:tcPr>
            <w:tcW w:w="3392" w:type="dxa"/>
          </w:tcPr>
          <w:p w14:paraId="1532F800" w14:textId="7E06E2F2" w:rsidR="00194B92" w:rsidRPr="00663746" w:rsidRDefault="00194B92" w:rsidP="00194B92">
            <w:pPr>
              <w:ind w:right="-144"/>
              <w:rPr>
                <w:rFonts w:cs="Arial"/>
                <w:sz w:val="18"/>
                <w:szCs w:val="18"/>
              </w:rPr>
            </w:pPr>
            <w:r>
              <w:rPr>
                <w:rFonts w:cs="Arial"/>
                <w:sz w:val="18"/>
                <w:szCs w:val="18"/>
              </w:rPr>
              <w:t>Exercise of options</w:t>
            </w:r>
          </w:p>
        </w:tc>
        <w:tc>
          <w:tcPr>
            <w:tcW w:w="1843" w:type="dxa"/>
          </w:tcPr>
          <w:p w14:paraId="5F60DC2F" w14:textId="55D08167" w:rsidR="00194B92" w:rsidRPr="7821F417" w:rsidRDefault="00194B92" w:rsidP="00194B92">
            <w:pPr>
              <w:tabs>
                <w:tab w:val="decimal" w:pos="1426"/>
              </w:tabs>
              <w:ind w:right="-144"/>
              <w:rPr>
                <w:rFonts w:cs="Arial"/>
                <w:b/>
                <w:bCs/>
                <w:sz w:val="18"/>
                <w:szCs w:val="18"/>
              </w:rPr>
            </w:pPr>
            <w:r>
              <w:rPr>
                <w:rFonts w:cs="Arial"/>
                <w:b/>
                <w:sz w:val="18"/>
                <w:szCs w:val="18"/>
              </w:rPr>
              <w:t>2</w:t>
            </w:r>
          </w:p>
        </w:tc>
        <w:tc>
          <w:tcPr>
            <w:tcW w:w="1559" w:type="dxa"/>
          </w:tcPr>
          <w:p w14:paraId="21EBDC28" w14:textId="3789F39D" w:rsidR="00194B92" w:rsidRPr="7821F417" w:rsidRDefault="00194B92" w:rsidP="00194B92">
            <w:pPr>
              <w:tabs>
                <w:tab w:val="decimal" w:pos="1426"/>
              </w:tabs>
              <w:ind w:right="-144"/>
              <w:rPr>
                <w:rFonts w:cs="Arial"/>
                <w:b/>
                <w:bCs/>
                <w:sz w:val="18"/>
                <w:szCs w:val="18"/>
              </w:rPr>
            </w:pPr>
            <w:r w:rsidRPr="00AA34BF">
              <w:rPr>
                <w:rFonts w:cs="Arial"/>
                <w:b/>
                <w:sz w:val="18"/>
                <w:szCs w:val="18"/>
              </w:rPr>
              <w:t>-</w:t>
            </w:r>
          </w:p>
        </w:tc>
        <w:tc>
          <w:tcPr>
            <w:tcW w:w="1559" w:type="dxa"/>
          </w:tcPr>
          <w:p w14:paraId="70699F47" w14:textId="1C736409" w:rsidR="00194B92" w:rsidRPr="7821F417" w:rsidRDefault="00194B92" w:rsidP="00194B92">
            <w:pPr>
              <w:tabs>
                <w:tab w:val="decimal" w:pos="1426"/>
              </w:tabs>
              <w:ind w:right="-144"/>
              <w:rPr>
                <w:rFonts w:cs="Arial"/>
                <w:b/>
                <w:bCs/>
                <w:sz w:val="18"/>
                <w:szCs w:val="18"/>
              </w:rPr>
            </w:pPr>
            <w:r w:rsidRPr="00AA34BF">
              <w:rPr>
                <w:rFonts w:cs="Arial"/>
                <w:b/>
                <w:sz w:val="18"/>
                <w:szCs w:val="18"/>
              </w:rPr>
              <w:t>-</w:t>
            </w:r>
          </w:p>
        </w:tc>
        <w:tc>
          <w:tcPr>
            <w:tcW w:w="1559" w:type="dxa"/>
          </w:tcPr>
          <w:p w14:paraId="1F106234" w14:textId="29E94082" w:rsidR="00194B92" w:rsidRPr="7821F417" w:rsidRDefault="00194B92" w:rsidP="00194B92">
            <w:pPr>
              <w:tabs>
                <w:tab w:val="decimal" w:pos="1426"/>
              </w:tabs>
              <w:ind w:right="-144"/>
              <w:rPr>
                <w:rFonts w:cs="Arial"/>
                <w:b/>
                <w:bCs/>
                <w:sz w:val="18"/>
                <w:szCs w:val="18"/>
              </w:rPr>
            </w:pPr>
            <w:r>
              <w:rPr>
                <w:rFonts w:cs="Arial"/>
                <w:b/>
                <w:sz w:val="18"/>
                <w:szCs w:val="18"/>
              </w:rPr>
              <w:t>38</w:t>
            </w:r>
          </w:p>
        </w:tc>
        <w:tc>
          <w:tcPr>
            <w:tcW w:w="1560" w:type="dxa"/>
          </w:tcPr>
          <w:p w14:paraId="52941EA9" w14:textId="1A6E714A" w:rsidR="00194B92" w:rsidRPr="7821F417" w:rsidRDefault="00194B92" w:rsidP="00194B92">
            <w:pPr>
              <w:tabs>
                <w:tab w:val="decimal" w:pos="1426"/>
              </w:tabs>
              <w:ind w:right="-144"/>
              <w:rPr>
                <w:rFonts w:cs="Arial"/>
                <w:b/>
                <w:bCs/>
                <w:sz w:val="18"/>
                <w:szCs w:val="18"/>
              </w:rPr>
            </w:pPr>
            <w:r w:rsidRPr="00AA34BF">
              <w:rPr>
                <w:rFonts w:cs="Arial"/>
                <w:b/>
                <w:sz w:val="18"/>
                <w:szCs w:val="18"/>
              </w:rPr>
              <w:t>-</w:t>
            </w:r>
          </w:p>
        </w:tc>
        <w:tc>
          <w:tcPr>
            <w:tcW w:w="1559" w:type="dxa"/>
          </w:tcPr>
          <w:p w14:paraId="176914F6" w14:textId="13323DDB" w:rsidR="00194B92" w:rsidRDefault="00194B92" w:rsidP="00194B92">
            <w:pPr>
              <w:tabs>
                <w:tab w:val="decimal" w:pos="1426"/>
              </w:tabs>
              <w:ind w:right="-144"/>
              <w:rPr>
                <w:rFonts w:cs="Arial"/>
                <w:b/>
                <w:bCs/>
                <w:sz w:val="18"/>
                <w:szCs w:val="18"/>
              </w:rPr>
            </w:pPr>
            <w:r w:rsidRPr="00AA34BF">
              <w:rPr>
                <w:rFonts w:cs="Arial"/>
                <w:b/>
                <w:sz w:val="18"/>
                <w:szCs w:val="18"/>
              </w:rPr>
              <w:t>-</w:t>
            </w:r>
          </w:p>
        </w:tc>
        <w:tc>
          <w:tcPr>
            <w:tcW w:w="1559" w:type="dxa"/>
          </w:tcPr>
          <w:p w14:paraId="3555D37F" w14:textId="6B4E843B" w:rsidR="00194B92" w:rsidRPr="7821F417" w:rsidRDefault="00194B92" w:rsidP="00194B92">
            <w:pPr>
              <w:tabs>
                <w:tab w:val="decimal" w:pos="1426"/>
              </w:tabs>
              <w:ind w:right="-144"/>
              <w:rPr>
                <w:rFonts w:cs="Arial"/>
                <w:b/>
                <w:bCs/>
                <w:sz w:val="18"/>
                <w:szCs w:val="18"/>
              </w:rPr>
            </w:pPr>
            <w:r w:rsidRPr="00AA34BF">
              <w:rPr>
                <w:rFonts w:cs="Arial"/>
                <w:b/>
                <w:sz w:val="18"/>
                <w:szCs w:val="18"/>
              </w:rPr>
              <w:t>-</w:t>
            </w:r>
          </w:p>
        </w:tc>
        <w:tc>
          <w:tcPr>
            <w:tcW w:w="1559" w:type="dxa"/>
          </w:tcPr>
          <w:p w14:paraId="389F7678" w14:textId="5F2736DD" w:rsidR="00194B92" w:rsidRDefault="00194B92" w:rsidP="00194B92">
            <w:pPr>
              <w:tabs>
                <w:tab w:val="decimal" w:pos="1426"/>
              </w:tabs>
              <w:ind w:right="-144"/>
              <w:rPr>
                <w:rFonts w:cs="Arial"/>
                <w:b/>
                <w:bCs/>
                <w:sz w:val="18"/>
                <w:szCs w:val="18"/>
              </w:rPr>
            </w:pPr>
            <w:r>
              <w:rPr>
                <w:rFonts w:cs="Arial"/>
                <w:b/>
                <w:sz w:val="18"/>
                <w:szCs w:val="18"/>
              </w:rPr>
              <w:t>40</w:t>
            </w:r>
          </w:p>
        </w:tc>
      </w:tr>
      <w:tr w:rsidR="00194B92" w:rsidRPr="00670755" w14:paraId="31587E34" w14:textId="77777777" w:rsidTr="00A256E7">
        <w:tc>
          <w:tcPr>
            <w:tcW w:w="3392" w:type="dxa"/>
          </w:tcPr>
          <w:p w14:paraId="7C5D8BBC" w14:textId="00489B5C" w:rsidR="00194B92" w:rsidRDefault="00194B92" w:rsidP="00194B92">
            <w:pPr>
              <w:ind w:right="-144"/>
              <w:rPr>
                <w:rFonts w:cs="Arial"/>
                <w:sz w:val="18"/>
                <w:szCs w:val="18"/>
              </w:rPr>
            </w:pPr>
            <w:r>
              <w:rPr>
                <w:rFonts w:cs="Arial"/>
                <w:sz w:val="18"/>
                <w:szCs w:val="18"/>
              </w:rPr>
              <w:t>Lapsed share options</w:t>
            </w:r>
          </w:p>
        </w:tc>
        <w:tc>
          <w:tcPr>
            <w:tcW w:w="1843" w:type="dxa"/>
          </w:tcPr>
          <w:p w14:paraId="2BC6ADF9" w14:textId="7E70A6D4" w:rsidR="00194B92" w:rsidRPr="00AA34BF" w:rsidRDefault="00194B92" w:rsidP="00194B92">
            <w:pPr>
              <w:tabs>
                <w:tab w:val="decimal" w:pos="1426"/>
              </w:tabs>
              <w:ind w:right="-144"/>
              <w:rPr>
                <w:rFonts w:cs="Arial"/>
                <w:b/>
                <w:sz w:val="18"/>
                <w:szCs w:val="18"/>
              </w:rPr>
            </w:pPr>
            <w:r>
              <w:rPr>
                <w:rFonts w:cs="Arial"/>
                <w:b/>
                <w:sz w:val="18"/>
                <w:szCs w:val="18"/>
              </w:rPr>
              <w:t>-</w:t>
            </w:r>
          </w:p>
        </w:tc>
        <w:tc>
          <w:tcPr>
            <w:tcW w:w="1559" w:type="dxa"/>
          </w:tcPr>
          <w:p w14:paraId="000CFAE9" w14:textId="42BD1E75" w:rsidR="00194B92" w:rsidRPr="00AA34BF" w:rsidRDefault="00194B92" w:rsidP="00194B92">
            <w:pPr>
              <w:tabs>
                <w:tab w:val="decimal" w:pos="1426"/>
              </w:tabs>
              <w:ind w:right="-144"/>
              <w:rPr>
                <w:rFonts w:cs="Arial"/>
                <w:b/>
                <w:sz w:val="18"/>
                <w:szCs w:val="18"/>
              </w:rPr>
            </w:pPr>
            <w:r>
              <w:rPr>
                <w:rFonts w:cs="Arial"/>
                <w:b/>
                <w:sz w:val="18"/>
                <w:szCs w:val="18"/>
              </w:rPr>
              <w:t>-</w:t>
            </w:r>
          </w:p>
        </w:tc>
        <w:tc>
          <w:tcPr>
            <w:tcW w:w="1559" w:type="dxa"/>
          </w:tcPr>
          <w:p w14:paraId="0D025AC5" w14:textId="6C4649B0" w:rsidR="00194B92" w:rsidRPr="00AA34BF" w:rsidRDefault="00194B92" w:rsidP="00194B92">
            <w:pPr>
              <w:tabs>
                <w:tab w:val="decimal" w:pos="1426"/>
              </w:tabs>
              <w:ind w:right="-144"/>
              <w:rPr>
                <w:rFonts w:cs="Arial"/>
                <w:b/>
                <w:sz w:val="18"/>
                <w:szCs w:val="18"/>
              </w:rPr>
            </w:pPr>
            <w:r>
              <w:rPr>
                <w:rFonts w:cs="Arial"/>
                <w:b/>
                <w:sz w:val="18"/>
                <w:szCs w:val="18"/>
              </w:rPr>
              <w:t>-</w:t>
            </w:r>
          </w:p>
        </w:tc>
        <w:tc>
          <w:tcPr>
            <w:tcW w:w="1559" w:type="dxa"/>
          </w:tcPr>
          <w:p w14:paraId="2E60EBCB" w14:textId="5F85E750" w:rsidR="00194B92" w:rsidRPr="00AA34BF" w:rsidRDefault="00194B92" w:rsidP="00194B92">
            <w:pPr>
              <w:tabs>
                <w:tab w:val="decimal" w:pos="1426"/>
              </w:tabs>
              <w:ind w:right="-144"/>
              <w:rPr>
                <w:rFonts w:cs="Arial"/>
                <w:b/>
                <w:sz w:val="18"/>
                <w:szCs w:val="18"/>
              </w:rPr>
            </w:pPr>
            <w:r>
              <w:rPr>
                <w:rFonts w:cs="Arial"/>
                <w:b/>
                <w:sz w:val="18"/>
                <w:szCs w:val="18"/>
              </w:rPr>
              <w:t>-</w:t>
            </w:r>
          </w:p>
        </w:tc>
        <w:tc>
          <w:tcPr>
            <w:tcW w:w="1560" w:type="dxa"/>
          </w:tcPr>
          <w:p w14:paraId="5742A307" w14:textId="2F07C400" w:rsidR="00194B92" w:rsidRPr="00AA34BF" w:rsidRDefault="00194B92" w:rsidP="00194B92">
            <w:pPr>
              <w:tabs>
                <w:tab w:val="decimal" w:pos="1426"/>
              </w:tabs>
              <w:ind w:right="-144"/>
              <w:rPr>
                <w:rFonts w:cs="Arial"/>
                <w:b/>
                <w:sz w:val="18"/>
                <w:szCs w:val="18"/>
              </w:rPr>
            </w:pPr>
            <w:r>
              <w:rPr>
                <w:rFonts w:cs="Arial"/>
                <w:b/>
                <w:sz w:val="18"/>
                <w:szCs w:val="18"/>
              </w:rPr>
              <w:t>-</w:t>
            </w:r>
          </w:p>
        </w:tc>
        <w:tc>
          <w:tcPr>
            <w:tcW w:w="1559" w:type="dxa"/>
          </w:tcPr>
          <w:p w14:paraId="32753AD4" w14:textId="57F708F8" w:rsidR="00194B92" w:rsidRPr="00AA34BF" w:rsidRDefault="00194B92" w:rsidP="00194B92">
            <w:pPr>
              <w:tabs>
                <w:tab w:val="decimal" w:pos="1426"/>
              </w:tabs>
              <w:ind w:right="-144"/>
              <w:rPr>
                <w:rFonts w:cs="Arial"/>
                <w:b/>
                <w:sz w:val="18"/>
                <w:szCs w:val="18"/>
              </w:rPr>
            </w:pPr>
            <w:r>
              <w:rPr>
                <w:rFonts w:cs="Arial"/>
                <w:b/>
                <w:sz w:val="18"/>
                <w:szCs w:val="18"/>
              </w:rPr>
              <w:t>-</w:t>
            </w:r>
          </w:p>
        </w:tc>
        <w:tc>
          <w:tcPr>
            <w:tcW w:w="1559" w:type="dxa"/>
          </w:tcPr>
          <w:p w14:paraId="565EB773" w14:textId="3B1FEB2F" w:rsidR="00194B92" w:rsidRPr="00AA34BF" w:rsidRDefault="00194B92" w:rsidP="00194B92">
            <w:pPr>
              <w:tabs>
                <w:tab w:val="decimal" w:pos="1426"/>
              </w:tabs>
              <w:ind w:right="-144"/>
              <w:rPr>
                <w:rFonts w:cs="Arial"/>
                <w:b/>
                <w:sz w:val="18"/>
                <w:szCs w:val="18"/>
              </w:rPr>
            </w:pPr>
            <w:r>
              <w:rPr>
                <w:rFonts w:cs="Arial"/>
                <w:b/>
                <w:sz w:val="18"/>
                <w:szCs w:val="18"/>
              </w:rPr>
              <w:t>-</w:t>
            </w:r>
          </w:p>
        </w:tc>
        <w:tc>
          <w:tcPr>
            <w:tcW w:w="1559" w:type="dxa"/>
          </w:tcPr>
          <w:p w14:paraId="0AB087DA" w14:textId="528E42CA" w:rsidR="00194B92" w:rsidRPr="00AA34BF" w:rsidRDefault="00194B92" w:rsidP="00194B92">
            <w:pPr>
              <w:tabs>
                <w:tab w:val="decimal" w:pos="1426"/>
              </w:tabs>
              <w:ind w:right="-144"/>
              <w:rPr>
                <w:rFonts w:cs="Arial"/>
                <w:b/>
                <w:sz w:val="18"/>
                <w:szCs w:val="18"/>
              </w:rPr>
            </w:pPr>
            <w:r>
              <w:rPr>
                <w:rFonts w:cs="Arial"/>
                <w:b/>
                <w:sz w:val="18"/>
                <w:szCs w:val="18"/>
              </w:rPr>
              <w:t>-</w:t>
            </w:r>
          </w:p>
        </w:tc>
      </w:tr>
      <w:tr w:rsidR="00194B92" w:rsidRPr="00670755" w14:paraId="736B52EE" w14:textId="77777777" w:rsidTr="00A256E7">
        <w:tc>
          <w:tcPr>
            <w:tcW w:w="3392" w:type="dxa"/>
          </w:tcPr>
          <w:p w14:paraId="24B2BFFB" w14:textId="301EBA1E" w:rsidR="00194B92" w:rsidRPr="00663746" w:rsidRDefault="00194B92" w:rsidP="00194B92">
            <w:pPr>
              <w:ind w:right="-144"/>
              <w:rPr>
                <w:rFonts w:cs="Arial"/>
                <w:sz w:val="18"/>
                <w:szCs w:val="18"/>
              </w:rPr>
            </w:pPr>
            <w:r w:rsidRPr="00663746">
              <w:rPr>
                <w:rFonts w:cs="Arial"/>
                <w:sz w:val="18"/>
                <w:szCs w:val="18"/>
              </w:rPr>
              <w:t>Purchase of own shares (Note 1</w:t>
            </w:r>
            <w:r>
              <w:rPr>
                <w:rFonts w:cs="Arial"/>
                <w:sz w:val="18"/>
                <w:szCs w:val="18"/>
              </w:rPr>
              <w:t>3</w:t>
            </w:r>
            <w:r w:rsidRPr="00663746">
              <w:rPr>
                <w:rFonts w:cs="Arial"/>
                <w:sz w:val="18"/>
                <w:szCs w:val="18"/>
              </w:rPr>
              <w:t>)</w:t>
            </w:r>
            <w:r>
              <w:rPr>
                <w:rFonts w:cs="Arial"/>
                <w:sz w:val="18"/>
                <w:szCs w:val="18"/>
              </w:rPr>
              <w:t xml:space="preserve"> </w:t>
            </w:r>
          </w:p>
        </w:tc>
        <w:tc>
          <w:tcPr>
            <w:tcW w:w="1843" w:type="dxa"/>
          </w:tcPr>
          <w:p w14:paraId="787BD899" w14:textId="77216D3D" w:rsidR="00194B92" w:rsidRPr="00663746" w:rsidRDefault="00194B92" w:rsidP="00194B92">
            <w:pPr>
              <w:tabs>
                <w:tab w:val="decimal" w:pos="1426"/>
              </w:tabs>
              <w:ind w:right="-144"/>
              <w:rPr>
                <w:rFonts w:cs="Arial"/>
                <w:b/>
                <w:sz w:val="18"/>
                <w:szCs w:val="18"/>
              </w:rPr>
            </w:pPr>
            <w:r>
              <w:rPr>
                <w:rFonts w:cs="Arial"/>
                <w:b/>
                <w:sz w:val="18"/>
                <w:szCs w:val="18"/>
              </w:rPr>
              <w:t>-</w:t>
            </w:r>
          </w:p>
        </w:tc>
        <w:tc>
          <w:tcPr>
            <w:tcW w:w="1559" w:type="dxa"/>
          </w:tcPr>
          <w:p w14:paraId="42314C4F" w14:textId="42A04847"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59" w:type="dxa"/>
          </w:tcPr>
          <w:p w14:paraId="78494DBC" w14:textId="4B86F1AC" w:rsidR="00194B92" w:rsidRPr="00663746" w:rsidRDefault="00194B92" w:rsidP="00194B92">
            <w:pPr>
              <w:tabs>
                <w:tab w:val="decimal" w:pos="1426"/>
              </w:tabs>
              <w:ind w:right="-144"/>
              <w:rPr>
                <w:rFonts w:cs="Arial"/>
                <w:b/>
                <w:sz w:val="18"/>
                <w:szCs w:val="18"/>
              </w:rPr>
            </w:pPr>
            <w:r>
              <w:rPr>
                <w:rFonts w:cs="Arial"/>
                <w:b/>
                <w:sz w:val="18"/>
                <w:szCs w:val="18"/>
              </w:rPr>
              <w:t>-</w:t>
            </w:r>
          </w:p>
        </w:tc>
        <w:tc>
          <w:tcPr>
            <w:tcW w:w="1559" w:type="dxa"/>
          </w:tcPr>
          <w:p w14:paraId="2F3819BD" w14:textId="6E5A4AFD"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60" w:type="dxa"/>
          </w:tcPr>
          <w:p w14:paraId="164025A1" w14:textId="0B76CCE1" w:rsidR="00194B92" w:rsidRPr="00663746" w:rsidDel="008D1194" w:rsidRDefault="00194B92" w:rsidP="00194B92">
            <w:pPr>
              <w:tabs>
                <w:tab w:val="decimal" w:pos="1426"/>
              </w:tabs>
              <w:ind w:right="-144"/>
              <w:rPr>
                <w:rFonts w:cs="Arial"/>
                <w:b/>
                <w:sz w:val="18"/>
                <w:szCs w:val="18"/>
              </w:rPr>
            </w:pPr>
            <w:r w:rsidRPr="00AA34BF">
              <w:rPr>
                <w:rFonts w:cs="Arial"/>
                <w:b/>
                <w:sz w:val="18"/>
                <w:szCs w:val="18"/>
              </w:rPr>
              <w:t>-</w:t>
            </w:r>
          </w:p>
        </w:tc>
        <w:tc>
          <w:tcPr>
            <w:tcW w:w="1559" w:type="dxa"/>
          </w:tcPr>
          <w:p w14:paraId="35F04D48" w14:textId="4854338A" w:rsidR="00194B92" w:rsidRPr="00663746" w:rsidRDefault="00194B92" w:rsidP="00194B92">
            <w:pPr>
              <w:tabs>
                <w:tab w:val="decimal" w:pos="1426"/>
              </w:tabs>
              <w:ind w:right="-144"/>
              <w:rPr>
                <w:rFonts w:cs="Arial"/>
                <w:b/>
                <w:sz w:val="18"/>
                <w:szCs w:val="18"/>
              </w:rPr>
            </w:pPr>
            <w:r w:rsidRPr="00AA34BF">
              <w:rPr>
                <w:rFonts w:cs="Arial"/>
                <w:b/>
                <w:sz w:val="18"/>
                <w:szCs w:val="18"/>
              </w:rPr>
              <w:t>-</w:t>
            </w:r>
          </w:p>
        </w:tc>
        <w:tc>
          <w:tcPr>
            <w:tcW w:w="1559" w:type="dxa"/>
          </w:tcPr>
          <w:p w14:paraId="5ED19B0C" w14:textId="71A312D3" w:rsidR="00194B92" w:rsidRPr="00663746" w:rsidRDefault="00194B92" w:rsidP="00194B92">
            <w:pPr>
              <w:tabs>
                <w:tab w:val="decimal" w:pos="1426"/>
              </w:tabs>
              <w:ind w:right="-144"/>
              <w:rPr>
                <w:rFonts w:cs="Arial"/>
                <w:b/>
                <w:sz w:val="18"/>
                <w:szCs w:val="18"/>
              </w:rPr>
            </w:pPr>
            <w:r>
              <w:rPr>
                <w:rFonts w:cs="Arial"/>
                <w:b/>
                <w:sz w:val="18"/>
                <w:szCs w:val="18"/>
              </w:rPr>
              <w:t>-</w:t>
            </w:r>
          </w:p>
        </w:tc>
        <w:tc>
          <w:tcPr>
            <w:tcW w:w="1559" w:type="dxa"/>
          </w:tcPr>
          <w:p w14:paraId="2A35F7AC" w14:textId="22C5E6EE" w:rsidR="00194B92" w:rsidRPr="00663746" w:rsidRDefault="00194B92" w:rsidP="00194B92">
            <w:pPr>
              <w:tabs>
                <w:tab w:val="decimal" w:pos="1426"/>
              </w:tabs>
              <w:ind w:right="-144"/>
              <w:rPr>
                <w:rFonts w:cs="Arial"/>
                <w:b/>
                <w:sz w:val="18"/>
                <w:szCs w:val="18"/>
              </w:rPr>
            </w:pPr>
            <w:r>
              <w:rPr>
                <w:rFonts w:cs="Arial"/>
                <w:b/>
                <w:sz w:val="18"/>
                <w:szCs w:val="18"/>
              </w:rPr>
              <w:t>-</w:t>
            </w:r>
          </w:p>
        </w:tc>
      </w:tr>
      <w:tr w:rsidR="00A61F52" w:rsidRPr="00670755" w14:paraId="6D3C7AC0" w14:textId="77777777" w:rsidTr="00A256E7">
        <w:tc>
          <w:tcPr>
            <w:tcW w:w="3392" w:type="dxa"/>
          </w:tcPr>
          <w:p w14:paraId="77595F4E" w14:textId="77777777" w:rsidR="00A61F52" w:rsidRPr="00663746" w:rsidRDefault="00A61F52" w:rsidP="00A61F52">
            <w:pPr>
              <w:rPr>
                <w:rFonts w:cs="Arial"/>
                <w:sz w:val="18"/>
                <w:szCs w:val="18"/>
              </w:rPr>
            </w:pPr>
          </w:p>
        </w:tc>
        <w:tc>
          <w:tcPr>
            <w:tcW w:w="1843" w:type="dxa"/>
          </w:tcPr>
          <w:p w14:paraId="3AAA3470" w14:textId="1EF71E18" w:rsidR="00A61F52" w:rsidRPr="00663746" w:rsidRDefault="00A61F52" w:rsidP="00A61F52">
            <w:pPr>
              <w:tabs>
                <w:tab w:val="decimal" w:pos="1426"/>
              </w:tabs>
              <w:ind w:right="-144"/>
              <w:rPr>
                <w:rFonts w:cs="Arial"/>
                <w:sz w:val="18"/>
                <w:szCs w:val="18"/>
                <w:u w:val="single"/>
              </w:rPr>
            </w:pPr>
            <w:r w:rsidRPr="00AA34BF">
              <w:rPr>
                <w:rFonts w:cs="Arial"/>
                <w:sz w:val="18"/>
                <w:szCs w:val="18"/>
                <w:u w:val="single"/>
              </w:rPr>
              <w:t>                  </w:t>
            </w:r>
          </w:p>
        </w:tc>
        <w:tc>
          <w:tcPr>
            <w:tcW w:w="1559" w:type="dxa"/>
          </w:tcPr>
          <w:p w14:paraId="2EAA8554" w14:textId="026B2C30" w:rsidR="00A61F52" w:rsidRPr="00663746" w:rsidRDefault="00A61F52" w:rsidP="00A61F52">
            <w:pPr>
              <w:tabs>
                <w:tab w:val="decimal" w:pos="1426"/>
              </w:tabs>
              <w:ind w:right="-144"/>
              <w:rPr>
                <w:rFonts w:cs="Arial"/>
                <w:sz w:val="18"/>
                <w:szCs w:val="18"/>
              </w:rPr>
            </w:pPr>
            <w:r w:rsidRPr="00AA34BF">
              <w:rPr>
                <w:rFonts w:cs="Arial"/>
                <w:sz w:val="18"/>
                <w:szCs w:val="18"/>
                <w:u w:val="single"/>
              </w:rPr>
              <w:t>                  </w:t>
            </w:r>
          </w:p>
        </w:tc>
        <w:tc>
          <w:tcPr>
            <w:tcW w:w="1559" w:type="dxa"/>
          </w:tcPr>
          <w:p w14:paraId="5EC9BCC8" w14:textId="3F47DE28" w:rsidR="00A61F52" w:rsidRPr="00663746" w:rsidRDefault="00A61F52" w:rsidP="00A61F52">
            <w:pPr>
              <w:tabs>
                <w:tab w:val="decimal" w:pos="1426"/>
              </w:tabs>
              <w:ind w:right="-144"/>
              <w:rPr>
                <w:rFonts w:cs="Arial"/>
                <w:sz w:val="18"/>
                <w:szCs w:val="18"/>
                <w:u w:val="single"/>
              </w:rPr>
            </w:pPr>
            <w:r w:rsidRPr="00AA34BF">
              <w:rPr>
                <w:rFonts w:cs="Arial"/>
                <w:sz w:val="18"/>
                <w:szCs w:val="18"/>
                <w:u w:val="single"/>
              </w:rPr>
              <w:t>                  </w:t>
            </w:r>
          </w:p>
        </w:tc>
        <w:tc>
          <w:tcPr>
            <w:tcW w:w="1559" w:type="dxa"/>
          </w:tcPr>
          <w:p w14:paraId="7C5C399E" w14:textId="1C59DF91" w:rsidR="00A61F52" w:rsidRPr="00663746" w:rsidRDefault="00A61F52" w:rsidP="00A61F52">
            <w:pPr>
              <w:tabs>
                <w:tab w:val="decimal" w:pos="1426"/>
              </w:tabs>
              <w:ind w:right="-144"/>
              <w:rPr>
                <w:rFonts w:cs="Arial"/>
                <w:sz w:val="18"/>
                <w:szCs w:val="18"/>
                <w:u w:val="single"/>
              </w:rPr>
            </w:pPr>
            <w:r w:rsidRPr="00AA34BF">
              <w:rPr>
                <w:rFonts w:cs="Arial"/>
                <w:sz w:val="18"/>
                <w:szCs w:val="18"/>
                <w:u w:val="single"/>
              </w:rPr>
              <w:t>                  </w:t>
            </w:r>
          </w:p>
        </w:tc>
        <w:tc>
          <w:tcPr>
            <w:tcW w:w="1560" w:type="dxa"/>
          </w:tcPr>
          <w:p w14:paraId="791B50FD" w14:textId="12A5599E" w:rsidR="00A61F52" w:rsidRPr="00663746" w:rsidRDefault="00A61F52" w:rsidP="00A61F52">
            <w:pPr>
              <w:tabs>
                <w:tab w:val="decimal" w:pos="1426"/>
              </w:tabs>
              <w:ind w:right="-144"/>
              <w:rPr>
                <w:rFonts w:cs="Arial"/>
                <w:sz w:val="18"/>
                <w:szCs w:val="18"/>
              </w:rPr>
            </w:pPr>
            <w:r w:rsidRPr="00AA34BF">
              <w:rPr>
                <w:rFonts w:cs="Arial"/>
                <w:sz w:val="18"/>
                <w:szCs w:val="18"/>
                <w:u w:val="single"/>
              </w:rPr>
              <w:t>                  </w:t>
            </w:r>
          </w:p>
        </w:tc>
        <w:tc>
          <w:tcPr>
            <w:tcW w:w="1559" w:type="dxa"/>
          </w:tcPr>
          <w:p w14:paraId="27FEFE03" w14:textId="7983B72F" w:rsidR="00A61F52" w:rsidRPr="00663746" w:rsidRDefault="00A61F52" w:rsidP="00A61F52">
            <w:pPr>
              <w:tabs>
                <w:tab w:val="decimal" w:pos="1426"/>
              </w:tabs>
              <w:ind w:right="-144"/>
              <w:rPr>
                <w:rFonts w:cs="Arial"/>
                <w:sz w:val="18"/>
                <w:szCs w:val="18"/>
                <w:u w:val="single"/>
              </w:rPr>
            </w:pPr>
            <w:r w:rsidRPr="00AA34BF">
              <w:rPr>
                <w:rFonts w:cs="Arial"/>
                <w:sz w:val="18"/>
                <w:szCs w:val="18"/>
                <w:u w:val="single"/>
              </w:rPr>
              <w:t>                  </w:t>
            </w:r>
          </w:p>
        </w:tc>
        <w:tc>
          <w:tcPr>
            <w:tcW w:w="1559" w:type="dxa"/>
          </w:tcPr>
          <w:p w14:paraId="7C63758E" w14:textId="19E62AC9" w:rsidR="00A61F52" w:rsidRPr="00663746" w:rsidRDefault="00A61F52" w:rsidP="00A61F52">
            <w:pPr>
              <w:tabs>
                <w:tab w:val="decimal" w:pos="1426"/>
              </w:tabs>
              <w:ind w:right="-144"/>
              <w:rPr>
                <w:rFonts w:cs="Arial"/>
                <w:sz w:val="18"/>
                <w:szCs w:val="18"/>
              </w:rPr>
            </w:pPr>
            <w:r w:rsidRPr="00AA34BF">
              <w:rPr>
                <w:rFonts w:cs="Arial"/>
                <w:sz w:val="18"/>
                <w:szCs w:val="18"/>
                <w:u w:val="single"/>
              </w:rPr>
              <w:t>                  </w:t>
            </w:r>
          </w:p>
        </w:tc>
        <w:tc>
          <w:tcPr>
            <w:tcW w:w="1559" w:type="dxa"/>
          </w:tcPr>
          <w:p w14:paraId="0EA1B8D5" w14:textId="6EA43185" w:rsidR="00A61F52" w:rsidRPr="00663746" w:rsidRDefault="00A61F52" w:rsidP="00A61F52">
            <w:pPr>
              <w:tabs>
                <w:tab w:val="decimal" w:pos="1426"/>
              </w:tabs>
              <w:ind w:right="-144"/>
              <w:rPr>
                <w:rFonts w:cs="Arial"/>
                <w:sz w:val="18"/>
                <w:szCs w:val="18"/>
              </w:rPr>
            </w:pPr>
            <w:r w:rsidRPr="00AA34BF">
              <w:rPr>
                <w:rFonts w:cs="Arial"/>
                <w:sz w:val="18"/>
                <w:szCs w:val="18"/>
                <w:u w:val="single"/>
              </w:rPr>
              <w:t>                  </w:t>
            </w:r>
          </w:p>
        </w:tc>
      </w:tr>
      <w:tr w:rsidR="00A61F52" w:rsidRPr="00670755" w14:paraId="5571CB93" w14:textId="77777777" w:rsidTr="00A256E7">
        <w:tc>
          <w:tcPr>
            <w:tcW w:w="3392" w:type="dxa"/>
          </w:tcPr>
          <w:p w14:paraId="443DFA81" w14:textId="77777777" w:rsidR="00A61F52" w:rsidRPr="00663746" w:rsidRDefault="00A61F52" w:rsidP="00A61F52">
            <w:pPr>
              <w:rPr>
                <w:rFonts w:cs="Arial"/>
                <w:sz w:val="18"/>
                <w:szCs w:val="18"/>
              </w:rPr>
            </w:pPr>
          </w:p>
        </w:tc>
        <w:tc>
          <w:tcPr>
            <w:tcW w:w="1843" w:type="dxa"/>
          </w:tcPr>
          <w:p w14:paraId="18C0104A" w14:textId="77777777" w:rsidR="00A61F52" w:rsidRPr="00663746" w:rsidRDefault="00A61F52" w:rsidP="00A61F52">
            <w:pPr>
              <w:tabs>
                <w:tab w:val="decimal" w:pos="1426"/>
              </w:tabs>
              <w:ind w:right="-144"/>
              <w:rPr>
                <w:rFonts w:cs="Arial"/>
                <w:b/>
                <w:sz w:val="18"/>
                <w:szCs w:val="18"/>
              </w:rPr>
            </w:pPr>
          </w:p>
        </w:tc>
        <w:tc>
          <w:tcPr>
            <w:tcW w:w="1559" w:type="dxa"/>
          </w:tcPr>
          <w:p w14:paraId="1B3DB02A" w14:textId="77777777" w:rsidR="00A61F52" w:rsidRPr="00663746" w:rsidRDefault="00A61F52" w:rsidP="00A61F52">
            <w:pPr>
              <w:tabs>
                <w:tab w:val="decimal" w:pos="1426"/>
              </w:tabs>
              <w:ind w:right="-144"/>
              <w:rPr>
                <w:rFonts w:cs="Arial"/>
                <w:b/>
                <w:sz w:val="18"/>
                <w:szCs w:val="18"/>
              </w:rPr>
            </w:pPr>
          </w:p>
        </w:tc>
        <w:tc>
          <w:tcPr>
            <w:tcW w:w="1559" w:type="dxa"/>
          </w:tcPr>
          <w:p w14:paraId="289C0776" w14:textId="77777777" w:rsidR="00A61F52" w:rsidRPr="00663746" w:rsidRDefault="00A61F52" w:rsidP="00A61F52">
            <w:pPr>
              <w:tabs>
                <w:tab w:val="decimal" w:pos="1426"/>
              </w:tabs>
              <w:ind w:right="-144"/>
              <w:rPr>
                <w:rFonts w:cs="Arial"/>
                <w:b/>
                <w:sz w:val="18"/>
                <w:szCs w:val="18"/>
              </w:rPr>
            </w:pPr>
          </w:p>
        </w:tc>
        <w:tc>
          <w:tcPr>
            <w:tcW w:w="1559" w:type="dxa"/>
          </w:tcPr>
          <w:p w14:paraId="04D7094C" w14:textId="77777777" w:rsidR="00A61F52" w:rsidRPr="00663746" w:rsidRDefault="00A61F52" w:rsidP="00A61F52">
            <w:pPr>
              <w:tabs>
                <w:tab w:val="decimal" w:pos="1426"/>
              </w:tabs>
              <w:ind w:right="-144"/>
              <w:rPr>
                <w:rFonts w:cs="Arial"/>
                <w:b/>
                <w:sz w:val="18"/>
                <w:szCs w:val="18"/>
              </w:rPr>
            </w:pPr>
          </w:p>
        </w:tc>
        <w:tc>
          <w:tcPr>
            <w:tcW w:w="1560" w:type="dxa"/>
          </w:tcPr>
          <w:p w14:paraId="488C4A67" w14:textId="77777777" w:rsidR="00A61F52" w:rsidRPr="00663746" w:rsidRDefault="00A61F52" w:rsidP="00A61F52">
            <w:pPr>
              <w:tabs>
                <w:tab w:val="decimal" w:pos="1426"/>
              </w:tabs>
              <w:ind w:right="-144"/>
              <w:rPr>
                <w:rFonts w:cs="Arial"/>
                <w:b/>
                <w:sz w:val="18"/>
                <w:szCs w:val="18"/>
              </w:rPr>
            </w:pPr>
          </w:p>
        </w:tc>
        <w:tc>
          <w:tcPr>
            <w:tcW w:w="1559" w:type="dxa"/>
          </w:tcPr>
          <w:p w14:paraId="490F282F" w14:textId="77777777" w:rsidR="00A61F52" w:rsidRPr="00663746" w:rsidRDefault="00A61F52" w:rsidP="00A61F52">
            <w:pPr>
              <w:tabs>
                <w:tab w:val="decimal" w:pos="1426"/>
              </w:tabs>
              <w:ind w:right="-144"/>
              <w:rPr>
                <w:rFonts w:cs="Arial"/>
                <w:b/>
                <w:sz w:val="18"/>
                <w:szCs w:val="18"/>
                <w:u w:val="single"/>
              </w:rPr>
            </w:pPr>
          </w:p>
        </w:tc>
        <w:tc>
          <w:tcPr>
            <w:tcW w:w="1559" w:type="dxa"/>
          </w:tcPr>
          <w:p w14:paraId="658579F3" w14:textId="77777777" w:rsidR="00A61F52" w:rsidRPr="00663746" w:rsidRDefault="00A61F52" w:rsidP="00A61F52">
            <w:pPr>
              <w:tabs>
                <w:tab w:val="decimal" w:pos="1426"/>
              </w:tabs>
              <w:ind w:right="-144"/>
              <w:rPr>
                <w:rFonts w:cs="Arial"/>
                <w:b/>
                <w:sz w:val="18"/>
                <w:szCs w:val="18"/>
                <w:u w:val="single"/>
              </w:rPr>
            </w:pPr>
          </w:p>
        </w:tc>
        <w:tc>
          <w:tcPr>
            <w:tcW w:w="1559" w:type="dxa"/>
          </w:tcPr>
          <w:p w14:paraId="4CA4482D" w14:textId="77777777" w:rsidR="00A61F52" w:rsidRPr="00663746" w:rsidRDefault="00A61F52" w:rsidP="00A61F52">
            <w:pPr>
              <w:tabs>
                <w:tab w:val="decimal" w:pos="1426"/>
              </w:tabs>
              <w:ind w:right="-144"/>
              <w:rPr>
                <w:rFonts w:cs="Arial"/>
                <w:b/>
                <w:sz w:val="18"/>
                <w:szCs w:val="18"/>
                <w:u w:val="single"/>
              </w:rPr>
            </w:pPr>
          </w:p>
        </w:tc>
      </w:tr>
      <w:tr w:rsidR="00217651" w:rsidRPr="00670755" w14:paraId="5D1BCA5D" w14:textId="77777777" w:rsidTr="00A256E7">
        <w:tc>
          <w:tcPr>
            <w:tcW w:w="3392" w:type="dxa"/>
          </w:tcPr>
          <w:p w14:paraId="099BAF75" w14:textId="77777777" w:rsidR="00217651" w:rsidRPr="00663746" w:rsidRDefault="00217651" w:rsidP="00217651">
            <w:pPr>
              <w:rPr>
                <w:rFonts w:cs="Arial"/>
                <w:sz w:val="18"/>
                <w:szCs w:val="18"/>
              </w:rPr>
            </w:pPr>
          </w:p>
        </w:tc>
        <w:tc>
          <w:tcPr>
            <w:tcW w:w="1843" w:type="dxa"/>
          </w:tcPr>
          <w:p w14:paraId="34A6C1F1" w14:textId="4FC6A9AE" w:rsidR="00217651" w:rsidRPr="00663746" w:rsidDel="001759FD" w:rsidRDefault="00217651" w:rsidP="00217651">
            <w:pPr>
              <w:tabs>
                <w:tab w:val="decimal" w:pos="1426"/>
              </w:tabs>
              <w:ind w:right="-144"/>
              <w:rPr>
                <w:rFonts w:cs="Arial"/>
                <w:b/>
                <w:sz w:val="18"/>
                <w:szCs w:val="18"/>
              </w:rPr>
            </w:pPr>
            <w:r>
              <w:rPr>
                <w:rFonts w:cs="Arial"/>
                <w:b/>
                <w:sz w:val="18"/>
                <w:szCs w:val="18"/>
              </w:rPr>
              <w:t>2</w:t>
            </w:r>
          </w:p>
        </w:tc>
        <w:tc>
          <w:tcPr>
            <w:tcW w:w="1559" w:type="dxa"/>
          </w:tcPr>
          <w:p w14:paraId="7C6B1B5B" w14:textId="227161CC" w:rsidR="00217651" w:rsidRPr="00663746" w:rsidDel="001759FD" w:rsidRDefault="00217651" w:rsidP="00217651">
            <w:pPr>
              <w:tabs>
                <w:tab w:val="decimal" w:pos="1426"/>
              </w:tabs>
              <w:ind w:right="-144"/>
              <w:rPr>
                <w:rFonts w:cs="Arial"/>
                <w:b/>
                <w:sz w:val="18"/>
                <w:szCs w:val="18"/>
              </w:rPr>
            </w:pPr>
            <w:r w:rsidRPr="00AA34BF">
              <w:rPr>
                <w:rFonts w:cs="Arial"/>
                <w:b/>
                <w:sz w:val="18"/>
                <w:szCs w:val="18"/>
              </w:rPr>
              <w:t>-</w:t>
            </w:r>
          </w:p>
        </w:tc>
        <w:tc>
          <w:tcPr>
            <w:tcW w:w="1559" w:type="dxa"/>
          </w:tcPr>
          <w:p w14:paraId="340565F9" w14:textId="0550FF71" w:rsidR="00217651" w:rsidRPr="00663746" w:rsidRDefault="00217651" w:rsidP="00217651">
            <w:pPr>
              <w:tabs>
                <w:tab w:val="decimal" w:pos="1426"/>
              </w:tabs>
              <w:ind w:right="-144"/>
              <w:rPr>
                <w:rFonts w:cs="Arial"/>
                <w:b/>
                <w:sz w:val="18"/>
                <w:szCs w:val="18"/>
              </w:rPr>
            </w:pPr>
            <w:r>
              <w:rPr>
                <w:rFonts w:cs="Arial"/>
                <w:b/>
                <w:sz w:val="18"/>
                <w:szCs w:val="18"/>
              </w:rPr>
              <w:t>-</w:t>
            </w:r>
          </w:p>
        </w:tc>
        <w:tc>
          <w:tcPr>
            <w:tcW w:w="1559" w:type="dxa"/>
          </w:tcPr>
          <w:p w14:paraId="4E25DB4C" w14:textId="172202D1" w:rsidR="00217651" w:rsidRPr="00663746" w:rsidRDefault="00217651" w:rsidP="00217651">
            <w:pPr>
              <w:tabs>
                <w:tab w:val="decimal" w:pos="1426"/>
              </w:tabs>
              <w:ind w:right="-144"/>
              <w:rPr>
                <w:rFonts w:cs="Arial"/>
                <w:b/>
                <w:sz w:val="18"/>
                <w:szCs w:val="18"/>
              </w:rPr>
            </w:pPr>
            <w:r>
              <w:rPr>
                <w:rFonts w:cs="Arial"/>
                <w:b/>
                <w:sz w:val="18"/>
                <w:szCs w:val="18"/>
              </w:rPr>
              <w:t>38</w:t>
            </w:r>
          </w:p>
        </w:tc>
        <w:tc>
          <w:tcPr>
            <w:tcW w:w="1560" w:type="dxa"/>
          </w:tcPr>
          <w:p w14:paraId="1D5AC449" w14:textId="49BA3969" w:rsidR="00217651" w:rsidRPr="00663746" w:rsidDel="001759FD" w:rsidRDefault="00217651" w:rsidP="00217651">
            <w:pPr>
              <w:tabs>
                <w:tab w:val="decimal" w:pos="1426"/>
              </w:tabs>
              <w:ind w:right="-144"/>
              <w:rPr>
                <w:rFonts w:cs="Arial"/>
                <w:b/>
                <w:sz w:val="18"/>
                <w:szCs w:val="18"/>
              </w:rPr>
            </w:pPr>
            <w:r>
              <w:rPr>
                <w:rFonts w:cs="Arial"/>
                <w:b/>
                <w:sz w:val="18"/>
                <w:szCs w:val="18"/>
              </w:rPr>
              <w:t>1,523</w:t>
            </w:r>
          </w:p>
        </w:tc>
        <w:tc>
          <w:tcPr>
            <w:tcW w:w="1559" w:type="dxa"/>
          </w:tcPr>
          <w:p w14:paraId="3E28D78C" w14:textId="1C17D387" w:rsidR="00217651" w:rsidRPr="00663746" w:rsidDel="001C7459" w:rsidRDefault="00217651" w:rsidP="00217651">
            <w:pPr>
              <w:tabs>
                <w:tab w:val="decimal" w:pos="1426"/>
              </w:tabs>
              <w:ind w:right="-144"/>
              <w:rPr>
                <w:rFonts w:cs="Arial"/>
                <w:b/>
                <w:sz w:val="18"/>
                <w:szCs w:val="18"/>
              </w:rPr>
            </w:pPr>
            <w:r>
              <w:rPr>
                <w:rFonts w:cs="Arial"/>
                <w:b/>
                <w:sz w:val="18"/>
                <w:szCs w:val="18"/>
              </w:rPr>
              <w:t>-</w:t>
            </w:r>
          </w:p>
        </w:tc>
        <w:tc>
          <w:tcPr>
            <w:tcW w:w="1559" w:type="dxa"/>
          </w:tcPr>
          <w:p w14:paraId="3FE1E416" w14:textId="6DDB0A7C" w:rsidR="00217651" w:rsidRPr="00663746" w:rsidDel="001759FD" w:rsidRDefault="00217651" w:rsidP="00217651">
            <w:pPr>
              <w:tabs>
                <w:tab w:val="decimal" w:pos="1426"/>
              </w:tabs>
              <w:ind w:right="-144"/>
              <w:rPr>
                <w:rFonts w:cs="Arial"/>
                <w:b/>
                <w:sz w:val="18"/>
                <w:szCs w:val="18"/>
              </w:rPr>
            </w:pPr>
            <w:r>
              <w:rPr>
                <w:rFonts w:cs="Arial"/>
                <w:b/>
                <w:sz w:val="18"/>
                <w:szCs w:val="18"/>
              </w:rPr>
              <w:t>-</w:t>
            </w:r>
          </w:p>
        </w:tc>
        <w:tc>
          <w:tcPr>
            <w:tcW w:w="1559" w:type="dxa"/>
          </w:tcPr>
          <w:p w14:paraId="57F7EBBE" w14:textId="0EFF928F" w:rsidR="00217651" w:rsidRPr="00663746" w:rsidDel="001C7459" w:rsidRDefault="00217651" w:rsidP="00217651">
            <w:pPr>
              <w:tabs>
                <w:tab w:val="decimal" w:pos="1426"/>
              </w:tabs>
              <w:ind w:right="-144"/>
              <w:rPr>
                <w:rFonts w:cs="Arial"/>
                <w:b/>
                <w:sz w:val="18"/>
                <w:szCs w:val="18"/>
              </w:rPr>
            </w:pPr>
            <w:r>
              <w:rPr>
                <w:rFonts w:cs="Arial"/>
                <w:b/>
                <w:sz w:val="18"/>
                <w:szCs w:val="18"/>
              </w:rPr>
              <w:t>1,563</w:t>
            </w:r>
          </w:p>
        </w:tc>
      </w:tr>
      <w:tr w:rsidR="005A49BE" w:rsidRPr="00670755" w14:paraId="7EB5A630" w14:textId="77777777" w:rsidTr="00A256E7">
        <w:tc>
          <w:tcPr>
            <w:tcW w:w="3392" w:type="dxa"/>
          </w:tcPr>
          <w:p w14:paraId="0E2F32AC" w14:textId="77777777" w:rsidR="005A49BE" w:rsidRPr="00663746" w:rsidRDefault="005A49BE" w:rsidP="005A49BE">
            <w:pPr>
              <w:rPr>
                <w:rFonts w:cs="Arial"/>
                <w:sz w:val="18"/>
                <w:szCs w:val="18"/>
              </w:rPr>
            </w:pPr>
          </w:p>
        </w:tc>
        <w:tc>
          <w:tcPr>
            <w:tcW w:w="1843" w:type="dxa"/>
          </w:tcPr>
          <w:p w14:paraId="43B79EA4" w14:textId="3C330C51" w:rsidR="005A49BE" w:rsidRPr="00663746" w:rsidRDefault="005A49BE" w:rsidP="005A49BE">
            <w:pPr>
              <w:tabs>
                <w:tab w:val="decimal" w:pos="1426"/>
              </w:tabs>
              <w:ind w:right="-144"/>
              <w:rPr>
                <w:rFonts w:cs="Arial"/>
                <w:sz w:val="18"/>
                <w:szCs w:val="18"/>
                <w:u w:val="single"/>
              </w:rPr>
            </w:pPr>
            <w:r w:rsidRPr="7821F417">
              <w:rPr>
                <w:rFonts w:cs="Arial"/>
                <w:sz w:val="18"/>
                <w:szCs w:val="18"/>
                <w:u w:val="single"/>
              </w:rPr>
              <w:t>                  </w:t>
            </w:r>
          </w:p>
        </w:tc>
        <w:tc>
          <w:tcPr>
            <w:tcW w:w="1559" w:type="dxa"/>
          </w:tcPr>
          <w:p w14:paraId="764DCF38" w14:textId="0F44E76A" w:rsidR="005A49BE" w:rsidRPr="00663746" w:rsidRDefault="005A49BE" w:rsidP="005A49BE">
            <w:pPr>
              <w:tabs>
                <w:tab w:val="decimal" w:pos="1426"/>
              </w:tabs>
              <w:ind w:right="-144"/>
              <w:rPr>
                <w:rFonts w:cs="Arial"/>
                <w:sz w:val="18"/>
                <w:szCs w:val="18"/>
              </w:rPr>
            </w:pPr>
            <w:r w:rsidRPr="7821F417">
              <w:rPr>
                <w:rFonts w:cs="Arial"/>
                <w:sz w:val="18"/>
                <w:szCs w:val="18"/>
                <w:u w:val="single"/>
              </w:rPr>
              <w:t>                  </w:t>
            </w:r>
          </w:p>
        </w:tc>
        <w:tc>
          <w:tcPr>
            <w:tcW w:w="1559" w:type="dxa"/>
          </w:tcPr>
          <w:p w14:paraId="221388CA" w14:textId="691D40C8" w:rsidR="005A49BE" w:rsidRPr="00663746" w:rsidRDefault="005A49BE" w:rsidP="005A49BE">
            <w:pPr>
              <w:tabs>
                <w:tab w:val="decimal" w:pos="1426"/>
              </w:tabs>
              <w:ind w:right="-144"/>
              <w:rPr>
                <w:rFonts w:cs="Arial"/>
                <w:sz w:val="18"/>
                <w:szCs w:val="18"/>
                <w:u w:val="single"/>
              </w:rPr>
            </w:pPr>
            <w:r w:rsidRPr="7821F417">
              <w:rPr>
                <w:rFonts w:cs="Arial"/>
                <w:sz w:val="18"/>
                <w:szCs w:val="18"/>
                <w:u w:val="single"/>
              </w:rPr>
              <w:t>                  </w:t>
            </w:r>
          </w:p>
        </w:tc>
        <w:tc>
          <w:tcPr>
            <w:tcW w:w="1559" w:type="dxa"/>
          </w:tcPr>
          <w:p w14:paraId="62736128" w14:textId="3AE8208F" w:rsidR="005A49BE" w:rsidRPr="00663746" w:rsidRDefault="005A49BE" w:rsidP="005A49BE">
            <w:pPr>
              <w:tabs>
                <w:tab w:val="decimal" w:pos="1426"/>
              </w:tabs>
              <w:ind w:right="-144"/>
              <w:rPr>
                <w:rFonts w:cs="Arial"/>
                <w:sz w:val="18"/>
                <w:szCs w:val="18"/>
                <w:u w:val="single"/>
              </w:rPr>
            </w:pPr>
            <w:r w:rsidRPr="7821F417">
              <w:rPr>
                <w:rFonts w:cs="Arial"/>
                <w:sz w:val="18"/>
                <w:szCs w:val="18"/>
                <w:u w:val="single"/>
              </w:rPr>
              <w:t>                  </w:t>
            </w:r>
          </w:p>
        </w:tc>
        <w:tc>
          <w:tcPr>
            <w:tcW w:w="1560" w:type="dxa"/>
          </w:tcPr>
          <w:p w14:paraId="7F632913" w14:textId="0DC7B986" w:rsidR="005A49BE" w:rsidRPr="00663746" w:rsidRDefault="005A49BE" w:rsidP="005A49BE">
            <w:pPr>
              <w:tabs>
                <w:tab w:val="decimal" w:pos="1426"/>
              </w:tabs>
              <w:ind w:right="-144"/>
              <w:rPr>
                <w:rFonts w:cs="Arial"/>
                <w:sz w:val="18"/>
                <w:szCs w:val="18"/>
              </w:rPr>
            </w:pPr>
            <w:r w:rsidRPr="7821F417">
              <w:rPr>
                <w:rFonts w:cs="Arial"/>
                <w:sz w:val="18"/>
                <w:szCs w:val="18"/>
                <w:u w:val="single"/>
              </w:rPr>
              <w:t>                  </w:t>
            </w:r>
          </w:p>
        </w:tc>
        <w:tc>
          <w:tcPr>
            <w:tcW w:w="1559" w:type="dxa"/>
          </w:tcPr>
          <w:p w14:paraId="1A2BAD2C" w14:textId="1F7B3FEE" w:rsidR="005A49BE" w:rsidRPr="00663746" w:rsidRDefault="005A49BE" w:rsidP="005A49BE">
            <w:pPr>
              <w:tabs>
                <w:tab w:val="decimal" w:pos="1426"/>
              </w:tabs>
              <w:ind w:right="-144"/>
              <w:rPr>
                <w:rFonts w:cs="Arial"/>
                <w:sz w:val="18"/>
                <w:szCs w:val="18"/>
                <w:u w:val="single"/>
              </w:rPr>
            </w:pPr>
            <w:r w:rsidRPr="7821F417">
              <w:rPr>
                <w:rFonts w:cs="Arial"/>
                <w:sz w:val="18"/>
                <w:szCs w:val="18"/>
                <w:u w:val="single"/>
              </w:rPr>
              <w:t>                  </w:t>
            </w:r>
          </w:p>
        </w:tc>
        <w:tc>
          <w:tcPr>
            <w:tcW w:w="1559" w:type="dxa"/>
          </w:tcPr>
          <w:p w14:paraId="189F40C9" w14:textId="632522D6" w:rsidR="005A49BE" w:rsidRPr="00663746" w:rsidRDefault="005A49BE" w:rsidP="005A49BE">
            <w:pPr>
              <w:tabs>
                <w:tab w:val="decimal" w:pos="1426"/>
              </w:tabs>
              <w:ind w:right="-144"/>
              <w:rPr>
                <w:rFonts w:cs="Arial"/>
                <w:sz w:val="18"/>
                <w:szCs w:val="18"/>
              </w:rPr>
            </w:pPr>
            <w:r w:rsidRPr="7821F417">
              <w:rPr>
                <w:rFonts w:cs="Arial"/>
                <w:sz w:val="18"/>
                <w:szCs w:val="18"/>
                <w:u w:val="single"/>
              </w:rPr>
              <w:t>                  </w:t>
            </w:r>
          </w:p>
        </w:tc>
        <w:tc>
          <w:tcPr>
            <w:tcW w:w="1559" w:type="dxa"/>
          </w:tcPr>
          <w:p w14:paraId="308523A8" w14:textId="47EE1BE7" w:rsidR="005A49BE" w:rsidRPr="00663746" w:rsidRDefault="005A49BE" w:rsidP="005A49BE">
            <w:pPr>
              <w:tabs>
                <w:tab w:val="decimal" w:pos="1426"/>
              </w:tabs>
              <w:ind w:right="-144"/>
              <w:rPr>
                <w:rFonts w:cs="Arial"/>
                <w:sz w:val="18"/>
                <w:szCs w:val="18"/>
              </w:rPr>
            </w:pPr>
            <w:r w:rsidRPr="7821F417">
              <w:rPr>
                <w:rFonts w:cs="Arial"/>
                <w:sz w:val="18"/>
                <w:szCs w:val="18"/>
                <w:u w:val="single"/>
              </w:rPr>
              <w:t>                  </w:t>
            </w:r>
          </w:p>
        </w:tc>
      </w:tr>
      <w:tr w:rsidR="005A49BE" w:rsidRPr="00670755" w14:paraId="4E751629" w14:textId="77777777" w:rsidTr="00A256E7">
        <w:tc>
          <w:tcPr>
            <w:tcW w:w="3392" w:type="dxa"/>
          </w:tcPr>
          <w:p w14:paraId="19B58E8E" w14:textId="77777777" w:rsidR="005A49BE" w:rsidRPr="00663746" w:rsidRDefault="005A49BE" w:rsidP="005A49BE">
            <w:pPr>
              <w:rPr>
                <w:rFonts w:cs="Arial"/>
                <w:sz w:val="18"/>
                <w:szCs w:val="18"/>
              </w:rPr>
            </w:pPr>
          </w:p>
        </w:tc>
        <w:tc>
          <w:tcPr>
            <w:tcW w:w="1843" w:type="dxa"/>
          </w:tcPr>
          <w:p w14:paraId="652A8EA9" w14:textId="77777777" w:rsidR="005A49BE" w:rsidRPr="00663746" w:rsidRDefault="005A49BE" w:rsidP="005A49BE">
            <w:pPr>
              <w:tabs>
                <w:tab w:val="decimal" w:pos="1426"/>
              </w:tabs>
              <w:ind w:right="-144"/>
              <w:rPr>
                <w:rFonts w:cs="Arial"/>
                <w:b/>
                <w:sz w:val="18"/>
                <w:szCs w:val="18"/>
              </w:rPr>
            </w:pPr>
          </w:p>
        </w:tc>
        <w:tc>
          <w:tcPr>
            <w:tcW w:w="1559" w:type="dxa"/>
          </w:tcPr>
          <w:p w14:paraId="2CAFE8A0" w14:textId="77777777" w:rsidR="005A49BE" w:rsidRPr="00663746" w:rsidRDefault="005A49BE" w:rsidP="005A49BE">
            <w:pPr>
              <w:tabs>
                <w:tab w:val="decimal" w:pos="1426"/>
              </w:tabs>
              <w:ind w:right="-144"/>
              <w:rPr>
                <w:rFonts w:cs="Arial"/>
                <w:b/>
                <w:sz w:val="18"/>
                <w:szCs w:val="18"/>
              </w:rPr>
            </w:pPr>
          </w:p>
        </w:tc>
        <w:tc>
          <w:tcPr>
            <w:tcW w:w="1559" w:type="dxa"/>
          </w:tcPr>
          <w:p w14:paraId="737C05EF" w14:textId="77777777" w:rsidR="005A49BE" w:rsidRPr="00663746" w:rsidRDefault="005A49BE" w:rsidP="005A49BE">
            <w:pPr>
              <w:tabs>
                <w:tab w:val="decimal" w:pos="1426"/>
              </w:tabs>
              <w:ind w:right="-144"/>
              <w:rPr>
                <w:rFonts w:cs="Arial"/>
                <w:b/>
                <w:sz w:val="18"/>
                <w:szCs w:val="18"/>
              </w:rPr>
            </w:pPr>
          </w:p>
        </w:tc>
        <w:tc>
          <w:tcPr>
            <w:tcW w:w="1559" w:type="dxa"/>
          </w:tcPr>
          <w:p w14:paraId="77FC8A6C" w14:textId="77777777" w:rsidR="005A49BE" w:rsidRPr="00663746" w:rsidRDefault="005A49BE" w:rsidP="005A49BE">
            <w:pPr>
              <w:tabs>
                <w:tab w:val="decimal" w:pos="1426"/>
              </w:tabs>
              <w:ind w:right="-144"/>
              <w:rPr>
                <w:rFonts w:cs="Arial"/>
                <w:b/>
                <w:sz w:val="18"/>
                <w:szCs w:val="18"/>
              </w:rPr>
            </w:pPr>
          </w:p>
        </w:tc>
        <w:tc>
          <w:tcPr>
            <w:tcW w:w="1560" w:type="dxa"/>
          </w:tcPr>
          <w:p w14:paraId="2E5740F4" w14:textId="77777777" w:rsidR="005A49BE" w:rsidRPr="00663746" w:rsidRDefault="005A49BE" w:rsidP="005A49BE">
            <w:pPr>
              <w:tabs>
                <w:tab w:val="decimal" w:pos="1426"/>
              </w:tabs>
              <w:ind w:right="-144"/>
              <w:rPr>
                <w:rFonts w:cs="Arial"/>
                <w:b/>
                <w:sz w:val="18"/>
                <w:szCs w:val="18"/>
              </w:rPr>
            </w:pPr>
          </w:p>
        </w:tc>
        <w:tc>
          <w:tcPr>
            <w:tcW w:w="1559" w:type="dxa"/>
          </w:tcPr>
          <w:p w14:paraId="6463A3E2" w14:textId="77777777" w:rsidR="005A49BE" w:rsidRPr="00663746" w:rsidRDefault="005A49BE" w:rsidP="005A49BE">
            <w:pPr>
              <w:tabs>
                <w:tab w:val="decimal" w:pos="1426"/>
              </w:tabs>
              <w:ind w:right="-144"/>
              <w:rPr>
                <w:rFonts w:cs="Arial"/>
                <w:b/>
                <w:sz w:val="18"/>
                <w:szCs w:val="18"/>
              </w:rPr>
            </w:pPr>
          </w:p>
        </w:tc>
        <w:tc>
          <w:tcPr>
            <w:tcW w:w="1559" w:type="dxa"/>
          </w:tcPr>
          <w:p w14:paraId="5D930DBC" w14:textId="77777777" w:rsidR="005A49BE" w:rsidRPr="00663746" w:rsidRDefault="005A49BE" w:rsidP="005A49BE">
            <w:pPr>
              <w:tabs>
                <w:tab w:val="decimal" w:pos="1426"/>
              </w:tabs>
              <w:ind w:right="-144"/>
              <w:rPr>
                <w:rFonts w:cs="Arial"/>
                <w:b/>
                <w:sz w:val="18"/>
                <w:szCs w:val="18"/>
              </w:rPr>
            </w:pPr>
          </w:p>
        </w:tc>
        <w:tc>
          <w:tcPr>
            <w:tcW w:w="1559" w:type="dxa"/>
          </w:tcPr>
          <w:p w14:paraId="6D82D011" w14:textId="77777777" w:rsidR="005A49BE" w:rsidRPr="00663746" w:rsidRDefault="005A49BE" w:rsidP="005A49BE">
            <w:pPr>
              <w:tabs>
                <w:tab w:val="decimal" w:pos="1426"/>
              </w:tabs>
              <w:ind w:right="-144"/>
              <w:rPr>
                <w:rFonts w:cs="Arial"/>
                <w:b/>
                <w:sz w:val="18"/>
                <w:szCs w:val="18"/>
              </w:rPr>
            </w:pPr>
          </w:p>
        </w:tc>
      </w:tr>
      <w:tr w:rsidR="00217651" w:rsidRPr="00D64155" w14:paraId="4C4E5754" w14:textId="77777777" w:rsidTr="00A256E7">
        <w:tc>
          <w:tcPr>
            <w:tcW w:w="3392" w:type="dxa"/>
          </w:tcPr>
          <w:p w14:paraId="7CDFF1A4" w14:textId="6F9AF389" w:rsidR="00217651" w:rsidRPr="00663746" w:rsidRDefault="00217651" w:rsidP="00217651">
            <w:pPr>
              <w:rPr>
                <w:rFonts w:cs="Arial"/>
                <w:b/>
                <w:sz w:val="18"/>
                <w:szCs w:val="18"/>
              </w:rPr>
            </w:pPr>
            <w:r w:rsidRPr="00663746">
              <w:rPr>
                <w:rFonts w:cs="Arial"/>
                <w:b/>
                <w:sz w:val="18"/>
                <w:szCs w:val="18"/>
              </w:rPr>
              <w:t xml:space="preserve">Balance as </w:t>
            </w:r>
            <w:proofErr w:type="gramStart"/>
            <w:r w:rsidRPr="00663746">
              <w:rPr>
                <w:rFonts w:cs="Arial"/>
                <w:b/>
                <w:sz w:val="18"/>
                <w:szCs w:val="18"/>
              </w:rPr>
              <w:t>at</w:t>
            </w:r>
            <w:proofErr w:type="gramEnd"/>
            <w:r w:rsidRPr="00663746">
              <w:rPr>
                <w:rFonts w:cs="Arial"/>
                <w:b/>
                <w:sz w:val="18"/>
                <w:szCs w:val="18"/>
              </w:rPr>
              <w:t xml:space="preserve"> 30 June 202</w:t>
            </w:r>
            <w:r>
              <w:rPr>
                <w:rFonts w:cs="Arial"/>
                <w:b/>
                <w:sz w:val="18"/>
                <w:szCs w:val="18"/>
              </w:rPr>
              <w:t>4</w:t>
            </w:r>
          </w:p>
        </w:tc>
        <w:tc>
          <w:tcPr>
            <w:tcW w:w="1843" w:type="dxa"/>
          </w:tcPr>
          <w:p w14:paraId="36461D1C" w14:textId="0C2A60F6" w:rsidR="00217651" w:rsidRPr="00663746" w:rsidRDefault="00217651" w:rsidP="00217651">
            <w:pPr>
              <w:tabs>
                <w:tab w:val="decimal" w:pos="1426"/>
              </w:tabs>
              <w:ind w:right="-144"/>
              <w:rPr>
                <w:rFonts w:cs="Arial"/>
                <w:b/>
                <w:sz w:val="18"/>
                <w:szCs w:val="18"/>
              </w:rPr>
            </w:pPr>
            <w:r>
              <w:rPr>
                <w:rFonts w:cs="Arial"/>
                <w:b/>
                <w:sz w:val="18"/>
                <w:szCs w:val="18"/>
              </w:rPr>
              <w:t>580</w:t>
            </w:r>
          </w:p>
        </w:tc>
        <w:tc>
          <w:tcPr>
            <w:tcW w:w="1559" w:type="dxa"/>
          </w:tcPr>
          <w:p w14:paraId="3AD790D1" w14:textId="4F436E2A" w:rsidR="00217651" w:rsidRPr="00663746" w:rsidRDefault="00217651" w:rsidP="00217651">
            <w:pPr>
              <w:tabs>
                <w:tab w:val="decimal" w:pos="1426"/>
              </w:tabs>
              <w:ind w:right="-144"/>
              <w:rPr>
                <w:rFonts w:cs="Arial"/>
                <w:b/>
                <w:sz w:val="18"/>
                <w:szCs w:val="18"/>
              </w:rPr>
            </w:pPr>
            <w:r>
              <w:rPr>
                <w:rFonts w:cs="Arial"/>
                <w:b/>
                <w:sz w:val="18"/>
                <w:szCs w:val="18"/>
              </w:rPr>
              <w:t>81</w:t>
            </w:r>
          </w:p>
        </w:tc>
        <w:tc>
          <w:tcPr>
            <w:tcW w:w="1559" w:type="dxa"/>
          </w:tcPr>
          <w:p w14:paraId="7ADB6D00" w14:textId="5EFDBC00" w:rsidR="00217651" w:rsidRPr="00663746" w:rsidRDefault="00217651" w:rsidP="00217651">
            <w:pPr>
              <w:tabs>
                <w:tab w:val="decimal" w:pos="1426"/>
              </w:tabs>
              <w:ind w:right="-144"/>
              <w:rPr>
                <w:rFonts w:cs="Arial"/>
                <w:b/>
                <w:sz w:val="18"/>
                <w:szCs w:val="18"/>
              </w:rPr>
            </w:pPr>
            <w:r>
              <w:rPr>
                <w:rFonts w:cs="Arial"/>
                <w:b/>
                <w:sz w:val="18"/>
                <w:szCs w:val="18"/>
              </w:rPr>
              <w:t>399</w:t>
            </w:r>
          </w:p>
        </w:tc>
        <w:tc>
          <w:tcPr>
            <w:tcW w:w="1559" w:type="dxa"/>
          </w:tcPr>
          <w:p w14:paraId="4EF1995A" w14:textId="091760F9" w:rsidR="00217651" w:rsidRPr="00663746" w:rsidRDefault="00217651" w:rsidP="00217651">
            <w:pPr>
              <w:tabs>
                <w:tab w:val="decimal" w:pos="1426"/>
              </w:tabs>
              <w:ind w:right="-144"/>
              <w:rPr>
                <w:rFonts w:cs="Arial"/>
                <w:b/>
                <w:sz w:val="18"/>
                <w:szCs w:val="18"/>
              </w:rPr>
            </w:pPr>
            <w:r>
              <w:rPr>
                <w:rFonts w:cs="Arial"/>
                <w:b/>
                <w:sz w:val="18"/>
                <w:szCs w:val="18"/>
              </w:rPr>
              <w:t>179,757</w:t>
            </w:r>
          </w:p>
        </w:tc>
        <w:tc>
          <w:tcPr>
            <w:tcW w:w="1560" w:type="dxa"/>
          </w:tcPr>
          <w:p w14:paraId="2594F161" w14:textId="6DDCFB6F" w:rsidR="00217651" w:rsidRPr="00663746" w:rsidRDefault="00217651" w:rsidP="00217651">
            <w:pPr>
              <w:tabs>
                <w:tab w:val="decimal" w:pos="1426"/>
              </w:tabs>
              <w:ind w:right="-144"/>
              <w:rPr>
                <w:rFonts w:cs="Arial"/>
                <w:b/>
                <w:sz w:val="18"/>
                <w:szCs w:val="18"/>
              </w:rPr>
            </w:pPr>
            <w:r>
              <w:rPr>
                <w:rFonts w:cs="Arial"/>
                <w:b/>
                <w:sz w:val="18"/>
                <w:szCs w:val="18"/>
              </w:rPr>
              <w:t>50,422</w:t>
            </w:r>
          </w:p>
        </w:tc>
        <w:tc>
          <w:tcPr>
            <w:tcW w:w="1559" w:type="dxa"/>
          </w:tcPr>
          <w:p w14:paraId="5DFCEE5A" w14:textId="0573B461" w:rsidR="00217651" w:rsidRPr="00663746" w:rsidRDefault="00217651" w:rsidP="00217651">
            <w:pPr>
              <w:tabs>
                <w:tab w:val="decimal" w:pos="1426"/>
              </w:tabs>
              <w:ind w:right="-144"/>
              <w:rPr>
                <w:rFonts w:cs="Arial"/>
                <w:b/>
                <w:sz w:val="18"/>
                <w:szCs w:val="18"/>
              </w:rPr>
            </w:pPr>
            <w:r>
              <w:rPr>
                <w:rFonts w:cs="Arial"/>
                <w:b/>
                <w:sz w:val="18"/>
                <w:szCs w:val="18"/>
              </w:rPr>
              <w:t>(389)</w:t>
            </w:r>
          </w:p>
        </w:tc>
        <w:tc>
          <w:tcPr>
            <w:tcW w:w="1559" w:type="dxa"/>
          </w:tcPr>
          <w:p w14:paraId="4B50E3E9" w14:textId="00D66575" w:rsidR="00217651" w:rsidRPr="00663746" w:rsidRDefault="00217651" w:rsidP="00217651">
            <w:pPr>
              <w:tabs>
                <w:tab w:val="decimal" w:pos="1426"/>
              </w:tabs>
              <w:ind w:right="-144"/>
              <w:rPr>
                <w:rFonts w:cs="Arial"/>
                <w:b/>
                <w:sz w:val="18"/>
                <w:szCs w:val="18"/>
              </w:rPr>
            </w:pPr>
            <w:r>
              <w:rPr>
                <w:rFonts w:cs="Arial"/>
                <w:b/>
                <w:sz w:val="18"/>
                <w:szCs w:val="18"/>
              </w:rPr>
              <w:t>450,773</w:t>
            </w:r>
          </w:p>
        </w:tc>
        <w:tc>
          <w:tcPr>
            <w:tcW w:w="1559" w:type="dxa"/>
          </w:tcPr>
          <w:p w14:paraId="79444D17" w14:textId="3ACB2DE8" w:rsidR="00217651" w:rsidRPr="00663746" w:rsidRDefault="00217651" w:rsidP="00217651">
            <w:pPr>
              <w:tabs>
                <w:tab w:val="decimal" w:pos="1426"/>
              </w:tabs>
              <w:ind w:right="-144"/>
              <w:rPr>
                <w:rFonts w:cs="Arial"/>
                <w:b/>
                <w:sz w:val="18"/>
                <w:szCs w:val="18"/>
              </w:rPr>
            </w:pPr>
            <w:r>
              <w:rPr>
                <w:rFonts w:cs="Arial"/>
                <w:b/>
                <w:sz w:val="18"/>
                <w:szCs w:val="18"/>
              </w:rPr>
              <w:t>681,623</w:t>
            </w:r>
          </w:p>
        </w:tc>
      </w:tr>
      <w:tr w:rsidR="005A49BE" w:rsidRPr="00751747" w14:paraId="7A82124E" w14:textId="77777777" w:rsidTr="00A256E7">
        <w:trPr>
          <w:trHeight w:val="391"/>
        </w:trPr>
        <w:tc>
          <w:tcPr>
            <w:tcW w:w="3392" w:type="dxa"/>
          </w:tcPr>
          <w:p w14:paraId="7479019C" w14:textId="77777777" w:rsidR="005A49BE" w:rsidRPr="00663746" w:rsidRDefault="005A49BE" w:rsidP="005A49BE">
            <w:pPr>
              <w:rPr>
                <w:rFonts w:cs="Arial"/>
                <w:b/>
                <w:sz w:val="18"/>
                <w:szCs w:val="18"/>
              </w:rPr>
            </w:pPr>
          </w:p>
        </w:tc>
        <w:tc>
          <w:tcPr>
            <w:tcW w:w="1843" w:type="dxa"/>
          </w:tcPr>
          <w:p w14:paraId="613FC48B" w14:textId="4C662196" w:rsidR="005A49BE" w:rsidRPr="00663746" w:rsidRDefault="005A49BE" w:rsidP="005A49BE">
            <w:pPr>
              <w:tabs>
                <w:tab w:val="decimal" w:pos="1426"/>
              </w:tabs>
              <w:ind w:right="-144"/>
              <w:rPr>
                <w:rFonts w:cs="Arial"/>
                <w:sz w:val="18"/>
                <w:szCs w:val="18"/>
                <w:u w:val="double"/>
              </w:rPr>
            </w:pPr>
            <w:r w:rsidRPr="7821F417">
              <w:rPr>
                <w:rFonts w:cs="Arial"/>
                <w:sz w:val="18"/>
                <w:szCs w:val="18"/>
                <w:u w:val="double"/>
              </w:rPr>
              <w:t>                  </w:t>
            </w:r>
          </w:p>
        </w:tc>
        <w:tc>
          <w:tcPr>
            <w:tcW w:w="1559" w:type="dxa"/>
          </w:tcPr>
          <w:p w14:paraId="6663E089" w14:textId="38DCA591" w:rsidR="005A49BE" w:rsidRPr="00663746" w:rsidRDefault="005A49BE" w:rsidP="005A49BE">
            <w:pPr>
              <w:tabs>
                <w:tab w:val="decimal" w:pos="1426"/>
              </w:tabs>
              <w:ind w:right="-144"/>
              <w:rPr>
                <w:rFonts w:cs="Arial"/>
                <w:sz w:val="18"/>
                <w:szCs w:val="18"/>
                <w:u w:val="double"/>
              </w:rPr>
            </w:pPr>
            <w:r w:rsidRPr="7821F417">
              <w:rPr>
                <w:rFonts w:cs="Arial"/>
                <w:sz w:val="18"/>
                <w:szCs w:val="18"/>
                <w:u w:val="double"/>
              </w:rPr>
              <w:t>                  </w:t>
            </w:r>
          </w:p>
        </w:tc>
        <w:tc>
          <w:tcPr>
            <w:tcW w:w="1559" w:type="dxa"/>
          </w:tcPr>
          <w:p w14:paraId="20A9D205" w14:textId="3D247CBB" w:rsidR="005A49BE" w:rsidRPr="00663746" w:rsidRDefault="005A49BE" w:rsidP="005A49BE">
            <w:pPr>
              <w:tabs>
                <w:tab w:val="decimal" w:pos="1426"/>
              </w:tabs>
              <w:ind w:right="-144"/>
              <w:rPr>
                <w:rFonts w:cs="Arial"/>
                <w:sz w:val="18"/>
                <w:szCs w:val="18"/>
                <w:u w:val="double"/>
              </w:rPr>
            </w:pPr>
            <w:r w:rsidRPr="7821F417">
              <w:rPr>
                <w:rFonts w:cs="Arial"/>
                <w:sz w:val="18"/>
                <w:szCs w:val="18"/>
                <w:u w:val="double"/>
              </w:rPr>
              <w:t>                  </w:t>
            </w:r>
          </w:p>
        </w:tc>
        <w:tc>
          <w:tcPr>
            <w:tcW w:w="1559" w:type="dxa"/>
          </w:tcPr>
          <w:p w14:paraId="2DEAD306" w14:textId="7F771ACA" w:rsidR="005A49BE" w:rsidRPr="00663746" w:rsidRDefault="005A49BE" w:rsidP="005A49BE">
            <w:pPr>
              <w:tabs>
                <w:tab w:val="decimal" w:pos="1426"/>
              </w:tabs>
              <w:ind w:right="-144"/>
              <w:rPr>
                <w:rFonts w:cs="Arial"/>
                <w:sz w:val="18"/>
                <w:szCs w:val="18"/>
                <w:u w:val="double"/>
              </w:rPr>
            </w:pPr>
            <w:r w:rsidRPr="7821F417">
              <w:rPr>
                <w:rFonts w:cs="Arial"/>
                <w:sz w:val="18"/>
                <w:szCs w:val="18"/>
                <w:u w:val="double"/>
              </w:rPr>
              <w:t>                  </w:t>
            </w:r>
          </w:p>
        </w:tc>
        <w:tc>
          <w:tcPr>
            <w:tcW w:w="1560" w:type="dxa"/>
          </w:tcPr>
          <w:p w14:paraId="24AE526A" w14:textId="4BD7E961" w:rsidR="005A49BE" w:rsidRPr="00663746" w:rsidRDefault="005A49BE" w:rsidP="005A49BE">
            <w:pPr>
              <w:tabs>
                <w:tab w:val="decimal" w:pos="1426"/>
              </w:tabs>
              <w:ind w:right="-144"/>
              <w:rPr>
                <w:rFonts w:cs="Arial"/>
                <w:sz w:val="18"/>
                <w:szCs w:val="18"/>
                <w:u w:val="double"/>
              </w:rPr>
            </w:pPr>
            <w:r w:rsidRPr="7821F417">
              <w:rPr>
                <w:rFonts w:cs="Arial"/>
                <w:sz w:val="18"/>
                <w:szCs w:val="18"/>
                <w:u w:val="double"/>
              </w:rPr>
              <w:t>                  </w:t>
            </w:r>
          </w:p>
        </w:tc>
        <w:tc>
          <w:tcPr>
            <w:tcW w:w="1559" w:type="dxa"/>
          </w:tcPr>
          <w:p w14:paraId="4E9C800D" w14:textId="524AB5E4" w:rsidR="005A49BE" w:rsidRPr="00663746" w:rsidRDefault="005A49BE" w:rsidP="005A49BE">
            <w:pPr>
              <w:tabs>
                <w:tab w:val="decimal" w:pos="1426"/>
              </w:tabs>
              <w:ind w:right="-144"/>
              <w:rPr>
                <w:rFonts w:cs="Arial"/>
                <w:sz w:val="18"/>
                <w:szCs w:val="18"/>
                <w:u w:val="double"/>
              </w:rPr>
            </w:pPr>
            <w:r w:rsidRPr="7821F417">
              <w:rPr>
                <w:rFonts w:cs="Arial"/>
                <w:sz w:val="18"/>
                <w:szCs w:val="18"/>
                <w:u w:val="double"/>
              </w:rPr>
              <w:t>                  </w:t>
            </w:r>
          </w:p>
        </w:tc>
        <w:tc>
          <w:tcPr>
            <w:tcW w:w="1559" w:type="dxa"/>
          </w:tcPr>
          <w:p w14:paraId="64E960DE" w14:textId="4466EAF1" w:rsidR="005A49BE" w:rsidRPr="00663746" w:rsidRDefault="005A49BE" w:rsidP="005A49BE">
            <w:pPr>
              <w:tabs>
                <w:tab w:val="decimal" w:pos="1426"/>
              </w:tabs>
              <w:ind w:right="-144"/>
              <w:rPr>
                <w:rFonts w:cs="Arial"/>
                <w:sz w:val="18"/>
                <w:szCs w:val="18"/>
                <w:u w:val="double"/>
              </w:rPr>
            </w:pPr>
            <w:r w:rsidRPr="7821F417">
              <w:rPr>
                <w:rFonts w:cs="Arial"/>
                <w:sz w:val="18"/>
                <w:szCs w:val="18"/>
                <w:u w:val="double"/>
              </w:rPr>
              <w:t>                  </w:t>
            </w:r>
          </w:p>
        </w:tc>
        <w:tc>
          <w:tcPr>
            <w:tcW w:w="1559" w:type="dxa"/>
          </w:tcPr>
          <w:p w14:paraId="6835FEEF" w14:textId="04B7F32B" w:rsidR="005A49BE" w:rsidRPr="00663746" w:rsidRDefault="005A49BE" w:rsidP="005A49BE">
            <w:pPr>
              <w:tabs>
                <w:tab w:val="decimal" w:pos="1426"/>
              </w:tabs>
              <w:ind w:right="-144"/>
              <w:rPr>
                <w:rFonts w:cs="Arial"/>
                <w:sz w:val="18"/>
                <w:szCs w:val="18"/>
                <w:u w:val="double"/>
              </w:rPr>
            </w:pPr>
            <w:r w:rsidRPr="7821F417">
              <w:rPr>
                <w:rFonts w:cs="Arial"/>
                <w:sz w:val="18"/>
                <w:szCs w:val="18"/>
                <w:u w:val="double"/>
              </w:rPr>
              <w:t>                  </w:t>
            </w:r>
          </w:p>
        </w:tc>
      </w:tr>
    </w:tbl>
    <w:p w14:paraId="18EDCDF0" w14:textId="77777777" w:rsidR="00BB2A2A" w:rsidRDefault="00BB2A2A" w:rsidP="000F5D21"/>
    <w:p w14:paraId="7A5ED004" w14:textId="7602204A" w:rsidR="00BB2A2A" w:rsidRPr="00BB2A2A" w:rsidRDefault="00BB2A2A" w:rsidP="00BB2A2A">
      <w:pPr>
        <w:tabs>
          <w:tab w:val="left" w:pos="750"/>
        </w:tabs>
        <w:sectPr w:rsidR="00BB2A2A" w:rsidRPr="00BB2A2A" w:rsidSect="008D4648">
          <w:headerReference w:type="default" r:id="rId49"/>
          <w:footerReference w:type="even" r:id="rId50"/>
          <w:footerReference w:type="default" r:id="rId51"/>
          <w:footerReference w:type="first" r:id="rId52"/>
          <w:pgSz w:w="16834" w:h="11909" w:orient="landscape" w:code="9"/>
          <w:pgMar w:top="1077" w:right="1077" w:bottom="1440" w:left="1080" w:header="1134" w:footer="709" w:gutter="0"/>
          <w:cols w:space="708"/>
          <w:docGrid w:linePitch="360"/>
        </w:sectPr>
      </w:pPr>
      <w:r>
        <w:tab/>
      </w:r>
    </w:p>
    <w:tbl>
      <w:tblPr>
        <w:tblW w:w="9014" w:type="dxa"/>
        <w:tblLayout w:type="fixed"/>
        <w:tblCellMar>
          <w:left w:w="0" w:type="dxa"/>
          <w:right w:w="115" w:type="dxa"/>
        </w:tblCellMar>
        <w:tblLook w:val="04A0" w:firstRow="1" w:lastRow="0" w:firstColumn="1" w:lastColumn="0" w:noHBand="0" w:noVBand="1"/>
      </w:tblPr>
      <w:tblGrid>
        <w:gridCol w:w="5184"/>
        <w:gridCol w:w="662"/>
        <w:gridCol w:w="1584"/>
        <w:gridCol w:w="1584"/>
      </w:tblGrid>
      <w:tr w:rsidR="00B7730E" w:rsidRPr="00670755" w14:paraId="704203F9" w14:textId="77777777" w:rsidTr="0F8406B4">
        <w:tc>
          <w:tcPr>
            <w:tcW w:w="5184" w:type="dxa"/>
          </w:tcPr>
          <w:p w14:paraId="7210B7DD" w14:textId="77777777" w:rsidR="00B7730E" w:rsidRDefault="00B7730E" w:rsidP="7821F417">
            <w:pPr>
              <w:jc w:val="both"/>
            </w:pPr>
          </w:p>
        </w:tc>
        <w:tc>
          <w:tcPr>
            <w:tcW w:w="662" w:type="dxa"/>
          </w:tcPr>
          <w:p w14:paraId="066A8A5B" w14:textId="77777777" w:rsidR="00B7730E" w:rsidRPr="00670755" w:rsidRDefault="00B7730E" w:rsidP="006619B4">
            <w:pPr>
              <w:pStyle w:val="Sub-header"/>
              <w:jc w:val="both"/>
            </w:pPr>
          </w:p>
        </w:tc>
        <w:tc>
          <w:tcPr>
            <w:tcW w:w="1584" w:type="dxa"/>
          </w:tcPr>
          <w:p w14:paraId="404A7C48" w14:textId="6CEEF8E6" w:rsidR="00B7730E" w:rsidRPr="7821F417" w:rsidRDefault="00B7730E" w:rsidP="7821F417">
            <w:pPr>
              <w:tabs>
                <w:tab w:val="decimal" w:pos="1424"/>
              </w:tabs>
              <w:jc w:val="both"/>
              <w:rPr>
                <w:rFonts w:cs="Arial"/>
                <w:b/>
                <w:bCs/>
              </w:rPr>
            </w:pPr>
            <w:r w:rsidRPr="00F6791D">
              <w:rPr>
                <w:rFonts w:cs="Arial"/>
                <w:b/>
                <w:sz w:val="18"/>
                <w:szCs w:val="18"/>
              </w:rPr>
              <w:t>Unaudited</w:t>
            </w:r>
          </w:p>
        </w:tc>
        <w:tc>
          <w:tcPr>
            <w:tcW w:w="1584" w:type="dxa"/>
          </w:tcPr>
          <w:p w14:paraId="048EAAFB" w14:textId="26CF7921" w:rsidR="00B7730E" w:rsidRPr="7821F417" w:rsidRDefault="00B7730E" w:rsidP="7821F417">
            <w:pPr>
              <w:tabs>
                <w:tab w:val="decimal" w:pos="1424"/>
              </w:tabs>
              <w:jc w:val="both"/>
              <w:rPr>
                <w:rFonts w:cs="Arial"/>
                <w:b/>
                <w:bCs/>
              </w:rPr>
            </w:pPr>
            <w:r w:rsidRPr="00EC6F18">
              <w:rPr>
                <w:rFonts w:cs="Arial"/>
                <w:b/>
                <w:sz w:val="18"/>
                <w:szCs w:val="18"/>
              </w:rPr>
              <w:t>Unaudited</w:t>
            </w:r>
          </w:p>
        </w:tc>
      </w:tr>
      <w:tr w:rsidR="00415313" w:rsidRPr="00670755" w14:paraId="0F4082F5" w14:textId="77777777" w:rsidTr="0F8406B4">
        <w:tc>
          <w:tcPr>
            <w:tcW w:w="5184" w:type="dxa"/>
          </w:tcPr>
          <w:p w14:paraId="092179EF" w14:textId="64874340" w:rsidR="00415313" w:rsidRPr="00670755" w:rsidRDefault="00A045C3" w:rsidP="7821F417">
            <w:pPr>
              <w:jc w:val="both"/>
              <w:rPr>
                <w:rFonts w:cs="Arial"/>
              </w:rPr>
            </w:pPr>
            <w:r>
              <w:br w:type="page"/>
            </w:r>
            <w:bookmarkStart w:id="7" w:name="_Hlk72416505"/>
            <w:bookmarkEnd w:id="7"/>
          </w:p>
        </w:tc>
        <w:tc>
          <w:tcPr>
            <w:tcW w:w="662" w:type="dxa"/>
          </w:tcPr>
          <w:p w14:paraId="644F8570" w14:textId="77777777" w:rsidR="00415313" w:rsidRPr="00670755" w:rsidRDefault="00415313" w:rsidP="006619B4">
            <w:pPr>
              <w:pStyle w:val="Sub-header"/>
              <w:jc w:val="both"/>
            </w:pPr>
          </w:p>
        </w:tc>
        <w:tc>
          <w:tcPr>
            <w:tcW w:w="1584" w:type="dxa"/>
          </w:tcPr>
          <w:p w14:paraId="59BEFBB1" w14:textId="5096756A" w:rsidR="00415313" w:rsidRDefault="59E80E6A" w:rsidP="7821F417">
            <w:pPr>
              <w:tabs>
                <w:tab w:val="decimal" w:pos="1424"/>
              </w:tabs>
              <w:jc w:val="both"/>
              <w:rPr>
                <w:rFonts w:cs="Arial"/>
                <w:b/>
                <w:bCs/>
              </w:rPr>
            </w:pPr>
            <w:r w:rsidRPr="7821F417">
              <w:rPr>
                <w:rFonts w:cs="Arial"/>
                <w:b/>
                <w:bCs/>
              </w:rPr>
              <w:t>30 June</w:t>
            </w:r>
          </w:p>
        </w:tc>
        <w:tc>
          <w:tcPr>
            <w:tcW w:w="1584" w:type="dxa"/>
          </w:tcPr>
          <w:p w14:paraId="0ECAA59F" w14:textId="626E8AA9" w:rsidR="00415313" w:rsidRDefault="59E80E6A" w:rsidP="7821F417">
            <w:pPr>
              <w:tabs>
                <w:tab w:val="decimal" w:pos="1424"/>
              </w:tabs>
              <w:jc w:val="both"/>
              <w:rPr>
                <w:rFonts w:cs="Arial"/>
                <w:b/>
                <w:bCs/>
              </w:rPr>
            </w:pPr>
            <w:r w:rsidRPr="7821F417">
              <w:rPr>
                <w:rFonts w:cs="Arial"/>
                <w:b/>
                <w:bCs/>
              </w:rPr>
              <w:t>30 June</w:t>
            </w:r>
          </w:p>
        </w:tc>
      </w:tr>
      <w:tr w:rsidR="00F6791D" w:rsidRPr="00670755" w14:paraId="0B64E817" w14:textId="77777777" w:rsidTr="0F8406B4">
        <w:tc>
          <w:tcPr>
            <w:tcW w:w="5184" w:type="dxa"/>
          </w:tcPr>
          <w:p w14:paraId="404F42C6" w14:textId="77777777" w:rsidR="00F6791D" w:rsidRPr="00670755" w:rsidRDefault="00F6791D" w:rsidP="00F6791D">
            <w:pPr>
              <w:jc w:val="both"/>
              <w:rPr>
                <w:rFonts w:cs="Arial"/>
              </w:rPr>
            </w:pPr>
          </w:p>
        </w:tc>
        <w:tc>
          <w:tcPr>
            <w:tcW w:w="662" w:type="dxa"/>
          </w:tcPr>
          <w:p w14:paraId="3BC17607" w14:textId="77777777" w:rsidR="00F6791D" w:rsidRPr="00670755" w:rsidRDefault="00F6791D" w:rsidP="00F6791D">
            <w:pPr>
              <w:pStyle w:val="Sub-header"/>
              <w:jc w:val="both"/>
            </w:pPr>
          </w:p>
        </w:tc>
        <w:tc>
          <w:tcPr>
            <w:tcW w:w="1584" w:type="dxa"/>
          </w:tcPr>
          <w:p w14:paraId="07D9CB0E" w14:textId="2C917126" w:rsidR="00F6791D" w:rsidRPr="00D54546" w:rsidRDefault="00F6791D" w:rsidP="00F6791D">
            <w:pPr>
              <w:tabs>
                <w:tab w:val="decimal" w:pos="1424"/>
              </w:tabs>
              <w:ind w:right="-144"/>
              <w:jc w:val="both"/>
              <w:rPr>
                <w:rFonts w:cs="Arial"/>
                <w:b/>
                <w:bCs/>
              </w:rPr>
            </w:pPr>
            <w:r w:rsidRPr="00D54546">
              <w:rPr>
                <w:rFonts w:cs="Arial"/>
                <w:b/>
                <w:bCs/>
              </w:rPr>
              <w:t>202</w:t>
            </w:r>
            <w:r>
              <w:rPr>
                <w:rFonts w:cs="Arial"/>
                <w:b/>
                <w:bCs/>
              </w:rPr>
              <w:t>5</w:t>
            </w:r>
          </w:p>
        </w:tc>
        <w:tc>
          <w:tcPr>
            <w:tcW w:w="1584" w:type="dxa"/>
          </w:tcPr>
          <w:p w14:paraId="494F89C3" w14:textId="5E351CF8" w:rsidR="00F6791D" w:rsidRPr="00F6791D" w:rsidRDefault="00F6791D" w:rsidP="00F6791D">
            <w:pPr>
              <w:tabs>
                <w:tab w:val="decimal" w:pos="1424"/>
              </w:tabs>
              <w:ind w:right="-144"/>
              <w:jc w:val="both"/>
              <w:rPr>
                <w:rFonts w:cs="Arial"/>
                <w:b/>
                <w:bCs/>
              </w:rPr>
            </w:pPr>
            <w:r w:rsidRPr="00F6791D">
              <w:rPr>
                <w:rFonts w:cs="Arial"/>
                <w:b/>
                <w:bCs/>
              </w:rPr>
              <w:t>2024</w:t>
            </w:r>
          </w:p>
        </w:tc>
      </w:tr>
      <w:tr w:rsidR="00F6791D" w:rsidRPr="00670755" w14:paraId="71F5C3EA" w14:textId="77777777" w:rsidTr="0F8406B4">
        <w:tc>
          <w:tcPr>
            <w:tcW w:w="5184" w:type="dxa"/>
          </w:tcPr>
          <w:p w14:paraId="6D772632" w14:textId="77777777" w:rsidR="00F6791D" w:rsidRPr="00670755" w:rsidRDefault="00F6791D" w:rsidP="00F6791D">
            <w:pPr>
              <w:ind w:right="-144"/>
              <w:jc w:val="both"/>
              <w:rPr>
                <w:rFonts w:cs="Arial"/>
              </w:rPr>
            </w:pPr>
          </w:p>
        </w:tc>
        <w:tc>
          <w:tcPr>
            <w:tcW w:w="662" w:type="dxa"/>
          </w:tcPr>
          <w:p w14:paraId="0F0146AD" w14:textId="5E1EC332" w:rsidR="00F6791D" w:rsidRPr="00670755" w:rsidRDefault="00F6791D" w:rsidP="00F6791D">
            <w:pPr>
              <w:pStyle w:val="Sub-header"/>
              <w:jc w:val="both"/>
            </w:pPr>
            <w:r>
              <w:t>Note</w:t>
            </w:r>
          </w:p>
        </w:tc>
        <w:tc>
          <w:tcPr>
            <w:tcW w:w="1584" w:type="dxa"/>
          </w:tcPr>
          <w:p w14:paraId="3F010DB9" w14:textId="6C3819FD" w:rsidR="00F6791D" w:rsidRPr="00D54546" w:rsidRDefault="00F6791D" w:rsidP="00F6791D">
            <w:pPr>
              <w:tabs>
                <w:tab w:val="decimal" w:pos="1424"/>
              </w:tabs>
              <w:ind w:right="-144"/>
              <w:jc w:val="both"/>
              <w:rPr>
                <w:rFonts w:cs="Arial"/>
                <w:b/>
                <w:bCs/>
              </w:rPr>
            </w:pPr>
            <w:r w:rsidRPr="00D54546">
              <w:rPr>
                <w:rFonts w:cs="Arial"/>
                <w:b/>
                <w:bCs/>
              </w:rPr>
              <w:t>€’000</w:t>
            </w:r>
          </w:p>
        </w:tc>
        <w:tc>
          <w:tcPr>
            <w:tcW w:w="1584" w:type="dxa"/>
          </w:tcPr>
          <w:p w14:paraId="267858DC" w14:textId="7AAB2FCD" w:rsidR="00F6791D" w:rsidRPr="00F6791D" w:rsidRDefault="00F6791D" w:rsidP="00F6791D">
            <w:pPr>
              <w:tabs>
                <w:tab w:val="decimal" w:pos="1424"/>
              </w:tabs>
              <w:ind w:right="-144"/>
              <w:jc w:val="both"/>
              <w:rPr>
                <w:rFonts w:cs="Arial"/>
                <w:b/>
                <w:bCs/>
              </w:rPr>
            </w:pPr>
            <w:r w:rsidRPr="00F6791D">
              <w:rPr>
                <w:rFonts w:cs="Arial"/>
                <w:b/>
                <w:bCs/>
              </w:rPr>
              <w:t>€’000</w:t>
            </w:r>
          </w:p>
        </w:tc>
      </w:tr>
      <w:tr w:rsidR="00F6791D" w:rsidRPr="00670755" w14:paraId="62BAF9B8" w14:textId="77777777" w:rsidTr="0F8406B4">
        <w:tc>
          <w:tcPr>
            <w:tcW w:w="5184" w:type="dxa"/>
          </w:tcPr>
          <w:p w14:paraId="7C69D999" w14:textId="77777777" w:rsidR="00F6791D" w:rsidRPr="00670755" w:rsidRDefault="00F6791D" w:rsidP="00F6791D">
            <w:pPr>
              <w:ind w:right="-144"/>
              <w:jc w:val="both"/>
              <w:rPr>
                <w:rFonts w:cs="Arial"/>
                <w:b/>
                <w:bCs/>
              </w:rPr>
            </w:pPr>
            <w:r w:rsidRPr="7821F417">
              <w:rPr>
                <w:rFonts w:cs="Arial"/>
                <w:b/>
                <w:bCs/>
              </w:rPr>
              <w:t>Cash flows from operating activities</w:t>
            </w:r>
          </w:p>
        </w:tc>
        <w:tc>
          <w:tcPr>
            <w:tcW w:w="662" w:type="dxa"/>
          </w:tcPr>
          <w:p w14:paraId="03CDAA83" w14:textId="77777777" w:rsidR="00F6791D" w:rsidRPr="00670755" w:rsidRDefault="00F6791D" w:rsidP="00F6791D">
            <w:pPr>
              <w:pStyle w:val="Sub-header"/>
              <w:jc w:val="both"/>
            </w:pPr>
          </w:p>
        </w:tc>
        <w:tc>
          <w:tcPr>
            <w:tcW w:w="1584" w:type="dxa"/>
          </w:tcPr>
          <w:p w14:paraId="041314AC" w14:textId="77777777" w:rsidR="00F6791D" w:rsidRPr="00E50150" w:rsidRDefault="00F6791D" w:rsidP="00F6791D">
            <w:pPr>
              <w:tabs>
                <w:tab w:val="decimal" w:pos="1424"/>
              </w:tabs>
              <w:ind w:right="-144"/>
              <w:jc w:val="both"/>
              <w:rPr>
                <w:rFonts w:cs="Arial"/>
              </w:rPr>
            </w:pPr>
          </w:p>
        </w:tc>
        <w:tc>
          <w:tcPr>
            <w:tcW w:w="1584" w:type="dxa"/>
          </w:tcPr>
          <w:p w14:paraId="6B0CBCFC" w14:textId="77777777" w:rsidR="00F6791D" w:rsidRPr="00F6791D" w:rsidRDefault="00F6791D" w:rsidP="00F6791D">
            <w:pPr>
              <w:tabs>
                <w:tab w:val="decimal" w:pos="1424"/>
              </w:tabs>
              <w:ind w:right="-144"/>
              <w:jc w:val="both"/>
              <w:rPr>
                <w:rFonts w:cs="Arial"/>
              </w:rPr>
            </w:pPr>
          </w:p>
        </w:tc>
      </w:tr>
      <w:tr w:rsidR="00F6791D" w:rsidRPr="00670755" w14:paraId="79CA8AA0" w14:textId="77777777" w:rsidTr="0F8406B4">
        <w:tc>
          <w:tcPr>
            <w:tcW w:w="5184" w:type="dxa"/>
          </w:tcPr>
          <w:p w14:paraId="3A0AF085" w14:textId="5622D142" w:rsidR="00F6791D" w:rsidRPr="00670755" w:rsidRDefault="00F6791D" w:rsidP="00F6791D">
            <w:pPr>
              <w:ind w:right="-144"/>
              <w:jc w:val="both"/>
              <w:rPr>
                <w:rFonts w:cs="Arial"/>
              </w:rPr>
            </w:pPr>
            <w:r w:rsidRPr="7821F417">
              <w:rPr>
                <w:rFonts w:cs="Arial"/>
              </w:rPr>
              <w:t>Profit for the period</w:t>
            </w:r>
          </w:p>
        </w:tc>
        <w:tc>
          <w:tcPr>
            <w:tcW w:w="662" w:type="dxa"/>
          </w:tcPr>
          <w:p w14:paraId="50B9EEA4" w14:textId="77777777" w:rsidR="00F6791D" w:rsidRPr="00670755" w:rsidRDefault="00F6791D" w:rsidP="00F6791D">
            <w:pPr>
              <w:pStyle w:val="Sub-header"/>
              <w:jc w:val="both"/>
            </w:pPr>
          </w:p>
        </w:tc>
        <w:tc>
          <w:tcPr>
            <w:tcW w:w="1584" w:type="dxa"/>
          </w:tcPr>
          <w:p w14:paraId="0804D8A2" w14:textId="40C7B37E" w:rsidR="00F6791D" w:rsidRPr="008C1108" w:rsidRDefault="00042795" w:rsidP="00F6791D">
            <w:pPr>
              <w:tabs>
                <w:tab w:val="decimal" w:pos="1424"/>
              </w:tabs>
              <w:ind w:right="-144"/>
              <w:jc w:val="both"/>
              <w:rPr>
                <w:rFonts w:cs="Arial"/>
                <w:b/>
                <w:bCs/>
              </w:rPr>
            </w:pPr>
            <w:r>
              <w:rPr>
                <w:rFonts w:cs="Arial"/>
                <w:b/>
                <w:bCs/>
              </w:rPr>
              <w:t>28,356</w:t>
            </w:r>
          </w:p>
        </w:tc>
        <w:tc>
          <w:tcPr>
            <w:tcW w:w="1584" w:type="dxa"/>
          </w:tcPr>
          <w:p w14:paraId="3CF7642B" w14:textId="3BF4AC44" w:rsidR="00F6791D" w:rsidRPr="00F6791D" w:rsidRDefault="00F6791D" w:rsidP="00F6791D">
            <w:pPr>
              <w:tabs>
                <w:tab w:val="decimal" w:pos="1424"/>
              </w:tabs>
              <w:ind w:right="-144"/>
              <w:jc w:val="both"/>
              <w:rPr>
                <w:rFonts w:eastAsia="Calibri" w:cs="Arial"/>
                <w:szCs w:val="20"/>
              </w:rPr>
            </w:pPr>
            <w:r w:rsidRPr="00F6791D">
              <w:rPr>
                <w:rFonts w:cs="Arial"/>
              </w:rPr>
              <w:t>670</w:t>
            </w:r>
          </w:p>
        </w:tc>
      </w:tr>
      <w:tr w:rsidR="00F6791D" w:rsidRPr="00670755" w14:paraId="24339542" w14:textId="77777777" w:rsidTr="0F8406B4">
        <w:tc>
          <w:tcPr>
            <w:tcW w:w="5184" w:type="dxa"/>
          </w:tcPr>
          <w:p w14:paraId="6A35277D" w14:textId="77777777" w:rsidR="00F6791D" w:rsidRPr="004F319F" w:rsidRDefault="00F6791D" w:rsidP="00F6791D">
            <w:pPr>
              <w:ind w:right="-144"/>
              <w:jc w:val="both"/>
              <w:rPr>
                <w:rFonts w:cs="Arial"/>
              </w:rPr>
            </w:pPr>
            <w:r w:rsidRPr="7821F417">
              <w:rPr>
                <w:rFonts w:cs="Arial"/>
                <w:i/>
                <w:iCs/>
              </w:rPr>
              <w:t>Adjustments for</w:t>
            </w:r>
            <w:r w:rsidRPr="7821F417">
              <w:rPr>
                <w:rFonts w:cs="Arial"/>
              </w:rPr>
              <w:t>:</w:t>
            </w:r>
          </w:p>
        </w:tc>
        <w:tc>
          <w:tcPr>
            <w:tcW w:w="662" w:type="dxa"/>
          </w:tcPr>
          <w:p w14:paraId="1438E0EC" w14:textId="77777777" w:rsidR="00F6791D" w:rsidRDefault="00F6791D" w:rsidP="00F6791D">
            <w:pPr>
              <w:pStyle w:val="Sub-header"/>
              <w:jc w:val="both"/>
            </w:pPr>
          </w:p>
        </w:tc>
        <w:tc>
          <w:tcPr>
            <w:tcW w:w="1584" w:type="dxa"/>
          </w:tcPr>
          <w:p w14:paraId="65197089" w14:textId="77777777" w:rsidR="00F6791D" w:rsidRPr="008C1108" w:rsidRDefault="00F6791D" w:rsidP="00F6791D">
            <w:pPr>
              <w:tabs>
                <w:tab w:val="decimal" w:pos="1424"/>
              </w:tabs>
              <w:ind w:right="-144"/>
              <w:jc w:val="both"/>
              <w:rPr>
                <w:rFonts w:cs="Arial"/>
                <w:b/>
                <w:bCs/>
              </w:rPr>
            </w:pPr>
          </w:p>
        </w:tc>
        <w:tc>
          <w:tcPr>
            <w:tcW w:w="1584" w:type="dxa"/>
          </w:tcPr>
          <w:p w14:paraId="1BFF1775" w14:textId="77777777" w:rsidR="00F6791D" w:rsidRPr="00F6791D" w:rsidRDefault="00F6791D" w:rsidP="00F6791D">
            <w:pPr>
              <w:tabs>
                <w:tab w:val="decimal" w:pos="1424"/>
              </w:tabs>
              <w:ind w:right="-144"/>
              <w:jc w:val="both"/>
              <w:rPr>
                <w:rFonts w:cs="Arial"/>
              </w:rPr>
            </w:pPr>
          </w:p>
        </w:tc>
      </w:tr>
      <w:tr w:rsidR="00F6791D" w:rsidRPr="00FD5F81" w14:paraId="1C6BEC67" w14:textId="77777777" w:rsidTr="0F8406B4">
        <w:tc>
          <w:tcPr>
            <w:tcW w:w="5184" w:type="dxa"/>
          </w:tcPr>
          <w:p w14:paraId="69F1CFD4" w14:textId="77777777" w:rsidR="00F6791D" w:rsidRPr="00C06751" w:rsidRDefault="00F6791D" w:rsidP="00F6791D">
            <w:pPr>
              <w:ind w:right="-144"/>
              <w:jc w:val="both"/>
              <w:rPr>
                <w:rFonts w:cs="Arial"/>
              </w:rPr>
            </w:pPr>
            <w:r w:rsidRPr="00C06751">
              <w:rPr>
                <w:rFonts w:cs="Arial"/>
              </w:rPr>
              <w:t>Depreciation and amortisation</w:t>
            </w:r>
          </w:p>
        </w:tc>
        <w:tc>
          <w:tcPr>
            <w:tcW w:w="662" w:type="dxa"/>
          </w:tcPr>
          <w:p w14:paraId="7CBEE376" w14:textId="67EFD214" w:rsidR="00F6791D" w:rsidRPr="00670755" w:rsidRDefault="00F6791D" w:rsidP="00F6791D">
            <w:pPr>
              <w:pStyle w:val="Sub-header"/>
              <w:jc w:val="both"/>
            </w:pPr>
          </w:p>
        </w:tc>
        <w:tc>
          <w:tcPr>
            <w:tcW w:w="1584" w:type="dxa"/>
          </w:tcPr>
          <w:p w14:paraId="422911D7" w14:textId="459809BC" w:rsidR="00F6791D" w:rsidRPr="008C1108" w:rsidRDefault="000B6DC5" w:rsidP="00F6791D">
            <w:pPr>
              <w:tabs>
                <w:tab w:val="decimal" w:pos="1424"/>
              </w:tabs>
              <w:ind w:right="-144"/>
              <w:jc w:val="both"/>
              <w:rPr>
                <w:rFonts w:cs="Arial"/>
                <w:b/>
                <w:bCs/>
              </w:rPr>
            </w:pPr>
            <w:r>
              <w:rPr>
                <w:rFonts w:cs="Arial"/>
                <w:b/>
                <w:bCs/>
              </w:rPr>
              <w:t>1,693</w:t>
            </w:r>
          </w:p>
        </w:tc>
        <w:tc>
          <w:tcPr>
            <w:tcW w:w="1584" w:type="dxa"/>
          </w:tcPr>
          <w:p w14:paraId="3C9E3534" w14:textId="66C8C30A" w:rsidR="00F6791D" w:rsidRPr="00F6791D" w:rsidRDefault="00F6791D" w:rsidP="00F6791D">
            <w:pPr>
              <w:tabs>
                <w:tab w:val="decimal" w:pos="1424"/>
              </w:tabs>
              <w:ind w:right="-144"/>
              <w:jc w:val="both"/>
              <w:rPr>
                <w:rFonts w:cs="Arial"/>
              </w:rPr>
            </w:pPr>
            <w:r w:rsidRPr="00F6791D">
              <w:rPr>
                <w:rFonts w:cs="Arial"/>
              </w:rPr>
              <w:t>1,356</w:t>
            </w:r>
          </w:p>
        </w:tc>
      </w:tr>
      <w:tr w:rsidR="00F6791D" w:rsidRPr="00FD5F81" w14:paraId="12290DBC" w14:textId="77777777" w:rsidTr="0F8406B4">
        <w:tc>
          <w:tcPr>
            <w:tcW w:w="5184" w:type="dxa"/>
          </w:tcPr>
          <w:p w14:paraId="7358DD18" w14:textId="77777777" w:rsidR="00F6791D" w:rsidRPr="00C06751" w:rsidRDefault="00F6791D" w:rsidP="00F6791D">
            <w:pPr>
              <w:ind w:right="-144"/>
              <w:jc w:val="both"/>
              <w:rPr>
                <w:rFonts w:cs="Arial"/>
              </w:rPr>
            </w:pPr>
            <w:r w:rsidRPr="00C06751">
              <w:rPr>
                <w:rFonts w:cs="Arial"/>
              </w:rPr>
              <w:t>Finance costs</w:t>
            </w:r>
          </w:p>
        </w:tc>
        <w:tc>
          <w:tcPr>
            <w:tcW w:w="662" w:type="dxa"/>
          </w:tcPr>
          <w:p w14:paraId="3326CBF8" w14:textId="77777777" w:rsidR="00F6791D" w:rsidRPr="00670755" w:rsidRDefault="00F6791D" w:rsidP="00F6791D">
            <w:pPr>
              <w:pStyle w:val="Sub-header"/>
              <w:jc w:val="both"/>
            </w:pPr>
          </w:p>
        </w:tc>
        <w:tc>
          <w:tcPr>
            <w:tcW w:w="1584" w:type="dxa"/>
          </w:tcPr>
          <w:p w14:paraId="726BB272" w14:textId="7D7B726F" w:rsidR="00F6791D" w:rsidRPr="008C1108" w:rsidRDefault="000B6DC5" w:rsidP="00F6791D">
            <w:pPr>
              <w:tabs>
                <w:tab w:val="decimal" w:pos="1424"/>
              </w:tabs>
              <w:ind w:right="-144"/>
              <w:jc w:val="both"/>
              <w:rPr>
                <w:rFonts w:cs="Arial"/>
                <w:b/>
                <w:bCs/>
              </w:rPr>
            </w:pPr>
            <w:r>
              <w:rPr>
                <w:rFonts w:cs="Arial"/>
                <w:b/>
                <w:bCs/>
              </w:rPr>
              <w:t>9,612</w:t>
            </w:r>
          </w:p>
        </w:tc>
        <w:tc>
          <w:tcPr>
            <w:tcW w:w="1584" w:type="dxa"/>
          </w:tcPr>
          <w:p w14:paraId="28A9B8F3" w14:textId="7B1A6CFE" w:rsidR="00F6791D" w:rsidRPr="00F6791D" w:rsidRDefault="00F6791D" w:rsidP="00F6791D">
            <w:pPr>
              <w:tabs>
                <w:tab w:val="decimal" w:pos="1424"/>
              </w:tabs>
              <w:ind w:right="-144"/>
              <w:jc w:val="both"/>
              <w:rPr>
                <w:rFonts w:cs="Arial"/>
              </w:rPr>
            </w:pPr>
            <w:r w:rsidRPr="00F6791D">
              <w:rPr>
                <w:rFonts w:cs="Arial"/>
              </w:rPr>
              <w:t>7,654</w:t>
            </w:r>
          </w:p>
        </w:tc>
      </w:tr>
      <w:tr w:rsidR="00F6791D" w:rsidRPr="00FD5F81" w14:paraId="20F18E48" w14:textId="77777777" w:rsidTr="0F8406B4">
        <w:tc>
          <w:tcPr>
            <w:tcW w:w="5184" w:type="dxa"/>
          </w:tcPr>
          <w:p w14:paraId="29430562" w14:textId="44C3D9A3" w:rsidR="00F6791D" w:rsidRPr="00C06751" w:rsidRDefault="00F6791D" w:rsidP="00F6791D">
            <w:pPr>
              <w:ind w:right="-144"/>
              <w:jc w:val="both"/>
              <w:rPr>
                <w:rFonts w:cs="Arial"/>
              </w:rPr>
            </w:pPr>
            <w:r w:rsidRPr="00C06751">
              <w:rPr>
                <w:rFonts w:cs="Arial"/>
              </w:rPr>
              <w:t>Profit on sale of property, plant and equipment</w:t>
            </w:r>
          </w:p>
        </w:tc>
        <w:tc>
          <w:tcPr>
            <w:tcW w:w="662" w:type="dxa"/>
          </w:tcPr>
          <w:p w14:paraId="0B3256EC" w14:textId="012A1140" w:rsidR="00F6791D" w:rsidRDefault="00F6791D" w:rsidP="00F6791D">
            <w:pPr>
              <w:pStyle w:val="Sub-header"/>
              <w:jc w:val="both"/>
            </w:pPr>
          </w:p>
        </w:tc>
        <w:tc>
          <w:tcPr>
            <w:tcW w:w="1584" w:type="dxa"/>
          </w:tcPr>
          <w:p w14:paraId="253D58CE" w14:textId="6D974A3F" w:rsidR="00F6791D" w:rsidRPr="008C1108" w:rsidRDefault="000B6DC5" w:rsidP="00F6791D">
            <w:pPr>
              <w:tabs>
                <w:tab w:val="decimal" w:pos="1424"/>
              </w:tabs>
              <w:ind w:right="-144"/>
              <w:jc w:val="both"/>
              <w:rPr>
                <w:rFonts w:cs="Arial"/>
                <w:b/>
                <w:bCs/>
              </w:rPr>
            </w:pPr>
            <w:r>
              <w:rPr>
                <w:rFonts w:cs="Arial"/>
                <w:b/>
                <w:bCs/>
              </w:rPr>
              <w:t>(14)</w:t>
            </w:r>
          </w:p>
        </w:tc>
        <w:tc>
          <w:tcPr>
            <w:tcW w:w="1584" w:type="dxa"/>
          </w:tcPr>
          <w:p w14:paraId="3D848BBC" w14:textId="4F9D8972" w:rsidR="00F6791D" w:rsidRPr="00F6791D" w:rsidRDefault="00F6791D" w:rsidP="00F6791D">
            <w:pPr>
              <w:tabs>
                <w:tab w:val="decimal" w:pos="1424"/>
              </w:tabs>
              <w:ind w:right="-144"/>
              <w:jc w:val="both"/>
              <w:rPr>
                <w:rFonts w:cs="Arial"/>
              </w:rPr>
            </w:pPr>
            <w:r w:rsidRPr="00F6791D">
              <w:rPr>
                <w:rFonts w:cs="Arial"/>
              </w:rPr>
              <w:t>(27)</w:t>
            </w:r>
          </w:p>
        </w:tc>
      </w:tr>
      <w:tr w:rsidR="00F6791D" w:rsidRPr="00FD5F81" w14:paraId="4BC2D6BE" w14:textId="77777777" w:rsidTr="0F8406B4">
        <w:tc>
          <w:tcPr>
            <w:tcW w:w="5184" w:type="dxa"/>
          </w:tcPr>
          <w:p w14:paraId="4C009567" w14:textId="77777777" w:rsidR="00F6791D" w:rsidRPr="00C06751" w:rsidRDefault="00F6791D" w:rsidP="00F6791D">
            <w:pPr>
              <w:ind w:right="-144"/>
              <w:jc w:val="both"/>
              <w:rPr>
                <w:rFonts w:cs="Arial"/>
              </w:rPr>
            </w:pPr>
            <w:r w:rsidRPr="00C06751">
              <w:rPr>
                <w:rFonts w:cs="Arial"/>
              </w:rPr>
              <w:t>Equity-settled share-based payment expense</w:t>
            </w:r>
          </w:p>
        </w:tc>
        <w:tc>
          <w:tcPr>
            <w:tcW w:w="662" w:type="dxa"/>
          </w:tcPr>
          <w:p w14:paraId="4D705B6C" w14:textId="0D2B85F5" w:rsidR="00F6791D" w:rsidRPr="00670755" w:rsidRDefault="00F6791D" w:rsidP="00F6791D">
            <w:pPr>
              <w:pStyle w:val="Sub-header"/>
              <w:jc w:val="center"/>
            </w:pPr>
            <w:r>
              <w:t>9</w:t>
            </w:r>
          </w:p>
        </w:tc>
        <w:tc>
          <w:tcPr>
            <w:tcW w:w="1584" w:type="dxa"/>
          </w:tcPr>
          <w:p w14:paraId="6A701141" w14:textId="36190864" w:rsidR="00F6791D" w:rsidRPr="008C1108" w:rsidRDefault="000B6DC5" w:rsidP="00F6791D">
            <w:pPr>
              <w:tabs>
                <w:tab w:val="decimal" w:pos="1424"/>
              </w:tabs>
              <w:ind w:right="-144"/>
              <w:jc w:val="both"/>
              <w:rPr>
                <w:rFonts w:cs="Arial"/>
                <w:b/>
                <w:bCs/>
              </w:rPr>
            </w:pPr>
            <w:r>
              <w:rPr>
                <w:rFonts w:cs="Arial"/>
                <w:b/>
                <w:bCs/>
              </w:rPr>
              <w:t>3,200</w:t>
            </w:r>
          </w:p>
        </w:tc>
        <w:tc>
          <w:tcPr>
            <w:tcW w:w="1584" w:type="dxa"/>
          </w:tcPr>
          <w:p w14:paraId="6852CE57" w14:textId="718A6DA6" w:rsidR="00F6791D" w:rsidRPr="00F6791D" w:rsidRDefault="00F6791D" w:rsidP="00F6791D">
            <w:pPr>
              <w:tabs>
                <w:tab w:val="decimal" w:pos="1424"/>
              </w:tabs>
              <w:ind w:right="-144"/>
              <w:jc w:val="both"/>
              <w:rPr>
                <w:rFonts w:cs="Arial"/>
              </w:rPr>
            </w:pPr>
            <w:r w:rsidRPr="00F6791D">
              <w:rPr>
                <w:rFonts w:cs="Arial"/>
              </w:rPr>
              <w:t>1,523</w:t>
            </w:r>
          </w:p>
        </w:tc>
      </w:tr>
      <w:tr w:rsidR="00F6791D" w:rsidRPr="00FD5F81" w14:paraId="127D8BF7" w14:textId="77777777" w:rsidTr="0F8406B4">
        <w:tc>
          <w:tcPr>
            <w:tcW w:w="5184" w:type="dxa"/>
          </w:tcPr>
          <w:p w14:paraId="0CB50986" w14:textId="558F693B" w:rsidR="00F6791D" w:rsidRPr="00C06751" w:rsidRDefault="00F6791D" w:rsidP="00F6791D">
            <w:pPr>
              <w:ind w:right="-144"/>
              <w:jc w:val="both"/>
              <w:rPr>
                <w:rFonts w:cs="Arial"/>
              </w:rPr>
            </w:pPr>
            <w:r w:rsidRPr="00C06751">
              <w:rPr>
                <w:rFonts w:cs="Arial"/>
              </w:rPr>
              <w:t xml:space="preserve">Tax expense </w:t>
            </w:r>
          </w:p>
        </w:tc>
        <w:tc>
          <w:tcPr>
            <w:tcW w:w="662" w:type="dxa"/>
          </w:tcPr>
          <w:p w14:paraId="183B0CA2" w14:textId="1A5B2945" w:rsidR="00F6791D" w:rsidRPr="00670755" w:rsidRDefault="00F6791D" w:rsidP="00F6791D">
            <w:pPr>
              <w:pStyle w:val="Sub-header"/>
              <w:jc w:val="center"/>
            </w:pPr>
            <w:r>
              <w:t>10</w:t>
            </w:r>
          </w:p>
        </w:tc>
        <w:tc>
          <w:tcPr>
            <w:tcW w:w="1584" w:type="dxa"/>
          </w:tcPr>
          <w:p w14:paraId="2C606A1C" w14:textId="72C8048A" w:rsidR="00F6791D" w:rsidRPr="008C1108" w:rsidRDefault="00156657" w:rsidP="00F6791D">
            <w:pPr>
              <w:tabs>
                <w:tab w:val="decimal" w:pos="1424"/>
              </w:tabs>
              <w:ind w:right="-144"/>
              <w:jc w:val="both"/>
              <w:rPr>
                <w:rFonts w:cs="Arial"/>
                <w:b/>
                <w:bCs/>
              </w:rPr>
            </w:pPr>
            <w:r>
              <w:rPr>
                <w:rFonts w:cs="Arial"/>
                <w:b/>
                <w:bCs/>
              </w:rPr>
              <w:t>4,116</w:t>
            </w:r>
          </w:p>
        </w:tc>
        <w:tc>
          <w:tcPr>
            <w:tcW w:w="1584" w:type="dxa"/>
          </w:tcPr>
          <w:p w14:paraId="09D3840D" w14:textId="40BBB3E0" w:rsidR="00F6791D" w:rsidRPr="00F6791D" w:rsidRDefault="00F6791D" w:rsidP="00F6791D">
            <w:pPr>
              <w:tabs>
                <w:tab w:val="decimal" w:pos="1424"/>
              </w:tabs>
              <w:ind w:right="-144"/>
              <w:jc w:val="both"/>
              <w:rPr>
                <w:rFonts w:cs="Arial"/>
              </w:rPr>
            </w:pPr>
            <w:r w:rsidRPr="00F6791D">
              <w:rPr>
                <w:rFonts w:cs="Arial"/>
              </w:rPr>
              <w:t>319</w:t>
            </w:r>
          </w:p>
        </w:tc>
      </w:tr>
      <w:tr w:rsidR="00F6791D" w:rsidRPr="00670755" w14:paraId="2CEBEBE3" w14:textId="77777777" w:rsidTr="009C6517">
        <w:trPr>
          <w:trHeight w:val="158"/>
        </w:trPr>
        <w:tc>
          <w:tcPr>
            <w:tcW w:w="5184" w:type="dxa"/>
          </w:tcPr>
          <w:p w14:paraId="756F40C5" w14:textId="77777777" w:rsidR="00F6791D" w:rsidRPr="00C06751" w:rsidRDefault="00F6791D" w:rsidP="00F6791D">
            <w:pPr>
              <w:ind w:right="-144"/>
              <w:jc w:val="both"/>
              <w:rPr>
                <w:rFonts w:cs="Arial"/>
              </w:rPr>
            </w:pPr>
          </w:p>
        </w:tc>
        <w:tc>
          <w:tcPr>
            <w:tcW w:w="662" w:type="dxa"/>
          </w:tcPr>
          <w:p w14:paraId="4814AEB1" w14:textId="77777777" w:rsidR="00F6791D" w:rsidRPr="00670755" w:rsidRDefault="00F6791D" w:rsidP="00F6791D">
            <w:pPr>
              <w:pStyle w:val="Sub-header"/>
              <w:jc w:val="center"/>
            </w:pPr>
          </w:p>
        </w:tc>
        <w:tc>
          <w:tcPr>
            <w:tcW w:w="1584" w:type="dxa"/>
          </w:tcPr>
          <w:p w14:paraId="5C7E9025" w14:textId="43C0258B" w:rsidR="00F6791D" w:rsidRPr="008D3576" w:rsidRDefault="00F6791D" w:rsidP="00F6791D">
            <w:pPr>
              <w:tabs>
                <w:tab w:val="decimal" w:pos="1424"/>
              </w:tabs>
              <w:ind w:right="-144"/>
              <w:jc w:val="both"/>
              <w:rPr>
                <w:rFonts w:cs="Arial"/>
                <w:b/>
                <w:bCs/>
                <w:u w:val="single"/>
              </w:rPr>
            </w:pPr>
            <w:r w:rsidRPr="7821F417">
              <w:rPr>
                <w:rFonts w:cs="Arial"/>
                <w:b/>
                <w:bCs/>
                <w:u w:val="single"/>
              </w:rPr>
              <w:t>                  </w:t>
            </w:r>
          </w:p>
        </w:tc>
        <w:tc>
          <w:tcPr>
            <w:tcW w:w="1584" w:type="dxa"/>
          </w:tcPr>
          <w:p w14:paraId="7E6CBF18" w14:textId="51E49EF4" w:rsidR="00F6791D" w:rsidRPr="00F6791D" w:rsidRDefault="00F6791D" w:rsidP="00F6791D">
            <w:pPr>
              <w:tabs>
                <w:tab w:val="decimal" w:pos="1424"/>
              </w:tabs>
              <w:ind w:right="-144"/>
              <w:jc w:val="both"/>
              <w:rPr>
                <w:rFonts w:cs="Arial"/>
                <w:u w:val="single"/>
              </w:rPr>
            </w:pPr>
            <w:r w:rsidRPr="00F6791D">
              <w:rPr>
                <w:rFonts w:cs="Arial"/>
                <w:u w:val="single"/>
              </w:rPr>
              <w:t>                  </w:t>
            </w:r>
          </w:p>
        </w:tc>
      </w:tr>
      <w:tr w:rsidR="00F6791D" w:rsidRPr="00670755" w14:paraId="016A8D9D" w14:textId="77777777" w:rsidTr="0F8406B4">
        <w:tc>
          <w:tcPr>
            <w:tcW w:w="5184" w:type="dxa"/>
          </w:tcPr>
          <w:p w14:paraId="223DC3E3" w14:textId="77777777" w:rsidR="00F6791D" w:rsidRPr="00C06751" w:rsidRDefault="00F6791D" w:rsidP="00F6791D">
            <w:pPr>
              <w:ind w:right="-144"/>
              <w:jc w:val="both"/>
              <w:rPr>
                <w:rFonts w:cs="Arial"/>
                <w:i/>
                <w:iCs/>
              </w:rPr>
            </w:pPr>
          </w:p>
        </w:tc>
        <w:tc>
          <w:tcPr>
            <w:tcW w:w="662" w:type="dxa"/>
          </w:tcPr>
          <w:p w14:paraId="3690B228" w14:textId="77777777" w:rsidR="00F6791D" w:rsidRPr="00670755" w:rsidRDefault="00F6791D" w:rsidP="00F6791D">
            <w:pPr>
              <w:pStyle w:val="Sub-header"/>
              <w:jc w:val="center"/>
            </w:pPr>
          </w:p>
        </w:tc>
        <w:tc>
          <w:tcPr>
            <w:tcW w:w="1584" w:type="dxa"/>
          </w:tcPr>
          <w:p w14:paraId="680F8870" w14:textId="092AB26A" w:rsidR="00F6791D" w:rsidRPr="008D3576" w:rsidRDefault="0013247A" w:rsidP="00F6791D">
            <w:pPr>
              <w:tabs>
                <w:tab w:val="decimal" w:pos="1424"/>
              </w:tabs>
              <w:ind w:right="-144"/>
              <w:jc w:val="both"/>
              <w:rPr>
                <w:rFonts w:cs="Arial"/>
                <w:b/>
                <w:bCs/>
              </w:rPr>
            </w:pPr>
            <w:r>
              <w:rPr>
                <w:rFonts w:cs="Arial"/>
                <w:b/>
                <w:bCs/>
              </w:rPr>
              <w:t>4</w:t>
            </w:r>
            <w:r w:rsidR="00AB1CAD">
              <w:rPr>
                <w:rFonts w:cs="Arial"/>
                <w:b/>
                <w:bCs/>
              </w:rPr>
              <w:t>6</w:t>
            </w:r>
            <w:r>
              <w:rPr>
                <w:rFonts w:cs="Arial"/>
                <w:b/>
                <w:bCs/>
              </w:rPr>
              <w:t>,963</w:t>
            </w:r>
          </w:p>
        </w:tc>
        <w:tc>
          <w:tcPr>
            <w:tcW w:w="1584" w:type="dxa"/>
          </w:tcPr>
          <w:p w14:paraId="36F21DB6" w14:textId="4B39763B" w:rsidR="00F6791D" w:rsidRPr="00F6791D" w:rsidRDefault="00F6791D" w:rsidP="00F6791D">
            <w:pPr>
              <w:tabs>
                <w:tab w:val="decimal" w:pos="1424"/>
              </w:tabs>
              <w:ind w:right="-144"/>
              <w:jc w:val="both"/>
              <w:rPr>
                <w:rFonts w:cs="Arial"/>
              </w:rPr>
            </w:pPr>
            <w:r w:rsidRPr="00F6791D">
              <w:rPr>
                <w:rFonts w:cs="Arial"/>
              </w:rPr>
              <w:t>11,495</w:t>
            </w:r>
          </w:p>
        </w:tc>
      </w:tr>
      <w:tr w:rsidR="00F6791D" w:rsidRPr="00670755" w14:paraId="29429A22" w14:textId="77777777" w:rsidTr="0F8406B4">
        <w:tc>
          <w:tcPr>
            <w:tcW w:w="5184" w:type="dxa"/>
          </w:tcPr>
          <w:p w14:paraId="6FC75FE1" w14:textId="77777777" w:rsidR="00F6791D" w:rsidRPr="00C06751" w:rsidRDefault="00F6791D" w:rsidP="00F6791D">
            <w:pPr>
              <w:ind w:right="-144"/>
              <w:jc w:val="both"/>
              <w:rPr>
                <w:rFonts w:cs="Arial"/>
              </w:rPr>
            </w:pPr>
            <w:r w:rsidRPr="00C06751">
              <w:rPr>
                <w:rFonts w:cs="Arial"/>
                <w:i/>
                <w:iCs/>
              </w:rPr>
              <w:t>Changes in</w:t>
            </w:r>
            <w:r w:rsidRPr="00C06751">
              <w:rPr>
                <w:rFonts w:cs="Arial"/>
              </w:rPr>
              <w:t>:</w:t>
            </w:r>
          </w:p>
        </w:tc>
        <w:tc>
          <w:tcPr>
            <w:tcW w:w="662" w:type="dxa"/>
          </w:tcPr>
          <w:p w14:paraId="4EB61C25" w14:textId="77777777" w:rsidR="00F6791D" w:rsidRPr="00670755" w:rsidRDefault="00F6791D" w:rsidP="00F6791D">
            <w:pPr>
              <w:pStyle w:val="Sub-header"/>
              <w:jc w:val="center"/>
            </w:pPr>
          </w:p>
        </w:tc>
        <w:tc>
          <w:tcPr>
            <w:tcW w:w="1584" w:type="dxa"/>
          </w:tcPr>
          <w:p w14:paraId="3B62A1EA" w14:textId="7F776323" w:rsidR="00F6791D" w:rsidRPr="008D3576" w:rsidRDefault="00F6791D" w:rsidP="00F6791D">
            <w:pPr>
              <w:tabs>
                <w:tab w:val="decimal" w:pos="1424"/>
              </w:tabs>
              <w:ind w:right="-144"/>
              <w:jc w:val="both"/>
              <w:rPr>
                <w:rFonts w:cs="Arial"/>
                <w:b/>
                <w:bCs/>
              </w:rPr>
            </w:pPr>
          </w:p>
        </w:tc>
        <w:tc>
          <w:tcPr>
            <w:tcW w:w="1584" w:type="dxa"/>
          </w:tcPr>
          <w:p w14:paraId="51EA6C1E" w14:textId="77777777" w:rsidR="00F6791D" w:rsidRPr="00F6791D" w:rsidRDefault="00F6791D" w:rsidP="00F6791D">
            <w:pPr>
              <w:tabs>
                <w:tab w:val="decimal" w:pos="1424"/>
              </w:tabs>
              <w:ind w:right="-144"/>
              <w:jc w:val="both"/>
              <w:rPr>
                <w:rFonts w:cs="Arial"/>
              </w:rPr>
            </w:pPr>
          </w:p>
        </w:tc>
      </w:tr>
      <w:tr w:rsidR="00F6791D" w:rsidRPr="00670755" w14:paraId="55B9AF21" w14:textId="77777777" w:rsidTr="0F8406B4">
        <w:tc>
          <w:tcPr>
            <w:tcW w:w="5184" w:type="dxa"/>
          </w:tcPr>
          <w:p w14:paraId="7B1FDF04" w14:textId="77777777" w:rsidR="00F6791D" w:rsidRPr="00C06751" w:rsidRDefault="00F6791D" w:rsidP="00F6791D">
            <w:pPr>
              <w:ind w:right="-144"/>
              <w:jc w:val="both"/>
              <w:rPr>
                <w:rFonts w:cs="Arial"/>
              </w:rPr>
            </w:pPr>
            <w:r w:rsidRPr="00C06751">
              <w:rPr>
                <w:rFonts w:cs="Arial"/>
              </w:rPr>
              <w:t>Inventories</w:t>
            </w:r>
          </w:p>
        </w:tc>
        <w:tc>
          <w:tcPr>
            <w:tcW w:w="662" w:type="dxa"/>
          </w:tcPr>
          <w:p w14:paraId="10BBA666" w14:textId="77777777" w:rsidR="00F6791D" w:rsidRPr="00670755" w:rsidRDefault="00F6791D" w:rsidP="00F6791D">
            <w:pPr>
              <w:pStyle w:val="Sub-header"/>
              <w:jc w:val="center"/>
            </w:pPr>
          </w:p>
        </w:tc>
        <w:tc>
          <w:tcPr>
            <w:tcW w:w="1584" w:type="dxa"/>
          </w:tcPr>
          <w:p w14:paraId="09EB59F8" w14:textId="1BB16F3D" w:rsidR="00F6791D" w:rsidRPr="008D3576" w:rsidRDefault="0013247A" w:rsidP="00F6791D">
            <w:pPr>
              <w:tabs>
                <w:tab w:val="decimal" w:pos="1424"/>
              </w:tabs>
              <w:ind w:right="-144"/>
              <w:jc w:val="both"/>
              <w:rPr>
                <w:rFonts w:cs="Arial"/>
                <w:b/>
                <w:bCs/>
              </w:rPr>
            </w:pPr>
            <w:r>
              <w:rPr>
                <w:rFonts w:cs="Arial"/>
                <w:b/>
                <w:bCs/>
              </w:rPr>
              <w:t>(44,972)</w:t>
            </w:r>
          </w:p>
        </w:tc>
        <w:tc>
          <w:tcPr>
            <w:tcW w:w="1584" w:type="dxa"/>
          </w:tcPr>
          <w:p w14:paraId="24E73A70" w14:textId="3223AEF6" w:rsidR="00F6791D" w:rsidRPr="00F6791D" w:rsidRDefault="00F6791D" w:rsidP="00F6791D">
            <w:pPr>
              <w:tabs>
                <w:tab w:val="decimal" w:pos="1424"/>
              </w:tabs>
              <w:ind w:right="-144"/>
              <w:jc w:val="both"/>
              <w:rPr>
                <w:rFonts w:cs="Arial"/>
              </w:rPr>
            </w:pPr>
            <w:r w:rsidRPr="00F6791D">
              <w:rPr>
                <w:rFonts w:cs="Arial"/>
              </w:rPr>
              <w:t>(170,704)</w:t>
            </w:r>
          </w:p>
        </w:tc>
      </w:tr>
      <w:tr w:rsidR="00F6791D" w:rsidRPr="00670755" w14:paraId="38DA68B9" w14:textId="77777777" w:rsidTr="0F8406B4">
        <w:tc>
          <w:tcPr>
            <w:tcW w:w="5184" w:type="dxa"/>
          </w:tcPr>
          <w:p w14:paraId="4F807A07" w14:textId="77777777" w:rsidR="00F6791D" w:rsidRPr="00C06751" w:rsidRDefault="00F6791D" w:rsidP="00F6791D">
            <w:pPr>
              <w:ind w:right="-144"/>
              <w:jc w:val="both"/>
              <w:rPr>
                <w:rFonts w:cs="Arial"/>
              </w:rPr>
            </w:pPr>
            <w:r w:rsidRPr="00C06751">
              <w:rPr>
                <w:rFonts w:cs="Arial"/>
              </w:rPr>
              <w:t>Trade and other receivables</w:t>
            </w:r>
          </w:p>
        </w:tc>
        <w:tc>
          <w:tcPr>
            <w:tcW w:w="662" w:type="dxa"/>
          </w:tcPr>
          <w:p w14:paraId="0ED62DBF" w14:textId="77777777" w:rsidR="00F6791D" w:rsidRPr="00670755" w:rsidRDefault="00F6791D" w:rsidP="00F6791D">
            <w:pPr>
              <w:pStyle w:val="Sub-header"/>
              <w:jc w:val="center"/>
            </w:pPr>
          </w:p>
        </w:tc>
        <w:tc>
          <w:tcPr>
            <w:tcW w:w="1584" w:type="dxa"/>
          </w:tcPr>
          <w:p w14:paraId="49A5ABA3" w14:textId="5C15A84C" w:rsidR="00F6791D" w:rsidRPr="008D3576" w:rsidRDefault="0013247A" w:rsidP="00F6791D">
            <w:pPr>
              <w:tabs>
                <w:tab w:val="decimal" w:pos="1424"/>
              </w:tabs>
              <w:ind w:right="-144"/>
              <w:jc w:val="both"/>
              <w:rPr>
                <w:rFonts w:cs="Arial"/>
                <w:b/>
                <w:bCs/>
              </w:rPr>
            </w:pPr>
            <w:r>
              <w:rPr>
                <w:rFonts w:cs="Arial"/>
                <w:b/>
                <w:bCs/>
              </w:rPr>
              <w:t>895</w:t>
            </w:r>
          </w:p>
        </w:tc>
        <w:tc>
          <w:tcPr>
            <w:tcW w:w="1584" w:type="dxa"/>
          </w:tcPr>
          <w:p w14:paraId="73B66F58" w14:textId="6551D5B7" w:rsidR="00F6791D" w:rsidRPr="00F6791D" w:rsidRDefault="00F6791D" w:rsidP="00F6791D">
            <w:pPr>
              <w:tabs>
                <w:tab w:val="decimal" w:pos="1424"/>
              </w:tabs>
              <w:ind w:right="-144"/>
              <w:jc w:val="both"/>
              <w:rPr>
                <w:rFonts w:cs="Arial"/>
              </w:rPr>
            </w:pPr>
            <w:r w:rsidRPr="00F6791D">
              <w:rPr>
                <w:rFonts w:cs="Arial"/>
              </w:rPr>
              <w:t>(19,980)</w:t>
            </w:r>
          </w:p>
        </w:tc>
      </w:tr>
      <w:tr w:rsidR="00F6791D" w:rsidRPr="00670755" w14:paraId="04260161" w14:textId="77777777" w:rsidTr="0F8406B4">
        <w:tc>
          <w:tcPr>
            <w:tcW w:w="5184" w:type="dxa"/>
          </w:tcPr>
          <w:p w14:paraId="2DF04E76" w14:textId="77777777" w:rsidR="00F6791D" w:rsidRPr="00C06751" w:rsidRDefault="00F6791D" w:rsidP="00F6791D">
            <w:pPr>
              <w:ind w:right="-144"/>
              <w:jc w:val="both"/>
              <w:rPr>
                <w:rFonts w:cs="Arial"/>
              </w:rPr>
            </w:pPr>
            <w:r w:rsidRPr="00C06751">
              <w:rPr>
                <w:rFonts w:cs="Arial"/>
              </w:rPr>
              <w:t>Trade and other payables</w:t>
            </w:r>
          </w:p>
        </w:tc>
        <w:tc>
          <w:tcPr>
            <w:tcW w:w="662" w:type="dxa"/>
          </w:tcPr>
          <w:p w14:paraId="76FEC2C1" w14:textId="77777777" w:rsidR="00F6791D" w:rsidRPr="00670755" w:rsidRDefault="00F6791D" w:rsidP="00F6791D">
            <w:pPr>
              <w:pStyle w:val="Sub-header"/>
              <w:jc w:val="center"/>
            </w:pPr>
          </w:p>
        </w:tc>
        <w:tc>
          <w:tcPr>
            <w:tcW w:w="1584" w:type="dxa"/>
          </w:tcPr>
          <w:p w14:paraId="268267AB" w14:textId="45BD73D9" w:rsidR="00F6791D" w:rsidRPr="008D3576" w:rsidRDefault="0013247A" w:rsidP="00F6791D">
            <w:pPr>
              <w:tabs>
                <w:tab w:val="decimal" w:pos="1424"/>
              </w:tabs>
              <w:ind w:right="-144"/>
              <w:jc w:val="both"/>
              <w:rPr>
                <w:rFonts w:cs="Arial"/>
                <w:b/>
                <w:bCs/>
              </w:rPr>
            </w:pPr>
            <w:r>
              <w:rPr>
                <w:rFonts w:cs="Arial"/>
                <w:b/>
                <w:bCs/>
              </w:rPr>
              <w:t>4,776</w:t>
            </w:r>
          </w:p>
        </w:tc>
        <w:tc>
          <w:tcPr>
            <w:tcW w:w="1584" w:type="dxa"/>
          </w:tcPr>
          <w:p w14:paraId="73CFC0D8" w14:textId="5A684F5E" w:rsidR="00F6791D" w:rsidRPr="00F6791D" w:rsidRDefault="00F6791D" w:rsidP="00F6791D">
            <w:pPr>
              <w:tabs>
                <w:tab w:val="decimal" w:pos="1424"/>
              </w:tabs>
              <w:ind w:right="-144"/>
              <w:jc w:val="both"/>
              <w:rPr>
                <w:rFonts w:cs="Arial"/>
              </w:rPr>
            </w:pPr>
            <w:r w:rsidRPr="00F6791D">
              <w:rPr>
                <w:rFonts w:cs="Arial"/>
              </w:rPr>
              <w:t>(6,135)</w:t>
            </w:r>
          </w:p>
        </w:tc>
      </w:tr>
      <w:tr w:rsidR="00F6791D" w:rsidRPr="00670755" w14:paraId="23E479D3" w14:textId="77777777" w:rsidTr="0F8406B4">
        <w:tc>
          <w:tcPr>
            <w:tcW w:w="5184" w:type="dxa"/>
          </w:tcPr>
          <w:p w14:paraId="410F90B9" w14:textId="77777777" w:rsidR="00F6791D" w:rsidRPr="00C06751" w:rsidRDefault="00F6791D" w:rsidP="00F6791D">
            <w:pPr>
              <w:ind w:right="-144"/>
              <w:jc w:val="both"/>
              <w:rPr>
                <w:rFonts w:cs="Arial"/>
              </w:rPr>
            </w:pPr>
          </w:p>
        </w:tc>
        <w:tc>
          <w:tcPr>
            <w:tcW w:w="662" w:type="dxa"/>
          </w:tcPr>
          <w:p w14:paraId="0D2FE2AD" w14:textId="77777777" w:rsidR="00F6791D" w:rsidRPr="00670755" w:rsidRDefault="00F6791D" w:rsidP="00F6791D">
            <w:pPr>
              <w:pStyle w:val="Sub-header"/>
              <w:jc w:val="center"/>
            </w:pPr>
          </w:p>
        </w:tc>
        <w:tc>
          <w:tcPr>
            <w:tcW w:w="1584" w:type="dxa"/>
          </w:tcPr>
          <w:p w14:paraId="0117B5AF" w14:textId="2012252A" w:rsidR="00F6791D" w:rsidRPr="008D3576" w:rsidRDefault="00F6791D" w:rsidP="00F6791D">
            <w:pPr>
              <w:tabs>
                <w:tab w:val="decimal" w:pos="1424"/>
              </w:tabs>
              <w:ind w:right="-144"/>
              <w:jc w:val="both"/>
              <w:rPr>
                <w:rFonts w:cs="Arial"/>
                <w:b/>
                <w:bCs/>
                <w:u w:val="single"/>
              </w:rPr>
            </w:pPr>
            <w:r w:rsidRPr="7821F417">
              <w:rPr>
                <w:rFonts w:cs="Arial"/>
                <w:b/>
                <w:bCs/>
                <w:u w:val="single"/>
              </w:rPr>
              <w:t>                  </w:t>
            </w:r>
          </w:p>
        </w:tc>
        <w:tc>
          <w:tcPr>
            <w:tcW w:w="1584" w:type="dxa"/>
          </w:tcPr>
          <w:p w14:paraId="05A19BD9" w14:textId="63FC0694" w:rsidR="00F6791D" w:rsidRPr="00F6791D" w:rsidRDefault="00F6791D" w:rsidP="00F6791D">
            <w:pPr>
              <w:tabs>
                <w:tab w:val="decimal" w:pos="1424"/>
              </w:tabs>
              <w:ind w:right="-144"/>
              <w:jc w:val="both"/>
              <w:rPr>
                <w:rFonts w:cs="Arial"/>
                <w:u w:val="single"/>
              </w:rPr>
            </w:pPr>
            <w:r w:rsidRPr="00F6791D">
              <w:rPr>
                <w:rFonts w:cs="Arial"/>
                <w:u w:val="single"/>
              </w:rPr>
              <w:t>                  </w:t>
            </w:r>
          </w:p>
        </w:tc>
      </w:tr>
      <w:tr w:rsidR="00F6791D" w:rsidRPr="00FD5F81" w14:paraId="1A7EF8A0" w14:textId="77777777" w:rsidTr="0F8406B4">
        <w:tc>
          <w:tcPr>
            <w:tcW w:w="5184" w:type="dxa"/>
          </w:tcPr>
          <w:p w14:paraId="0F225626" w14:textId="77777777" w:rsidR="00F6791D" w:rsidRPr="00C06751" w:rsidRDefault="00F6791D" w:rsidP="00F6791D">
            <w:pPr>
              <w:ind w:right="-144"/>
              <w:jc w:val="both"/>
              <w:rPr>
                <w:rFonts w:cs="Arial"/>
              </w:rPr>
            </w:pPr>
            <w:r w:rsidRPr="00C06751">
              <w:rPr>
                <w:rFonts w:cs="Arial"/>
              </w:rPr>
              <w:t>Cash used in operating activities</w:t>
            </w:r>
          </w:p>
        </w:tc>
        <w:tc>
          <w:tcPr>
            <w:tcW w:w="662" w:type="dxa"/>
          </w:tcPr>
          <w:p w14:paraId="334FB6BA" w14:textId="77777777" w:rsidR="00F6791D" w:rsidRPr="00670755" w:rsidRDefault="00F6791D" w:rsidP="00F6791D">
            <w:pPr>
              <w:pStyle w:val="Sub-header"/>
              <w:jc w:val="center"/>
            </w:pPr>
          </w:p>
        </w:tc>
        <w:tc>
          <w:tcPr>
            <w:tcW w:w="1584" w:type="dxa"/>
          </w:tcPr>
          <w:p w14:paraId="1421C145" w14:textId="6CAC8350" w:rsidR="00F6791D" w:rsidRPr="007B31FA" w:rsidRDefault="00012155" w:rsidP="00F6791D">
            <w:pPr>
              <w:tabs>
                <w:tab w:val="decimal" w:pos="1424"/>
              </w:tabs>
              <w:ind w:right="-144"/>
              <w:jc w:val="both"/>
              <w:rPr>
                <w:rFonts w:cs="Arial"/>
                <w:b/>
                <w:bCs/>
              </w:rPr>
            </w:pPr>
            <w:r>
              <w:rPr>
                <w:rFonts w:cs="Arial"/>
                <w:b/>
                <w:bCs/>
              </w:rPr>
              <w:t>7</w:t>
            </w:r>
            <w:r w:rsidR="000F5E0F">
              <w:rPr>
                <w:rFonts w:cs="Arial"/>
                <w:b/>
                <w:bCs/>
              </w:rPr>
              <w:t>,662</w:t>
            </w:r>
          </w:p>
        </w:tc>
        <w:tc>
          <w:tcPr>
            <w:tcW w:w="1584" w:type="dxa"/>
          </w:tcPr>
          <w:p w14:paraId="6E003F08" w14:textId="384429CE" w:rsidR="00F6791D" w:rsidRPr="00F6791D" w:rsidRDefault="00F6791D" w:rsidP="00F6791D">
            <w:pPr>
              <w:tabs>
                <w:tab w:val="decimal" w:pos="1424"/>
              </w:tabs>
              <w:ind w:right="-144"/>
              <w:jc w:val="both"/>
              <w:rPr>
                <w:rFonts w:cs="Arial"/>
              </w:rPr>
            </w:pPr>
            <w:r w:rsidRPr="00F6791D">
              <w:rPr>
                <w:rFonts w:cs="Arial"/>
              </w:rPr>
              <w:t>(185,324)</w:t>
            </w:r>
          </w:p>
        </w:tc>
      </w:tr>
      <w:tr w:rsidR="00F6791D" w:rsidRPr="00FD5F81" w14:paraId="16689C6E" w14:textId="77777777" w:rsidTr="0F8406B4">
        <w:tc>
          <w:tcPr>
            <w:tcW w:w="5184" w:type="dxa"/>
          </w:tcPr>
          <w:p w14:paraId="1414E4C6" w14:textId="77777777" w:rsidR="00F6791D" w:rsidRPr="00C06751" w:rsidRDefault="00F6791D" w:rsidP="00F6791D">
            <w:pPr>
              <w:ind w:right="-144"/>
              <w:jc w:val="both"/>
              <w:rPr>
                <w:rFonts w:cs="Arial"/>
              </w:rPr>
            </w:pPr>
          </w:p>
        </w:tc>
        <w:tc>
          <w:tcPr>
            <w:tcW w:w="662" w:type="dxa"/>
          </w:tcPr>
          <w:p w14:paraId="009940D2" w14:textId="77777777" w:rsidR="00F6791D" w:rsidRPr="00670755" w:rsidRDefault="00F6791D" w:rsidP="00F6791D">
            <w:pPr>
              <w:pStyle w:val="Sub-header"/>
              <w:jc w:val="center"/>
            </w:pPr>
          </w:p>
        </w:tc>
        <w:tc>
          <w:tcPr>
            <w:tcW w:w="1584" w:type="dxa"/>
          </w:tcPr>
          <w:p w14:paraId="1258774F" w14:textId="77777777" w:rsidR="00F6791D" w:rsidRPr="008D3576" w:rsidRDefault="00F6791D" w:rsidP="00F6791D">
            <w:pPr>
              <w:tabs>
                <w:tab w:val="decimal" w:pos="1424"/>
              </w:tabs>
              <w:ind w:right="-144"/>
              <w:jc w:val="both"/>
              <w:rPr>
                <w:rFonts w:cs="Arial"/>
                <w:b/>
                <w:bCs/>
                <w:u w:val="single"/>
              </w:rPr>
            </w:pPr>
          </w:p>
        </w:tc>
        <w:tc>
          <w:tcPr>
            <w:tcW w:w="1584" w:type="dxa"/>
          </w:tcPr>
          <w:p w14:paraId="66E5BBF5" w14:textId="77777777" w:rsidR="00F6791D" w:rsidRPr="00F6791D" w:rsidRDefault="00F6791D" w:rsidP="00F6791D">
            <w:pPr>
              <w:tabs>
                <w:tab w:val="decimal" w:pos="1424"/>
              </w:tabs>
              <w:ind w:right="-144"/>
              <w:jc w:val="both"/>
              <w:rPr>
                <w:rFonts w:cs="Arial"/>
              </w:rPr>
            </w:pPr>
          </w:p>
        </w:tc>
      </w:tr>
      <w:tr w:rsidR="00F6791D" w:rsidRPr="00FD5F81" w14:paraId="7E821076" w14:textId="77777777" w:rsidTr="0F8406B4">
        <w:tc>
          <w:tcPr>
            <w:tcW w:w="5184" w:type="dxa"/>
          </w:tcPr>
          <w:p w14:paraId="4645F1D7" w14:textId="77777777" w:rsidR="00F6791D" w:rsidRPr="00C06751" w:rsidRDefault="00F6791D" w:rsidP="00F6791D">
            <w:pPr>
              <w:ind w:right="-144"/>
              <w:jc w:val="both"/>
              <w:rPr>
                <w:rFonts w:cs="Arial"/>
              </w:rPr>
            </w:pPr>
            <w:r w:rsidRPr="00C06751">
              <w:rPr>
                <w:rFonts w:cs="Arial"/>
              </w:rPr>
              <w:t>Interest paid</w:t>
            </w:r>
          </w:p>
        </w:tc>
        <w:tc>
          <w:tcPr>
            <w:tcW w:w="662" w:type="dxa"/>
          </w:tcPr>
          <w:p w14:paraId="045BA2B2" w14:textId="77777777" w:rsidR="00F6791D" w:rsidRPr="00670755" w:rsidRDefault="00F6791D" w:rsidP="00F6791D">
            <w:pPr>
              <w:pStyle w:val="Sub-header"/>
              <w:jc w:val="center"/>
            </w:pPr>
          </w:p>
        </w:tc>
        <w:tc>
          <w:tcPr>
            <w:tcW w:w="1584" w:type="dxa"/>
          </w:tcPr>
          <w:p w14:paraId="4A7D351F" w14:textId="2E1C4FDE" w:rsidR="00F6791D" w:rsidRPr="00326B7F" w:rsidRDefault="000F5E0F" w:rsidP="00F6791D">
            <w:pPr>
              <w:tabs>
                <w:tab w:val="decimal" w:pos="1424"/>
              </w:tabs>
              <w:ind w:right="-144"/>
              <w:jc w:val="both"/>
              <w:rPr>
                <w:rFonts w:cs="Arial"/>
                <w:b/>
                <w:bCs/>
              </w:rPr>
            </w:pPr>
            <w:r>
              <w:rPr>
                <w:rFonts w:cs="Arial"/>
                <w:b/>
                <w:bCs/>
              </w:rPr>
              <w:t>(9,930)</w:t>
            </w:r>
          </w:p>
        </w:tc>
        <w:tc>
          <w:tcPr>
            <w:tcW w:w="1584" w:type="dxa"/>
          </w:tcPr>
          <w:p w14:paraId="406BB16A" w14:textId="0CCE96C9" w:rsidR="00F6791D" w:rsidRPr="00F6791D" w:rsidRDefault="00F6791D" w:rsidP="00F6791D">
            <w:pPr>
              <w:tabs>
                <w:tab w:val="decimal" w:pos="1424"/>
              </w:tabs>
              <w:ind w:right="-144"/>
              <w:jc w:val="both"/>
              <w:rPr>
                <w:rFonts w:cs="Arial"/>
              </w:rPr>
            </w:pPr>
            <w:r w:rsidRPr="00F6791D">
              <w:rPr>
                <w:rFonts w:cs="Arial"/>
              </w:rPr>
              <w:t>(8,066)</w:t>
            </w:r>
          </w:p>
        </w:tc>
      </w:tr>
      <w:tr w:rsidR="00F6791D" w:rsidRPr="00FD5F81" w14:paraId="4F591CCA" w14:textId="77777777" w:rsidTr="0F8406B4">
        <w:tc>
          <w:tcPr>
            <w:tcW w:w="5184" w:type="dxa"/>
          </w:tcPr>
          <w:p w14:paraId="5EBE80B7" w14:textId="1609DD2A" w:rsidR="00F6791D" w:rsidRPr="00C06751" w:rsidRDefault="00F6791D" w:rsidP="00F6791D">
            <w:pPr>
              <w:ind w:right="-144"/>
              <w:jc w:val="both"/>
              <w:rPr>
                <w:rFonts w:cs="Arial"/>
              </w:rPr>
            </w:pPr>
            <w:r w:rsidRPr="00C06751">
              <w:rPr>
                <w:rFonts w:cs="Arial"/>
              </w:rPr>
              <w:t>Tax paid</w:t>
            </w:r>
          </w:p>
        </w:tc>
        <w:tc>
          <w:tcPr>
            <w:tcW w:w="662" w:type="dxa"/>
          </w:tcPr>
          <w:p w14:paraId="4D5CE471" w14:textId="77777777" w:rsidR="00F6791D" w:rsidRPr="00670755" w:rsidRDefault="00F6791D" w:rsidP="00F6791D">
            <w:pPr>
              <w:pStyle w:val="Sub-header"/>
              <w:jc w:val="center"/>
            </w:pPr>
          </w:p>
        </w:tc>
        <w:tc>
          <w:tcPr>
            <w:tcW w:w="1584" w:type="dxa"/>
          </w:tcPr>
          <w:p w14:paraId="7FB49578" w14:textId="16BFA294" w:rsidR="00F6791D" w:rsidRPr="002A3E5E" w:rsidRDefault="008E4B26" w:rsidP="00F6791D">
            <w:pPr>
              <w:tabs>
                <w:tab w:val="decimal" w:pos="1424"/>
              </w:tabs>
              <w:ind w:right="-144"/>
              <w:jc w:val="both"/>
              <w:rPr>
                <w:rFonts w:cs="Arial"/>
                <w:b/>
                <w:bCs/>
              </w:rPr>
            </w:pPr>
            <w:r>
              <w:rPr>
                <w:rFonts w:cs="Arial"/>
                <w:b/>
                <w:bCs/>
              </w:rPr>
              <w:t>(8,388)</w:t>
            </w:r>
          </w:p>
        </w:tc>
        <w:tc>
          <w:tcPr>
            <w:tcW w:w="1584" w:type="dxa"/>
          </w:tcPr>
          <w:p w14:paraId="4DD7154D" w14:textId="60E5E2F2" w:rsidR="00F6791D" w:rsidRPr="00F6791D" w:rsidRDefault="00F6791D" w:rsidP="00F6791D">
            <w:pPr>
              <w:tabs>
                <w:tab w:val="decimal" w:pos="1424"/>
              </w:tabs>
              <w:ind w:right="-144"/>
              <w:jc w:val="both"/>
              <w:rPr>
                <w:rFonts w:cs="Arial"/>
              </w:rPr>
            </w:pPr>
            <w:r w:rsidRPr="00F6791D">
              <w:rPr>
                <w:rFonts w:cs="Arial"/>
              </w:rPr>
              <w:t>(846)</w:t>
            </w:r>
          </w:p>
        </w:tc>
      </w:tr>
      <w:tr w:rsidR="00F6791D" w:rsidRPr="00670755" w14:paraId="4781CBA1" w14:textId="77777777" w:rsidTr="0F8406B4">
        <w:tc>
          <w:tcPr>
            <w:tcW w:w="5184" w:type="dxa"/>
          </w:tcPr>
          <w:p w14:paraId="28B247DA" w14:textId="77777777" w:rsidR="00F6791D" w:rsidRPr="00C06751" w:rsidRDefault="00F6791D" w:rsidP="00F6791D">
            <w:pPr>
              <w:ind w:right="-144"/>
              <w:jc w:val="both"/>
              <w:rPr>
                <w:rFonts w:cs="Arial"/>
              </w:rPr>
            </w:pPr>
          </w:p>
        </w:tc>
        <w:tc>
          <w:tcPr>
            <w:tcW w:w="662" w:type="dxa"/>
          </w:tcPr>
          <w:p w14:paraId="5A7B4132" w14:textId="77777777" w:rsidR="00F6791D" w:rsidRPr="00670755" w:rsidRDefault="00F6791D" w:rsidP="00F6791D">
            <w:pPr>
              <w:pStyle w:val="Sub-header"/>
              <w:jc w:val="center"/>
            </w:pPr>
          </w:p>
        </w:tc>
        <w:tc>
          <w:tcPr>
            <w:tcW w:w="1584" w:type="dxa"/>
          </w:tcPr>
          <w:p w14:paraId="4581148C" w14:textId="25039259" w:rsidR="00F6791D" w:rsidRPr="008D3576" w:rsidRDefault="00F6791D" w:rsidP="00F6791D">
            <w:pPr>
              <w:tabs>
                <w:tab w:val="decimal" w:pos="1424"/>
              </w:tabs>
              <w:ind w:right="-144"/>
              <w:jc w:val="both"/>
              <w:rPr>
                <w:rFonts w:cs="Arial"/>
                <w:b/>
                <w:bCs/>
              </w:rPr>
            </w:pPr>
            <w:r w:rsidRPr="7821F417">
              <w:rPr>
                <w:rFonts w:cs="Arial"/>
                <w:b/>
                <w:bCs/>
                <w:u w:val="single"/>
              </w:rPr>
              <w:t>                  </w:t>
            </w:r>
          </w:p>
        </w:tc>
        <w:tc>
          <w:tcPr>
            <w:tcW w:w="1584" w:type="dxa"/>
          </w:tcPr>
          <w:p w14:paraId="03FE2298" w14:textId="31DE2AD2" w:rsidR="00F6791D" w:rsidRPr="00F6791D" w:rsidRDefault="00F6791D" w:rsidP="00F6791D">
            <w:pPr>
              <w:tabs>
                <w:tab w:val="decimal" w:pos="1424"/>
              </w:tabs>
              <w:ind w:right="-144"/>
              <w:jc w:val="both"/>
              <w:rPr>
                <w:rFonts w:cs="Arial"/>
                <w:u w:val="single"/>
              </w:rPr>
            </w:pPr>
            <w:r w:rsidRPr="00F6791D">
              <w:rPr>
                <w:rFonts w:cs="Arial"/>
                <w:u w:val="single"/>
              </w:rPr>
              <w:t>                  </w:t>
            </w:r>
          </w:p>
        </w:tc>
      </w:tr>
      <w:tr w:rsidR="00F6791D" w:rsidRPr="00670755" w14:paraId="7366F61D" w14:textId="77777777" w:rsidTr="0F8406B4">
        <w:tc>
          <w:tcPr>
            <w:tcW w:w="5184" w:type="dxa"/>
          </w:tcPr>
          <w:p w14:paraId="596DB1FC" w14:textId="77777777" w:rsidR="00F6791D" w:rsidRPr="00C06751" w:rsidRDefault="00F6791D" w:rsidP="00F6791D">
            <w:pPr>
              <w:ind w:right="-144"/>
              <w:jc w:val="both"/>
              <w:rPr>
                <w:rFonts w:cs="Arial"/>
              </w:rPr>
            </w:pPr>
          </w:p>
        </w:tc>
        <w:tc>
          <w:tcPr>
            <w:tcW w:w="662" w:type="dxa"/>
          </w:tcPr>
          <w:p w14:paraId="6051E9DC" w14:textId="77777777" w:rsidR="00F6791D" w:rsidRPr="00670755" w:rsidRDefault="00F6791D" w:rsidP="00F6791D">
            <w:pPr>
              <w:pStyle w:val="Sub-header"/>
              <w:jc w:val="center"/>
            </w:pPr>
          </w:p>
        </w:tc>
        <w:tc>
          <w:tcPr>
            <w:tcW w:w="1584" w:type="dxa"/>
          </w:tcPr>
          <w:p w14:paraId="41858A8B" w14:textId="77777777" w:rsidR="00F6791D" w:rsidRPr="008D3576" w:rsidRDefault="00F6791D" w:rsidP="00F6791D">
            <w:pPr>
              <w:tabs>
                <w:tab w:val="decimal" w:pos="1424"/>
              </w:tabs>
              <w:ind w:right="-144"/>
              <w:jc w:val="both"/>
              <w:rPr>
                <w:rFonts w:cs="Arial"/>
                <w:b/>
                <w:bCs/>
              </w:rPr>
            </w:pPr>
          </w:p>
        </w:tc>
        <w:tc>
          <w:tcPr>
            <w:tcW w:w="1584" w:type="dxa"/>
          </w:tcPr>
          <w:p w14:paraId="3B20C65F" w14:textId="77777777" w:rsidR="00F6791D" w:rsidRPr="00F6791D" w:rsidRDefault="00F6791D" w:rsidP="00F6791D">
            <w:pPr>
              <w:tabs>
                <w:tab w:val="decimal" w:pos="1424"/>
              </w:tabs>
              <w:ind w:right="-144"/>
              <w:jc w:val="both"/>
              <w:rPr>
                <w:rFonts w:cs="Arial"/>
                <w:u w:val="single"/>
              </w:rPr>
            </w:pPr>
          </w:p>
        </w:tc>
      </w:tr>
      <w:tr w:rsidR="00F6791D" w:rsidRPr="00FD5F81" w14:paraId="6E336C2C" w14:textId="77777777" w:rsidTr="0F8406B4">
        <w:tc>
          <w:tcPr>
            <w:tcW w:w="5184" w:type="dxa"/>
          </w:tcPr>
          <w:p w14:paraId="4FFC9AF0" w14:textId="77777777" w:rsidR="00F6791D" w:rsidRPr="00670755" w:rsidRDefault="00F6791D" w:rsidP="00F6791D">
            <w:pPr>
              <w:ind w:right="-144"/>
              <w:jc w:val="both"/>
              <w:rPr>
                <w:rFonts w:cs="Arial"/>
                <w:b/>
                <w:bCs/>
              </w:rPr>
            </w:pPr>
            <w:r w:rsidRPr="7821F417">
              <w:rPr>
                <w:rFonts w:cs="Arial"/>
                <w:b/>
                <w:bCs/>
              </w:rPr>
              <w:t>Net cash used in operating activities</w:t>
            </w:r>
          </w:p>
        </w:tc>
        <w:tc>
          <w:tcPr>
            <w:tcW w:w="662" w:type="dxa"/>
          </w:tcPr>
          <w:p w14:paraId="28D0D250" w14:textId="77777777" w:rsidR="00F6791D" w:rsidRPr="00670755" w:rsidRDefault="00F6791D" w:rsidP="00F6791D">
            <w:pPr>
              <w:pStyle w:val="Sub-header"/>
              <w:jc w:val="center"/>
            </w:pPr>
          </w:p>
        </w:tc>
        <w:tc>
          <w:tcPr>
            <w:tcW w:w="1584" w:type="dxa"/>
          </w:tcPr>
          <w:p w14:paraId="6E211AD4" w14:textId="746154EE" w:rsidR="00F6791D" w:rsidRPr="008D3576" w:rsidRDefault="00DD093A" w:rsidP="00F6791D">
            <w:pPr>
              <w:tabs>
                <w:tab w:val="decimal" w:pos="1424"/>
              </w:tabs>
              <w:ind w:right="-144"/>
              <w:jc w:val="both"/>
              <w:rPr>
                <w:rFonts w:cs="Arial"/>
                <w:b/>
                <w:bCs/>
              </w:rPr>
            </w:pPr>
            <w:r>
              <w:rPr>
                <w:rFonts w:cs="Arial"/>
                <w:b/>
                <w:bCs/>
              </w:rPr>
              <w:t>(</w:t>
            </w:r>
            <w:r w:rsidR="00012155">
              <w:rPr>
                <w:rFonts w:cs="Arial"/>
                <w:b/>
                <w:bCs/>
              </w:rPr>
              <w:t>10</w:t>
            </w:r>
            <w:r>
              <w:rPr>
                <w:rFonts w:cs="Arial"/>
                <w:b/>
                <w:bCs/>
              </w:rPr>
              <w:t>,</w:t>
            </w:r>
            <w:r w:rsidR="005C0F27">
              <w:rPr>
                <w:rFonts w:cs="Arial"/>
                <w:b/>
                <w:bCs/>
              </w:rPr>
              <w:t>656</w:t>
            </w:r>
            <w:r>
              <w:rPr>
                <w:rFonts w:cs="Arial"/>
                <w:b/>
                <w:bCs/>
              </w:rPr>
              <w:t>)</w:t>
            </w:r>
          </w:p>
        </w:tc>
        <w:tc>
          <w:tcPr>
            <w:tcW w:w="1584" w:type="dxa"/>
          </w:tcPr>
          <w:p w14:paraId="070F3A12" w14:textId="4B0C7E48" w:rsidR="00F6791D" w:rsidRPr="00F6791D" w:rsidRDefault="00F6791D" w:rsidP="00F6791D">
            <w:pPr>
              <w:tabs>
                <w:tab w:val="decimal" w:pos="1424"/>
              </w:tabs>
              <w:ind w:right="-144"/>
              <w:jc w:val="both"/>
              <w:rPr>
                <w:rFonts w:cs="Arial"/>
              </w:rPr>
            </w:pPr>
            <w:r w:rsidRPr="00F6791D">
              <w:rPr>
                <w:rFonts w:cs="Arial"/>
              </w:rPr>
              <w:t>(19</w:t>
            </w:r>
            <w:r w:rsidR="00DF772B">
              <w:rPr>
                <w:rFonts w:cs="Arial"/>
              </w:rPr>
              <w:t>4</w:t>
            </w:r>
            <w:r w:rsidRPr="00F6791D">
              <w:rPr>
                <w:rFonts w:cs="Arial"/>
              </w:rPr>
              <w:t>,</w:t>
            </w:r>
            <w:r w:rsidR="00DF772B">
              <w:rPr>
                <w:rFonts w:cs="Arial"/>
              </w:rPr>
              <w:t>236</w:t>
            </w:r>
            <w:r w:rsidRPr="00F6791D">
              <w:rPr>
                <w:rFonts w:cs="Arial"/>
              </w:rPr>
              <w:t>)</w:t>
            </w:r>
          </w:p>
        </w:tc>
      </w:tr>
      <w:tr w:rsidR="00F6791D" w:rsidRPr="00670755" w14:paraId="16C5753C" w14:textId="77777777" w:rsidTr="0F8406B4">
        <w:tc>
          <w:tcPr>
            <w:tcW w:w="5184" w:type="dxa"/>
          </w:tcPr>
          <w:p w14:paraId="45C9D78F" w14:textId="77777777" w:rsidR="00F6791D" w:rsidRPr="00670755" w:rsidRDefault="00F6791D" w:rsidP="00F6791D">
            <w:pPr>
              <w:ind w:right="-144"/>
              <w:jc w:val="both"/>
              <w:rPr>
                <w:rFonts w:cs="Arial"/>
              </w:rPr>
            </w:pPr>
          </w:p>
        </w:tc>
        <w:tc>
          <w:tcPr>
            <w:tcW w:w="662" w:type="dxa"/>
          </w:tcPr>
          <w:p w14:paraId="6B5F614A" w14:textId="77777777" w:rsidR="00F6791D" w:rsidRPr="00670755" w:rsidRDefault="00F6791D" w:rsidP="00F6791D">
            <w:pPr>
              <w:pStyle w:val="Sub-header"/>
              <w:jc w:val="center"/>
            </w:pPr>
          </w:p>
        </w:tc>
        <w:tc>
          <w:tcPr>
            <w:tcW w:w="1584" w:type="dxa"/>
          </w:tcPr>
          <w:p w14:paraId="452433A4" w14:textId="78CA80E5" w:rsidR="00F6791D" w:rsidRPr="008D3576" w:rsidRDefault="00F6791D" w:rsidP="00F6791D">
            <w:pPr>
              <w:tabs>
                <w:tab w:val="decimal" w:pos="1424"/>
              </w:tabs>
              <w:ind w:right="-144"/>
              <w:jc w:val="both"/>
              <w:rPr>
                <w:rFonts w:cs="Arial"/>
                <w:b/>
                <w:bCs/>
                <w:u w:val="single"/>
              </w:rPr>
            </w:pPr>
            <w:r w:rsidRPr="7821F417">
              <w:rPr>
                <w:rFonts w:cs="Arial"/>
                <w:b/>
                <w:bCs/>
                <w:u w:val="single"/>
              </w:rPr>
              <w:t>                  </w:t>
            </w:r>
          </w:p>
        </w:tc>
        <w:tc>
          <w:tcPr>
            <w:tcW w:w="1584" w:type="dxa"/>
          </w:tcPr>
          <w:p w14:paraId="18DDF9D1" w14:textId="0FAC28FC" w:rsidR="00F6791D" w:rsidRPr="00F6791D" w:rsidRDefault="00F6791D" w:rsidP="00F6791D">
            <w:pPr>
              <w:tabs>
                <w:tab w:val="decimal" w:pos="1424"/>
              </w:tabs>
              <w:ind w:right="-144"/>
              <w:jc w:val="both"/>
              <w:rPr>
                <w:rFonts w:cs="Arial"/>
              </w:rPr>
            </w:pPr>
            <w:r w:rsidRPr="00F6791D">
              <w:rPr>
                <w:rFonts w:cs="Arial"/>
                <w:u w:val="single"/>
              </w:rPr>
              <w:t>                  </w:t>
            </w:r>
          </w:p>
        </w:tc>
      </w:tr>
      <w:tr w:rsidR="00F6791D" w:rsidRPr="00670755" w14:paraId="4D83E1D1" w14:textId="77777777" w:rsidTr="0F8406B4">
        <w:tc>
          <w:tcPr>
            <w:tcW w:w="5184" w:type="dxa"/>
          </w:tcPr>
          <w:p w14:paraId="302F3C04" w14:textId="77777777" w:rsidR="00F6791D" w:rsidRPr="00670755" w:rsidRDefault="00F6791D" w:rsidP="00F6791D">
            <w:pPr>
              <w:ind w:right="-144"/>
              <w:jc w:val="both"/>
              <w:rPr>
                <w:rFonts w:cs="Arial"/>
                <w:b/>
                <w:bCs/>
              </w:rPr>
            </w:pPr>
            <w:r w:rsidRPr="7821F417">
              <w:rPr>
                <w:rFonts w:cs="Arial"/>
                <w:b/>
                <w:bCs/>
              </w:rPr>
              <w:t>Cash flows from investing activities</w:t>
            </w:r>
          </w:p>
        </w:tc>
        <w:tc>
          <w:tcPr>
            <w:tcW w:w="662" w:type="dxa"/>
          </w:tcPr>
          <w:p w14:paraId="1F1E284B" w14:textId="77777777" w:rsidR="00F6791D" w:rsidRPr="00670755" w:rsidRDefault="00F6791D" w:rsidP="00F6791D">
            <w:pPr>
              <w:pStyle w:val="Sub-header"/>
              <w:jc w:val="center"/>
            </w:pPr>
          </w:p>
        </w:tc>
        <w:tc>
          <w:tcPr>
            <w:tcW w:w="1584" w:type="dxa"/>
          </w:tcPr>
          <w:p w14:paraId="62FC799F" w14:textId="77777777" w:rsidR="00F6791D" w:rsidRPr="008D3576" w:rsidRDefault="00F6791D" w:rsidP="00F6791D">
            <w:pPr>
              <w:tabs>
                <w:tab w:val="decimal" w:pos="1424"/>
              </w:tabs>
              <w:ind w:right="-144"/>
              <w:jc w:val="both"/>
              <w:rPr>
                <w:rFonts w:cs="Arial"/>
                <w:b/>
                <w:bCs/>
              </w:rPr>
            </w:pPr>
          </w:p>
        </w:tc>
        <w:tc>
          <w:tcPr>
            <w:tcW w:w="1584" w:type="dxa"/>
          </w:tcPr>
          <w:p w14:paraId="0AD2A155" w14:textId="77777777" w:rsidR="00F6791D" w:rsidRPr="00F6791D" w:rsidRDefault="00F6791D" w:rsidP="00F6791D">
            <w:pPr>
              <w:tabs>
                <w:tab w:val="decimal" w:pos="1424"/>
              </w:tabs>
              <w:ind w:right="-144"/>
              <w:jc w:val="both"/>
              <w:rPr>
                <w:rFonts w:cs="Arial"/>
              </w:rPr>
            </w:pPr>
          </w:p>
        </w:tc>
      </w:tr>
      <w:tr w:rsidR="00F6791D" w:rsidRPr="00670755" w14:paraId="642346A8" w14:textId="77777777" w:rsidTr="0F8406B4">
        <w:tc>
          <w:tcPr>
            <w:tcW w:w="5184" w:type="dxa"/>
          </w:tcPr>
          <w:p w14:paraId="577AE1A5" w14:textId="3EE791C0" w:rsidR="00F6791D" w:rsidRPr="004F319F" w:rsidRDefault="00F6791D" w:rsidP="00F6791D">
            <w:pPr>
              <w:ind w:right="-144"/>
              <w:jc w:val="both"/>
              <w:rPr>
                <w:rFonts w:cs="Arial"/>
              </w:rPr>
            </w:pPr>
            <w:r w:rsidRPr="7821F417">
              <w:rPr>
                <w:rFonts w:cs="Arial"/>
              </w:rPr>
              <w:t>Acquisition of property, plant and equipment</w:t>
            </w:r>
          </w:p>
        </w:tc>
        <w:tc>
          <w:tcPr>
            <w:tcW w:w="662" w:type="dxa"/>
          </w:tcPr>
          <w:p w14:paraId="202F652A" w14:textId="7718F388" w:rsidR="00F6791D" w:rsidRPr="00670755" w:rsidRDefault="00F6791D" w:rsidP="00F6791D">
            <w:pPr>
              <w:pStyle w:val="Sub-header"/>
              <w:jc w:val="center"/>
            </w:pPr>
            <w:r>
              <w:t>12</w:t>
            </w:r>
          </w:p>
        </w:tc>
        <w:tc>
          <w:tcPr>
            <w:tcW w:w="1584" w:type="dxa"/>
          </w:tcPr>
          <w:p w14:paraId="5548B727" w14:textId="4034571E" w:rsidR="00F6791D" w:rsidRPr="008D3576" w:rsidRDefault="00D03F33" w:rsidP="00F6791D">
            <w:pPr>
              <w:tabs>
                <w:tab w:val="decimal" w:pos="1424"/>
              </w:tabs>
              <w:ind w:right="-144"/>
              <w:jc w:val="both"/>
              <w:rPr>
                <w:rFonts w:cs="Arial"/>
                <w:b/>
                <w:bCs/>
              </w:rPr>
            </w:pPr>
            <w:r>
              <w:rPr>
                <w:rFonts w:cs="Arial"/>
                <w:b/>
                <w:bCs/>
              </w:rPr>
              <w:t>(2,539)</w:t>
            </w:r>
          </w:p>
        </w:tc>
        <w:tc>
          <w:tcPr>
            <w:tcW w:w="1584" w:type="dxa"/>
          </w:tcPr>
          <w:p w14:paraId="61A7242A" w14:textId="3B52C8BF" w:rsidR="00F6791D" w:rsidRPr="00F6791D" w:rsidRDefault="00F6791D" w:rsidP="00F6791D">
            <w:pPr>
              <w:tabs>
                <w:tab w:val="decimal" w:pos="1424"/>
              </w:tabs>
              <w:ind w:right="-144"/>
              <w:jc w:val="both"/>
              <w:rPr>
                <w:rFonts w:cs="Arial"/>
              </w:rPr>
            </w:pPr>
            <w:r w:rsidRPr="00F6791D">
              <w:rPr>
                <w:rFonts w:cs="Arial"/>
              </w:rPr>
              <w:t>(1,646)</w:t>
            </w:r>
          </w:p>
        </w:tc>
      </w:tr>
      <w:tr w:rsidR="00F6791D" w:rsidRPr="00670755" w14:paraId="48317B37" w14:textId="77777777" w:rsidTr="0F8406B4">
        <w:tc>
          <w:tcPr>
            <w:tcW w:w="5184" w:type="dxa"/>
          </w:tcPr>
          <w:p w14:paraId="385A8E59" w14:textId="77777777" w:rsidR="00F6791D" w:rsidRDefault="00F6791D" w:rsidP="00F6791D">
            <w:pPr>
              <w:ind w:right="-144"/>
              <w:jc w:val="both"/>
              <w:rPr>
                <w:rFonts w:cs="Arial"/>
              </w:rPr>
            </w:pPr>
            <w:r w:rsidRPr="7821F417">
              <w:rPr>
                <w:rFonts w:cs="Arial"/>
              </w:rPr>
              <w:t>Acquisition of intangible assets</w:t>
            </w:r>
          </w:p>
        </w:tc>
        <w:tc>
          <w:tcPr>
            <w:tcW w:w="662" w:type="dxa"/>
          </w:tcPr>
          <w:p w14:paraId="0513B4B7" w14:textId="2418AC52" w:rsidR="00F6791D" w:rsidRPr="00670755" w:rsidRDefault="00F6791D" w:rsidP="00F6791D">
            <w:pPr>
              <w:pStyle w:val="Sub-header"/>
              <w:jc w:val="center"/>
            </w:pPr>
          </w:p>
        </w:tc>
        <w:tc>
          <w:tcPr>
            <w:tcW w:w="1584" w:type="dxa"/>
          </w:tcPr>
          <w:p w14:paraId="600895CA" w14:textId="247C39F6" w:rsidR="00F6791D" w:rsidRPr="008D3576" w:rsidRDefault="00D03F33" w:rsidP="00F6791D">
            <w:pPr>
              <w:tabs>
                <w:tab w:val="decimal" w:pos="1424"/>
              </w:tabs>
              <w:ind w:right="-144"/>
              <w:jc w:val="both"/>
              <w:rPr>
                <w:rFonts w:cs="Arial"/>
                <w:b/>
                <w:bCs/>
              </w:rPr>
            </w:pPr>
            <w:r>
              <w:rPr>
                <w:rFonts w:cs="Arial"/>
                <w:b/>
                <w:bCs/>
              </w:rPr>
              <w:t>(1,128)</w:t>
            </w:r>
          </w:p>
        </w:tc>
        <w:tc>
          <w:tcPr>
            <w:tcW w:w="1584" w:type="dxa"/>
          </w:tcPr>
          <w:p w14:paraId="446740E5" w14:textId="0A78C31C" w:rsidR="00F6791D" w:rsidRPr="00F6791D" w:rsidRDefault="00F6791D" w:rsidP="00F6791D">
            <w:pPr>
              <w:tabs>
                <w:tab w:val="decimal" w:pos="1424"/>
              </w:tabs>
              <w:ind w:right="-144"/>
              <w:jc w:val="both"/>
              <w:rPr>
                <w:rFonts w:cs="Arial"/>
              </w:rPr>
            </w:pPr>
            <w:r w:rsidRPr="00F6791D">
              <w:rPr>
                <w:rFonts w:cs="Arial"/>
              </w:rPr>
              <w:t>(405)</w:t>
            </w:r>
          </w:p>
        </w:tc>
      </w:tr>
      <w:tr w:rsidR="00F6791D" w:rsidRPr="00670755" w14:paraId="4B307678" w14:textId="77777777" w:rsidTr="0F8406B4">
        <w:tc>
          <w:tcPr>
            <w:tcW w:w="5184" w:type="dxa"/>
          </w:tcPr>
          <w:p w14:paraId="6FAA32D6" w14:textId="618B98AB" w:rsidR="00F6791D" w:rsidRDefault="00F6791D" w:rsidP="00F6791D">
            <w:pPr>
              <w:ind w:right="-144"/>
              <w:jc w:val="both"/>
              <w:rPr>
                <w:rFonts w:cs="Arial"/>
              </w:rPr>
            </w:pPr>
            <w:r w:rsidRPr="7821F417">
              <w:rPr>
                <w:rFonts w:cs="Arial"/>
              </w:rPr>
              <w:t xml:space="preserve">Proceeds from the sale of property, plant and equipment </w:t>
            </w:r>
          </w:p>
        </w:tc>
        <w:tc>
          <w:tcPr>
            <w:tcW w:w="662" w:type="dxa"/>
          </w:tcPr>
          <w:p w14:paraId="6F6D205E" w14:textId="77777777" w:rsidR="00F6791D" w:rsidRPr="00670755" w:rsidRDefault="00F6791D" w:rsidP="00F6791D">
            <w:pPr>
              <w:pStyle w:val="Sub-header"/>
              <w:jc w:val="center"/>
            </w:pPr>
          </w:p>
        </w:tc>
        <w:tc>
          <w:tcPr>
            <w:tcW w:w="1584" w:type="dxa"/>
          </w:tcPr>
          <w:p w14:paraId="487FB441" w14:textId="77EB0193" w:rsidR="00F6791D" w:rsidRPr="000A56B1" w:rsidRDefault="00D03F33" w:rsidP="00F6791D">
            <w:pPr>
              <w:tabs>
                <w:tab w:val="decimal" w:pos="1424"/>
              </w:tabs>
              <w:ind w:right="-144"/>
              <w:jc w:val="both"/>
              <w:rPr>
                <w:rFonts w:cs="Arial"/>
                <w:b/>
                <w:bCs/>
              </w:rPr>
            </w:pPr>
            <w:r>
              <w:rPr>
                <w:rFonts w:cs="Arial"/>
                <w:b/>
                <w:bCs/>
              </w:rPr>
              <w:t>14</w:t>
            </w:r>
          </w:p>
        </w:tc>
        <w:tc>
          <w:tcPr>
            <w:tcW w:w="1584" w:type="dxa"/>
          </w:tcPr>
          <w:p w14:paraId="6632F010" w14:textId="4ECD0C76" w:rsidR="00F6791D" w:rsidRPr="00F6791D" w:rsidRDefault="00F6791D" w:rsidP="00F6791D">
            <w:pPr>
              <w:tabs>
                <w:tab w:val="decimal" w:pos="1424"/>
              </w:tabs>
              <w:ind w:right="-144"/>
              <w:jc w:val="both"/>
              <w:rPr>
                <w:rFonts w:cs="Arial"/>
              </w:rPr>
            </w:pPr>
            <w:r w:rsidRPr="00F6791D">
              <w:rPr>
                <w:rFonts w:cs="Arial"/>
              </w:rPr>
              <w:t>225</w:t>
            </w:r>
          </w:p>
        </w:tc>
      </w:tr>
      <w:tr w:rsidR="00F6791D" w:rsidRPr="00670755" w14:paraId="3993E272" w14:textId="77777777" w:rsidTr="0F8406B4">
        <w:tc>
          <w:tcPr>
            <w:tcW w:w="5184" w:type="dxa"/>
          </w:tcPr>
          <w:p w14:paraId="34471D64" w14:textId="77777777" w:rsidR="00F6791D" w:rsidRDefault="00F6791D" w:rsidP="00F6791D">
            <w:pPr>
              <w:ind w:right="-144"/>
              <w:jc w:val="both"/>
              <w:rPr>
                <w:rFonts w:cs="Arial"/>
              </w:rPr>
            </w:pPr>
          </w:p>
        </w:tc>
        <w:tc>
          <w:tcPr>
            <w:tcW w:w="662" w:type="dxa"/>
          </w:tcPr>
          <w:p w14:paraId="273F5474" w14:textId="77777777" w:rsidR="00F6791D" w:rsidRPr="00670755" w:rsidRDefault="00F6791D" w:rsidP="00F6791D">
            <w:pPr>
              <w:pStyle w:val="Sub-header"/>
              <w:jc w:val="center"/>
            </w:pPr>
          </w:p>
        </w:tc>
        <w:tc>
          <w:tcPr>
            <w:tcW w:w="1584" w:type="dxa"/>
          </w:tcPr>
          <w:p w14:paraId="4397B8C9" w14:textId="11812829" w:rsidR="00F6791D" w:rsidRPr="008D3576" w:rsidRDefault="00F6791D" w:rsidP="00F6791D">
            <w:pPr>
              <w:tabs>
                <w:tab w:val="decimal" w:pos="1424"/>
              </w:tabs>
              <w:ind w:right="-144"/>
              <w:jc w:val="both"/>
              <w:rPr>
                <w:rFonts w:cs="Arial"/>
                <w:b/>
                <w:bCs/>
              </w:rPr>
            </w:pPr>
            <w:r w:rsidRPr="7821F417">
              <w:rPr>
                <w:rFonts w:cs="Arial"/>
                <w:b/>
                <w:bCs/>
                <w:u w:val="single"/>
              </w:rPr>
              <w:t>                  </w:t>
            </w:r>
          </w:p>
        </w:tc>
        <w:tc>
          <w:tcPr>
            <w:tcW w:w="1584" w:type="dxa"/>
          </w:tcPr>
          <w:p w14:paraId="2E98DE46" w14:textId="32668422" w:rsidR="00F6791D" w:rsidRPr="00F6791D" w:rsidRDefault="00F6791D" w:rsidP="00F6791D">
            <w:pPr>
              <w:tabs>
                <w:tab w:val="decimal" w:pos="1424"/>
              </w:tabs>
              <w:ind w:right="-144"/>
              <w:jc w:val="both"/>
              <w:rPr>
                <w:rFonts w:cs="Arial"/>
              </w:rPr>
            </w:pPr>
            <w:r w:rsidRPr="00F6791D">
              <w:rPr>
                <w:rFonts w:cs="Arial"/>
                <w:u w:val="single"/>
              </w:rPr>
              <w:t>                  </w:t>
            </w:r>
          </w:p>
        </w:tc>
      </w:tr>
      <w:tr w:rsidR="00F6791D" w:rsidRPr="00670755" w14:paraId="3286F36B" w14:textId="77777777" w:rsidTr="0F8406B4">
        <w:tc>
          <w:tcPr>
            <w:tcW w:w="5184" w:type="dxa"/>
          </w:tcPr>
          <w:p w14:paraId="79630009" w14:textId="77777777" w:rsidR="00F6791D" w:rsidRDefault="00F6791D" w:rsidP="00F6791D">
            <w:pPr>
              <w:ind w:right="-144"/>
              <w:jc w:val="both"/>
              <w:rPr>
                <w:rFonts w:cs="Arial"/>
              </w:rPr>
            </w:pPr>
          </w:p>
        </w:tc>
        <w:tc>
          <w:tcPr>
            <w:tcW w:w="662" w:type="dxa"/>
          </w:tcPr>
          <w:p w14:paraId="66054431" w14:textId="77777777" w:rsidR="00F6791D" w:rsidRPr="00670755" w:rsidRDefault="00F6791D" w:rsidP="00F6791D">
            <w:pPr>
              <w:pStyle w:val="Sub-header"/>
              <w:jc w:val="center"/>
            </w:pPr>
          </w:p>
        </w:tc>
        <w:tc>
          <w:tcPr>
            <w:tcW w:w="1584" w:type="dxa"/>
          </w:tcPr>
          <w:p w14:paraId="7315ED6E" w14:textId="77777777" w:rsidR="00F6791D" w:rsidRPr="008D3576" w:rsidRDefault="00F6791D" w:rsidP="00F6791D">
            <w:pPr>
              <w:tabs>
                <w:tab w:val="decimal" w:pos="1424"/>
              </w:tabs>
              <w:ind w:right="-144"/>
              <w:jc w:val="both"/>
              <w:rPr>
                <w:rFonts w:cs="Arial"/>
                <w:b/>
                <w:bCs/>
              </w:rPr>
            </w:pPr>
          </w:p>
        </w:tc>
        <w:tc>
          <w:tcPr>
            <w:tcW w:w="1584" w:type="dxa"/>
          </w:tcPr>
          <w:p w14:paraId="2B4288CD" w14:textId="77777777" w:rsidR="00F6791D" w:rsidRPr="00F6791D" w:rsidRDefault="00F6791D" w:rsidP="00F6791D">
            <w:pPr>
              <w:tabs>
                <w:tab w:val="decimal" w:pos="1424"/>
              </w:tabs>
              <w:ind w:right="-144"/>
              <w:jc w:val="both"/>
              <w:rPr>
                <w:rFonts w:cs="Arial"/>
              </w:rPr>
            </w:pPr>
          </w:p>
        </w:tc>
      </w:tr>
      <w:tr w:rsidR="00F6791D" w:rsidRPr="00670755" w14:paraId="200ACF91" w14:textId="77777777" w:rsidTr="0F8406B4">
        <w:tc>
          <w:tcPr>
            <w:tcW w:w="5184" w:type="dxa"/>
          </w:tcPr>
          <w:p w14:paraId="7E352CA1" w14:textId="1710456F" w:rsidR="00F6791D" w:rsidRPr="004F319F" w:rsidRDefault="00F6791D" w:rsidP="00F6791D">
            <w:pPr>
              <w:ind w:right="-144"/>
              <w:jc w:val="both"/>
              <w:rPr>
                <w:rFonts w:cs="Arial"/>
                <w:b/>
                <w:bCs/>
              </w:rPr>
            </w:pPr>
            <w:r w:rsidRPr="7821F417">
              <w:rPr>
                <w:rFonts w:cs="Arial"/>
                <w:b/>
                <w:bCs/>
              </w:rPr>
              <w:t>Net cash used in</w:t>
            </w:r>
            <w:r>
              <w:rPr>
                <w:rFonts w:cs="Arial"/>
                <w:b/>
                <w:bCs/>
              </w:rPr>
              <w:t xml:space="preserve"> </w:t>
            </w:r>
            <w:r w:rsidRPr="7821F417">
              <w:rPr>
                <w:rFonts w:cs="Arial"/>
                <w:b/>
                <w:bCs/>
              </w:rPr>
              <w:t>investing activities</w:t>
            </w:r>
          </w:p>
        </w:tc>
        <w:tc>
          <w:tcPr>
            <w:tcW w:w="662" w:type="dxa"/>
          </w:tcPr>
          <w:p w14:paraId="58FE17BE" w14:textId="77777777" w:rsidR="00F6791D" w:rsidRPr="00670755" w:rsidRDefault="00F6791D" w:rsidP="00F6791D">
            <w:pPr>
              <w:pStyle w:val="Sub-header"/>
              <w:jc w:val="center"/>
            </w:pPr>
          </w:p>
        </w:tc>
        <w:tc>
          <w:tcPr>
            <w:tcW w:w="1584" w:type="dxa"/>
          </w:tcPr>
          <w:p w14:paraId="26E1CC96" w14:textId="60E08B99" w:rsidR="00F6791D" w:rsidRPr="008D3576" w:rsidRDefault="00B12DED" w:rsidP="00F6791D">
            <w:pPr>
              <w:tabs>
                <w:tab w:val="decimal" w:pos="1424"/>
              </w:tabs>
              <w:ind w:right="-144"/>
              <w:jc w:val="both"/>
              <w:rPr>
                <w:rFonts w:cs="Arial"/>
                <w:b/>
                <w:bCs/>
              </w:rPr>
            </w:pPr>
            <w:r>
              <w:rPr>
                <w:rFonts w:cs="Arial"/>
                <w:b/>
                <w:bCs/>
              </w:rPr>
              <w:t>(3,653)</w:t>
            </w:r>
          </w:p>
        </w:tc>
        <w:tc>
          <w:tcPr>
            <w:tcW w:w="1584" w:type="dxa"/>
          </w:tcPr>
          <w:p w14:paraId="3F7253EF" w14:textId="57F83D29" w:rsidR="00F6791D" w:rsidRPr="00F6791D" w:rsidRDefault="00F6791D" w:rsidP="00F6791D">
            <w:pPr>
              <w:tabs>
                <w:tab w:val="decimal" w:pos="1424"/>
              </w:tabs>
              <w:ind w:right="-144"/>
              <w:jc w:val="both"/>
              <w:rPr>
                <w:rFonts w:cs="Arial"/>
              </w:rPr>
            </w:pPr>
            <w:r w:rsidRPr="00F6791D">
              <w:rPr>
                <w:rFonts w:cs="Arial"/>
              </w:rPr>
              <w:t>(1,826)</w:t>
            </w:r>
          </w:p>
        </w:tc>
      </w:tr>
      <w:tr w:rsidR="00F6791D" w:rsidRPr="00670755" w14:paraId="39B59602" w14:textId="77777777" w:rsidTr="0F8406B4">
        <w:tc>
          <w:tcPr>
            <w:tcW w:w="5184" w:type="dxa"/>
          </w:tcPr>
          <w:p w14:paraId="59C9BC0D" w14:textId="77777777" w:rsidR="00F6791D" w:rsidRPr="00670755" w:rsidRDefault="00F6791D" w:rsidP="00F6791D">
            <w:pPr>
              <w:ind w:right="-144"/>
              <w:jc w:val="both"/>
              <w:rPr>
                <w:rFonts w:cs="Arial"/>
              </w:rPr>
            </w:pPr>
          </w:p>
        </w:tc>
        <w:tc>
          <w:tcPr>
            <w:tcW w:w="662" w:type="dxa"/>
          </w:tcPr>
          <w:p w14:paraId="2B40186A" w14:textId="77777777" w:rsidR="00F6791D" w:rsidRPr="00670755" w:rsidRDefault="00F6791D" w:rsidP="00F6791D">
            <w:pPr>
              <w:pStyle w:val="Sub-header"/>
              <w:jc w:val="center"/>
            </w:pPr>
          </w:p>
        </w:tc>
        <w:tc>
          <w:tcPr>
            <w:tcW w:w="1584" w:type="dxa"/>
          </w:tcPr>
          <w:p w14:paraId="54F55E3E" w14:textId="4C0B5E22" w:rsidR="00F6791D" w:rsidRPr="008D3576" w:rsidRDefault="00F6791D" w:rsidP="00F6791D">
            <w:pPr>
              <w:tabs>
                <w:tab w:val="decimal" w:pos="1424"/>
              </w:tabs>
              <w:ind w:right="-144"/>
              <w:jc w:val="both"/>
              <w:rPr>
                <w:rFonts w:cs="Arial"/>
                <w:b/>
                <w:bCs/>
                <w:u w:val="double"/>
              </w:rPr>
            </w:pPr>
            <w:r w:rsidRPr="7821F417">
              <w:rPr>
                <w:rFonts w:cs="Arial"/>
                <w:b/>
                <w:bCs/>
                <w:u w:val="single"/>
              </w:rPr>
              <w:t>                  </w:t>
            </w:r>
          </w:p>
        </w:tc>
        <w:tc>
          <w:tcPr>
            <w:tcW w:w="1584" w:type="dxa"/>
          </w:tcPr>
          <w:p w14:paraId="642D5227" w14:textId="20D039A3" w:rsidR="00F6791D" w:rsidRPr="00F6791D" w:rsidRDefault="00F6791D" w:rsidP="00F6791D">
            <w:pPr>
              <w:tabs>
                <w:tab w:val="decimal" w:pos="1424"/>
              </w:tabs>
              <w:ind w:right="-144"/>
              <w:jc w:val="both"/>
              <w:rPr>
                <w:rFonts w:cs="Arial"/>
                <w:u w:val="single"/>
              </w:rPr>
            </w:pPr>
            <w:r w:rsidRPr="00F6791D">
              <w:rPr>
                <w:rFonts w:cs="Arial"/>
                <w:u w:val="single"/>
              </w:rPr>
              <w:t>                  </w:t>
            </w:r>
          </w:p>
        </w:tc>
      </w:tr>
      <w:tr w:rsidR="00F6791D" w:rsidRPr="00670755" w14:paraId="087FDA5D" w14:textId="77777777" w:rsidTr="0F8406B4">
        <w:tc>
          <w:tcPr>
            <w:tcW w:w="5184" w:type="dxa"/>
          </w:tcPr>
          <w:p w14:paraId="1D783A1D" w14:textId="77777777" w:rsidR="00F6791D" w:rsidRPr="00F9684D" w:rsidRDefault="00F6791D" w:rsidP="00F6791D">
            <w:pPr>
              <w:ind w:right="-144"/>
              <w:jc w:val="both"/>
              <w:rPr>
                <w:rFonts w:cs="Arial"/>
                <w:b/>
                <w:bCs/>
              </w:rPr>
            </w:pPr>
            <w:r w:rsidRPr="7821F417">
              <w:rPr>
                <w:rFonts w:cs="Arial"/>
                <w:b/>
                <w:bCs/>
              </w:rPr>
              <w:t>Cash flows from financing activities</w:t>
            </w:r>
          </w:p>
        </w:tc>
        <w:tc>
          <w:tcPr>
            <w:tcW w:w="662" w:type="dxa"/>
          </w:tcPr>
          <w:p w14:paraId="285A3BD6" w14:textId="77777777" w:rsidR="00F6791D" w:rsidRPr="00670755" w:rsidRDefault="00F6791D" w:rsidP="00F6791D">
            <w:pPr>
              <w:pStyle w:val="Sub-header"/>
              <w:jc w:val="center"/>
            </w:pPr>
          </w:p>
        </w:tc>
        <w:tc>
          <w:tcPr>
            <w:tcW w:w="1584" w:type="dxa"/>
          </w:tcPr>
          <w:p w14:paraId="28B6374B" w14:textId="77777777" w:rsidR="00F6791D" w:rsidRPr="008D3576" w:rsidRDefault="00F6791D" w:rsidP="00F6791D">
            <w:pPr>
              <w:tabs>
                <w:tab w:val="decimal" w:pos="1424"/>
              </w:tabs>
              <w:ind w:right="-144"/>
              <w:jc w:val="both"/>
              <w:rPr>
                <w:rFonts w:cs="Arial"/>
                <w:b/>
                <w:bCs/>
              </w:rPr>
            </w:pPr>
          </w:p>
        </w:tc>
        <w:tc>
          <w:tcPr>
            <w:tcW w:w="1584" w:type="dxa"/>
          </w:tcPr>
          <w:p w14:paraId="7173F4B6" w14:textId="77777777" w:rsidR="00F6791D" w:rsidRPr="00F6791D" w:rsidRDefault="00F6791D" w:rsidP="00F6791D">
            <w:pPr>
              <w:tabs>
                <w:tab w:val="decimal" w:pos="1424"/>
              </w:tabs>
              <w:ind w:right="-144"/>
              <w:jc w:val="both"/>
              <w:rPr>
                <w:rFonts w:cs="Arial"/>
              </w:rPr>
            </w:pPr>
          </w:p>
        </w:tc>
      </w:tr>
      <w:tr w:rsidR="00F6791D" w:rsidRPr="00670755" w14:paraId="11C41E97" w14:textId="77777777" w:rsidTr="0F8406B4">
        <w:tc>
          <w:tcPr>
            <w:tcW w:w="5184" w:type="dxa"/>
          </w:tcPr>
          <w:p w14:paraId="2BE8D929" w14:textId="77777777" w:rsidR="00F6791D" w:rsidRDefault="00F6791D" w:rsidP="00F6791D">
            <w:pPr>
              <w:ind w:right="-144"/>
              <w:jc w:val="both"/>
              <w:rPr>
                <w:rFonts w:cs="Arial"/>
              </w:rPr>
            </w:pPr>
            <w:r w:rsidRPr="7821F417">
              <w:rPr>
                <w:rFonts w:cs="Arial"/>
              </w:rPr>
              <w:t>Proceeds from borrowings</w:t>
            </w:r>
          </w:p>
        </w:tc>
        <w:tc>
          <w:tcPr>
            <w:tcW w:w="662" w:type="dxa"/>
          </w:tcPr>
          <w:p w14:paraId="1EDFB64A" w14:textId="1F1C2E47" w:rsidR="00F6791D" w:rsidRPr="00670755" w:rsidRDefault="00F6791D" w:rsidP="00F6791D">
            <w:pPr>
              <w:pStyle w:val="Sub-header"/>
              <w:jc w:val="center"/>
            </w:pPr>
          </w:p>
        </w:tc>
        <w:tc>
          <w:tcPr>
            <w:tcW w:w="1584" w:type="dxa"/>
          </w:tcPr>
          <w:p w14:paraId="0760F7CC" w14:textId="3791C1CC" w:rsidR="00F6791D" w:rsidRPr="008D3576" w:rsidRDefault="00B12DED" w:rsidP="00F6791D">
            <w:pPr>
              <w:tabs>
                <w:tab w:val="decimal" w:pos="1424"/>
              </w:tabs>
              <w:ind w:right="-144"/>
              <w:jc w:val="both"/>
              <w:rPr>
                <w:rFonts w:cs="Arial"/>
                <w:b/>
                <w:bCs/>
              </w:rPr>
            </w:pPr>
            <w:r>
              <w:rPr>
                <w:rFonts w:cs="Arial"/>
                <w:b/>
                <w:bCs/>
              </w:rPr>
              <w:t>1</w:t>
            </w:r>
            <w:r w:rsidR="007B3820">
              <w:rPr>
                <w:rFonts w:cs="Arial"/>
                <w:b/>
                <w:bCs/>
              </w:rPr>
              <w:t>4</w:t>
            </w:r>
            <w:r>
              <w:rPr>
                <w:rFonts w:cs="Arial"/>
                <w:b/>
                <w:bCs/>
              </w:rPr>
              <w:t>0,000</w:t>
            </w:r>
          </w:p>
        </w:tc>
        <w:tc>
          <w:tcPr>
            <w:tcW w:w="1584" w:type="dxa"/>
          </w:tcPr>
          <w:p w14:paraId="2E0F0874" w14:textId="02D28C7D" w:rsidR="00F6791D" w:rsidRPr="00F6791D" w:rsidRDefault="00F6791D" w:rsidP="00F6791D">
            <w:pPr>
              <w:tabs>
                <w:tab w:val="decimal" w:pos="1424"/>
              </w:tabs>
              <w:ind w:right="-144"/>
              <w:jc w:val="both"/>
              <w:rPr>
                <w:rFonts w:cs="Arial"/>
              </w:rPr>
            </w:pPr>
            <w:r w:rsidRPr="00F6791D">
              <w:rPr>
                <w:rFonts w:cs="Arial"/>
              </w:rPr>
              <w:t>190,000</w:t>
            </w:r>
          </w:p>
        </w:tc>
      </w:tr>
      <w:tr w:rsidR="00F6791D" w:rsidRPr="00670755" w14:paraId="42C3E86B" w14:textId="77777777" w:rsidTr="0F8406B4">
        <w:tc>
          <w:tcPr>
            <w:tcW w:w="5184" w:type="dxa"/>
          </w:tcPr>
          <w:p w14:paraId="502BB17C" w14:textId="57788E80" w:rsidR="00F6791D" w:rsidRDefault="00F6791D" w:rsidP="00F6791D">
            <w:pPr>
              <w:ind w:right="-144"/>
              <w:jc w:val="both"/>
              <w:rPr>
                <w:rFonts w:cs="Arial"/>
              </w:rPr>
            </w:pPr>
            <w:r w:rsidRPr="7821F417">
              <w:rPr>
                <w:rFonts w:cs="Arial"/>
              </w:rPr>
              <w:t>Repayment of loans and borrowings</w:t>
            </w:r>
          </w:p>
        </w:tc>
        <w:tc>
          <w:tcPr>
            <w:tcW w:w="662" w:type="dxa"/>
          </w:tcPr>
          <w:p w14:paraId="3744D117" w14:textId="77777777" w:rsidR="00F6791D" w:rsidRDefault="00F6791D" w:rsidP="00F6791D">
            <w:pPr>
              <w:pStyle w:val="Sub-header"/>
              <w:jc w:val="center"/>
            </w:pPr>
          </w:p>
        </w:tc>
        <w:tc>
          <w:tcPr>
            <w:tcW w:w="1584" w:type="dxa"/>
          </w:tcPr>
          <w:p w14:paraId="66164089" w14:textId="28B81916" w:rsidR="00F6791D" w:rsidRDefault="00685C8F" w:rsidP="00F6791D">
            <w:pPr>
              <w:tabs>
                <w:tab w:val="decimal" w:pos="1424"/>
              </w:tabs>
              <w:ind w:right="-144"/>
              <w:jc w:val="both"/>
              <w:rPr>
                <w:rFonts w:cs="Arial"/>
                <w:b/>
                <w:bCs/>
              </w:rPr>
            </w:pPr>
            <w:r>
              <w:rPr>
                <w:rFonts w:cs="Arial"/>
                <w:b/>
                <w:bCs/>
              </w:rPr>
              <w:t>(</w:t>
            </w:r>
            <w:r w:rsidR="007B3820">
              <w:rPr>
                <w:rFonts w:cs="Arial"/>
                <w:b/>
                <w:bCs/>
              </w:rPr>
              <w:t>6</w:t>
            </w:r>
            <w:r>
              <w:rPr>
                <w:rFonts w:cs="Arial"/>
                <w:b/>
                <w:bCs/>
              </w:rPr>
              <w:t>0,000)</w:t>
            </w:r>
          </w:p>
        </w:tc>
        <w:tc>
          <w:tcPr>
            <w:tcW w:w="1584" w:type="dxa"/>
          </w:tcPr>
          <w:p w14:paraId="7EB6B829" w14:textId="3CD3358E" w:rsidR="00F6791D" w:rsidRPr="00F6791D" w:rsidRDefault="00F6791D" w:rsidP="00F6791D">
            <w:pPr>
              <w:tabs>
                <w:tab w:val="decimal" w:pos="1424"/>
              </w:tabs>
              <w:ind w:right="-144"/>
              <w:jc w:val="both"/>
              <w:rPr>
                <w:rFonts w:cs="Arial"/>
              </w:rPr>
            </w:pPr>
            <w:r w:rsidRPr="00F6791D">
              <w:rPr>
                <w:rFonts w:cs="Arial"/>
              </w:rPr>
              <w:t>(25,000)</w:t>
            </w:r>
          </w:p>
        </w:tc>
      </w:tr>
      <w:tr w:rsidR="00F6791D" w:rsidRPr="00670755" w14:paraId="592F7135" w14:textId="77777777" w:rsidTr="0F8406B4">
        <w:tc>
          <w:tcPr>
            <w:tcW w:w="5184" w:type="dxa"/>
          </w:tcPr>
          <w:p w14:paraId="57D75DF9" w14:textId="3E81FFCD" w:rsidR="00F6791D" w:rsidRDefault="00F6791D" w:rsidP="00F6791D">
            <w:pPr>
              <w:ind w:right="-144"/>
              <w:jc w:val="both"/>
              <w:rPr>
                <w:rFonts w:cs="Arial"/>
              </w:rPr>
            </w:pPr>
            <w:r w:rsidRPr="7821F417">
              <w:rPr>
                <w:rFonts w:cs="Arial"/>
              </w:rPr>
              <w:t>Purchase of own shares</w:t>
            </w:r>
          </w:p>
        </w:tc>
        <w:tc>
          <w:tcPr>
            <w:tcW w:w="662" w:type="dxa"/>
          </w:tcPr>
          <w:p w14:paraId="7C3D06ED" w14:textId="77777777" w:rsidR="00F6791D" w:rsidRDefault="00F6791D" w:rsidP="00F6791D">
            <w:pPr>
              <w:pStyle w:val="Sub-header"/>
              <w:jc w:val="center"/>
            </w:pPr>
          </w:p>
        </w:tc>
        <w:tc>
          <w:tcPr>
            <w:tcW w:w="1584" w:type="dxa"/>
          </w:tcPr>
          <w:p w14:paraId="4C3F9A66" w14:textId="552118E4" w:rsidR="00F6791D" w:rsidRDefault="00354877" w:rsidP="00F6791D">
            <w:pPr>
              <w:tabs>
                <w:tab w:val="decimal" w:pos="1424"/>
              </w:tabs>
              <w:ind w:right="-144"/>
              <w:jc w:val="both"/>
              <w:rPr>
                <w:rFonts w:cs="Arial"/>
                <w:b/>
                <w:bCs/>
              </w:rPr>
            </w:pPr>
            <w:r>
              <w:rPr>
                <w:rFonts w:cs="Arial"/>
                <w:b/>
                <w:bCs/>
              </w:rPr>
              <w:t>(35,300)</w:t>
            </w:r>
          </w:p>
        </w:tc>
        <w:tc>
          <w:tcPr>
            <w:tcW w:w="1584" w:type="dxa"/>
          </w:tcPr>
          <w:p w14:paraId="3F130EE6" w14:textId="40FF6589" w:rsidR="00F6791D" w:rsidRPr="00F6791D" w:rsidRDefault="00F6791D" w:rsidP="00F6791D">
            <w:pPr>
              <w:tabs>
                <w:tab w:val="decimal" w:pos="1424"/>
              </w:tabs>
              <w:ind w:right="-144"/>
              <w:jc w:val="both"/>
              <w:rPr>
                <w:rFonts w:cs="Arial"/>
              </w:rPr>
            </w:pPr>
            <w:r w:rsidRPr="00F6791D">
              <w:rPr>
                <w:rFonts w:cs="Arial"/>
              </w:rPr>
              <w:t>-</w:t>
            </w:r>
          </w:p>
        </w:tc>
      </w:tr>
      <w:tr w:rsidR="00F6791D" w:rsidRPr="00670755" w14:paraId="2018FF70" w14:textId="77777777" w:rsidTr="0F8406B4">
        <w:tc>
          <w:tcPr>
            <w:tcW w:w="5184" w:type="dxa"/>
          </w:tcPr>
          <w:p w14:paraId="6AAB40FA" w14:textId="18BDB011" w:rsidR="00F6791D" w:rsidRPr="7821F417" w:rsidRDefault="00F6791D" w:rsidP="00F6791D">
            <w:pPr>
              <w:ind w:right="-144"/>
              <w:jc w:val="both"/>
              <w:rPr>
                <w:rFonts w:cs="Arial"/>
              </w:rPr>
            </w:pPr>
            <w:r>
              <w:rPr>
                <w:rFonts w:cs="Arial"/>
              </w:rPr>
              <w:t>Proceeds from exercise of share options</w:t>
            </w:r>
          </w:p>
        </w:tc>
        <w:tc>
          <w:tcPr>
            <w:tcW w:w="662" w:type="dxa"/>
          </w:tcPr>
          <w:p w14:paraId="46E899BA" w14:textId="77777777" w:rsidR="00F6791D" w:rsidRDefault="00F6791D" w:rsidP="00F6791D">
            <w:pPr>
              <w:pStyle w:val="Sub-header"/>
              <w:jc w:val="center"/>
            </w:pPr>
          </w:p>
        </w:tc>
        <w:tc>
          <w:tcPr>
            <w:tcW w:w="1584" w:type="dxa"/>
          </w:tcPr>
          <w:p w14:paraId="645E456B" w14:textId="3066749A" w:rsidR="00F6791D" w:rsidRDefault="00354877" w:rsidP="00F6791D">
            <w:pPr>
              <w:tabs>
                <w:tab w:val="decimal" w:pos="1424"/>
              </w:tabs>
              <w:ind w:right="-144"/>
              <w:jc w:val="both"/>
              <w:rPr>
                <w:rFonts w:cs="Arial"/>
                <w:b/>
                <w:bCs/>
              </w:rPr>
            </w:pPr>
            <w:r>
              <w:rPr>
                <w:rFonts w:cs="Arial"/>
                <w:b/>
                <w:bCs/>
              </w:rPr>
              <w:t>71</w:t>
            </w:r>
          </w:p>
        </w:tc>
        <w:tc>
          <w:tcPr>
            <w:tcW w:w="1584" w:type="dxa"/>
          </w:tcPr>
          <w:p w14:paraId="0F99F357" w14:textId="5BA21DC4" w:rsidR="00F6791D" w:rsidRPr="00F6791D" w:rsidRDefault="00F6791D" w:rsidP="00F6791D">
            <w:pPr>
              <w:tabs>
                <w:tab w:val="decimal" w:pos="1424"/>
              </w:tabs>
              <w:ind w:right="-144"/>
              <w:jc w:val="both"/>
              <w:rPr>
                <w:rFonts w:cs="Arial"/>
              </w:rPr>
            </w:pPr>
            <w:r w:rsidRPr="00F6791D">
              <w:rPr>
                <w:rFonts w:cs="Arial"/>
              </w:rPr>
              <w:t>40</w:t>
            </w:r>
          </w:p>
        </w:tc>
      </w:tr>
      <w:tr w:rsidR="00AE344D" w:rsidRPr="00670755" w14:paraId="3B0AA1E5" w14:textId="77777777" w:rsidTr="0F8406B4">
        <w:tc>
          <w:tcPr>
            <w:tcW w:w="5184" w:type="dxa"/>
          </w:tcPr>
          <w:tbl>
            <w:tblPr>
              <w:tblW w:w="9014" w:type="dxa"/>
              <w:tblLayout w:type="fixed"/>
              <w:tblCellMar>
                <w:left w:w="0" w:type="dxa"/>
                <w:right w:w="115" w:type="dxa"/>
              </w:tblCellMar>
              <w:tblLook w:val="04A0" w:firstRow="1" w:lastRow="0" w:firstColumn="1" w:lastColumn="0" w:noHBand="0" w:noVBand="1"/>
            </w:tblPr>
            <w:tblGrid>
              <w:gridCol w:w="5184"/>
              <w:gridCol w:w="662"/>
              <w:gridCol w:w="1584"/>
              <w:gridCol w:w="1584"/>
            </w:tblGrid>
            <w:tr w:rsidR="00AE344D" w:rsidRPr="00F6791D" w14:paraId="6B203F45" w14:textId="77777777">
              <w:tc>
                <w:tcPr>
                  <w:tcW w:w="5184" w:type="dxa"/>
                </w:tcPr>
                <w:p w14:paraId="66E1DCFF" w14:textId="1D352AA6" w:rsidR="00AE344D" w:rsidRPr="00C06751" w:rsidRDefault="00D12A32" w:rsidP="00AE344D">
                  <w:pPr>
                    <w:ind w:right="-144"/>
                    <w:jc w:val="both"/>
                    <w:rPr>
                      <w:rFonts w:cs="Arial"/>
                    </w:rPr>
                  </w:pPr>
                  <w:r>
                    <w:rPr>
                      <w:rFonts w:cs="Arial"/>
                    </w:rPr>
                    <w:t>(Payments)/p</w:t>
                  </w:r>
                  <w:r w:rsidR="00AE344D" w:rsidRPr="000044F7">
                    <w:rPr>
                      <w:rFonts w:cs="Arial"/>
                    </w:rPr>
                    <w:t xml:space="preserve">roceeds from derivative </w:t>
                  </w:r>
                  <w:r w:rsidR="00AE344D">
                    <w:rPr>
                      <w:rFonts w:cs="Arial"/>
                    </w:rPr>
                    <w:t>settlements</w:t>
                  </w:r>
                </w:p>
              </w:tc>
              <w:tc>
                <w:tcPr>
                  <w:tcW w:w="662" w:type="dxa"/>
                </w:tcPr>
                <w:p w14:paraId="01E81F52" w14:textId="77777777" w:rsidR="00AE344D" w:rsidRPr="00670755" w:rsidRDefault="00AE344D" w:rsidP="00AE344D">
                  <w:pPr>
                    <w:pStyle w:val="Sub-header"/>
                    <w:jc w:val="center"/>
                  </w:pPr>
                </w:p>
              </w:tc>
              <w:tc>
                <w:tcPr>
                  <w:tcW w:w="1584" w:type="dxa"/>
                </w:tcPr>
                <w:p w14:paraId="410649DB" w14:textId="77777777" w:rsidR="00AE344D" w:rsidRDefault="00AE344D" w:rsidP="00AE344D">
                  <w:pPr>
                    <w:tabs>
                      <w:tab w:val="decimal" w:pos="1424"/>
                    </w:tabs>
                    <w:ind w:right="-144"/>
                    <w:jc w:val="both"/>
                    <w:rPr>
                      <w:rFonts w:cs="Arial"/>
                      <w:b/>
                      <w:bCs/>
                    </w:rPr>
                  </w:pPr>
                  <w:r>
                    <w:rPr>
                      <w:rFonts w:cs="Arial"/>
                      <w:b/>
                      <w:bCs/>
                    </w:rPr>
                    <w:t>(131)</w:t>
                  </w:r>
                </w:p>
              </w:tc>
              <w:tc>
                <w:tcPr>
                  <w:tcW w:w="1584" w:type="dxa"/>
                </w:tcPr>
                <w:p w14:paraId="294C31D3" w14:textId="77777777" w:rsidR="00AE344D" w:rsidRPr="00F6791D" w:rsidRDefault="00AE344D" w:rsidP="00AE344D">
                  <w:pPr>
                    <w:tabs>
                      <w:tab w:val="decimal" w:pos="1424"/>
                    </w:tabs>
                    <w:ind w:right="-144"/>
                    <w:jc w:val="both"/>
                    <w:rPr>
                      <w:rFonts w:cs="Arial"/>
                    </w:rPr>
                  </w:pPr>
                  <w:r w:rsidRPr="00F6791D">
                    <w:rPr>
                      <w:rFonts w:cs="Arial"/>
                    </w:rPr>
                    <w:t>523</w:t>
                  </w:r>
                </w:p>
              </w:tc>
            </w:tr>
          </w:tbl>
          <w:p w14:paraId="486A99CB" w14:textId="77777777" w:rsidR="00AE344D" w:rsidRDefault="00AE344D" w:rsidP="00F6791D">
            <w:pPr>
              <w:ind w:right="-144"/>
              <w:jc w:val="both"/>
              <w:rPr>
                <w:rFonts w:cs="Arial"/>
              </w:rPr>
            </w:pPr>
          </w:p>
        </w:tc>
        <w:tc>
          <w:tcPr>
            <w:tcW w:w="662" w:type="dxa"/>
          </w:tcPr>
          <w:p w14:paraId="3C9AC95A" w14:textId="77777777" w:rsidR="00AE344D" w:rsidRDefault="00AE344D" w:rsidP="00F6791D">
            <w:pPr>
              <w:pStyle w:val="Sub-header"/>
              <w:jc w:val="center"/>
            </w:pPr>
          </w:p>
        </w:tc>
        <w:tc>
          <w:tcPr>
            <w:tcW w:w="1584" w:type="dxa"/>
          </w:tcPr>
          <w:p w14:paraId="192B5BE9" w14:textId="010D71A0" w:rsidR="00AE344D" w:rsidRDefault="00AE344D" w:rsidP="00F6791D">
            <w:pPr>
              <w:tabs>
                <w:tab w:val="decimal" w:pos="1424"/>
              </w:tabs>
              <w:ind w:right="-144"/>
              <w:jc w:val="both"/>
              <w:rPr>
                <w:rFonts w:cs="Arial"/>
                <w:b/>
                <w:bCs/>
              </w:rPr>
            </w:pPr>
            <w:r>
              <w:rPr>
                <w:rFonts w:cs="Arial"/>
                <w:b/>
                <w:bCs/>
              </w:rPr>
              <w:t>(131)</w:t>
            </w:r>
          </w:p>
        </w:tc>
        <w:tc>
          <w:tcPr>
            <w:tcW w:w="1584" w:type="dxa"/>
          </w:tcPr>
          <w:p w14:paraId="2F71C7CC" w14:textId="7F7D4A7A" w:rsidR="00AE344D" w:rsidRPr="00F6791D" w:rsidRDefault="00D12A32" w:rsidP="00F6791D">
            <w:pPr>
              <w:tabs>
                <w:tab w:val="decimal" w:pos="1424"/>
              </w:tabs>
              <w:ind w:right="-144"/>
              <w:jc w:val="both"/>
              <w:rPr>
                <w:rFonts w:cs="Arial"/>
              </w:rPr>
            </w:pPr>
            <w:r>
              <w:rPr>
                <w:rFonts w:cs="Arial"/>
              </w:rPr>
              <w:t>523</w:t>
            </w:r>
          </w:p>
        </w:tc>
      </w:tr>
      <w:tr w:rsidR="00F6791D" w:rsidRPr="00670755" w14:paraId="17D44559" w14:textId="77777777" w:rsidTr="0F8406B4">
        <w:tc>
          <w:tcPr>
            <w:tcW w:w="5184" w:type="dxa"/>
          </w:tcPr>
          <w:p w14:paraId="5CC770A3" w14:textId="5A8DA4F1" w:rsidR="00F6791D" w:rsidRPr="00670755" w:rsidRDefault="00F6791D" w:rsidP="00F6791D">
            <w:pPr>
              <w:ind w:right="-144"/>
              <w:jc w:val="both"/>
              <w:rPr>
                <w:rFonts w:cs="Arial"/>
              </w:rPr>
            </w:pPr>
            <w:r w:rsidRPr="7821F417">
              <w:rPr>
                <w:rFonts w:cs="Arial"/>
              </w:rPr>
              <w:t>Payment of lease liabilities</w:t>
            </w:r>
          </w:p>
        </w:tc>
        <w:tc>
          <w:tcPr>
            <w:tcW w:w="662" w:type="dxa"/>
          </w:tcPr>
          <w:p w14:paraId="6A38F388" w14:textId="77777777" w:rsidR="00F6791D" w:rsidRPr="00670755" w:rsidRDefault="00F6791D" w:rsidP="00F6791D">
            <w:pPr>
              <w:pStyle w:val="Sub-header"/>
              <w:jc w:val="center"/>
            </w:pPr>
          </w:p>
        </w:tc>
        <w:tc>
          <w:tcPr>
            <w:tcW w:w="1584" w:type="dxa"/>
          </w:tcPr>
          <w:p w14:paraId="25E38BD7" w14:textId="482F6C18" w:rsidR="00F6791D" w:rsidRPr="008D3576" w:rsidRDefault="00354877" w:rsidP="00F6791D">
            <w:pPr>
              <w:tabs>
                <w:tab w:val="decimal" w:pos="1424"/>
              </w:tabs>
              <w:ind w:right="-144"/>
              <w:jc w:val="both"/>
              <w:rPr>
                <w:rFonts w:cs="Arial"/>
                <w:b/>
                <w:bCs/>
              </w:rPr>
            </w:pPr>
            <w:r>
              <w:rPr>
                <w:rFonts w:cs="Arial"/>
                <w:b/>
                <w:bCs/>
              </w:rPr>
              <w:t>(730)</w:t>
            </w:r>
          </w:p>
        </w:tc>
        <w:tc>
          <w:tcPr>
            <w:tcW w:w="1584" w:type="dxa"/>
          </w:tcPr>
          <w:p w14:paraId="25786C02" w14:textId="0387066C" w:rsidR="00F6791D" w:rsidRPr="00F6791D" w:rsidRDefault="00F6791D" w:rsidP="00F6791D">
            <w:pPr>
              <w:tabs>
                <w:tab w:val="decimal" w:pos="1424"/>
              </w:tabs>
              <w:ind w:right="-144"/>
              <w:jc w:val="both"/>
              <w:rPr>
                <w:rFonts w:cs="Arial"/>
              </w:rPr>
            </w:pPr>
            <w:r w:rsidRPr="00F6791D">
              <w:rPr>
                <w:rFonts w:cs="Arial"/>
              </w:rPr>
              <w:t>(674)</w:t>
            </w:r>
          </w:p>
        </w:tc>
      </w:tr>
      <w:tr w:rsidR="00F6791D" w:rsidRPr="00670755" w14:paraId="6921C3BB" w14:textId="77777777" w:rsidTr="0F8406B4">
        <w:tc>
          <w:tcPr>
            <w:tcW w:w="5184" w:type="dxa"/>
          </w:tcPr>
          <w:p w14:paraId="457518C9" w14:textId="77777777" w:rsidR="00F6791D" w:rsidRPr="00670755" w:rsidRDefault="00F6791D" w:rsidP="00F6791D">
            <w:pPr>
              <w:ind w:right="-144"/>
              <w:jc w:val="both"/>
              <w:rPr>
                <w:rFonts w:cs="Arial"/>
              </w:rPr>
            </w:pPr>
          </w:p>
        </w:tc>
        <w:tc>
          <w:tcPr>
            <w:tcW w:w="662" w:type="dxa"/>
          </w:tcPr>
          <w:p w14:paraId="3844AC5D" w14:textId="77777777" w:rsidR="00F6791D" w:rsidRPr="00670755" w:rsidRDefault="00F6791D" w:rsidP="00F6791D">
            <w:pPr>
              <w:pStyle w:val="Sub-header"/>
              <w:jc w:val="center"/>
            </w:pPr>
          </w:p>
        </w:tc>
        <w:tc>
          <w:tcPr>
            <w:tcW w:w="1584" w:type="dxa"/>
          </w:tcPr>
          <w:p w14:paraId="3D95415B" w14:textId="0DED27E9" w:rsidR="00F6791D" w:rsidRPr="008D3576" w:rsidRDefault="00F6791D" w:rsidP="00F6791D">
            <w:pPr>
              <w:tabs>
                <w:tab w:val="decimal" w:pos="1424"/>
              </w:tabs>
              <w:ind w:right="-144"/>
              <w:jc w:val="both"/>
              <w:rPr>
                <w:rFonts w:cs="Arial"/>
                <w:b/>
                <w:bCs/>
              </w:rPr>
            </w:pPr>
            <w:r w:rsidRPr="7821F417">
              <w:rPr>
                <w:rFonts w:cs="Arial"/>
                <w:b/>
                <w:bCs/>
                <w:u w:val="single"/>
              </w:rPr>
              <w:t>                  </w:t>
            </w:r>
          </w:p>
        </w:tc>
        <w:tc>
          <w:tcPr>
            <w:tcW w:w="1584" w:type="dxa"/>
          </w:tcPr>
          <w:p w14:paraId="21F9042C" w14:textId="2A98BF54" w:rsidR="00F6791D" w:rsidRPr="00F6791D" w:rsidRDefault="00F6791D" w:rsidP="00F6791D">
            <w:pPr>
              <w:tabs>
                <w:tab w:val="decimal" w:pos="1424"/>
              </w:tabs>
              <w:ind w:right="-144"/>
              <w:jc w:val="both"/>
              <w:rPr>
                <w:rFonts w:cs="Arial"/>
              </w:rPr>
            </w:pPr>
            <w:r w:rsidRPr="00F6791D">
              <w:rPr>
                <w:rFonts w:cs="Arial"/>
                <w:u w:val="single"/>
              </w:rPr>
              <w:t>                  </w:t>
            </w:r>
          </w:p>
        </w:tc>
      </w:tr>
      <w:tr w:rsidR="00F6791D" w:rsidRPr="00670755" w14:paraId="312DD14D" w14:textId="77777777" w:rsidTr="0F8406B4">
        <w:tc>
          <w:tcPr>
            <w:tcW w:w="5184" w:type="dxa"/>
          </w:tcPr>
          <w:p w14:paraId="4F5EBC2B" w14:textId="77777777" w:rsidR="00F6791D" w:rsidRPr="00670755" w:rsidRDefault="00F6791D" w:rsidP="00F6791D">
            <w:pPr>
              <w:ind w:right="-144"/>
              <w:jc w:val="both"/>
              <w:rPr>
                <w:rFonts w:cs="Arial"/>
              </w:rPr>
            </w:pPr>
          </w:p>
        </w:tc>
        <w:tc>
          <w:tcPr>
            <w:tcW w:w="662" w:type="dxa"/>
          </w:tcPr>
          <w:p w14:paraId="0065924B" w14:textId="77777777" w:rsidR="00F6791D" w:rsidRPr="00670755" w:rsidRDefault="00F6791D" w:rsidP="00F6791D">
            <w:pPr>
              <w:pStyle w:val="Sub-header"/>
              <w:jc w:val="center"/>
            </w:pPr>
          </w:p>
        </w:tc>
        <w:tc>
          <w:tcPr>
            <w:tcW w:w="1584" w:type="dxa"/>
          </w:tcPr>
          <w:p w14:paraId="53AA0476" w14:textId="77777777" w:rsidR="00F6791D" w:rsidRPr="008D3576" w:rsidRDefault="00F6791D" w:rsidP="00F6791D">
            <w:pPr>
              <w:tabs>
                <w:tab w:val="decimal" w:pos="1424"/>
              </w:tabs>
              <w:ind w:right="-144"/>
              <w:jc w:val="both"/>
              <w:rPr>
                <w:rFonts w:cs="Arial"/>
                <w:b/>
                <w:bCs/>
              </w:rPr>
            </w:pPr>
          </w:p>
        </w:tc>
        <w:tc>
          <w:tcPr>
            <w:tcW w:w="1584" w:type="dxa"/>
          </w:tcPr>
          <w:p w14:paraId="3C7A0C12" w14:textId="77777777" w:rsidR="00F6791D" w:rsidRPr="00F6791D" w:rsidRDefault="00F6791D" w:rsidP="00F6791D">
            <w:pPr>
              <w:tabs>
                <w:tab w:val="decimal" w:pos="1424"/>
              </w:tabs>
              <w:ind w:right="-144"/>
              <w:jc w:val="both"/>
              <w:rPr>
                <w:rFonts w:cs="Arial"/>
              </w:rPr>
            </w:pPr>
          </w:p>
        </w:tc>
      </w:tr>
      <w:tr w:rsidR="00F6791D" w:rsidRPr="00670755" w14:paraId="1368D3A0" w14:textId="77777777" w:rsidTr="0F8406B4">
        <w:tc>
          <w:tcPr>
            <w:tcW w:w="5184" w:type="dxa"/>
          </w:tcPr>
          <w:p w14:paraId="45C34ABE" w14:textId="3092F5F2" w:rsidR="00F6791D" w:rsidRPr="00F9684D" w:rsidRDefault="00F6791D" w:rsidP="00F6791D">
            <w:pPr>
              <w:ind w:right="-144"/>
              <w:jc w:val="both"/>
              <w:rPr>
                <w:rFonts w:cs="Arial"/>
                <w:b/>
                <w:bCs/>
              </w:rPr>
            </w:pPr>
            <w:r w:rsidRPr="7821F417">
              <w:rPr>
                <w:rFonts w:cs="Arial"/>
                <w:b/>
                <w:bCs/>
              </w:rPr>
              <w:t xml:space="preserve">Net cash </w:t>
            </w:r>
            <w:r>
              <w:rPr>
                <w:rFonts w:cs="Arial"/>
                <w:b/>
                <w:bCs/>
              </w:rPr>
              <w:t xml:space="preserve">from </w:t>
            </w:r>
            <w:r w:rsidRPr="7821F417">
              <w:rPr>
                <w:rFonts w:cs="Arial"/>
                <w:b/>
                <w:bCs/>
              </w:rPr>
              <w:t>financing activities</w:t>
            </w:r>
          </w:p>
        </w:tc>
        <w:tc>
          <w:tcPr>
            <w:tcW w:w="662" w:type="dxa"/>
          </w:tcPr>
          <w:p w14:paraId="701737B5" w14:textId="77777777" w:rsidR="00F6791D" w:rsidRPr="00670755" w:rsidRDefault="00F6791D" w:rsidP="00F6791D">
            <w:pPr>
              <w:pStyle w:val="Sub-header"/>
              <w:jc w:val="center"/>
            </w:pPr>
          </w:p>
        </w:tc>
        <w:tc>
          <w:tcPr>
            <w:tcW w:w="1584" w:type="dxa"/>
          </w:tcPr>
          <w:p w14:paraId="45C10F0B" w14:textId="224E41E5" w:rsidR="00F6791D" w:rsidRPr="008D3576" w:rsidRDefault="00DD32AB" w:rsidP="00F6791D">
            <w:pPr>
              <w:tabs>
                <w:tab w:val="decimal" w:pos="1424"/>
              </w:tabs>
              <w:ind w:right="-144"/>
              <w:jc w:val="both"/>
              <w:rPr>
                <w:rFonts w:cs="Arial"/>
                <w:b/>
                <w:bCs/>
              </w:rPr>
            </w:pPr>
            <w:r>
              <w:rPr>
                <w:rFonts w:cs="Arial"/>
                <w:b/>
                <w:bCs/>
              </w:rPr>
              <w:t>4</w:t>
            </w:r>
            <w:r w:rsidR="00FC5C2F">
              <w:rPr>
                <w:rFonts w:cs="Arial"/>
                <w:b/>
                <w:bCs/>
              </w:rPr>
              <w:t>3,910</w:t>
            </w:r>
          </w:p>
        </w:tc>
        <w:tc>
          <w:tcPr>
            <w:tcW w:w="1584" w:type="dxa"/>
          </w:tcPr>
          <w:p w14:paraId="1A6AEF3E" w14:textId="6731AFA0" w:rsidR="00F6791D" w:rsidRPr="00F6791D" w:rsidRDefault="00F6791D" w:rsidP="00F6791D">
            <w:pPr>
              <w:tabs>
                <w:tab w:val="decimal" w:pos="1424"/>
              </w:tabs>
              <w:ind w:right="-144"/>
              <w:jc w:val="both"/>
              <w:rPr>
                <w:rFonts w:cs="Arial"/>
              </w:rPr>
            </w:pPr>
            <w:r w:rsidRPr="00F6791D">
              <w:rPr>
                <w:rFonts w:cs="Arial"/>
              </w:rPr>
              <w:t>164,</w:t>
            </w:r>
            <w:r w:rsidR="00FB3956">
              <w:rPr>
                <w:rFonts w:cs="Arial"/>
              </w:rPr>
              <w:t>889</w:t>
            </w:r>
          </w:p>
        </w:tc>
      </w:tr>
      <w:tr w:rsidR="00F6791D" w:rsidRPr="00670755" w14:paraId="42DF779A" w14:textId="77777777" w:rsidTr="000B2277">
        <w:trPr>
          <w:trHeight w:val="80"/>
        </w:trPr>
        <w:tc>
          <w:tcPr>
            <w:tcW w:w="5184" w:type="dxa"/>
          </w:tcPr>
          <w:p w14:paraId="378B5A25" w14:textId="77777777" w:rsidR="00F6791D" w:rsidRPr="00670755" w:rsidRDefault="00F6791D" w:rsidP="00F6791D">
            <w:pPr>
              <w:ind w:right="-144"/>
              <w:jc w:val="both"/>
              <w:rPr>
                <w:rFonts w:cs="Arial"/>
              </w:rPr>
            </w:pPr>
          </w:p>
        </w:tc>
        <w:tc>
          <w:tcPr>
            <w:tcW w:w="662" w:type="dxa"/>
          </w:tcPr>
          <w:p w14:paraId="780E200B" w14:textId="77777777" w:rsidR="00F6791D" w:rsidRPr="00670755" w:rsidRDefault="00F6791D" w:rsidP="00F6791D">
            <w:pPr>
              <w:pStyle w:val="Sub-header"/>
              <w:jc w:val="center"/>
            </w:pPr>
          </w:p>
        </w:tc>
        <w:tc>
          <w:tcPr>
            <w:tcW w:w="1584" w:type="dxa"/>
          </w:tcPr>
          <w:p w14:paraId="50F047B2" w14:textId="34730EB1" w:rsidR="00F6791D" w:rsidRPr="008D3576" w:rsidRDefault="00F6791D" w:rsidP="00F6791D">
            <w:pPr>
              <w:tabs>
                <w:tab w:val="decimal" w:pos="1424"/>
              </w:tabs>
              <w:ind w:right="-144"/>
              <w:jc w:val="both"/>
              <w:rPr>
                <w:rFonts w:cs="Arial"/>
                <w:b/>
                <w:bCs/>
              </w:rPr>
            </w:pPr>
            <w:r w:rsidRPr="7821F417">
              <w:rPr>
                <w:rFonts w:cs="Arial"/>
                <w:b/>
                <w:bCs/>
                <w:u w:val="single"/>
              </w:rPr>
              <w:t>                  </w:t>
            </w:r>
          </w:p>
        </w:tc>
        <w:tc>
          <w:tcPr>
            <w:tcW w:w="1584" w:type="dxa"/>
          </w:tcPr>
          <w:p w14:paraId="2CFB61B0" w14:textId="2DA7849A" w:rsidR="00F6791D" w:rsidRPr="00F6791D" w:rsidRDefault="00F6791D" w:rsidP="00F6791D">
            <w:pPr>
              <w:tabs>
                <w:tab w:val="decimal" w:pos="1424"/>
              </w:tabs>
              <w:ind w:right="-144"/>
              <w:jc w:val="both"/>
              <w:rPr>
                <w:rFonts w:cs="Arial"/>
                <w:u w:val="single"/>
              </w:rPr>
            </w:pPr>
            <w:r w:rsidRPr="00F6791D">
              <w:rPr>
                <w:rFonts w:cs="Arial"/>
                <w:u w:val="single"/>
              </w:rPr>
              <w:t>                  </w:t>
            </w:r>
          </w:p>
        </w:tc>
      </w:tr>
      <w:tr w:rsidR="00F6791D" w:rsidRPr="00670755" w14:paraId="401DEF35" w14:textId="77777777" w:rsidTr="0F8406B4">
        <w:tc>
          <w:tcPr>
            <w:tcW w:w="5184" w:type="dxa"/>
          </w:tcPr>
          <w:p w14:paraId="11FC208C" w14:textId="77777777" w:rsidR="00F6791D" w:rsidRPr="00670755" w:rsidRDefault="00F6791D" w:rsidP="00F6791D">
            <w:pPr>
              <w:ind w:right="-144"/>
              <w:jc w:val="both"/>
              <w:rPr>
                <w:rFonts w:cs="Arial"/>
              </w:rPr>
            </w:pPr>
          </w:p>
        </w:tc>
        <w:tc>
          <w:tcPr>
            <w:tcW w:w="662" w:type="dxa"/>
          </w:tcPr>
          <w:p w14:paraId="107946EC" w14:textId="77777777" w:rsidR="00F6791D" w:rsidRPr="00670755" w:rsidRDefault="00F6791D" w:rsidP="00F6791D">
            <w:pPr>
              <w:pStyle w:val="Sub-header"/>
              <w:jc w:val="center"/>
            </w:pPr>
          </w:p>
        </w:tc>
        <w:tc>
          <w:tcPr>
            <w:tcW w:w="1584" w:type="dxa"/>
          </w:tcPr>
          <w:p w14:paraId="17A277B8" w14:textId="77777777" w:rsidR="00F6791D" w:rsidRPr="008D3576" w:rsidRDefault="00F6791D" w:rsidP="00F6791D">
            <w:pPr>
              <w:tabs>
                <w:tab w:val="decimal" w:pos="1424"/>
              </w:tabs>
              <w:ind w:right="-144"/>
              <w:jc w:val="both"/>
              <w:rPr>
                <w:rFonts w:cs="Arial"/>
                <w:b/>
                <w:bCs/>
              </w:rPr>
            </w:pPr>
          </w:p>
        </w:tc>
        <w:tc>
          <w:tcPr>
            <w:tcW w:w="1584" w:type="dxa"/>
          </w:tcPr>
          <w:p w14:paraId="4ED79939" w14:textId="77777777" w:rsidR="00F6791D" w:rsidRPr="00F6791D" w:rsidRDefault="00F6791D" w:rsidP="00F6791D">
            <w:pPr>
              <w:tabs>
                <w:tab w:val="decimal" w:pos="1424"/>
              </w:tabs>
              <w:ind w:right="-144"/>
              <w:jc w:val="both"/>
              <w:rPr>
                <w:rFonts w:cs="Arial"/>
              </w:rPr>
            </w:pPr>
          </w:p>
        </w:tc>
      </w:tr>
      <w:tr w:rsidR="00F6791D" w:rsidRPr="00670755" w14:paraId="5E66BA99" w14:textId="77777777" w:rsidTr="0F8406B4">
        <w:tc>
          <w:tcPr>
            <w:tcW w:w="5184" w:type="dxa"/>
          </w:tcPr>
          <w:p w14:paraId="576E9361" w14:textId="6357D87D" w:rsidR="00F6791D" w:rsidRDefault="00F6791D" w:rsidP="00F6791D">
            <w:pPr>
              <w:ind w:right="-144"/>
              <w:jc w:val="both"/>
              <w:rPr>
                <w:rFonts w:cs="Arial"/>
                <w:b/>
                <w:bCs/>
              </w:rPr>
            </w:pPr>
            <w:r w:rsidRPr="7821F417">
              <w:rPr>
                <w:rFonts w:cs="Arial"/>
                <w:b/>
                <w:bCs/>
              </w:rPr>
              <w:t xml:space="preserve">Net </w:t>
            </w:r>
            <w:r w:rsidR="00825A09">
              <w:rPr>
                <w:rFonts w:cs="Arial"/>
                <w:b/>
                <w:bCs/>
              </w:rPr>
              <w:t>increase / (</w:t>
            </w:r>
            <w:r w:rsidRPr="7821F417">
              <w:rPr>
                <w:rFonts w:cs="Arial"/>
                <w:b/>
                <w:bCs/>
              </w:rPr>
              <w:t>decrease</w:t>
            </w:r>
            <w:r w:rsidR="00825A09">
              <w:rPr>
                <w:rFonts w:cs="Arial"/>
                <w:b/>
                <w:bCs/>
              </w:rPr>
              <w:t>)</w:t>
            </w:r>
            <w:r w:rsidRPr="7821F417">
              <w:rPr>
                <w:rFonts w:cs="Arial"/>
                <w:b/>
                <w:bCs/>
              </w:rPr>
              <w:t xml:space="preserve"> in cash and cash equivalents </w:t>
            </w:r>
          </w:p>
        </w:tc>
        <w:tc>
          <w:tcPr>
            <w:tcW w:w="662" w:type="dxa"/>
          </w:tcPr>
          <w:p w14:paraId="4818C2E2" w14:textId="77777777" w:rsidR="00F6791D" w:rsidRPr="00670755" w:rsidRDefault="00F6791D" w:rsidP="00F6791D">
            <w:pPr>
              <w:pStyle w:val="Sub-header"/>
              <w:jc w:val="center"/>
            </w:pPr>
          </w:p>
        </w:tc>
        <w:tc>
          <w:tcPr>
            <w:tcW w:w="1584" w:type="dxa"/>
          </w:tcPr>
          <w:p w14:paraId="78F93F59" w14:textId="77777777" w:rsidR="00F6791D" w:rsidRPr="008D3576" w:rsidRDefault="00F6791D" w:rsidP="00F6791D">
            <w:pPr>
              <w:tabs>
                <w:tab w:val="decimal" w:pos="1424"/>
              </w:tabs>
              <w:ind w:right="-144"/>
              <w:jc w:val="both"/>
              <w:rPr>
                <w:rFonts w:cs="Arial"/>
                <w:b/>
                <w:bCs/>
              </w:rPr>
            </w:pPr>
          </w:p>
        </w:tc>
        <w:tc>
          <w:tcPr>
            <w:tcW w:w="1584" w:type="dxa"/>
          </w:tcPr>
          <w:p w14:paraId="0D004514" w14:textId="77777777" w:rsidR="00F6791D" w:rsidRPr="00F6791D" w:rsidRDefault="00F6791D" w:rsidP="00F6791D">
            <w:pPr>
              <w:tabs>
                <w:tab w:val="decimal" w:pos="1424"/>
              </w:tabs>
              <w:ind w:right="-144"/>
              <w:jc w:val="both"/>
              <w:rPr>
                <w:rFonts w:cs="Arial"/>
              </w:rPr>
            </w:pPr>
          </w:p>
        </w:tc>
      </w:tr>
      <w:tr w:rsidR="00F6791D" w:rsidRPr="00670755" w14:paraId="02A6D152" w14:textId="77777777" w:rsidTr="0F8406B4">
        <w:tc>
          <w:tcPr>
            <w:tcW w:w="5184" w:type="dxa"/>
          </w:tcPr>
          <w:p w14:paraId="2611717A" w14:textId="40B54EB2" w:rsidR="00F6791D" w:rsidRPr="003E69DA" w:rsidRDefault="00825A09" w:rsidP="00F6791D">
            <w:pPr>
              <w:ind w:right="-144"/>
              <w:jc w:val="both"/>
              <w:rPr>
                <w:rFonts w:cs="Arial"/>
                <w:b/>
                <w:bCs/>
              </w:rPr>
            </w:pPr>
            <w:r>
              <w:rPr>
                <w:rFonts w:cs="Arial"/>
                <w:b/>
                <w:bCs/>
              </w:rPr>
              <w:t xml:space="preserve">In the </w:t>
            </w:r>
            <w:r w:rsidR="00F6791D">
              <w:rPr>
                <w:rFonts w:cs="Arial"/>
                <w:b/>
                <w:bCs/>
              </w:rPr>
              <w:t>p</w:t>
            </w:r>
            <w:r w:rsidR="00F6791D" w:rsidRPr="7821F417">
              <w:rPr>
                <w:rFonts w:cs="Arial"/>
                <w:b/>
                <w:bCs/>
              </w:rPr>
              <w:t>eriod</w:t>
            </w:r>
          </w:p>
        </w:tc>
        <w:tc>
          <w:tcPr>
            <w:tcW w:w="662" w:type="dxa"/>
          </w:tcPr>
          <w:p w14:paraId="063B0C65" w14:textId="77777777" w:rsidR="00F6791D" w:rsidRPr="00670755" w:rsidRDefault="00F6791D" w:rsidP="00F6791D">
            <w:pPr>
              <w:pStyle w:val="Sub-header"/>
              <w:jc w:val="center"/>
            </w:pPr>
          </w:p>
        </w:tc>
        <w:tc>
          <w:tcPr>
            <w:tcW w:w="1584" w:type="dxa"/>
          </w:tcPr>
          <w:p w14:paraId="22574593" w14:textId="4895775B" w:rsidR="00F6791D" w:rsidRPr="008D3576" w:rsidRDefault="008402B5" w:rsidP="00F6791D">
            <w:pPr>
              <w:tabs>
                <w:tab w:val="decimal" w:pos="1424"/>
              </w:tabs>
              <w:ind w:right="-144"/>
              <w:jc w:val="both"/>
              <w:rPr>
                <w:rFonts w:cs="Arial"/>
                <w:b/>
                <w:bCs/>
              </w:rPr>
            </w:pPr>
            <w:r>
              <w:rPr>
                <w:rFonts w:cs="Arial"/>
                <w:b/>
                <w:bCs/>
              </w:rPr>
              <w:t>29</w:t>
            </w:r>
            <w:r w:rsidR="00C53F54">
              <w:rPr>
                <w:rFonts w:cs="Arial"/>
                <w:b/>
                <w:bCs/>
              </w:rPr>
              <w:t>,601</w:t>
            </w:r>
          </w:p>
        </w:tc>
        <w:tc>
          <w:tcPr>
            <w:tcW w:w="1584" w:type="dxa"/>
          </w:tcPr>
          <w:p w14:paraId="0914EBCD" w14:textId="4A641017" w:rsidR="00F6791D" w:rsidRPr="00F6791D" w:rsidRDefault="00F6791D" w:rsidP="00F6791D">
            <w:pPr>
              <w:tabs>
                <w:tab w:val="decimal" w:pos="1424"/>
              </w:tabs>
              <w:ind w:right="-144"/>
              <w:jc w:val="both"/>
              <w:rPr>
                <w:rFonts w:cs="Arial"/>
              </w:rPr>
            </w:pPr>
            <w:r w:rsidRPr="00F6791D">
              <w:rPr>
                <w:rFonts w:cs="Arial"/>
              </w:rPr>
              <w:t>(31,173)</w:t>
            </w:r>
          </w:p>
        </w:tc>
      </w:tr>
      <w:tr w:rsidR="00F6791D" w:rsidRPr="00670755" w14:paraId="3B5F7F87" w14:textId="77777777" w:rsidTr="0F8406B4">
        <w:tc>
          <w:tcPr>
            <w:tcW w:w="5184" w:type="dxa"/>
          </w:tcPr>
          <w:p w14:paraId="54B8F2F5" w14:textId="77777777" w:rsidR="00F6791D" w:rsidRDefault="00F6791D" w:rsidP="00F6791D">
            <w:pPr>
              <w:ind w:right="-144"/>
              <w:jc w:val="both"/>
              <w:rPr>
                <w:rFonts w:cs="Arial"/>
                <w:b/>
                <w:bCs/>
              </w:rPr>
            </w:pPr>
          </w:p>
        </w:tc>
        <w:tc>
          <w:tcPr>
            <w:tcW w:w="662" w:type="dxa"/>
          </w:tcPr>
          <w:p w14:paraId="564D7560" w14:textId="77777777" w:rsidR="00F6791D" w:rsidRPr="00670755" w:rsidRDefault="00F6791D" w:rsidP="00F6791D">
            <w:pPr>
              <w:pStyle w:val="Sub-header"/>
              <w:jc w:val="center"/>
            </w:pPr>
          </w:p>
        </w:tc>
        <w:tc>
          <w:tcPr>
            <w:tcW w:w="1584" w:type="dxa"/>
          </w:tcPr>
          <w:p w14:paraId="749CC295" w14:textId="4694EC77" w:rsidR="00F6791D" w:rsidRPr="008D3576" w:rsidRDefault="00F6791D" w:rsidP="00F6791D">
            <w:pPr>
              <w:tabs>
                <w:tab w:val="decimal" w:pos="1424"/>
              </w:tabs>
              <w:ind w:right="-144"/>
              <w:jc w:val="both"/>
              <w:rPr>
                <w:rFonts w:cs="Arial"/>
                <w:b/>
                <w:bCs/>
              </w:rPr>
            </w:pPr>
            <w:r w:rsidRPr="7821F417">
              <w:rPr>
                <w:rFonts w:cs="Arial"/>
                <w:b/>
                <w:bCs/>
                <w:u w:val="single"/>
              </w:rPr>
              <w:t>                  </w:t>
            </w:r>
          </w:p>
        </w:tc>
        <w:tc>
          <w:tcPr>
            <w:tcW w:w="1584" w:type="dxa"/>
          </w:tcPr>
          <w:p w14:paraId="3CE1BEBF" w14:textId="16E45698" w:rsidR="00F6791D" w:rsidRPr="00F6791D" w:rsidRDefault="00F6791D" w:rsidP="00F6791D">
            <w:pPr>
              <w:tabs>
                <w:tab w:val="decimal" w:pos="1424"/>
              </w:tabs>
              <w:ind w:right="-144"/>
              <w:jc w:val="both"/>
              <w:rPr>
                <w:rFonts w:cs="Arial"/>
              </w:rPr>
            </w:pPr>
            <w:r w:rsidRPr="00F6791D">
              <w:rPr>
                <w:rFonts w:cs="Arial"/>
                <w:u w:val="single"/>
              </w:rPr>
              <w:t>                  </w:t>
            </w:r>
          </w:p>
        </w:tc>
      </w:tr>
      <w:tr w:rsidR="00F6791D" w:rsidRPr="00670755" w14:paraId="4B386153" w14:textId="77777777" w:rsidTr="0F8406B4">
        <w:tc>
          <w:tcPr>
            <w:tcW w:w="5184" w:type="dxa"/>
          </w:tcPr>
          <w:p w14:paraId="59AC2539" w14:textId="512C31AD" w:rsidR="00F6791D" w:rsidRPr="003E69DA" w:rsidRDefault="00F6791D" w:rsidP="00F6791D">
            <w:pPr>
              <w:ind w:right="-144"/>
              <w:jc w:val="both"/>
              <w:rPr>
                <w:rFonts w:cs="Arial"/>
              </w:rPr>
            </w:pPr>
            <w:r w:rsidRPr="7821F417">
              <w:rPr>
                <w:rFonts w:cs="Arial"/>
              </w:rPr>
              <w:t>Cash and cash equivalents at the beginning of the period</w:t>
            </w:r>
          </w:p>
        </w:tc>
        <w:tc>
          <w:tcPr>
            <w:tcW w:w="662" w:type="dxa"/>
          </w:tcPr>
          <w:p w14:paraId="3C1CEAFA" w14:textId="77777777" w:rsidR="00F6791D" w:rsidRPr="00670755" w:rsidRDefault="00F6791D" w:rsidP="00F6791D">
            <w:pPr>
              <w:pStyle w:val="Sub-header"/>
              <w:jc w:val="center"/>
            </w:pPr>
          </w:p>
        </w:tc>
        <w:tc>
          <w:tcPr>
            <w:tcW w:w="1584" w:type="dxa"/>
          </w:tcPr>
          <w:p w14:paraId="3C6F488B" w14:textId="17569570" w:rsidR="00F6791D" w:rsidRPr="008D3576" w:rsidRDefault="0045122C" w:rsidP="00F6791D">
            <w:pPr>
              <w:tabs>
                <w:tab w:val="decimal" w:pos="1424"/>
              </w:tabs>
              <w:ind w:right="-144"/>
              <w:jc w:val="both"/>
              <w:rPr>
                <w:rFonts w:cs="Arial"/>
                <w:b/>
                <w:bCs/>
              </w:rPr>
            </w:pPr>
            <w:r>
              <w:rPr>
                <w:rFonts w:cs="Arial"/>
                <w:b/>
                <w:bCs/>
              </w:rPr>
              <w:t>63,165</w:t>
            </w:r>
          </w:p>
        </w:tc>
        <w:tc>
          <w:tcPr>
            <w:tcW w:w="1584" w:type="dxa"/>
          </w:tcPr>
          <w:p w14:paraId="143EE087" w14:textId="723CD2B6" w:rsidR="00F6791D" w:rsidRPr="00F6791D" w:rsidRDefault="00F6791D" w:rsidP="00F6791D">
            <w:pPr>
              <w:tabs>
                <w:tab w:val="decimal" w:pos="1424"/>
              </w:tabs>
              <w:ind w:right="-144"/>
              <w:jc w:val="both"/>
              <w:rPr>
                <w:rFonts w:cs="Arial"/>
              </w:rPr>
            </w:pPr>
            <w:r w:rsidRPr="00F6791D">
              <w:rPr>
                <w:rFonts w:cs="Arial"/>
              </w:rPr>
              <w:t>71,863</w:t>
            </w:r>
          </w:p>
        </w:tc>
      </w:tr>
      <w:tr w:rsidR="00F6791D" w:rsidRPr="00670755" w14:paraId="79CFEBCC" w14:textId="77777777" w:rsidTr="0F8406B4">
        <w:tc>
          <w:tcPr>
            <w:tcW w:w="5184" w:type="dxa"/>
          </w:tcPr>
          <w:p w14:paraId="4CFA9587" w14:textId="77777777" w:rsidR="00F6791D" w:rsidRPr="00670755" w:rsidRDefault="00F6791D" w:rsidP="00F6791D">
            <w:pPr>
              <w:ind w:right="-144"/>
              <w:jc w:val="both"/>
              <w:rPr>
                <w:rFonts w:cs="Arial"/>
              </w:rPr>
            </w:pPr>
          </w:p>
        </w:tc>
        <w:tc>
          <w:tcPr>
            <w:tcW w:w="662" w:type="dxa"/>
          </w:tcPr>
          <w:p w14:paraId="444736DB" w14:textId="77777777" w:rsidR="00F6791D" w:rsidRPr="00670755" w:rsidRDefault="00F6791D" w:rsidP="00F6791D">
            <w:pPr>
              <w:pStyle w:val="Sub-header"/>
              <w:jc w:val="center"/>
            </w:pPr>
          </w:p>
        </w:tc>
        <w:tc>
          <w:tcPr>
            <w:tcW w:w="1584" w:type="dxa"/>
          </w:tcPr>
          <w:p w14:paraId="7B104F17" w14:textId="28D50581" w:rsidR="00F6791D" w:rsidRPr="008D3576" w:rsidRDefault="00F6791D" w:rsidP="00F6791D">
            <w:pPr>
              <w:tabs>
                <w:tab w:val="decimal" w:pos="1424"/>
              </w:tabs>
              <w:ind w:right="-144"/>
              <w:jc w:val="both"/>
              <w:rPr>
                <w:rFonts w:cs="Arial"/>
                <w:b/>
                <w:bCs/>
                <w:u w:val="single"/>
              </w:rPr>
            </w:pPr>
            <w:r w:rsidRPr="7821F417">
              <w:rPr>
                <w:rFonts w:cs="Arial"/>
                <w:b/>
                <w:bCs/>
                <w:u w:val="single"/>
              </w:rPr>
              <w:t>                  </w:t>
            </w:r>
          </w:p>
        </w:tc>
        <w:tc>
          <w:tcPr>
            <w:tcW w:w="1584" w:type="dxa"/>
          </w:tcPr>
          <w:p w14:paraId="3BB715E6" w14:textId="39CCACD4" w:rsidR="00F6791D" w:rsidRPr="00F6791D" w:rsidRDefault="00F6791D" w:rsidP="00F6791D">
            <w:pPr>
              <w:tabs>
                <w:tab w:val="decimal" w:pos="1424"/>
              </w:tabs>
              <w:ind w:right="-144"/>
              <w:jc w:val="both"/>
              <w:rPr>
                <w:rFonts w:cs="Arial"/>
                <w:u w:val="single"/>
              </w:rPr>
            </w:pPr>
            <w:r w:rsidRPr="00F6791D">
              <w:rPr>
                <w:rFonts w:cs="Arial"/>
                <w:u w:val="single"/>
              </w:rPr>
              <w:t>                  </w:t>
            </w:r>
          </w:p>
        </w:tc>
      </w:tr>
      <w:tr w:rsidR="00F6791D" w:rsidRPr="00670755" w14:paraId="61F92925" w14:textId="77777777" w:rsidTr="0F8406B4">
        <w:tc>
          <w:tcPr>
            <w:tcW w:w="5184" w:type="dxa"/>
          </w:tcPr>
          <w:p w14:paraId="3895E9BF" w14:textId="77777777" w:rsidR="00F6791D" w:rsidRPr="00670755" w:rsidRDefault="00F6791D" w:rsidP="00F6791D">
            <w:pPr>
              <w:ind w:right="-144"/>
              <w:jc w:val="both"/>
              <w:rPr>
                <w:rFonts w:cs="Arial"/>
              </w:rPr>
            </w:pPr>
          </w:p>
        </w:tc>
        <w:tc>
          <w:tcPr>
            <w:tcW w:w="662" w:type="dxa"/>
          </w:tcPr>
          <w:p w14:paraId="6A3508F2" w14:textId="77777777" w:rsidR="00F6791D" w:rsidRPr="00670755" w:rsidRDefault="00F6791D" w:rsidP="00F6791D">
            <w:pPr>
              <w:pStyle w:val="Sub-header"/>
              <w:jc w:val="center"/>
            </w:pPr>
          </w:p>
        </w:tc>
        <w:tc>
          <w:tcPr>
            <w:tcW w:w="1584" w:type="dxa"/>
          </w:tcPr>
          <w:p w14:paraId="0FA50D79" w14:textId="77777777" w:rsidR="00F6791D" w:rsidRPr="008D3576" w:rsidRDefault="00F6791D" w:rsidP="00F6791D">
            <w:pPr>
              <w:tabs>
                <w:tab w:val="decimal" w:pos="1424"/>
              </w:tabs>
              <w:ind w:right="-144"/>
              <w:jc w:val="both"/>
              <w:rPr>
                <w:rFonts w:cs="Arial"/>
                <w:b/>
                <w:bCs/>
              </w:rPr>
            </w:pPr>
          </w:p>
        </w:tc>
        <w:tc>
          <w:tcPr>
            <w:tcW w:w="1584" w:type="dxa"/>
          </w:tcPr>
          <w:p w14:paraId="4A02A177" w14:textId="77777777" w:rsidR="00F6791D" w:rsidRPr="00F6791D" w:rsidRDefault="00F6791D" w:rsidP="00F6791D">
            <w:pPr>
              <w:tabs>
                <w:tab w:val="decimal" w:pos="1424"/>
              </w:tabs>
              <w:ind w:right="-144"/>
              <w:jc w:val="both"/>
              <w:rPr>
                <w:rFonts w:cs="Arial"/>
              </w:rPr>
            </w:pPr>
          </w:p>
        </w:tc>
      </w:tr>
      <w:tr w:rsidR="00F6791D" w:rsidRPr="00670755" w14:paraId="0C0EC852" w14:textId="77777777" w:rsidTr="0F8406B4">
        <w:tc>
          <w:tcPr>
            <w:tcW w:w="5184" w:type="dxa"/>
          </w:tcPr>
          <w:p w14:paraId="2EAC6542" w14:textId="4C346926" w:rsidR="00F6791D" w:rsidRPr="00670755" w:rsidRDefault="00F6791D" w:rsidP="00F6791D">
            <w:pPr>
              <w:ind w:right="-144"/>
              <w:jc w:val="both"/>
              <w:rPr>
                <w:rFonts w:cs="Arial"/>
                <w:b/>
                <w:bCs/>
              </w:rPr>
            </w:pPr>
            <w:r w:rsidRPr="7821F417">
              <w:rPr>
                <w:rFonts w:cs="Arial"/>
                <w:b/>
                <w:bCs/>
              </w:rPr>
              <w:t>Cash and cash equivalents at the end of the period</w:t>
            </w:r>
          </w:p>
        </w:tc>
        <w:tc>
          <w:tcPr>
            <w:tcW w:w="662" w:type="dxa"/>
          </w:tcPr>
          <w:p w14:paraId="26B54F46" w14:textId="77777777" w:rsidR="00F6791D" w:rsidRPr="00670755" w:rsidRDefault="00F6791D" w:rsidP="00F6791D">
            <w:pPr>
              <w:pStyle w:val="Sub-header"/>
              <w:jc w:val="center"/>
            </w:pPr>
          </w:p>
        </w:tc>
        <w:tc>
          <w:tcPr>
            <w:tcW w:w="1584" w:type="dxa"/>
          </w:tcPr>
          <w:p w14:paraId="14AEF00C" w14:textId="04A17591" w:rsidR="00F6791D" w:rsidRPr="008D3576" w:rsidRDefault="008262AC" w:rsidP="00F6791D">
            <w:pPr>
              <w:tabs>
                <w:tab w:val="decimal" w:pos="1424"/>
              </w:tabs>
              <w:ind w:right="-144"/>
              <w:jc w:val="both"/>
              <w:rPr>
                <w:rFonts w:cs="Arial"/>
                <w:b/>
                <w:bCs/>
              </w:rPr>
            </w:pPr>
            <w:r>
              <w:rPr>
                <w:rFonts w:cs="Arial"/>
                <w:b/>
                <w:bCs/>
              </w:rPr>
              <w:t>92,766</w:t>
            </w:r>
          </w:p>
        </w:tc>
        <w:tc>
          <w:tcPr>
            <w:tcW w:w="1584" w:type="dxa"/>
          </w:tcPr>
          <w:p w14:paraId="163BB801" w14:textId="6BED6510" w:rsidR="00F6791D" w:rsidRPr="00F6791D" w:rsidRDefault="00F6791D" w:rsidP="00F6791D">
            <w:pPr>
              <w:tabs>
                <w:tab w:val="decimal" w:pos="1424"/>
              </w:tabs>
              <w:ind w:right="-144"/>
              <w:jc w:val="both"/>
              <w:rPr>
                <w:rFonts w:cs="Arial"/>
              </w:rPr>
            </w:pPr>
            <w:r w:rsidRPr="00F6791D">
              <w:rPr>
                <w:rFonts w:cs="Arial"/>
              </w:rPr>
              <w:t>40,690</w:t>
            </w:r>
          </w:p>
        </w:tc>
      </w:tr>
      <w:tr w:rsidR="00F6791D" w:rsidRPr="00670755" w14:paraId="2088E4FB" w14:textId="77777777" w:rsidTr="0F8406B4">
        <w:trPr>
          <w:trHeight w:val="318"/>
        </w:trPr>
        <w:tc>
          <w:tcPr>
            <w:tcW w:w="5184" w:type="dxa"/>
          </w:tcPr>
          <w:p w14:paraId="2E27AFFB" w14:textId="77777777" w:rsidR="00F6791D" w:rsidRPr="00670755" w:rsidRDefault="00F6791D" w:rsidP="00F6791D">
            <w:pPr>
              <w:ind w:right="-144"/>
              <w:jc w:val="both"/>
              <w:rPr>
                <w:rFonts w:cs="Arial"/>
              </w:rPr>
            </w:pPr>
          </w:p>
        </w:tc>
        <w:tc>
          <w:tcPr>
            <w:tcW w:w="662" w:type="dxa"/>
          </w:tcPr>
          <w:p w14:paraId="439700E2" w14:textId="77777777" w:rsidR="00F6791D" w:rsidRPr="00670755" w:rsidRDefault="00F6791D" w:rsidP="00F6791D">
            <w:pPr>
              <w:pStyle w:val="Sub-header"/>
              <w:jc w:val="center"/>
            </w:pPr>
          </w:p>
        </w:tc>
        <w:tc>
          <w:tcPr>
            <w:tcW w:w="1584" w:type="dxa"/>
          </w:tcPr>
          <w:p w14:paraId="1309A9A2" w14:textId="477C9DA7" w:rsidR="00F6791D" w:rsidRPr="008D3576" w:rsidRDefault="00F6791D" w:rsidP="00F6791D">
            <w:pPr>
              <w:tabs>
                <w:tab w:val="decimal" w:pos="1424"/>
              </w:tabs>
              <w:ind w:right="-144"/>
              <w:jc w:val="both"/>
              <w:rPr>
                <w:rFonts w:cs="Arial"/>
                <w:b/>
                <w:bCs/>
                <w:u w:val="double"/>
              </w:rPr>
            </w:pPr>
            <w:r w:rsidRPr="7821F417">
              <w:rPr>
                <w:rFonts w:cs="Arial"/>
                <w:b/>
                <w:bCs/>
                <w:u w:val="double"/>
              </w:rPr>
              <w:t>                  </w:t>
            </w:r>
          </w:p>
        </w:tc>
        <w:tc>
          <w:tcPr>
            <w:tcW w:w="1584" w:type="dxa"/>
          </w:tcPr>
          <w:p w14:paraId="74BD62EC" w14:textId="123AE32C" w:rsidR="00F6791D" w:rsidRPr="00F6791D" w:rsidRDefault="00F6791D" w:rsidP="00F6791D">
            <w:pPr>
              <w:tabs>
                <w:tab w:val="decimal" w:pos="1424"/>
              </w:tabs>
              <w:ind w:right="-144"/>
              <w:jc w:val="both"/>
              <w:rPr>
                <w:rFonts w:cs="Arial"/>
                <w:u w:val="double"/>
              </w:rPr>
            </w:pPr>
            <w:r w:rsidRPr="00F6791D">
              <w:rPr>
                <w:rFonts w:cs="Arial"/>
                <w:u w:val="double"/>
              </w:rPr>
              <w:t>                  </w:t>
            </w:r>
          </w:p>
        </w:tc>
      </w:tr>
    </w:tbl>
    <w:p w14:paraId="3EC544BB" w14:textId="77777777" w:rsidR="00400C9E" w:rsidRDefault="00400C9E" w:rsidP="005C02FC">
      <w:pPr>
        <w:jc w:val="both"/>
        <w:sectPr w:rsidR="00400C9E" w:rsidSect="004A3009">
          <w:headerReference w:type="default" r:id="rId53"/>
          <w:footerReference w:type="even" r:id="rId54"/>
          <w:footerReference w:type="default" r:id="rId55"/>
          <w:footerReference w:type="first" r:id="rId56"/>
          <w:pgSz w:w="11909" w:h="16834" w:code="9"/>
          <w:pgMar w:top="1080" w:right="1077" w:bottom="1077" w:left="1440" w:header="1800" w:footer="709" w:gutter="0"/>
          <w:cols w:space="708"/>
          <w:docGrid w:linePitch="360"/>
        </w:sectPr>
      </w:pPr>
    </w:p>
    <w:p w14:paraId="2F7F23C5" w14:textId="77777777" w:rsidR="00D03CE1" w:rsidRDefault="00D03CE1" w:rsidP="005C02FC">
      <w:pPr>
        <w:jc w:val="both"/>
      </w:pPr>
    </w:p>
    <w:p w14:paraId="3B8C11AF" w14:textId="77777777" w:rsidR="00D03CE1" w:rsidRPr="00670755" w:rsidRDefault="00D03CE1" w:rsidP="005C02FC">
      <w:pPr>
        <w:pStyle w:val="NotesHeading"/>
        <w:jc w:val="both"/>
      </w:pPr>
      <w:r>
        <w:t>1</w:t>
      </w:r>
      <w:r>
        <w:tab/>
      </w:r>
      <w:r w:rsidR="0066329F">
        <w:t>Reporting entity</w:t>
      </w:r>
    </w:p>
    <w:p w14:paraId="078F4D9B" w14:textId="77777777" w:rsidR="00D03CE1" w:rsidRPr="00670755" w:rsidRDefault="00D03CE1" w:rsidP="005C02FC">
      <w:pPr>
        <w:pStyle w:val="NotesBody"/>
        <w:jc w:val="both"/>
      </w:pPr>
    </w:p>
    <w:p w14:paraId="1FA0DD6C" w14:textId="2FF8383C" w:rsidR="00D03CE1" w:rsidRDefault="00CB2391" w:rsidP="0087079D">
      <w:pPr>
        <w:pStyle w:val="NotesBody"/>
        <w:jc w:val="both"/>
      </w:pPr>
      <w:r>
        <w:t xml:space="preserve">Glenveagh Properties </w:t>
      </w:r>
      <w:r w:rsidR="006C2F97">
        <w:t>PLC</w:t>
      </w:r>
      <w:r>
        <w:t xml:space="preserve"> (“the Company</w:t>
      </w:r>
      <w:r w:rsidR="004E19F3">
        <w:t>”</w:t>
      </w:r>
      <w:r>
        <w:t xml:space="preserve">) is domiciled in the Republic of Ireland. The Company’s registered office is </w:t>
      </w:r>
      <w:r w:rsidR="001E72EF">
        <w:t xml:space="preserve">Block </w:t>
      </w:r>
      <w:r w:rsidR="003A1199">
        <w:t>C</w:t>
      </w:r>
      <w:r w:rsidR="001E72EF">
        <w:t xml:space="preserve">, Maynooth Business Campus, </w:t>
      </w:r>
      <w:proofErr w:type="spellStart"/>
      <w:r w:rsidR="004A04A4">
        <w:t>Straffan</w:t>
      </w:r>
      <w:proofErr w:type="spellEnd"/>
      <w:r w:rsidR="004A04A4">
        <w:t xml:space="preserve"> Road, </w:t>
      </w:r>
      <w:r w:rsidR="001E72EF">
        <w:t>Maynooth, Co. Kildare</w:t>
      </w:r>
      <w:r w:rsidR="00C44A0F">
        <w:t xml:space="preserve">. </w:t>
      </w:r>
      <w:r>
        <w:t xml:space="preserve"> These </w:t>
      </w:r>
      <w:r w:rsidR="00EA3B60">
        <w:t xml:space="preserve">condensed </w:t>
      </w:r>
      <w:r>
        <w:t xml:space="preserve">consolidated </w:t>
      </w:r>
      <w:r w:rsidR="00FB1AB2">
        <w:t xml:space="preserve">interim </w:t>
      </w:r>
      <w:r>
        <w:t>financial statements comprise the Company and its subsidiaries (together referred to as “</w:t>
      </w:r>
      <w:r w:rsidR="003E650A">
        <w:t>the Group</w:t>
      </w:r>
      <w:r>
        <w:t xml:space="preserve">”) and cover the </w:t>
      </w:r>
      <w:proofErr w:type="gramStart"/>
      <w:r w:rsidR="009A7834">
        <w:t>six</w:t>
      </w:r>
      <w:r w:rsidR="00E838B3">
        <w:t xml:space="preserve"> month</w:t>
      </w:r>
      <w:proofErr w:type="gramEnd"/>
      <w:r w:rsidR="00E838B3">
        <w:t xml:space="preserve"> period ended </w:t>
      </w:r>
      <w:r w:rsidR="00EB2864">
        <w:t>30 June</w:t>
      </w:r>
      <w:r w:rsidR="00FB1AB2">
        <w:t xml:space="preserve"> </w:t>
      </w:r>
      <w:r w:rsidR="00BA6CC7">
        <w:t>202</w:t>
      </w:r>
      <w:r w:rsidR="00953354">
        <w:t>5</w:t>
      </w:r>
      <w:r w:rsidR="00BA6CC7">
        <w:t xml:space="preserve"> </w:t>
      </w:r>
      <w:r w:rsidR="00E3374B">
        <w:t>(“the period”)</w:t>
      </w:r>
      <w:r w:rsidR="00FB1AB2">
        <w:t>.</w:t>
      </w:r>
      <w:r>
        <w:t xml:space="preserve"> </w:t>
      </w:r>
      <w:r w:rsidR="003E650A">
        <w:t>The Group</w:t>
      </w:r>
      <w:r>
        <w:t>’s principal activities are the construction and sale of residential houses</w:t>
      </w:r>
      <w:r w:rsidR="00264A6E">
        <w:t xml:space="preserve"> and apartments for the private buyer</w:t>
      </w:r>
      <w:r w:rsidR="00603309">
        <w:t>,</w:t>
      </w:r>
      <w:r w:rsidR="00264A6E">
        <w:t xml:space="preserve"> local authorities</w:t>
      </w:r>
      <w:r w:rsidR="004218F5">
        <w:t xml:space="preserve"> and </w:t>
      </w:r>
      <w:r w:rsidR="00DE579E">
        <w:t>the private rental sector</w:t>
      </w:r>
      <w:r>
        <w:t>.</w:t>
      </w:r>
      <w:r w:rsidR="001E5C74">
        <w:t xml:space="preserve"> The </w:t>
      </w:r>
      <w:r w:rsidR="004B135E" w:rsidRPr="004B135E">
        <w:t>condensed consolidated interim financial statements</w:t>
      </w:r>
      <w:r w:rsidR="001E5C74">
        <w:t xml:space="preserve"> for the </w:t>
      </w:r>
      <w:r w:rsidR="00DA7CB7">
        <w:t>six months</w:t>
      </w:r>
      <w:r w:rsidR="001E5C74">
        <w:t xml:space="preserve"> </w:t>
      </w:r>
      <w:r w:rsidR="00DF48EF">
        <w:t xml:space="preserve">ended </w:t>
      </w:r>
      <w:r w:rsidR="00EB2864">
        <w:t>30 June</w:t>
      </w:r>
      <w:r w:rsidR="00DF48EF">
        <w:t xml:space="preserve"> </w:t>
      </w:r>
      <w:r w:rsidR="00BA6CC7">
        <w:t>202</w:t>
      </w:r>
      <w:r w:rsidR="00953354">
        <w:t>5</w:t>
      </w:r>
      <w:r w:rsidR="00BA6CC7">
        <w:t xml:space="preserve"> </w:t>
      </w:r>
      <w:r w:rsidR="00E73799" w:rsidRPr="00E73799">
        <w:t>are unaudited and</w:t>
      </w:r>
      <w:r w:rsidR="00E73799">
        <w:t xml:space="preserve"> </w:t>
      </w:r>
      <w:r w:rsidR="009B05ED">
        <w:t xml:space="preserve">do not constitute statutory </w:t>
      </w:r>
      <w:r w:rsidR="00711FE8">
        <w:t>financial statements</w:t>
      </w:r>
      <w:r w:rsidR="009B05ED">
        <w:t xml:space="preserve"> as defined in the Companies Act 2014</w:t>
      </w:r>
      <w:r w:rsidR="00A75AE5">
        <w:t xml:space="preserve">. A copy of the financial statements for the </w:t>
      </w:r>
      <w:r w:rsidR="00264A6E">
        <w:t>financial year</w:t>
      </w:r>
      <w:r w:rsidR="00A75AE5">
        <w:t xml:space="preserve"> ended 31 December </w:t>
      </w:r>
      <w:r w:rsidR="00BA6CC7">
        <w:t>202</w:t>
      </w:r>
      <w:r w:rsidR="00953354">
        <w:t>4</w:t>
      </w:r>
      <w:r w:rsidR="00A75AE5">
        <w:t xml:space="preserve"> </w:t>
      </w:r>
      <w:r w:rsidR="00D94DC8">
        <w:t>are available on the Company’s website</w:t>
      </w:r>
      <w:r w:rsidR="00CB4104">
        <w:t xml:space="preserve"> (</w:t>
      </w:r>
      <w:hyperlink r:id="rId57">
        <w:r w:rsidR="00301142" w:rsidRPr="7821F417">
          <w:rPr>
            <w:rStyle w:val="Hyperlink"/>
          </w:rPr>
          <w:t>https://glenveagh.ie/</w:t>
        </w:r>
      </w:hyperlink>
      <w:r w:rsidR="00CB4104">
        <w:t>)</w:t>
      </w:r>
      <w:r w:rsidR="00301142">
        <w:t xml:space="preserve"> and </w:t>
      </w:r>
      <w:r w:rsidR="00C5217E">
        <w:t>are</w:t>
      </w:r>
      <w:r w:rsidR="00301142">
        <w:t xml:space="preserve"> filed with the Companies Registration Office</w:t>
      </w:r>
      <w:r w:rsidR="00F07750">
        <w:t xml:space="preserve">. The </w:t>
      </w:r>
      <w:r w:rsidR="0069564A">
        <w:t>auditor’s</w:t>
      </w:r>
      <w:r w:rsidR="00B50099">
        <w:t xml:space="preserve"> report </w:t>
      </w:r>
      <w:r w:rsidR="004870A7">
        <w:t>accompanying</w:t>
      </w:r>
      <w:r w:rsidR="00B50099">
        <w:t xml:space="preserve"> those financial statements was </w:t>
      </w:r>
      <w:r w:rsidR="00711FE8">
        <w:t>un</w:t>
      </w:r>
      <w:r w:rsidR="00B50099">
        <w:t xml:space="preserve">qualified. </w:t>
      </w:r>
    </w:p>
    <w:p w14:paraId="795B2EDB" w14:textId="77777777" w:rsidR="00CB2391" w:rsidRDefault="00CB2391" w:rsidP="005C02FC">
      <w:pPr>
        <w:pStyle w:val="NotesBody"/>
        <w:jc w:val="both"/>
      </w:pPr>
    </w:p>
    <w:p w14:paraId="3A21715C" w14:textId="77777777" w:rsidR="00CB2391" w:rsidRDefault="00CB2391" w:rsidP="005C02FC">
      <w:pPr>
        <w:pStyle w:val="NotesHeading"/>
        <w:jc w:val="both"/>
      </w:pPr>
      <w:r>
        <w:t>2</w:t>
      </w:r>
      <w:r>
        <w:tab/>
      </w:r>
      <w:r w:rsidR="0066329F">
        <w:t xml:space="preserve">Statement of compliance </w:t>
      </w:r>
    </w:p>
    <w:p w14:paraId="30069C2E" w14:textId="77777777" w:rsidR="00CB2391" w:rsidRDefault="00CB2391" w:rsidP="005C02FC">
      <w:pPr>
        <w:pStyle w:val="NotesBody"/>
        <w:jc w:val="both"/>
      </w:pPr>
    </w:p>
    <w:p w14:paraId="77580E90" w14:textId="5754CAE4" w:rsidR="006D7953" w:rsidRDefault="00CB2391" w:rsidP="005C02FC">
      <w:pPr>
        <w:pStyle w:val="NotesBody"/>
        <w:jc w:val="both"/>
      </w:pPr>
      <w:r>
        <w:t xml:space="preserve">The </w:t>
      </w:r>
      <w:r w:rsidR="00FB1AB2">
        <w:t xml:space="preserve">condensed </w:t>
      </w:r>
      <w:r>
        <w:t xml:space="preserve">consolidated </w:t>
      </w:r>
      <w:r w:rsidR="00D773B0">
        <w:t xml:space="preserve">interim </w:t>
      </w:r>
      <w:r>
        <w:t xml:space="preserve">financial statements have been prepared in accordance with </w:t>
      </w:r>
      <w:r w:rsidR="00D773B0">
        <w:t xml:space="preserve">IAS 34 </w:t>
      </w:r>
      <w:r w:rsidR="00D773B0" w:rsidRPr="7821F417">
        <w:rPr>
          <w:i/>
          <w:iCs/>
        </w:rPr>
        <w:t>Interim Financial Reporting</w:t>
      </w:r>
      <w:r>
        <w:t xml:space="preserve"> </w:t>
      </w:r>
      <w:r w:rsidR="001C73A2">
        <w:t xml:space="preserve">as adopted by the </w:t>
      </w:r>
      <w:r w:rsidR="005341C2">
        <w:t>E</w:t>
      </w:r>
      <w:r w:rsidR="00DF122C">
        <w:t>U</w:t>
      </w:r>
      <w:r w:rsidR="005341C2">
        <w:t xml:space="preserve"> </w:t>
      </w:r>
      <w:r w:rsidR="004A7C44">
        <w:t>and should be read in conj</w:t>
      </w:r>
      <w:r w:rsidR="007C296C">
        <w:t>unction with the Group’s last annu</w:t>
      </w:r>
      <w:r w:rsidR="004231FF">
        <w:t>a</w:t>
      </w:r>
      <w:r w:rsidR="007C296C">
        <w:t xml:space="preserve">l consolidated financial statements as at and for the </w:t>
      </w:r>
      <w:r w:rsidR="00264A6E">
        <w:t>financial year</w:t>
      </w:r>
      <w:r w:rsidR="007C296C">
        <w:t xml:space="preserve"> ended 31 December </w:t>
      </w:r>
      <w:r w:rsidR="00BA6CC7">
        <w:t>202</w:t>
      </w:r>
      <w:r w:rsidR="00953354">
        <w:t>4</w:t>
      </w:r>
      <w:r w:rsidR="00D91DAF">
        <w:t xml:space="preserve"> (“last annual financial statements”)</w:t>
      </w:r>
      <w:r w:rsidR="00B3675C">
        <w:t xml:space="preserve"> which have been prepared in accordance with IFRS as adopted by the EU</w:t>
      </w:r>
      <w:r w:rsidR="00D91DAF">
        <w:t>. The</w:t>
      </w:r>
      <w:r w:rsidR="006D7953">
        <w:t xml:space="preserve"> interim financial statements</w:t>
      </w:r>
      <w:r w:rsidR="00D91DAF">
        <w:t xml:space="preserve"> do</w:t>
      </w:r>
      <w:r w:rsidR="004231FF">
        <w:t xml:space="preserve"> not</w:t>
      </w:r>
      <w:r w:rsidR="00D91DAF">
        <w:t xml:space="preserve"> include </w:t>
      </w:r>
      <w:proofErr w:type="gramStart"/>
      <w:r w:rsidR="00D91DAF">
        <w:t>all of</w:t>
      </w:r>
      <w:proofErr w:type="gramEnd"/>
      <w:r w:rsidR="00D91DAF">
        <w:t xml:space="preserve"> the information required </w:t>
      </w:r>
      <w:r w:rsidR="00C81904">
        <w:t xml:space="preserve">for a complete set of IFRS financial statements. However, selected </w:t>
      </w:r>
      <w:r w:rsidR="001F49AE">
        <w:t xml:space="preserve">explanatory notes are included to explain events and </w:t>
      </w:r>
      <w:r w:rsidR="00630553">
        <w:t>transactions</w:t>
      </w:r>
      <w:r w:rsidR="001F49AE">
        <w:t xml:space="preserve"> that are significant to an understanding of the changes </w:t>
      </w:r>
      <w:r w:rsidR="00630553">
        <w:t xml:space="preserve">in the Group’s </w:t>
      </w:r>
      <w:r w:rsidR="00DB66FA">
        <w:t>financial position and performance since the last annual financial statements.</w:t>
      </w:r>
      <w:r w:rsidR="004D3ABB">
        <w:t xml:space="preserve"> </w:t>
      </w:r>
      <w:r w:rsidR="004979CF">
        <w:t>T</w:t>
      </w:r>
      <w:r w:rsidR="006D7953">
        <w:t xml:space="preserve">he accounting policies adopted are consistent with those of the previous </w:t>
      </w:r>
      <w:r w:rsidR="00064560">
        <w:t>accounting</w:t>
      </w:r>
      <w:r w:rsidR="006D7953">
        <w:t xml:space="preserve"> period</w:t>
      </w:r>
      <w:r w:rsidR="008D3576">
        <w:t>.</w:t>
      </w:r>
      <w:r w:rsidR="006D7953">
        <w:t xml:space="preserve"> </w:t>
      </w:r>
    </w:p>
    <w:p w14:paraId="0833B383" w14:textId="77777777" w:rsidR="00CB2391" w:rsidRDefault="00CB2391" w:rsidP="005C02FC">
      <w:pPr>
        <w:pStyle w:val="NotesBody"/>
        <w:jc w:val="both"/>
      </w:pPr>
    </w:p>
    <w:p w14:paraId="427A4C2E" w14:textId="77777777" w:rsidR="00CB2391" w:rsidRDefault="00CB2391" w:rsidP="005C02FC">
      <w:pPr>
        <w:pStyle w:val="NotesHeading"/>
        <w:jc w:val="both"/>
      </w:pPr>
      <w:r>
        <w:t>3</w:t>
      </w:r>
      <w:r>
        <w:tab/>
        <w:t>Functional and presentation currency</w:t>
      </w:r>
    </w:p>
    <w:p w14:paraId="68C96543" w14:textId="77777777" w:rsidR="00CB2391" w:rsidRDefault="00CB2391" w:rsidP="005C02FC">
      <w:pPr>
        <w:pStyle w:val="NotesBody"/>
        <w:jc w:val="both"/>
      </w:pPr>
    </w:p>
    <w:p w14:paraId="113EB267" w14:textId="446931F1" w:rsidR="00CB2391" w:rsidRDefault="00CB2391" w:rsidP="005C02FC">
      <w:pPr>
        <w:pStyle w:val="NotesBody"/>
        <w:jc w:val="both"/>
      </w:pPr>
      <w:r>
        <w:t>The</w:t>
      </w:r>
      <w:r w:rsidR="005C5BA3">
        <w:t>se consolidated</w:t>
      </w:r>
      <w:r>
        <w:t xml:space="preserve"> financial </w:t>
      </w:r>
      <w:r w:rsidR="005C5BA3">
        <w:t>statements are</w:t>
      </w:r>
      <w:r>
        <w:t xml:space="preserve"> presented in Euro which is the Company’s functional currency.</w:t>
      </w:r>
      <w:r w:rsidR="003E650A">
        <w:t xml:space="preserve"> </w:t>
      </w:r>
      <w:r w:rsidR="0066329F">
        <w:t xml:space="preserve">All amounts have been rounded to the nearest thousand unless otherwise indicated. </w:t>
      </w:r>
    </w:p>
    <w:p w14:paraId="2D4EE4F2" w14:textId="77777777" w:rsidR="00D34C27" w:rsidRDefault="00D34C27" w:rsidP="005C02FC">
      <w:pPr>
        <w:pStyle w:val="NotesBody"/>
        <w:jc w:val="both"/>
      </w:pPr>
    </w:p>
    <w:p w14:paraId="46B1F559" w14:textId="77777777" w:rsidR="00CB2391" w:rsidRDefault="00CB2391" w:rsidP="005C02FC">
      <w:pPr>
        <w:pStyle w:val="NotesHeading"/>
        <w:jc w:val="both"/>
      </w:pPr>
      <w:bookmarkStart w:id="8" w:name="_Hlk48035323"/>
      <w:r>
        <w:t>4</w:t>
      </w:r>
      <w:r>
        <w:tab/>
      </w:r>
      <w:r w:rsidRPr="0077041C">
        <w:t>Use of judgements and estimates</w:t>
      </w:r>
    </w:p>
    <w:bookmarkEnd w:id="8"/>
    <w:p w14:paraId="341E4494" w14:textId="77777777" w:rsidR="00CB2391" w:rsidRDefault="00CB2391" w:rsidP="00B33A50">
      <w:pPr>
        <w:pStyle w:val="NotesBody"/>
        <w:ind w:left="0"/>
        <w:jc w:val="both"/>
      </w:pPr>
    </w:p>
    <w:p w14:paraId="5064E4A9" w14:textId="08CD8B03" w:rsidR="00186ADF" w:rsidRDefault="00186ADF" w:rsidP="7821F417">
      <w:pPr>
        <w:pStyle w:val="NotesBody"/>
        <w:jc w:val="both"/>
        <w:rPr>
          <w:rFonts w:cs="Arial"/>
          <w:lang w:val="en-GB"/>
        </w:rPr>
      </w:pPr>
      <w:r w:rsidRPr="7821F417">
        <w:rPr>
          <w:rFonts w:cs="Arial"/>
          <w:lang w:val="en-GB"/>
        </w:rPr>
        <w:t>In preparing these interim financial statements, management has made judgements and estimates that effect the application of accounting policies and the reported amounts of assets and liabilities, income and expense. No individual judgment</w:t>
      </w:r>
      <w:r w:rsidR="00301142" w:rsidRPr="7821F417">
        <w:rPr>
          <w:rFonts w:cs="Arial"/>
          <w:lang w:val="en-GB"/>
        </w:rPr>
        <w:t xml:space="preserve"> or estimate</w:t>
      </w:r>
      <w:r w:rsidRPr="7821F417">
        <w:rPr>
          <w:rFonts w:cs="Arial"/>
          <w:lang w:val="en-GB"/>
        </w:rPr>
        <w:t xml:space="preserve"> is deemed to have a significant impact upon the financial statements apart from those supporting the assessment of the carrying value of the Group’s inventories as described below. </w:t>
      </w:r>
    </w:p>
    <w:p w14:paraId="1A1D6FE8" w14:textId="77777777" w:rsidR="00B33A50" w:rsidRDefault="00B33A50" w:rsidP="7821F417">
      <w:pPr>
        <w:pStyle w:val="NotesBody"/>
        <w:jc w:val="both"/>
        <w:rPr>
          <w:rFonts w:cs="Arial"/>
          <w:lang w:val="en-GB"/>
        </w:rPr>
      </w:pPr>
    </w:p>
    <w:p w14:paraId="115CD82C" w14:textId="2377D689" w:rsidR="001900F8" w:rsidRDefault="001900F8" w:rsidP="00B33A50">
      <w:pPr>
        <w:pStyle w:val="NotesBody"/>
        <w:rPr>
          <w:b/>
          <w:bCs/>
        </w:rPr>
      </w:pPr>
      <w:r>
        <w:rPr>
          <w:b/>
          <w:bCs/>
        </w:rPr>
        <w:t xml:space="preserve">Critical </w:t>
      </w:r>
      <w:r w:rsidR="00802F39">
        <w:rPr>
          <w:b/>
          <w:bCs/>
        </w:rPr>
        <w:t xml:space="preserve">accounting judgements </w:t>
      </w:r>
    </w:p>
    <w:p w14:paraId="37D905B4" w14:textId="77777777" w:rsidR="00802F39" w:rsidRDefault="00802F39" w:rsidP="00B33A50">
      <w:pPr>
        <w:pStyle w:val="NotesBody"/>
      </w:pPr>
    </w:p>
    <w:p w14:paraId="02D5B0AC" w14:textId="6440576F" w:rsidR="00802F39" w:rsidRPr="00802F39" w:rsidRDefault="00802F39" w:rsidP="00B33A50">
      <w:pPr>
        <w:pStyle w:val="NotesBody"/>
      </w:pPr>
      <w:r w:rsidRPr="00802F39">
        <w:t xml:space="preserve">Management applies </w:t>
      </w:r>
      <w:r w:rsidR="00750FD0">
        <w:t>t</w:t>
      </w:r>
      <w:r w:rsidR="008B6E87">
        <w:t xml:space="preserve">he Group’s accounting policies when making critical accounting judgements, </w:t>
      </w:r>
      <w:r w:rsidR="005F267B">
        <w:t>Material accounting judgements impacting these</w:t>
      </w:r>
      <w:r w:rsidR="00F355D6">
        <w:t xml:space="preserve"> financial statements</w:t>
      </w:r>
      <w:r w:rsidR="005F267B">
        <w:t xml:space="preserve"> is detailed below:</w:t>
      </w:r>
      <w:r w:rsidR="00F355D6">
        <w:t xml:space="preserve"> </w:t>
      </w:r>
    </w:p>
    <w:p w14:paraId="268E95C9" w14:textId="77777777" w:rsidR="001900F8" w:rsidRDefault="001900F8" w:rsidP="00B33A50">
      <w:pPr>
        <w:pStyle w:val="NotesBody"/>
        <w:rPr>
          <w:b/>
          <w:bCs/>
        </w:rPr>
      </w:pPr>
    </w:p>
    <w:p w14:paraId="7903F472" w14:textId="099E72B9" w:rsidR="005F267B" w:rsidRPr="00F96112" w:rsidRDefault="00F96112">
      <w:pPr>
        <w:pStyle w:val="NotesBody"/>
        <w:numPr>
          <w:ilvl w:val="0"/>
          <w:numId w:val="18"/>
        </w:numPr>
        <w:jc w:val="both"/>
        <w:rPr>
          <w:b/>
          <w:bCs/>
        </w:rPr>
      </w:pPr>
      <w:r w:rsidRPr="00F96112">
        <w:rPr>
          <w:rFonts w:cs="Arial"/>
          <w:b/>
          <w:bCs/>
          <w:i/>
          <w:iCs/>
          <w:lang w:val="en-GB"/>
        </w:rPr>
        <w:t>Classification between IAS 2 Inventories and IAS 40 Investment Property</w:t>
      </w:r>
    </w:p>
    <w:p w14:paraId="7EC33F45" w14:textId="77777777" w:rsidR="005F267B" w:rsidRDefault="005F267B" w:rsidP="00B33A50">
      <w:pPr>
        <w:pStyle w:val="NotesBody"/>
        <w:rPr>
          <w:b/>
          <w:bCs/>
        </w:rPr>
      </w:pPr>
    </w:p>
    <w:p w14:paraId="42294EAD" w14:textId="0CB501D6" w:rsidR="009E5EEF" w:rsidRPr="009E5EEF" w:rsidRDefault="009E5EEF" w:rsidP="009E5EEF">
      <w:pPr>
        <w:pStyle w:val="NotesBody"/>
      </w:pPr>
      <w:r w:rsidRPr="009E5EEF">
        <w:t xml:space="preserve">The Group has practically completed an office development in </w:t>
      </w:r>
      <w:proofErr w:type="gramStart"/>
      <w:r w:rsidRPr="009E5EEF">
        <w:t>Dublin,</w:t>
      </w:r>
      <w:proofErr w:type="gramEnd"/>
      <w:r w:rsidRPr="009E5EEF">
        <w:t xml:space="preserve"> costs associated with developing</w:t>
      </w:r>
      <w:r>
        <w:t xml:space="preserve"> </w:t>
      </w:r>
      <w:r w:rsidRPr="009E5EEF">
        <w:t>the asset are held as inventory which is in line with the Group</w:t>
      </w:r>
      <w:r w:rsidR="003738AB">
        <w:t>’</w:t>
      </w:r>
      <w:r w:rsidRPr="009E5EEF">
        <w:t>s business model of developing and selling</w:t>
      </w:r>
      <w:r>
        <w:t xml:space="preserve"> </w:t>
      </w:r>
      <w:r w:rsidRPr="009E5EEF">
        <w:t>units rather than developing and holding units for capital appreciation or rental income. The office is</w:t>
      </w:r>
      <w:r w:rsidR="001D1152">
        <w:t xml:space="preserve"> </w:t>
      </w:r>
      <w:r w:rsidRPr="009E5EEF">
        <w:t xml:space="preserve">currently held for </w:t>
      </w:r>
      <w:proofErr w:type="gramStart"/>
      <w:r w:rsidRPr="009E5EEF">
        <w:t>sale</w:t>
      </w:r>
      <w:proofErr w:type="gramEnd"/>
      <w:r w:rsidRPr="009E5EEF">
        <w:t xml:space="preserve"> and the intention of the Group is to sell the office. Currently a small portion of the</w:t>
      </w:r>
      <w:r w:rsidR="001D1152">
        <w:t xml:space="preserve"> </w:t>
      </w:r>
      <w:r w:rsidRPr="009E5EEF">
        <w:t>office space is being leased out with the intention to support the sales process which is in the normal</w:t>
      </w:r>
      <w:r w:rsidR="001D1152">
        <w:t xml:space="preserve"> </w:t>
      </w:r>
      <w:r w:rsidRPr="009E5EEF">
        <w:t>operating cycle. Revenue generated from the leases are not material to the Group.</w:t>
      </w:r>
    </w:p>
    <w:p w14:paraId="1B6D18DC" w14:textId="77777777" w:rsidR="001D1152" w:rsidRDefault="001D1152" w:rsidP="009E5EEF">
      <w:pPr>
        <w:pStyle w:val="NotesBody"/>
      </w:pPr>
    </w:p>
    <w:p w14:paraId="56A09351" w14:textId="2060D28D" w:rsidR="009E5EEF" w:rsidRPr="009E5EEF" w:rsidRDefault="009E5EEF" w:rsidP="009E5EEF">
      <w:pPr>
        <w:pStyle w:val="NotesBody"/>
      </w:pPr>
      <w:r w:rsidRPr="009E5EEF">
        <w:t>Under IAS 40, the office would be classified as an investment property carried at fair value with</w:t>
      </w:r>
      <w:r w:rsidR="001D1152">
        <w:t xml:space="preserve"> </w:t>
      </w:r>
      <w:r w:rsidRPr="009E5EEF">
        <w:t>any subsequent revaluation being recognised through the statement of profit and loss and other</w:t>
      </w:r>
      <w:r w:rsidR="001D1152">
        <w:t xml:space="preserve"> </w:t>
      </w:r>
      <w:r w:rsidRPr="009E5EEF">
        <w:t>comprehensive income.</w:t>
      </w:r>
    </w:p>
    <w:p w14:paraId="53F6B904" w14:textId="77777777" w:rsidR="007F2AFE" w:rsidRDefault="007F2AFE" w:rsidP="009E5EEF">
      <w:pPr>
        <w:pStyle w:val="NotesBody"/>
      </w:pPr>
    </w:p>
    <w:p w14:paraId="0F012473" w14:textId="77777777" w:rsidR="007F2AFE" w:rsidRDefault="007F2AFE" w:rsidP="009E5EEF">
      <w:pPr>
        <w:pStyle w:val="NotesBody"/>
      </w:pPr>
    </w:p>
    <w:p w14:paraId="7CCC883C" w14:textId="4C59957E" w:rsidR="007F2AFE" w:rsidRPr="00AA1146" w:rsidRDefault="007F2AFE" w:rsidP="007F2AFE">
      <w:pPr>
        <w:pStyle w:val="NotesHeading"/>
        <w:numPr>
          <w:ilvl w:val="0"/>
          <w:numId w:val="38"/>
        </w:numPr>
        <w:jc w:val="both"/>
        <w:rPr>
          <w:b w:val="0"/>
        </w:rPr>
      </w:pPr>
      <w:r>
        <w:t xml:space="preserve">Use of judgements and estimates </w:t>
      </w:r>
      <w:r>
        <w:rPr>
          <w:b w:val="0"/>
        </w:rPr>
        <w:t>(</w:t>
      </w:r>
      <w:r w:rsidRPr="7821F417">
        <w:rPr>
          <w:b w:val="0"/>
          <w:i/>
          <w:iCs/>
        </w:rPr>
        <w:t>continued</w:t>
      </w:r>
      <w:r>
        <w:rPr>
          <w:b w:val="0"/>
        </w:rPr>
        <w:t>)</w:t>
      </w:r>
    </w:p>
    <w:p w14:paraId="4D936792" w14:textId="77777777" w:rsidR="007F2AFE" w:rsidRDefault="007F2AFE" w:rsidP="007F2AFE">
      <w:pPr>
        <w:pStyle w:val="NotesBody"/>
        <w:jc w:val="both"/>
        <w:rPr>
          <w:rFonts w:cs="Arial"/>
          <w:lang w:val="en-GB"/>
        </w:rPr>
      </w:pPr>
    </w:p>
    <w:p w14:paraId="3D09035D" w14:textId="42763845" w:rsidR="007F2AFE" w:rsidRPr="007F2AFE" w:rsidRDefault="007F2AFE" w:rsidP="007F2AFE">
      <w:pPr>
        <w:pStyle w:val="ListParagraph"/>
        <w:numPr>
          <w:ilvl w:val="0"/>
          <w:numId w:val="19"/>
        </w:numPr>
        <w:rPr>
          <w:rFonts w:cs="Arial"/>
          <w:b/>
          <w:bCs/>
          <w:i/>
          <w:iCs/>
          <w:lang w:val="en-GB"/>
        </w:rPr>
      </w:pPr>
      <w:r w:rsidRPr="007F2AFE">
        <w:rPr>
          <w:rFonts w:cs="Arial"/>
          <w:b/>
          <w:bCs/>
          <w:i/>
          <w:iCs/>
          <w:lang w:val="en-GB"/>
        </w:rPr>
        <w:t>Classification between IAS 2 Inventories and IAS 40 Investment Property</w:t>
      </w:r>
      <w:r>
        <w:rPr>
          <w:rFonts w:cs="Arial"/>
          <w:b/>
          <w:bCs/>
          <w:i/>
          <w:iCs/>
          <w:lang w:val="en-GB"/>
        </w:rPr>
        <w:t xml:space="preserve"> </w:t>
      </w:r>
      <w:r w:rsidRPr="007F2AFE">
        <w:rPr>
          <w:rFonts w:cs="Arial"/>
          <w:i/>
          <w:iCs/>
          <w:lang w:val="en-GB"/>
        </w:rPr>
        <w:t>(continued)</w:t>
      </w:r>
    </w:p>
    <w:p w14:paraId="3AF24EF9" w14:textId="77777777" w:rsidR="007F2AFE" w:rsidRDefault="007F2AFE" w:rsidP="007F2AFE">
      <w:pPr>
        <w:pStyle w:val="NotesBody"/>
      </w:pPr>
    </w:p>
    <w:p w14:paraId="66EBAF85" w14:textId="1DD2CC3F" w:rsidR="009E5EEF" w:rsidRPr="009E5EEF" w:rsidRDefault="009E5EEF" w:rsidP="009E5EEF">
      <w:pPr>
        <w:pStyle w:val="NotesBody"/>
      </w:pPr>
      <w:r w:rsidRPr="009E5EEF">
        <w:t>Management has reviewed and considered the relevant scenarios under IAS 2 and IAS 40 and</w:t>
      </w:r>
      <w:r w:rsidR="007F2AFE">
        <w:t xml:space="preserve"> </w:t>
      </w:r>
      <w:r w:rsidRPr="009E5EEF">
        <w:t>concluded that the development is appropriately classified as inventory under IAS 2.</w:t>
      </w:r>
    </w:p>
    <w:p w14:paraId="3AC0D935" w14:textId="77777777" w:rsidR="007F2AFE" w:rsidRDefault="007F2AFE" w:rsidP="009E5EEF">
      <w:pPr>
        <w:pStyle w:val="NotesBody"/>
      </w:pPr>
    </w:p>
    <w:p w14:paraId="588905DB" w14:textId="7AB96677" w:rsidR="00910567" w:rsidRPr="009E5EEF" w:rsidRDefault="009E5EEF" w:rsidP="00B33A50">
      <w:pPr>
        <w:pStyle w:val="NotesBody"/>
      </w:pPr>
      <w:r w:rsidRPr="009E5EEF">
        <w:t>No other individual judgement is deemed to have a significant impact upon the financial statements.</w:t>
      </w:r>
    </w:p>
    <w:p w14:paraId="2D09FC4F" w14:textId="77777777" w:rsidR="00910567" w:rsidRDefault="00910567" w:rsidP="00B33A50">
      <w:pPr>
        <w:pStyle w:val="NotesBody"/>
        <w:rPr>
          <w:b/>
          <w:bCs/>
        </w:rPr>
      </w:pPr>
    </w:p>
    <w:p w14:paraId="52900EF2" w14:textId="31DDD705" w:rsidR="00B33A50" w:rsidRDefault="00B33A50" w:rsidP="00B33A50">
      <w:pPr>
        <w:pStyle w:val="NotesBody"/>
        <w:rPr>
          <w:b/>
          <w:bCs/>
        </w:rPr>
      </w:pPr>
      <w:r w:rsidRPr="00135328">
        <w:rPr>
          <w:b/>
          <w:bCs/>
        </w:rPr>
        <w:t xml:space="preserve">Key sources of estimation uncertainty </w:t>
      </w:r>
    </w:p>
    <w:p w14:paraId="3A94F788" w14:textId="77777777" w:rsidR="003C6AF1" w:rsidRDefault="003C6AF1" w:rsidP="00B33A50">
      <w:pPr>
        <w:pStyle w:val="NotesBody"/>
        <w:rPr>
          <w:b/>
          <w:bCs/>
        </w:rPr>
      </w:pPr>
    </w:p>
    <w:p w14:paraId="5DB9F486" w14:textId="5AAE5AD0" w:rsidR="003C6AF1" w:rsidRPr="003C6AF1" w:rsidRDefault="00A710DB" w:rsidP="00B33A50">
      <w:pPr>
        <w:pStyle w:val="NotesBody"/>
      </w:pPr>
      <w:r>
        <w:t xml:space="preserve">The key source of significant estimation uncertainty impacting these financial statements involves assessing the carrying value of inventories as detailed below. </w:t>
      </w:r>
    </w:p>
    <w:p w14:paraId="5E184534" w14:textId="77777777" w:rsidR="00596ECB" w:rsidRDefault="00596ECB" w:rsidP="7821F417">
      <w:pPr>
        <w:pStyle w:val="NotesBody"/>
        <w:jc w:val="both"/>
        <w:rPr>
          <w:rFonts w:cs="Arial"/>
          <w:lang w:val="en-GB"/>
        </w:rPr>
      </w:pPr>
    </w:p>
    <w:p w14:paraId="2CE9C18F" w14:textId="4E1522A4" w:rsidR="00596ECB" w:rsidRPr="00596ECB" w:rsidRDefault="00596ECB" w:rsidP="005F267B">
      <w:pPr>
        <w:pStyle w:val="NotesBody"/>
        <w:numPr>
          <w:ilvl w:val="0"/>
          <w:numId w:val="37"/>
        </w:numPr>
        <w:jc w:val="both"/>
        <w:rPr>
          <w:rFonts w:cs="Arial"/>
          <w:b/>
          <w:bCs/>
          <w:i/>
          <w:iCs/>
          <w:lang w:val="en-GB"/>
        </w:rPr>
      </w:pPr>
      <w:r w:rsidRPr="7821F417">
        <w:rPr>
          <w:rFonts w:cs="Arial"/>
          <w:b/>
          <w:bCs/>
          <w:i/>
          <w:iCs/>
          <w:lang w:val="en-GB"/>
        </w:rPr>
        <w:t>Carrying value of work-in-progress, estimation of costs to complete and impact on profit recognition</w:t>
      </w:r>
    </w:p>
    <w:p w14:paraId="1EB34BEA" w14:textId="77777777" w:rsidR="00596ECB" w:rsidRPr="00596ECB" w:rsidRDefault="00596ECB" w:rsidP="7821F417">
      <w:pPr>
        <w:pStyle w:val="NotesBody"/>
        <w:jc w:val="both"/>
        <w:rPr>
          <w:rFonts w:cs="Arial"/>
          <w:lang w:val="en-GB"/>
        </w:rPr>
      </w:pPr>
    </w:p>
    <w:p w14:paraId="5F7415FD" w14:textId="44727863" w:rsidR="00596ECB" w:rsidRPr="00596ECB" w:rsidRDefault="00596ECB" w:rsidP="7821F417">
      <w:pPr>
        <w:pStyle w:val="NotesBody"/>
        <w:jc w:val="both"/>
        <w:rPr>
          <w:rFonts w:cs="Arial"/>
          <w:lang w:val="en-GB"/>
        </w:rPr>
      </w:pPr>
      <w:r w:rsidRPr="7821F417">
        <w:rPr>
          <w:rFonts w:cs="Arial"/>
          <w:lang w:val="en-GB"/>
        </w:rPr>
        <w:t xml:space="preserve">The Group holds inventories stated at the lower of cost and net realisable value. Such inventories include land and development rights, work-in-progress and completed units. As residential development is largely speculative by nature, not all inventories are covered by forward sales </w:t>
      </w:r>
      <w:r w:rsidR="00633D63" w:rsidRPr="00633D63">
        <w:rPr>
          <w:rFonts w:cs="Arial"/>
          <w:lang w:val="en-GB"/>
        </w:rPr>
        <w:t xml:space="preserve">contracts. Furthermore, due to the nature of the Group’s activity and, </w:t>
      </w:r>
      <w:proofErr w:type="gramStart"/>
      <w:r w:rsidR="00633D63" w:rsidRPr="00633D63">
        <w:rPr>
          <w:rFonts w:cs="Arial"/>
          <w:lang w:val="en-GB"/>
        </w:rPr>
        <w:t>in particular the</w:t>
      </w:r>
      <w:proofErr w:type="gramEnd"/>
      <w:r w:rsidR="00633D63" w:rsidRPr="00633D63">
        <w:rPr>
          <w:rFonts w:cs="Arial"/>
          <w:lang w:val="en-GB"/>
        </w:rPr>
        <w:t xml:space="preserve"> scale of its developments and the length of the development cycle, the Group </w:t>
      </w:r>
      <w:proofErr w:type="gramStart"/>
      <w:r w:rsidR="00633D63" w:rsidRPr="00633D63">
        <w:rPr>
          <w:rFonts w:cs="Arial"/>
          <w:lang w:val="en-GB"/>
        </w:rPr>
        <w:t>has to</w:t>
      </w:r>
      <w:proofErr w:type="gramEnd"/>
      <w:r w:rsidR="00633D63" w:rsidRPr="00633D63">
        <w:rPr>
          <w:rFonts w:cs="Arial"/>
          <w:lang w:val="en-GB"/>
        </w:rPr>
        <w:t xml:space="preserve"> allocate site-wide </w:t>
      </w:r>
      <w:r w:rsidRPr="7821F417">
        <w:rPr>
          <w:rFonts w:cs="Arial"/>
          <w:lang w:val="en-GB"/>
        </w:rPr>
        <w:t xml:space="preserve">development costs between units being built and/or completed in the current year and those for future years. It also </w:t>
      </w:r>
      <w:proofErr w:type="gramStart"/>
      <w:r w:rsidRPr="7821F417">
        <w:rPr>
          <w:rFonts w:cs="Arial"/>
          <w:lang w:val="en-GB"/>
        </w:rPr>
        <w:t>has to</w:t>
      </w:r>
      <w:proofErr w:type="gramEnd"/>
      <w:r w:rsidRPr="7821F417">
        <w:rPr>
          <w:rFonts w:cs="Arial"/>
          <w:lang w:val="en-GB"/>
        </w:rPr>
        <w:t xml:space="preserve"> forecast the costs to complete on such developments. These estimates impact management’s assessment of the net realisable value of the Group’s inventory balance </w:t>
      </w:r>
      <w:proofErr w:type="gramStart"/>
      <w:r w:rsidRPr="7821F417">
        <w:rPr>
          <w:rFonts w:cs="Arial"/>
          <w:lang w:val="en-GB"/>
        </w:rPr>
        <w:t>and also</w:t>
      </w:r>
      <w:proofErr w:type="gramEnd"/>
      <w:r w:rsidRPr="7821F417">
        <w:rPr>
          <w:rFonts w:cs="Arial"/>
          <w:lang w:val="en-GB"/>
        </w:rPr>
        <w:t xml:space="preserve"> determine the extent of profit or loss that should be recognised in respect of each development in each reporting period. </w:t>
      </w:r>
    </w:p>
    <w:p w14:paraId="037C7DC7" w14:textId="77777777" w:rsidR="00596ECB" w:rsidRPr="00596ECB" w:rsidRDefault="00596ECB" w:rsidP="7821F417">
      <w:pPr>
        <w:pStyle w:val="NotesBody"/>
        <w:jc w:val="both"/>
        <w:rPr>
          <w:rFonts w:cs="Arial"/>
          <w:lang w:val="en-GB"/>
        </w:rPr>
      </w:pPr>
    </w:p>
    <w:p w14:paraId="6F6C4305" w14:textId="17611C45" w:rsidR="00D21E42" w:rsidRDefault="00596ECB" w:rsidP="06BCB59D">
      <w:pPr>
        <w:pStyle w:val="NotesBody"/>
        <w:jc w:val="both"/>
        <w:rPr>
          <w:rFonts w:cs="Arial"/>
          <w:lang w:val="en-GB"/>
        </w:rPr>
      </w:pPr>
      <w:r w:rsidRPr="7821F417">
        <w:rPr>
          <w:rFonts w:cs="Arial"/>
          <w:lang w:val="en-GB"/>
        </w:rPr>
        <w:t xml:space="preserve">In making such assessments and allocations, there is a degree of inherent estimation uncertainty. The Group has established internal controls designed to effectively assess and centrally review inventory carrying values and ensure the appropriateness of the estimates made. These assessments and allocations evolve over the life of the development in line with the risk profile, and accordingly the </w:t>
      </w:r>
      <w:r w:rsidR="00301142" w:rsidRPr="7821F417">
        <w:rPr>
          <w:rFonts w:cs="Arial"/>
          <w:lang w:val="en-GB"/>
        </w:rPr>
        <w:t xml:space="preserve">margin recognised reflects these evolving assessments, particularly in relation to the Group’s long-term developments. </w:t>
      </w:r>
      <w:r w:rsidR="00495AF2" w:rsidRPr="00495AF2">
        <w:rPr>
          <w:rFonts w:cs="Arial"/>
          <w:lang w:val="en-GB"/>
        </w:rPr>
        <w:t xml:space="preserve">The impact of </w:t>
      </w:r>
      <w:r w:rsidR="00185550">
        <w:rPr>
          <w:rFonts w:cs="Arial"/>
          <w:lang w:val="en-GB"/>
        </w:rPr>
        <w:t>sustainability</w:t>
      </w:r>
      <w:r w:rsidR="00495AF2" w:rsidRPr="00495AF2">
        <w:rPr>
          <w:rFonts w:cs="Arial"/>
          <w:lang w:val="en-GB"/>
        </w:rPr>
        <w:t xml:space="preserve"> and other macroeconomic factors have been considered in the Group’s assessment of the carrying value of its inventories </w:t>
      </w:r>
      <w:proofErr w:type="gramStart"/>
      <w:r w:rsidR="00495AF2" w:rsidRPr="00495AF2">
        <w:rPr>
          <w:rFonts w:cs="Arial"/>
          <w:lang w:val="en-GB"/>
        </w:rPr>
        <w:t>at</w:t>
      </w:r>
      <w:proofErr w:type="gramEnd"/>
      <w:r w:rsidR="00495AF2" w:rsidRPr="00495AF2">
        <w:rPr>
          <w:rFonts w:cs="Arial"/>
          <w:lang w:val="en-GB"/>
        </w:rPr>
        <w:t xml:space="preserve"> </w:t>
      </w:r>
      <w:r w:rsidR="00BA30C5">
        <w:rPr>
          <w:rFonts w:cs="Arial"/>
          <w:lang w:val="en-GB"/>
        </w:rPr>
        <w:t>30 June</w:t>
      </w:r>
      <w:r w:rsidR="00495AF2" w:rsidRPr="00495AF2">
        <w:rPr>
          <w:rFonts w:cs="Arial"/>
          <w:lang w:val="en-GB"/>
        </w:rPr>
        <w:t xml:space="preserve"> 202</w:t>
      </w:r>
      <w:r w:rsidR="00731F63">
        <w:rPr>
          <w:rFonts w:cs="Arial"/>
          <w:lang w:val="en-GB"/>
        </w:rPr>
        <w:t>5</w:t>
      </w:r>
      <w:r w:rsidR="00495AF2" w:rsidRPr="00495AF2">
        <w:rPr>
          <w:rFonts w:cs="Arial"/>
          <w:lang w:val="en-GB"/>
        </w:rPr>
        <w:t xml:space="preserve">, particularly </w:t>
      </w:r>
      <w:proofErr w:type="gramStart"/>
      <w:r w:rsidR="00495AF2" w:rsidRPr="00495AF2">
        <w:rPr>
          <w:rFonts w:cs="Arial"/>
          <w:lang w:val="en-GB"/>
        </w:rPr>
        <w:t>with regard to</w:t>
      </w:r>
      <w:proofErr w:type="gramEnd"/>
      <w:r w:rsidR="00495AF2" w:rsidRPr="00495AF2">
        <w:rPr>
          <w:rFonts w:cs="Arial"/>
          <w:lang w:val="en-GB"/>
        </w:rPr>
        <w:t xml:space="preserve"> the potential implications for future selling prices, development expenditure and construction programming.</w:t>
      </w:r>
      <w:r w:rsidRPr="7821F417">
        <w:rPr>
          <w:rFonts w:cs="Arial"/>
          <w:lang w:val="en-GB"/>
        </w:rPr>
        <w:t xml:space="preserve"> </w:t>
      </w:r>
      <w:r w:rsidR="00091EE3" w:rsidRPr="7821F417">
        <w:rPr>
          <w:rFonts w:cs="Arial"/>
          <w:lang w:val="en-GB"/>
        </w:rPr>
        <w:t>M</w:t>
      </w:r>
      <w:r w:rsidRPr="7821F417">
        <w:rPr>
          <w:rFonts w:cs="Arial"/>
          <w:lang w:val="en-GB"/>
        </w:rPr>
        <w:t xml:space="preserve">anagement has considered </w:t>
      </w:r>
      <w:proofErr w:type="gramStart"/>
      <w:r w:rsidRPr="7821F417">
        <w:rPr>
          <w:rFonts w:cs="Arial"/>
          <w:lang w:val="en-GB"/>
        </w:rPr>
        <w:t>a number of</w:t>
      </w:r>
      <w:proofErr w:type="gramEnd"/>
      <w:r w:rsidRPr="7821F417">
        <w:rPr>
          <w:rFonts w:cs="Arial"/>
          <w:lang w:val="en-GB"/>
        </w:rPr>
        <w:t xml:space="preserve"> scenarios on each of its active developments and the consequential impact on future profitability based on current facts and circumstances together with any implications for future projects in undertaking its net realisable value calculations. </w:t>
      </w:r>
    </w:p>
    <w:p w14:paraId="2ADAEEC1" w14:textId="77777777" w:rsidR="00DE0380" w:rsidRPr="00186ADF" w:rsidRDefault="00DE0380" w:rsidP="00703173">
      <w:pPr>
        <w:pStyle w:val="NotesBody"/>
        <w:ind w:left="0"/>
        <w:jc w:val="both"/>
        <w:rPr>
          <w:rFonts w:cs="Arial"/>
          <w:lang w:val="en-GB"/>
        </w:rPr>
      </w:pPr>
    </w:p>
    <w:p w14:paraId="5EA7B5F9" w14:textId="23545801" w:rsidR="00CB2391" w:rsidRDefault="007240C0" w:rsidP="005C02FC">
      <w:pPr>
        <w:pStyle w:val="NotesHeading"/>
        <w:jc w:val="both"/>
      </w:pPr>
      <w:r>
        <w:t>5</w:t>
      </w:r>
      <w:r>
        <w:tab/>
      </w:r>
      <w:r w:rsidR="00E75ED7">
        <w:t>New</w:t>
      </w:r>
      <w:r w:rsidR="003277B8">
        <w:t xml:space="preserve"> significant accounting policies</w:t>
      </w:r>
    </w:p>
    <w:p w14:paraId="0E5B842A" w14:textId="77777777" w:rsidR="00004571" w:rsidRDefault="00004571" w:rsidP="00004571">
      <w:pPr>
        <w:pStyle w:val="NotesBody"/>
      </w:pPr>
    </w:p>
    <w:p w14:paraId="167C17AD" w14:textId="3FB1E202" w:rsidR="00004571" w:rsidRPr="00004571" w:rsidRDefault="00DC0E3A" w:rsidP="00004571">
      <w:pPr>
        <w:pStyle w:val="NotesBody"/>
        <w:rPr>
          <w:b/>
          <w:bCs/>
        </w:rPr>
      </w:pPr>
      <w:r w:rsidRPr="00DC0E3A">
        <w:rPr>
          <w:b/>
          <w:bCs/>
        </w:rPr>
        <w:t>Standards issued but not yet effective</w:t>
      </w:r>
    </w:p>
    <w:p w14:paraId="3FCD3C7A" w14:textId="3F95EE16" w:rsidR="00C17EE9" w:rsidRDefault="00C17EE9" w:rsidP="0071129D">
      <w:pPr>
        <w:pStyle w:val="NotesBody"/>
        <w:ind w:left="0"/>
        <w:jc w:val="both"/>
        <w:rPr>
          <w:rFonts w:cs="Arial"/>
        </w:rPr>
      </w:pPr>
    </w:p>
    <w:p w14:paraId="15C7E313" w14:textId="55676064" w:rsidR="00695E30" w:rsidRDefault="00F72771" w:rsidP="00695E30">
      <w:pPr>
        <w:pStyle w:val="NotesBody"/>
        <w:jc w:val="both"/>
      </w:pPr>
      <w:r>
        <w:t xml:space="preserve">The Group has not adopted </w:t>
      </w:r>
      <w:r w:rsidR="00634767">
        <w:t xml:space="preserve">the following new and amended standards </w:t>
      </w:r>
      <w:proofErr w:type="gramStart"/>
      <w:r w:rsidR="00634767">
        <w:t>early, and</w:t>
      </w:r>
      <w:proofErr w:type="gramEnd"/>
      <w:r w:rsidR="00634767">
        <w:t xml:space="preserve"> instead intends to </w:t>
      </w:r>
      <w:r w:rsidR="004A1966">
        <w:t>apply them from their effective date as determined by the dare of the EU endorsement</w:t>
      </w:r>
      <w:r w:rsidR="00ED50AA">
        <w:t xml:space="preserve">. The potential impact of these amendments to standards on the Group </w:t>
      </w:r>
      <w:r w:rsidR="00AA11A4">
        <w:t xml:space="preserve">is under review: </w:t>
      </w:r>
    </w:p>
    <w:p w14:paraId="663E1BCA" w14:textId="77777777" w:rsidR="00793E34" w:rsidRDefault="00793E34" w:rsidP="00695E30">
      <w:pPr>
        <w:pStyle w:val="NotesBody"/>
        <w:jc w:val="both"/>
      </w:pPr>
    </w:p>
    <w:p w14:paraId="11F58A25" w14:textId="044B2657" w:rsidR="003E1E95" w:rsidRDefault="0097094C" w:rsidP="00E466ED">
      <w:pPr>
        <w:pStyle w:val="NotesBody"/>
        <w:numPr>
          <w:ilvl w:val="0"/>
          <w:numId w:val="40"/>
        </w:numPr>
        <w:jc w:val="both"/>
      </w:pPr>
      <w:r w:rsidRPr="00FD48CA">
        <w:rPr>
          <w:i/>
          <w:iCs/>
        </w:rPr>
        <w:t>IAS 21 The Effects of Changes in Foreign Exchange Rates</w:t>
      </w:r>
      <w:r w:rsidRPr="0097094C">
        <w:t xml:space="preserve">: Lack of </w:t>
      </w:r>
      <w:r w:rsidR="00504D49">
        <w:t>E</w:t>
      </w:r>
      <w:r w:rsidRPr="0097094C">
        <w:t xml:space="preserve">xchangeability (amendment) </w:t>
      </w:r>
    </w:p>
    <w:p w14:paraId="14E2E37C" w14:textId="35F4C596" w:rsidR="00A64343" w:rsidRDefault="003E1E95" w:rsidP="003C1367">
      <w:pPr>
        <w:pStyle w:val="NotesBody"/>
        <w:numPr>
          <w:ilvl w:val="0"/>
          <w:numId w:val="40"/>
        </w:numPr>
        <w:jc w:val="both"/>
      </w:pPr>
      <w:r w:rsidRPr="00A64343">
        <w:rPr>
          <w:i/>
          <w:iCs/>
        </w:rPr>
        <w:t>IFRS</w:t>
      </w:r>
      <w:r w:rsidR="00365038">
        <w:rPr>
          <w:i/>
          <w:iCs/>
        </w:rPr>
        <w:t xml:space="preserve"> 7 </w:t>
      </w:r>
      <w:r w:rsidRPr="00A64343">
        <w:rPr>
          <w:i/>
          <w:iCs/>
        </w:rPr>
        <w:t>Financial Instruments: Disclosures and IFRS 9 Financial Instruments</w:t>
      </w:r>
      <w:r>
        <w:t>: Contracts Referencing Nature-dependent Electricity (amendment)</w:t>
      </w:r>
    </w:p>
    <w:p w14:paraId="57622BF0" w14:textId="1BB58307" w:rsidR="00695E30" w:rsidRDefault="003E1E95">
      <w:pPr>
        <w:pStyle w:val="NotesBody"/>
        <w:numPr>
          <w:ilvl w:val="0"/>
          <w:numId w:val="40"/>
        </w:numPr>
        <w:jc w:val="both"/>
      </w:pPr>
      <w:r w:rsidRPr="003C1367">
        <w:rPr>
          <w:i/>
          <w:iCs/>
        </w:rPr>
        <w:t>IFRS 7 Financial Instruments: Disclosures and IFRS 9 Financial Instruments:</w:t>
      </w:r>
      <w:r>
        <w:t xml:space="preserve"> Amendments to the</w:t>
      </w:r>
      <w:r w:rsidR="003C1367">
        <w:t xml:space="preserve"> Classification </w:t>
      </w:r>
      <w:r w:rsidR="00504D49">
        <w:t>and Measurement of F</w:t>
      </w:r>
      <w:r w:rsidR="00FC5CAA">
        <w:t>inancial Instruments (amendment)</w:t>
      </w:r>
      <w:r>
        <w:t xml:space="preserve"> </w:t>
      </w:r>
    </w:p>
    <w:p w14:paraId="540DF30A" w14:textId="72716DB5" w:rsidR="00660143" w:rsidRDefault="00660143">
      <w:pPr>
        <w:pStyle w:val="NotesBody"/>
        <w:numPr>
          <w:ilvl w:val="0"/>
          <w:numId w:val="40"/>
        </w:numPr>
        <w:jc w:val="both"/>
      </w:pPr>
      <w:r>
        <w:t xml:space="preserve">Annual improvements to </w:t>
      </w:r>
      <w:r w:rsidR="0043598F">
        <w:t xml:space="preserve">IFRS standards </w:t>
      </w:r>
    </w:p>
    <w:p w14:paraId="6BF57AE2" w14:textId="09B814A0" w:rsidR="00681471" w:rsidRDefault="00E54A23">
      <w:pPr>
        <w:pStyle w:val="NotesBody"/>
        <w:numPr>
          <w:ilvl w:val="0"/>
          <w:numId w:val="40"/>
        </w:numPr>
        <w:jc w:val="both"/>
      </w:pPr>
      <w:r>
        <w:rPr>
          <w:i/>
          <w:iCs/>
        </w:rPr>
        <w:t xml:space="preserve">IFRS 18 </w:t>
      </w:r>
      <w:r w:rsidR="003F3821">
        <w:rPr>
          <w:i/>
          <w:iCs/>
        </w:rPr>
        <w:t>Presentation and Disclosure in Financial Statements:</w:t>
      </w:r>
      <w:r w:rsidR="003F3821">
        <w:t xml:space="preserve"> </w:t>
      </w:r>
      <w:r w:rsidR="005F41D1">
        <w:t xml:space="preserve">(new </w:t>
      </w:r>
      <w:r w:rsidR="00925549">
        <w:t>standard</w:t>
      </w:r>
      <w:r w:rsidR="00315B63">
        <w:t xml:space="preserve"> – effective </w:t>
      </w:r>
      <w:r w:rsidR="002775BC">
        <w:t>1 January 2027)</w:t>
      </w:r>
    </w:p>
    <w:p w14:paraId="5D02AA67" w14:textId="77777777" w:rsidR="00AA11A4" w:rsidRPr="00AA11A4" w:rsidRDefault="00AA11A4" w:rsidP="00AA11A4">
      <w:pPr>
        <w:pStyle w:val="ListParagraph"/>
        <w:numPr>
          <w:ilvl w:val="0"/>
          <w:numId w:val="40"/>
        </w:numPr>
      </w:pPr>
      <w:r w:rsidRPr="00AA11A4">
        <w:t>IFRS 19 Subsidiaries without Public Accountability (new standard – effective 1 January 2027)</w:t>
      </w:r>
    </w:p>
    <w:p w14:paraId="52AFED77" w14:textId="77777777" w:rsidR="00DF7AD0" w:rsidRDefault="00DF7AD0" w:rsidP="00AA11A4">
      <w:pPr>
        <w:pStyle w:val="NotesHeading"/>
        <w:ind w:left="0" w:firstLine="0"/>
        <w:jc w:val="both"/>
      </w:pPr>
    </w:p>
    <w:p w14:paraId="0D95467B" w14:textId="579E5189" w:rsidR="00DF7AD0" w:rsidRPr="00BB3325" w:rsidRDefault="00DF7AD0" w:rsidP="00DF7AD0">
      <w:pPr>
        <w:pStyle w:val="NotesHeading"/>
        <w:jc w:val="both"/>
        <w:rPr>
          <w:b w:val="0"/>
          <w:bCs/>
          <w:i/>
          <w:iCs/>
        </w:rPr>
      </w:pPr>
      <w:r>
        <w:t>5</w:t>
      </w:r>
      <w:r w:rsidR="00BB3325">
        <w:t xml:space="preserve">      </w:t>
      </w:r>
      <w:r>
        <w:t>New significant accounting policies</w:t>
      </w:r>
      <w:r w:rsidR="00BB3325">
        <w:t xml:space="preserve"> </w:t>
      </w:r>
      <w:r w:rsidR="00BB3325">
        <w:rPr>
          <w:b w:val="0"/>
          <w:bCs/>
          <w:i/>
          <w:iCs/>
        </w:rPr>
        <w:t>(continued)</w:t>
      </w:r>
    </w:p>
    <w:p w14:paraId="32BD982E" w14:textId="77777777" w:rsidR="00DF7AD0" w:rsidRDefault="00DF7AD0" w:rsidP="00DF7AD0">
      <w:pPr>
        <w:pStyle w:val="NotesBody"/>
      </w:pPr>
    </w:p>
    <w:p w14:paraId="2E83D8BB" w14:textId="52AB0308" w:rsidR="00DF7AD0" w:rsidRPr="00BB3325" w:rsidRDefault="00DF7AD0" w:rsidP="00DF7AD0">
      <w:pPr>
        <w:pStyle w:val="NotesBody"/>
        <w:rPr>
          <w:i/>
          <w:iCs/>
        </w:rPr>
      </w:pPr>
      <w:r w:rsidRPr="00DC0E3A">
        <w:rPr>
          <w:b/>
          <w:bCs/>
        </w:rPr>
        <w:t>Standards issued but not yet effective</w:t>
      </w:r>
      <w:r w:rsidR="00BB3325">
        <w:rPr>
          <w:b/>
          <w:bCs/>
        </w:rPr>
        <w:t xml:space="preserve"> </w:t>
      </w:r>
      <w:r w:rsidR="00BB3325">
        <w:rPr>
          <w:i/>
          <w:iCs/>
        </w:rPr>
        <w:t>(continued)</w:t>
      </w:r>
    </w:p>
    <w:p w14:paraId="5977D3CA" w14:textId="77777777" w:rsidR="002D1AEC" w:rsidRDefault="002D1AEC" w:rsidP="00AA11A4">
      <w:pPr>
        <w:pStyle w:val="NotesBody"/>
        <w:ind w:left="0"/>
        <w:jc w:val="both"/>
      </w:pPr>
    </w:p>
    <w:p w14:paraId="223660D9" w14:textId="3297DF16" w:rsidR="00813AA1" w:rsidRPr="00AA73D5" w:rsidRDefault="00695E30" w:rsidP="00AA11A4">
      <w:pPr>
        <w:pStyle w:val="NotesBody"/>
        <w:jc w:val="both"/>
      </w:pPr>
      <w:r>
        <w:t>There have been no changes to significant accounting policies during the period to 30 June 2025.</w:t>
      </w:r>
    </w:p>
    <w:p w14:paraId="0EC56C6D" w14:textId="77777777" w:rsidR="00AA11A4" w:rsidRDefault="00AA11A4" w:rsidP="005C02FC">
      <w:pPr>
        <w:pStyle w:val="NotesBody"/>
        <w:jc w:val="both"/>
        <w:rPr>
          <w:rFonts w:cs="Arial"/>
        </w:rPr>
      </w:pPr>
    </w:p>
    <w:p w14:paraId="354E02E4" w14:textId="77777777" w:rsidR="00D34C27" w:rsidRDefault="007240C0" w:rsidP="005C02FC">
      <w:pPr>
        <w:pStyle w:val="NotesHeading"/>
        <w:jc w:val="both"/>
      </w:pPr>
      <w:r>
        <w:t>6</w:t>
      </w:r>
      <w:r>
        <w:tab/>
      </w:r>
      <w:r w:rsidR="00D34C27">
        <w:t>Going concern</w:t>
      </w:r>
    </w:p>
    <w:p w14:paraId="0CD1B767" w14:textId="77777777" w:rsidR="00D34C27" w:rsidRDefault="00D34C27" w:rsidP="005C02FC">
      <w:pPr>
        <w:pStyle w:val="NotesBody"/>
        <w:jc w:val="both"/>
      </w:pPr>
    </w:p>
    <w:p w14:paraId="57B2475A" w14:textId="5F3C3E68" w:rsidR="007353BB" w:rsidRDefault="00032E28" w:rsidP="00BC7255">
      <w:pPr>
        <w:pStyle w:val="NotesBody"/>
        <w:jc w:val="both"/>
      </w:pPr>
      <w:r>
        <w:t xml:space="preserve">The Group has recorded a </w:t>
      </w:r>
      <w:r w:rsidR="006E4B07">
        <w:t>profit</w:t>
      </w:r>
      <w:r>
        <w:t xml:space="preserve"> before tax of </w:t>
      </w:r>
      <w:r w:rsidR="005D507C">
        <w:t>€</w:t>
      </w:r>
      <w:r w:rsidR="0017317C">
        <w:t>3</w:t>
      </w:r>
      <w:r w:rsidR="00F74CE8">
        <w:t>2</w:t>
      </w:r>
      <w:r w:rsidR="0017317C">
        <w:t>.5</w:t>
      </w:r>
      <w:r>
        <w:t xml:space="preserve">million </w:t>
      </w:r>
      <w:r w:rsidRPr="7821F417">
        <w:rPr>
          <w:i/>
          <w:iCs/>
        </w:rPr>
        <w:t>(</w:t>
      </w:r>
      <w:r w:rsidR="00CE573B" w:rsidRPr="7821F417">
        <w:rPr>
          <w:i/>
          <w:iCs/>
        </w:rPr>
        <w:t>202</w:t>
      </w:r>
      <w:r w:rsidR="00B90DFF">
        <w:rPr>
          <w:i/>
          <w:iCs/>
        </w:rPr>
        <w:t>4</w:t>
      </w:r>
      <w:r w:rsidRPr="7821F417">
        <w:rPr>
          <w:i/>
          <w:iCs/>
        </w:rPr>
        <w:t>:</w:t>
      </w:r>
      <w:r w:rsidR="005446C9" w:rsidRPr="7821F417">
        <w:rPr>
          <w:i/>
          <w:iCs/>
        </w:rPr>
        <w:t xml:space="preserve"> </w:t>
      </w:r>
      <w:r w:rsidRPr="00910BEC">
        <w:rPr>
          <w:i/>
          <w:iCs/>
        </w:rPr>
        <w:t>€</w:t>
      </w:r>
      <w:r w:rsidR="00B236D1" w:rsidRPr="00910BEC">
        <w:rPr>
          <w:i/>
          <w:iCs/>
        </w:rPr>
        <w:t>1</w:t>
      </w:r>
      <w:r w:rsidR="00FD0C8D">
        <w:rPr>
          <w:i/>
          <w:iCs/>
        </w:rPr>
        <w:t>.</w:t>
      </w:r>
      <w:r w:rsidR="00B90DFF">
        <w:rPr>
          <w:i/>
          <w:iCs/>
        </w:rPr>
        <w:t>0</w:t>
      </w:r>
      <w:r w:rsidR="00B236D1" w:rsidRPr="00910BEC">
        <w:rPr>
          <w:i/>
          <w:iCs/>
        </w:rPr>
        <w:t xml:space="preserve"> </w:t>
      </w:r>
      <w:r w:rsidRPr="00910BEC">
        <w:rPr>
          <w:i/>
          <w:iCs/>
        </w:rPr>
        <w:t>millio</w:t>
      </w:r>
      <w:r w:rsidR="00F92240" w:rsidRPr="00910BEC">
        <w:rPr>
          <w:i/>
          <w:iCs/>
        </w:rPr>
        <w:t>n</w:t>
      </w:r>
      <w:r w:rsidR="00B467DC" w:rsidRPr="00B467DC">
        <w:rPr>
          <w:i/>
          <w:iCs/>
        </w:rPr>
        <w:t>)</w:t>
      </w:r>
      <w:r w:rsidR="00B467DC">
        <w:t xml:space="preserve">. </w:t>
      </w:r>
      <w:r w:rsidRPr="00EB46FB">
        <w:t>The</w:t>
      </w:r>
      <w:r>
        <w:t xml:space="preserve"> Group has a</w:t>
      </w:r>
      <w:r w:rsidR="00301142">
        <w:t>n unrestricted</w:t>
      </w:r>
      <w:r>
        <w:t xml:space="preserve"> cash balance of €</w:t>
      </w:r>
      <w:r w:rsidR="00920D10">
        <w:t>67</w:t>
      </w:r>
      <w:r w:rsidR="00FE7C1C">
        <w:t>.8</w:t>
      </w:r>
      <w:r w:rsidR="00E63B36">
        <w:t xml:space="preserve"> </w:t>
      </w:r>
      <w:r>
        <w:t xml:space="preserve">million </w:t>
      </w:r>
      <w:r w:rsidRPr="7821F417">
        <w:rPr>
          <w:i/>
          <w:iCs/>
        </w:rPr>
        <w:t>(</w:t>
      </w:r>
      <w:r w:rsidRPr="00E63B36">
        <w:rPr>
          <w:i/>
          <w:iCs/>
        </w:rPr>
        <w:t>31 December</w:t>
      </w:r>
      <w:r w:rsidRPr="7821F417">
        <w:rPr>
          <w:i/>
          <w:iCs/>
        </w:rPr>
        <w:t xml:space="preserve"> </w:t>
      </w:r>
      <w:r w:rsidR="00CE573B" w:rsidRPr="7821F417">
        <w:rPr>
          <w:i/>
          <w:iCs/>
        </w:rPr>
        <w:t>202</w:t>
      </w:r>
      <w:r w:rsidR="00E63B36">
        <w:rPr>
          <w:i/>
          <w:iCs/>
        </w:rPr>
        <w:t>4</w:t>
      </w:r>
      <w:r w:rsidRPr="7821F417">
        <w:rPr>
          <w:i/>
          <w:iCs/>
        </w:rPr>
        <w:t>: €</w:t>
      </w:r>
      <w:r w:rsidR="00E550CC">
        <w:rPr>
          <w:i/>
          <w:iCs/>
        </w:rPr>
        <w:t>38.1</w:t>
      </w:r>
      <w:r w:rsidRPr="7821F417">
        <w:rPr>
          <w:i/>
          <w:iCs/>
        </w:rPr>
        <w:t xml:space="preserve"> million)</w:t>
      </w:r>
      <w:r>
        <w:t xml:space="preserve"> </w:t>
      </w:r>
      <w:r w:rsidR="00630BE8" w:rsidRPr="00630BE8">
        <w:t>exclusive of the minimum cash balance of €25.0 million which the Group is required to maintain under the terms of its debt facilities</w:t>
      </w:r>
      <w:r w:rsidR="00630BE8" w:rsidRPr="00077D2B">
        <w:t>.</w:t>
      </w:r>
      <w:r w:rsidR="0061601B">
        <w:t xml:space="preserve"> </w:t>
      </w:r>
      <w:r w:rsidR="00630BE8" w:rsidRPr="00077D2B">
        <w:t>The Group has committed undrawn funds available of €</w:t>
      </w:r>
      <w:r w:rsidR="006F4EF2">
        <w:t>130</w:t>
      </w:r>
      <w:r w:rsidR="00E15073">
        <w:t>.0</w:t>
      </w:r>
      <w:r w:rsidR="002A6AFC">
        <w:t xml:space="preserve"> </w:t>
      </w:r>
      <w:r w:rsidR="00630BE8" w:rsidRPr="00077D2B">
        <w:t xml:space="preserve">million </w:t>
      </w:r>
      <w:r w:rsidR="00630BE8" w:rsidRPr="00077D2B">
        <w:rPr>
          <w:i/>
          <w:iCs/>
        </w:rPr>
        <w:t>(31 December 202</w:t>
      </w:r>
      <w:r w:rsidR="00BB5A29">
        <w:rPr>
          <w:i/>
          <w:iCs/>
        </w:rPr>
        <w:t>4</w:t>
      </w:r>
      <w:r w:rsidR="00630BE8" w:rsidRPr="00077D2B">
        <w:rPr>
          <w:i/>
          <w:iCs/>
        </w:rPr>
        <w:t>: €</w:t>
      </w:r>
      <w:r w:rsidR="00FC5F2F">
        <w:rPr>
          <w:i/>
          <w:iCs/>
        </w:rPr>
        <w:t>210</w:t>
      </w:r>
      <w:r w:rsidR="00AA6B7E">
        <w:rPr>
          <w:i/>
          <w:iCs/>
        </w:rPr>
        <w:t xml:space="preserve">.0 </w:t>
      </w:r>
      <w:r w:rsidR="00630BE8" w:rsidRPr="00077D2B">
        <w:rPr>
          <w:i/>
          <w:iCs/>
        </w:rPr>
        <w:t>million)</w:t>
      </w:r>
      <w:r w:rsidR="00630BE8" w:rsidRPr="00077D2B">
        <w:t>.</w:t>
      </w:r>
      <w:r w:rsidR="00630BE8" w:rsidRPr="00630BE8">
        <w:t xml:space="preserve"> </w:t>
      </w:r>
    </w:p>
    <w:p w14:paraId="3217C4A2" w14:textId="77777777" w:rsidR="003B3509" w:rsidRDefault="003B3509" w:rsidP="00F25B1A">
      <w:pPr>
        <w:pStyle w:val="NotesBody"/>
        <w:ind w:left="0"/>
        <w:jc w:val="both"/>
      </w:pPr>
    </w:p>
    <w:p w14:paraId="1A9CE58D" w14:textId="0F83105F" w:rsidR="00F0749F" w:rsidRDefault="001D2CA1" w:rsidP="00BC7255">
      <w:pPr>
        <w:pStyle w:val="NotesBody"/>
        <w:jc w:val="both"/>
      </w:pPr>
      <w:r w:rsidRPr="001D2CA1">
        <w:t xml:space="preserve">Management has prepared a detailed cash flow forecast </w:t>
      </w:r>
      <w:proofErr w:type="gramStart"/>
      <w:r w:rsidRPr="001D2CA1">
        <w:t>in order to</w:t>
      </w:r>
      <w:proofErr w:type="gramEnd"/>
      <w:r w:rsidRPr="001D2CA1">
        <w:t xml:space="preserve"> assess the Group’s ability to continue as a going concern for at least a period of twelve months from the signing of these </w:t>
      </w:r>
      <w:r w:rsidR="001C4E8F">
        <w:t xml:space="preserve">interim </w:t>
      </w:r>
      <w:r w:rsidRPr="001D2CA1">
        <w:t xml:space="preserve">financial statements. The preparation of this forecast considered the principal risks facing the Group, including those risks that could threaten the Group’s business model, future performance, solvency or liquidity over the forecast period. </w:t>
      </w:r>
    </w:p>
    <w:p w14:paraId="53ADEA29" w14:textId="77777777" w:rsidR="00C613FC" w:rsidRDefault="00C613FC" w:rsidP="00BC7255">
      <w:pPr>
        <w:pStyle w:val="NotesBody"/>
        <w:jc w:val="both"/>
      </w:pPr>
    </w:p>
    <w:p w14:paraId="51EB337B" w14:textId="0185C3B3" w:rsidR="001A0BB4" w:rsidRDefault="008777FD" w:rsidP="003B3509">
      <w:pPr>
        <w:pStyle w:val="NotesBody"/>
        <w:jc w:val="both"/>
      </w:pPr>
      <w:r>
        <w:t>The Group is forecast</w:t>
      </w:r>
      <w:r w:rsidR="00621595">
        <w:t>ing</w:t>
      </w:r>
      <w:r>
        <w:t xml:space="preserve"> compliance with all covenant requirements under the current facilit</w:t>
      </w:r>
      <w:r w:rsidR="004532AA">
        <w:t>ies</w:t>
      </w:r>
      <w:r>
        <w:t xml:space="preserve"> including</w:t>
      </w:r>
      <w:r w:rsidR="00D434D6">
        <w:t xml:space="preserve"> </w:t>
      </w:r>
      <w:r>
        <w:t xml:space="preserve">the interest cover covenant </w:t>
      </w:r>
      <w:r w:rsidR="00F34E34">
        <w:t xml:space="preserve">which is based on </w:t>
      </w:r>
      <w:r w:rsidR="00667E09">
        <w:t>earnings before interest, tax, depreciation and amortisation</w:t>
      </w:r>
      <w:r w:rsidR="005051DC">
        <w:t xml:space="preserve"> (EBITDA)</w:t>
      </w:r>
      <w:r w:rsidR="00667E09">
        <w:t xml:space="preserve"> excluding </w:t>
      </w:r>
      <w:r w:rsidR="00076AC9">
        <w:t>any</w:t>
      </w:r>
      <w:r w:rsidR="0073433A">
        <w:t xml:space="preserve"> </w:t>
      </w:r>
      <w:r w:rsidR="00667E09">
        <w:t>non-cash impairment charge</w:t>
      </w:r>
      <w:r w:rsidR="00076AC9">
        <w:t>s</w:t>
      </w:r>
      <w:r w:rsidR="00301142">
        <w:t xml:space="preserve"> or reversal</w:t>
      </w:r>
      <w:r w:rsidR="00076AC9">
        <w:t>s</w:t>
      </w:r>
      <w:r w:rsidR="005724B7">
        <w:t xml:space="preserve">. </w:t>
      </w:r>
      <w:r w:rsidR="00B65656">
        <w:t>T</w:t>
      </w:r>
      <w:r w:rsidR="005724B7">
        <w:t>otal debt must not exceed adjusted EBITDA by a m</w:t>
      </w:r>
      <w:r w:rsidR="00A326DD">
        <w:t>ax</w:t>
      </w:r>
      <w:r w:rsidR="00205758">
        <w:t>imum</w:t>
      </w:r>
      <w:r w:rsidR="005724B7">
        <w:t xml:space="preserve"> of 4 </w:t>
      </w:r>
      <w:proofErr w:type="gramStart"/>
      <w:r w:rsidR="005724B7">
        <w:t>times,</w:t>
      </w:r>
      <w:proofErr w:type="gramEnd"/>
      <w:r w:rsidR="005724B7">
        <w:t xml:space="preserve"> this is calculated on </w:t>
      </w:r>
      <w:r w:rsidR="00212C88">
        <w:t xml:space="preserve">both </w:t>
      </w:r>
      <w:r w:rsidR="005724B7">
        <w:t xml:space="preserve">a </w:t>
      </w:r>
      <w:r w:rsidR="00212C88">
        <w:t xml:space="preserve">forward and </w:t>
      </w:r>
      <w:r w:rsidR="005724B7">
        <w:t>trailing</w:t>
      </w:r>
    </w:p>
    <w:p w14:paraId="544B4043" w14:textId="4658A628" w:rsidR="006E1CB0" w:rsidRPr="006E1CB0" w:rsidRDefault="005724B7" w:rsidP="00212C88">
      <w:pPr>
        <w:pStyle w:val="NotesBody"/>
        <w:jc w:val="both"/>
      </w:pPr>
      <w:r>
        <w:t>twelve-month basis</w:t>
      </w:r>
      <w:r w:rsidR="00212C88">
        <w:t xml:space="preserve">. </w:t>
      </w:r>
      <w:r w:rsidR="00CD2222">
        <w:t xml:space="preserve">Other assumptions </w:t>
      </w:r>
      <w:r w:rsidR="0073433A">
        <w:t>within</w:t>
      </w:r>
      <w:r w:rsidR="00CD2222">
        <w:t xml:space="preserve"> the forecast include the Group’s expected selling prices and </w:t>
      </w:r>
      <w:r w:rsidR="0073433A">
        <w:t xml:space="preserve">sales </w:t>
      </w:r>
      <w:r w:rsidR="00CD2222">
        <w:t xml:space="preserve">strategies as well as its investment in </w:t>
      </w:r>
      <w:r w:rsidR="006E1CB0">
        <w:t>work in progress which reflect updated development program</w:t>
      </w:r>
      <w:r w:rsidR="00870D9B">
        <w:t>me</w:t>
      </w:r>
      <w:r w:rsidR="006E1CB0">
        <w:t>s</w:t>
      </w:r>
      <w:r w:rsidR="00E36D7E">
        <w:t>.</w:t>
      </w:r>
    </w:p>
    <w:p w14:paraId="0F6182C5" w14:textId="77777777" w:rsidR="001D677B" w:rsidRDefault="001D677B" w:rsidP="00803666">
      <w:pPr>
        <w:pStyle w:val="NotesBody"/>
        <w:ind w:left="0"/>
      </w:pPr>
    </w:p>
    <w:p w14:paraId="127024D5" w14:textId="161B1652" w:rsidR="00816238" w:rsidRDefault="00780ADD" w:rsidP="00780ADD">
      <w:pPr>
        <w:pStyle w:val="NotesBody"/>
        <w:jc w:val="both"/>
      </w:pPr>
      <w:r w:rsidRPr="00780ADD">
        <w:t xml:space="preserve">Based on the forecasts modelled, the Directors have assessed the Group’s going concern status for the foreseeable future. Having considered the Group’s cash flow forecasts, the Directors are satisfied that the Group has the appropriate working capital management strategy, operational flexibility, and resources in place to continue in operational existence for the foreseeable future. Accordingly, these </w:t>
      </w:r>
      <w:r w:rsidR="00BC5031">
        <w:t>condensed</w:t>
      </w:r>
      <w:r w:rsidRPr="00780ADD">
        <w:t xml:space="preserve"> consolidated </w:t>
      </w:r>
      <w:r w:rsidR="00BC5031">
        <w:t xml:space="preserve">interim </w:t>
      </w:r>
      <w:r w:rsidRPr="00780ADD">
        <w:t>financial statements have been prepared on a going concern basis.</w:t>
      </w:r>
    </w:p>
    <w:p w14:paraId="403CBC8A" w14:textId="0AE2B15A" w:rsidR="00E800A0" w:rsidRPr="00780ADD" w:rsidRDefault="00816238" w:rsidP="00816238">
      <w:pPr>
        <w:spacing w:after="160" w:line="259" w:lineRule="auto"/>
      </w:pPr>
      <w:r>
        <w:br w:type="page"/>
      </w:r>
    </w:p>
    <w:p w14:paraId="4016E0EA" w14:textId="77777777" w:rsidR="00780ADD" w:rsidRPr="00780ADD" w:rsidRDefault="00780ADD" w:rsidP="00780ADD">
      <w:pPr>
        <w:pStyle w:val="NotesBody"/>
      </w:pPr>
    </w:p>
    <w:p w14:paraId="727737F8" w14:textId="1FE795F2" w:rsidR="00D7455F" w:rsidRDefault="008C396A" w:rsidP="7821F417">
      <w:pPr>
        <w:pStyle w:val="NotesHeading"/>
        <w:jc w:val="both"/>
      </w:pPr>
      <w:r>
        <w:t>7</w:t>
      </w:r>
      <w:r>
        <w:tab/>
      </w:r>
      <w:r w:rsidR="00D7455F">
        <w:t>Segmental information</w:t>
      </w:r>
    </w:p>
    <w:p w14:paraId="3BD13BF1" w14:textId="77777777" w:rsidR="0044148B" w:rsidRDefault="0044148B" w:rsidP="0044148B">
      <w:pPr>
        <w:pStyle w:val="NotesBody"/>
      </w:pPr>
    </w:p>
    <w:p w14:paraId="367BE6D7" w14:textId="77777777" w:rsidR="005C3790" w:rsidRDefault="0044148B" w:rsidP="00FD1E8D">
      <w:pPr>
        <w:pStyle w:val="NotesBody"/>
        <w:rPr>
          <w:lang w:val="en-GB"/>
        </w:rPr>
      </w:pPr>
      <w:r w:rsidRPr="0044148B">
        <w:rPr>
          <w:lang w:val="en-GB"/>
        </w:rPr>
        <w:t xml:space="preserve">The Group has considered the requirements of IFRS 8 </w:t>
      </w:r>
      <w:r w:rsidRPr="0044148B">
        <w:rPr>
          <w:i/>
          <w:iCs/>
          <w:lang w:val="en-GB"/>
        </w:rPr>
        <w:t xml:space="preserve">Operating Segments </w:t>
      </w:r>
      <w:r w:rsidRPr="0044148B">
        <w:rPr>
          <w:lang w:val="en-GB"/>
        </w:rPr>
        <w:t xml:space="preserve">in the context of how the business is managed and resources are allocated. </w:t>
      </w:r>
    </w:p>
    <w:p w14:paraId="01F89D73" w14:textId="77777777" w:rsidR="005C3790" w:rsidRDefault="005C3790" w:rsidP="00FD1E8D">
      <w:pPr>
        <w:pStyle w:val="NotesBody"/>
        <w:rPr>
          <w:lang w:val="en-GB"/>
        </w:rPr>
      </w:pPr>
    </w:p>
    <w:p w14:paraId="2812ADBE" w14:textId="716D9B74" w:rsidR="001C2850" w:rsidRDefault="0044148B" w:rsidP="00FD1E8D">
      <w:pPr>
        <w:pStyle w:val="NotesBody"/>
        <w:rPr>
          <w:lang w:val="en-GB"/>
        </w:rPr>
      </w:pPr>
      <w:r w:rsidRPr="0044148B">
        <w:rPr>
          <w:lang w:val="en-GB"/>
        </w:rPr>
        <w:t>In 20</w:t>
      </w:r>
      <w:r w:rsidR="001C2850">
        <w:rPr>
          <w:lang w:val="en-GB"/>
        </w:rPr>
        <w:t>2</w:t>
      </w:r>
      <w:r w:rsidR="009D0595">
        <w:rPr>
          <w:lang w:val="en-GB"/>
        </w:rPr>
        <w:t>4</w:t>
      </w:r>
      <w:r w:rsidRPr="0044148B">
        <w:rPr>
          <w:lang w:val="en-GB"/>
        </w:rPr>
        <w:t xml:space="preserve"> the Group was organised into t</w:t>
      </w:r>
      <w:r w:rsidR="001C2850">
        <w:rPr>
          <w:lang w:val="en-GB"/>
        </w:rPr>
        <w:t>hr</w:t>
      </w:r>
      <w:r w:rsidR="00793507">
        <w:rPr>
          <w:lang w:val="en-GB"/>
        </w:rPr>
        <w:t>ee</w:t>
      </w:r>
      <w:r w:rsidRPr="0044148B">
        <w:rPr>
          <w:lang w:val="en-GB"/>
        </w:rPr>
        <w:t xml:space="preserve"> key reportable operating segments being </w:t>
      </w:r>
      <w:r w:rsidR="001C2850">
        <w:rPr>
          <w:lang w:val="en-GB"/>
        </w:rPr>
        <w:t xml:space="preserve">Suburban, Urban and Partnerships. </w:t>
      </w:r>
    </w:p>
    <w:p w14:paraId="2C7940A4" w14:textId="3AD8BE8B" w:rsidR="0044148B" w:rsidRPr="0044148B" w:rsidRDefault="0044148B" w:rsidP="0044148B">
      <w:pPr>
        <w:pStyle w:val="NotesBody"/>
        <w:rPr>
          <w:lang w:val="en-GB"/>
        </w:rPr>
      </w:pPr>
      <w:r w:rsidRPr="0044148B">
        <w:rPr>
          <w:lang w:val="en-GB"/>
        </w:rPr>
        <w:t xml:space="preserve"> </w:t>
      </w:r>
    </w:p>
    <w:p w14:paraId="298D136C" w14:textId="2A6A1B38" w:rsidR="00FD4EA3" w:rsidRDefault="0044148B" w:rsidP="0044148B">
      <w:pPr>
        <w:pStyle w:val="NotesBody"/>
        <w:rPr>
          <w:lang w:val="en-GB"/>
        </w:rPr>
      </w:pPr>
      <w:r w:rsidRPr="0044148B">
        <w:rPr>
          <w:lang w:val="en-GB"/>
        </w:rPr>
        <w:t>As noted in the Groups 20</w:t>
      </w:r>
      <w:r w:rsidR="001C2850">
        <w:rPr>
          <w:lang w:val="en-GB"/>
        </w:rPr>
        <w:t>24</w:t>
      </w:r>
      <w:r w:rsidRPr="0044148B">
        <w:rPr>
          <w:lang w:val="en-GB"/>
        </w:rPr>
        <w:t xml:space="preserve"> annual report, the Group’s operating segments have changed in line with our refined strategy and are set out below. As a result of the change in the Group’s reportable segments, the Group has restated the previously reported segment information for the six months ended 30 June 20</w:t>
      </w:r>
      <w:r w:rsidR="00FD4EA3">
        <w:rPr>
          <w:lang w:val="en-GB"/>
        </w:rPr>
        <w:t>25</w:t>
      </w:r>
      <w:r w:rsidRPr="0044148B">
        <w:rPr>
          <w:lang w:val="en-GB"/>
        </w:rPr>
        <w:t xml:space="preserve"> and as </w:t>
      </w:r>
      <w:proofErr w:type="gramStart"/>
      <w:r w:rsidRPr="0044148B">
        <w:rPr>
          <w:lang w:val="en-GB"/>
        </w:rPr>
        <w:t>at</w:t>
      </w:r>
      <w:proofErr w:type="gramEnd"/>
      <w:r w:rsidRPr="0044148B">
        <w:rPr>
          <w:lang w:val="en-GB"/>
        </w:rPr>
        <w:t xml:space="preserve"> 31 December 20</w:t>
      </w:r>
      <w:r w:rsidR="00FD4EA3">
        <w:rPr>
          <w:lang w:val="en-GB"/>
        </w:rPr>
        <w:t>24</w:t>
      </w:r>
      <w:r w:rsidRPr="0044148B">
        <w:rPr>
          <w:lang w:val="en-GB"/>
        </w:rPr>
        <w:t>.</w:t>
      </w:r>
    </w:p>
    <w:p w14:paraId="42B1A1F4" w14:textId="0D3446CE" w:rsidR="0044148B" w:rsidRPr="0044148B" w:rsidRDefault="0044148B" w:rsidP="0044148B">
      <w:pPr>
        <w:pStyle w:val="NotesBody"/>
        <w:rPr>
          <w:lang w:val="en-GB"/>
        </w:rPr>
      </w:pPr>
      <w:r w:rsidRPr="0044148B">
        <w:rPr>
          <w:lang w:val="en-GB"/>
        </w:rPr>
        <w:t xml:space="preserve"> </w:t>
      </w:r>
    </w:p>
    <w:p w14:paraId="339EE755" w14:textId="35B1C94A" w:rsidR="0044148B" w:rsidRDefault="0044148B" w:rsidP="0044148B">
      <w:pPr>
        <w:pStyle w:val="NotesBody"/>
        <w:rPr>
          <w:lang w:val="en-GB"/>
        </w:rPr>
      </w:pPr>
      <w:r w:rsidRPr="0044148B">
        <w:rPr>
          <w:lang w:val="en-GB"/>
        </w:rPr>
        <w:t>The Group is organised into t</w:t>
      </w:r>
      <w:r w:rsidR="00FD4EA3">
        <w:rPr>
          <w:lang w:val="en-GB"/>
        </w:rPr>
        <w:t>wo</w:t>
      </w:r>
      <w:r w:rsidRPr="0044148B">
        <w:rPr>
          <w:lang w:val="en-GB"/>
        </w:rPr>
        <w:t xml:space="preserve"> key reportable segments, being </w:t>
      </w:r>
      <w:r w:rsidR="00FD4EA3">
        <w:rPr>
          <w:lang w:val="en-GB"/>
        </w:rPr>
        <w:t>Homebuilding and Partnerships.</w:t>
      </w:r>
      <w:r w:rsidRPr="0044148B">
        <w:rPr>
          <w:lang w:val="en-GB"/>
        </w:rPr>
        <w:t xml:space="preserve"> Internal reporting to the Chief Operating Decision Maker (“CODM”) is provided on this basis. The CODM has been identified as the Executive Committee. </w:t>
      </w:r>
    </w:p>
    <w:p w14:paraId="03891C3F" w14:textId="77777777" w:rsidR="00FD1E8D" w:rsidRPr="0044148B" w:rsidRDefault="00FD1E8D" w:rsidP="0044148B">
      <w:pPr>
        <w:pStyle w:val="NotesBody"/>
        <w:rPr>
          <w:lang w:val="en-GB"/>
        </w:rPr>
      </w:pPr>
    </w:p>
    <w:p w14:paraId="36E42ACD" w14:textId="721D6B9D" w:rsidR="0044148B" w:rsidRDefault="0044148B" w:rsidP="0044148B">
      <w:pPr>
        <w:pStyle w:val="NotesBody"/>
        <w:rPr>
          <w:lang w:val="en-GB"/>
        </w:rPr>
      </w:pPr>
      <w:r w:rsidRPr="0044148B">
        <w:rPr>
          <w:lang w:val="en-GB"/>
        </w:rPr>
        <w:t>The Group currently operates solely in the Republic of Ireland and therefore no geographically segmented financial information is provided.</w:t>
      </w:r>
    </w:p>
    <w:p w14:paraId="1492573F" w14:textId="77777777" w:rsidR="00CB3B14" w:rsidRDefault="00CB3B14" w:rsidP="0044148B">
      <w:pPr>
        <w:pStyle w:val="NotesBody"/>
        <w:rPr>
          <w:lang w:val="en-GB"/>
        </w:rPr>
      </w:pPr>
    </w:p>
    <w:p w14:paraId="6D630DEF" w14:textId="3CF901C0" w:rsidR="00CB3B14" w:rsidRDefault="00CB3B14" w:rsidP="0044148B">
      <w:pPr>
        <w:pStyle w:val="NotesBody"/>
        <w:rPr>
          <w:lang w:val="en-GB"/>
        </w:rPr>
      </w:pPr>
      <w:r w:rsidRPr="00CB3B14">
        <w:rPr>
          <w:i/>
          <w:iCs/>
          <w:lang w:val="en-GB"/>
        </w:rPr>
        <w:t>Homebuilding</w:t>
      </w:r>
    </w:p>
    <w:p w14:paraId="07F5860D" w14:textId="51469B81" w:rsidR="00EF27E9" w:rsidRDefault="00281674" w:rsidP="00E16057">
      <w:pPr>
        <w:pStyle w:val="NotesBody"/>
        <w:rPr>
          <w:lang w:val="en-GB"/>
        </w:rPr>
      </w:pPr>
      <w:r w:rsidRPr="00281674">
        <w:rPr>
          <w:lang w:val="en-GB"/>
        </w:rPr>
        <w:t>The Homebuilding segment is primarily focused on delivering high-quality own-door single-family focused developments, with a particular emphasis on Dublin, the Greater Dublin Area and Cork. This segment is driven by strong demand from both private purchasers, state agencies, and institutional investors. It also allows for the selective realisation of residential land opportunities that align with long-term strategic objectives.</w:t>
      </w:r>
    </w:p>
    <w:p w14:paraId="7B529C53" w14:textId="77777777" w:rsidR="00CB3B14" w:rsidRDefault="00CB3B14" w:rsidP="0044148B">
      <w:pPr>
        <w:pStyle w:val="NotesBody"/>
        <w:rPr>
          <w:lang w:val="en-GB"/>
        </w:rPr>
      </w:pPr>
    </w:p>
    <w:p w14:paraId="0F18B14D" w14:textId="7C12B543" w:rsidR="00855704" w:rsidRDefault="00CB3B14" w:rsidP="0044148B">
      <w:pPr>
        <w:pStyle w:val="NotesBody"/>
        <w:rPr>
          <w:lang w:val="en-GB"/>
        </w:rPr>
      </w:pPr>
      <w:r w:rsidRPr="00CB3B14">
        <w:rPr>
          <w:i/>
          <w:iCs/>
          <w:lang w:val="en-GB"/>
        </w:rPr>
        <w:t>Partnerships</w:t>
      </w:r>
    </w:p>
    <w:p w14:paraId="66E2DC12" w14:textId="1BB3813B" w:rsidR="005A1EC8" w:rsidRDefault="00983CC2" w:rsidP="00A93EA6">
      <w:pPr>
        <w:pStyle w:val="NotesBody"/>
        <w:rPr>
          <w:lang w:val="en-GB"/>
        </w:rPr>
      </w:pPr>
      <w:r w:rsidRPr="00983CC2">
        <w:rPr>
          <w:lang w:val="en-GB"/>
        </w:rPr>
        <w:t xml:space="preserve">The Partnerships segment focuses on the delivery of sustainable communities across Ireland through a mix of suburban single-family focused and urban multi-family focused developments. These projects are typically supported by the state </w:t>
      </w:r>
      <w:r w:rsidR="00C528A8">
        <w:rPr>
          <w:lang w:val="en-GB"/>
        </w:rPr>
        <w:t xml:space="preserve">agencies and </w:t>
      </w:r>
      <w:r w:rsidRPr="00983CC2">
        <w:rPr>
          <w:lang w:val="en-GB"/>
        </w:rPr>
        <w:t>entities with similar funding characteristics. The segment maintains the flexibility to invest in, develop, or dispose of land assets where such actions support broader placemaking, delivery, or strategic aims.</w:t>
      </w:r>
    </w:p>
    <w:p w14:paraId="46C684C7" w14:textId="77777777" w:rsidR="005A1EC8" w:rsidRDefault="005A1EC8">
      <w:pPr>
        <w:spacing w:after="160" w:line="259" w:lineRule="auto"/>
        <w:rPr>
          <w:lang w:val="en-GB"/>
        </w:rPr>
      </w:pPr>
      <w:r>
        <w:rPr>
          <w:lang w:val="en-GB"/>
        </w:rPr>
        <w:br w:type="page"/>
      </w:r>
    </w:p>
    <w:p w14:paraId="0C7C8B02" w14:textId="77777777" w:rsidR="00AB2411" w:rsidRDefault="00AB2411" w:rsidP="00977426">
      <w:pPr>
        <w:pStyle w:val="NotesBody"/>
        <w:ind w:left="0"/>
        <w:jc w:val="both"/>
      </w:pPr>
    </w:p>
    <w:p w14:paraId="348E0A52" w14:textId="48A49028" w:rsidR="005C3790" w:rsidRPr="005C3790" w:rsidRDefault="005C3790" w:rsidP="005C3790">
      <w:pPr>
        <w:pStyle w:val="NotesHeading"/>
        <w:jc w:val="both"/>
        <w:rPr>
          <w:b w:val="0"/>
          <w:bCs/>
          <w:i/>
          <w:iCs/>
        </w:rPr>
      </w:pPr>
      <w:r>
        <w:t>7</w:t>
      </w:r>
      <w:r>
        <w:tab/>
        <w:t xml:space="preserve">Segmental information </w:t>
      </w:r>
      <w:r>
        <w:rPr>
          <w:b w:val="0"/>
          <w:bCs/>
          <w:i/>
          <w:iCs/>
        </w:rPr>
        <w:t>(continued)</w:t>
      </w:r>
    </w:p>
    <w:p w14:paraId="41354B14" w14:textId="77777777" w:rsidR="005C3790" w:rsidRDefault="005C3790" w:rsidP="00977426">
      <w:pPr>
        <w:pStyle w:val="NotesBody"/>
        <w:ind w:left="0"/>
        <w:jc w:val="both"/>
      </w:pPr>
    </w:p>
    <w:p w14:paraId="42FA5BBB" w14:textId="77777777" w:rsidR="008331C4" w:rsidRPr="00715EF2" w:rsidRDefault="008331C4" w:rsidP="7821F417">
      <w:pPr>
        <w:autoSpaceDE w:val="0"/>
        <w:autoSpaceDN w:val="0"/>
        <w:adjustRightInd w:val="0"/>
        <w:ind w:firstLine="448"/>
        <w:rPr>
          <w:rFonts w:cs="Arial"/>
          <w:b/>
          <w:bCs/>
          <w:sz w:val="19"/>
          <w:szCs w:val="19"/>
        </w:rPr>
      </w:pPr>
      <w:r w:rsidRPr="7821F417">
        <w:rPr>
          <w:rFonts w:cs="Arial"/>
          <w:b/>
          <w:bCs/>
        </w:rPr>
        <w:t>Segmental financial results</w:t>
      </w:r>
    </w:p>
    <w:tbl>
      <w:tblPr>
        <w:tblW w:w="9639" w:type="dxa"/>
        <w:tblLayout w:type="fixed"/>
        <w:tblCellMar>
          <w:left w:w="0" w:type="dxa"/>
          <w:right w:w="115" w:type="dxa"/>
        </w:tblCellMar>
        <w:tblLook w:val="04A0" w:firstRow="1" w:lastRow="0" w:firstColumn="1" w:lastColumn="0" w:noHBand="0" w:noVBand="1"/>
      </w:tblPr>
      <w:tblGrid>
        <w:gridCol w:w="453"/>
        <w:gridCol w:w="4792"/>
        <w:gridCol w:w="851"/>
        <w:gridCol w:w="1560"/>
        <w:gridCol w:w="1983"/>
      </w:tblGrid>
      <w:tr w:rsidR="006B1ED8" w:rsidRPr="00891FAB" w14:paraId="73369341" w14:textId="77777777" w:rsidTr="7821F417">
        <w:trPr>
          <w:trHeight w:val="191"/>
        </w:trPr>
        <w:tc>
          <w:tcPr>
            <w:tcW w:w="453" w:type="dxa"/>
          </w:tcPr>
          <w:p w14:paraId="42B03019" w14:textId="77777777" w:rsidR="006B1ED8" w:rsidRPr="00670755" w:rsidRDefault="006B1ED8" w:rsidP="7821F417">
            <w:pPr>
              <w:ind w:right="-144"/>
              <w:rPr>
                <w:rFonts w:cs="Arial"/>
              </w:rPr>
            </w:pPr>
          </w:p>
        </w:tc>
        <w:tc>
          <w:tcPr>
            <w:tcW w:w="4792" w:type="dxa"/>
          </w:tcPr>
          <w:p w14:paraId="7C31FB22" w14:textId="77777777" w:rsidR="006B1ED8" w:rsidRDefault="006B1ED8" w:rsidP="7821F417">
            <w:pPr>
              <w:ind w:right="-144"/>
              <w:rPr>
                <w:rFonts w:cs="Arial"/>
              </w:rPr>
            </w:pPr>
          </w:p>
        </w:tc>
        <w:tc>
          <w:tcPr>
            <w:tcW w:w="851" w:type="dxa"/>
          </w:tcPr>
          <w:p w14:paraId="247C2F34" w14:textId="77777777" w:rsidR="006B1ED8" w:rsidRDefault="006B1ED8" w:rsidP="7821F417">
            <w:pPr>
              <w:tabs>
                <w:tab w:val="decimal" w:pos="1424"/>
              </w:tabs>
              <w:ind w:left="-460" w:right="-144" w:firstLine="460"/>
              <w:rPr>
                <w:rFonts w:cs="Arial"/>
                <w:b/>
                <w:bCs/>
              </w:rPr>
            </w:pPr>
          </w:p>
        </w:tc>
        <w:tc>
          <w:tcPr>
            <w:tcW w:w="1560" w:type="dxa"/>
          </w:tcPr>
          <w:p w14:paraId="4B2BAE70" w14:textId="77777777" w:rsidR="006B1ED8" w:rsidRDefault="006B1ED8" w:rsidP="7821F417">
            <w:pPr>
              <w:tabs>
                <w:tab w:val="decimal" w:pos="1281"/>
              </w:tabs>
              <w:ind w:right="77"/>
              <w:rPr>
                <w:rFonts w:cs="Arial"/>
                <w:b/>
                <w:bCs/>
              </w:rPr>
            </w:pPr>
          </w:p>
        </w:tc>
        <w:tc>
          <w:tcPr>
            <w:tcW w:w="1983" w:type="dxa"/>
          </w:tcPr>
          <w:p w14:paraId="65CFE2A4" w14:textId="44751E84" w:rsidR="006B1ED8" w:rsidRDefault="00596400" w:rsidP="7821F417">
            <w:pPr>
              <w:tabs>
                <w:tab w:val="decimal" w:pos="1362"/>
                <w:tab w:val="left" w:pos="1504"/>
              </w:tabs>
              <w:ind w:right="311"/>
              <w:jc w:val="right"/>
              <w:rPr>
                <w:rFonts w:cs="Arial"/>
                <w:b/>
                <w:bCs/>
              </w:rPr>
            </w:pPr>
            <w:r>
              <w:rPr>
                <w:rFonts w:cs="Arial"/>
                <w:b/>
                <w:bCs/>
              </w:rPr>
              <w:t>As restated</w:t>
            </w:r>
          </w:p>
        </w:tc>
      </w:tr>
      <w:tr w:rsidR="005B425C" w:rsidRPr="00891FAB" w14:paraId="63F0CF61" w14:textId="77777777" w:rsidTr="7821F417">
        <w:trPr>
          <w:trHeight w:val="191"/>
        </w:trPr>
        <w:tc>
          <w:tcPr>
            <w:tcW w:w="453" w:type="dxa"/>
          </w:tcPr>
          <w:p w14:paraId="3F514610" w14:textId="77777777" w:rsidR="005B425C" w:rsidRPr="00670755" w:rsidRDefault="005B425C" w:rsidP="7821F417">
            <w:pPr>
              <w:ind w:right="-144"/>
              <w:rPr>
                <w:rFonts w:cs="Arial"/>
              </w:rPr>
            </w:pPr>
          </w:p>
        </w:tc>
        <w:tc>
          <w:tcPr>
            <w:tcW w:w="4792" w:type="dxa"/>
          </w:tcPr>
          <w:p w14:paraId="2BF9B12D" w14:textId="77777777" w:rsidR="005B425C" w:rsidRDefault="005B425C" w:rsidP="7821F417">
            <w:pPr>
              <w:ind w:right="-144"/>
              <w:rPr>
                <w:rFonts w:cs="Arial"/>
              </w:rPr>
            </w:pPr>
          </w:p>
        </w:tc>
        <w:tc>
          <w:tcPr>
            <w:tcW w:w="851" w:type="dxa"/>
          </w:tcPr>
          <w:p w14:paraId="250ECB43" w14:textId="77777777" w:rsidR="005B425C" w:rsidRDefault="005B425C" w:rsidP="7821F417">
            <w:pPr>
              <w:tabs>
                <w:tab w:val="decimal" w:pos="1424"/>
              </w:tabs>
              <w:ind w:left="-460" w:right="-144" w:firstLine="460"/>
              <w:rPr>
                <w:rFonts w:cs="Arial"/>
                <w:b/>
                <w:bCs/>
              </w:rPr>
            </w:pPr>
          </w:p>
        </w:tc>
        <w:tc>
          <w:tcPr>
            <w:tcW w:w="1560" w:type="dxa"/>
          </w:tcPr>
          <w:p w14:paraId="4398A0DB" w14:textId="3AB53E89" w:rsidR="005B425C" w:rsidRDefault="00170AAA" w:rsidP="7821F417">
            <w:pPr>
              <w:tabs>
                <w:tab w:val="decimal" w:pos="1281"/>
              </w:tabs>
              <w:ind w:right="77"/>
              <w:rPr>
                <w:rFonts w:cs="Arial"/>
                <w:b/>
                <w:bCs/>
              </w:rPr>
            </w:pPr>
            <w:r>
              <w:rPr>
                <w:rFonts w:cs="Arial"/>
                <w:b/>
                <w:bCs/>
              </w:rPr>
              <w:t xml:space="preserve">  </w:t>
            </w:r>
            <w:r w:rsidR="364783E8" w:rsidRPr="7821F417">
              <w:rPr>
                <w:rFonts w:cs="Arial"/>
                <w:b/>
                <w:bCs/>
              </w:rPr>
              <w:t>30 June</w:t>
            </w:r>
          </w:p>
        </w:tc>
        <w:tc>
          <w:tcPr>
            <w:tcW w:w="1983" w:type="dxa"/>
          </w:tcPr>
          <w:p w14:paraId="515FD164" w14:textId="0C105E91" w:rsidR="005B425C" w:rsidRDefault="239179A8" w:rsidP="7821F417">
            <w:pPr>
              <w:tabs>
                <w:tab w:val="decimal" w:pos="1362"/>
                <w:tab w:val="left" w:pos="1504"/>
              </w:tabs>
              <w:ind w:right="311"/>
              <w:jc w:val="right"/>
              <w:rPr>
                <w:rFonts w:cs="Arial"/>
                <w:b/>
                <w:bCs/>
              </w:rPr>
            </w:pPr>
            <w:r w:rsidRPr="7821F417">
              <w:rPr>
                <w:rFonts w:cs="Arial"/>
                <w:b/>
                <w:bCs/>
              </w:rPr>
              <w:t>30 June</w:t>
            </w:r>
          </w:p>
        </w:tc>
      </w:tr>
      <w:tr w:rsidR="008331C4" w:rsidRPr="00891FAB" w14:paraId="5A050CD6" w14:textId="77777777" w:rsidTr="7821F417">
        <w:trPr>
          <w:trHeight w:val="191"/>
        </w:trPr>
        <w:tc>
          <w:tcPr>
            <w:tcW w:w="453" w:type="dxa"/>
          </w:tcPr>
          <w:p w14:paraId="199DF991" w14:textId="77777777" w:rsidR="008331C4" w:rsidRPr="00670755" w:rsidRDefault="008331C4" w:rsidP="7821F417">
            <w:pPr>
              <w:ind w:right="-144"/>
              <w:rPr>
                <w:rFonts w:cs="Arial"/>
              </w:rPr>
            </w:pPr>
          </w:p>
        </w:tc>
        <w:tc>
          <w:tcPr>
            <w:tcW w:w="4792" w:type="dxa"/>
          </w:tcPr>
          <w:p w14:paraId="5C7BE0FA" w14:textId="77777777" w:rsidR="008331C4" w:rsidRDefault="008331C4" w:rsidP="7821F417">
            <w:pPr>
              <w:ind w:right="-144"/>
              <w:rPr>
                <w:rFonts w:cs="Arial"/>
              </w:rPr>
            </w:pPr>
          </w:p>
        </w:tc>
        <w:tc>
          <w:tcPr>
            <w:tcW w:w="851" w:type="dxa"/>
          </w:tcPr>
          <w:p w14:paraId="1772C498" w14:textId="77777777" w:rsidR="008331C4" w:rsidRDefault="008331C4" w:rsidP="7821F417">
            <w:pPr>
              <w:tabs>
                <w:tab w:val="decimal" w:pos="1424"/>
              </w:tabs>
              <w:ind w:left="-460" w:right="-144" w:firstLine="460"/>
              <w:rPr>
                <w:rFonts w:cs="Arial"/>
                <w:b/>
                <w:bCs/>
              </w:rPr>
            </w:pPr>
          </w:p>
        </w:tc>
        <w:tc>
          <w:tcPr>
            <w:tcW w:w="1560" w:type="dxa"/>
          </w:tcPr>
          <w:p w14:paraId="28ECB2AB" w14:textId="2CED057B" w:rsidR="008331C4" w:rsidRDefault="67BE6EF0" w:rsidP="06BCB59D">
            <w:pPr>
              <w:tabs>
                <w:tab w:val="decimal" w:pos="1423"/>
              </w:tabs>
              <w:ind w:right="77"/>
              <w:rPr>
                <w:rFonts w:cs="Arial"/>
                <w:b/>
                <w:bCs/>
              </w:rPr>
            </w:pPr>
            <w:r w:rsidRPr="7821F417">
              <w:rPr>
                <w:rFonts w:cs="Arial"/>
                <w:b/>
                <w:bCs/>
              </w:rPr>
              <w:t>202</w:t>
            </w:r>
            <w:r w:rsidR="000F1CD9">
              <w:rPr>
                <w:rFonts w:cs="Arial"/>
                <w:b/>
                <w:bCs/>
              </w:rPr>
              <w:t>5</w:t>
            </w:r>
          </w:p>
        </w:tc>
        <w:tc>
          <w:tcPr>
            <w:tcW w:w="1983" w:type="dxa"/>
          </w:tcPr>
          <w:p w14:paraId="1B8F0D7C" w14:textId="54B18E84" w:rsidR="008331C4" w:rsidRDefault="00170AAA" w:rsidP="00170AAA">
            <w:pPr>
              <w:tabs>
                <w:tab w:val="decimal" w:pos="1362"/>
                <w:tab w:val="left" w:pos="1504"/>
              </w:tabs>
              <w:ind w:right="311"/>
              <w:jc w:val="center"/>
              <w:rPr>
                <w:rFonts w:cs="Arial"/>
                <w:b/>
                <w:bCs/>
              </w:rPr>
            </w:pPr>
            <w:r>
              <w:rPr>
                <w:rFonts w:cs="Arial"/>
                <w:b/>
                <w:bCs/>
              </w:rPr>
              <w:t xml:space="preserve">                   </w:t>
            </w:r>
            <w:r w:rsidR="00D342AC">
              <w:rPr>
                <w:rFonts w:cs="Arial"/>
                <w:b/>
                <w:bCs/>
              </w:rPr>
              <w:t>202</w:t>
            </w:r>
            <w:r w:rsidR="000F1CD9">
              <w:rPr>
                <w:rFonts w:cs="Arial"/>
                <w:b/>
                <w:bCs/>
              </w:rPr>
              <w:t>4</w:t>
            </w:r>
          </w:p>
        </w:tc>
      </w:tr>
      <w:tr w:rsidR="008331C4" w:rsidRPr="00891FAB" w14:paraId="36DDBDD3" w14:textId="77777777" w:rsidTr="7821F417">
        <w:trPr>
          <w:trHeight w:val="191"/>
        </w:trPr>
        <w:tc>
          <w:tcPr>
            <w:tcW w:w="453" w:type="dxa"/>
          </w:tcPr>
          <w:p w14:paraId="0ECA4FD4" w14:textId="77777777" w:rsidR="008331C4" w:rsidRPr="00670755" w:rsidRDefault="008331C4" w:rsidP="7821F417">
            <w:pPr>
              <w:ind w:right="-144"/>
              <w:rPr>
                <w:rFonts w:cs="Arial"/>
              </w:rPr>
            </w:pPr>
          </w:p>
        </w:tc>
        <w:tc>
          <w:tcPr>
            <w:tcW w:w="4792" w:type="dxa"/>
          </w:tcPr>
          <w:p w14:paraId="02652294" w14:textId="77777777" w:rsidR="008331C4" w:rsidRDefault="008331C4" w:rsidP="7821F417">
            <w:pPr>
              <w:ind w:right="-144"/>
              <w:rPr>
                <w:rFonts w:cs="Arial"/>
              </w:rPr>
            </w:pPr>
          </w:p>
        </w:tc>
        <w:tc>
          <w:tcPr>
            <w:tcW w:w="851" w:type="dxa"/>
          </w:tcPr>
          <w:p w14:paraId="7CEC41D5" w14:textId="77777777" w:rsidR="008331C4" w:rsidRDefault="008331C4" w:rsidP="7821F417">
            <w:pPr>
              <w:tabs>
                <w:tab w:val="decimal" w:pos="1424"/>
              </w:tabs>
              <w:ind w:left="-460" w:right="-144" w:firstLine="460"/>
              <w:rPr>
                <w:rFonts w:cs="Arial"/>
                <w:b/>
                <w:bCs/>
              </w:rPr>
            </w:pPr>
          </w:p>
        </w:tc>
        <w:tc>
          <w:tcPr>
            <w:tcW w:w="1560" w:type="dxa"/>
          </w:tcPr>
          <w:p w14:paraId="0EA67FD2" w14:textId="77777777" w:rsidR="008331C4" w:rsidRDefault="008331C4" w:rsidP="7821F417">
            <w:pPr>
              <w:tabs>
                <w:tab w:val="decimal" w:pos="1424"/>
              </w:tabs>
              <w:ind w:right="-144"/>
              <w:rPr>
                <w:rFonts w:cs="Arial"/>
                <w:b/>
                <w:bCs/>
              </w:rPr>
            </w:pPr>
            <w:r w:rsidRPr="7821F417">
              <w:rPr>
                <w:rFonts w:cs="Arial"/>
                <w:b/>
                <w:bCs/>
              </w:rPr>
              <w:t>€’000</w:t>
            </w:r>
          </w:p>
        </w:tc>
        <w:tc>
          <w:tcPr>
            <w:tcW w:w="1983" w:type="dxa"/>
          </w:tcPr>
          <w:p w14:paraId="24825403" w14:textId="77777777" w:rsidR="008331C4" w:rsidRPr="002D060C" w:rsidRDefault="008331C4" w:rsidP="7821F417">
            <w:pPr>
              <w:tabs>
                <w:tab w:val="decimal" w:pos="1504"/>
              </w:tabs>
              <w:ind w:right="-144"/>
              <w:rPr>
                <w:rFonts w:cs="Arial"/>
                <w:b/>
                <w:bCs/>
              </w:rPr>
            </w:pPr>
            <w:r w:rsidRPr="7821F417">
              <w:rPr>
                <w:rFonts w:cs="Arial"/>
                <w:b/>
                <w:bCs/>
              </w:rPr>
              <w:t>€’000</w:t>
            </w:r>
          </w:p>
        </w:tc>
      </w:tr>
      <w:tr w:rsidR="008331C4" w:rsidRPr="00891FAB" w14:paraId="61D10894" w14:textId="77777777" w:rsidTr="7821F417">
        <w:trPr>
          <w:trHeight w:val="204"/>
        </w:trPr>
        <w:tc>
          <w:tcPr>
            <w:tcW w:w="453" w:type="dxa"/>
          </w:tcPr>
          <w:p w14:paraId="73C80D1C" w14:textId="77777777" w:rsidR="008331C4" w:rsidRPr="00670755" w:rsidRDefault="008331C4" w:rsidP="7821F417">
            <w:pPr>
              <w:ind w:right="-144"/>
              <w:rPr>
                <w:rFonts w:cs="Arial"/>
              </w:rPr>
            </w:pPr>
          </w:p>
        </w:tc>
        <w:tc>
          <w:tcPr>
            <w:tcW w:w="4792" w:type="dxa"/>
          </w:tcPr>
          <w:p w14:paraId="5CABD39F" w14:textId="77777777" w:rsidR="008331C4" w:rsidRPr="00C97A82" w:rsidRDefault="008331C4" w:rsidP="7821F417">
            <w:pPr>
              <w:ind w:right="-144"/>
              <w:rPr>
                <w:rFonts w:cs="Arial"/>
                <w:i/>
                <w:iCs/>
              </w:rPr>
            </w:pPr>
            <w:r w:rsidRPr="7821F417">
              <w:rPr>
                <w:rFonts w:cs="Arial"/>
                <w:i/>
                <w:iCs/>
              </w:rPr>
              <w:t>Revenue</w:t>
            </w:r>
          </w:p>
        </w:tc>
        <w:tc>
          <w:tcPr>
            <w:tcW w:w="851" w:type="dxa"/>
          </w:tcPr>
          <w:p w14:paraId="46E25CB1" w14:textId="77777777" w:rsidR="008331C4" w:rsidRDefault="008331C4" w:rsidP="7821F417">
            <w:pPr>
              <w:tabs>
                <w:tab w:val="decimal" w:pos="1424"/>
              </w:tabs>
              <w:ind w:right="-144"/>
              <w:rPr>
                <w:rFonts w:cs="Arial"/>
                <w:b/>
                <w:bCs/>
              </w:rPr>
            </w:pPr>
          </w:p>
        </w:tc>
        <w:tc>
          <w:tcPr>
            <w:tcW w:w="1560" w:type="dxa"/>
          </w:tcPr>
          <w:p w14:paraId="750ADBA6" w14:textId="77777777" w:rsidR="008331C4" w:rsidRDefault="008331C4" w:rsidP="7821F417">
            <w:pPr>
              <w:tabs>
                <w:tab w:val="decimal" w:pos="1424"/>
              </w:tabs>
              <w:ind w:right="-144"/>
              <w:rPr>
                <w:rFonts w:cs="Arial"/>
                <w:b/>
                <w:bCs/>
              </w:rPr>
            </w:pPr>
          </w:p>
        </w:tc>
        <w:tc>
          <w:tcPr>
            <w:tcW w:w="1983" w:type="dxa"/>
          </w:tcPr>
          <w:p w14:paraId="3C9957FB" w14:textId="77777777" w:rsidR="008331C4" w:rsidRPr="00FF2186" w:rsidRDefault="008331C4" w:rsidP="7821F417">
            <w:pPr>
              <w:tabs>
                <w:tab w:val="decimal" w:pos="1424"/>
              </w:tabs>
              <w:ind w:right="-144"/>
              <w:rPr>
                <w:rFonts w:cs="Arial"/>
                <w:b/>
                <w:bCs/>
              </w:rPr>
            </w:pPr>
          </w:p>
        </w:tc>
      </w:tr>
      <w:tr w:rsidR="00F72DC7" w:rsidRPr="00891FAB" w14:paraId="28CA175F" w14:textId="77777777" w:rsidTr="7821F417">
        <w:trPr>
          <w:trHeight w:val="204"/>
        </w:trPr>
        <w:tc>
          <w:tcPr>
            <w:tcW w:w="453" w:type="dxa"/>
          </w:tcPr>
          <w:p w14:paraId="2B431226" w14:textId="77777777" w:rsidR="00F72DC7" w:rsidRPr="00670755" w:rsidRDefault="00F72DC7" w:rsidP="00F72DC7">
            <w:pPr>
              <w:ind w:right="-144"/>
              <w:rPr>
                <w:rFonts w:cs="Arial"/>
              </w:rPr>
            </w:pPr>
          </w:p>
        </w:tc>
        <w:tc>
          <w:tcPr>
            <w:tcW w:w="4792" w:type="dxa"/>
          </w:tcPr>
          <w:p w14:paraId="471C035C" w14:textId="09258094" w:rsidR="00F72DC7" w:rsidRPr="00C97A82" w:rsidRDefault="00100915" w:rsidP="00F72DC7">
            <w:pPr>
              <w:ind w:right="-144"/>
              <w:rPr>
                <w:rFonts w:cs="Arial"/>
              </w:rPr>
            </w:pPr>
            <w:r>
              <w:rPr>
                <w:rFonts w:cs="Arial"/>
              </w:rPr>
              <w:t>Home</w:t>
            </w:r>
            <w:r w:rsidR="000F1CD9">
              <w:rPr>
                <w:rFonts w:cs="Arial"/>
              </w:rPr>
              <w:t>building</w:t>
            </w:r>
          </w:p>
        </w:tc>
        <w:tc>
          <w:tcPr>
            <w:tcW w:w="851" w:type="dxa"/>
          </w:tcPr>
          <w:p w14:paraId="18B9CC2C" w14:textId="77777777" w:rsidR="00F72DC7" w:rsidRDefault="00F72DC7" w:rsidP="00F72DC7">
            <w:pPr>
              <w:tabs>
                <w:tab w:val="decimal" w:pos="1424"/>
              </w:tabs>
              <w:ind w:right="-144"/>
              <w:rPr>
                <w:rFonts w:cs="Arial"/>
                <w:b/>
                <w:bCs/>
              </w:rPr>
            </w:pPr>
          </w:p>
        </w:tc>
        <w:tc>
          <w:tcPr>
            <w:tcW w:w="1560" w:type="dxa"/>
          </w:tcPr>
          <w:p w14:paraId="2ADA6F1B" w14:textId="595B75DD" w:rsidR="00F72DC7" w:rsidRDefault="00393F02" w:rsidP="00F72DC7">
            <w:pPr>
              <w:tabs>
                <w:tab w:val="decimal" w:pos="1424"/>
              </w:tabs>
              <w:ind w:right="-144"/>
              <w:rPr>
                <w:rFonts w:cs="Arial"/>
                <w:b/>
                <w:bCs/>
              </w:rPr>
            </w:pPr>
            <w:r>
              <w:rPr>
                <w:rFonts w:cs="Arial"/>
                <w:b/>
                <w:bCs/>
              </w:rPr>
              <w:t>218,401</w:t>
            </w:r>
          </w:p>
        </w:tc>
        <w:tc>
          <w:tcPr>
            <w:tcW w:w="1983" w:type="dxa"/>
          </w:tcPr>
          <w:p w14:paraId="18E51E5A" w14:textId="50CC9818" w:rsidR="00F72DC7" w:rsidRPr="00F72DC7" w:rsidRDefault="00D072D0" w:rsidP="00F72DC7">
            <w:pPr>
              <w:tabs>
                <w:tab w:val="decimal" w:pos="1504"/>
              </w:tabs>
              <w:ind w:right="-144"/>
              <w:rPr>
                <w:rFonts w:eastAsia="Calibri" w:cs="Arial"/>
                <w:szCs w:val="20"/>
              </w:rPr>
            </w:pPr>
            <w:r>
              <w:rPr>
                <w:rFonts w:eastAsia="Calibri" w:cs="Arial"/>
                <w:szCs w:val="20"/>
              </w:rPr>
              <w:t>1</w:t>
            </w:r>
            <w:r w:rsidR="00853B6D">
              <w:rPr>
                <w:rFonts w:eastAsia="Calibri" w:cs="Arial"/>
                <w:szCs w:val="20"/>
              </w:rPr>
              <w:t>0</w:t>
            </w:r>
            <w:r w:rsidR="00607B2F">
              <w:rPr>
                <w:rFonts w:eastAsia="Calibri" w:cs="Arial"/>
                <w:szCs w:val="20"/>
              </w:rPr>
              <w:t>1,598</w:t>
            </w:r>
          </w:p>
        </w:tc>
      </w:tr>
      <w:tr w:rsidR="00F72DC7" w:rsidRPr="00891FAB" w14:paraId="649D3A83" w14:textId="77777777" w:rsidTr="7821F417">
        <w:trPr>
          <w:trHeight w:val="204"/>
        </w:trPr>
        <w:tc>
          <w:tcPr>
            <w:tcW w:w="453" w:type="dxa"/>
          </w:tcPr>
          <w:p w14:paraId="4EEBE617" w14:textId="77777777" w:rsidR="00F72DC7" w:rsidRPr="00670755" w:rsidRDefault="00F72DC7" w:rsidP="00F72DC7">
            <w:pPr>
              <w:ind w:right="-144"/>
              <w:rPr>
                <w:rFonts w:cs="Arial"/>
              </w:rPr>
            </w:pPr>
          </w:p>
        </w:tc>
        <w:tc>
          <w:tcPr>
            <w:tcW w:w="4792" w:type="dxa"/>
          </w:tcPr>
          <w:p w14:paraId="4AE6E07D" w14:textId="49D14A85" w:rsidR="00F72DC7" w:rsidRDefault="00F72DC7" w:rsidP="00F72DC7">
            <w:pPr>
              <w:ind w:right="-144"/>
              <w:rPr>
                <w:rFonts w:cs="Arial"/>
              </w:rPr>
            </w:pPr>
            <w:r w:rsidRPr="7821F417">
              <w:rPr>
                <w:rFonts w:cs="Arial"/>
              </w:rPr>
              <w:t>Partnerships</w:t>
            </w:r>
          </w:p>
        </w:tc>
        <w:tc>
          <w:tcPr>
            <w:tcW w:w="851" w:type="dxa"/>
          </w:tcPr>
          <w:p w14:paraId="163EF6FA" w14:textId="77777777" w:rsidR="00F72DC7" w:rsidRDefault="00F72DC7" w:rsidP="00F72DC7">
            <w:pPr>
              <w:tabs>
                <w:tab w:val="decimal" w:pos="1424"/>
              </w:tabs>
              <w:ind w:right="-144"/>
              <w:rPr>
                <w:rFonts w:cs="Arial"/>
                <w:b/>
                <w:bCs/>
              </w:rPr>
            </w:pPr>
          </w:p>
        </w:tc>
        <w:tc>
          <w:tcPr>
            <w:tcW w:w="1560" w:type="dxa"/>
          </w:tcPr>
          <w:p w14:paraId="089586F3" w14:textId="0DFB7C17" w:rsidR="00F72DC7" w:rsidDel="00FD5E3E" w:rsidRDefault="00030BC8" w:rsidP="00F72DC7">
            <w:pPr>
              <w:tabs>
                <w:tab w:val="decimal" w:pos="1424"/>
              </w:tabs>
              <w:ind w:right="-144"/>
              <w:rPr>
                <w:rFonts w:cs="Arial"/>
                <w:b/>
                <w:bCs/>
              </w:rPr>
            </w:pPr>
            <w:r>
              <w:rPr>
                <w:rFonts w:cs="Arial"/>
                <w:b/>
                <w:bCs/>
              </w:rPr>
              <w:t>123,191</w:t>
            </w:r>
          </w:p>
        </w:tc>
        <w:tc>
          <w:tcPr>
            <w:tcW w:w="1983" w:type="dxa"/>
          </w:tcPr>
          <w:p w14:paraId="6B66DF9B" w14:textId="7799F0A3" w:rsidR="00F72DC7" w:rsidRPr="00F72DC7" w:rsidRDefault="00607B2F" w:rsidP="00F72DC7">
            <w:pPr>
              <w:tabs>
                <w:tab w:val="decimal" w:pos="1504"/>
              </w:tabs>
              <w:ind w:right="-144"/>
              <w:rPr>
                <w:rFonts w:cs="Arial"/>
              </w:rPr>
            </w:pPr>
            <w:r>
              <w:rPr>
                <w:rFonts w:cs="Arial"/>
              </w:rPr>
              <w:t>50,588</w:t>
            </w:r>
          </w:p>
        </w:tc>
      </w:tr>
      <w:tr w:rsidR="00F72DC7" w:rsidRPr="00891FAB" w14:paraId="323E5AEA" w14:textId="77777777" w:rsidTr="7821F417">
        <w:trPr>
          <w:trHeight w:val="204"/>
        </w:trPr>
        <w:tc>
          <w:tcPr>
            <w:tcW w:w="453" w:type="dxa"/>
          </w:tcPr>
          <w:p w14:paraId="68F73927" w14:textId="77777777" w:rsidR="00F72DC7" w:rsidRPr="00670755" w:rsidRDefault="00F72DC7" w:rsidP="00F72DC7">
            <w:pPr>
              <w:ind w:right="-144"/>
              <w:rPr>
                <w:rFonts w:cs="Arial"/>
              </w:rPr>
            </w:pPr>
          </w:p>
        </w:tc>
        <w:tc>
          <w:tcPr>
            <w:tcW w:w="4792" w:type="dxa"/>
          </w:tcPr>
          <w:p w14:paraId="6F5875C4" w14:textId="77777777" w:rsidR="00F72DC7" w:rsidRPr="00C97A82" w:rsidRDefault="00F72DC7" w:rsidP="00F72DC7">
            <w:pPr>
              <w:ind w:right="-144"/>
              <w:rPr>
                <w:rFonts w:cs="Arial"/>
              </w:rPr>
            </w:pPr>
          </w:p>
        </w:tc>
        <w:tc>
          <w:tcPr>
            <w:tcW w:w="851" w:type="dxa"/>
          </w:tcPr>
          <w:p w14:paraId="2FAACFEC" w14:textId="77777777" w:rsidR="00F72DC7" w:rsidRDefault="00F72DC7" w:rsidP="00F72DC7">
            <w:pPr>
              <w:tabs>
                <w:tab w:val="decimal" w:pos="1424"/>
              </w:tabs>
              <w:ind w:right="-144"/>
              <w:rPr>
                <w:rFonts w:cs="Arial"/>
                <w:b/>
                <w:bCs/>
              </w:rPr>
            </w:pPr>
          </w:p>
        </w:tc>
        <w:tc>
          <w:tcPr>
            <w:tcW w:w="1560" w:type="dxa"/>
          </w:tcPr>
          <w:p w14:paraId="46F763FB" w14:textId="77777777" w:rsidR="00F72DC7" w:rsidRPr="00653122" w:rsidRDefault="00F72DC7" w:rsidP="00F72DC7">
            <w:pPr>
              <w:tabs>
                <w:tab w:val="decimal" w:pos="1424"/>
              </w:tabs>
              <w:ind w:right="-144"/>
              <w:rPr>
                <w:rFonts w:cs="Arial"/>
                <w:b/>
                <w:bCs/>
              </w:rPr>
            </w:pPr>
            <w:r w:rsidRPr="7821F417">
              <w:rPr>
                <w:rFonts w:cs="Arial"/>
                <w:u w:val="single"/>
              </w:rPr>
              <w:t>                  </w:t>
            </w:r>
          </w:p>
        </w:tc>
        <w:tc>
          <w:tcPr>
            <w:tcW w:w="1983" w:type="dxa"/>
          </w:tcPr>
          <w:p w14:paraId="1BC36675" w14:textId="6EEAEB83" w:rsidR="00F72DC7" w:rsidRPr="00F72DC7" w:rsidRDefault="00F72DC7" w:rsidP="00F72DC7">
            <w:pPr>
              <w:tabs>
                <w:tab w:val="decimal" w:pos="1504"/>
              </w:tabs>
              <w:ind w:right="-144"/>
              <w:rPr>
                <w:rFonts w:cs="Arial"/>
              </w:rPr>
            </w:pPr>
            <w:r w:rsidRPr="00F72DC7">
              <w:rPr>
                <w:rFonts w:cs="Arial"/>
                <w:u w:val="single"/>
              </w:rPr>
              <w:t>                  </w:t>
            </w:r>
          </w:p>
        </w:tc>
      </w:tr>
      <w:tr w:rsidR="00F72DC7" w:rsidRPr="00891FAB" w14:paraId="4BBCD4AA" w14:textId="77777777" w:rsidTr="7821F417">
        <w:trPr>
          <w:trHeight w:val="204"/>
        </w:trPr>
        <w:tc>
          <w:tcPr>
            <w:tcW w:w="453" w:type="dxa"/>
          </w:tcPr>
          <w:p w14:paraId="1D3296A1" w14:textId="77777777" w:rsidR="00F72DC7" w:rsidRPr="00670755" w:rsidRDefault="00F72DC7" w:rsidP="00F72DC7">
            <w:pPr>
              <w:ind w:right="-144"/>
              <w:rPr>
                <w:rFonts w:cs="Arial"/>
              </w:rPr>
            </w:pPr>
          </w:p>
        </w:tc>
        <w:tc>
          <w:tcPr>
            <w:tcW w:w="4792" w:type="dxa"/>
          </w:tcPr>
          <w:p w14:paraId="38C96D3D" w14:textId="77777777" w:rsidR="00F72DC7" w:rsidRDefault="00F72DC7" w:rsidP="00F72DC7">
            <w:pPr>
              <w:ind w:right="-144"/>
              <w:rPr>
                <w:rFonts w:cs="Arial"/>
              </w:rPr>
            </w:pPr>
          </w:p>
        </w:tc>
        <w:tc>
          <w:tcPr>
            <w:tcW w:w="851" w:type="dxa"/>
          </w:tcPr>
          <w:p w14:paraId="22709354" w14:textId="77777777" w:rsidR="00F72DC7" w:rsidRDefault="00F72DC7" w:rsidP="00F72DC7">
            <w:pPr>
              <w:tabs>
                <w:tab w:val="decimal" w:pos="1424"/>
              </w:tabs>
              <w:ind w:right="-144"/>
              <w:rPr>
                <w:rFonts w:cs="Arial"/>
                <w:b/>
                <w:bCs/>
              </w:rPr>
            </w:pPr>
          </w:p>
        </w:tc>
        <w:tc>
          <w:tcPr>
            <w:tcW w:w="1560" w:type="dxa"/>
          </w:tcPr>
          <w:p w14:paraId="53D0D302" w14:textId="77777777" w:rsidR="00F72DC7" w:rsidRPr="00891FAB" w:rsidRDefault="00F72DC7" w:rsidP="00F72DC7">
            <w:pPr>
              <w:tabs>
                <w:tab w:val="decimal" w:pos="1424"/>
              </w:tabs>
              <w:ind w:right="-144"/>
              <w:rPr>
                <w:rFonts w:cs="Arial"/>
                <w:u w:val="double"/>
              </w:rPr>
            </w:pPr>
          </w:p>
        </w:tc>
        <w:tc>
          <w:tcPr>
            <w:tcW w:w="1983" w:type="dxa"/>
          </w:tcPr>
          <w:p w14:paraId="0D3BD73C" w14:textId="77777777" w:rsidR="00F72DC7" w:rsidRPr="00F72DC7" w:rsidRDefault="00F72DC7" w:rsidP="00F72DC7">
            <w:pPr>
              <w:tabs>
                <w:tab w:val="decimal" w:pos="1424"/>
              </w:tabs>
              <w:ind w:right="-144"/>
              <w:rPr>
                <w:rFonts w:cs="Arial"/>
                <w:u w:val="double"/>
              </w:rPr>
            </w:pPr>
          </w:p>
        </w:tc>
      </w:tr>
      <w:tr w:rsidR="00F72DC7" w:rsidRPr="00891FAB" w14:paraId="38ADEC62" w14:textId="77777777" w:rsidTr="7821F417">
        <w:trPr>
          <w:trHeight w:val="204"/>
        </w:trPr>
        <w:tc>
          <w:tcPr>
            <w:tcW w:w="453" w:type="dxa"/>
          </w:tcPr>
          <w:p w14:paraId="26375C9E" w14:textId="77777777" w:rsidR="00F72DC7" w:rsidRPr="00670755" w:rsidRDefault="00F72DC7" w:rsidP="00F72DC7">
            <w:pPr>
              <w:ind w:right="-144"/>
              <w:rPr>
                <w:rFonts w:cs="Arial"/>
              </w:rPr>
            </w:pPr>
          </w:p>
        </w:tc>
        <w:tc>
          <w:tcPr>
            <w:tcW w:w="4792" w:type="dxa"/>
          </w:tcPr>
          <w:p w14:paraId="34E8F197" w14:textId="77777777" w:rsidR="00F72DC7" w:rsidRPr="002A06FA" w:rsidRDefault="00F72DC7" w:rsidP="00F72DC7">
            <w:pPr>
              <w:ind w:right="-144"/>
              <w:rPr>
                <w:rFonts w:cs="Arial"/>
                <w:b/>
                <w:bCs/>
              </w:rPr>
            </w:pPr>
            <w:r w:rsidRPr="7821F417">
              <w:rPr>
                <w:rFonts w:cs="Arial"/>
                <w:b/>
                <w:bCs/>
              </w:rPr>
              <w:t>Revenue for reportable segments</w:t>
            </w:r>
          </w:p>
        </w:tc>
        <w:tc>
          <w:tcPr>
            <w:tcW w:w="851" w:type="dxa"/>
          </w:tcPr>
          <w:p w14:paraId="6788FFAD" w14:textId="77777777" w:rsidR="00F72DC7" w:rsidRDefault="00F72DC7" w:rsidP="00F72DC7">
            <w:pPr>
              <w:tabs>
                <w:tab w:val="decimal" w:pos="1424"/>
              </w:tabs>
              <w:ind w:right="-144"/>
              <w:rPr>
                <w:rFonts w:cs="Arial"/>
                <w:b/>
                <w:bCs/>
              </w:rPr>
            </w:pPr>
          </w:p>
        </w:tc>
        <w:tc>
          <w:tcPr>
            <w:tcW w:w="1560" w:type="dxa"/>
          </w:tcPr>
          <w:p w14:paraId="0DC5772D" w14:textId="6F88C377" w:rsidR="00F72DC7" w:rsidRPr="00653122" w:rsidRDefault="00030BC8" w:rsidP="00F72DC7">
            <w:pPr>
              <w:tabs>
                <w:tab w:val="decimal" w:pos="1424"/>
              </w:tabs>
              <w:ind w:right="-144"/>
              <w:rPr>
                <w:rFonts w:cs="Arial"/>
                <w:b/>
                <w:bCs/>
              </w:rPr>
            </w:pPr>
            <w:r>
              <w:rPr>
                <w:rFonts w:cs="Arial"/>
                <w:b/>
                <w:bCs/>
              </w:rPr>
              <w:t>341,592</w:t>
            </w:r>
          </w:p>
        </w:tc>
        <w:tc>
          <w:tcPr>
            <w:tcW w:w="1983" w:type="dxa"/>
          </w:tcPr>
          <w:p w14:paraId="6B79BF54" w14:textId="7DEFE7EC" w:rsidR="00F72DC7" w:rsidRPr="000F1CD9" w:rsidRDefault="000F1CD9" w:rsidP="00F72DC7">
            <w:pPr>
              <w:tabs>
                <w:tab w:val="decimal" w:pos="1504"/>
              </w:tabs>
              <w:ind w:right="-144"/>
              <w:rPr>
                <w:rFonts w:cs="Arial"/>
              </w:rPr>
            </w:pPr>
            <w:r w:rsidRPr="000F1CD9">
              <w:rPr>
                <w:rFonts w:cs="Arial"/>
              </w:rPr>
              <w:t>152,186</w:t>
            </w:r>
          </w:p>
        </w:tc>
      </w:tr>
      <w:tr w:rsidR="008331C4" w:rsidRPr="00891FAB" w14:paraId="57D57E56" w14:textId="77777777" w:rsidTr="7821F417">
        <w:trPr>
          <w:trHeight w:val="332"/>
        </w:trPr>
        <w:tc>
          <w:tcPr>
            <w:tcW w:w="453" w:type="dxa"/>
          </w:tcPr>
          <w:p w14:paraId="0352309D" w14:textId="77777777" w:rsidR="008331C4" w:rsidRPr="00670755" w:rsidRDefault="008331C4" w:rsidP="7821F417">
            <w:pPr>
              <w:ind w:right="-144"/>
              <w:rPr>
                <w:rFonts w:cs="Arial"/>
              </w:rPr>
            </w:pPr>
          </w:p>
        </w:tc>
        <w:tc>
          <w:tcPr>
            <w:tcW w:w="4792" w:type="dxa"/>
          </w:tcPr>
          <w:p w14:paraId="031FB5AE" w14:textId="77777777" w:rsidR="008331C4" w:rsidRPr="00C97A82" w:rsidRDefault="008331C4" w:rsidP="7821F417">
            <w:pPr>
              <w:ind w:right="-144"/>
              <w:rPr>
                <w:rFonts w:cs="Arial"/>
              </w:rPr>
            </w:pPr>
          </w:p>
        </w:tc>
        <w:tc>
          <w:tcPr>
            <w:tcW w:w="851" w:type="dxa"/>
          </w:tcPr>
          <w:p w14:paraId="728981FE" w14:textId="77777777" w:rsidR="008331C4" w:rsidRDefault="008331C4" w:rsidP="7821F417">
            <w:pPr>
              <w:tabs>
                <w:tab w:val="decimal" w:pos="1424"/>
              </w:tabs>
              <w:ind w:right="-144"/>
              <w:rPr>
                <w:rFonts w:cs="Arial"/>
                <w:b/>
                <w:bCs/>
              </w:rPr>
            </w:pPr>
          </w:p>
        </w:tc>
        <w:tc>
          <w:tcPr>
            <w:tcW w:w="1560" w:type="dxa"/>
          </w:tcPr>
          <w:p w14:paraId="204CDD70" w14:textId="77777777" w:rsidR="008331C4" w:rsidRDefault="008331C4" w:rsidP="7821F417">
            <w:pPr>
              <w:tabs>
                <w:tab w:val="decimal" w:pos="1424"/>
              </w:tabs>
              <w:ind w:right="-144"/>
              <w:rPr>
                <w:rFonts w:cs="Arial"/>
                <w:b/>
                <w:bCs/>
              </w:rPr>
            </w:pPr>
            <w:r w:rsidRPr="7821F417">
              <w:rPr>
                <w:rFonts w:cs="Arial"/>
                <w:u w:val="double"/>
              </w:rPr>
              <w:t>                  </w:t>
            </w:r>
          </w:p>
        </w:tc>
        <w:tc>
          <w:tcPr>
            <w:tcW w:w="1983" w:type="dxa"/>
          </w:tcPr>
          <w:p w14:paraId="3FD7E0BD" w14:textId="77777777" w:rsidR="008331C4" w:rsidRPr="00D7455F" w:rsidRDefault="008331C4" w:rsidP="7821F417">
            <w:pPr>
              <w:tabs>
                <w:tab w:val="decimal" w:pos="1504"/>
              </w:tabs>
              <w:ind w:right="-144"/>
              <w:rPr>
                <w:rFonts w:cs="Arial"/>
                <w:u w:val="double"/>
              </w:rPr>
            </w:pPr>
            <w:r w:rsidRPr="7821F417">
              <w:rPr>
                <w:rFonts w:cs="Arial"/>
                <w:u w:val="double"/>
              </w:rPr>
              <w:t>                  </w:t>
            </w:r>
          </w:p>
        </w:tc>
      </w:tr>
    </w:tbl>
    <w:p w14:paraId="6BBDF5B0" w14:textId="77777777" w:rsidR="008331C4" w:rsidRDefault="008331C4" w:rsidP="005C02FC">
      <w:pPr>
        <w:pStyle w:val="NotesBody"/>
        <w:jc w:val="both"/>
      </w:pPr>
    </w:p>
    <w:tbl>
      <w:tblPr>
        <w:tblW w:w="9588" w:type="dxa"/>
        <w:tblLayout w:type="fixed"/>
        <w:tblCellMar>
          <w:left w:w="0" w:type="dxa"/>
          <w:right w:w="115" w:type="dxa"/>
        </w:tblCellMar>
        <w:tblLook w:val="04A0" w:firstRow="1" w:lastRow="0" w:firstColumn="1" w:lastColumn="0" w:noHBand="0" w:noVBand="1"/>
      </w:tblPr>
      <w:tblGrid>
        <w:gridCol w:w="453"/>
        <w:gridCol w:w="4792"/>
        <w:gridCol w:w="851"/>
        <w:gridCol w:w="1559"/>
        <w:gridCol w:w="1933"/>
      </w:tblGrid>
      <w:tr w:rsidR="00A522B0" w:rsidRPr="00891FAB" w14:paraId="311E1E25" w14:textId="77777777" w:rsidTr="7821F417">
        <w:trPr>
          <w:trHeight w:val="204"/>
        </w:trPr>
        <w:tc>
          <w:tcPr>
            <w:tcW w:w="453" w:type="dxa"/>
          </w:tcPr>
          <w:p w14:paraId="331F1446" w14:textId="77777777" w:rsidR="00A522B0" w:rsidRPr="00670755" w:rsidRDefault="00A522B0" w:rsidP="7821F417">
            <w:pPr>
              <w:ind w:right="-144"/>
              <w:rPr>
                <w:rFonts w:cs="Arial"/>
              </w:rPr>
            </w:pPr>
          </w:p>
        </w:tc>
        <w:tc>
          <w:tcPr>
            <w:tcW w:w="4792" w:type="dxa"/>
          </w:tcPr>
          <w:p w14:paraId="4A59993F" w14:textId="77777777" w:rsidR="00A522B0" w:rsidRDefault="00A522B0" w:rsidP="7821F417">
            <w:pPr>
              <w:ind w:right="-144"/>
              <w:rPr>
                <w:rFonts w:cs="Arial"/>
              </w:rPr>
            </w:pPr>
          </w:p>
        </w:tc>
        <w:tc>
          <w:tcPr>
            <w:tcW w:w="851" w:type="dxa"/>
          </w:tcPr>
          <w:p w14:paraId="6A58DB3A" w14:textId="77777777" w:rsidR="00A522B0" w:rsidRDefault="00A522B0" w:rsidP="7821F417">
            <w:pPr>
              <w:tabs>
                <w:tab w:val="decimal" w:pos="1424"/>
              </w:tabs>
              <w:ind w:right="-144"/>
              <w:rPr>
                <w:rFonts w:cs="Arial"/>
                <w:b/>
                <w:bCs/>
              </w:rPr>
            </w:pPr>
          </w:p>
        </w:tc>
        <w:tc>
          <w:tcPr>
            <w:tcW w:w="1559" w:type="dxa"/>
          </w:tcPr>
          <w:p w14:paraId="6DDF3C00" w14:textId="77777777" w:rsidR="00A522B0" w:rsidRDefault="00A522B0" w:rsidP="7821F417">
            <w:pPr>
              <w:tabs>
                <w:tab w:val="decimal" w:pos="1424"/>
              </w:tabs>
              <w:rPr>
                <w:rFonts w:cs="Arial"/>
                <w:b/>
                <w:bCs/>
              </w:rPr>
            </w:pPr>
          </w:p>
        </w:tc>
        <w:tc>
          <w:tcPr>
            <w:tcW w:w="1933" w:type="dxa"/>
          </w:tcPr>
          <w:p w14:paraId="280DB67A" w14:textId="1DFCF4C0" w:rsidR="00A522B0" w:rsidRDefault="00596400" w:rsidP="7821F417">
            <w:pPr>
              <w:tabs>
                <w:tab w:val="decimal" w:pos="1221"/>
              </w:tabs>
              <w:ind w:right="311"/>
              <w:jc w:val="right"/>
              <w:rPr>
                <w:rFonts w:cs="Arial"/>
                <w:b/>
                <w:bCs/>
              </w:rPr>
            </w:pPr>
            <w:r>
              <w:rPr>
                <w:rFonts w:cs="Arial"/>
                <w:b/>
                <w:bCs/>
              </w:rPr>
              <w:t>As restated</w:t>
            </w:r>
          </w:p>
        </w:tc>
      </w:tr>
      <w:tr w:rsidR="00677A57" w:rsidRPr="00891FAB" w14:paraId="761064F4" w14:textId="77777777" w:rsidTr="7821F417">
        <w:trPr>
          <w:trHeight w:val="204"/>
        </w:trPr>
        <w:tc>
          <w:tcPr>
            <w:tcW w:w="453" w:type="dxa"/>
          </w:tcPr>
          <w:p w14:paraId="0E255094" w14:textId="77777777" w:rsidR="00677A57" w:rsidRPr="00670755" w:rsidRDefault="00677A57" w:rsidP="7821F417">
            <w:pPr>
              <w:ind w:right="-144"/>
              <w:rPr>
                <w:rFonts w:cs="Arial"/>
              </w:rPr>
            </w:pPr>
          </w:p>
        </w:tc>
        <w:tc>
          <w:tcPr>
            <w:tcW w:w="4792" w:type="dxa"/>
          </w:tcPr>
          <w:p w14:paraId="4890E7A6" w14:textId="77777777" w:rsidR="00677A57" w:rsidRDefault="00677A57" w:rsidP="7821F417">
            <w:pPr>
              <w:ind w:right="-144"/>
              <w:rPr>
                <w:rFonts w:cs="Arial"/>
              </w:rPr>
            </w:pPr>
          </w:p>
        </w:tc>
        <w:tc>
          <w:tcPr>
            <w:tcW w:w="851" w:type="dxa"/>
          </w:tcPr>
          <w:p w14:paraId="7A13B9BF" w14:textId="77777777" w:rsidR="00677A57" w:rsidRDefault="00677A57" w:rsidP="7821F417">
            <w:pPr>
              <w:tabs>
                <w:tab w:val="decimal" w:pos="1424"/>
              </w:tabs>
              <w:ind w:right="-144"/>
              <w:rPr>
                <w:rFonts w:cs="Arial"/>
                <w:b/>
                <w:bCs/>
              </w:rPr>
            </w:pPr>
          </w:p>
        </w:tc>
        <w:tc>
          <w:tcPr>
            <w:tcW w:w="1559" w:type="dxa"/>
          </w:tcPr>
          <w:p w14:paraId="61C9CA8C" w14:textId="18F8C2C7" w:rsidR="00677A57" w:rsidRDefault="070B387A" w:rsidP="7821F417">
            <w:pPr>
              <w:tabs>
                <w:tab w:val="decimal" w:pos="1424"/>
              </w:tabs>
              <w:rPr>
                <w:rFonts w:cs="Arial"/>
                <w:b/>
                <w:bCs/>
              </w:rPr>
            </w:pPr>
            <w:r w:rsidRPr="7821F417">
              <w:rPr>
                <w:rFonts w:cs="Arial"/>
                <w:b/>
                <w:bCs/>
              </w:rPr>
              <w:t>30 June</w:t>
            </w:r>
          </w:p>
        </w:tc>
        <w:tc>
          <w:tcPr>
            <w:tcW w:w="1933" w:type="dxa"/>
          </w:tcPr>
          <w:p w14:paraId="156C47EF" w14:textId="67406427" w:rsidR="00677A57" w:rsidRDefault="7C3CA6EB" w:rsidP="7821F417">
            <w:pPr>
              <w:tabs>
                <w:tab w:val="decimal" w:pos="1221"/>
              </w:tabs>
              <w:ind w:right="311"/>
              <w:jc w:val="right"/>
              <w:rPr>
                <w:rFonts w:cs="Arial"/>
                <w:b/>
                <w:bCs/>
              </w:rPr>
            </w:pPr>
            <w:r w:rsidRPr="7821F417">
              <w:rPr>
                <w:rFonts w:cs="Arial"/>
                <w:b/>
                <w:bCs/>
              </w:rPr>
              <w:t>30 June</w:t>
            </w:r>
          </w:p>
        </w:tc>
      </w:tr>
      <w:tr w:rsidR="00D7455F" w:rsidRPr="00891FAB" w14:paraId="224402DC" w14:textId="77777777" w:rsidTr="7821F417">
        <w:trPr>
          <w:trHeight w:val="204"/>
        </w:trPr>
        <w:tc>
          <w:tcPr>
            <w:tcW w:w="453" w:type="dxa"/>
          </w:tcPr>
          <w:p w14:paraId="0CC73F66" w14:textId="77777777" w:rsidR="00D7455F" w:rsidRPr="00670755" w:rsidRDefault="00D7455F" w:rsidP="7821F417">
            <w:pPr>
              <w:ind w:right="-144"/>
              <w:rPr>
                <w:rFonts w:cs="Arial"/>
              </w:rPr>
            </w:pPr>
          </w:p>
        </w:tc>
        <w:tc>
          <w:tcPr>
            <w:tcW w:w="4792" w:type="dxa"/>
          </w:tcPr>
          <w:p w14:paraId="52D7E29A" w14:textId="77777777" w:rsidR="00D7455F" w:rsidRDefault="00D7455F" w:rsidP="7821F417">
            <w:pPr>
              <w:ind w:right="-144"/>
              <w:rPr>
                <w:rFonts w:cs="Arial"/>
              </w:rPr>
            </w:pPr>
          </w:p>
        </w:tc>
        <w:tc>
          <w:tcPr>
            <w:tcW w:w="851" w:type="dxa"/>
          </w:tcPr>
          <w:p w14:paraId="3F1D10C7" w14:textId="77777777" w:rsidR="00D7455F" w:rsidRDefault="00D7455F" w:rsidP="7821F417">
            <w:pPr>
              <w:tabs>
                <w:tab w:val="decimal" w:pos="1424"/>
              </w:tabs>
              <w:ind w:right="-144"/>
              <w:rPr>
                <w:rFonts w:cs="Arial"/>
                <w:b/>
                <w:bCs/>
              </w:rPr>
            </w:pPr>
          </w:p>
        </w:tc>
        <w:tc>
          <w:tcPr>
            <w:tcW w:w="1559" w:type="dxa"/>
          </w:tcPr>
          <w:p w14:paraId="59196C2C" w14:textId="2A9CF8F9" w:rsidR="00D7455F" w:rsidRPr="0020070D" w:rsidRDefault="3F66A7B2" w:rsidP="06BCB59D">
            <w:pPr>
              <w:tabs>
                <w:tab w:val="decimal" w:pos="1424"/>
              </w:tabs>
              <w:ind w:right="-144"/>
              <w:rPr>
                <w:rFonts w:cs="Arial"/>
                <w:b/>
                <w:bCs/>
              </w:rPr>
            </w:pPr>
            <w:r w:rsidRPr="7821F417">
              <w:rPr>
                <w:rFonts w:cs="Arial"/>
                <w:b/>
                <w:bCs/>
              </w:rPr>
              <w:t>202</w:t>
            </w:r>
            <w:r w:rsidR="00170AAA">
              <w:rPr>
                <w:rFonts w:cs="Arial"/>
                <w:b/>
                <w:bCs/>
              </w:rPr>
              <w:t>5</w:t>
            </w:r>
          </w:p>
        </w:tc>
        <w:tc>
          <w:tcPr>
            <w:tcW w:w="1933" w:type="dxa"/>
          </w:tcPr>
          <w:p w14:paraId="3F57B192" w14:textId="33253FA4" w:rsidR="00D7455F" w:rsidRPr="0020070D" w:rsidRDefault="00170AAA" w:rsidP="7821F417">
            <w:pPr>
              <w:tabs>
                <w:tab w:val="decimal" w:pos="1221"/>
              </w:tabs>
              <w:ind w:right="311"/>
              <w:jc w:val="right"/>
              <w:rPr>
                <w:rFonts w:cs="Arial"/>
                <w:b/>
                <w:bCs/>
              </w:rPr>
            </w:pPr>
            <w:r w:rsidRPr="7821F417">
              <w:rPr>
                <w:rFonts w:cs="Arial"/>
                <w:b/>
                <w:bCs/>
              </w:rPr>
              <w:t>202</w:t>
            </w:r>
            <w:r>
              <w:rPr>
                <w:rFonts w:cs="Arial"/>
                <w:b/>
                <w:bCs/>
              </w:rPr>
              <w:t>4</w:t>
            </w:r>
          </w:p>
        </w:tc>
      </w:tr>
      <w:tr w:rsidR="00D7455F" w:rsidRPr="00891FAB" w14:paraId="4DFE9ED0" w14:textId="77777777" w:rsidTr="7821F417">
        <w:trPr>
          <w:trHeight w:val="204"/>
        </w:trPr>
        <w:tc>
          <w:tcPr>
            <w:tcW w:w="453" w:type="dxa"/>
          </w:tcPr>
          <w:p w14:paraId="7C590003" w14:textId="77777777" w:rsidR="00D7455F" w:rsidRPr="00670755" w:rsidRDefault="00D7455F" w:rsidP="7821F417">
            <w:pPr>
              <w:ind w:right="-144"/>
              <w:rPr>
                <w:rFonts w:cs="Arial"/>
              </w:rPr>
            </w:pPr>
          </w:p>
        </w:tc>
        <w:tc>
          <w:tcPr>
            <w:tcW w:w="4792" w:type="dxa"/>
          </w:tcPr>
          <w:p w14:paraId="7D626C8C" w14:textId="77777777" w:rsidR="00D7455F" w:rsidRDefault="00D7455F" w:rsidP="7821F417">
            <w:pPr>
              <w:ind w:right="-144"/>
              <w:rPr>
                <w:rFonts w:cs="Arial"/>
              </w:rPr>
            </w:pPr>
          </w:p>
        </w:tc>
        <w:tc>
          <w:tcPr>
            <w:tcW w:w="851" w:type="dxa"/>
          </w:tcPr>
          <w:p w14:paraId="43EB21A2" w14:textId="77777777" w:rsidR="00D7455F" w:rsidRDefault="00D7455F" w:rsidP="7821F417">
            <w:pPr>
              <w:tabs>
                <w:tab w:val="decimal" w:pos="1424"/>
              </w:tabs>
              <w:ind w:right="-144"/>
              <w:rPr>
                <w:rFonts w:cs="Arial"/>
                <w:b/>
                <w:bCs/>
              </w:rPr>
            </w:pPr>
          </w:p>
        </w:tc>
        <w:tc>
          <w:tcPr>
            <w:tcW w:w="1559" w:type="dxa"/>
          </w:tcPr>
          <w:p w14:paraId="2E76178C" w14:textId="77777777" w:rsidR="00D7455F" w:rsidRPr="0020070D" w:rsidRDefault="00D7455F" w:rsidP="7821F417">
            <w:pPr>
              <w:tabs>
                <w:tab w:val="decimal" w:pos="1424"/>
              </w:tabs>
              <w:ind w:right="-144"/>
              <w:rPr>
                <w:rFonts w:cs="Arial"/>
                <w:b/>
                <w:bCs/>
              </w:rPr>
            </w:pPr>
            <w:r w:rsidRPr="7821F417">
              <w:rPr>
                <w:rFonts w:cs="Arial"/>
                <w:b/>
                <w:bCs/>
              </w:rPr>
              <w:t>€’000</w:t>
            </w:r>
          </w:p>
        </w:tc>
        <w:tc>
          <w:tcPr>
            <w:tcW w:w="1933" w:type="dxa"/>
          </w:tcPr>
          <w:p w14:paraId="03722B95" w14:textId="77777777" w:rsidR="00D7455F" w:rsidRPr="0020070D" w:rsidRDefault="00D7455F" w:rsidP="7821F417">
            <w:pPr>
              <w:tabs>
                <w:tab w:val="decimal" w:pos="1079"/>
              </w:tabs>
              <w:ind w:right="311"/>
              <w:jc w:val="right"/>
              <w:rPr>
                <w:rFonts w:cs="Arial"/>
                <w:b/>
                <w:bCs/>
              </w:rPr>
            </w:pPr>
            <w:r w:rsidRPr="7821F417">
              <w:rPr>
                <w:rFonts w:cs="Arial"/>
                <w:b/>
                <w:bCs/>
              </w:rPr>
              <w:t>€’000</w:t>
            </w:r>
          </w:p>
        </w:tc>
      </w:tr>
      <w:tr w:rsidR="00D7455F" w:rsidRPr="00891FAB" w14:paraId="43282D52" w14:textId="77777777" w:rsidTr="7821F417">
        <w:trPr>
          <w:trHeight w:val="204"/>
        </w:trPr>
        <w:tc>
          <w:tcPr>
            <w:tcW w:w="453" w:type="dxa"/>
          </w:tcPr>
          <w:p w14:paraId="3C1F676E" w14:textId="77777777" w:rsidR="00D7455F" w:rsidRPr="00670755" w:rsidRDefault="00D7455F" w:rsidP="7821F417">
            <w:pPr>
              <w:ind w:right="-144"/>
              <w:rPr>
                <w:rFonts w:cs="Arial"/>
              </w:rPr>
            </w:pPr>
          </w:p>
        </w:tc>
        <w:tc>
          <w:tcPr>
            <w:tcW w:w="4792" w:type="dxa"/>
          </w:tcPr>
          <w:p w14:paraId="1BCFC6F2" w14:textId="6353AFCE" w:rsidR="00D7455F" w:rsidRPr="005A5264" w:rsidRDefault="00D7455F" w:rsidP="7821F417">
            <w:pPr>
              <w:ind w:right="-144"/>
              <w:rPr>
                <w:rFonts w:cs="Arial"/>
                <w:i/>
                <w:iCs/>
              </w:rPr>
            </w:pPr>
            <w:r w:rsidRPr="7821F417">
              <w:rPr>
                <w:rFonts w:cs="Arial"/>
                <w:i/>
                <w:iCs/>
              </w:rPr>
              <w:t>Operating</w:t>
            </w:r>
            <w:r w:rsidR="24EFE013" w:rsidRPr="7821F417">
              <w:rPr>
                <w:rFonts w:cs="Arial"/>
                <w:i/>
                <w:iCs/>
              </w:rPr>
              <w:t xml:space="preserve"> profit</w:t>
            </w:r>
            <w:r w:rsidR="005F4082">
              <w:rPr>
                <w:rFonts w:cs="Arial"/>
                <w:i/>
                <w:iCs/>
              </w:rPr>
              <w:t xml:space="preserve"> </w:t>
            </w:r>
            <w:r w:rsidR="006B740D">
              <w:rPr>
                <w:rFonts w:cs="Arial"/>
                <w:i/>
                <w:iCs/>
              </w:rPr>
              <w:t>/</w:t>
            </w:r>
            <w:r w:rsidR="005F4082">
              <w:rPr>
                <w:rFonts w:cs="Arial"/>
                <w:i/>
                <w:iCs/>
              </w:rPr>
              <w:t xml:space="preserve"> </w:t>
            </w:r>
            <w:r w:rsidR="006B740D">
              <w:rPr>
                <w:rFonts w:cs="Arial"/>
                <w:i/>
                <w:iCs/>
              </w:rPr>
              <w:t>(loss)</w:t>
            </w:r>
          </w:p>
        </w:tc>
        <w:tc>
          <w:tcPr>
            <w:tcW w:w="851" w:type="dxa"/>
          </w:tcPr>
          <w:p w14:paraId="0D0FFF8B" w14:textId="77777777" w:rsidR="00D7455F" w:rsidRDefault="00D7455F" w:rsidP="7821F417">
            <w:pPr>
              <w:tabs>
                <w:tab w:val="decimal" w:pos="1424"/>
              </w:tabs>
              <w:ind w:right="-144"/>
              <w:rPr>
                <w:rFonts w:cs="Arial"/>
                <w:b/>
                <w:bCs/>
              </w:rPr>
            </w:pPr>
          </w:p>
        </w:tc>
        <w:tc>
          <w:tcPr>
            <w:tcW w:w="1559" w:type="dxa"/>
          </w:tcPr>
          <w:p w14:paraId="39CB31DE" w14:textId="77777777" w:rsidR="00D7455F" w:rsidRPr="0020070D" w:rsidRDefault="00D7455F" w:rsidP="7821F417">
            <w:pPr>
              <w:tabs>
                <w:tab w:val="decimal" w:pos="1424"/>
              </w:tabs>
              <w:ind w:right="-144"/>
              <w:rPr>
                <w:rFonts w:cs="Arial"/>
                <w:u w:val="double"/>
              </w:rPr>
            </w:pPr>
            <w:r w:rsidRPr="7821F417">
              <w:rPr>
                <w:rFonts w:cs="Arial"/>
                <w:u w:val="double"/>
              </w:rPr>
              <w:t xml:space="preserve">         </w:t>
            </w:r>
          </w:p>
        </w:tc>
        <w:tc>
          <w:tcPr>
            <w:tcW w:w="1933" w:type="dxa"/>
          </w:tcPr>
          <w:p w14:paraId="4344D83B" w14:textId="77777777" w:rsidR="00D7455F" w:rsidRPr="0020070D" w:rsidRDefault="00D7455F" w:rsidP="7821F417">
            <w:pPr>
              <w:tabs>
                <w:tab w:val="decimal" w:pos="1424"/>
              </w:tabs>
              <w:ind w:right="-144"/>
              <w:rPr>
                <w:rFonts w:cs="Arial"/>
                <w:u w:val="double"/>
              </w:rPr>
            </w:pPr>
            <w:r w:rsidRPr="7821F417">
              <w:rPr>
                <w:rFonts w:cs="Arial"/>
                <w:u w:val="double"/>
              </w:rPr>
              <w:t xml:space="preserve">         </w:t>
            </w:r>
          </w:p>
        </w:tc>
      </w:tr>
      <w:tr w:rsidR="00F72DC7" w:rsidRPr="00891FAB" w14:paraId="0F52C8A1" w14:textId="77777777" w:rsidTr="7821F417">
        <w:trPr>
          <w:trHeight w:val="204"/>
        </w:trPr>
        <w:tc>
          <w:tcPr>
            <w:tcW w:w="453" w:type="dxa"/>
          </w:tcPr>
          <w:p w14:paraId="775F6D1D" w14:textId="77777777" w:rsidR="00F72DC7" w:rsidRPr="00670755" w:rsidRDefault="00F72DC7" w:rsidP="00F72DC7">
            <w:pPr>
              <w:ind w:right="-144"/>
              <w:rPr>
                <w:rFonts w:cs="Arial"/>
              </w:rPr>
            </w:pPr>
          </w:p>
        </w:tc>
        <w:tc>
          <w:tcPr>
            <w:tcW w:w="4792" w:type="dxa"/>
          </w:tcPr>
          <w:p w14:paraId="22E9F8EF" w14:textId="315BB027" w:rsidR="00F72DC7" w:rsidRPr="0020070D" w:rsidRDefault="00170AAA" w:rsidP="00F72DC7">
            <w:pPr>
              <w:ind w:right="-144"/>
              <w:rPr>
                <w:rFonts w:cs="Arial"/>
              </w:rPr>
            </w:pPr>
            <w:r>
              <w:rPr>
                <w:rFonts w:cs="Arial"/>
              </w:rPr>
              <w:t>Homebuilding</w:t>
            </w:r>
          </w:p>
        </w:tc>
        <w:tc>
          <w:tcPr>
            <w:tcW w:w="851" w:type="dxa"/>
          </w:tcPr>
          <w:p w14:paraId="04FFA4FF" w14:textId="77777777" w:rsidR="00F72DC7" w:rsidRDefault="00F72DC7" w:rsidP="00F72DC7">
            <w:pPr>
              <w:tabs>
                <w:tab w:val="decimal" w:pos="1424"/>
              </w:tabs>
              <w:ind w:right="-144"/>
              <w:rPr>
                <w:rFonts w:cs="Arial"/>
                <w:b/>
                <w:bCs/>
              </w:rPr>
            </w:pPr>
          </w:p>
        </w:tc>
        <w:tc>
          <w:tcPr>
            <w:tcW w:w="1559" w:type="dxa"/>
          </w:tcPr>
          <w:p w14:paraId="5E6978A4" w14:textId="00B2EA06" w:rsidR="00F72DC7" w:rsidRPr="00D7455F" w:rsidRDefault="007F0902" w:rsidP="00F72DC7">
            <w:pPr>
              <w:tabs>
                <w:tab w:val="decimal" w:pos="1424"/>
              </w:tabs>
              <w:ind w:right="-144"/>
              <w:rPr>
                <w:rFonts w:cs="Arial"/>
                <w:b/>
                <w:bCs/>
              </w:rPr>
            </w:pPr>
            <w:r>
              <w:rPr>
                <w:rFonts w:cs="Arial"/>
                <w:b/>
                <w:bCs/>
              </w:rPr>
              <w:t>41,763</w:t>
            </w:r>
          </w:p>
        </w:tc>
        <w:tc>
          <w:tcPr>
            <w:tcW w:w="1933" w:type="dxa"/>
          </w:tcPr>
          <w:p w14:paraId="0F4619A7" w14:textId="35046D76" w:rsidR="00F72DC7" w:rsidRPr="00F72DC7" w:rsidRDefault="00177A5C" w:rsidP="00F72DC7">
            <w:pPr>
              <w:tabs>
                <w:tab w:val="decimal" w:pos="1424"/>
              </w:tabs>
              <w:ind w:right="-144"/>
              <w:rPr>
                <w:rFonts w:cs="Arial"/>
              </w:rPr>
            </w:pPr>
            <w:r>
              <w:rPr>
                <w:rFonts w:cs="Arial"/>
              </w:rPr>
              <w:t>1</w:t>
            </w:r>
            <w:r w:rsidR="00350FCB">
              <w:rPr>
                <w:rFonts w:cs="Arial"/>
              </w:rPr>
              <w:t>2,773</w:t>
            </w:r>
          </w:p>
        </w:tc>
      </w:tr>
      <w:tr w:rsidR="00F72DC7" w:rsidRPr="00891FAB" w14:paraId="333DFEC4" w14:textId="77777777" w:rsidTr="7821F417">
        <w:trPr>
          <w:trHeight w:val="204"/>
        </w:trPr>
        <w:tc>
          <w:tcPr>
            <w:tcW w:w="453" w:type="dxa"/>
          </w:tcPr>
          <w:p w14:paraId="696B43D7" w14:textId="77777777" w:rsidR="00F72DC7" w:rsidRPr="00670755" w:rsidRDefault="00F72DC7" w:rsidP="00F72DC7">
            <w:pPr>
              <w:ind w:right="-144"/>
              <w:rPr>
                <w:rFonts w:cs="Arial"/>
              </w:rPr>
            </w:pPr>
          </w:p>
        </w:tc>
        <w:tc>
          <w:tcPr>
            <w:tcW w:w="4792" w:type="dxa"/>
          </w:tcPr>
          <w:p w14:paraId="53168E68" w14:textId="44460C6D" w:rsidR="00F72DC7" w:rsidDel="001E5416" w:rsidRDefault="00F72DC7" w:rsidP="00F72DC7">
            <w:pPr>
              <w:ind w:right="-144"/>
              <w:rPr>
                <w:rFonts w:cs="Arial"/>
              </w:rPr>
            </w:pPr>
            <w:r w:rsidRPr="7821F417">
              <w:rPr>
                <w:rFonts w:cs="Arial"/>
              </w:rPr>
              <w:t>Partnerships</w:t>
            </w:r>
          </w:p>
        </w:tc>
        <w:tc>
          <w:tcPr>
            <w:tcW w:w="851" w:type="dxa"/>
          </w:tcPr>
          <w:p w14:paraId="23621CED" w14:textId="77777777" w:rsidR="00F72DC7" w:rsidRDefault="00F72DC7" w:rsidP="00F72DC7">
            <w:pPr>
              <w:tabs>
                <w:tab w:val="decimal" w:pos="1424"/>
              </w:tabs>
              <w:ind w:right="-144"/>
              <w:rPr>
                <w:rFonts w:cs="Arial"/>
                <w:b/>
                <w:bCs/>
              </w:rPr>
            </w:pPr>
          </w:p>
        </w:tc>
        <w:tc>
          <w:tcPr>
            <w:tcW w:w="1559" w:type="dxa"/>
          </w:tcPr>
          <w:p w14:paraId="05FC6E38" w14:textId="2CB54756" w:rsidR="00F72DC7" w:rsidDel="00FD5E3E" w:rsidRDefault="007F0902" w:rsidP="00F72DC7">
            <w:pPr>
              <w:tabs>
                <w:tab w:val="decimal" w:pos="1424"/>
              </w:tabs>
              <w:ind w:right="-144"/>
              <w:rPr>
                <w:rFonts w:cs="Arial"/>
                <w:b/>
                <w:bCs/>
              </w:rPr>
            </w:pPr>
            <w:r>
              <w:rPr>
                <w:rFonts w:cs="Arial"/>
                <w:b/>
                <w:bCs/>
              </w:rPr>
              <w:t>16,109</w:t>
            </w:r>
          </w:p>
        </w:tc>
        <w:tc>
          <w:tcPr>
            <w:tcW w:w="1933" w:type="dxa"/>
          </w:tcPr>
          <w:p w14:paraId="401CFDB6" w14:textId="4A63BFF2" w:rsidR="00F72DC7" w:rsidRPr="00F72DC7" w:rsidRDefault="00177A5C" w:rsidP="00F72DC7">
            <w:pPr>
              <w:tabs>
                <w:tab w:val="decimal" w:pos="1424"/>
              </w:tabs>
              <w:ind w:right="-144"/>
              <w:rPr>
                <w:rFonts w:cs="Arial"/>
              </w:rPr>
            </w:pPr>
            <w:r>
              <w:rPr>
                <w:rFonts w:cs="Arial"/>
              </w:rPr>
              <w:t>5,</w:t>
            </w:r>
            <w:r w:rsidR="005D242D">
              <w:rPr>
                <w:rFonts w:cs="Arial"/>
              </w:rPr>
              <w:t>870</w:t>
            </w:r>
          </w:p>
        </w:tc>
      </w:tr>
      <w:tr w:rsidR="00F72DC7" w:rsidRPr="00891FAB" w14:paraId="3CECB18A" w14:textId="77777777" w:rsidTr="7821F417">
        <w:trPr>
          <w:trHeight w:val="204"/>
        </w:trPr>
        <w:tc>
          <w:tcPr>
            <w:tcW w:w="453" w:type="dxa"/>
          </w:tcPr>
          <w:p w14:paraId="341580DF" w14:textId="77777777" w:rsidR="00F72DC7" w:rsidRPr="00670755" w:rsidRDefault="00F72DC7" w:rsidP="00F72DC7">
            <w:pPr>
              <w:ind w:right="-144"/>
              <w:rPr>
                <w:rFonts w:cs="Arial"/>
              </w:rPr>
            </w:pPr>
          </w:p>
        </w:tc>
        <w:tc>
          <w:tcPr>
            <w:tcW w:w="4792" w:type="dxa"/>
          </w:tcPr>
          <w:p w14:paraId="37FDB019" w14:textId="77777777" w:rsidR="00F72DC7" w:rsidRPr="0020070D" w:rsidRDefault="00F72DC7" w:rsidP="00F72DC7">
            <w:pPr>
              <w:ind w:right="-144"/>
              <w:rPr>
                <w:rFonts w:cs="Arial"/>
              </w:rPr>
            </w:pPr>
          </w:p>
        </w:tc>
        <w:tc>
          <w:tcPr>
            <w:tcW w:w="851" w:type="dxa"/>
          </w:tcPr>
          <w:p w14:paraId="1A5974B1" w14:textId="77777777" w:rsidR="00F72DC7" w:rsidRDefault="00F72DC7" w:rsidP="00F72DC7">
            <w:pPr>
              <w:tabs>
                <w:tab w:val="decimal" w:pos="1424"/>
              </w:tabs>
              <w:ind w:right="-144"/>
              <w:rPr>
                <w:rFonts w:cs="Arial"/>
                <w:b/>
                <w:bCs/>
              </w:rPr>
            </w:pPr>
          </w:p>
        </w:tc>
        <w:tc>
          <w:tcPr>
            <w:tcW w:w="1559" w:type="dxa"/>
          </w:tcPr>
          <w:p w14:paraId="74DE7A52" w14:textId="77777777" w:rsidR="00F72DC7" w:rsidRPr="00D7455F" w:rsidRDefault="00F72DC7" w:rsidP="00F72DC7">
            <w:pPr>
              <w:tabs>
                <w:tab w:val="decimal" w:pos="1424"/>
              </w:tabs>
              <w:ind w:right="-144"/>
              <w:rPr>
                <w:rFonts w:cs="Arial"/>
                <w:b/>
                <w:bCs/>
                <w:u w:val="single"/>
              </w:rPr>
            </w:pPr>
            <w:r w:rsidRPr="7821F417">
              <w:rPr>
                <w:rFonts w:cs="Arial"/>
                <w:b/>
                <w:bCs/>
                <w:u w:val="single"/>
              </w:rPr>
              <w:t>                  </w:t>
            </w:r>
          </w:p>
        </w:tc>
        <w:tc>
          <w:tcPr>
            <w:tcW w:w="1933" w:type="dxa"/>
          </w:tcPr>
          <w:p w14:paraId="16079BB2" w14:textId="0F9C4F78" w:rsidR="00F72DC7" w:rsidRPr="00F72DC7" w:rsidRDefault="00F72DC7" w:rsidP="00F72DC7">
            <w:pPr>
              <w:tabs>
                <w:tab w:val="decimal" w:pos="1424"/>
              </w:tabs>
              <w:ind w:right="-144"/>
              <w:rPr>
                <w:rFonts w:cs="Arial"/>
                <w:u w:val="single"/>
              </w:rPr>
            </w:pPr>
            <w:r w:rsidRPr="00F72DC7">
              <w:rPr>
                <w:rFonts w:cs="Arial"/>
                <w:u w:val="single"/>
              </w:rPr>
              <w:t>                  </w:t>
            </w:r>
          </w:p>
        </w:tc>
      </w:tr>
      <w:tr w:rsidR="00F72DC7" w:rsidRPr="00891FAB" w14:paraId="1DBF3591" w14:textId="77777777" w:rsidTr="7821F417">
        <w:trPr>
          <w:trHeight w:val="204"/>
        </w:trPr>
        <w:tc>
          <w:tcPr>
            <w:tcW w:w="453" w:type="dxa"/>
          </w:tcPr>
          <w:p w14:paraId="60CB67D7" w14:textId="77777777" w:rsidR="00F72DC7" w:rsidRPr="00670755" w:rsidRDefault="00F72DC7" w:rsidP="00F72DC7">
            <w:pPr>
              <w:ind w:right="-144"/>
              <w:rPr>
                <w:rFonts w:cs="Arial"/>
              </w:rPr>
            </w:pPr>
          </w:p>
        </w:tc>
        <w:tc>
          <w:tcPr>
            <w:tcW w:w="4792" w:type="dxa"/>
          </w:tcPr>
          <w:p w14:paraId="765B8F4D" w14:textId="77777777" w:rsidR="00F72DC7" w:rsidRDefault="00F72DC7" w:rsidP="00F72DC7">
            <w:pPr>
              <w:ind w:right="-144"/>
              <w:rPr>
                <w:rFonts w:cs="Arial"/>
              </w:rPr>
            </w:pPr>
          </w:p>
        </w:tc>
        <w:tc>
          <w:tcPr>
            <w:tcW w:w="851" w:type="dxa"/>
          </w:tcPr>
          <w:p w14:paraId="319561E7" w14:textId="77777777" w:rsidR="00F72DC7" w:rsidRDefault="00F72DC7" w:rsidP="00F72DC7">
            <w:pPr>
              <w:tabs>
                <w:tab w:val="decimal" w:pos="1424"/>
              </w:tabs>
              <w:ind w:right="-144"/>
              <w:rPr>
                <w:rFonts w:cs="Arial"/>
                <w:b/>
                <w:bCs/>
              </w:rPr>
            </w:pPr>
          </w:p>
        </w:tc>
        <w:tc>
          <w:tcPr>
            <w:tcW w:w="1559" w:type="dxa"/>
          </w:tcPr>
          <w:p w14:paraId="4AD9A82B" w14:textId="77777777" w:rsidR="00F72DC7" w:rsidRPr="00D7455F" w:rsidRDefault="00F72DC7" w:rsidP="00F72DC7">
            <w:pPr>
              <w:tabs>
                <w:tab w:val="decimal" w:pos="1424"/>
              </w:tabs>
              <w:ind w:right="-144"/>
              <w:rPr>
                <w:rFonts w:cs="Arial"/>
                <w:b/>
                <w:bCs/>
              </w:rPr>
            </w:pPr>
          </w:p>
        </w:tc>
        <w:tc>
          <w:tcPr>
            <w:tcW w:w="1933" w:type="dxa"/>
          </w:tcPr>
          <w:p w14:paraId="1B155DE1" w14:textId="77777777" w:rsidR="00F72DC7" w:rsidRPr="00F72DC7" w:rsidRDefault="00F72DC7" w:rsidP="00F72DC7">
            <w:pPr>
              <w:tabs>
                <w:tab w:val="decimal" w:pos="1424"/>
              </w:tabs>
              <w:ind w:right="-144"/>
              <w:rPr>
                <w:rFonts w:cs="Arial"/>
              </w:rPr>
            </w:pPr>
          </w:p>
        </w:tc>
      </w:tr>
      <w:tr w:rsidR="00F72DC7" w:rsidRPr="00891FAB" w14:paraId="3DCC0399" w14:textId="77777777" w:rsidTr="7821F417">
        <w:trPr>
          <w:trHeight w:val="204"/>
        </w:trPr>
        <w:tc>
          <w:tcPr>
            <w:tcW w:w="453" w:type="dxa"/>
          </w:tcPr>
          <w:p w14:paraId="5F63C59C" w14:textId="77777777" w:rsidR="00F72DC7" w:rsidRPr="00670755" w:rsidRDefault="00F72DC7" w:rsidP="00F72DC7">
            <w:pPr>
              <w:ind w:right="-144"/>
              <w:rPr>
                <w:rFonts w:cs="Arial"/>
              </w:rPr>
            </w:pPr>
          </w:p>
        </w:tc>
        <w:tc>
          <w:tcPr>
            <w:tcW w:w="4792" w:type="dxa"/>
          </w:tcPr>
          <w:p w14:paraId="11A0E0A5" w14:textId="3C3C25B7" w:rsidR="00F72DC7" w:rsidRPr="0020070D" w:rsidRDefault="00F72DC7" w:rsidP="00F72DC7">
            <w:pPr>
              <w:ind w:right="-144"/>
              <w:rPr>
                <w:rFonts w:cs="Arial"/>
              </w:rPr>
            </w:pPr>
            <w:r w:rsidRPr="7821F417">
              <w:rPr>
                <w:rFonts w:cs="Arial"/>
              </w:rPr>
              <w:t>Operating profit for reportable segments</w:t>
            </w:r>
          </w:p>
        </w:tc>
        <w:tc>
          <w:tcPr>
            <w:tcW w:w="851" w:type="dxa"/>
          </w:tcPr>
          <w:p w14:paraId="63D6CDCA" w14:textId="77777777" w:rsidR="00F72DC7" w:rsidRDefault="00F72DC7" w:rsidP="00F72DC7">
            <w:pPr>
              <w:tabs>
                <w:tab w:val="decimal" w:pos="1424"/>
              </w:tabs>
              <w:ind w:right="-144"/>
              <w:rPr>
                <w:rFonts w:cs="Arial"/>
                <w:b/>
                <w:bCs/>
              </w:rPr>
            </w:pPr>
          </w:p>
        </w:tc>
        <w:tc>
          <w:tcPr>
            <w:tcW w:w="1559" w:type="dxa"/>
          </w:tcPr>
          <w:p w14:paraId="5058E657" w14:textId="2208BA27" w:rsidR="00F72DC7" w:rsidRPr="00D7455F" w:rsidRDefault="007F0902" w:rsidP="00F72DC7">
            <w:pPr>
              <w:tabs>
                <w:tab w:val="decimal" w:pos="1424"/>
              </w:tabs>
              <w:ind w:right="-144"/>
              <w:rPr>
                <w:rFonts w:cs="Arial"/>
                <w:b/>
                <w:bCs/>
              </w:rPr>
            </w:pPr>
            <w:r>
              <w:rPr>
                <w:rFonts w:cs="Arial"/>
                <w:b/>
                <w:bCs/>
              </w:rPr>
              <w:t>57,872</w:t>
            </w:r>
          </w:p>
        </w:tc>
        <w:tc>
          <w:tcPr>
            <w:tcW w:w="1933" w:type="dxa"/>
          </w:tcPr>
          <w:p w14:paraId="1B5C44E7" w14:textId="7A8228A6" w:rsidR="00F72DC7" w:rsidRPr="00170AAA" w:rsidRDefault="00170AAA" w:rsidP="00F72DC7">
            <w:pPr>
              <w:tabs>
                <w:tab w:val="decimal" w:pos="1424"/>
              </w:tabs>
              <w:ind w:right="-144"/>
              <w:rPr>
                <w:rFonts w:eastAsia="Calibri" w:cs="Arial"/>
                <w:szCs w:val="20"/>
              </w:rPr>
            </w:pPr>
            <w:r w:rsidRPr="00170AAA">
              <w:rPr>
                <w:rFonts w:cs="Arial"/>
              </w:rPr>
              <w:t>18,643</w:t>
            </w:r>
          </w:p>
        </w:tc>
      </w:tr>
      <w:tr w:rsidR="00D342AC" w:rsidRPr="00891FAB" w14:paraId="38A89B67" w14:textId="77777777" w:rsidTr="7821F417">
        <w:trPr>
          <w:trHeight w:val="204"/>
        </w:trPr>
        <w:tc>
          <w:tcPr>
            <w:tcW w:w="453" w:type="dxa"/>
          </w:tcPr>
          <w:p w14:paraId="56B2C877" w14:textId="77777777" w:rsidR="00D342AC" w:rsidRPr="00670755" w:rsidRDefault="00D342AC" w:rsidP="00D342AC">
            <w:pPr>
              <w:ind w:right="-144"/>
              <w:rPr>
                <w:rFonts w:cs="Arial"/>
              </w:rPr>
            </w:pPr>
          </w:p>
        </w:tc>
        <w:tc>
          <w:tcPr>
            <w:tcW w:w="4792" w:type="dxa"/>
          </w:tcPr>
          <w:p w14:paraId="23C16CCD" w14:textId="77777777" w:rsidR="00D342AC" w:rsidRPr="0020070D" w:rsidRDefault="00D342AC" w:rsidP="00D342AC">
            <w:pPr>
              <w:ind w:right="-144"/>
              <w:rPr>
                <w:rFonts w:cs="Arial"/>
              </w:rPr>
            </w:pPr>
          </w:p>
        </w:tc>
        <w:tc>
          <w:tcPr>
            <w:tcW w:w="851" w:type="dxa"/>
          </w:tcPr>
          <w:p w14:paraId="4E77B9B5" w14:textId="77777777" w:rsidR="00D342AC" w:rsidRDefault="00D342AC" w:rsidP="00D342AC">
            <w:pPr>
              <w:tabs>
                <w:tab w:val="decimal" w:pos="1424"/>
              </w:tabs>
              <w:ind w:right="-144"/>
              <w:rPr>
                <w:rFonts w:cs="Arial"/>
                <w:b/>
                <w:bCs/>
              </w:rPr>
            </w:pPr>
          </w:p>
        </w:tc>
        <w:tc>
          <w:tcPr>
            <w:tcW w:w="1559" w:type="dxa"/>
          </w:tcPr>
          <w:p w14:paraId="621C284C" w14:textId="77777777" w:rsidR="00D342AC" w:rsidRPr="00D7455F" w:rsidRDefault="00D342AC" w:rsidP="00D342AC">
            <w:pPr>
              <w:tabs>
                <w:tab w:val="decimal" w:pos="1424"/>
              </w:tabs>
              <w:ind w:right="-144"/>
              <w:rPr>
                <w:rFonts w:cs="Arial"/>
                <w:b/>
                <w:bCs/>
                <w:u w:val="double"/>
              </w:rPr>
            </w:pPr>
            <w:r w:rsidRPr="7821F417">
              <w:rPr>
                <w:rFonts w:cs="Arial"/>
                <w:b/>
                <w:bCs/>
                <w:u w:val="double"/>
              </w:rPr>
              <w:t>                  </w:t>
            </w:r>
          </w:p>
        </w:tc>
        <w:tc>
          <w:tcPr>
            <w:tcW w:w="1933" w:type="dxa"/>
          </w:tcPr>
          <w:p w14:paraId="6D42D9C0" w14:textId="18FAAFAC" w:rsidR="00D342AC" w:rsidRPr="00D342AC" w:rsidRDefault="00D342AC" w:rsidP="00D342AC">
            <w:pPr>
              <w:tabs>
                <w:tab w:val="decimal" w:pos="1424"/>
              </w:tabs>
              <w:ind w:right="-144"/>
              <w:rPr>
                <w:rFonts w:cs="Arial"/>
                <w:u w:val="double"/>
              </w:rPr>
            </w:pPr>
            <w:r w:rsidRPr="00D342AC">
              <w:rPr>
                <w:rFonts w:cs="Arial"/>
                <w:u w:val="double"/>
              </w:rPr>
              <w:t>                  </w:t>
            </w:r>
          </w:p>
        </w:tc>
      </w:tr>
      <w:tr w:rsidR="00D342AC" w:rsidRPr="00891FAB" w14:paraId="4DD72DE8" w14:textId="77777777" w:rsidTr="7821F417">
        <w:trPr>
          <w:trHeight w:val="204"/>
        </w:trPr>
        <w:tc>
          <w:tcPr>
            <w:tcW w:w="453" w:type="dxa"/>
          </w:tcPr>
          <w:p w14:paraId="375E939D" w14:textId="77777777" w:rsidR="00D342AC" w:rsidRPr="00670755" w:rsidRDefault="00D342AC" w:rsidP="00D342AC">
            <w:pPr>
              <w:ind w:right="-144"/>
              <w:rPr>
                <w:rFonts w:cs="Arial"/>
              </w:rPr>
            </w:pPr>
          </w:p>
        </w:tc>
        <w:tc>
          <w:tcPr>
            <w:tcW w:w="4792" w:type="dxa"/>
          </w:tcPr>
          <w:p w14:paraId="4251B5AB" w14:textId="77777777" w:rsidR="00D342AC" w:rsidRDefault="00D342AC" w:rsidP="00D342AC">
            <w:pPr>
              <w:ind w:right="-144"/>
              <w:rPr>
                <w:rFonts w:cs="Arial"/>
              </w:rPr>
            </w:pPr>
          </w:p>
        </w:tc>
        <w:tc>
          <w:tcPr>
            <w:tcW w:w="851" w:type="dxa"/>
          </w:tcPr>
          <w:p w14:paraId="53B32D79" w14:textId="77777777" w:rsidR="00D342AC" w:rsidRDefault="00D342AC" w:rsidP="00D342AC">
            <w:pPr>
              <w:tabs>
                <w:tab w:val="decimal" w:pos="1424"/>
              </w:tabs>
              <w:ind w:right="-144"/>
              <w:rPr>
                <w:rFonts w:cs="Arial"/>
                <w:b/>
                <w:bCs/>
              </w:rPr>
            </w:pPr>
          </w:p>
        </w:tc>
        <w:tc>
          <w:tcPr>
            <w:tcW w:w="1559" w:type="dxa"/>
          </w:tcPr>
          <w:p w14:paraId="1BE45852" w14:textId="77777777" w:rsidR="00D342AC" w:rsidRPr="00D7455F" w:rsidRDefault="00D342AC" w:rsidP="00D342AC">
            <w:pPr>
              <w:tabs>
                <w:tab w:val="decimal" w:pos="1424"/>
              </w:tabs>
              <w:ind w:right="-144"/>
              <w:rPr>
                <w:rFonts w:cs="Arial"/>
                <w:b/>
                <w:bCs/>
                <w:u w:val="double"/>
              </w:rPr>
            </w:pPr>
          </w:p>
        </w:tc>
        <w:tc>
          <w:tcPr>
            <w:tcW w:w="1933" w:type="dxa"/>
          </w:tcPr>
          <w:p w14:paraId="221D01B4" w14:textId="77777777" w:rsidR="00D342AC" w:rsidRPr="00D342AC" w:rsidRDefault="00D342AC" w:rsidP="00D342AC">
            <w:pPr>
              <w:tabs>
                <w:tab w:val="decimal" w:pos="1424"/>
              </w:tabs>
              <w:ind w:right="-144"/>
              <w:rPr>
                <w:rFonts w:cs="Arial"/>
                <w:u w:val="double"/>
              </w:rPr>
            </w:pPr>
          </w:p>
        </w:tc>
      </w:tr>
      <w:tr w:rsidR="00D342AC" w:rsidRPr="00891FAB" w14:paraId="482A6938" w14:textId="77777777" w:rsidTr="7821F417">
        <w:trPr>
          <w:trHeight w:val="204"/>
        </w:trPr>
        <w:tc>
          <w:tcPr>
            <w:tcW w:w="453" w:type="dxa"/>
          </w:tcPr>
          <w:p w14:paraId="5308FD1D" w14:textId="77777777" w:rsidR="00D342AC" w:rsidRPr="00670755" w:rsidRDefault="00D342AC" w:rsidP="00D342AC">
            <w:pPr>
              <w:ind w:right="-144"/>
              <w:rPr>
                <w:rFonts w:cs="Arial"/>
              </w:rPr>
            </w:pPr>
          </w:p>
        </w:tc>
        <w:tc>
          <w:tcPr>
            <w:tcW w:w="4792" w:type="dxa"/>
          </w:tcPr>
          <w:p w14:paraId="1AE32797" w14:textId="2B40E3E2" w:rsidR="00D342AC" w:rsidRPr="005A5264" w:rsidRDefault="00D342AC" w:rsidP="00D342AC">
            <w:pPr>
              <w:ind w:right="-144"/>
              <w:rPr>
                <w:rFonts w:cs="Arial"/>
                <w:i/>
                <w:iCs/>
              </w:rPr>
            </w:pPr>
            <w:r w:rsidRPr="7821F417">
              <w:rPr>
                <w:rFonts w:cs="Arial"/>
                <w:i/>
                <w:iCs/>
              </w:rPr>
              <w:t>Reconciliation to results for the period</w:t>
            </w:r>
          </w:p>
        </w:tc>
        <w:tc>
          <w:tcPr>
            <w:tcW w:w="851" w:type="dxa"/>
          </w:tcPr>
          <w:p w14:paraId="17728E78" w14:textId="77777777" w:rsidR="00D342AC" w:rsidRDefault="00D342AC" w:rsidP="00D342AC">
            <w:pPr>
              <w:tabs>
                <w:tab w:val="decimal" w:pos="1424"/>
              </w:tabs>
              <w:ind w:right="-144"/>
              <w:rPr>
                <w:rFonts w:cs="Arial"/>
                <w:b/>
                <w:bCs/>
              </w:rPr>
            </w:pPr>
          </w:p>
        </w:tc>
        <w:tc>
          <w:tcPr>
            <w:tcW w:w="1559" w:type="dxa"/>
          </w:tcPr>
          <w:p w14:paraId="20D0576E" w14:textId="77777777" w:rsidR="00D342AC" w:rsidRPr="00D7455F" w:rsidRDefault="00D342AC" w:rsidP="00D342AC">
            <w:pPr>
              <w:tabs>
                <w:tab w:val="decimal" w:pos="1424"/>
              </w:tabs>
              <w:ind w:right="-144"/>
              <w:rPr>
                <w:rFonts w:cs="Arial"/>
                <w:b/>
                <w:bCs/>
                <w:u w:val="single"/>
              </w:rPr>
            </w:pPr>
          </w:p>
        </w:tc>
        <w:tc>
          <w:tcPr>
            <w:tcW w:w="1933" w:type="dxa"/>
          </w:tcPr>
          <w:p w14:paraId="73B6D586" w14:textId="77777777" w:rsidR="00D342AC" w:rsidRPr="00D342AC" w:rsidRDefault="00D342AC" w:rsidP="00D342AC">
            <w:pPr>
              <w:tabs>
                <w:tab w:val="decimal" w:pos="1424"/>
              </w:tabs>
              <w:ind w:right="-144"/>
              <w:rPr>
                <w:rFonts w:cs="Arial"/>
                <w:u w:val="single"/>
              </w:rPr>
            </w:pPr>
          </w:p>
        </w:tc>
      </w:tr>
      <w:tr w:rsidR="001811A2" w:rsidRPr="00891FAB" w14:paraId="5E43D706" w14:textId="77777777" w:rsidTr="7821F417">
        <w:trPr>
          <w:trHeight w:val="204"/>
        </w:trPr>
        <w:tc>
          <w:tcPr>
            <w:tcW w:w="453" w:type="dxa"/>
          </w:tcPr>
          <w:p w14:paraId="1E1366C8" w14:textId="77777777" w:rsidR="001811A2" w:rsidRPr="00670755" w:rsidRDefault="001811A2" w:rsidP="001811A2">
            <w:pPr>
              <w:ind w:right="-144"/>
              <w:rPr>
                <w:rFonts w:cs="Arial"/>
              </w:rPr>
            </w:pPr>
          </w:p>
        </w:tc>
        <w:tc>
          <w:tcPr>
            <w:tcW w:w="4792" w:type="dxa"/>
          </w:tcPr>
          <w:p w14:paraId="695ACD89" w14:textId="0AB10B0F" w:rsidR="001811A2" w:rsidRDefault="001811A2" w:rsidP="001811A2">
            <w:pPr>
              <w:ind w:right="-144"/>
              <w:rPr>
                <w:rFonts w:cs="Arial"/>
              </w:rPr>
            </w:pPr>
            <w:r w:rsidRPr="7821F417">
              <w:rPr>
                <w:rFonts w:cs="Arial"/>
              </w:rPr>
              <w:t>Segment results – operating profit</w:t>
            </w:r>
          </w:p>
        </w:tc>
        <w:tc>
          <w:tcPr>
            <w:tcW w:w="851" w:type="dxa"/>
          </w:tcPr>
          <w:p w14:paraId="5B8BFA87" w14:textId="77777777" w:rsidR="001811A2" w:rsidRDefault="001811A2" w:rsidP="001811A2">
            <w:pPr>
              <w:tabs>
                <w:tab w:val="decimal" w:pos="1424"/>
              </w:tabs>
              <w:ind w:right="-144"/>
              <w:rPr>
                <w:rFonts w:cs="Arial"/>
                <w:b/>
                <w:bCs/>
              </w:rPr>
            </w:pPr>
          </w:p>
        </w:tc>
        <w:tc>
          <w:tcPr>
            <w:tcW w:w="1559" w:type="dxa"/>
          </w:tcPr>
          <w:p w14:paraId="2416ED41" w14:textId="720949F9" w:rsidR="001811A2" w:rsidRPr="00D7455F" w:rsidRDefault="000021F5" w:rsidP="001811A2">
            <w:pPr>
              <w:tabs>
                <w:tab w:val="decimal" w:pos="1424"/>
              </w:tabs>
              <w:ind w:right="-144"/>
              <w:rPr>
                <w:rFonts w:cs="Arial"/>
                <w:b/>
                <w:bCs/>
              </w:rPr>
            </w:pPr>
            <w:r>
              <w:rPr>
                <w:rFonts w:cs="Arial"/>
                <w:b/>
                <w:bCs/>
              </w:rPr>
              <w:t>57,872</w:t>
            </w:r>
          </w:p>
        </w:tc>
        <w:tc>
          <w:tcPr>
            <w:tcW w:w="1933" w:type="dxa"/>
          </w:tcPr>
          <w:p w14:paraId="1E9892C8" w14:textId="6BEC17DD" w:rsidR="001811A2" w:rsidRPr="001811A2" w:rsidRDefault="001811A2" w:rsidP="001811A2">
            <w:pPr>
              <w:tabs>
                <w:tab w:val="decimal" w:pos="1424"/>
              </w:tabs>
              <w:ind w:right="-144"/>
              <w:rPr>
                <w:rFonts w:cs="Arial"/>
              </w:rPr>
            </w:pPr>
            <w:r w:rsidRPr="001811A2">
              <w:rPr>
                <w:rFonts w:cs="Arial"/>
              </w:rPr>
              <w:t>18,643</w:t>
            </w:r>
          </w:p>
        </w:tc>
      </w:tr>
      <w:tr w:rsidR="001811A2" w:rsidRPr="00891FAB" w14:paraId="1AF43F23" w14:textId="77777777" w:rsidTr="7821F417">
        <w:trPr>
          <w:trHeight w:val="204"/>
        </w:trPr>
        <w:tc>
          <w:tcPr>
            <w:tcW w:w="453" w:type="dxa"/>
          </w:tcPr>
          <w:p w14:paraId="6B9CEF3F" w14:textId="77777777" w:rsidR="001811A2" w:rsidRPr="00670755" w:rsidRDefault="001811A2" w:rsidP="001811A2">
            <w:pPr>
              <w:ind w:right="-144"/>
              <w:rPr>
                <w:rFonts w:cs="Arial"/>
              </w:rPr>
            </w:pPr>
          </w:p>
        </w:tc>
        <w:tc>
          <w:tcPr>
            <w:tcW w:w="4792" w:type="dxa"/>
          </w:tcPr>
          <w:p w14:paraId="7E933D91" w14:textId="77777777" w:rsidR="001811A2" w:rsidRDefault="001811A2" w:rsidP="001811A2">
            <w:pPr>
              <w:ind w:right="-144"/>
              <w:rPr>
                <w:rFonts w:cs="Arial"/>
              </w:rPr>
            </w:pPr>
            <w:r w:rsidRPr="7821F417">
              <w:rPr>
                <w:rFonts w:cs="Arial"/>
              </w:rPr>
              <w:t xml:space="preserve">Finance expense </w:t>
            </w:r>
          </w:p>
        </w:tc>
        <w:tc>
          <w:tcPr>
            <w:tcW w:w="851" w:type="dxa"/>
          </w:tcPr>
          <w:p w14:paraId="71ADE347" w14:textId="77777777" w:rsidR="001811A2" w:rsidRDefault="001811A2" w:rsidP="001811A2">
            <w:pPr>
              <w:tabs>
                <w:tab w:val="decimal" w:pos="1424"/>
              </w:tabs>
              <w:ind w:right="-144"/>
              <w:rPr>
                <w:rFonts w:cs="Arial"/>
                <w:b/>
                <w:bCs/>
              </w:rPr>
            </w:pPr>
          </w:p>
        </w:tc>
        <w:tc>
          <w:tcPr>
            <w:tcW w:w="1559" w:type="dxa"/>
          </w:tcPr>
          <w:p w14:paraId="36F50185" w14:textId="34B0C511" w:rsidR="001811A2" w:rsidRPr="00D7455F" w:rsidRDefault="000021F5" w:rsidP="001811A2">
            <w:pPr>
              <w:tabs>
                <w:tab w:val="decimal" w:pos="1424"/>
              </w:tabs>
              <w:ind w:right="-144"/>
              <w:rPr>
                <w:rFonts w:cs="Arial"/>
                <w:b/>
                <w:bCs/>
              </w:rPr>
            </w:pPr>
            <w:r>
              <w:rPr>
                <w:rFonts w:cs="Arial"/>
                <w:b/>
                <w:bCs/>
              </w:rPr>
              <w:t>(9,612)</w:t>
            </w:r>
          </w:p>
        </w:tc>
        <w:tc>
          <w:tcPr>
            <w:tcW w:w="1933" w:type="dxa"/>
          </w:tcPr>
          <w:p w14:paraId="7048265A" w14:textId="00EC28E5" w:rsidR="001811A2" w:rsidRPr="001811A2" w:rsidRDefault="001811A2" w:rsidP="001811A2">
            <w:pPr>
              <w:tabs>
                <w:tab w:val="decimal" w:pos="1424"/>
              </w:tabs>
              <w:ind w:right="-144"/>
              <w:rPr>
                <w:rFonts w:cs="Arial"/>
              </w:rPr>
            </w:pPr>
            <w:r w:rsidRPr="001811A2">
              <w:rPr>
                <w:rFonts w:cs="Arial"/>
              </w:rPr>
              <w:t>(7,654)</w:t>
            </w:r>
          </w:p>
        </w:tc>
      </w:tr>
      <w:tr w:rsidR="001811A2" w:rsidRPr="00891FAB" w14:paraId="7C5E9A18" w14:textId="77777777" w:rsidTr="7821F417">
        <w:trPr>
          <w:trHeight w:val="204"/>
        </w:trPr>
        <w:tc>
          <w:tcPr>
            <w:tcW w:w="453" w:type="dxa"/>
          </w:tcPr>
          <w:p w14:paraId="3CA77818" w14:textId="77777777" w:rsidR="001811A2" w:rsidRPr="00670755" w:rsidRDefault="001811A2" w:rsidP="001811A2">
            <w:pPr>
              <w:ind w:right="-144"/>
              <w:rPr>
                <w:rFonts w:cs="Arial"/>
              </w:rPr>
            </w:pPr>
          </w:p>
        </w:tc>
        <w:tc>
          <w:tcPr>
            <w:tcW w:w="4792" w:type="dxa"/>
          </w:tcPr>
          <w:p w14:paraId="7FB6F905" w14:textId="2B109570" w:rsidR="001811A2" w:rsidRDefault="001811A2" w:rsidP="001811A2">
            <w:pPr>
              <w:ind w:right="-144"/>
              <w:rPr>
                <w:rFonts w:cs="Arial"/>
              </w:rPr>
            </w:pPr>
            <w:r w:rsidRPr="7821F417">
              <w:rPr>
                <w:rFonts w:cs="Arial"/>
              </w:rPr>
              <w:t>Directors’ remuneration</w:t>
            </w:r>
          </w:p>
        </w:tc>
        <w:tc>
          <w:tcPr>
            <w:tcW w:w="851" w:type="dxa"/>
          </w:tcPr>
          <w:p w14:paraId="297C3FE3" w14:textId="77777777" w:rsidR="001811A2" w:rsidRDefault="001811A2" w:rsidP="001811A2">
            <w:pPr>
              <w:tabs>
                <w:tab w:val="decimal" w:pos="1424"/>
              </w:tabs>
              <w:ind w:right="-144"/>
              <w:rPr>
                <w:rFonts w:cs="Arial"/>
                <w:b/>
                <w:bCs/>
              </w:rPr>
            </w:pPr>
          </w:p>
        </w:tc>
        <w:tc>
          <w:tcPr>
            <w:tcW w:w="1559" w:type="dxa"/>
          </w:tcPr>
          <w:p w14:paraId="1EAB9FBD" w14:textId="5C99270E" w:rsidR="001811A2" w:rsidRPr="00D7455F" w:rsidRDefault="000021F5" w:rsidP="001811A2">
            <w:pPr>
              <w:tabs>
                <w:tab w:val="decimal" w:pos="1424"/>
              </w:tabs>
              <w:ind w:right="-144"/>
              <w:rPr>
                <w:rFonts w:cs="Arial"/>
                <w:b/>
                <w:bCs/>
              </w:rPr>
            </w:pPr>
            <w:r>
              <w:rPr>
                <w:rFonts w:cs="Arial"/>
                <w:b/>
                <w:bCs/>
              </w:rPr>
              <w:t>(1,315)</w:t>
            </w:r>
          </w:p>
        </w:tc>
        <w:tc>
          <w:tcPr>
            <w:tcW w:w="1933" w:type="dxa"/>
          </w:tcPr>
          <w:p w14:paraId="391BD8F2" w14:textId="5E50CA1D" w:rsidR="001811A2" w:rsidRPr="001811A2" w:rsidRDefault="001811A2" w:rsidP="001811A2">
            <w:pPr>
              <w:tabs>
                <w:tab w:val="decimal" w:pos="1424"/>
              </w:tabs>
              <w:ind w:right="-144"/>
              <w:rPr>
                <w:rFonts w:cs="Arial"/>
              </w:rPr>
            </w:pPr>
            <w:r w:rsidRPr="001811A2">
              <w:rPr>
                <w:rFonts w:cs="Arial"/>
              </w:rPr>
              <w:t>(908)</w:t>
            </w:r>
          </w:p>
        </w:tc>
      </w:tr>
      <w:tr w:rsidR="001811A2" w:rsidRPr="00891FAB" w14:paraId="1119E646" w14:textId="77777777" w:rsidTr="7821F417">
        <w:trPr>
          <w:trHeight w:val="204"/>
        </w:trPr>
        <w:tc>
          <w:tcPr>
            <w:tcW w:w="453" w:type="dxa"/>
          </w:tcPr>
          <w:p w14:paraId="2726DFAF" w14:textId="77777777" w:rsidR="001811A2" w:rsidRPr="00670755" w:rsidRDefault="001811A2" w:rsidP="001811A2">
            <w:pPr>
              <w:ind w:right="-144"/>
              <w:rPr>
                <w:rFonts w:cs="Arial"/>
              </w:rPr>
            </w:pPr>
          </w:p>
        </w:tc>
        <w:tc>
          <w:tcPr>
            <w:tcW w:w="4792" w:type="dxa"/>
          </w:tcPr>
          <w:p w14:paraId="195FF85F" w14:textId="7119CE37" w:rsidR="001811A2" w:rsidRDefault="001811A2" w:rsidP="001811A2">
            <w:pPr>
              <w:ind w:right="-144"/>
              <w:rPr>
                <w:rFonts w:cs="Arial"/>
              </w:rPr>
            </w:pPr>
            <w:r w:rsidRPr="7821F417">
              <w:rPr>
                <w:rFonts w:cs="Arial"/>
              </w:rPr>
              <w:t>Corporate function payroll costs</w:t>
            </w:r>
          </w:p>
        </w:tc>
        <w:tc>
          <w:tcPr>
            <w:tcW w:w="851" w:type="dxa"/>
          </w:tcPr>
          <w:p w14:paraId="11C8060B" w14:textId="77777777" w:rsidR="001811A2" w:rsidRDefault="001811A2" w:rsidP="001811A2">
            <w:pPr>
              <w:tabs>
                <w:tab w:val="decimal" w:pos="1424"/>
              </w:tabs>
              <w:ind w:right="-144"/>
              <w:rPr>
                <w:rFonts w:cs="Arial"/>
                <w:b/>
                <w:bCs/>
              </w:rPr>
            </w:pPr>
          </w:p>
        </w:tc>
        <w:tc>
          <w:tcPr>
            <w:tcW w:w="1559" w:type="dxa"/>
          </w:tcPr>
          <w:p w14:paraId="419C89F2" w14:textId="4703ACE7" w:rsidR="001811A2" w:rsidRPr="00D7455F" w:rsidRDefault="000021F5" w:rsidP="001811A2">
            <w:pPr>
              <w:tabs>
                <w:tab w:val="decimal" w:pos="1424"/>
              </w:tabs>
              <w:ind w:right="-144"/>
              <w:rPr>
                <w:rFonts w:cs="Arial"/>
                <w:b/>
                <w:bCs/>
              </w:rPr>
            </w:pPr>
            <w:r>
              <w:rPr>
                <w:rFonts w:cs="Arial"/>
                <w:b/>
                <w:bCs/>
              </w:rPr>
              <w:t>(4,546)</w:t>
            </w:r>
          </w:p>
        </w:tc>
        <w:tc>
          <w:tcPr>
            <w:tcW w:w="1933" w:type="dxa"/>
          </w:tcPr>
          <w:p w14:paraId="2D64DA5D" w14:textId="6B08827C" w:rsidR="001811A2" w:rsidRPr="001811A2" w:rsidRDefault="001811A2" w:rsidP="001811A2">
            <w:pPr>
              <w:tabs>
                <w:tab w:val="decimal" w:pos="1424"/>
              </w:tabs>
              <w:ind w:right="-144"/>
              <w:rPr>
                <w:rFonts w:cs="Arial"/>
              </w:rPr>
            </w:pPr>
            <w:r w:rsidRPr="001811A2">
              <w:rPr>
                <w:rFonts w:cs="Arial"/>
              </w:rPr>
              <w:t>(2,690)</w:t>
            </w:r>
          </w:p>
        </w:tc>
      </w:tr>
      <w:tr w:rsidR="001811A2" w:rsidRPr="008D36E7" w14:paraId="6ED064DC" w14:textId="77777777" w:rsidTr="7821F417">
        <w:trPr>
          <w:trHeight w:val="204"/>
        </w:trPr>
        <w:tc>
          <w:tcPr>
            <w:tcW w:w="453" w:type="dxa"/>
          </w:tcPr>
          <w:p w14:paraId="149E5CFB" w14:textId="77777777" w:rsidR="001811A2" w:rsidRPr="00670755" w:rsidRDefault="001811A2" w:rsidP="001811A2">
            <w:pPr>
              <w:ind w:right="-144"/>
              <w:rPr>
                <w:rFonts w:cs="Arial"/>
              </w:rPr>
            </w:pPr>
          </w:p>
        </w:tc>
        <w:tc>
          <w:tcPr>
            <w:tcW w:w="4792" w:type="dxa"/>
          </w:tcPr>
          <w:p w14:paraId="1A61CE92" w14:textId="7B0B28A7" w:rsidR="001811A2" w:rsidRDefault="001811A2" w:rsidP="001811A2">
            <w:pPr>
              <w:ind w:right="-144"/>
              <w:rPr>
                <w:rFonts w:cs="Arial"/>
              </w:rPr>
            </w:pPr>
            <w:r w:rsidRPr="7821F417">
              <w:rPr>
                <w:rFonts w:cs="Arial"/>
              </w:rPr>
              <w:t>Depreciation and amortisation</w:t>
            </w:r>
          </w:p>
        </w:tc>
        <w:tc>
          <w:tcPr>
            <w:tcW w:w="851" w:type="dxa"/>
          </w:tcPr>
          <w:p w14:paraId="353E7229" w14:textId="77777777" w:rsidR="001811A2" w:rsidRPr="008D36E7" w:rsidRDefault="001811A2" w:rsidP="001811A2">
            <w:pPr>
              <w:tabs>
                <w:tab w:val="decimal" w:pos="1424"/>
              </w:tabs>
              <w:ind w:right="-144"/>
              <w:rPr>
                <w:rFonts w:cs="Arial"/>
                <w:b/>
                <w:bCs/>
              </w:rPr>
            </w:pPr>
          </w:p>
        </w:tc>
        <w:tc>
          <w:tcPr>
            <w:tcW w:w="1559" w:type="dxa"/>
          </w:tcPr>
          <w:p w14:paraId="37AE4E6F" w14:textId="1E9EF2B4" w:rsidR="001811A2" w:rsidRDefault="00C5777C" w:rsidP="001811A2">
            <w:pPr>
              <w:tabs>
                <w:tab w:val="decimal" w:pos="1424"/>
              </w:tabs>
              <w:ind w:right="-144"/>
              <w:rPr>
                <w:rFonts w:cs="Arial"/>
                <w:b/>
                <w:bCs/>
              </w:rPr>
            </w:pPr>
            <w:r>
              <w:rPr>
                <w:rFonts w:cs="Arial"/>
                <w:b/>
                <w:bCs/>
              </w:rPr>
              <w:t>(1,712)</w:t>
            </w:r>
          </w:p>
        </w:tc>
        <w:tc>
          <w:tcPr>
            <w:tcW w:w="1933" w:type="dxa"/>
          </w:tcPr>
          <w:p w14:paraId="3503D35D" w14:textId="75D4164E" w:rsidR="001811A2" w:rsidRPr="001811A2" w:rsidRDefault="001811A2" w:rsidP="001811A2">
            <w:pPr>
              <w:tabs>
                <w:tab w:val="decimal" w:pos="1424"/>
              </w:tabs>
              <w:ind w:right="-144"/>
              <w:rPr>
                <w:rFonts w:cs="Arial"/>
              </w:rPr>
            </w:pPr>
            <w:r w:rsidRPr="001811A2">
              <w:rPr>
                <w:rFonts w:cs="Arial"/>
              </w:rPr>
              <w:t>(1,378)</w:t>
            </w:r>
          </w:p>
        </w:tc>
      </w:tr>
      <w:tr w:rsidR="00D85B9C" w:rsidRPr="008D36E7" w14:paraId="1AE225D3" w14:textId="77777777" w:rsidTr="7821F417">
        <w:trPr>
          <w:trHeight w:val="204"/>
        </w:trPr>
        <w:tc>
          <w:tcPr>
            <w:tcW w:w="453" w:type="dxa"/>
          </w:tcPr>
          <w:p w14:paraId="792D4ED8" w14:textId="77777777" w:rsidR="00D85B9C" w:rsidRPr="00670755" w:rsidRDefault="00D85B9C" w:rsidP="00D85B9C">
            <w:pPr>
              <w:ind w:right="-144"/>
              <w:rPr>
                <w:rFonts w:cs="Arial"/>
              </w:rPr>
            </w:pPr>
          </w:p>
        </w:tc>
        <w:tc>
          <w:tcPr>
            <w:tcW w:w="4792" w:type="dxa"/>
          </w:tcPr>
          <w:p w14:paraId="5A36BE30" w14:textId="68F97BC3" w:rsidR="00D85B9C" w:rsidRPr="7821F417" w:rsidRDefault="006D76C8" w:rsidP="00D85B9C">
            <w:pPr>
              <w:ind w:right="-144"/>
              <w:rPr>
                <w:rFonts w:cs="Arial"/>
              </w:rPr>
            </w:pPr>
            <w:r>
              <w:rPr>
                <w:rFonts w:cs="Arial"/>
              </w:rPr>
              <w:t xml:space="preserve">IT </w:t>
            </w:r>
            <w:r w:rsidR="00F116FC">
              <w:rPr>
                <w:rFonts w:cs="Arial"/>
              </w:rPr>
              <w:t>costs</w:t>
            </w:r>
          </w:p>
        </w:tc>
        <w:tc>
          <w:tcPr>
            <w:tcW w:w="851" w:type="dxa"/>
          </w:tcPr>
          <w:p w14:paraId="012B1746" w14:textId="77777777" w:rsidR="00D85B9C" w:rsidRPr="008D36E7" w:rsidRDefault="00D85B9C" w:rsidP="00D85B9C">
            <w:pPr>
              <w:tabs>
                <w:tab w:val="decimal" w:pos="1424"/>
              </w:tabs>
              <w:ind w:right="-144"/>
              <w:rPr>
                <w:rFonts w:cs="Arial"/>
                <w:b/>
                <w:bCs/>
              </w:rPr>
            </w:pPr>
          </w:p>
        </w:tc>
        <w:tc>
          <w:tcPr>
            <w:tcW w:w="1559" w:type="dxa"/>
          </w:tcPr>
          <w:p w14:paraId="6D28981E" w14:textId="44CEB6C9" w:rsidR="00D85B9C" w:rsidRDefault="00D85B9C" w:rsidP="00D85B9C">
            <w:pPr>
              <w:tabs>
                <w:tab w:val="decimal" w:pos="1424"/>
              </w:tabs>
              <w:ind w:right="-144"/>
              <w:rPr>
                <w:rFonts w:cs="Arial"/>
                <w:b/>
                <w:bCs/>
              </w:rPr>
            </w:pPr>
            <w:r>
              <w:rPr>
                <w:rFonts w:cs="Arial"/>
                <w:b/>
                <w:bCs/>
              </w:rPr>
              <w:t>(</w:t>
            </w:r>
            <w:r w:rsidR="00323E88">
              <w:rPr>
                <w:rFonts w:cs="Arial"/>
                <w:b/>
                <w:bCs/>
              </w:rPr>
              <w:t>1,912</w:t>
            </w:r>
            <w:r>
              <w:rPr>
                <w:rFonts w:cs="Arial"/>
                <w:b/>
                <w:bCs/>
              </w:rPr>
              <w:t>)</w:t>
            </w:r>
          </w:p>
        </w:tc>
        <w:tc>
          <w:tcPr>
            <w:tcW w:w="1933" w:type="dxa"/>
          </w:tcPr>
          <w:p w14:paraId="49609FE0" w14:textId="6D580C61" w:rsidR="00D85B9C" w:rsidRPr="001811A2" w:rsidRDefault="0045290C" w:rsidP="00D85B9C">
            <w:pPr>
              <w:tabs>
                <w:tab w:val="decimal" w:pos="1424"/>
              </w:tabs>
              <w:ind w:right="-144"/>
              <w:rPr>
                <w:rFonts w:cs="Arial"/>
              </w:rPr>
            </w:pPr>
            <w:r>
              <w:rPr>
                <w:rFonts w:cs="Arial"/>
              </w:rPr>
              <w:t>(1,240)</w:t>
            </w:r>
          </w:p>
        </w:tc>
      </w:tr>
      <w:tr w:rsidR="00D85B9C" w:rsidRPr="008D36E7" w14:paraId="6CA68083" w14:textId="77777777" w:rsidTr="7821F417">
        <w:trPr>
          <w:trHeight w:val="204"/>
        </w:trPr>
        <w:tc>
          <w:tcPr>
            <w:tcW w:w="453" w:type="dxa"/>
          </w:tcPr>
          <w:p w14:paraId="5D068909" w14:textId="77777777" w:rsidR="00D85B9C" w:rsidRPr="00670755" w:rsidRDefault="00D85B9C" w:rsidP="00D85B9C">
            <w:pPr>
              <w:ind w:right="-144"/>
              <w:rPr>
                <w:rFonts w:cs="Arial"/>
              </w:rPr>
            </w:pPr>
          </w:p>
        </w:tc>
        <w:tc>
          <w:tcPr>
            <w:tcW w:w="4792" w:type="dxa"/>
          </w:tcPr>
          <w:p w14:paraId="5EC414BB" w14:textId="700CD6F7" w:rsidR="00D85B9C" w:rsidRDefault="00D85B9C" w:rsidP="00D85B9C">
            <w:pPr>
              <w:ind w:right="-144"/>
              <w:rPr>
                <w:rFonts w:cs="Arial"/>
              </w:rPr>
            </w:pPr>
            <w:r w:rsidRPr="7821F417">
              <w:rPr>
                <w:rFonts w:cs="Arial"/>
              </w:rPr>
              <w:t>Professional fees</w:t>
            </w:r>
          </w:p>
        </w:tc>
        <w:tc>
          <w:tcPr>
            <w:tcW w:w="851" w:type="dxa"/>
          </w:tcPr>
          <w:p w14:paraId="235C2A71" w14:textId="77777777" w:rsidR="00D85B9C" w:rsidRPr="008D36E7" w:rsidRDefault="00D85B9C" w:rsidP="00D85B9C">
            <w:pPr>
              <w:tabs>
                <w:tab w:val="decimal" w:pos="1424"/>
              </w:tabs>
              <w:ind w:right="-144"/>
              <w:rPr>
                <w:rFonts w:cs="Arial"/>
                <w:b/>
                <w:bCs/>
              </w:rPr>
            </w:pPr>
          </w:p>
        </w:tc>
        <w:tc>
          <w:tcPr>
            <w:tcW w:w="1559" w:type="dxa"/>
          </w:tcPr>
          <w:p w14:paraId="21D50918" w14:textId="78885ED3" w:rsidR="00D85B9C" w:rsidRDefault="00D85B9C" w:rsidP="00D85B9C">
            <w:pPr>
              <w:tabs>
                <w:tab w:val="decimal" w:pos="1424"/>
              </w:tabs>
              <w:ind w:right="-144"/>
              <w:rPr>
                <w:rFonts w:cs="Arial"/>
                <w:b/>
                <w:bCs/>
              </w:rPr>
            </w:pPr>
            <w:r>
              <w:rPr>
                <w:rFonts w:cs="Arial"/>
                <w:b/>
                <w:bCs/>
              </w:rPr>
              <w:t>(2,075)</w:t>
            </w:r>
          </w:p>
        </w:tc>
        <w:tc>
          <w:tcPr>
            <w:tcW w:w="1933" w:type="dxa"/>
          </w:tcPr>
          <w:p w14:paraId="04CAA19C" w14:textId="1BC97AD1" w:rsidR="00D85B9C" w:rsidRPr="001811A2" w:rsidRDefault="00D85B9C" w:rsidP="00D85B9C">
            <w:pPr>
              <w:tabs>
                <w:tab w:val="decimal" w:pos="1424"/>
              </w:tabs>
              <w:ind w:right="-144"/>
              <w:rPr>
                <w:rFonts w:cs="Arial"/>
              </w:rPr>
            </w:pPr>
            <w:r w:rsidRPr="001811A2">
              <w:rPr>
                <w:rFonts w:cs="Arial"/>
              </w:rPr>
              <w:t>(1,323)</w:t>
            </w:r>
          </w:p>
        </w:tc>
      </w:tr>
      <w:tr w:rsidR="00D85B9C" w:rsidRPr="008D36E7" w14:paraId="7B2C8F83" w14:textId="77777777" w:rsidTr="7821F417">
        <w:trPr>
          <w:trHeight w:val="204"/>
        </w:trPr>
        <w:tc>
          <w:tcPr>
            <w:tcW w:w="453" w:type="dxa"/>
          </w:tcPr>
          <w:p w14:paraId="48796570" w14:textId="77777777" w:rsidR="00D85B9C" w:rsidRPr="00670755" w:rsidRDefault="00D85B9C" w:rsidP="00D85B9C">
            <w:pPr>
              <w:ind w:right="-144"/>
              <w:rPr>
                <w:rFonts w:cs="Arial"/>
              </w:rPr>
            </w:pPr>
          </w:p>
        </w:tc>
        <w:tc>
          <w:tcPr>
            <w:tcW w:w="4792" w:type="dxa"/>
          </w:tcPr>
          <w:p w14:paraId="7435430A" w14:textId="7A7854CE" w:rsidR="00D85B9C" w:rsidRDefault="00D85B9C" w:rsidP="00D85B9C">
            <w:pPr>
              <w:ind w:right="-144"/>
              <w:rPr>
                <w:rFonts w:cs="Arial"/>
              </w:rPr>
            </w:pPr>
            <w:r w:rsidRPr="7821F417">
              <w:rPr>
                <w:rFonts w:cs="Arial"/>
              </w:rPr>
              <w:t xml:space="preserve">Share-based payment expense </w:t>
            </w:r>
          </w:p>
        </w:tc>
        <w:tc>
          <w:tcPr>
            <w:tcW w:w="851" w:type="dxa"/>
          </w:tcPr>
          <w:p w14:paraId="3A59D02B" w14:textId="77777777" w:rsidR="00D85B9C" w:rsidRPr="008D36E7" w:rsidRDefault="00D85B9C" w:rsidP="00D85B9C">
            <w:pPr>
              <w:tabs>
                <w:tab w:val="decimal" w:pos="1424"/>
              </w:tabs>
              <w:ind w:right="-144"/>
              <w:rPr>
                <w:rFonts w:cs="Arial"/>
                <w:b/>
                <w:bCs/>
              </w:rPr>
            </w:pPr>
          </w:p>
        </w:tc>
        <w:tc>
          <w:tcPr>
            <w:tcW w:w="1559" w:type="dxa"/>
          </w:tcPr>
          <w:p w14:paraId="2293CD13" w14:textId="4EAD213D" w:rsidR="00D85B9C" w:rsidRDefault="00D85B9C" w:rsidP="00D85B9C">
            <w:pPr>
              <w:tabs>
                <w:tab w:val="decimal" w:pos="1424"/>
              </w:tabs>
              <w:ind w:right="-144"/>
              <w:rPr>
                <w:rFonts w:cs="Arial"/>
                <w:b/>
                <w:bCs/>
              </w:rPr>
            </w:pPr>
            <w:r>
              <w:rPr>
                <w:rFonts w:cs="Arial"/>
                <w:b/>
                <w:bCs/>
              </w:rPr>
              <w:t>(3,200)</w:t>
            </w:r>
          </w:p>
        </w:tc>
        <w:tc>
          <w:tcPr>
            <w:tcW w:w="1933" w:type="dxa"/>
          </w:tcPr>
          <w:p w14:paraId="1B2F285F" w14:textId="18E9FE4B" w:rsidR="00D85B9C" w:rsidRPr="001811A2" w:rsidRDefault="00D85B9C" w:rsidP="00D85B9C">
            <w:pPr>
              <w:tabs>
                <w:tab w:val="decimal" w:pos="1424"/>
              </w:tabs>
              <w:ind w:right="-144"/>
              <w:rPr>
                <w:rFonts w:cs="Arial"/>
              </w:rPr>
            </w:pPr>
            <w:r w:rsidRPr="001811A2">
              <w:rPr>
                <w:rFonts w:cs="Arial"/>
              </w:rPr>
              <w:t>(1,523)</w:t>
            </w:r>
          </w:p>
        </w:tc>
      </w:tr>
      <w:tr w:rsidR="00D85B9C" w:rsidRPr="008D36E7" w14:paraId="56C1883E" w14:textId="77777777" w:rsidTr="7821F417">
        <w:trPr>
          <w:trHeight w:val="204"/>
        </w:trPr>
        <w:tc>
          <w:tcPr>
            <w:tcW w:w="453" w:type="dxa"/>
          </w:tcPr>
          <w:p w14:paraId="41D950BB" w14:textId="77777777" w:rsidR="00D85B9C" w:rsidRPr="00670755" w:rsidRDefault="00D85B9C" w:rsidP="00D85B9C">
            <w:pPr>
              <w:ind w:right="-144"/>
              <w:rPr>
                <w:rFonts w:cs="Arial"/>
              </w:rPr>
            </w:pPr>
          </w:p>
        </w:tc>
        <w:tc>
          <w:tcPr>
            <w:tcW w:w="4792" w:type="dxa"/>
          </w:tcPr>
          <w:p w14:paraId="48FAE941" w14:textId="424AB0C9" w:rsidR="00D85B9C" w:rsidRDefault="00D85B9C" w:rsidP="00D85B9C">
            <w:pPr>
              <w:ind w:right="-144"/>
              <w:rPr>
                <w:rFonts w:cs="Arial"/>
              </w:rPr>
            </w:pPr>
            <w:r>
              <w:rPr>
                <w:rFonts w:cs="Arial"/>
              </w:rPr>
              <w:t>Profit</w:t>
            </w:r>
            <w:r w:rsidRPr="7821F417">
              <w:rPr>
                <w:rFonts w:cs="Arial"/>
              </w:rPr>
              <w:t xml:space="preserve"> on sale of property, plant and equipment</w:t>
            </w:r>
          </w:p>
        </w:tc>
        <w:tc>
          <w:tcPr>
            <w:tcW w:w="851" w:type="dxa"/>
          </w:tcPr>
          <w:p w14:paraId="5CD33BDA" w14:textId="77777777" w:rsidR="00D85B9C" w:rsidRPr="008D36E7" w:rsidRDefault="00D85B9C" w:rsidP="00D85B9C">
            <w:pPr>
              <w:tabs>
                <w:tab w:val="decimal" w:pos="1424"/>
              </w:tabs>
              <w:ind w:right="-144"/>
              <w:rPr>
                <w:rFonts w:cs="Arial"/>
                <w:b/>
                <w:bCs/>
              </w:rPr>
            </w:pPr>
          </w:p>
        </w:tc>
        <w:tc>
          <w:tcPr>
            <w:tcW w:w="1559" w:type="dxa"/>
          </w:tcPr>
          <w:p w14:paraId="2EAC00D9" w14:textId="6ABF59D3" w:rsidR="00D85B9C" w:rsidRDefault="00D85B9C" w:rsidP="00D85B9C">
            <w:pPr>
              <w:tabs>
                <w:tab w:val="decimal" w:pos="1424"/>
              </w:tabs>
              <w:ind w:right="-144"/>
              <w:rPr>
                <w:rFonts w:cs="Arial"/>
                <w:b/>
                <w:bCs/>
              </w:rPr>
            </w:pPr>
            <w:r>
              <w:rPr>
                <w:rFonts w:cs="Arial"/>
                <w:b/>
                <w:bCs/>
              </w:rPr>
              <w:t>(14)</w:t>
            </w:r>
          </w:p>
        </w:tc>
        <w:tc>
          <w:tcPr>
            <w:tcW w:w="1933" w:type="dxa"/>
          </w:tcPr>
          <w:p w14:paraId="17A958D4" w14:textId="51A8152A" w:rsidR="00D85B9C" w:rsidRPr="001811A2" w:rsidRDefault="00D85B9C" w:rsidP="00D85B9C">
            <w:pPr>
              <w:tabs>
                <w:tab w:val="decimal" w:pos="1424"/>
              </w:tabs>
              <w:ind w:right="-144"/>
              <w:rPr>
                <w:rFonts w:cs="Arial"/>
              </w:rPr>
            </w:pPr>
            <w:r w:rsidRPr="001811A2">
              <w:rPr>
                <w:rFonts w:cs="Arial"/>
              </w:rPr>
              <w:t>27</w:t>
            </w:r>
          </w:p>
        </w:tc>
      </w:tr>
      <w:tr w:rsidR="00D85B9C" w:rsidRPr="008D36E7" w14:paraId="3737D61D" w14:textId="77777777" w:rsidTr="7821F417">
        <w:trPr>
          <w:trHeight w:val="204"/>
        </w:trPr>
        <w:tc>
          <w:tcPr>
            <w:tcW w:w="453" w:type="dxa"/>
          </w:tcPr>
          <w:p w14:paraId="73D81B6E" w14:textId="77777777" w:rsidR="00D85B9C" w:rsidRPr="00670755" w:rsidRDefault="00D85B9C" w:rsidP="00D85B9C">
            <w:pPr>
              <w:ind w:right="-144"/>
              <w:rPr>
                <w:rFonts w:cs="Arial"/>
              </w:rPr>
            </w:pPr>
          </w:p>
        </w:tc>
        <w:tc>
          <w:tcPr>
            <w:tcW w:w="4792" w:type="dxa"/>
          </w:tcPr>
          <w:p w14:paraId="44A13D60" w14:textId="54AE0C9F" w:rsidR="00D85B9C" w:rsidRDefault="00D85B9C" w:rsidP="00D85B9C">
            <w:pPr>
              <w:ind w:right="-144"/>
              <w:rPr>
                <w:rFonts w:cs="Arial"/>
              </w:rPr>
            </w:pPr>
            <w:r w:rsidRPr="7821F417">
              <w:rPr>
                <w:rFonts w:cs="Arial"/>
              </w:rPr>
              <w:t>Other corporate costs</w:t>
            </w:r>
          </w:p>
        </w:tc>
        <w:tc>
          <w:tcPr>
            <w:tcW w:w="851" w:type="dxa"/>
          </w:tcPr>
          <w:p w14:paraId="78BC73CC" w14:textId="77777777" w:rsidR="00D85B9C" w:rsidRPr="008D36E7" w:rsidRDefault="00D85B9C" w:rsidP="00D85B9C">
            <w:pPr>
              <w:tabs>
                <w:tab w:val="decimal" w:pos="1424"/>
              </w:tabs>
              <w:ind w:right="-144"/>
              <w:rPr>
                <w:rFonts w:cs="Arial"/>
                <w:b/>
                <w:bCs/>
              </w:rPr>
            </w:pPr>
          </w:p>
        </w:tc>
        <w:tc>
          <w:tcPr>
            <w:tcW w:w="1559" w:type="dxa"/>
          </w:tcPr>
          <w:p w14:paraId="70B356D6" w14:textId="6BED3065" w:rsidR="00D85B9C" w:rsidRPr="003E02F7" w:rsidRDefault="00D85B9C" w:rsidP="00D85B9C">
            <w:pPr>
              <w:tabs>
                <w:tab w:val="decimal" w:pos="1424"/>
              </w:tabs>
              <w:ind w:right="-144"/>
              <w:rPr>
                <w:rFonts w:cs="Arial"/>
                <w:b/>
                <w:bCs/>
              </w:rPr>
            </w:pPr>
            <w:r>
              <w:rPr>
                <w:rFonts w:cs="Arial"/>
                <w:b/>
                <w:bCs/>
              </w:rPr>
              <w:t>(1,01</w:t>
            </w:r>
            <w:r w:rsidR="00B26E55">
              <w:rPr>
                <w:rFonts w:cs="Arial"/>
                <w:b/>
                <w:bCs/>
              </w:rPr>
              <w:t>4</w:t>
            </w:r>
            <w:r>
              <w:rPr>
                <w:rFonts w:cs="Arial"/>
                <w:b/>
                <w:bCs/>
              </w:rPr>
              <w:t>)</w:t>
            </w:r>
          </w:p>
        </w:tc>
        <w:tc>
          <w:tcPr>
            <w:tcW w:w="1933" w:type="dxa"/>
          </w:tcPr>
          <w:p w14:paraId="2B174827" w14:textId="47DF09EE" w:rsidR="00D85B9C" w:rsidRPr="001811A2" w:rsidRDefault="00D85B9C" w:rsidP="00D85B9C">
            <w:pPr>
              <w:tabs>
                <w:tab w:val="decimal" w:pos="1424"/>
              </w:tabs>
              <w:ind w:right="-144"/>
              <w:rPr>
                <w:rFonts w:cs="Arial"/>
              </w:rPr>
            </w:pPr>
            <w:r w:rsidRPr="001811A2">
              <w:rPr>
                <w:rFonts w:cs="Arial"/>
              </w:rPr>
              <w:t>(</w:t>
            </w:r>
            <w:r w:rsidR="0045290C">
              <w:rPr>
                <w:rFonts w:cs="Arial"/>
              </w:rPr>
              <w:t>96</w:t>
            </w:r>
            <w:r w:rsidR="00F0187D">
              <w:rPr>
                <w:rFonts w:cs="Arial"/>
              </w:rPr>
              <w:t>5</w:t>
            </w:r>
            <w:r w:rsidRPr="001811A2">
              <w:rPr>
                <w:rFonts w:cs="Arial"/>
              </w:rPr>
              <w:t>)</w:t>
            </w:r>
          </w:p>
        </w:tc>
      </w:tr>
      <w:tr w:rsidR="00D85B9C" w:rsidRPr="008D36E7" w14:paraId="0185723F" w14:textId="77777777" w:rsidTr="7821F417">
        <w:trPr>
          <w:trHeight w:val="204"/>
        </w:trPr>
        <w:tc>
          <w:tcPr>
            <w:tcW w:w="453" w:type="dxa"/>
          </w:tcPr>
          <w:p w14:paraId="049F2F1A" w14:textId="77777777" w:rsidR="00D85B9C" w:rsidRPr="00670755" w:rsidRDefault="00D85B9C" w:rsidP="00D85B9C">
            <w:pPr>
              <w:ind w:right="-144"/>
              <w:rPr>
                <w:rFonts w:cs="Arial"/>
              </w:rPr>
            </w:pPr>
          </w:p>
        </w:tc>
        <w:tc>
          <w:tcPr>
            <w:tcW w:w="4792" w:type="dxa"/>
          </w:tcPr>
          <w:p w14:paraId="69DEB6DC" w14:textId="77777777" w:rsidR="00D85B9C" w:rsidRDefault="00D85B9C" w:rsidP="00D85B9C">
            <w:pPr>
              <w:ind w:right="-144"/>
              <w:rPr>
                <w:rFonts w:cs="Arial"/>
              </w:rPr>
            </w:pPr>
          </w:p>
        </w:tc>
        <w:tc>
          <w:tcPr>
            <w:tcW w:w="851" w:type="dxa"/>
          </w:tcPr>
          <w:p w14:paraId="2019FB87" w14:textId="77777777" w:rsidR="00D85B9C" w:rsidRPr="008D36E7" w:rsidRDefault="00D85B9C" w:rsidP="00D85B9C">
            <w:pPr>
              <w:tabs>
                <w:tab w:val="decimal" w:pos="1424"/>
              </w:tabs>
              <w:ind w:right="-144"/>
              <w:rPr>
                <w:rFonts w:cs="Arial"/>
                <w:b/>
                <w:bCs/>
              </w:rPr>
            </w:pPr>
          </w:p>
        </w:tc>
        <w:tc>
          <w:tcPr>
            <w:tcW w:w="1559" w:type="dxa"/>
          </w:tcPr>
          <w:p w14:paraId="1FD32936" w14:textId="77777777" w:rsidR="00D85B9C" w:rsidRPr="00D7455F" w:rsidRDefault="00D85B9C" w:rsidP="00D85B9C">
            <w:pPr>
              <w:tabs>
                <w:tab w:val="decimal" w:pos="1424"/>
              </w:tabs>
              <w:ind w:right="-144"/>
              <w:rPr>
                <w:rFonts w:cs="Arial"/>
                <w:b/>
                <w:bCs/>
                <w:u w:val="single"/>
              </w:rPr>
            </w:pPr>
            <w:r w:rsidRPr="7821F417">
              <w:rPr>
                <w:rFonts w:cs="Arial"/>
                <w:b/>
                <w:bCs/>
                <w:u w:val="single"/>
              </w:rPr>
              <w:t>                  </w:t>
            </w:r>
          </w:p>
        </w:tc>
        <w:tc>
          <w:tcPr>
            <w:tcW w:w="1933" w:type="dxa"/>
          </w:tcPr>
          <w:p w14:paraId="02E0B4D1" w14:textId="02C9F4AC" w:rsidR="00D85B9C" w:rsidRPr="00F72DC7" w:rsidRDefault="00D85B9C" w:rsidP="00D85B9C">
            <w:pPr>
              <w:tabs>
                <w:tab w:val="decimal" w:pos="1424"/>
              </w:tabs>
              <w:ind w:right="-144"/>
              <w:rPr>
                <w:rFonts w:cs="Arial"/>
                <w:u w:val="single"/>
              </w:rPr>
            </w:pPr>
            <w:r w:rsidRPr="00F72DC7">
              <w:rPr>
                <w:rFonts w:cs="Arial"/>
                <w:u w:val="single"/>
              </w:rPr>
              <w:t>                  </w:t>
            </w:r>
          </w:p>
        </w:tc>
      </w:tr>
      <w:tr w:rsidR="00D85B9C" w:rsidRPr="008D36E7" w14:paraId="618E58CA" w14:textId="77777777" w:rsidTr="7821F417">
        <w:trPr>
          <w:trHeight w:val="204"/>
        </w:trPr>
        <w:tc>
          <w:tcPr>
            <w:tcW w:w="453" w:type="dxa"/>
          </w:tcPr>
          <w:p w14:paraId="777C96D4" w14:textId="77777777" w:rsidR="00D85B9C" w:rsidRPr="00670755" w:rsidRDefault="00D85B9C" w:rsidP="00D85B9C">
            <w:pPr>
              <w:ind w:right="-144"/>
              <w:rPr>
                <w:rFonts w:cs="Arial"/>
              </w:rPr>
            </w:pPr>
          </w:p>
        </w:tc>
        <w:tc>
          <w:tcPr>
            <w:tcW w:w="4792" w:type="dxa"/>
          </w:tcPr>
          <w:p w14:paraId="01B33FD8" w14:textId="77777777" w:rsidR="00D85B9C" w:rsidRDefault="00D85B9C" w:rsidP="00D85B9C">
            <w:pPr>
              <w:ind w:right="-144"/>
              <w:rPr>
                <w:rFonts w:cs="Arial"/>
              </w:rPr>
            </w:pPr>
          </w:p>
        </w:tc>
        <w:tc>
          <w:tcPr>
            <w:tcW w:w="851" w:type="dxa"/>
          </w:tcPr>
          <w:p w14:paraId="54A4F970" w14:textId="77777777" w:rsidR="00D85B9C" w:rsidRPr="008D36E7" w:rsidRDefault="00D85B9C" w:rsidP="00D85B9C">
            <w:pPr>
              <w:tabs>
                <w:tab w:val="decimal" w:pos="1424"/>
              </w:tabs>
              <w:ind w:right="-144"/>
              <w:rPr>
                <w:rFonts w:cs="Arial"/>
                <w:b/>
                <w:bCs/>
              </w:rPr>
            </w:pPr>
          </w:p>
        </w:tc>
        <w:tc>
          <w:tcPr>
            <w:tcW w:w="1559" w:type="dxa"/>
          </w:tcPr>
          <w:p w14:paraId="580231D4" w14:textId="77777777" w:rsidR="00D85B9C" w:rsidRPr="00D7455F" w:rsidRDefault="00D85B9C" w:rsidP="00D85B9C">
            <w:pPr>
              <w:tabs>
                <w:tab w:val="decimal" w:pos="1424"/>
              </w:tabs>
              <w:ind w:right="-144"/>
              <w:rPr>
                <w:rFonts w:cs="Arial"/>
                <w:b/>
                <w:bCs/>
                <w:u w:val="single"/>
              </w:rPr>
            </w:pPr>
          </w:p>
        </w:tc>
        <w:tc>
          <w:tcPr>
            <w:tcW w:w="1933" w:type="dxa"/>
          </w:tcPr>
          <w:p w14:paraId="673E7153" w14:textId="77777777" w:rsidR="00D85B9C" w:rsidRPr="00F72DC7" w:rsidRDefault="00D85B9C" w:rsidP="00D85B9C">
            <w:pPr>
              <w:tabs>
                <w:tab w:val="decimal" w:pos="1424"/>
              </w:tabs>
              <w:ind w:right="-144"/>
              <w:rPr>
                <w:rFonts w:cs="Arial"/>
                <w:u w:val="single"/>
              </w:rPr>
            </w:pPr>
          </w:p>
        </w:tc>
      </w:tr>
      <w:tr w:rsidR="00D85B9C" w:rsidRPr="008D36E7" w14:paraId="7D4FEAC1" w14:textId="77777777" w:rsidTr="7821F417">
        <w:trPr>
          <w:trHeight w:val="204"/>
        </w:trPr>
        <w:tc>
          <w:tcPr>
            <w:tcW w:w="453" w:type="dxa"/>
          </w:tcPr>
          <w:p w14:paraId="2CF11CD8" w14:textId="77777777" w:rsidR="00D85B9C" w:rsidRPr="00670755" w:rsidRDefault="00D85B9C" w:rsidP="00D85B9C">
            <w:pPr>
              <w:ind w:right="-144"/>
              <w:rPr>
                <w:rFonts w:cs="Arial"/>
              </w:rPr>
            </w:pPr>
          </w:p>
        </w:tc>
        <w:tc>
          <w:tcPr>
            <w:tcW w:w="4792" w:type="dxa"/>
          </w:tcPr>
          <w:p w14:paraId="38EC4DAE" w14:textId="243FF896" w:rsidR="00D85B9C" w:rsidRPr="0084637E" w:rsidRDefault="00D85B9C" w:rsidP="00D85B9C">
            <w:pPr>
              <w:ind w:right="-144"/>
              <w:rPr>
                <w:rFonts w:cs="Arial"/>
                <w:b/>
                <w:bCs/>
              </w:rPr>
            </w:pPr>
            <w:r w:rsidRPr="7821F417">
              <w:rPr>
                <w:rFonts w:cs="Arial"/>
                <w:b/>
                <w:bCs/>
              </w:rPr>
              <w:t>Profit before tax</w:t>
            </w:r>
          </w:p>
        </w:tc>
        <w:tc>
          <w:tcPr>
            <w:tcW w:w="851" w:type="dxa"/>
          </w:tcPr>
          <w:p w14:paraId="5C6CE36D" w14:textId="77777777" w:rsidR="00D85B9C" w:rsidRPr="008D36E7" w:rsidRDefault="00D85B9C" w:rsidP="00D85B9C">
            <w:pPr>
              <w:tabs>
                <w:tab w:val="decimal" w:pos="1424"/>
              </w:tabs>
              <w:ind w:right="-144"/>
              <w:rPr>
                <w:rFonts w:cs="Arial"/>
                <w:b/>
                <w:bCs/>
              </w:rPr>
            </w:pPr>
          </w:p>
        </w:tc>
        <w:tc>
          <w:tcPr>
            <w:tcW w:w="1559" w:type="dxa"/>
          </w:tcPr>
          <w:p w14:paraId="585DB6EB" w14:textId="663879D9" w:rsidR="00D85B9C" w:rsidRPr="00D7455F" w:rsidRDefault="00D85B9C" w:rsidP="00D85B9C">
            <w:pPr>
              <w:tabs>
                <w:tab w:val="decimal" w:pos="1424"/>
              </w:tabs>
              <w:ind w:right="-144"/>
              <w:rPr>
                <w:rFonts w:cs="Arial"/>
                <w:b/>
                <w:bCs/>
              </w:rPr>
            </w:pPr>
            <w:r>
              <w:rPr>
                <w:rFonts w:cs="Arial"/>
                <w:b/>
                <w:bCs/>
              </w:rPr>
              <w:t>32,472</w:t>
            </w:r>
          </w:p>
        </w:tc>
        <w:tc>
          <w:tcPr>
            <w:tcW w:w="1933" w:type="dxa"/>
          </w:tcPr>
          <w:p w14:paraId="1E3F4BE9" w14:textId="6B2E5C24" w:rsidR="00D85B9C" w:rsidRPr="001811A2" w:rsidRDefault="00D85B9C" w:rsidP="00D85B9C">
            <w:pPr>
              <w:tabs>
                <w:tab w:val="decimal" w:pos="1424"/>
              </w:tabs>
              <w:ind w:right="-144"/>
              <w:rPr>
                <w:rFonts w:cs="Arial"/>
              </w:rPr>
            </w:pPr>
            <w:r w:rsidRPr="001811A2">
              <w:rPr>
                <w:rFonts w:cs="Arial"/>
              </w:rPr>
              <w:t>989</w:t>
            </w:r>
          </w:p>
        </w:tc>
      </w:tr>
      <w:tr w:rsidR="00D85B9C" w:rsidRPr="00891FAB" w14:paraId="6570BC96" w14:textId="77777777" w:rsidTr="7821F417">
        <w:trPr>
          <w:trHeight w:val="372"/>
        </w:trPr>
        <w:tc>
          <w:tcPr>
            <w:tcW w:w="453" w:type="dxa"/>
          </w:tcPr>
          <w:p w14:paraId="7DEDE865" w14:textId="77777777" w:rsidR="00D85B9C" w:rsidRPr="00670755" w:rsidRDefault="00D85B9C" w:rsidP="00D85B9C">
            <w:pPr>
              <w:ind w:right="-144"/>
              <w:rPr>
                <w:rFonts w:cs="Arial"/>
              </w:rPr>
            </w:pPr>
          </w:p>
        </w:tc>
        <w:tc>
          <w:tcPr>
            <w:tcW w:w="4792" w:type="dxa"/>
          </w:tcPr>
          <w:p w14:paraId="2AF95551" w14:textId="77777777" w:rsidR="00D85B9C" w:rsidRPr="00670755" w:rsidRDefault="00D85B9C" w:rsidP="00D85B9C">
            <w:pPr>
              <w:ind w:right="-144"/>
              <w:rPr>
                <w:rFonts w:cs="Arial"/>
              </w:rPr>
            </w:pPr>
          </w:p>
        </w:tc>
        <w:tc>
          <w:tcPr>
            <w:tcW w:w="851" w:type="dxa"/>
          </w:tcPr>
          <w:p w14:paraId="3A4ACA2F" w14:textId="77777777" w:rsidR="00D85B9C" w:rsidRPr="0020070D" w:rsidRDefault="00D85B9C" w:rsidP="00D85B9C">
            <w:pPr>
              <w:tabs>
                <w:tab w:val="decimal" w:pos="1424"/>
              </w:tabs>
              <w:ind w:right="-144"/>
              <w:rPr>
                <w:rFonts w:cs="Arial"/>
                <w:b/>
                <w:bCs/>
              </w:rPr>
            </w:pPr>
          </w:p>
        </w:tc>
        <w:tc>
          <w:tcPr>
            <w:tcW w:w="1559" w:type="dxa"/>
          </w:tcPr>
          <w:p w14:paraId="623B4B08" w14:textId="77777777" w:rsidR="00D85B9C" w:rsidRPr="00D7455F" w:rsidRDefault="00D85B9C" w:rsidP="00D85B9C">
            <w:pPr>
              <w:tabs>
                <w:tab w:val="decimal" w:pos="1424"/>
              </w:tabs>
              <w:ind w:right="-144"/>
              <w:rPr>
                <w:rFonts w:cs="Arial"/>
                <w:b/>
                <w:bCs/>
                <w:u w:val="double"/>
              </w:rPr>
            </w:pPr>
            <w:r w:rsidRPr="7821F417">
              <w:rPr>
                <w:rFonts w:cs="Arial"/>
                <w:b/>
                <w:bCs/>
                <w:u w:val="double"/>
              </w:rPr>
              <w:t>                  </w:t>
            </w:r>
          </w:p>
        </w:tc>
        <w:tc>
          <w:tcPr>
            <w:tcW w:w="1933" w:type="dxa"/>
          </w:tcPr>
          <w:p w14:paraId="17BA6992" w14:textId="77777777" w:rsidR="00D85B9C" w:rsidRPr="00891FAB" w:rsidRDefault="00D85B9C" w:rsidP="00D85B9C">
            <w:pPr>
              <w:tabs>
                <w:tab w:val="decimal" w:pos="1424"/>
              </w:tabs>
              <w:ind w:right="-144"/>
              <w:rPr>
                <w:rFonts w:cs="Arial"/>
                <w:u w:val="double"/>
              </w:rPr>
            </w:pPr>
            <w:r w:rsidRPr="7821F417">
              <w:rPr>
                <w:rFonts w:cs="Arial"/>
                <w:u w:val="double"/>
              </w:rPr>
              <w:t>                  </w:t>
            </w:r>
          </w:p>
        </w:tc>
      </w:tr>
    </w:tbl>
    <w:p w14:paraId="19214555" w14:textId="573F5DAF" w:rsidR="00254C46" w:rsidRPr="00254C46" w:rsidRDefault="00254C46" w:rsidP="00254C46">
      <w:pPr>
        <w:sectPr w:rsidR="00254C46" w:rsidRPr="00254C46" w:rsidSect="00E5419A">
          <w:headerReference w:type="even" r:id="rId58"/>
          <w:headerReference w:type="default" r:id="rId59"/>
          <w:footerReference w:type="even" r:id="rId60"/>
          <w:footerReference w:type="default" r:id="rId61"/>
          <w:headerReference w:type="first" r:id="rId62"/>
          <w:footerReference w:type="first" r:id="rId63"/>
          <w:pgSz w:w="11909" w:h="16834" w:code="9"/>
          <w:pgMar w:top="1080" w:right="1077" w:bottom="1077" w:left="1440" w:header="1134" w:footer="709" w:gutter="0"/>
          <w:cols w:space="720"/>
          <w:noEndnote/>
          <w:docGrid w:linePitch="272"/>
        </w:sectPr>
      </w:pPr>
    </w:p>
    <w:p w14:paraId="5321EB74" w14:textId="0A87F20B" w:rsidR="00254C46" w:rsidRPr="006B176D" w:rsidRDefault="008C396A" w:rsidP="7821F417">
      <w:pPr>
        <w:pStyle w:val="NotesHeading"/>
        <w:rPr>
          <w:b w:val="0"/>
          <w:i/>
          <w:iCs/>
          <w:color w:val="000000" w:themeColor="text1"/>
        </w:rPr>
      </w:pPr>
      <w:r w:rsidRPr="7821F417">
        <w:rPr>
          <w:color w:val="000000" w:themeColor="text1"/>
        </w:rPr>
        <w:lastRenderedPageBreak/>
        <w:t>7</w:t>
      </w:r>
      <w:r>
        <w:tab/>
      </w:r>
      <w:r w:rsidR="00254C46" w:rsidRPr="7821F417">
        <w:rPr>
          <w:color w:val="000000" w:themeColor="text1"/>
        </w:rPr>
        <w:t xml:space="preserve">Segmental information </w:t>
      </w:r>
      <w:r w:rsidR="00254C46" w:rsidRPr="7821F417">
        <w:rPr>
          <w:b w:val="0"/>
          <w:i/>
          <w:iCs/>
          <w:color w:val="000000" w:themeColor="text1"/>
        </w:rPr>
        <w:t>(continued)</w:t>
      </w:r>
    </w:p>
    <w:p w14:paraId="5752A2C6" w14:textId="77777777" w:rsidR="00254C46" w:rsidRDefault="00254C46" w:rsidP="7821F417">
      <w:pPr>
        <w:autoSpaceDE w:val="0"/>
        <w:autoSpaceDN w:val="0"/>
        <w:adjustRightInd w:val="0"/>
        <w:rPr>
          <w:rFonts w:cs="Arial"/>
          <w:b/>
          <w:bCs/>
          <w:sz w:val="19"/>
          <w:szCs w:val="19"/>
        </w:rPr>
      </w:pPr>
    </w:p>
    <w:p w14:paraId="183B61CB" w14:textId="77777777" w:rsidR="00254C46" w:rsidRPr="00B04459" w:rsidRDefault="00254C46" w:rsidP="7821F417">
      <w:pPr>
        <w:autoSpaceDE w:val="0"/>
        <w:autoSpaceDN w:val="0"/>
        <w:adjustRightInd w:val="0"/>
        <w:ind w:firstLine="448"/>
        <w:rPr>
          <w:rFonts w:cs="Arial"/>
          <w:b/>
          <w:bCs/>
          <w:sz w:val="19"/>
          <w:szCs w:val="19"/>
        </w:rPr>
      </w:pPr>
      <w:r w:rsidRPr="7821F417">
        <w:rPr>
          <w:rFonts w:cs="Arial"/>
          <w:b/>
          <w:bCs/>
        </w:rPr>
        <w:t>Segment assets and liabilities</w:t>
      </w:r>
      <w:r>
        <w:tab/>
      </w:r>
      <w:r>
        <w:tab/>
      </w:r>
      <w:r>
        <w:tab/>
      </w:r>
      <w:r>
        <w:tab/>
      </w:r>
    </w:p>
    <w:tbl>
      <w:tblPr>
        <w:tblW w:w="13782" w:type="dxa"/>
        <w:tblInd w:w="-32" w:type="dxa"/>
        <w:tblLayout w:type="fixed"/>
        <w:tblCellMar>
          <w:left w:w="0" w:type="dxa"/>
          <w:right w:w="115" w:type="dxa"/>
        </w:tblCellMar>
        <w:tblLook w:val="04A0" w:firstRow="1" w:lastRow="0" w:firstColumn="1" w:lastColumn="0" w:noHBand="0" w:noVBand="1"/>
      </w:tblPr>
      <w:tblGrid>
        <w:gridCol w:w="435"/>
        <w:gridCol w:w="3678"/>
        <w:gridCol w:w="1589"/>
        <w:gridCol w:w="1560"/>
        <w:gridCol w:w="1701"/>
        <w:gridCol w:w="1559"/>
        <w:gridCol w:w="1559"/>
        <w:gridCol w:w="1701"/>
      </w:tblGrid>
      <w:tr w:rsidR="009549B1" w:rsidRPr="00891FAB" w14:paraId="7FF8B6A7" w14:textId="77777777" w:rsidTr="009549B1">
        <w:trPr>
          <w:trHeight w:val="143"/>
        </w:trPr>
        <w:tc>
          <w:tcPr>
            <w:tcW w:w="435" w:type="dxa"/>
          </w:tcPr>
          <w:p w14:paraId="392376BF" w14:textId="77777777" w:rsidR="009549B1" w:rsidRPr="00670755" w:rsidRDefault="009549B1" w:rsidP="7821F417">
            <w:pPr>
              <w:ind w:right="-144"/>
              <w:rPr>
                <w:rFonts w:cs="Arial"/>
              </w:rPr>
            </w:pPr>
          </w:p>
        </w:tc>
        <w:tc>
          <w:tcPr>
            <w:tcW w:w="3678" w:type="dxa"/>
          </w:tcPr>
          <w:p w14:paraId="208F5A9A" w14:textId="77777777" w:rsidR="009549B1" w:rsidRDefault="009549B1" w:rsidP="7821F417">
            <w:pPr>
              <w:ind w:right="-144"/>
              <w:rPr>
                <w:rFonts w:cs="Arial"/>
              </w:rPr>
            </w:pPr>
          </w:p>
        </w:tc>
        <w:tc>
          <w:tcPr>
            <w:tcW w:w="4850" w:type="dxa"/>
            <w:gridSpan w:val="3"/>
          </w:tcPr>
          <w:p w14:paraId="7D1332D7" w14:textId="612284E8" w:rsidR="009549B1" w:rsidRPr="7821F417" w:rsidRDefault="00FD63F6" w:rsidP="00F57956">
            <w:pPr>
              <w:tabs>
                <w:tab w:val="decimal" w:pos="1424"/>
              </w:tabs>
              <w:ind w:right="-144"/>
              <w:jc w:val="center"/>
              <w:rPr>
                <w:rFonts w:cs="Arial"/>
                <w:b/>
                <w:bCs/>
              </w:rPr>
            </w:pPr>
            <w:r>
              <w:rPr>
                <w:rFonts w:cs="Arial"/>
                <w:b/>
                <w:bCs/>
              </w:rPr>
              <w:t>30 June 2025</w:t>
            </w:r>
          </w:p>
        </w:tc>
        <w:tc>
          <w:tcPr>
            <w:tcW w:w="4819" w:type="dxa"/>
            <w:gridSpan w:val="3"/>
          </w:tcPr>
          <w:p w14:paraId="3E4E00A9" w14:textId="4B93A785" w:rsidR="009549B1" w:rsidRPr="7821F417" w:rsidRDefault="008C3193" w:rsidP="00F57956">
            <w:pPr>
              <w:tabs>
                <w:tab w:val="decimal" w:pos="1424"/>
              </w:tabs>
              <w:ind w:right="-144"/>
              <w:jc w:val="center"/>
              <w:rPr>
                <w:rFonts w:cs="Arial"/>
                <w:b/>
                <w:bCs/>
              </w:rPr>
            </w:pPr>
            <w:r>
              <w:rPr>
                <w:rFonts w:cs="Arial"/>
                <w:b/>
                <w:bCs/>
              </w:rPr>
              <w:t xml:space="preserve">As restated </w:t>
            </w:r>
            <w:r w:rsidR="00FD63F6">
              <w:rPr>
                <w:rFonts w:cs="Arial"/>
                <w:b/>
                <w:bCs/>
              </w:rPr>
              <w:t>31 December 2024</w:t>
            </w:r>
          </w:p>
        </w:tc>
      </w:tr>
      <w:tr w:rsidR="009549B1" w:rsidRPr="00891FAB" w14:paraId="345AE25C" w14:textId="77777777" w:rsidTr="009549B1">
        <w:trPr>
          <w:trHeight w:val="204"/>
        </w:trPr>
        <w:tc>
          <w:tcPr>
            <w:tcW w:w="435" w:type="dxa"/>
          </w:tcPr>
          <w:p w14:paraId="0384107E" w14:textId="77777777" w:rsidR="009549B1" w:rsidRPr="00670755" w:rsidRDefault="009549B1" w:rsidP="7821F417">
            <w:pPr>
              <w:ind w:right="-144"/>
              <w:rPr>
                <w:rFonts w:cs="Arial"/>
              </w:rPr>
            </w:pPr>
          </w:p>
        </w:tc>
        <w:tc>
          <w:tcPr>
            <w:tcW w:w="3678" w:type="dxa"/>
          </w:tcPr>
          <w:p w14:paraId="7C7973EF" w14:textId="77777777" w:rsidR="009549B1" w:rsidRDefault="009549B1" w:rsidP="7821F417">
            <w:pPr>
              <w:ind w:right="-144"/>
              <w:rPr>
                <w:rFonts w:cs="Arial"/>
              </w:rPr>
            </w:pPr>
          </w:p>
        </w:tc>
        <w:tc>
          <w:tcPr>
            <w:tcW w:w="1589" w:type="dxa"/>
          </w:tcPr>
          <w:p w14:paraId="5A618093" w14:textId="77777777" w:rsidR="009549B1" w:rsidRDefault="009549B1" w:rsidP="7821F417">
            <w:pPr>
              <w:tabs>
                <w:tab w:val="decimal" w:pos="1424"/>
              </w:tabs>
              <w:ind w:left="-460" w:right="-144" w:firstLine="460"/>
              <w:rPr>
                <w:rFonts w:cs="Arial"/>
                <w:b/>
                <w:bCs/>
              </w:rPr>
            </w:pPr>
          </w:p>
        </w:tc>
        <w:tc>
          <w:tcPr>
            <w:tcW w:w="1560" w:type="dxa"/>
          </w:tcPr>
          <w:p w14:paraId="15D95D56" w14:textId="1B8FF6D8" w:rsidR="009549B1" w:rsidRDefault="009549B1" w:rsidP="7821F417">
            <w:pPr>
              <w:tabs>
                <w:tab w:val="decimal" w:pos="1424"/>
              </w:tabs>
              <w:ind w:right="-144"/>
              <w:rPr>
                <w:rFonts w:cs="Arial"/>
                <w:b/>
                <w:bCs/>
              </w:rPr>
            </w:pPr>
          </w:p>
        </w:tc>
        <w:tc>
          <w:tcPr>
            <w:tcW w:w="1701" w:type="dxa"/>
          </w:tcPr>
          <w:p w14:paraId="4EDE700D" w14:textId="77777777" w:rsidR="009549B1" w:rsidRDefault="009549B1" w:rsidP="7821F417">
            <w:pPr>
              <w:tabs>
                <w:tab w:val="decimal" w:pos="1424"/>
              </w:tabs>
              <w:ind w:right="-144"/>
              <w:rPr>
                <w:rFonts w:cs="Arial"/>
                <w:b/>
                <w:bCs/>
              </w:rPr>
            </w:pPr>
          </w:p>
        </w:tc>
        <w:tc>
          <w:tcPr>
            <w:tcW w:w="1559" w:type="dxa"/>
          </w:tcPr>
          <w:p w14:paraId="467D8B53" w14:textId="2F0F4C99" w:rsidR="009549B1" w:rsidRDefault="009549B1" w:rsidP="7821F417">
            <w:pPr>
              <w:tabs>
                <w:tab w:val="decimal" w:pos="1424"/>
              </w:tabs>
              <w:ind w:right="-144"/>
              <w:rPr>
                <w:rFonts w:cs="Arial"/>
                <w:b/>
                <w:bCs/>
              </w:rPr>
            </w:pPr>
          </w:p>
        </w:tc>
        <w:tc>
          <w:tcPr>
            <w:tcW w:w="1559" w:type="dxa"/>
          </w:tcPr>
          <w:p w14:paraId="4CF5D116" w14:textId="5E94F072" w:rsidR="009549B1" w:rsidRPr="002D060C" w:rsidRDefault="009549B1" w:rsidP="7821F417">
            <w:pPr>
              <w:tabs>
                <w:tab w:val="decimal" w:pos="1424"/>
              </w:tabs>
              <w:ind w:right="-144"/>
              <w:rPr>
                <w:rFonts w:cs="Arial"/>
                <w:b/>
                <w:bCs/>
              </w:rPr>
            </w:pPr>
          </w:p>
        </w:tc>
        <w:tc>
          <w:tcPr>
            <w:tcW w:w="1701" w:type="dxa"/>
          </w:tcPr>
          <w:p w14:paraId="6EF12665" w14:textId="400D702B" w:rsidR="009549B1" w:rsidRPr="002D060C" w:rsidRDefault="009549B1" w:rsidP="7821F417">
            <w:pPr>
              <w:tabs>
                <w:tab w:val="decimal" w:pos="1424"/>
              </w:tabs>
              <w:ind w:right="-144"/>
              <w:rPr>
                <w:rFonts w:cs="Arial"/>
                <w:b/>
                <w:bCs/>
              </w:rPr>
            </w:pPr>
          </w:p>
        </w:tc>
      </w:tr>
      <w:tr w:rsidR="009549B1" w:rsidRPr="00891FAB" w14:paraId="59278849" w14:textId="77777777" w:rsidTr="009549B1">
        <w:trPr>
          <w:trHeight w:val="191"/>
        </w:trPr>
        <w:tc>
          <w:tcPr>
            <w:tcW w:w="435" w:type="dxa"/>
          </w:tcPr>
          <w:p w14:paraId="1DAAAC08" w14:textId="77777777" w:rsidR="009549B1" w:rsidRPr="00670755" w:rsidRDefault="009549B1" w:rsidP="7821F417">
            <w:pPr>
              <w:ind w:right="-144"/>
              <w:rPr>
                <w:rFonts w:cs="Arial"/>
              </w:rPr>
            </w:pPr>
          </w:p>
        </w:tc>
        <w:tc>
          <w:tcPr>
            <w:tcW w:w="3678" w:type="dxa"/>
          </w:tcPr>
          <w:p w14:paraId="379662C2" w14:textId="77777777" w:rsidR="009549B1" w:rsidRDefault="009549B1" w:rsidP="7821F417">
            <w:pPr>
              <w:ind w:right="-144"/>
              <w:rPr>
                <w:rFonts w:cs="Arial"/>
              </w:rPr>
            </w:pPr>
          </w:p>
        </w:tc>
        <w:tc>
          <w:tcPr>
            <w:tcW w:w="1589" w:type="dxa"/>
          </w:tcPr>
          <w:p w14:paraId="1F577AA1" w14:textId="5639F016" w:rsidR="009549B1" w:rsidRDefault="009549B1" w:rsidP="008D1819">
            <w:pPr>
              <w:tabs>
                <w:tab w:val="decimal" w:pos="1424"/>
              </w:tabs>
              <w:ind w:right="-144"/>
              <w:rPr>
                <w:rFonts w:cs="Arial"/>
                <w:b/>
                <w:bCs/>
              </w:rPr>
            </w:pPr>
            <w:r>
              <w:rPr>
                <w:rFonts w:cs="Arial"/>
                <w:b/>
                <w:bCs/>
              </w:rPr>
              <w:t>Home</w:t>
            </w:r>
            <w:r w:rsidR="00FA48FD">
              <w:rPr>
                <w:rFonts w:cs="Arial"/>
                <w:b/>
                <w:bCs/>
              </w:rPr>
              <w:t>building</w:t>
            </w:r>
          </w:p>
        </w:tc>
        <w:tc>
          <w:tcPr>
            <w:tcW w:w="1560" w:type="dxa"/>
          </w:tcPr>
          <w:p w14:paraId="283D4888" w14:textId="76FDE35A" w:rsidR="009549B1" w:rsidRPr="002D060C" w:rsidRDefault="009549B1" w:rsidP="7821F417">
            <w:pPr>
              <w:tabs>
                <w:tab w:val="decimal" w:pos="1424"/>
              </w:tabs>
              <w:ind w:right="-144"/>
              <w:rPr>
                <w:rFonts w:cs="Arial"/>
                <w:b/>
                <w:bCs/>
              </w:rPr>
            </w:pPr>
            <w:r w:rsidRPr="7821F417">
              <w:rPr>
                <w:rFonts w:cs="Arial"/>
                <w:b/>
                <w:bCs/>
              </w:rPr>
              <w:t>Partnerships</w:t>
            </w:r>
          </w:p>
        </w:tc>
        <w:tc>
          <w:tcPr>
            <w:tcW w:w="1701" w:type="dxa"/>
          </w:tcPr>
          <w:p w14:paraId="521443A0" w14:textId="77777777" w:rsidR="009549B1" w:rsidRPr="002D060C" w:rsidRDefault="009549B1" w:rsidP="7821F417">
            <w:pPr>
              <w:tabs>
                <w:tab w:val="decimal" w:pos="1424"/>
              </w:tabs>
              <w:ind w:right="-144"/>
              <w:rPr>
                <w:rFonts w:cs="Arial"/>
                <w:b/>
                <w:bCs/>
              </w:rPr>
            </w:pPr>
            <w:r w:rsidRPr="7821F417">
              <w:rPr>
                <w:rFonts w:cs="Arial"/>
                <w:b/>
                <w:bCs/>
              </w:rPr>
              <w:t>Total</w:t>
            </w:r>
          </w:p>
        </w:tc>
        <w:tc>
          <w:tcPr>
            <w:tcW w:w="1559" w:type="dxa"/>
          </w:tcPr>
          <w:p w14:paraId="6E733022" w14:textId="16C4018F" w:rsidR="009549B1" w:rsidRPr="002D060C" w:rsidRDefault="00FA48FD" w:rsidP="7821F417">
            <w:pPr>
              <w:tabs>
                <w:tab w:val="decimal" w:pos="1424"/>
              </w:tabs>
              <w:ind w:right="-144"/>
              <w:rPr>
                <w:rFonts w:cs="Arial"/>
                <w:b/>
                <w:bCs/>
              </w:rPr>
            </w:pPr>
            <w:r>
              <w:rPr>
                <w:rFonts w:cs="Arial"/>
                <w:b/>
                <w:bCs/>
              </w:rPr>
              <w:t>Homebuilding</w:t>
            </w:r>
          </w:p>
        </w:tc>
        <w:tc>
          <w:tcPr>
            <w:tcW w:w="1559" w:type="dxa"/>
          </w:tcPr>
          <w:p w14:paraId="33A62560" w14:textId="61A1F3DA" w:rsidR="009549B1" w:rsidRDefault="009549B1" w:rsidP="7821F417">
            <w:pPr>
              <w:tabs>
                <w:tab w:val="decimal" w:pos="1424"/>
              </w:tabs>
              <w:ind w:right="-144"/>
              <w:rPr>
                <w:rFonts w:cs="Arial"/>
                <w:b/>
                <w:bCs/>
              </w:rPr>
            </w:pPr>
            <w:r w:rsidRPr="7821F417">
              <w:rPr>
                <w:rFonts w:cs="Arial"/>
                <w:b/>
                <w:bCs/>
              </w:rPr>
              <w:t>Partnerships</w:t>
            </w:r>
          </w:p>
        </w:tc>
        <w:tc>
          <w:tcPr>
            <w:tcW w:w="1701" w:type="dxa"/>
          </w:tcPr>
          <w:p w14:paraId="2F3D2E57" w14:textId="64EEAE6B" w:rsidR="009549B1" w:rsidRPr="002D060C" w:rsidRDefault="009549B1" w:rsidP="7821F417">
            <w:pPr>
              <w:tabs>
                <w:tab w:val="decimal" w:pos="1424"/>
              </w:tabs>
              <w:ind w:right="-144"/>
              <w:rPr>
                <w:rFonts w:cs="Arial"/>
                <w:b/>
                <w:bCs/>
              </w:rPr>
            </w:pPr>
            <w:r w:rsidRPr="7821F417">
              <w:rPr>
                <w:rFonts w:cs="Arial"/>
                <w:b/>
                <w:bCs/>
              </w:rPr>
              <w:t>Total</w:t>
            </w:r>
          </w:p>
        </w:tc>
      </w:tr>
      <w:tr w:rsidR="009549B1" w:rsidRPr="00891FAB" w14:paraId="051A50A5" w14:textId="77777777" w:rsidTr="009549B1">
        <w:trPr>
          <w:trHeight w:val="191"/>
        </w:trPr>
        <w:tc>
          <w:tcPr>
            <w:tcW w:w="435" w:type="dxa"/>
          </w:tcPr>
          <w:p w14:paraId="5CA439B3" w14:textId="77777777" w:rsidR="009549B1" w:rsidRPr="00670755" w:rsidRDefault="009549B1" w:rsidP="7821F417">
            <w:pPr>
              <w:ind w:right="-144"/>
              <w:rPr>
                <w:rFonts w:cs="Arial"/>
              </w:rPr>
            </w:pPr>
          </w:p>
        </w:tc>
        <w:tc>
          <w:tcPr>
            <w:tcW w:w="3678" w:type="dxa"/>
          </w:tcPr>
          <w:p w14:paraId="2346786C" w14:textId="77777777" w:rsidR="009549B1" w:rsidRDefault="009549B1" w:rsidP="7821F417">
            <w:pPr>
              <w:ind w:right="-144"/>
              <w:rPr>
                <w:rFonts w:cs="Arial"/>
              </w:rPr>
            </w:pPr>
          </w:p>
        </w:tc>
        <w:tc>
          <w:tcPr>
            <w:tcW w:w="1589" w:type="dxa"/>
          </w:tcPr>
          <w:p w14:paraId="61868C64" w14:textId="7D7314E3" w:rsidR="009549B1" w:rsidRDefault="009549B1" w:rsidP="008918E3">
            <w:pPr>
              <w:tabs>
                <w:tab w:val="decimal" w:pos="1404"/>
              </w:tabs>
              <w:ind w:right="-144"/>
              <w:rPr>
                <w:rFonts w:cs="Arial"/>
                <w:b/>
                <w:bCs/>
              </w:rPr>
            </w:pPr>
            <w:r w:rsidRPr="7821F417">
              <w:rPr>
                <w:rFonts w:cs="Arial"/>
                <w:b/>
                <w:bCs/>
              </w:rPr>
              <w:t>€’000</w:t>
            </w:r>
          </w:p>
        </w:tc>
        <w:tc>
          <w:tcPr>
            <w:tcW w:w="1560" w:type="dxa"/>
          </w:tcPr>
          <w:p w14:paraId="75B6E1F7" w14:textId="77777777" w:rsidR="009549B1" w:rsidRPr="002D060C" w:rsidRDefault="009549B1" w:rsidP="7821F417">
            <w:pPr>
              <w:tabs>
                <w:tab w:val="decimal" w:pos="1424"/>
              </w:tabs>
              <w:ind w:right="-144"/>
              <w:rPr>
                <w:rFonts w:cs="Arial"/>
                <w:b/>
                <w:bCs/>
              </w:rPr>
            </w:pPr>
            <w:r w:rsidRPr="7821F417">
              <w:rPr>
                <w:rFonts w:cs="Arial"/>
                <w:b/>
                <w:bCs/>
              </w:rPr>
              <w:t>€’000</w:t>
            </w:r>
          </w:p>
        </w:tc>
        <w:tc>
          <w:tcPr>
            <w:tcW w:w="1701" w:type="dxa"/>
          </w:tcPr>
          <w:p w14:paraId="0407C104" w14:textId="77777777" w:rsidR="009549B1" w:rsidRPr="002D060C" w:rsidRDefault="009549B1" w:rsidP="7821F417">
            <w:pPr>
              <w:tabs>
                <w:tab w:val="decimal" w:pos="1424"/>
              </w:tabs>
              <w:ind w:right="-144"/>
              <w:rPr>
                <w:rFonts w:cs="Arial"/>
                <w:b/>
                <w:bCs/>
              </w:rPr>
            </w:pPr>
            <w:r w:rsidRPr="7821F417">
              <w:rPr>
                <w:rFonts w:cs="Arial"/>
                <w:b/>
                <w:bCs/>
              </w:rPr>
              <w:t>€’000</w:t>
            </w:r>
          </w:p>
        </w:tc>
        <w:tc>
          <w:tcPr>
            <w:tcW w:w="1559" w:type="dxa"/>
          </w:tcPr>
          <w:p w14:paraId="38845972" w14:textId="77777777" w:rsidR="009549B1" w:rsidRPr="002D060C" w:rsidRDefault="009549B1" w:rsidP="7821F417">
            <w:pPr>
              <w:tabs>
                <w:tab w:val="decimal" w:pos="1424"/>
              </w:tabs>
              <w:ind w:right="-144"/>
              <w:rPr>
                <w:rFonts w:cs="Arial"/>
                <w:b/>
                <w:bCs/>
              </w:rPr>
            </w:pPr>
            <w:r w:rsidRPr="7821F417">
              <w:rPr>
                <w:rFonts w:cs="Arial"/>
                <w:b/>
                <w:bCs/>
              </w:rPr>
              <w:t>€’000</w:t>
            </w:r>
          </w:p>
        </w:tc>
        <w:tc>
          <w:tcPr>
            <w:tcW w:w="1559" w:type="dxa"/>
          </w:tcPr>
          <w:p w14:paraId="00CDE2A6" w14:textId="67517CFE" w:rsidR="009549B1" w:rsidRPr="002D060C" w:rsidRDefault="009549B1" w:rsidP="7821F417">
            <w:pPr>
              <w:tabs>
                <w:tab w:val="decimal" w:pos="1424"/>
              </w:tabs>
              <w:ind w:right="-144"/>
              <w:rPr>
                <w:rFonts w:cs="Arial"/>
                <w:b/>
                <w:bCs/>
              </w:rPr>
            </w:pPr>
            <w:r w:rsidRPr="7821F417">
              <w:rPr>
                <w:rFonts w:cs="Arial"/>
                <w:b/>
                <w:bCs/>
              </w:rPr>
              <w:t>€’000</w:t>
            </w:r>
          </w:p>
        </w:tc>
        <w:tc>
          <w:tcPr>
            <w:tcW w:w="1701" w:type="dxa"/>
          </w:tcPr>
          <w:p w14:paraId="620F6ECB" w14:textId="2F1CD96C" w:rsidR="009549B1" w:rsidRPr="002D060C" w:rsidRDefault="009549B1" w:rsidP="7821F417">
            <w:pPr>
              <w:tabs>
                <w:tab w:val="decimal" w:pos="1424"/>
              </w:tabs>
              <w:ind w:right="-144"/>
              <w:rPr>
                <w:rFonts w:cs="Arial"/>
                <w:b/>
                <w:bCs/>
              </w:rPr>
            </w:pPr>
            <w:r w:rsidRPr="7821F417">
              <w:rPr>
                <w:rFonts w:cs="Arial"/>
                <w:b/>
                <w:bCs/>
              </w:rPr>
              <w:t>€’000</w:t>
            </w:r>
          </w:p>
        </w:tc>
      </w:tr>
      <w:tr w:rsidR="009549B1" w:rsidRPr="00891FAB" w14:paraId="0402A775" w14:textId="77777777" w:rsidTr="009549B1">
        <w:trPr>
          <w:trHeight w:val="191"/>
        </w:trPr>
        <w:tc>
          <w:tcPr>
            <w:tcW w:w="435" w:type="dxa"/>
          </w:tcPr>
          <w:p w14:paraId="5D9476D2" w14:textId="77777777" w:rsidR="009549B1" w:rsidRPr="00670755" w:rsidRDefault="009549B1" w:rsidP="7821F417">
            <w:pPr>
              <w:ind w:right="-144"/>
              <w:rPr>
                <w:rFonts w:cs="Arial"/>
              </w:rPr>
            </w:pPr>
          </w:p>
        </w:tc>
        <w:tc>
          <w:tcPr>
            <w:tcW w:w="3678" w:type="dxa"/>
          </w:tcPr>
          <w:p w14:paraId="239F4EED" w14:textId="77777777" w:rsidR="009549B1" w:rsidRDefault="009549B1" w:rsidP="7821F417">
            <w:pPr>
              <w:ind w:right="-144"/>
              <w:rPr>
                <w:rFonts w:cs="Arial"/>
              </w:rPr>
            </w:pPr>
          </w:p>
        </w:tc>
        <w:tc>
          <w:tcPr>
            <w:tcW w:w="1589" w:type="dxa"/>
          </w:tcPr>
          <w:p w14:paraId="31A39E82" w14:textId="77777777" w:rsidR="009549B1" w:rsidRDefault="009549B1" w:rsidP="7821F417">
            <w:pPr>
              <w:tabs>
                <w:tab w:val="decimal" w:pos="1424"/>
              </w:tabs>
              <w:ind w:left="-460" w:right="-144" w:firstLine="460"/>
              <w:rPr>
                <w:rFonts w:cs="Arial"/>
                <w:b/>
                <w:bCs/>
              </w:rPr>
            </w:pPr>
          </w:p>
        </w:tc>
        <w:tc>
          <w:tcPr>
            <w:tcW w:w="1560" w:type="dxa"/>
          </w:tcPr>
          <w:p w14:paraId="689AB794" w14:textId="77777777" w:rsidR="009549B1" w:rsidRPr="002D060C" w:rsidRDefault="009549B1" w:rsidP="7821F417">
            <w:pPr>
              <w:tabs>
                <w:tab w:val="decimal" w:pos="1424"/>
              </w:tabs>
              <w:ind w:right="-144"/>
              <w:rPr>
                <w:rFonts w:cs="Arial"/>
                <w:b/>
                <w:bCs/>
              </w:rPr>
            </w:pPr>
          </w:p>
        </w:tc>
        <w:tc>
          <w:tcPr>
            <w:tcW w:w="1701" w:type="dxa"/>
          </w:tcPr>
          <w:p w14:paraId="1281A560" w14:textId="77777777" w:rsidR="009549B1" w:rsidRPr="002D060C" w:rsidRDefault="009549B1" w:rsidP="7821F417">
            <w:pPr>
              <w:tabs>
                <w:tab w:val="decimal" w:pos="1424"/>
              </w:tabs>
              <w:ind w:right="-144"/>
              <w:rPr>
                <w:rFonts w:cs="Arial"/>
                <w:b/>
                <w:bCs/>
              </w:rPr>
            </w:pPr>
          </w:p>
        </w:tc>
        <w:tc>
          <w:tcPr>
            <w:tcW w:w="1559" w:type="dxa"/>
          </w:tcPr>
          <w:p w14:paraId="12B209FA" w14:textId="77777777" w:rsidR="009549B1" w:rsidRPr="002D060C" w:rsidRDefault="009549B1" w:rsidP="7821F417">
            <w:pPr>
              <w:tabs>
                <w:tab w:val="decimal" w:pos="1424"/>
              </w:tabs>
              <w:ind w:right="-144"/>
              <w:rPr>
                <w:rFonts w:cs="Arial"/>
                <w:b/>
                <w:bCs/>
              </w:rPr>
            </w:pPr>
          </w:p>
        </w:tc>
        <w:tc>
          <w:tcPr>
            <w:tcW w:w="1559" w:type="dxa"/>
          </w:tcPr>
          <w:p w14:paraId="46AE3ECD" w14:textId="77777777" w:rsidR="009549B1" w:rsidRPr="002D060C" w:rsidRDefault="009549B1" w:rsidP="7821F417">
            <w:pPr>
              <w:tabs>
                <w:tab w:val="decimal" w:pos="1424"/>
              </w:tabs>
              <w:ind w:right="-144"/>
              <w:rPr>
                <w:rFonts w:cs="Arial"/>
                <w:b/>
                <w:bCs/>
              </w:rPr>
            </w:pPr>
          </w:p>
        </w:tc>
        <w:tc>
          <w:tcPr>
            <w:tcW w:w="1701" w:type="dxa"/>
          </w:tcPr>
          <w:p w14:paraId="44D03EB6" w14:textId="668991E0" w:rsidR="009549B1" w:rsidRPr="002D060C" w:rsidRDefault="009549B1" w:rsidP="7821F417">
            <w:pPr>
              <w:tabs>
                <w:tab w:val="decimal" w:pos="1424"/>
              </w:tabs>
              <w:ind w:right="-144"/>
              <w:rPr>
                <w:rFonts w:cs="Arial"/>
                <w:b/>
                <w:bCs/>
              </w:rPr>
            </w:pPr>
          </w:p>
        </w:tc>
      </w:tr>
      <w:tr w:rsidR="009549B1" w:rsidRPr="00891FAB" w14:paraId="7FADD2CC" w14:textId="77777777" w:rsidTr="009549B1">
        <w:trPr>
          <w:trHeight w:val="204"/>
        </w:trPr>
        <w:tc>
          <w:tcPr>
            <w:tcW w:w="435" w:type="dxa"/>
          </w:tcPr>
          <w:p w14:paraId="74DEF716" w14:textId="77777777" w:rsidR="009549B1" w:rsidRPr="00670755" w:rsidRDefault="009549B1" w:rsidP="7821F417">
            <w:pPr>
              <w:ind w:right="-144"/>
              <w:rPr>
                <w:rFonts w:cs="Arial"/>
              </w:rPr>
            </w:pPr>
          </w:p>
        </w:tc>
        <w:tc>
          <w:tcPr>
            <w:tcW w:w="3678" w:type="dxa"/>
          </w:tcPr>
          <w:p w14:paraId="28BA010D" w14:textId="77777777" w:rsidR="009549B1" w:rsidRPr="00C97A82" w:rsidRDefault="009549B1" w:rsidP="7821F417">
            <w:pPr>
              <w:ind w:right="-144"/>
              <w:rPr>
                <w:rFonts w:cs="Arial"/>
                <w:i/>
                <w:iCs/>
              </w:rPr>
            </w:pPr>
            <w:r w:rsidRPr="7821F417">
              <w:rPr>
                <w:rFonts w:cs="Arial"/>
                <w:i/>
                <w:iCs/>
              </w:rPr>
              <w:t xml:space="preserve">Segment assets </w:t>
            </w:r>
          </w:p>
        </w:tc>
        <w:tc>
          <w:tcPr>
            <w:tcW w:w="1589" w:type="dxa"/>
          </w:tcPr>
          <w:p w14:paraId="02C72585" w14:textId="3191522B" w:rsidR="009549B1" w:rsidRDefault="00792E4F" w:rsidP="7821F417">
            <w:pPr>
              <w:tabs>
                <w:tab w:val="decimal" w:pos="1424"/>
              </w:tabs>
              <w:ind w:right="-144"/>
              <w:rPr>
                <w:rFonts w:cs="Arial"/>
                <w:b/>
                <w:bCs/>
              </w:rPr>
            </w:pPr>
            <w:r>
              <w:rPr>
                <w:rFonts w:cs="Arial"/>
                <w:b/>
                <w:bCs/>
              </w:rPr>
              <w:t>724,593</w:t>
            </w:r>
          </w:p>
        </w:tc>
        <w:tc>
          <w:tcPr>
            <w:tcW w:w="1560" w:type="dxa"/>
          </w:tcPr>
          <w:p w14:paraId="1D7928D8" w14:textId="6B1DF91E" w:rsidR="009549B1" w:rsidRPr="00FF2186" w:rsidRDefault="00062D68" w:rsidP="7821F417">
            <w:pPr>
              <w:tabs>
                <w:tab w:val="decimal" w:pos="1424"/>
              </w:tabs>
              <w:ind w:right="-144"/>
              <w:rPr>
                <w:rFonts w:cs="Arial"/>
                <w:b/>
                <w:bCs/>
              </w:rPr>
            </w:pPr>
            <w:r>
              <w:rPr>
                <w:rFonts w:cs="Arial"/>
                <w:b/>
                <w:bCs/>
              </w:rPr>
              <w:t>363,791</w:t>
            </w:r>
          </w:p>
        </w:tc>
        <w:tc>
          <w:tcPr>
            <w:tcW w:w="1701" w:type="dxa"/>
          </w:tcPr>
          <w:p w14:paraId="4C20B777" w14:textId="7908AA75" w:rsidR="009549B1" w:rsidRPr="00FF2186" w:rsidRDefault="00062D68" w:rsidP="7821F417">
            <w:pPr>
              <w:tabs>
                <w:tab w:val="decimal" w:pos="1424"/>
              </w:tabs>
              <w:ind w:right="-144"/>
              <w:rPr>
                <w:rFonts w:cs="Arial"/>
                <w:b/>
                <w:bCs/>
              </w:rPr>
            </w:pPr>
            <w:r>
              <w:rPr>
                <w:rFonts w:cs="Arial"/>
                <w:b/>
                <w:bCs/>
              </w:rPr>
              <w:t>1,088,384</w:t>
            </w:r>
          </w:p>
        </w:tc>
        <w:tc>
          <w:tcPr>
            <w:tcW w:w="1559" w:type="dxa"/>
          </w:tcPr>
          <w:p w14:paraId="1E2B37A2" w14:textId="2B6437AF" w:rsidR="009549B1" w:rsidRPr="004A6AB5" w:rsidRDefault="00CE3501" w:rsidP="7821F417">
            <w:pPr>
              <w:tabs>
                <w:tab w:val="decimal" w:pos="1424"/>
              </w:tabs>
              <w:ind w:right="-144"/>
              <w:rPr>
                <w:rFonts w:eastAsia="Calibri" w:cs="Arial"/>
                <w:szCs w:val="20"/>
              </w:rPr>
            </w:pPr>
            <w:r>
              <w:rPr>
                <w:rFonts w:eastAsia="Calibri" w:cs="Arial"/>
                <w:szCs w:val="20"/>
              </w:rPr>
              <w:t>669,937</w:t>
            </w:r>
          </w:p>
        </w:tc>
        <w:tc>
          <w:tcPr>
            <w:tcW w:w="1559" w:type="dxa"/>
          </w:tcPr>
          <w:p w14:paraId="002577A3" w14:textId="6F570E33" w:rsidR="009549B1" w:rsidRPr="00203E51" w:rsidRDefault="00D84B20" w:rsidP="7821F417">
            <w:pPr>
              <w:tabs>
                <w:tab w:val="decimal" w:pos="1424"/>
              </w:tabs>
              <w:ind w:right="-144"/>
              <w:rPr>
                <w:rFonts w:eastAsia="Calibri" w:cs="Arial"/>
                <w:szCs w:val="20"/>
              </w:rPr>
            </w:pPr>
            <w:r>
              <w:rPr>
                <w:rFonts w:eastAsia="Calibri" w:cs="Arial"/>
                <w:szCs w:val="20"/>
              </w:rPr>
              <w:t>372,613</w:t>
            </w:r>
          </w:p>
        </w:tc>
        <w:tc>
          <w:tcPr>
            <w:tcW w:w="1701" w:type="dxa"/>
          </w:tcPr>
          <w:p w14:paraId="18FEBD38" w14:textId="112DD839" w:rsidR="009549B1" w:rsidRPr="00703300" w:rsidRDefault="009549B1" w:rsidP="7821F417">
            <w:pPr>
              <w:tabs>
                <w:tab w:val="decimal" w:pos="1424"/>
              </w:tabs>
              <w:ind w:right="-144"/>
              <w:rPr>
                <w:rFonts w:eastAsia="Calibri" w:cs="Arial"/>
                <w:bCs/>
                <w:szCs w:val="20"/>
              </w:rPr>
            </w:pPr>
            <w:r w:rsidRPr="00703300">
              <w:rPr>
                <w:rFonts w:cs="Arial"/>
                <w:bCs/>
                <w:szCs w:val="20"/>
              </w:rPr>
              <w:t>1,042,5</w:t>
            </w:r>
            <w:r w:rsidR="00D84B20">
              <w:rPr>
                <w:rFonts w:cs="Arial"/>
                <w:bCs/>
                <w:szCs w:val="20"/>
              </w:rPr>
              <w:t>50</w:t>
            </w:r>
          </w:p>
        </w:tc>
      </w:tr>
      <w:tr w:rsidR="009549B1" w:rsidRPr="00891FAB" w14:paraId="7CE236F1" w14:textId="77777777" w:rsidTr="009549B1">
        <w:trPr>
          <w:trHeight w:val="191"/>
        </w:trPr>
        <w:tc>
          <w:tcPr>
            <w:tcW w:w="435" w:type="dxa"/>
          </w:tcPr>
          <w:p w14:paraId="4A7CEAEC" w14:textId="77777777" w:rsidR="009549B1" w:rsidRPr="00670755" w:rsidRDefault="009549B1" w:rsidP="7821F417">
            <w:pPr>
              <w:ind w:right="-144"/>
              <w:rPr>
                <w:rFonts w:cs="Arial"/>
              </w:rPr>
            </w:pPr>
          </w:p>
        </w:tc>
        <w:tc>
          <w:tcPr>
            <w:tcW w:w="3678" w:type="dxa"/>
          </w:tcPr>
          <w:p w14:paraId="354D41AB" w14:textId="77777777" w:rsidR="009549B1" w:rsidRDefault="009549B1" w:rsidP="7821F417">
            <w:pPr>
              <w:ind w:right="-144"/>
              <w:rPr>
                <w:rFonts w:cs="Arial"/>
              </w:rPr>
            </w:pPr>
          </w:p>
        </w:tc>
        <w:tc>
          <w:tcPr>
            <w:tcW w:w="1589" w:type="dxa"/>
          </w:tcPr>
          <w:p w14:paraId="6FDD001B" w14:textId="0A87FBB3" w:rsidR="009549B1" w:rsidRPr="000F7A33" w:rsidRDefault="009549B1" w:rsidP="7821F417">
            <w:pPr>
              <w:tabs>
                <w:tab w:val="decimal" w:pos="1424"/>
              </w:tabs>
              <w:ind w:left="-460" w:right="-144" w:firstLine="460"/>
              <w:rPr>
                <w:rFonts w:cs="Arial"/>
                <w:b/>
                <w:bCs/>
              </w:rPr>
            </w:pPr>
            <w:r w:rsidRPr="000F7A33">
              <w:rPr>
                <w:rFonts w:cs="Arial"/>
                <w:b/>
                <w:bCs/>
                <w:u w:val="single"/>
              </w:rPr>
              <w:t>             </w:t>
            </w:r>
          </w:p>
        </w:tc>
        <w:tc>
          <w:tcPr>
            <w:tcW w:w="1560" w:type="dxa"/>
          </w:tcPr>
          <w:p w14:paraId="72050971" w14:textId="77777777" w:rsidR="009549B1" w:rsidRPr="000F7A33" w:rsidRDefault="009549B1" w:rsidP="7821F417">
            <w:pPr>
              <w:tabs>
                <w:tab w:val="decimal" w:pos="1424"/>
              </w:tabs>
              <w:ind w:right="-144"/>
              <w:rPr>
                <w:rFonts w:cs="Arial"/>
                <w:b/>
                <w:bCs/>
                <w:u w:val="single"/>
              </w:rPr>
            </w:pPr>
            <w:r w:rsidRPr="000F7A33">
              <w:rPr>
                <w:rFonts w:cs="Arial"/>
                <w:b/>
                <w:bCs/>
                <w:u w:val="single"/>
              </w:rPr>
              <w:t>                  </w:t>
            </w:r>
          </w:p>
        </w:tc>
        <w:tc>
          <w:tcPr>
            <w:tcW w:w="1701" w:type="dxa"/>
          </w:tcPr>
          <w:p w14:paraId="4648306F" w14:textId="1DE17688" w:rsidR="009549B1" w:rsidRPr="000F7A33" w:rsidRDefault="009549B1" w:rsidP="7821F417">
            <w:pPr>
              <w:tabs>
                <w:tab w:val="decimal" w:pos="1424"/>
              </w:tabs>
              <w:ind w:right="-144"/>
              <w:rPr>
                <w:rFonts w:cs="Arial"/>
                <w:b/>
                <w:bCs/>
                <w:u w:val="single"/>
              </w:rPr>
            </w:pPr>
            <w:r w:rsidRPr="000F7A33">
              <w:rPr>
                <w:rFonts w:cs="Arial"/>
                <w:b/>
                <w:bCs/>
                <w:u w:val="single"/>
              </w:rPr>
              <w:t>                  </w:t>
            </w:r>
          </w:p>
        </w:tc>
        <w:tc>
          <w:tcPr>
            <w:tcW w:w="1559" w:type="dxa"/>
          </w:tcPr>
          <w:p w14:paraId="5A76D9E1" w14:textId="77777777" w:rsidR="009549B1" w:rsidRPr="007A4A08" w:rsidRDefault="009549B1" w:rsidP="7821F417">
            <w:pPr>
              <w:tabs>
                <w:tab w:val="decimal" w:pos="1424"/>
              </w:tabs>
              <w:ind w:right="-144"/>
              <w:rPr>
                <w:rFonts w:cs="Arial"/>
                <w:u w:val="single"/>
              </w:rPr>
            </w:pPr>
            <w:r w:rsidRPr="7821F417">
              <w:rPr>
                <w:rFonts w:cs="Arial"/>
                <w:u w:val="single"/>
              </w:rPr>
              <w:t>                  </w:t>
            </w:r>
          </w:p>
        </w:tc>
        <w:tc>
          <w:tcPr>
            <w:tcW w:w="1559" w:type="dxa"/>
          </w:tcPr>
          <w:p w14:paraId="5F1F9810" w14:textId="264EDC47" w:rsidR="009549B1" w:rsidRPr="00356E4C" w:rsidRDefault="009549B1" w:rsidP="7821F417">
            <w:pPr>
              <w:tabs>
                <w:tab w:val="decimal" w:pos="1424"/>
              </w:tabs>
              <w:ind w:right="-144"/>
              <w:rPr>
                <w:rFonts w:cs="Arial"/>
                <w:b/>
                <w:bCs/>
              </w:rPr>
            </w:pPr>
            <w:r w:rsidRPr="7821F417">
              <w:rPr>
                <w:rFonts w:cs="Arial"/>
                <w:b/>
                <w:bCs/>
                <w:u w:val="single"/>
              </w:rPr>
              <w:t>                  </w:t>
            </w:r>
          </w:p>
        </w:tc>
        <w:tc>
          <w:tcPr>
            <w:tcW w:w="1701" w:type="dxa"/>
          </w:tcPr>
          <w:p w14:paraId="13C80E88" w14:textId="3756F8A0" w:rsidR="009549B1" w:rsidRPr="007A4A08" w:rsidRDefault="009549B1" w:rsidP="7821F417">
            <w:pPr>
              <w:tabs>
                <w:tab w:val="decimal" w:pos="1424"/>
              </w:tabs>
              <w:ind w:right="-144"/>
              <w:rPr>
                <w:rFonts w:cs="Arial"/>
                <w:u w:val="single"/>
              </w:rPr>
            </w:pPr>
            <w:r w:rsidRPr="7821F417">
              <w:rPr>
                <w:rFonts w:cs="Arial"/>
                <w:b/>
                <w:bCs/>
                <w:u w:val="single"/>
              </w:rPr>
              <w:t>                  </w:t>
            </w:r>
          </w:p>
        </w:tc>
      </w:tr>
      <w:tr w:rsidR="009549B1" w:rsidRPr="00891FAB" w14:paraId="3EA2D3FD" w14:textId="77777777" w:rsidTr="009549B1">
        <w:trPr>
          <w:trHeight w:val="191"/>
        </w:trPr>
        <w:tc>
          <w:tcPr>
            <w:tcW w:w="435" w:type="dxa"/>
          </w:tcPr>
          <w:p w14:paraId="0D62BCF5" w14:textId="77777777" w:rsidR="009549B1" w:rsidRPr="00670755" w:rsidRDefault="009549B1" w:rsidP="7821F417">
            <w:pPr>
              <w:ind w:right="-144"/>
              <w:rPr>
                <w:rFonts w:cs="Arial"/>
              </w:rPr>
            </w:pPr>
          </w:p>
        </w:tc>
        <w:tc>
          <w:tcPr>
            <w:tcW w:w="3678" w:type="dxa"/>
          </w:tcPr>
          <w:p w14:paraId="1FF7AACB" w14:textId="77777777" w:rsidR="009549B1" w:rsidRDefault="009549B1" w:rsidP="7821F417">
            <w:pPr>
              <w:ind w:right="-144"/>
              <w:rPr>
                <w:rFonts w:cs="Arial"/>
              </w:rPr>
            </w:pPr>
          </w:p>
        </w:tc>
        <w:tc>
          <w:tcPr>
            <w:tcW w:w="1589" w:type="dxa"/>
          </w:tcPr>
          <w:p w14:paraId="7B5FF287" w14:textId="77777777" w:rsidR="009549B1" w:rsidRDefault="009549B1" w:rsidP="7821F417">
            <w:pPr>
              <w:tabs>
                <w:tab w:val="decimal" w:pos="1424"/>
              </w:tabs>
              <w:ind w:left="-460" w:right="-144" w:firstLine="460"/>
              <w:rPr>
                <w:rFonts w:cs="Arial"/>
                <w:b/>
                <w:bCs/>
              </w:rPr>
            </w:pPr>
          </w:p>
        </w:tc>
        <w:tc>
          <w:tcPr>
            <w:tcW w:w="1560" w:type="dxa"/>
          </w:tcPr>
          <w:p w14:paraId="25740473" w14:textId="77777777" w:rsidR="009549B1" w:rsidRPr="00891FAB" w:rsidRDefault="009549B1" w:rsidP="7821F417">
            <w:pPr>
              <w:tabs>
                <w:tab w:val="decimal" w:pos="1424"/>
              </w:tabs>
              <w:ind w:right="-144"/>
              <w:rPr>
                <w:rFonts w:cs="Arial"/>
                <w:u w:val="double"/>
              </w:rPr>
            </w:pPr>
          </w:p>
        </w:tc>
        <w:tc>
          <w:tcPr>
            <w:tcW w:w="1701" w:type="dxa"/>
          </w:tcPr>
          <w:p w14:paraId="6EDB686C" w14:textId="77777777" w:rsidR="009549B1" w:rsidRPr="00891FAB" w:rsidRDefault="009549B1" w:rsidP="7821F417">
            <w:pPr>
              <w:tabs>
                <w:tab w:val="decimal" w:pos="1424"/>
              </w:tabs>
              <w:ind w:right="-144"/>
              <w:rPr>
                <w:rFonts w:cs="Arial"/>
                <w:u w:val="double"/>
              </w:rPr>
            </w:pPr>
          </w:p>
        </w:tc>
        <w:tc>
          <w:tcPr>
            <w:tcW w:w="1559" w:type="dxa"/>
          </w:tcPr>
          <w:p w14:paraId="7241DD5C" w14:textId="77777777" w:rsidR="009549B1" w:rsidRPr="00891FAB" w:rsidRDefault="009549B1" w:rsidP="7821F417">
            <w:pPr>
              <w:tabs>
                <w:tab w:val="decimal" w:pos="1424"/>
              </w:tabs>
              <w:ind w:right="-144"/>
              <w:rPr>
                <w:rFonts w:cs="Arial"/>
                <w:u w:val="double"/>
              </w:rPr>
            </w:pPr>
          </w:p>
        </w:tc>
        <w:tc>
          <w:tcPr>
            <w:tcW w:w="1559" w:type="dxa"/>
          </w:tcPr>
          <w:p w14:paraId="3517F4E3" w14:textId="77777777" w:rsidR="009549B1" w:rsidRPr="00356E4C" w:rsidRDefault="009549B1" w:rsidP="7821F417">
            <w:pPr>
              <w:tabs>
                <w:tab w:val="decimal" w:pos="1424"/>
              </w:tabs>
              <w:ind w:right="-144"/>
              <w:rPr>
                <w:rFonts w:cs="Arial"/>
                <w:b/>
                <w:bCs/>
              </w:rPr>
            </w:pPr>
          </w:p>
        </w:tc>
        <w:tc>
          <w:tcPr>
            <w:tcW w:w="1701" w:type="dxa"/>
          </w:tcPr>
          <w:p w14:paraId="242871CF" w14:textId="4B87D58A" w:rsidR="009549B1" w:rsidRPr="00891FAB" w:rsidRDefault="009549B1" w:rsidP="7821F417">
            <w:pPr>
              <w:tabs>
                <w:tab w:val="decimal" w:pos="1424"/>
              </w:tabs>
              <w:ind w:right="-144"/>
              <w:rPr>
                <w:rFonts w:cs="Arial"/>
                <w:u w:val="double"/>
              </w:rPr>
            </w:pPr>
          </w:p>
        </w:tc>
      </w:tr>
      <w:tr w:rsidR="009549B1" w:rsidRPr="00891FAB" w14:paraId="5EB1D57C" w14:textId="77777777" w:rsidTr="009549B1">
        <w:trPr>
          <w:trHeight w:val="204"/>
        </w:trPr>
        <w:tc>
          <w:tcPr>
            <w:tcW w:w="435" w:type="dxa"/>
          </w:tcPr>
          <w:p w14:paraId="07AB56D2" w14:textId="77777777" w:rsidR="009549B1" w:rsidRPr="00670755" w:rsidRDefault="009549B1" w:rsidP="7821F417">
            <w:pPr>
              <w:ind w:right="-144"/>
              <w:rPr>
                <w:rFonts w:cs="Arial"/>
              </w:rPr>
            </w:pPr>
          </w:p>
        </w:tc>
        <w:tc>
          <w:tcPr>
            <w:tcW w:w="3678" w:type="dxa"/>
          </w:tcPr>
          <w:p w14:paraId="532E7BD2" w14:textId="77777777" w:rsidR="009549B1" w:rsidRPr="00B0721B" w:rsidRDefault="009549B1" w:rsidP="7821F417">
            <w:pPr>
              <w:ind w:right="-144"/>
              <w:rPr>
                <w:rFonts w:cs="Arial"/>
                <w:i/>
                <w:iCs/>
              </w:rPr>
            </w:pPr>
            <w:r w:rsidRPr="7821F417">
              <w:rPr>
                <w:rFonts w:cs="Arial"/>
                <w:i/>
                <w:iCs/>
              </w:rPr>
              <w:t>Reconciliation to Consolidated Balance Sheet</w:t>
            </w:r>
          </w:p>
        </w:tc>
        <w:tc>
          <w:tcPr>
            <w:tcW w:w="1589" w:type="dxa"/>
          </w:tcPr>
          <w:p w14:paraId="395116B5" w14:textId="77777777" w:rsidR="009549B1" w:rsidRDefault="009549B1" w:rsidP="7821F417">
            <w:pPr>
              <w:tabs>
                <w:tab w:val="decimal" w:pos="1424"/>
              </w:tabs>
              <w:ind w:left="-460" w:right="-144" w:firstLine="460"/>
              <w:rPr>
                <w:rFonts w:cs="Arial"/>
                <w:b/>
                <w:bCs/>
              </w:rPr>
            </w:pPr>
          </w:p>
        </w:tc>
        <w:tc>
          <w:tcPr>
            <w:tcW w:w="1560" w:type="dxa"/>
          </w:tcPr>
          <w:p w14:paraId="3019ED4C" w14:textId="77777777" w:rsidR="009549B1" w:rsidRDefault="009549B1" w:rsidP="7821F417">
            <w:pPr>
              <w:tabs>
                <w:tab w:val="decimal" w:pos="1424"/>
              </w:tabs>
              <w:ind w:right="-144"/>
              <w:rPr>
                <w:rFonts w:cs="Arial"/>
              </w:rPr>
            </w:pPr>
          </w:p>
        </w:tc>
        <w:tc>
          <w:tcPr>
            <w:tcW w:w="1701" w:type="dxa"/>
          </w:tcPr>
          <w:p w14:paraId="6DB143B7" w14:textId="77777777" w:rsidR="009549B1" w:rsidRDefault="009549B1" w:rsidP="7821F417">
            <w:pPr>
              <w:tabs>
                <w:tab w:val="decimal" w:pos="1424"/>
              </w:tabs>
              <w:ind w:right="-144"/>
              <w:rPr>
                <w:rFonts w:cs="Arial"/>
              </w:rPr>
            </w:pPr>
          </w:p>
        </w:tc>
        <w:tc>
          <w:tcPr>
            <w:tcW w:w="1559" w:type="dxa"/>
          </w:tcPr>
          <w:p w14:paraId="447FABC8" w14:textId="77777777" w:rsidR="009549B1" w:rsidRDefault="009549B1" w:rsidP="7821F417">
            <w:pPr>
              <w:tabs>
                <w:tab w:val="decimal" w:pos="1424"/>
              </w:tabs>
              <w:ind w:right="-144"/>
              <w:rPr>
                <w:rFonts w:cs="Arial"/>
              </w:rPr>
            </w:pPr>
          </w:p>
        </w:tc>
        <w:tc>
          <w:tcPr>
            <w:tcW w:w="1559" w:type="dxa"/>
          </w:tcPr>
          <w:p w14:paraId="291B74A8" w14:textId="77777777" w:rsidR="009549B1" w:rsidRPr="00356E4C" w:rsidRDefault="009549B1" w:rsidP="7821F417">
            <w:pPr>
              <w:tabs>
                <w:tab w:val="decimal" w:pos="1424"/>
              </w:tabs>
              <w:ind w:right="-144"/>
              <w:rPr>
                <w:rFonts w:cs="Arial"/>
                <w:b/>
                <w:bCs/>
              </w:rPr>
            </w:pPr>
          </w:p>
        </w:tc>
        <w:tc>
          <w:tcPr>
            <w:tcW w:w="1701" w:type="dxa"/>
          </w:tcPr>
          <w:p w14:paraId="72707127" w14:textId="4B4820B4" w:rsidR="009549B1" w:rsidRDefault="009549B1" w:rsidP="7821F417">
            <w:pPr>
              <w:tabs>
                <w:tab w:val="decimal" w:pos="1424"/>
              </w:tabs>
              <w:ind w:right="-144"/>
              <w:rPr>
                <w:rFonts w:cs="Arial"/>
              </w:rPr>
            </w:pPr>
          </w:p>
        </w:tc>
      </w:tr>
      <w:tr w:rsidR="009549B1" w:rsidRPr="00891FAB" w14:paraId="5711A30C" w14:textId="77777777" w:rsidTr="009549B1">
        <w:trPr>
          <w:trHeight w:val="191"/>
        </w:trPr>
        <w:tc>
          <w:tcPr>
            <w:tcW w:w="435" w:type="dxa"/>
          </w:tcPr>
          <w:p w14:paraId="6757DAAC" w14:textId="77777777" w:rsidR="009549B1" w:rsidRPr="00670755" w:rsidRDefault="009549B1" w:rsidP="7821F417">
            <w:pPr>
              <w:ind w:right="-144"/>
              <w:rPr>
                <w:rFonts w:cs="Arial"/>
              </w:rPr>
            </w:pPr>
          </w:p>
        </w:tc>
        <w:tc>
          <w:tcPr>
            <w:tcW w:w="3678" w:type="dxa"/>
          </w:tcPr>
          <w:p w14:paraId="306CF684" w14:textId="77777777" w:rsidR="009549B1" w:rsidRDefault="009549B1" w:rsidP="7821F417">
            <w:pPr>
              <w:ind w:right="-144"/>
              <w:rPr>
                <w:rFonts w:cs="Arial"/>
              </w:rPr>
            </w:pPr>
            <w:r w:rsidRPr="7821F417">
              <w:rPr>
                <w:rFonts w:cs="Arial"/>
              </w:rPr>
              <w:t>Deferred tax asset</w:t>
            </w:r>
          </w:p>
        </w:tc>
        <w:tc>
          <w:tcPr>
            <w:tcW w:w="1589" w:type="dxa"/>
          </w:tcPr>
          <w:p w14:paraId="5F39ED5C" w14:textId="77777777" w:rsidR="009549B1" w:rsidRDefault="009549B1" w:rsidP="7821F417">
            <w:pPr>
              <w:tabs>
                <w:tab w:val="decimal" w:pos="1424"/>
              </w:tabs>
              <w:ind w:left="-460" w:right="-144" w:firstLine="460"/>
              <w:rPr>
                <w:rFonts w:cs="Arial"/>
                <w:b/>
                <w:bCs/>
              </w:rPr>
            </w:pPr>
          </w:p>
        </w:tc>
        <w:tc>
          <w:tcPr>
            <w:tcW w:w="1560" w:type="dxa"/>
          </w:tcPr>
          <w:p w14:paraId="44028128" w14:textId="77777777" w:rsidR="009549B1" w:rsidRPr="00C97A82" w:rsidRDefault="009549B1" w:rsidP="7821F417">
            <w:pPr>
              <w:tabs>
                <w:tab w:val="decimal" w:pos="1424"/>
              </w:tabs>
              <w:ind w:right="-144"/>
              <w:rPr>
                <w:rFonts w:cs="Arial"/>
              </w:rPr>
            </w:pPr>
          </w:p>
        </w:tc>
        <w:tc>
          <w:tcPr>
            <w:tcW w:w="1701" w:type="dxa"/>
          </w:tcPr>
          <w:p w14:paraId="2F21C0B0" w14:textId="18550E22" w:rsidR="009549B1" w:rsidRPr="00F66016" w:rsidRDefault="00170B7C" w:rsidP="7821F417">
            <w:pPr>
              <w:tabs>
                <w:tab w:val="decimal" w:pos="1424"/>
              </w:tabs>
              <w:ind w:right="-144"/>
              <w:rPr>
                <w:rFonts w:cs="Arial"/>
                <w:b/>
                <w:bCs/>
              </w:rPr>
            </w:pPr>
            <w:r>
              <w:rPr>
                <w:rFonts w:cs="Arial"/>
                <w:b/>
                <w:bCs/>
              </w:rPr>
              <w:t>1,</w:t>
            </w:r>
            <w:r w:rsidR="001B7085">
              <w:rPr>
                <w:rFonts w:cs="Arial"/>
                <w:b/>
                <w:bCs/>
              </w:rPr>
              <w:t>369</w:t>
            </w:r>
          </w:p>
        </w:tc>
        <w:tc>
          <w:tcPr>
            <w:tcW w:w="1559" w:type="dxa"/>
          </w:tcPr>
          <w:p w14:paraId="3CE9DBA8" w14:textId="77777777" w:rsidR="009549B1" w:rsidRPr="00C97A82" w:rsidRDefault="009549B1" w:rsidP="7821F417">
            <w:pPr>
              <w:tabs>
                <w:tab w:val="decimal" w:pos="1424"/>
              </w:tabs>
              <w:ind w:right="-144"/>
              <w:rPr>
                <w:rFonts w:cs="Arial"/>
              </w:rPr>
            </w:pPr>
          </w:p>
        </w:tc>
        <w:tc>
          <w:tcPr>
            <w:tcW w:w="1559" w:type="dxa"/>
          </w:tcPr>
          <w:p w14:paraId="45EA1AE0" w14:textId="77777777" w:rsidR="009549B1" w:rsidRPr="00356E4C" w:rsidRDefault="009549B1" w:rsidP="7821F417">
            <w:pPr>
              <w:tabs>
                <w:tab w:val="decimal" w:pos="1424"/>
              </w:tabs>
              <w:ind w:right="-144"/>
              <w:rPr>
                <w:rFonts w:cs="Arial"/>
                <w:b/>
                <w:bCs/>
              </w:rPr>
            </w:pPr>
          </w:p>
        </w:tc>
        <w:tc>
          <w:tcPr>
            <w:tcW w:w="1701" w:type="dxa"/>
          </w:tcPr>
          <w:p w14:paraId="7AD84D12" w14:textId="5BA0C2CF" w:rsidR="009549B1" w:rsidRPr="004A6AB5" w:rsidRDefault="00670745" w:rsidP="7821F417">
            <w:pPr>
              <w:tabs>
                <w:tab w:val="decimal" w:pos="1424"/>
              </w:tabs>
              <w:ind w:right="-144"/>
              <w:rPr>
                <w:rFonts w:eastAsia="Calibri" w:cs="Arial"/>
                <w:szCs w:val="20"/>
              </w:rPr>
            </w:pPr>
            <w:r>
              <w:rPr>
                <w:rFonts w:cs="Arial"/>
              </w:rPr>
              <w:t>1,339</w:t>
            </w:r>
          </w:p>
        </w:tc>
      </w:tr>
      <w:tr w:rsidR="009549B1" w:rsidRPr="00891FAB" w14:paraId="0AF064E7" w14:textId="77777777" w:rsidTr="009549B1">
        <w:trPr>
          <w:trHeight w:val="191"/>
        </w:trPr>
        <w:tc>
          <w:tcPr>
            <w:tcW w:w="435" w:type="dxa"/>
          </w:tcPr>
          <w:p w14:paraId="5AA8F8C5" w14:textId="77777777" w:rsidR="009549B1" w:rsidRPr="00670755" w:rsidRDefault="009549B1" w:rsidP="7821F417">
            <w:pPr>
              <w:ind w:right="-144"/>
              <w:rPr>
                <w:rFonts w:cs="Arial"/>
              </w:rPr>
            </w:pPr>
          </w:p>
        </w:tc>
        <w:tc>
          <w:tcPr>
            <w:tcW w:w="3678" w:type="dxa"/>
          </w:tcPr>
          <w:p w14:paraId="1F5C8F9C" w14:textId="77777777" w:rsidR="009549B1" w:rsidRDefault="009549B1" w:rsidP="7821F417">
            <w:pPr>
              <w:ind w:right="-144"/>
              <w:rPr>
                <w:rFonts w:cs="Arial"/>
              </w:rPr>
            </w:pPr>
            <w:r w:rsidRPr="7821F417">
              <w:rPr>
                <w:rFonts w:cs="Arial"/>
              </w:rPr>
              <w:t xml:space="preserve">Trade and other receivables </w:t>
            </w:r>
          </w:p>
        </w:tc>
        <w:tc>
          <w:tcPr>
            <w:tcW w:w="1589" w:type="dxa"/>
          </w:tcPr>
          <w:p w14:paraId="3CFE18AE" w14:textId="77777777" w:rsidR="009549B1" w:rsidRDefault="009549B1" w:rsidP="7821F417">
            <w:pPr>
              <w:tabs>
                <w:tab w:val="decimal" w:pos="1424"/>
              </w:tabs>
              <w:ind w:left="-460" w:right="-144" w:firstLine="460"/>
              <w:rPr>
                <w:rFonts w:cs="Arial"/>
                <w:b/>
                <w:bCs/>
              </w:rPr>
            </w:pPr>
          </w:p>
        </w:tc>
        <w:tc>
          <w:tcPr>
            <w:tcW w:w="1560" w:type="dxa"/>
          </w:tcPr>
          <w:p w14:paraId="24460221" w14:textId="77777777" w:rsidR="009549B1" w:rsidRDefault="009549B1" w:rsidP="7821F417">
            <w:pPr>
              <w:tabs>
                <w:tab w:val="decimal" w:pos="1424"/>
              </w:tabs>
              <w:ind w:right="-144"/>
              <w:rPr>
                <w:rFonts w:cs="Arial"/>
              </w:rPr>
            </w:pPr>
          </w:p>
        </w:tc>
        <w:tc>
          <w:tcPr>
            <w:tcW w:w="1701" w:type="dxa"/>
          </w:tcPr>
          <w:p w14:paraId="2CCC5EDE" w14:textId="20F13C02" w:rsidR="009549B1" w:rsidRPr="00B736F2" w:rsidRDefault="00170B7C" w:rsidP="7821F417">
            <w:pPr>
              <w:tabs>
                <w:tab w:val="decimal" w:pos="1424"/>
              </w:tabs>
              <w:ind w:right="-144"/>
              <w:rPr>
                <w:rFonts w:cs="Arial"/>
                <w:b/>
                <w:bCs/>
              </w:rPr>
            </w:pPr>
            <w:r>
              <w:rPr>
                <w:rFonts w:cs="Arial"/>
                <w:b/>
                <w:bCs/>
              </w:rPr>
              <w:t>1,571</w:t>
            </w:r>
          </w:p>
        </w:tc>
        <w:tc>
          <w:tcPr>
            <w:tcW w:w="1559" w:type="dxa"/>
          </w:tcPr>
          <w:p w14:paraId="37602AF0" w14:textId="77777777" w:rsidR="009549B1" w:rsidRDefault="009549B1" w:rsidP="7821F417">
            <w:pPr>
              <w:tabs>
                <w:tab w:val="decimal" w:pos="1424"/>
              </w:tabs>
              <w:ind w:right="-144"/>
              <w:rPr>
                <w:rFonts w:cs="Arial"/>
              </w:rPr>
            </w:pPr>
          </w:p>
        </w:tc>
        <w:tc>
          <w:tcPr>
            <w:tcW w:w="1559" w:type="dxa"/>
          </w:tcPr>
          <w:p w14:paraId="74F012B0" w14:textId="77777777" w:rsidR="009549B1" w:rsidRPr="00356E4C" w:rsidRDefault="009549B1" w:rsidP="7821F417">
            <w:pPr>
              <w:tabs>
                <w:tab w:val="decimal" w:pos="1424"/>
              </w:tabs>
              <w:ind w:right="-144"/>
              <w:rPr>
                <w:rFonts w:cs="Arial"/>
                <w:b/>
                <w:bCs/>
              </w:rPr>
            </w:pPr>
          </w:p>
        </w:tc>
        <w:tc>
          <w:tcPr>
            <w:tcW w:w="1701" w:type="dxa"/>
          </w:tcPr>
          <w:p w14:paraId="09728F4E" w14:textId="64FCEB61" w:rsidR="009549B1" w:rsidRPr="004A6AB5" w:rsidRDefault="009549B1" w:rsidP="7821F417">
            <w:pPr>
              <w:tabs>
                <w:tab w:val="decimal" w:pos="1424"/>
              </w:tabs>
              <w:ind w:right="-144"/>
              <w:rPr>
                <w:rFonts w:cs="Arial"/>
              </w:rPr>
            </w:pPr>
            <w:r>
              <w:rPr>
                <w:rFonts w:cs="Arial"/>
              </w:rPr>
              <w:t>1,</w:t>
            </w:r>
            <w:r w:rsidR="00670745">
              <w:rPr>
                <w:rFonts w:cs="Arial"/>
              </w:rPr>
              <w:t>1</w:t>
            </w:r>
            <w:r w:rsidR="00A64B2C">
              <w:rPr>
                <w:rFonts w:cs="Arial"/>
              </w:rPr>
              <w:t>79</w:t>
            </w:r>
          </w:p>
        </w:tc>
      </w:tr>
      <w:tr w:rsidR="009549B1" w:rsidRPr="00891FAB" w14:paraId="04200383" w14:textId="77777777" w:rsidTr="009549B1">
        <w:trPr>
          <w:trHeight w:val="204"/>
        </w:trPr>
        <w:tc>
          <w:tcPr>
            <w:tcW w:w="435" w:type="dxa"/>
          </w:tcPr>
          <w:p w14:paraId="435BA2EC" w14:textId="77777777" w:rsidR="009549B1" w:rsidRPr="00670755" w:rsidRDefault="009549B1" w:rsidP="7821F417">
            <w:pPr>
              <w:ind w:right="-144"/>
              <w:rPr>
                <w:rFonts w:cs="Arial"/>
              </w:rPr>
            </w:pPr>
          </w:p>
        </w:tc>
        <w:tc>
          <w:tcPr>
            <w:tcW w:w="3678" w:type="dxa"/>
          </w:tcPr>
          <w:p w14:paraId="2D8609A2" w14:textId="77777777" w:rsidR="009549B1" w:rsidRPr="00B0721B" w:rsidRDefault="009549B1" w:rsidP="7821F417">
            <w:pPr>
              <w:ind w:right="-144"/>
              <w:rPr>
                <w:rFonts w:cs="Arial"/>
              </w:rPr>
            </w:pPr>
            <w:r w:rsidRPr="7821F417">
              <w:rPr>
                <w:rFonts w:cs="Arial"/>
              </w:rPr>
              <w:t xml:space="preserve">Cash and cash equivalents </w:t>
            </w:r>
          </w:p>
        </w:tc>
        <w:tc>
          <w:tcPr>
            <w:tcW w:w="1589" w:type="dxa"/>
          </w:tcPr>
          <w:p w14:paraId="0A2C53C9" w14:textId="77777777" w:rsidR="009549B1" w:rsidRDefault="009549B1" w:rsidP="7821F417">
            <w:pPr>
              <w:tabs>
                <w:tab w:val="decimal" w:pos="1424"/>
              </w:tabs>
              <w:ind w:left="-460" w:right="-144" w:firstLine="460"/>
              <w:rPr>
                <w:rFonts w:cs="Arial"/>
                <w:b/>
                <w:bCs/>
              </w:rPr>
            </w:pPr>
          </w:p>
        </w:tc>
        <w:tc>
          <w:tcPr>
            <w:tcW w:w="1560" w:type="dxa"/>
          </w:tcPr>
          <w:p w14:paraId="7A1635FA" w14:textId="77777777" w:rsidR="009549B1" w:rsidRDefault="009549B1" w:rsidP="7821F417">
            <w:pPr>
              <w:tabs>
                <w:tab w:val="decimal" w:pos="1424"/>
              </w:tabs>
              <w:ind w:right="-144"/>
              <w:rPr>
                <w:rFonts w:cs="Arial"/>
              </w:rPr>
            </w:pPr>
          </w:p>
        </w:tc>
        <w:tc>
          <w:tcPr>
            <w:tcW w:w="1701" w:type="dxa"/>
          </w:tcPr>
          <w:p w14:paraId="41219F99" w14:textId="188D5C92" w:rsidR="009549B1" w:rsidRPr="000F241D" w:rsidRDefault="00170B7C" w:rsidP="7821F417">
            <w:pPr>
              <w:tabs>
                <w:tab w:val="decimal" w:pos="1424"/>
              </w:tabs>
              <w:ind w:right="-144"/>
              <w:rPr>
                <w:rFonts w:cs="Arial"/>
                <w:b/>
                <w:bCs/>
              </w:rPr>
            </w:pPr>
            <w:r>
              <w:rPr>
                <w:rFonts w:cs="Arial"/>
                <w:b/>
                <w:bCs/>
              </w:rPr>
              <w:t>92,766</w:t>
            </w:r>
          </w:p>
        </w:tc>
        <w:tc>
          <w:tcPr>
            <w:tcW w:w="1559" w:type="dxa"/>
          </w:tcPr>
          <w:p w14:paraId="41F47A16" w14:textId="77777777" w:rsidR="009549B1" w:rsidRDefault="009549B1" w:rsidP="7821F417">
            <w:pPr>
              <w:tabs>
                <w:tab w:val="decimal" w:pos="1424"/>
              </w:tabs>
              <w:ind w:right="-144"/>
              <w:rPr>
                <w:rFonts w:cs="Arial"/>
              </w:rPr>
            </w:pPr>
          </w:p>
        </w:tc>
        <w:tc>
          <w:tcPr>
            <w:tcW w:w="1559" w:type="dxa"/>
          </w:tcPr>
          <w:p w14:paraId="474003A7" w14:textId="77777777" w:rsidR="009549B1" w:rsidRPr="00356E4C" w:rsidRDefault="009549B1" w:rsidP="7821F417">
            <w:pPr>
              <w:tabs>
                <w:tab w:val="decimal" w:pos="1424"/>
              </w:tabs>
              <w:ind w:right="-144"/>
              <w:rPr>
                <w:rFonts w:cs="Arial"/>
                <w:b/>
                <w:bCs/>
              </w:rPr>
            </w:pPr>
          </w:p>
        </w:tc>
        <w:tc>
          <w:tcPr>
            <w:tcW w:w="1701" w:type="dxa"/>
          </w:tcPr>
          <w:p w14:paraId="23A4CB82" w14:textId="085679BC" w:rsidR="009549B1" w:rsidRPr="004A6AB5" w:rsidRDefault="00670745" w:rsidP="7821F417">
            <w:pPr>
              <w:tabs>
                <w:tab w:val="decimal" w:pos="1424"/>
              </w:tabs>
              <w:ind w:right="-144"/>
              <w:rPr>
                <w:rFonts w:eastAsia="Calibri" w:cs="Arial"/>
                <w:szCs w:val="20"/>
              </w:rPr>
            </w:pPr>
            <w:r>
              <w:rPr>
                <w:rFonts w:cs="Arial"/>
              </w:rPr>
              <w:t>63,165</w:t>
            </w:r>
          </w:p>
        </w:tc>
      </w:tr>
      <w:tr w:rsidR="009549B1" w:rsidRPr="00891FAB" w14:paraId="63BA816F" w14:textId="77777777" w:rsidTr="009549B1">
        <w:trPr>
          <w:trHeight w:val="204"/>
        </w:trPr>
        <w:tc>
          <w:tcPr>
            <w:tcW w:w="435" w:type="dxa"/>
          </w:tcPr>
          <w:p w14:paraId="460A0985" w14:textId="77777777" w:rsidR="009549B1" w:rsidRPr="00670755" w:rsidRDefault="009549B1" w:rsidP="7821F417">
            <w:pPr>
              <w:ind w:right="-144"/>
              <w:rPr>
                <w:rFonts w:cs="Arial"/>
              </w:rPr>
            </w:pPr>
          </w:p>
        </w:tc>
        <w:tc>
          <w:tcPr>
            <w:tcW w:w="3678" w:type="dxa"/>
          </w:tcPr>
          <w:p w14:paraId="0A1C1793" w14:textId="235A5FA6" w:rsidR="009549B1" w:rsidRPr="7821F417" w:rsidRDefault="009549B1" w:rsidP="7821F417">
            <w:pPr>
              <w:ind w:right="-144"/>
              <w:rPr>
                <w:rFonts w:cs="Arial"/>
              </w:rPr>
            </w:pPr>
            <w:r w:rsidRPr="7821F417">
              <w:rPr>
                <w:rFonts w:cs="Arial"/>
              </w:rPr>
              <w:t>Property, plant and equipment</w:t>
            </w:r>
          </w:p>
        </w:tc>
        <w:tc>
          <w:tcPr>
            <w:tcW w:w="1589" w:type="dxa"/>
          </w:tcPr>
          <w:p w14:paraId="72C11739" w14:textId="77777777" w:rsidR="009549B1" w:rsidRDefault="009549B1" w:rsidP="7821F417">
            <w:pPr>
              <w:tabs>
                <w:tab w:val="decimal" w:pos="1424"/>
              </w:tabs>
              <w:ind w:left="-460" w:right="-144" w:firstLine="460"/>
              <w:rPr>
                <w:rFonts w:cs="Arial"/>
                <w:b/>
                <w:bCs/>
              </w:rPr>
            </w:pPr>
          </w:p>
        </w:tc>
        <w:tc>
          <w:tcPr>
            <w:tcW w:w="1560" w:type="dxa"/>
          </w:tcPr>
          <w:p w14:paraId="75684990" w14:textId="77777777" w:rsidR="009549B1" w:rsidRDefault="009549B1" w:rsidP="7821F417">
            <w:pPr>
              <w:tabs>
                <w:tab w:val="decimal" w:pos="1424"/>
              </w:tabs>
              <w:ind w:right="-144"/>
              <w:rPr>
                <w:rFonts w:cs="Arial"/>
              </w:rPr>
            </w:pPr>
          </w:p>
        </w:tc>
        <w:tc>
          <w:tcPr>
            <w:tcW w:w="1701" w:type="dxa"/>
          </w:tcPr>
          <w:p w14:paraId="3CDB14B8" w14:textId="601E3358" w:rsidR="009549B1" w:rsidRDefault="00C658C7" w:rsidP="7821F417">
            <w:pPr>
              <w:tabs>
                <w:tab w:val="decimal" w:pos="1424"/>
              </w:tabs>
              <w:ind w:right="-144"/>
              <w:rPr>
                <w:rFonts w:cs="Arial"/>
                <w:b/>
                <w:bCs/>
              </w:rPr>
            </w:pPr>
            <w:r>
              <w:rPr>
                <w:rFonts w:cs="Arial"/>
                <w:b/>
                <w:bCs/>
              </w:rPr>
              <w:t>62,501</w:t>
            </w:r>
          </w:p>
        </w:tc>
        <w:tc>
          <w:tcPr>
            <w:tcW w:w="1559" w:type="dxa"/>
          </w:tcPr>
          <w:p w14:paraId="3BB6B6FA" w14:textId="77777777" w:rsidR="009549B1" w:rsidRDefault="009549B1" w:rsidP="7821F417">
            <w:pPr>
              <w:tabs>
                <w:tab w:val="decimal" w:pos="1424"/>
              </w:tabs>
              <w:ind w:right="-144"/>
              <w:rPr>
                <w:rFonts w:cs="Arial"/>
              </w:rPr>
            </w:pPr>
          </w:p>
        </w:tc>
        <w:tc>
          <w:tcPr>
            <w:tcW w:w="1559" w:type="dxa"/>
          </w:tcPr>
          <w:p w14:paraId="05623819" w14:textId="77777777" w:rsidR="009549B1" w:rsidRPr="00356E4C" w:rsidRDefault="009549B1" w:rsidP="7821F417">
            <w:pPr>
              <w:tabs>
                <w:tab w:val="decimal" w:pos="1424"/>
              </w:tabs>
              <w:ind w:right="-144"/>
              <w:rPr>
                <w:rFonts w:cs="Arial"/>
                <w:b/>
                <w:bCs/>
              </w:rPr>
            </w:pPr>
          </w:p>
        </w:tc>
        <w:tc>
          <w:tcPr>
            <w:tcW w:w="1701" w:type="dxa"/>
          </w:tcPr>
          <w:p w14:paraId="240EB821" w14:textId="5E522FA0" w:rsidR="009549B1" w:rsidRDefault="00670745" w:rsidP="7821F417">
            <w:pPr>
              <w:tabs>
                <w:tab w:val="decimal" w:pos="1424"/>
              </w:tabs>
              <w:ind w:right="-144"/>
              <w:rPr>
                <w:rFonts w:cs="Arial"/>
              </w:rPr>
            </w:pPr>
            <w:r>
              <w:rPr>
                <w:rFonts w:cs="Arial"/>
              </w:rPr>
              <w:t>62,404</w:t>
            </w:r>
          </w:p>
        </w:tc>
      </w:tr>
      <w:tr w:rsidR="009549B1" w:rsidRPr="008D36E7" w14:paraId="4B685844" w14:textId="77777777" w:rsidTr="009549B1">
        <w:trPr>
          <w:trHeight w:val="191"/>
        </w:trPr>
        <w:tc>
          <w:tcPr>
            <w:tcW w:w="435" w:type="dxa"/>
          </w:tcPr>
          <w:p w14:paraId="5B335E6D" w14:textId="77777777" w:rsidR="009549B1" w:rsidRPr="00670755" w:rsidRDefault="009549B1" w:rsidP="7821F417">
            <w:pPr>
              <w:ind w:right="-144"/>
              <w:rPr>
                <w:rFonts w:cs="Arial"/>
              </w:rPr>
            </w:pPr>
          </w:p>
        </w:tc>
        <w:tc>
          <w:tcPr>
            <w:tcW w:w="3678" w:type="dxa"/>
          </w:tcPr>
          <w:p w14:paraId="7E50AD6D" w14:textId="44A54B96" w:rsidR="009549B1" w:rsidRDefault="009549B1" w:rsidP="7821F417">
            <w:pPr>
              <w:ind w:right="-144"/>
              <w:rPr>
                <w:rFonts w:cs="Arial"/>
              </w:rPr>
            </w:pPr>
            <w:r>
              <w:rPr>
                <w:rFonts w:cs="Arial"/>
              </w:rPr>
              <w:t>Income tax receivable</w:t>
            </w:r>
          </w:p>
          <w:p w14:paraId="5CBA7162" w14:textId="02B5BC1C" w:rsidR="009549B1" w:rsidRDefault="009549B1" w:rsidP="7821F417">
            <w:pPr>
              <w:ind w:right="-144"/>
              <w:rPr>
                <w:rFonts w:cs="Arial"/>
              </w:rPr>
            </w:pPr>
            <w:r w:rsidRPr="7821F417">
              <w:rPr>
                <w:rFonts w:cs="Arial"/>
              </w:rPr>
              <w:t xml:space="preserve">Intangible assets                                                                                                            </w:t>
            </w:r>
          </w:p>
        </w:tc>
        <w:tc>
          <w:tcPr>
            <w:tcW w:w="1589" w:type="dxa"/>
          </w:tcPr>
          <w:p w14:paraId="779CAB1E" w14:textId="77777777" w:rsidR="009549B1" w:rsidRPr="008D36E7" w:rsidRDefault="009549B1" w:rsidP="7821F417">
            <w:pPr>
              <w:tabs>
                <w:tab w:val="decimal" w:pos="1424"/>
              </w:tabs>
              <w:ind w:left="-460" w:right="-144" w:firstLine="460"/>
              <w:rPr>
                <w:rFonts w:cs="Arial"/>
                <w:b/>
                <w:bCs/>
              </w:rPr>
            </w:pPr>
          </w:p>
        </w:tc>
        <w:tc>
          <w:tcPr>
            <w:tcW w:w="1560" w:type="dxa"/>
          </w:tcPr>
          <w:p w14:paraId="32114292" w14:textId="77777777" w:rsidR="009549B1" w:rsidRPr="007A4A08" w:rsidRDefault="009549B1" w:rsidP="7821F417">
            <w:pPr>
              <w:tabs>
                <w:tab w:val="decimal" w:pos="1424"/>
              </w:tabs>
              <w:ind w:right="-144"/>
              <w:rPr>
                <w:rFonts w:cs="Arial"/>
                <w:u w:val="single"/>
              </w:rPr>
            </w:pPr>
          </w:p>
        </w:tc>
        <w:tc>
          <w:tcPr>
            <w:tcW w:w="1701" w:type="dxa"/>
          </w:tcPr>
          <w:p w14:paraId="525B34BD" w14:textId="77777777" w:rsidR="009549B1" w:rsidRDefault="00C658C7" w:rsidP="7821F417">
            <w:pPr>
              <w:tabs>
                <w:tab w:val="decimal" w:pos="1424"/>
              </w:tabs>
              <w:ind w:right="-144"/>
              <w:rPr>
                <w:rFonts w:cs="Arial"/>
                <w:b/>
                <w:bCs/>
              </w:rPr>
            </w:pPr>
            <w:r>
              <w:rPr>
                <w:rFonts w:cs="Arial"/>
                <w:b/>
                <w:bCs/>
              </w:rPr>
              <w:t>4,182</w:t>
            </w:r>
          </w:p>
          <w:p w14:paraId="5B33AB83" w14:textId="399A9D83" w:rsidR="00C658C7" w:rsidRPr="0053533B" w:rsidRDefault="00C658C7" w:rsidP="7821F417">
            <w:pPr>
              <w:tabs>
                <w:tab w:val="decimal" w:pos="1424"/>
              </w:tabs>
              <w:ind w:right="-144"/>
              <w:rPr>
                <w:rFonts w:cs="Arial"/>
                <w:b/>
                <w:bCs/>
              </w:rPr>
            </w:pPr>
            <w:r>
              <w:rPr>
                <w:rFonts w:cs="Arial"/>
                <w:b/>
                <w:bCs/>
              </w:rPr>
              <w:t>7,930</w:t>
            </w:r>
          </w:p>
        </w:tc>
        <w:tc>
          <w:tcPr>
            <w:tcW w:w="1559" w:type="dxa"/>
          </w:tcPr>
          <w:p w14:paraId="68479D93" w14:textId="77777777" w:rsidR="009549B1" w:rsidRPr="007A4A08" w:rsidRDefault="009549B1" w:rsidP="7821F417">
            <w:pPr>
              <w:tabs>
                <w:tab w:val="decimal" w:pos="1424"/>
              </w:tabs>
              <w:ind w:right="-144"/>
              <w:rPr>
                <w:rFonts w:cs="Arial"/>
                <w:u w:val="single"/>
              </w:rPr>
            </w:pPr>
          </w:p>
        </w:tc>
        <w:tc>
          <w:tcPr>
            <w:tcW w:w="1559" w:type="dxa"/>
          </w:tcPr>
          <w:p w14:paraId="3E282F26" w14:textId="77777777" w:rsidR="009549B1" w:rsidRPr="00356E4C" w:rsidRDefault="009549B1" w:rsidP="7821F417">
            <w:pPr>
              <w:tabs>
                <w:tab w:val="decimal" w:pos="1424"/>
              </w:tabs>
              <w:ind w:right="-144"/>
              <w:rPr>
                <w:rFonts w:cs="Arial"/>
                <w:b/>
                <w:bCs/>
              </w:rPr>
            </w:pPr>
          </w:p>
        </w:tc>
        <w:tc>
          <w:tcPr>
            <w:tcW w:w="1701" w:type="dxa"/>
          </w:tcPr>
          <w:p w14:paraId="37BF99A2" w14:textId="3C000699" w:rsidR="009549B1" w:rsidRDefault="004F5E42" w:rsidP="7821F417">
            <w:pPr>
              <w:tabs>
                <w:tab w:val="decimal" w:pos="1424"/>
              </w:tabs>
              <w:ind w:right="-144"/>
              <w:rPr>
                <w:rFonts w:cs="Arial"/>
              </w:rPr>
            </w:pPr>
            <w:r>
              <w:rPr>
                <w:rFonts w:cs="Arial"/>
              </w:rPr>
              <w:t>-</w:t>
            </w:r>
          </w:p>
          <w:p w14:paraId="08AF62A7" w14:textId="2BCAF9E0" w:rsidR="009549B1" w:rsidRPr="0053533B" w:rsidRDefault="004F5E42" w:rsidP="7821F417">
            <w:pPr>
              <w:tabs>
                <w:tab w:val="decimal" w:pos="1424"/>
              </w:tabs>
              <w:ind w:right="-144"/>
              <w:rPr>
                <w:rFonts w:cs="Arial"/>
              </w:rPr>
            </w:pPr>
            <w:r>
              <w:rPr>
                <w:rFonts w:cs="Arial"/>
              </w:rPr>
              <w:t>7,277</w:t>
            </w:r>
          </w:p>
        </w:tc>
      </w:tr>
      <w:tr w:rsidR="009549B1" w:rsidRPr="008D36E7" w14:paraId="1593763E" w14:textId="77777777" w:rsidTr="009549B1">
        <w:trPr>
          <w:trHeight w:val="191"/>
        </w:trPr>
        <w:tc>
          <w:tcPr>
            <w:tcW w:w="435" w:type="dxa"/>
          </w:tcPr>
          <w:p w14:paraId="7D0EF9FF" w14:textId="77777777" w:rsidR="009549B1" w:rsidRPr="00670755" w:rsidRDefault="009549B1" w:rsidP="7821F417">
            <w:pPr>
              <w:ind w:right="-144"/>
              <w:rPr>
                <w:rFonts w:cs="Arial"/>
              </w:rPr>
            </w:pPr>
          </w:p>
        </w:tc>
        <w:tc>
          <w:tcPr>
            <w:tcW w:w="3678" w:type="dxa"/>
          </w:tcPr>
          <w:p w14:paraId="4299AEE9" w14:textId="77777777" w:rsidR="009549B1" w:rsidRDefault="009549B1" w:rsidP="7821F417">
            <w:pPr>
              <w:ind w:right="-144"/>
              <w:rPr>
                <w:rFonts w:cs="Arial"/>
              </w:rPr>
            </w:pPr>
          </w:p>
        </w:tc>
        <w:tc>
          <w:tcPr>
            <w:tcW w:w="1589" w:type="dxa"/>
          </w:tcPr>
          <w:p w14:paraId="1CD8037A" w14:textId="008E0CB4" w:rsidR="009549B1" w:rsidRPr="008D36E7" w:rsidRDefault="009549B1" w:rsidP="7821F417">
            <w:pPr>
              <w:tabs>
                <w:tab w:val="decimal" w:pos="1424"/>
              </w:tabs>
              <w:ind w:left="-460" w:right="-144" w:firstLine="460"/>
              <w:rPr>
                <w:rFonts w:cs="Arial"/>
                <w:b/>
                <w:bCs/>
              </w:rPr>
            </w:pPr>
          </w:p>
        </w:tc>
        <w:tc>
          <w:tcPr>
            <w:tcW w:w="1560" w:type="dxa"/>
          </w:tcPr>
          <w:p w14:paraId="6EDB671C" w14:textId="41B8731A" w:rsidR="009549B1" w:rsidRPr="007A4A08" w:rsidRDefault="009549B1" w:rsidP="7821F417">
            <w:pPr>
              <w:tabs>
                <w:tab w:val="decimal" w:pos="1424"/>
              </w:tabs>
              <w:ind w:right="-144"/>
              <w:rPr>
                <w:rFonts w:cs="Arial"/>
                <w:u w:val="single"/>
              </w:rPr>
            </w:pPr>
          </w:p>
        </w:tc>
        <w:tc>
          <w:tcPr>
            <w:tcW w:w="1701" w:type="dxa"/>
          </w:tcPr>
          <w:p w14:paraId="720F985A" w14:textId="77777777" w:rsidR="009549B1" w:rsidRPr="007A4A08" w:rsidRDefault="009549B1" w:rsidP="7821F417">
            <w:pPr>
              <w:tabs>
                <w:tab w:val="decimal" w:pos="1424"/>
              </w:tabs>
              <w:ind w:right="-144"/>
              <w:rPr>
                <w:rFonts w:cs="Arial"/>
                <w:u w:val="single"/>
              </w:rPr>
            </w:pPr>
            <w:r w:rsidRPr="7821F417">
              <w:rPr>
                <w:rFonts w:cs="Arial"/>
                <w:u w:val="single"/>
              </w:rPr>
              <w:t>                  </w:t>
            </w:r>
          </w:p>
        </w:tc>
        <w:tc>
          <w:tcPr>
            <w:tcW w:w="1559" w:type="dxa"/>
          </w:tcPr>
          <w:p w14:paraId="5B54A636" w14:textId="6722E46A" w:rsidR="009549B1" w:rsidRPr="007A4A08" w:rsidRDefault="009549B1" w:rsidP="7821F417">
            <w:pPr>
              <w:tabs>
                <w:tab w:val="decimal" w:pos="1424"/>
              </w:tabs>
              <w:ind w:right="-144"/>
              <w:rPr>
                <w:rFonts w:cs="Arial"/>
                <w:u w:val="single"/>
              </w:rPr>
            </w:pPr>
          </w:p>
        </w:tc>
        <w:tc>
          <w:tcPr>
            <w:tcW w:w="1559" w:type="dxa"/>
          </w:tcPr>
          <w:p w14:paraId="054A0DD2" w14:textId="70E8BD45" w:rsidR="009549B1" w:rsidRPr="00356E4C" w:rsidRDefault="009549B1" w:rsidP="7821F417">
            <w:pPr>
              <w:tabs>
                <w:tab w:val="decimal" w:pos="1424"/>
              </w:tabs>
              <w:ind w:right="-144"/>
              <w:rPr>
                <w:rFonts w:cs="Arial"/>
                <w:b/>
                <w:bCs/>
              </w:rPr>
            </w:pPr>
          </w:p>
        </w:tc>
        <w:tc>
          <w:tcPr>
            <w:tcW w:w="1701" w:type="dxa"/>
          </w:tcPr>
          <w:p w14:paraId="1C9830C3" w14:textId="29BE5184" w:rsidR="009549B1" w:rsidRPr="008D36E7" w:rsidRDefault="009549B1" w:rsidP="7821F417">
            <w:pPr>
              <w:tabs>
                <w:tab w:val="decimal" w:pos="1424"/>
              </w:tabs>
              <w:ind w:right="-144"/>
              <w:rPr>
                <w:rFonts w:cs="Arial"/>
                <w:b/>
                <w:bCs/>
              </w:rPr>
            </w:pPr>
            <w:r w:rsidRPr="7821F417">
              <w:rPr>
                <w:rFonts w:cs="Arial"/>
                <w:u w:val="single"/>
              </w:rPr>
              <w:t>                  </w:t>
            </w:r>
          </w:p>
        </w:tc>
      </w:tr>
      <w:tr w:rsidR="009549B1" w:rsidRPr="008D36E7" w14:paraId="4933572F" w14:textId="77777777" w:rsidTr="009549B1">
        <w:trPr>
          <w:trHeight w:val="191"/>
        </w:trPr>
        <w:tc>
          <w:tcPr>
            <w:tcW w:w="435" w:type="dxa"/>
          </w:tcPr>
          <w:p w14:paraId="552BF45A" w14:textId="77777777" w:rsidR="009549B1" w:rsidRPr="00670755" w:rsidRDefault="009549B1" w:rsidP="7821F417">
            <w:pPr>
              <w:ind w:right="-144"/>
              <w:rPr>
                <w:rFonts w:cs="Arial"/>
              </w:rPr>
            </w:pPr>
          </w:p>
        </w:tc>
        <w:tc>
          <w:tcPr>
            <w:tcW w:w="3678" w:type="dxa"/>
          </w:tcPr>
          <w:p w14:paraId="1249F3A5" w14:textId="77777777" w:rsidR="009549B1" w:rsidRDefault="009549B1" w:rsidP="7821F417">
            <w:pPr>
              <w:ind w:right="-144"/>
              <w:rPr>
                <w:rFonts w:cs="Arial"/>
              </w:rPr>
            </w:pPr>
          </w:p>
        </w:tc>
        <w:tc>
          <w:tcPr>
            <w:tcW w:w="1589" w:type="dxa"/>
          </w:tcPr>
          <w:p w14:paraId="3A14B757" w14:textId="77777777" w:rsidR="009549B1" w:rsidRPr="008D36E7" w:rsidRDefault="009549B1" w:rsidP="7821F417">
            <w:pPr>
              <w:tabs>
                <w:tab w:val="decimal" w:pos="1424"/>
              </w:tabs>
              <w:ind w:left="-460" w:right="-144" w:firstLine="460"/>
              <w:rPr>
                <w:rFonts w:cs="Arial"/>
                <w:b/>
                <w:bCs/>
              </w:rPr>
            </w:pPr>
          </w:p>
        </w:tc>
        <w:tc>
          <w:tcPr>
            <w:tcW w:w="1560" w:type="dxa"/>
          </w:tcPr>
          <w:p w14:paraId="38D8559F" w14:textId="77777777" w:rsidR="009549B1" w:rsidRPr="008D36E7" w:rsidRDefault="009549B1" w:rsidP="7821F417">
            <w:pPr>
              <w:tabs>
                <w:tab w:val="decimal" w:pos="1424"/>
              </w:tabs>
              <w:ind w:right="-144"/>
              <w:rPr>
                <w:rFonts w:cs="Arial"/>
                <w:b/>
                <w:bCs/>
              </w:rPr>
            </w:pPr>
          </w:p>
        </w:tc>
        <w:tc>
          <w:tcPr>
            <w:tcW w:w="1701" w:type="dxa"/>
          </w:tcPr>
          <w:p w14:paraId="5E599199" w14:textId="77777777" w:rsidR="009549B1" w:rsidRPr="008D36E7" w:rsidRDefault="009549B1" w:rsidP="7821F417">
            <w:pPr>
              <w:tabs>
                <w:tab w:val="decimal" w:pos="1424"/>
              </w:tabs>
              <w:ind w:right="-144"/>
              <w:rPr>
                <w:rFonts w:cs="Arial"/>
                <w:b/>
                <w:bCs/>
              </w:rPr>
            </w:pPr>
          </w:p>
        </w:tc>
        <w:tc>
          <w:tcPr>
            <w:tcW w:w="1559" w:type="dxa"/>
          </w:tcPr>
          <w:p w14:paraId="2D337672" w14:textId="77777777" w:rsidR="009549B1" w:rsidRPr="008D36E7" w:rsidRDefault="009549B1" w:rsidP="7821F417">
            <w:pPr>
              <w:tabs>
                <w:tab w:val="decimal" w:pos="1424"/>
              </w:tabs>
              <w:ind w:right="-144"/>
              <w:rPr>
                <w:rFonts w:cs="Arial"/>
                <w:b/>
                <w:bCs/>
              </w:rPr>
            </w:pPr>
          </w:p>
        </w:tc>
        <w:tc>
          <w:tcPr>
            <w:tcW w:w="1559" w:type="dxa"/>
          </w:tcPr>
          <w:p w14:paraId="2E731FA2" w14:textId="77777777" w:rsidR="009549B1" w:rsidRPr="008D36E7" w:rsidRDefault="009549B1" w:rsidP="7821F417">
            <w:pPr>
              <w:tabs>
                <w:tab w:val="decimal" w:pos="1424"/>
              </w:tabs>
              <w:ind w:right="-144"/>
              <w:rPr>
                <w:rFonts w:cs="Arial"/>
                <w:b/>
                <w:bCs/>
              </w:rPr>
            </w:pPr>
          </w:p>
        </w:tc>
        <w:tc>
          <w:tcPr>
            <w:tcW w:w="1701" w:type="dxa"/>
          </w:tcPr>
          <w:p w14:paraId="6A2FDCB7" w14:textId="569F0AEE" w:rsidR="009549B1" w:rsidRPr="008D36E7" w:rsidRDefault="009549B1" w:rsidP="7821F417">
            <w:pPr>
              <w:tabs>
                <w:tab w:val="decimal" w:pos="1424"/>
              </w:tabs>
              <w:ind w:right="-144"/>
              <w:rPr>
                <w:rFonts w:cs="Arial"/>
                <w:b/>
                <w:bCs/>
              </w:rPr>
            </w:pPr>
          </w:p>
        </w:tc>
      </w:tr>
      <w:tr w:rsidR="009549B1" w:rsidRPr="008D36E7" w14:paraId="0772804B" w14:textId="77777777" w:rsidTr="009549B1">
        <w:trPr>
          <w:trHeight w:val="37"/>
        </w:trPr>
        <w:tc>
          <w:tcPr>
            <w:tcW w:w="435" w:type="dxa"/>
          </w:tcPr>
          <w:p w14:paraId="51A485D5" w14:textId="77777777" w:rsidR="009549B1" w:rsidRPr="00670755" w:rsidRDefault="009549B1" w:rsidP="7821F417">
            <w:pPr>
              <w:ind w:right="-144"/>
              <w:rPr>
                <w:rFonts w:cs="Arial"/>
              </w:rPr>
            </w:pPr>
          </w:p>
        </w:tc>
        <w:tc>
          <w:tcPr>
            <w:tcW w:w="3678" w:type="dxa"/>
          </w:tcPr>
          <w:p w14:paraId="2FAF1B77" w14:textId="77777777" w:rsidR="009549B1" w:rsidRDefault="009549B1" w:rsidP="7821F417">
            <w:pPr>
              <w:ind w:right="-144"/>
              <w:rPr>
                <w:rFonts w:cs="Arial"/>
              </w:rPr>
            </w:pPr>
          </w:p>
        </w:tc>
        <w:tc>
          <w:tcPr>
            <w:tcW w:w="1589" w:type="dxa"/>
          </w:tcPr>
          <w:p w14:paraId="6BBD6AF6" w14:textId="77777777" w:rsidR="009549B1" w:rsidRPr="008D36E7" w:rsidRDefault="009549B1" w:rsidP="7821F417">
            <w:pPr>
              <w:tabs>
                <w:tab w:val="decimal" w:pos="1424"/>
              </w:tabs>
              <w:ind w:left="-460" w:right="-144" w:firstLine="460"/>
              <w:rPr>
                <w:rFonts w:cs="Arial"/>
                <w:b/>
                <w:bCs/>
              </w:rPr>
            </w:pPr>
          </w:p>
        </w:tc>
        <w:tc>
          <w:tcPr>
            <w:tcW w:w="1560" w:type="dxa"/>
          </w:tcPr>
          <w:p w14:paraId="64FA58F6" w14:textId="77777777" w:rsidR="009549B1" w:rsidRPr="00C97A82" w:rsidRDefault="009549B1" w:rsidP="7821F417">
            <w:pPr>
              <w:tabs>
                <w:tab w:val="decimal" w:pos="1424"/>
              </w:tabs>
              <w:ind w:right="-144"/>
              <w:rPr>
                <w:rFonts w:cs="Arial"/>
              </w:rPr>
            </w:pPr>
          </w:p>
        </w:tc>
        <w:tc>
          <w:tcPr>
            <w:tcW w:w="1701" w:type="dxa"/>
          </w:tcPr>
          <w:p w14:paraId="7333BE1D" w14:textId="52CA5A5B" w:rsidR="009549B1" w:rsidRPr="00B736F2" w:rsidRDefault="00C658C7" w:rsidP="7821F417">
            <w:pPr>
              <w:tabs>
                <w:tab w:val="decimal" w:pos="1424"/>
              </w:tabs>
              <w:ind w:right="-144"/>
              <w:rPr>
                <w:rFonts w:cs="Arial"/>
                <w:b/>
                <w:bCs/>
              </w:rPr>
            </w:pPr>
            <w:r>
              <w:rPr>
                <w:rFonts w:cs="Arial"/>
                <w:b/>
                <w:bCs/>
              </w:rPr>
              <w:t>1,258,</w:t>
            </w:r>
            <w:r w:rsidR="001B7085">
              <w:rPr>
                <w:rFonts w:cs="Arial"/>
                <w:b/>
                <w:bCs/>
              </w:rPr>
              <w:t>703</w:t>
            </w:r>
          </w:p>
        </w:tc>
        <w:tc>
          <w:tcPr>
            <w:tcW w:w="1559" w:type="dxa"/>
          </w:tcPr>
          <w:p w14:paraId="23115C31" w14:textId="77777777" w:rsidR="009549B1" w:rsidRPr="00C97A82" w:rsidRDefault="009549B1" w:rsidP="7821F417">
            <w:pPr>
              <w:tabs>
                <w:tab w:val="decimal" w:pos="1424"/>
              </w:tabs>
              <w:ind w:right="-144"/>
              <w:rPr>
                <w:rFonts w:cs="Arial"/>
              </w:rPr>
            </w:pPr>
          </w:p>
        </w:tc>
        <w:tc>
          <w:tcPr>
            <w:tcW w:w="1559" w:type="dxa"/>
          </w:tcPr>
          <w:p w14:paraId="3AF4AEB9" w14:textId="77777777" w:rsidR="009549B1" w:rsidRPr="00356E4C" w:rsidRDefault="009549B1" w:rsidP="7821F417">
            <w:pPr>
              <w:tabs>
                <w:tab w:val="decimal" w:pos="1424"/>
              </w:tabs>
              <w:ind w:right="-144"/>
              <w:rPr>
                <w:rFonts w:cs="Arial"/>
                <w:b/>
                <w:bCs/>
              </w:rPr>
            </w:pPr>
          </w:p>
        </w:tc>
        <w:tc>
          <w:tcPr>
            <w:tcW w:w="1701" w:type="dxa"/>
          </w:tcPr>
          <w:p w14:paraId="6C1547DB" w14:textId="1E2156EC" w:rsidR="009549B1" w:rsidRPr="00C97A82" w:rsidRDefault="004F5E42" w:rsidP="7821F417">
            <w:pPr>
              <w:tabs>
                <w:tab w:val="decimal" w:pos="1424"/>
              </w:tabs>
              <w:ind w:right="-144"/>
              <w:rPr>
                <w:rFonts w:cs="Arial"/>
              </w:rPr>
            </w:pPr>
            <w:r>
              <w:rPr>
                <w:rFonts w:cs="Arial"/>
              </w:rPr>
              <w:t>1,</w:t>
            </w:r>
            <w:r w:rsidR="006534C6">
              <w:rPr>
                <w:rFonts w:cs="Arial"/>
              </w:rPr>
              <w:t>177,914</w:t>
            </w:r>
          </w:p>
        </w:tc>
      </w:tr>
      <w:tr w:rsidR="009549B1" w:rsidRPr="00891FAB" w14:paraId="1024D35B" w14:textId="77777777" w:rsidTr="009549B1">
        <w:trPr>
          <w:trHeight w:val="481"/>
        </w:trPr>
        <w:tc>
          <w:tcPr>
            <w:tcW w:w="435" w:type="dxa"/>
          </w:tcPr>
          <w:p w14:paraId="4EB067BB" w14:textId="77777777" w:rsidR="009549B1" w:rsidRPr="00670755" w:rsidRDefault="009549B1" w:rsidP="7821F417">
            <w:pPr>
              <w:ind w:right="-144"/>
              <w:rPr>
                <w:rFonts w:cs="Arial"/>
              </w:rPr>
            </w:pPr>
          </w:p>
        </w:tc>
        <w:tc>
          <w:tcPr>
            <w:tcW w:w="3678" w:type="dxa"/>
          </w:tcPr>
          <w:p w14:paraId="60884A65" w14:textId="77777777" w:rsidR="009549B1" w:rsidRPr="00670755" w:rsidRDefault="009549B1" w:rsidP="7821F417">
            <w:pPr>
              <w:ind w:right="-144"/>
              <w:rPr>
                <w:rFonts w:cs="Arial"/>
              </w:rPr>
            </w:pPr>
          </w:p>
        </w:tc>
        <w:tc>
          <w:tcPr>
            <w:tcW w:w="1589" w:type="dxa"/>
          </w:tcPr>
          <w:p w14:paraId="679B003F" w14:textId="04C411BA" w:rsidR="009549B1" w:rsidRPr="00670755" w:rsidRDefault="009549B1" w:rsidP="7821F417">
            <w:pPr>
              <w:tabs>
                <w:tab w:val="decimal" w:pos="1424"/>
              </w:tabs>
              <w:ind w:left="-460" w:right="-144" w:firstLine="460"/>
              <w:rPr>
                <w:rFonts w:cs="Arial"/>
                <w:u w:val="double"/>
              </w:rPr>
            </w:pPr>
          </w:p>
        </w:tc>
        <w:tc>
          <w:tcPr>
            <w:tcW w:w="1560" w:type="dxa"/>
          </w:tcPr>
          <w:p w14:paraId="0BF5D075" w14:textId="648A0C3C" w:rsidR="009549B1" w:rsidRPr="00891FAB" w:rsidRDefault="009549B1" w:rsidP="7821F417">
            <w:pPr>
              <w:tabs>
                <w:tab w:val="decimal" w:pos="1424"/>
              </w:tabs>
              <w:ind w:right="-144"/>
              <w:rPr>
                <w:rFonts w:cs="Arial"/>
                <w:u w:val="double"/>
              </w:rPr>
            </w:pPr>
          </w:p>
        </w:tc>
        <w:tc>
          <w:tcPr>
            <w:tcW w:w="1701" w:type="dxa"/>
          </w:tcPr>
          <w:p w14:paraId="704ACF80" w14:textId="77777777" w:rsidR="009549B1" w:rsidRPr="00891FAB" w:rsidRDefault="009549B1" w:rsidP="7821F417">
            <w:pPr>
              <w:tabs>
                <w:tab w:val="decimal" w:pos="1424"/>
              </w:tabs>
              <w:ind w:right="-144"/>
              <w:rPr>
                <w:rFonts w:cs="Arial"/>
                <w:u w:val="double"/>
              </w:rPr>
            </w:pPr>
            <w:r w:rsidRPr="7821F417">
              <w:rPr>
                <w:rFonts w:cs="Arial"/>
                <w:u w:val="double"/>
              </w:rPr>
              <w:t>                  </w:t>
            </w:r>
          </w:p>
        </w:tc>
        <w:tc>
          <w:tcPr>
            <w:tcW w:w="1559" w:type="dxa"/>
          </w:tcPr>
          <w:p w14:paraId="010747C8" w14:textId="728B34C7" w:rsidR="009549B1" w:rsidRPr="00891FAB" w:rsidRDefault="009549B1" w:rsidP="7821F417">
            <w:pPr>
              <w:tabs>
                <w:tab w:val="decimal" w:pos="1424"/>
              </w:tabs>
              <w:ind w:right="-144"/>
              <w:rPr>
                <w:rFonts w:cs="Arial"/>
                <w:u w:val="double"/>
              </w:rPr>
            </w:pPr>
          </w:p>
        </w:tc>
        <w:tc>
          <w:tcPr>
            <w:tcW w:w="1559" w:type="dxa"/>
          </w:tcPr>
          <w:p w14:paraId="783FEED7" w14:textId="40A1A434" w:rsidR="009549B1" w:rsidRPr="00356E4C" w:rsidRDefault="009549B1" w:rsidP="7821F417">
            <w:pPr>
              <w:tabs>
                <w:tab w:val="decimal" w:pos="1424"/>
              </w:tabs>
              <w:ind w:right="-144"/>
              <w:rPr>
                <w:rFonts w:cs="Arial"/>
                <w:b/>
                <w:bCs/>
              </w:rPr>
            </w:pPr>
          </w:p>
        </w:tc>
        <w:tc>
          <w:tcPr>
            <w:tcW w:w="1701" w:type="dxa"/>
          </w:tcPr>
          <w:p w14:paraId="75E5E8E7" w14:textId="1540F692" w:rsidR="009549B1" w:rsidRPr="00891FAB" w:rsidRDefault="009549B1" w:rsidP="7821F417">
            <w:pPr>
              <w:tabs>
                <w:tab w:val="decimal" w:pos="1424"/>
              </w:tabs>
              <w:ind w:right="-144"/>
              <w:rPr>
                <w:rFonts w:cs="Arial"/>
                <w:u w:val="double"/>
              </w:rPr>
            </w:pPr>
            <w:r w:rsidRPr="7821F417">
              <w:rPr>
                <w:rFonts w:cs="Arial"/>
                <w:u w:val="double"/>
              </w:rPr>
              <w:t>                  </w:t>
            </w:r>
          </w:p>
        </w:tc>
      </w:tr>
      <w:tr w:rsidR="009549B1" w:rsidRPr="00891FAB" w14:paraId="1DA47A93" w14:textId="77777777" w:rsidTr="009549B1">
        <w:trPr>
          <w:trHeight w:val="191"/>
        </w:trPr>
        <w:tc>
          <w:tcPr>
            <w:tcW w:w="435" w:type="dxa"/>
          </w:tcPr>
          <w:p w14:paraId="6F14E229" w14:textId="77777777" w:rsidR="009549B1" w:rsidRPr="00670755" w:rsidRDefault="009549B1" w:rsidP="7821F417">
            <w:pPr>
              <w:ind w:right="-144"/>
              <w:rPr>
                <w:rFonts w:cs="Arial"/>
              </w:rPr>
            </w:pPr>
          </w:p>
        </w:tc>
        <w:tc>
          <w:tcPr>
            <w:tcW w:w="3678" w:type="dxa"/>
          </w:tcPr>
          <w:p w14:paraId="0F353536" w14:textId="17596C2D" w:rsidR="009549B1" w:rsidRDefault="009549B1" w:rsidP="7821F417">
            <w:pPr>
              <w:ind w:right="-144"/>
              <w:rPr>
                <w:rFonts w:cs="Arial"/>
              </w:rPr>
            </w:pPr>
            <w:r w:rsidRPr="7821F417">
              <w:rPr>
                <w:rFonts w:cs="Arial"/>
                <w:i/>
                <w:iCs/>
              </w:rPr>
              <w:t xml:space="preserve">Segment liabilities </w:t>
            </w:r>
          </w:p>
        </w:tc>
        <w:tc>
          <w:tcPr>
            <w:tcW w:w="1589" w:type="dxa"/>
          </w:tcPr>
          <w:p w14:paraId="074704E7" w14:textId="2A9EF00C" w:rsidR="009549B1" w:rsidRDefault="006A1C26" w:rsidP="7821F417">
            <w:pPr>
              <w:tabs>
                <w:tab w:val="decimal" w:pos="1424"/>
              </w:tabs>
              <w:ind w:left="-460" w:right="-144" w:firstLine="460"/>
              <w:rPr>
                <w:rFonts w:cs="Arial"/>
                <w:b/>
                <w:bCs/>
              </w:rPr>
            </w:pPr>
            <w:r>
              <w:rPr>
                <w:rFonts w:cs="Arial"/>
                <w:b/>
                <w:bCs/>
              </w:rPr>
              <w:t>135,541</w:t>
            </w:r>
          </w:p>
        </w:tc>
        <w:tc>
          <w:tcPr>
            <w:tcW w:w="1560" w:type="dxa"/>
          </w:tcPr>
          <w:p w14:paraId="240B0E37" w14:textId="156C2CAC" w:rsidR="009549B1" w:rsidRPr="008039DB" w:rsidRDefault="006A1C26" w:rsidP="7821F417">
            <w:pPr>
              <w:tabs>
                <w:tab w:val="decimal" w:pos="1424"/>
              </w:tabs>
              <w:ind w:right="-144"/>
              <w:rPr>
                <w:rFonts w:cs="Arial"/>
                <w:b/>
                <w:bCs/>
              </w:rPr>
            </w:pPr>
            <w:r>
              <w:rPr>
                <w:rFonts w:cs="Arial"/>
                <w:b/>
                <w:bCs/>
              </w:rPr>
              <w:t>39,166</w:t>
            </w:r>
          </w:p>
        </w:tc>
        <w:tc>
          <w:tcPr>
            <w:tcW w:w="1701" w:type="dxa"/>
          </w:tcPr>
          <w:p w14:paraId="572D249A" w14:textId="25E1CC1B" w:rsidR="009549B1" w:rsidRPr="008039DB" w:rsidRDefault="00307B26" w:rsidP="7821F417">
            <w:pPr>
              <w:tabs>
                <w:tab w:val="decimal" w:pos="1424"/>
              </w:tabs>
              <w:ind w:right="-144"/>
              <w:rPr>
                <w:rFonts w:cs="Arial"/>
                <w:b/>
                <w:bCs/>
              </w:rPr>
            </w:pPr>
            <w:r>
              <w:rPr>
                <w:rFonts w:cs="Arial"/>
                <w:b/>
                <w:bCs/>
              </w:rPr>
              <w:t>174,707</w:t>
            </w:r>
          </w:p>
        </w:tc>
        <w:tc>
          <w:tcPr>
            <w:tcW w:w="1559" w:type="dxa"/>
          </w:tcPr>
          <w:p w14:paraId="79E212DD" w14:textId="1BFB07B0" w:rsidR="009549B1" w:rsidRPr="00BE10DC" w:rsidRDefault="00BE10DC" w:rsidP="7821F417">
            <w:pPr>
              <w:tabs>
                <w:tab w:val="decimal" w:pos="1424"/>
              </w:tabs>
              <w:ind w:right="-144"/>
              <w:rPr>
                <w:rFonts w:cs="Arial"/>
              </w:rPr>
            </w:pPr>
            <w:r w:rsidRPr="00BE10DC">
              <w:rPr>
                <w:rFonts w:cs="Arial"/>
              </w:rPr>
              <w:t>(135,744)</w:t>
            </w:r>
          </w:p>
        </w:tc>
        <w:tc>
          <w:tcPr>
            <w:tcW w:w="1559" w:type="dxa"/>
          </w:tcPr>
          <w:p w14:paraId="20126D81" w14:textId="3BBE47EC" w:rsidR="009549B1" w:rsidRPr="0019001B" w:rsidRDefault="00BE10DC" w:rsidP="7821F417">
            <w:pPr>
              <w:tabs>
                <w:tab w:val="decimal" w:pos="1424"/>
              </w:tabs>
              <w:ind w:right="-144"/>
              <w:rPr>
                <w:rFonts w:cs="Arial"/>
              </w:rPr>
            </w:pPr>
            <w:r>
              <w:rPr>
                <w:rFonts w:cs="Arial"/>
              </w:rPr>
              <w:t>(34,084)</w:t>
            </w:r>
          </w:p>
        </w:tc>
        <w:tc>
          <w:tcPr>
            <w:tcW w:w="1701" w:type="dxa"/>
          </w:tcPr>
          <w:p w14:paraId="5C46A7E9" w14:textId="7DAD6993" w:rsidR="009549B1" w:rsidRPr="00623CF7" w:rsidRDefault="009549B1" w:rsidP="7821F417">
            <w:pPr>
              <w:tabs>
                <w:tab w:val="decimal" w:pos="1424"/>
              </w:tabs>
              <w:ind w:right="-144"/>
              <w:rPr>
                <w:rFonts w:cs="Arial"/>
                <w:bCs/>
              </w:rPr>
            </w:pPr>
            <w:r w:rsidRPr="00623CF7">
              <w:rPr>
                <w:rFonts w:cs="Arial"/>
                <w:bCs/>
                <w:szCs w:val="20"/>
              </w:rPr>
              <w:t>169,82</w:t>
            </w:r>
            <w:r w:rsidR="00BE10DC">
              <w:rPr>
                <w:rFonts w:cs="Arial"/>
                <w:bCs/>
                <w:szCs w:val="20"/>
              </w:rPr>
              <w:t>8</w:t>
            </w:r>
          </w:p>
        </w:tc>
      </w:tr>
      <w:tr w:rsidR="009549B1" w:rsidRPr="00891FAB" w14:paraId="629D7082" w14:textId="77777777" w:rsidTr="009549B1">
        <w:trPr>
          <w:trHeight w:val="191"/>
        </w:trPr>
        <w:tc>
          <w:tcPr>
            <w:tcW w:w="435" w:type="dxa"/>
          </w:tcPr>
          <w:p w14:paraId="49FF2694" w14:textId="77777777" w:rsidR="009549B1" w:rsidRPr="00670755" w:rsidRDefault="009549B1" w:rsidP="7821F417">
            <w:pPr>
              <w:ind w:right="-144"/>
              <w:rPr>
                <w:rFonts w:cs="Arial"/>
              </w:rPr>
            </w:pPr>
          </w:p>
        </w:tc>
        <w:tc>
          <w:tcPr>
            <w:tcW w:w="3678" w:type="dxa"/>
          </w:tcPr>
          <w:p w14:paraId="5C77D90D" w14:textId="77777777" w:rsidR="009549B1" w:rsidRDefault="009549B1" w:rsidP="7821F417">
            <w:pPr>
              <w:ind w:right="-144"/>
              <w:rPr>
                <w:rFonts w:cs="Arial"/>
              </w:rPr>
            </w:pPr>
          </w:p>
        </w:tc>
        <w:tc>
          <w:tcPr>
            <w:tcW w:w="1589" w:type="dxa"/>
          </w:tcPr>
          <w:p w14:paraId="7CCEA707" w14:textId="2D817CD4" w:rsidR="009549B1" w:rsidRDefault="009549B1" w:rsidP="7821F417">
            <w:pPr>
              <w:tabs>
                <w:tab w:val="decimal" w:pos="1424"/>
              </w:tabs>
              <w:ind w:left="-460" w:right="-144" w:firstLine="460"/>
              <w:rPr>
                <w:rFonts w:cs="Arial"/>
                <w:b/>
                <w:bCs/>
              </w:rPr>
            </w:pPr>
            <w:r w:rsidRPr="7821F417">
              <w:rPr>
                <w:rFonts w:cs="Arial"/>
                <w:u w:val="single"/>
              </w:rPr>
              <w:t>                  </w:t>
            </w:r>
          </w:p>
        </w:tc>
        <w:tc>
          <w:tcPr>
            <w:tcW w:w="1560" w:type="dxa"/>
          </w:tcPr>
          <w:p w14:paraId="2DDCE908" w14:textId="6C9278D4" w:rsidR="009549B1" w:rsidRPr="00891FAB" w:rsidRDefault="009549B1" w:rsidP="7821F417">
            <w:pPr>
              <w:tabs>
                <w:tab w:val="decimal" w:pos="1424"/>
              </w:tabs>
              <w:ind w:right="-144"/>
              <w:rPr>
                <w:rFonts w:cs="Arial"/>
                <w:u w:val="double"/>
              </w:rPr>
            </w:pPr>
            <w:r w:rsidRPr="7821F417">
              <w:rPr>
                <w:rFonts w:cs="Arial"/>
                <w:u w:val="single"/>
              </w:rPr>
              <w:t>                  </w:t>
            </w:r>
          </w:p>
        </w:tc>
        <w:tc>
          <w:tcPr>
            <w:tcW w:w="1701" w:type="dxa"/>
          </w:tcPr>
          <w:p w14:paraId="0EE4A217" w14:textId="13BF81EF" w:rsidR="009549B1" w:rsidRPr="00891FAB" w:rsidRDefault="00307B26" w:rsidP="7821F417">
            <w:pPr>
              <w:tabs>
                <w:tab w:val="decimal" w:pos="1424"/>
              </w:tabs>
              <w:ind w:right="-144"/>
              <w:rPr>
                <w:rFonts w:cs="Arial"/>
                <w:u w:val="double"/>
              </w:rPr>
            </w:pPr>
            <w:r w:rsidRPr="7821F417">
              <w:rPr>
                <w:rFonts w:cs="Arial"/>
                <w:u w:val="single"/>
              </w:rPr>
              <w:t>                  </w:t>
            </w:r>
          </w:p>
        </w:tc>
        <w:tc>
          <w:tcPr>
            <w:tcW w:w="1559" w:type="dxa"/>
          </w:tcPr>
          <w:p w14:paraId="742AF916" w14:textId="4A325773" w:rsidR="009549B1" w:rsidRPr="00891FAB" w:rsidRDefault="009549B1" w:rsidP="7821F417">
            <w:pPr>
              <w:tabs>
                <w:tab w:val="decimal" w:pos="1424"/>
              </w:tabs>
              <w:ind w:right="-144"/>
              <w:rPr>
                <w:rFonts w:cs="Arial"/>
                <w:u w:val="double"/>
              </w:rPr>
            </w:pPr>
            <w:r w:rsidRPr="7821F417">
              <w:rPr>
                <w:rFonts w:cs="Arial"/>
                <w:u w:val="single"/>
              </w:rPr>
              <w:t>                  </w:t>
            </w:r>
          </w:p>
        </w:tc>
        <w:tc>
          <w:tcPr>
            <w:tcW w:w="1559" w:type="dxa"/>
          </w:tcPr>
          <w:p w14:paraId="57723E3E" w14:textId="3FD1FC01" w:rsidR="009549B1" w:rsidRPr="00356E4C" w:rsidRDefault="009549B1" w:rsidP="7821F417">
            <w:pPr>
              <w:tabs>
                <w:tab w:val="decimal" w:pos="1424"/>
              </w:tabs>
              <w:ind w:right="-144"/>
              <w:rPr>
                <w:rFonts w:cs="Arial"/>
                <w:b/>
                <w:bCs/>
              </w:rPr>
            </w:pPr>
            <w:r w:rsidRPr="7821F417">
              <w:rPr>
                <w:rFonts w:cs="Arial"/>
                <w:b/>
                <w:bCs/>
                <w:u w:val="single"/>
              </w:rPr>
              <w:t>                  </w:t>
            </w:r>
          </w:p>
        </w:tc>
        <w:tc>
          <w:tcPr>
            <w:tcW w:w="1701" w:type="dxa"/>
          </w:tcPr>
          <w:p w14:paraId="0EA171F5" w14:textId="34E86D4A" w:rsidR="009549B1" w:rsidRPr="00891FAB" w:rsidRDefault="00307B26" w:rsidP="7821F417">
            <w:pPr>
              <w:tabs>
                <w:tab w:val="decimal" w:pos="1424"/>
              </w:tabs>
              <w:ind w:right="-144"/>
              <w:rPr>
                <w:rFonts w:cs="Arial"/>
                <w:u w:val="double"/>
              </w:rPr>
            </w:pPr>
            <w:r w:rsidRPr="7821F417">
              <w:rPr>
                <w:rFonts w:cs="Arial"/>
                <w:u w:val="single"/>
              </w:rPr>
              <w:t>                  </w:t>
            </w:r>
          </w:p>
        </w:tc>
      </w:tr>
      <w:tr w:rsidR="009549B1" w:rsidRPr="00891FAB" w14:paraId="306E049B" w14:textId="77777777" w:rsidTr="009549B1">
        <w:trPr>
          <w:trHeight w:val="204"/>
        </w:trPr>
        <w:tc>
          <w:tcPr>
            <w:tcW w:w="435" w:type="dxa"/>
          </w:tcPr>
          <w:p w14:paraId="4CF22762" w14:textId="77777777" w:rsidR="009549B1" w:rsidRPr="00670755" w:rsidRDefault="009549B1" w:rsidP="00B40A9F">
            <w:pPr>
              <w:ind w:right="-144"/>
              <w:rPr>
                <w:rFonts w:cs="Arial"/>
                <w:szCs w:val="20"/>
              </w:rPr>
            </w:pPr>
          </w:p>
        </w:tc>
        <w:tc>
          <w:tcPr>
            <w:tcW w:w="3678" w:type="dxa"/>
          </w:tcPr>
          <w:p w14:paraId="00DDB39F" w14:textId="77777777" w:rsidR="009549B1" w:rsidRPr="00B0721B" w:rsidRDefault="009549B1" w:rsidP="00B40A9F">
            <w:pPr>
              <w:ind w:right="-144"/>
              <w:rPr>
                <w:rFonts w:cs="Arial"/>
                <w:i/>
                <w:szCs w:val="20"/>
              </w:rPr>
            </w:pPr>
            <w:r w:rsidRPr="00B0721B">
              <w:rPr>
                <w:rFonts w:cs="Arial"/>
                <w:i/>
                <w:szCs w:val="20"/>
              </w:rPr>
              <w:t xml:space="preserve">Reconciliation to </w:t>
            </w:r>
            <w:r>
              <w:rPr>
                <w:rFonts w:cs="Arial"/>
                <w:i/>
                <w:szCs w:val="20"/>
              </w:rPr>
              <w:t>Consolidated</w:t>
            </w:r>
            <w:r w:rsidRPr="00B0721B">
              <w:rPr>
                <w:rFonts w:cs="Arial"/>
                <w:i/>
                <w:szCs w:val="20"/>
              </w:rPr>
              <w:t xml:space="preserve"> Balance Sheet</w:t>
            </w:r>
          </w:p>
        </w:tc>
        <w:tc>
          <w:tcPr>
            <w:tcW w:w="1589" w:type="dxa"/>
          </w:tcPr>
          <w:p w14:paraId="54408625" w14:textId="77777777" w:rsidR="009549B1" w:rsidRDefault="009549B1" w:rsidP="00B40A9F">
            <w:pPr>
              <w:tabs>
                <w:tab w:val="decimal" w:pos="1424"/>
              </w:tabs>
              <w:ind w:left="-460" w:right="-144" w:firstLine="460"/>
              <w:rPr>
                <w:rFonts w:cs="Arial"/>
                <w:b/>
                <w:szCs w:val="20"/>
              </w:rPr>
            </w:pPr>
          </w:p>
        </w:tc>
        <w:tc>
          <w:tcPr>
            <w:tcW w:w="1560" w:type="dxa"/>
          </w:tcPr>
          <w:p w14:paraId="7055A30A" w14:textId="77777777" w:rsidR="009549B1" w:rsidRDefault="009549B1" w:rsidP="00B40A9F">
            <w:pPr>
              <w:tabs>
                <w:tab w:val="decimal" w:pos="1424"/>
              </w:tabs>
              <w:ind w:right="-144"/>
              <w:rPr>
                <w:rFonts w:cs="Arial"/>
                <w:szCs w:val="20"/>
              </w:rPr>
            </w:pPr>
          </w:p>
        </w:tc>
        <w:tc>
          <w:tcPr>
            <w:tcW w:w="1701" w:type="dxa"/>
          </w:tcPr>
          <w:p w14:paraId="205CA11C" w14:textId="77777777" w:rsidR="009549B1" w:rsidRDefault="009549B1" w:rsidP="00B40A9F">
            <w:pPr>
              <w:tabs>
                <w:tab w:val="decimal" w:pos="1424"/>
              </w:tabs>
              <w:ind w:right="-144"/>
              <w:rPr>
                <w:rFonts w:cs="Arial"/>
                <w:szCs w:val="20"/>
              </w:rPr>
            </w:pPr>
          </w:p>
        </w:tc>
        <w:tc>
          <w:tcPr>
            <w:tcW w:w="1559" w:type="dxa"/>
          </w:tcPr>
          <w:p w14:paraId="1C9D66FF" w14:textId="77777777" w:rsidR="009549B1" w:rsidRDefault="009549B1" w:rsidP="00B40A9F">
            <w:pPr>
              <w:tabs>
                <w:tab w:val="decimal" w:pos="1424"/>
              </w:tabs>
              <w:ind w:right="-144"/>
              <w:rPr>
                <w:rFonts w:cs="Arial"/>
                <w:szCs w:val="20"/>
              </w:rPr>
            </w:pPr>
          </w:p>
        </w:tc>
        <w:tc>
          <w:tcPr>
            <w:tcW w:w="1559" w:type="dxa"/>
          </w:tcPr>
          <w:p w14:paraId="7CA864D6" w14:textId="77777777" w:rsidR="009549B1" w:rsidRPr="00356E4C" w:rsidRDefault="009549B1" w:rsidP="00B40A9F">
            <w:pPr>
              <w:tabs>
                <w:tab w:val="decimal" w:pos="1424"/>
              </w:tabs>
              <w:ind w:right="-144"/>
              <w:rPr>
                <w:rFonts w:cs="Arial"/>
                <w:b/>
                <w:szCs w:val="20"/>
              </w:rPr>
            </w:pPr>
          </w:p>
        </w:tc>
        <w:tc>
          <w:tcPr>
            <w:tcW w:w="1701" w:type="dxa"/>
          </w:tcPr>
          <w:p w14:paraId="53098CDE" w14:textId="72BAA066" w:rsidR="009549B1" w:rsidRDefault="009549B1" w:rsidP="00B40A9F">
            <w:pPr>
              <w:tabs>
                <w:tab w:val="decimal" w:pos="1424"/>
              </w:tabs>
              <w:ind w:right="-144"/>
              <w:rPr>
                <w:rFonts w:cs="Arial"/>
                <w:szCs w:val="20"/>
              </w:rPr>
            </w:pPr>
          </w:p>
        </w:tc>
      </w:tr>
      <w:tr w:rsidR="009549B1" w:rsidRPr="00891FAB" w14:paraId="5FCF9EEF" w14:textId="77777777" w:rsidTr="009549B1">
        <w:trPr>
          <w:trHeight w:val="191"/>
        </w:trPr>
        <w:tc>
          <w:tcPr>
            <w:tcW w:w="435" w:type="dxa"/>
          </w:tcPr>
          <w:p w14:paraId="07B36DA0" w14:textId="77777777" w:rsidR="009549B1" w:rsidRPr="00670755" w:rsidRDefault="009549B1" w:rsidP="00361203">
            <w:pPr>
              <w:ind w:right="-144"/>
              <w:rPr>
                <w:rFonts w:cs="Arial"/>
                <w:szCs w:val="20"/>
              </w:rPr>
            </w:pPr>
          </w:p>
        </w:tc>
        <w:tc>
          <w:tcPr>
            <w:tcW w:w="3678" w:type="dxa"/>
          </w:tcPr>
          <w:p w14:paraId="09815943" w14:textId="77777777" w:rsidR="009549B1" w:rsidRDefault="009549B1" w:rsidP="00361203">
            <w:pPr>
              <w:ind w:right="-144"/>
              <w:rPr>
                <w:rFonts w:cs="Arial"/>
                <w:szCs w:val="20"/>
              </w:rPr>
            </w:pPr>
            <w:r>
              <w:rPr>
                <w:rFonts w:cs="Arial"/>
                <w:szCs w:val="20"/>
              </w:rPr>
              <w:t>Trade and other payables</w:t>
            </w:r>
          </w:p>
        </w:tc>
        <w:tc>
          <w:tcPr>
            <w:tcW w:w="1589" w:type="dxa"/>
          </w:tcPr>
          <w:p w14:paraId="424A136A" w14:textId="23E4C557" w:rsidR="009549B1" w:rsidRDefault="009549B1" w:rsidP="00361203">
            <w:pPr>
              <w:tabs>
                <w:tab w:val="decimal" w:pos="1424"/>
              </w:tabs>
              <w:ind w:left="-460" w:right="-144" w:firstLine="460"/>
              <w:rPr>
                <w:rFonts w:cs="Arial"/>
                <w:b/>
                <w:szCs w:val="20"/>
              </w:rPr>
            </w:pPr>
          </w:p>
        </w:tc>
        <w:tc>
          <w:tcPr>
            <w:tcW w:w="1560" w:type="dxa"/>
          </w:tcPr>
          <w:p w14:paraId="2303EF19" w14:textId="77777777" w:rsidR="009549B1" w:rsidRPr="00C97A82" w:rsidRDefault="009549B1" w:rsidP="00361203">
            <w:pPr>
              <w:tabs>
                <w:tab w:val="decimal" w:pos="1424"/>
              </w:tabs>
              <w:ind w:right="-144"/>
              <w:rPr>
                <w:rFonts w:cs="Arial"/>
                <w:szCs w:val="20"/>
              </w:rPr>
            </w:pPr>
          </w:p>
        </w:tc>
        <w:tc>
          <w:tcPr>
            <w:tcW w:w="1701" w:type="dxa"/>
          </w:tcPr>
          <w:p w14:paraId="68F8634D" w14:textId="6DDEF161" w:rsidR="009549B1" w:rsidRPr="00F66016" w:rsidRDefault="00744897" w:rsidP="7821F417">
            <w:pPr>
              <w:tabs>
                <w:tab w:val="decimal" w:pos="1424"/>
              </w:tabs>
              <w:ind w:right="-144"/>
              <w:rPr>
                <w:rFonts w:cs="Arial"/>
                <w:b/>
                <w:bCs/>
              </w:rPr>
            </w:pPr>
            <w:r>
              <w:rPr>
                <w:rFonts w:cs="Arial"/>
                <w:b/>
                <w:bCs/>
              </w:rPr>
              <w:t>11,16</w:t>
            </w:r>
            <w:r w:rsidR="002043AD">
              <w:rPr>
                <w:rFonts w:cs="Arial"/>
                <w:b/>
                <w:bCs/>
              </w:rPr>
              <w:t>2</w:t>
            </w:r>
          </w:p>
        </w:tc>
        <w:tc>
          <w:tcPr>
            <w:tcW w:w="1559" w:type="dxa"/>
          </w:tcPr>
          <w:p w14:paraId="1C067D48" w14:textId="77777777" w:rsidR="009549B1" w:rsidRPr="00C97A82" w:rsidRDefault="009549B1" w:rsidP="00361203">
            <w:pPr>
              <w:tabs>
                <w:tab w:val="decimal" w:pos="1424"/>
              </w:tabs>
              <w:ind w:right="-144"/>
              <w:rPr>
                <w:rFonts w:cs="Arial"/>
                <w:szCs w:val="20"/>
              </w:rPr>
            </w:pPr>
          </w:p>
        </w:tc>
        <w:tc>
          <w:tcPr>
            <w:tcW w:w="1559" w:type="dxa"/>
          </w:tcPr>
          <w:p w14:paraId="0488D1EE" w14:textId="77777777" w:rsidR="009549B1" w:rsidRPr="00356E4C" w:rsidRDefault="009549B1" w:rsidP="00361203">
            <w:pPr>
              <w:tabs>
                <w:tab w:val="decimal" w:pos="1424"/>
              </w:tabs>
              <w:ind w:right="-144"/>
              <w:rPr>
                <w:rFonts w:cs="Arial"/>
                <w:b/>
                <w:szCs w:val="20"/>
              </w:rPr>
            </w:pPr>
          </w:p>
        </w:tc>
        <w:tc>
          <w:tcPr>
            <w:tcW w:w="1701" w:type="dxa"/>
          </w:tcPr>
          <w:p w14:paraId="7F93AFE3" w14:textId="5D86FFD5" w:rsidR="009549B1" w:rsidRPr="004A6AB5" w:rsidRDefault="006534C6" w:rsidP="7821F417">
            <w:pPr>
              <w:tabs>
                <w:tab w:val="decimal" w:pos="1424"/>
              </w:tabs>
              <w:ind w:right="-144"/>
              <w:rPr>
                <w:rFonts w:cs="Arial"/>
              </w:rPr>
            </w:pPr>
            <w:r>
              <w:rPr>
                <w:rFonts w:cs="Arial"/>
              </w:rPr>
              <w:t>11,</w:t>
            </w:r>
            <w:r w:rsidR="004E292F">
              <w:rPr>
                <w:rFonts w:cs="Arial"/>
              </w:rPr>
              <w:t>40</w:t>
            </w:r>
            <w:r w:rsidR="00D552FA">
              <w:rPr>
                <w:rFonts w:cs="Arial"/>
              </w:rPr>
              <w:t>7</w:t>
            </w:r>
          </w:p>
        </w:tc>
      </w:tr>
      <w:tr w:rsidR="009549B1" w:rsidRPr="00891FAB" w14:paraId="615AEAB7" w14:textId="77777777" w:rsidTr="009549B1">
        <w:trPr>
          <w:trHeight w:val="191"/>
        </w:trPr>
        <w:tc>
          <w:tcPr>
            <w:tcW w:w="435" w:type="dxa"/>
          </w:tcPr>
          <w:p w14:paraId="3B112040" w14:textId="77777777" w:rsidR="009549B1" w:rsidRPr="00670755" w:rsidRDefault="009549B1" w:rsidP="00361203">
            <w:pPr>
              <w:ind w:right="-144"/>
              <w:rPr>
                <w:rFonts w:cs="Arial"/>
                <w:szCs w:val="20"/>
              </w:rPr>
            </w:pPr>
          </w:p>
        </w:tc>
        <w:tc>
          <w:tcPr>
            <w:tcW w:w="3678" w:type="dxa"/>
          </w:tcPr>
          <w:p w14:paraId="1B0F0088" w14:textId="2F69623A" w:rsidR="009549B1" w:rsidRDefault="009549B1" w:rsidP="00361203">
            <w:pPr>
              <w:ind w:right="-144"/>
              <w:rPr>
                <w:rFonts w:cs="Arial"/>
                <w:szCs w:val="20"/>
              </w:rPr>
            </w:pPr>
            <w:r>
              <w:rPr>
                <w:rFonts w:cs="Arial"/>
                <w:szCs w:val="20"/>
              </w:rPr>
              <w:t>Loans and borrowings</w:t>
            </w:r>
          </w:p>
        </w:tc>
        <w:tc>
          <w:tcPr>
            <w:tcW w:w="1589" w:type="dxa"/>
          </w:tcPr>
          <w:p w14:paraId="29942D9C" w14:textId="77777777" w:rsidR="009549B1" w:rsidRDefault="009549B1" w:rsidP="00361203">
            <w:pPr>
              <w:tabs>
                <w:tab w:val="decimal" w:pos="1424"/>
              </w:tabs>
              <w:ind w:left="-460" w:right="-144" w:firstLine="460"/>
              <w:rPr>
                <w:rFonts w:cs="Arial"/>
                <w:b/>
                <w:szCs w:val="20"/>
              </w:rPr>
            </w:pPr>
          </w:p>
        </w:tc>
        <w:tc>
          <w:tcPr>
            <w:tcW w:w="1560" w:type="dxa"/>
          </w:tcPr>
          <w:p w14:paraId="73E64C3C" w14:textId="77777777" w:rsidR="009549B1" w:rsidRDefault="009549B1" w:rsidP="00361203">
            <w:pPr>
              <w:tabs>
                <w:tab w:val="decimal" w:pos="1424"/>
              </w:tabs>
              <w:ind w:right="-144"/>
              <w:rPr>
                <w:rFonts w:cs="Arial"/>
                <w:szCs w:val="20"/>
              </w:rPr>
            </w:pPr>
          </w:p>
        </w:tc>
        <w:tc>
          <w:tcPr>
            <w:tcW w:w="1701" w:type="dxa"/>
          </w:tcPr>
          <w:p w14:paraId="650796ED" w14:textId="60AD7B24" w:rsidR="009549B1" w:rsidRPr="00F66016" w:rsidRDefault="00744897" w:rsidP="7821F417">
            <w:pPr>
              <w:tabs>
                <w:tab w:val="decimal" w:pos="1424"/>
              </w:tabs>
              <w:ind w:right="-144"/>
              <w:rPr>
                <w:rFonts w:cs="Arial"/>
                <w:b/>
                <w:bCs/>
              </w:rPr>
            </w:pPr>
            <w:r>
              <w:rPr>
                <w:rFonts w:cs="Arial"/>
                <w:b/>
                <w:bCs/>
              </w:rPr>
              <w:t>318,3</w:t>
            </w:r>
            <w:r w:rsidR="00477B84">
              <w:rPr>
                <w:rFonts w:cs="Arial"/>
                <w:b/>
                <w:bCs/>
              </w:rPr>
              <w:t>71</w:t>
            </w:r>
          </w:p>
        </w:tc>
        <w:tc>
          <w:tcPr>
            <w:tcW w:w="1559" w:type="dxa"/>
          </w:tcPr>
          <w:p w14:paraId="6F35E91F" w14:textId="77777777" w:rsidR="009549B1" w:rsidRDefault="009549B1" w:rsidP="00361203">
            <w:pPr>
              <w:tabs>
                <w:tab w:val="decimal" w:pos="1424"/>
              </w:tabs>
              <w:ind w:right="-144"/>
              <w:rPr>
                <w:rFonts w:cs="Arial"/>
                <w:szCs w:val="20"/>
              </w:rPr>
            </w:pPr>
          </w:p>
        </w:tc>
        <w:tc>
          <w:tcPr>
            <w:tcW w:w="1559" w:type="dxa"/>
          </w:tcPr>
          <w:p w14:paraId="07D0772D" w14:textId="77777777" w:rsidR="009549B1" w:rsidRPr="00356E4C" w:rsidRDefault="009549B1" w:rsidP="00361203">
            <w:pPr>
              <w:tabs>
                <w:tab w:val="decimal" w:pos="1424"/>
              </w:tabs>
              <w:ind w:right="-144"/>
              <w:rPr>
                <w:rFonts w:cs="Arial"/>
                <w:b/>
                <w:szCs w:val="20"/>
              </w:rPr>
            </w:pPr>
          </w:p>
        </w:tc>
        <w:tc>
          <w:tcPr>
            <w:tcW w:w="1701" w:type="dxa"/>
          </w:tcPr>
          <w:p w14:paraId="02F73939" w14:textId="26753362" w:rsidR="009549B1" w:rsidRPr="004A6AB5" w:rsidRDefault="004E292F" w:rsidP="7821F417">
            <w:pPr>
              <w:tabs>
                <w:tab w:val="decimal" w:pos="1424"/>
              </w:tabs>
              <w:ind w:right="-144"/>
              <w:rPr>
                <w:rFonts w:cs="Arial"/>
              </w:rPr>
            </w:pPr>
            <w:r>
              <w:rPr>
                <w:rFonts w:cs="Arial"/>
              </w:rPr>
              <w:t>238,168</w:t>
            </w:r>
          </w:p>
        </w:tc>
      </w:tr>
      <w:tr w:rsidR="009549B1" w:rsidRPr="00891FAB" w14:paraId="62201396" w14:textId="77777777" w:rsidTr="009549B1">
        <w:trPr>
          <w:trHeight w:val="191"/>
        </w:trPr>
        <w:tc>
          <w:tcPr>
            <w:tcW w:w="435" w:type="dxa"/>
          </w:tcPr>
          <w:p w14:paraId="641CEA43" w14:textId="77777777" w:rsidR="009549B1" w:rsidRPr="00670755" w:rsidRDefault="009549B1" w:rsidP="00361203">
            <w:pPr>
              <w:ind w:right="-144"/>
              <w:rPr>
                <w:rFonts w:cs="Arial"/>
                <w:szCs w:val="20"/>
              </w:rPr>
            </w:pPr>
          </w:p>
        </w:tc>
        <w:tc>
          <w:tcPr>
            <w:tcW w:w="3678" w:type="dxa"/>
          </w:tcPr>
          <w:p w14:paraId="4453FA42" w14:textId="4E39EE3F" w:rsidR="009549B1" w:rsidRDefault="009549B1" w:rsidP="00361203">
            <w:pPr>
              <w:ind w:right="-144"/>
              <w:rPr>
                <w:rFonts w:cs="Arial"/>
                <w:szCs w:val="20"/>
              </w:rPr>
            </w:pPr>
            <w:r>
              <w:rPr>
                <w:rFonts w:cs="Arial"/>
                <w:szCs w:val="20"/>
              </w:rPr>
              <w:t>Derivative contracts</w:t>
            </w:r>
          </w:p>
        </w:tc>
        <w:tc>
          <w:tcPr>
            <w:tcW w:w="1589" w:type="dxa"/>
          </w:tcPr>
          <w:p w14:paraId="64B4A1B9" w14:textId="77777777" w:rsidR="009549B1" w:rsidRDefault="009549B1" w:rsidP="00361203">
            <w:pPr>
              <w:tabs>
                <w:tab w:val="decimal" w:pos="1424"/>
              </w:tabs>
              <w:ind w:left="-460" w:right="-144" w:firstLine="460"/>
              <w:rPr>
                <w:rFonts w:cs="Arial"/>
                <w:b/>
                <w:szCs w:val="20"/>
              </w:rPr>
            </w:pPr>
          </w:p>
        </w:tc>
        <w:tc>
          <w:tcPr>
            <w:tcW w:w="1560" w:type="dxa"/>
          </w:tcPr>
          <w:p w14:paraId="0B72A0D8" w14:textId="77777777" w:rsidR="009549B1" w:rsidRDefault="009549B1" w:rsidP="00361203">
            <w:pPr>
              <w:tabs>
                <w:tab w:val="decimal" w:pos="1424"/>
              </w:tabs>
              <w:ind w:right="-144"/>
              <w:rPr>
                <w:rFonts w:cs="Arial"/>
                <w:szCs w:val="20"/>
              </w:rPr>
            </w:pPr>
          </w:p>
        </w:tc>
        <w:tc>
          <w:tcPr>
            <w:tcW w:w="1701" w:type="dxa"/>
          </w:tcPr>
          <w:p w14:paraId="47913325" w14:textId="6562563E" w:rsidR="009549B1" w:rsidRDefault="00744897" w:rsidP="7821F417">
            <w:pPr>
              <w:tabs>
                <w:tab w:val="decimal" w:pos="1424"/>
              </w:tabs>
              <w:ind w:right="-144"/>
              <w:rPr>
                <w:rFonts w:cs="Arial"/>
                <w:b/>
                <w:bCs/>
              </w:rPr>
            </w:pPr>
            <w:r>
              <w:rPr>
                <w:rFonts w:cs="Arial"/>
                <w:b/>
                <w:bCs/>
              </w:rPr>
              <w:t>1,370</w:t>
            </w:r>
          </w:p>
        </w:tc>
        <w:tc>
          <w:tcPr>
            <w:tcW w:w="1559" w:type="dxa"/>
          </w:tcPr>
          <w:p w14:paraId="2863EC05" w14:textId="77777777" w:rsidR="009549B1" w:rsidRDefault="009549B1" w:rsidP="00361203">
            <w:pPr>
              <w:tabs>
                <w:tab w:val="decimal" w:pos="1424"/>
              </w:tabs>
              <w:ind w:right="-144"/>
              <w:rPr>
                <w:rFonts w:cs="Arial"/>
                <w:szCs w:val="20"/>
              </w:rPr>
            </w:pPr>
          </w:p>
        </w:tc>
        <w:tc>
          <w:tcPr>
            <w:tcW w:w="1559" w:type="dxa"/>
          </w:tcPr>
          <w:p w14:paraId="017A56DB" w14:textId="77777777" w:rsidR="009549B1" w:rsidRPr="00356E4C" w:rsidRDefault="009549B1" w:rsidP="00361203">
            <w:pPr>
              <w:tabs>
                <w:tab w:val="decimal" w:pos="1424"/>
              </w:tabs>
              <w:ind w:right="-144"/>
              <w:rPr>
                <w:rFonts w:cs="Arial"/>
                <w:b/>
                <w:szCs w:val="20"/>
              </w:rPr>
            </w:pPr>
          </w:p>
        </w:tc>
        <w:tc>
          <w:tcPr>
            <w:tcW w:w="1701" w:type="dxa"/>
          </w:tcPr>
          <w:p w14:paraId="4D62CB5A" w14:textId="5E6AB378" w:rsidR="009549B1" w:rsidRDefault="004E292F" w:rsidP="7821F417">
            <w:pPr>
              <w:tabs>
                <w:tab w:val="decimal" w:pos="1424"/>
              </w:tabs>
              <w:ind w:right="-144"/>
              <w:rPr>
                <w:rFonts w:cs="Arial"/>
              </w:rPr>
            </w:pPr>
            <w:r>
              <w:rPr>
                <w:rFonts w:cs="Arial"/>
              </w:rPr>
              <w:t>1,576</w:t>
            </w:r>
          </w:p>
        </w:tc>
      </w:tr>
      <w:tr w:rsidR="009549B1" w:rsidRPr="00891FAB" w14:paraId="0D282893" w14:textId="77777777" w:rsidTr="009549B1">
        <w:trPr>
          <w:trHeight w:val="191"/>
        </w:trPr>
        <w:tc>
          <w:tcPr>
            <w:tcW w:w="435" w:type="dxa"/>
          </w:tcPr>
          <w:p w14:paraId="7BC78971" w14:textId="77777777" w:rsidR="009549B1" w:rsidRPr="00670755" w:rsidRDefault="009549B1" w:rsidP="00361203">
            <w:pPr>
              <w:ind w:right="-144"/>
              <w:rPr>
                <w:rFonts w:cs="Arial"/>
                <w:szCs w:val="20"/>
              </w:rPr>
            </w:pPr>
          </w:p>
        </w:tc>
        <w:tc>
          <w:tcPr>
            <w:tcW w:w="3678" w:type="dxa"/>
          </w:tcPr>
          <w:p w14:paraId="30F0AD10" w14:textId="46157CC9" w:rsidR="009549B1" w:rsidRDefault="009549B1" w:rsidP="00361203">
            <w:pPr>
              <w:ind w:right="-144"/>
              <w:rPr>
                <w:rFonts w:cs="Arial"/>
                <w:szCs w:val="20"/>
              </w:rPr>
            </w:pPr>
            <w:r>
              <w:rPr>
                <w:rFonts w:cs="Arial"/>
                <w:szCs w:val="20"/>
              </w:rPr>
              <w:t>Lease liabilities</w:t>
            </w:r>
          </w:p>
        </w:tc>
        <w:tc>
          <w:tcPr>
            <w:tcW w:w="1589" w:type="dxa"/>
          </w:tcPr>
          <w:p w14:paraId="1C2BFFC7" w14:textId="77777777" w:rsidR="009549B1" w:rsidRDefault="009549B1" w:rsidP="00361203">
            <w:pPr>
              <w:tabs>
                <w:tab w:val="decimal" w:pos="1424"/>
              </w:tabs>
              <w:ind w:left="-460" w:right="-144" w:firstLine="460"/>
              <w:rPr>
                <w:rFonts w:cs="Arial"/>
                <w:b/>
                <w:szCs w:val="20"/>
              </w:rPr>
            </w:pPr>
          </w:p>
        </w:tc>
        <w:tc>
          <w:tcPr>
            <w:tcW w:w="1560" w:type="dxa"/>
          </w:tcPr>
          <w:p w14:paraId="26EEDF4C" w14:textId="77777777" w:rsidR="009549B1" w:rsidRDefault="009549B1" w:rsidP="00361203">
            <w:pPr>
              <w:tabs>
                <w:tab w:val="decimal" w:pos="1424"/>
              </w:tabs>
              <w:ind w:right="-144"/>
              <w:rPr>
                <w:rFonts w:cs="Arial"/>
                <w:szCs w:val="20"/>
              </w:rPr>
            </w:pPr>
          </w:p>
        </w:tc>
        <w:tc>
          <w:tcPr>
            <w:tcW w:w="1701" w:type="dxa"/>
          </w:tcPr>
          <w:p w14:paraId="34F92B8B" w14:textId="22E162D7" w:rsidR="009549B1" w:rsidRDefault="00744897" w:rsidP="7821F417">
            <w:pPr>
              <w:tabs>
                <w:tab w:val="decimal" w:pos="1424"/>
              </w:tabs>
              <w:ind w:right="-144"/>
              <w:rPr>
                <w:rFonts w:cs="Arial"/>
                <w:b/>
                <w:bCs/>
              </w:rPr>
            </w:pPr>
            <w:r>
              <w:rPr>
                <w:rFonts w:cs="Arial"/>
                <w:b/>
                <w:bCs/>
              </w:rPr>
              <w:t>4,738</w:t>
            </w:r>
          </w:p>
        </w:tc>
        <w:tc>
          <w:tcPr>
            <w:tcW w:w="1559" w:type="dxa"/>
          </w:tcPr>
          <w:p w14:paraId="56085188" w14:textId="77777777" w:rsidR="009549B1" w:rsidRDefault="009549B1" w:rsidP="00361203">
            <w:pPr>
              <w:tabs>
                <w:tab w:val="decimal" w:pos="1424"/>
              </w:tabs>
              <w:ind w:right="-144"/>
              <w:rPr>
                <w:rFonts w:cs="Arial"/>
                <w:szCs w:val="20"/>
              </w:rPr>
            </w:pPr>
          </w:p>
        </w:tc>
        <w:tc>
          <w:tcPr>
            <w:tcW w:w="1559" w:type="dxa"/>
          </w:tcPr>
          <w:p w14:paraId="0402ED47" w14:textId="77777777" w:rsidR="009549B1" w:rsidRPr="00356E4C" w:rsidRDefault="009549B1" w:rsidP="00361203">
            <w:pPr>
              <w:tabs>
                <w:tab w:val="decimal" w:pos="1424"/>
              </w:tabs>
              <w:ind w:right="-144"/>
              <w:rPr>
                <w:rFonts w:cs="Arial"/>
                <w:b/>
                <w:szCs w:val="20"/>
              </w:rPr>
            </w:pPr>
          </w:p>
        </w:tc>
        <w:tc>
          <w:tcPr>
            <w:tcW w:w="1701" w:type="dxa"/>
          </w:tcPr>
          <w:p w14:paraId="7F5579A2" w14:textId="5D6531A2" w:rsidR="009549B1" w:rsidRPr="004A6AB5" w:rsidRDefault="004E292F" w:rsidP="7821F417">
            <w:pPr>
              <w:tabs>
                <w:tab w:val="decimal" w:pos="1424"/>
              </w:tabs>
              <w:ind w:right="-144"/>
              <w:rPr>
                <w:rFonts w:cs="Arial"/>
              </w:rPr>
            </w:pPr>
            <w:r>
              <w:rPr>
                <w:rFonts w:cs="Arial"/>
              </w:rPr>
              <w:t>4,415</w:t>
            </w:r>
          </w:p>
        </w:tc>
      </w:tr>
      <w:tr w:rsidR="004E292F" w:rsidRPr="00891FAB" w14:paraId="0D00FFCA" w14:textId="77777777" w:rsidTr="009549B1">
        <w:trPr>
          <w:trHeight w:val="191"/>
        </w:trPr>
        <w:tc>
          <w:tcPr>
            <w:tcW w:w="435" w:type="dxa"/>
          </w:tcPr>
          <w:p w14:paraId="3A1B0416" w14:textId="77777777" w:rsidR="004E292F" w:rsidRPr="00670755" w:rsidRDefault="004E292F" w:rsidP="00361203">
            <w:pPr>
              <w:ind w:right="-144"/>
              <w:rPr>
                <w:rFonts w:cs="Arial"/>
                <w:szCs w:val="20"/>
              </w:rPr>
            </w:pPr>
          </w:p>
        </w:tc>
        <w:tc>
          <w:tcPr>
            <w:tcW w:w="3678" w:type="dxa"/>
          </w:tcPr>
          <w:p w14:paraId="39788E85" w14:textId="68F9F379" w:rsidR="004E292F" w:rsidRDefault="004E292F" w:rsidP="00361203">
            <w:pPr>
              <w:ind w:right="-144"/>
              <w:rPr>
                <w:rFonts w:cs="Arial"/>
                <w:szCs w:val="20"/>
              </w:rPr>
            </w:pPr>
            <w:r>
              <w:rPr>
                <w:rFonts w:cs="Arial"/>
                <w:szCs w:val="20"/>
              </w:rPr>
              <w:t>Income tax payable</w:t>
            </w:r>
          </w:p>
        </w:tc>
        <w:tc>
          <w:tcPr>
            <w:tcW w:w="1589" w:type="dxa"/>
          </w:tcPr>
          <w:p w14:paraId="61004594" w14:textId="77777777" w:rsidR="004E292F" w:rsidRDefault="004E292F" w:rsidP="00361203">
            <w:pPr>
              <w:tabs>
                <w:tab w:val="decimal" w:pos="1424"/>
              </w:tabs>
              <w:ind w:left="-460" w:right="-144" w:firstLine="460"/>
              <w:rPr>
                <w:rFonts w:cs="Arial"/>
                <w:b/>
                <w:szCs w:val="20"/>
              </w:rPr>
            </w:pPr>
          </w:p>
        </w:tc>
        <w:tc>
          <w:tcPr>
            <w:tcW w:w="1560" w:type="dxa"/>
          </w:tcPr>
          <w:p w14:paraId="627A209F" w14:textId="77777777" w:rsidR="004E292F" w:rsidRDefault="004E292F" w:rsidP="00361203">
            <w:pPr>
              <w:tabs>
                <w:tab w:val="decimal" w:pos="1424"/>
              </w:tabs>
              <w:ind w:right="-144"/>
              <w:rPr>
                <w:rFonts w:cs="Arial"/>
                <w:szCs w:val="20"/>
              </w:rPr>
            </w:pPr>
          </w:p>
        </w:tc>
        <w:tc>
          <w:tcPr>
            <w:tcW w:w="1701" w:type="dxa"/>
          </w:tcPr>
          <w:p w14:paraId="02425626" w14:textId="7B0BDCF6" w:rsidR="004E292F" w:rsidRDefault="0041333D" w:rsidP="7821F417">
            <w:pPr>
              <w:tabs>
                <w:tab w:val="decimal" w:pos="1424"/>
              </w:tabs>
              <w:ind w:right="-144"/>
              <w:rPr>
                <w:rFonts w:cs="Arial"/>
                <w:b/>
                <w:bCs/>
              </w:rPr>
            </w:pPr>
            <w:r>
              <w:rPr>
                <w:rFonts w:cs="Arial"/>
                <w:b/>
                <w:bCs/>
              </w:rPr>
              <w:t>-</w:t>
            </w:r>
          </w:p>
        </w:tc>
        <w:tc>
          <w:tcPr>
            <w:tcW w:w="1559" w:type="dxa"/>
          </w:tcPr>
          <w:p w14:paraId="45EF8FE0" w14:textId="77777777" w:rsidR="004E292F" w:rsidRDefault="004E292F" w:rsidP="00361203">
            <w:pPr>
              <w:tabs>
                <w:tab w:val="decimal" w:pos="1424"/>
              </w:tabs>
              <w:ind w:right="-144"/>
              <w:rPr>
                <w:rFonts w:cs="Arial"/>
                <w:szCs w:val="20"/>
              </w:rPr>
            </w:pPr>
          </w:p>
        </w:tc>
        <w:tc>
          <w:tcPr>
            <w:tcW w:w="1559" w:type="dxa"/>
          </w:tcPr>
          <w:p w14:paraId="126F5454" w14:textId="77777777" w:rsidR="004E292F" w:rsidRPr="00356E4C" w:rsidRDefault="004E292F" w:rsidP="00361203">
            <w:pPr>
              <w:tabs>
                <w:tab w:val="decimal" w:pos="1424"/>
              </w:tabs>
              <w:ind w:right="-144"/>
              <w:rPr>
                <w:rFonts w:cs="Arial"/>
                <w:b/>
                <w:szCs w:val="20"/>
              </w:rPr>
            </w:pPr>
          </w:p>
        </w:tc>
        <w:tc>
          <w:tcPr>
            <w:tcW w:w="1701" w:type="dxa"/>
          </w:tcPr>
          <w:p w14:paraId="5402DDBA" w14:textId="2E8DC67E" w:rsidR="004E292F" w:rsidRDefault="001A4414" w:rsidP="7821F417">
            <w:pPr>
              <w:tabs>
                <w:tab w:val="decimal" w:pos="1424"/>
              </w:tabs>
              <w:ind w:right="-144"/>
              <w:rPr>
                <w:rFonts w:cs="Arial"/>
              </w:rPr>
            </w:pPr>
            <w:r>
              <w:rPr>
                <w:rFonts w:cs="Arial"/>
              </w:rPr>
              <w:t>1,350</w:t>
            </w:r>
          </w:p>
        </w:tc>
      </w:tr>
      <w:tr w:rsidR="009549B1" w:rsidRPr="008D36E7" w14:paraId="1A218152" w14:textId="77777777" w:rsidTr="009549B1">
        <w:trPr>
          <w:trHeight w:val="191"/>
        </w:trPr>
        <w:tc>
          <w:tcPr>
            <w:tcW w:w="435" w:type="dxa"/>
          </w:tcPr>
          <w:p w14:paraId="77EB695B" w14:textId="77777777" w:rsidR="009549B1" w:rsidRPr="00670755" w:rsidRDefault="009549B1" w:rsidP="00B40A9F">
            <w:pPr>
              <w:ind w:right="-144"/>
              <w:rPr>
                <w:rFonts w:cs="Arial"/>
                <w:szCs w:val="20"/>
              </w:rPr>
            </w:pPr>
          </w:p>
        </w:tc>
        <w:tc>
          <w:tcPr>
            <w:tcW w:w="3678" w:type="dxa"/>
          </w:tcPr>
          <w:p w14:paraId="1D35BC6D" w14:textId="77777777" w:rsidR="009549B1" w:rsidRDefault="009549B1" w:rsidP="00B40A9F">
            <w:pPr>
              <w:ind w:right="-144"/>
              <w:rPr>
                <w:rFonts w:cs="Arial"/>
                <w:szCs w:val="20"/>
              </w:rPr>
            </w:pPr>
          </w:p>
        </w:tc>
        <w:tc>
          <w:tcPr>
            <w:tcW w:w="1589" w:type="dxa"/>
          </w:tcPr>
          <w:p w14:paraId="318A5885" w14:textId="77777777" w:rsidR="009549B1" w:rsidRPr="008D36E7" w:rsidRDefault="009549B1" w:rsidP="00B40A9F">
            <w:pPr>
              <w:tabs>
                <w:tab w:val="decimal" w:pos="1424"/>
              </w:tabs>
              <w:ind w:left="-460" w:right="-144" w:firstLine="460"/>
              <w:rPr>
                <w:rFonts w:cs="Arial"/>
                <w:b/>
                <w:szCs w:val="20"/>
              </w:rPr>
            </w:pPr>
          </w:p>
        </w:tc>
        <w:tc>
          <w:tcPr>
            <w:tcW w:w="1560" w:type="dxa"/>
          </w:tcPr>
          <w:p w14:paraId="051466C4" w14:textId="77777777" w:rsidR="009549B1" w:rsidRPr="007A4A08" w:rsidRDefault="009549B1" w:rsidP="00B40A9F">
            <w:pPr>
              <w:tabs>
                <w:tab w:val="decimal" w:pos="1424"/>
              </w:tabs>
              <w:ind w:right="-144"/>
              <w:rPr>
                <w:rFonts w:cs="Arial"/>
                <w:szCs w:val="20"/>
                <w:u w:val="single"/>
              </w:rPr>
            </w:pPr>
          </w:p>
        </w:tc>
        <w:tc>
          <w:tcPr>
            <w:tcW w:w="1701" w:type="dxa"/>
          </w:tcPr>
          <w:p w14:paraId="7AB7264C" w14:textId="77777777" w:rsidR="009549B1" w:rsidRPr="007A4A08" w:rsidRDefault="009549B1" w:rsidP="00B40A9F">
            <w:pPr>
              <w:tabs>
                <w:tab w:val="decimal" w:pos="1424"/>
              </w:tabs>
              <w:ind w:right="-144"/>
              <w:rPr>
                <w:rFonts w:cs="Arial"/>
                <w:szCs w:val="20"/>
                <w:u w:val="single"/>
              </w:rPr>
            </w:pPr>
            <w:r w:rsidRPr="007A4A08">
              <w:rPr>
                <w:rFonts w:cs="Arial"/>
                <w:szCs w:val="20"/>
                <w:u w:val="single"/>
              </w:rPr>
              <w:t>                  </w:t>
            </w:r>
          </w:p>
        </w:tc>
        <w:tc>
          <w:tcPr>
            <w:tcW w:w="1559" w:type="dxa"/>
          </w:tcPr>
          <w:p w14:paraId="5F451B2F" w14:textId="004C157B" w:rsidR="009549B1" w:rsidRPr="007A4A08" w:rsidRDefault="009549B1" w:rsidP="00B40A9F">
            <w:pPr>
              <w:tabs>
                <w:tab w:val="decimal" w:pos="1424"/>
              </w:tabs>
              <w:ind w:right="-144"/>
              <w:rPr>
                <w:rFonts w:cs="Arial"/>
                <w:szCs w:val="20"/>
                <w:u w:val="single"/>
              </w:rPr>
            </w:pPr>
          </w:p>
        </w:tc>
        <w:tc>
          <w:tcPr>
            <w:tcW w:w="1559" w:type="dxa"/>
          </w:tcPr>
          <w:p w14:paraId="1096F62D" w14:textId="61749B12" w:rsidR="009549B1" w:rsidRPr="00356E4C" w:rsidRDefault="009549B1" w:rsidP="00B40A9F">
            <w:pPr>
              <w:tabs>
                <w:tab w:val="decimal" w:pos="1424"/>
              </w:tabs>
              <w:ind w:right="-144"/>
              <w:rPr>
                <w:rFonts w:cs="Arial"/>
                <w:b/>
                <w:szCs w:val="20"/>
              </w:rPr>
            </w:pPr>
          </w:p>
        </w:tc>
        <w:tc>
          <w:tcPr>
            <w:tcW w:w="1701" w:type="dxa"/>
          </w:tcPr>
          <w:p w14:paraId="5C112E13" w14:textId="4AA0A998" w:rsidR="009549B1" w:rsidRPr="008D36E7" w:rsidRDefault="009549B1" w:rsidP="00B40A9F">
            <w:pPr>
              <w:tabs>
                <w:tab w:val="decimal" w:pos="1424"/>
              </w:tabs>
              <w:ind w:right="-144"/>
              <w:rPr>
                <w:rFonts w:cs="Arial"/>
                <w:b/>
                <w:szCs w:val="20"/>
              </w:rPr>
            </w:pPr>
            <w:r w:rsidRPr="007A4A08">
              <w:rPr>
                <w:rFonts w:cs="Arial"/>
                <w:szCs w:val="20"/>
                <w:u w:val="single"/>
              </w:rPr>
              <w:t>                  </w:t>
            </w:r>
          </w:p>
        </w:tc>
      </w:tr>
      <w:tr w:rsidR="009549B1" w:rsidRPr="008D36E7" w14:paraId="075DA4C9" w14:textId="77777777" w:rsidTr="009549B1">
        <w:trPr>
          <w:trHeight w:val="191"/>
        </w:trPr>
        <w:tc>
          <w:tcPr>
            <w:tcW w:w="435" w:type="dxa"/>
          </w:tcPr>
          <w:p w14:paraId="126AE848" w14:textId="77777777" w:rsidR="009549B1" w:rsidRPr="00670755" w:rsidRDefault="009549B1" w:rsidP="00B40A9F">
            <w:pPr>
              <w:ind w:right="-144"/>
              <w:rPr>
                <w:rFonts w:cs="Arial"/>
                <w:szCs w:val="20"/>
              </w:rPr>
            </w:pPr>
          </w:p>
        </w:tc>
        <w:tc>
          <w:tcPr>
            <w:tcW w:w="3678" w:type="dxa"/>
          </w:tcPr>
          <w:p w14:paraId="2A5DBC31" w14:textId="77777777" w:rsidR="009549B1" w:rsidRDefault="009549B1" w:rsidP="00B40A9F">
            <w:pPr>
              <w:ind w:right="-144"/>
              <w:rPr>
                <w:rFonts w:cs="Arial"/>
                <w:szCs w:val="20"/>
              </w:rPr>
            </w:pPr>
          </w:p>
        </w:tc>
        <w:tc>
          <w:tcPr>
            <w:tcW w:w="1589" w:type="dxa"/>
          </w:tcPr>
          <w:p w14:paraId="690979D1" w14:textId="77777777" w:rsidR="009549B1" w:rsidRPr="008D36E7" w:rsidRDefault="009549B1" w:rsidP="00B40A9F">
            <w:pPr>
              <w:tabs>
                <w:tab w:val="decimal" w:pos="1424"/>
              </w:tabs>
              <w:ind w:left="-460" w:right="-144" w:firstLine="460"/>
              <w:rPr>
                <w:rFonts w:cs="Arial"/>
                <w:b/>
                <w:szCs w:val="20"/>
              </w:rPr>
            </w:pPr>
          </w:p>
        </w:tc>
        <w:tc>
          <w:tcPr>
            <w:tcW w:w="1560" w:type="dxa"/>
          </w:tcPr>
          <w:p w14:paraId="495F2E37" w14:textId="77777777" w:rsidR="009549B1" w:rsidRPr="008D36E7" w:rsidRDefault="009549B1" w:rsidP="00B40A9F">
            <w:pPr>
              <w:tabs>
                <w:tab w:val="decimal" w:pos="1424"/>
              </w:tabs>
              <w:ind w:right="-144"/>
              <w:rPr>
                <w:rFonts w:cs="Arial"/>
                <w:b/>
                <w:szCs w:val="20"/>
              </w:rPr>
            </w:pPr>
          </w:p>
        </w:tc>
        <w:tc>
          <w:tcPr>
            <w:tcW w:w="1701" w:type="dxa"/>
          </w:tcPr>
          <w:p w14:paraId="637CD576" w14:textId="77777777" w:rsidR="009549B1" w:rsidRPr="008D36E7" w:rsidRDefault="009549B1" w:rsidP="00B40A9F">
            <w:pPr>
              <w:tabs>
                <w:tab w:val="decimal" w:pos="1424"/>
              </w:tabs>
              <w:ind w:right="-144"/>
              <w:rPr>
                <w:rFonts w:cs="Arial"/>
                <w:b/>
                <w:szCs w:val="20"/>
              </w:rPr>
            </w:pPr>
          </w:p>
        </w:tc>
        <w:tc>
          <w:tcPr>
            <w:tcW w:w="1559" w:type="dxa"/>
          </w:tcPr>
          <w:p w14:paraId="4715F5C5" w14:textId="77777777" w:rsidR="009549B1" w:rsidRPr="008D36E7" w:rsidRDefault="009549B1" w:rsidP="00B40A9F">
            <w:pPr>
              <w:tabs>
                <w:tab w:val="decimal" w:pos="1424"/>
              </w:tabs>
              <w:ind w:right="-144"/>
              <w:rPr>
                <w:rFonts w:cs="Arial"/>
                <w:b/>
                <w:szCs w:val="20"/>
              </w:rPr>
            </w:pPr>
          </w:p>
        </w:tc>
        <w:tc>
          <w:tcPr>
            <w:tcW w:w="1559" w:type="dxa"/>
          </w:tcPr>
          <w:p w14:paraId="233DEFB8" w14:textId="77777777" w:rsidR="009549B1" w:rsidRPr="008D36E7" w:rsidRDefault="009549B1" w:rsidP="00B40A9F">
            <w:pPr>
              <w:tabs>
                <w:tab w:val="decimal" w:pos="1424"/>
              </w:tabs>
              <w:ind w:right="-144"/>
              <w:rPr>
                <w:rFonts w:cs="Arial"/>
                <w:b/>
                <w:szCs w:val="20"/>
              </w:rPr>
            </w:pPr>
          </w:p>
        </w:tc>
        <w:tc>
          <w:tcPr>
            <w:tcW w:w="1701" w:type="dxa"/>
          </w:tcPr>
          <w:p w14:paraId="14E74563" w14:textId="1D06A6E9" w:rsidR="009549B1" w:rsidRPr="008D36E7" w:rsidRDefault="009549B1" w:rsidP="00B40A9F">
            <w:pPr>
              <w:tabs>
                <w:tab w:val="decimal" w:pos="1424"/>
              </w:tabs>
              <w:ind w:right="-144"/>
              <w:rPr>
                <w:rFonts w:cs="Arial"/>
                <w:b/>
                <w:szCs w:val="20"/>
              </w:rPr>
            </w:pPr>
          </w:p>
        </w:tc>
      </w:tr>
      <w:tr w:rsidR="009549B1" w:rsidRPr="008D36E7" w14:paraId="266DFB75" w14:textId="77777777" w:rsidTr="009549B1">
        <w:trPr>
          <w:trHeight w:val="37"/>
        </w:trPr>
        <w:tc>
          <w:tcPr>
            <w:tcW w:w="435" w:type="dxa"/>
          </w:tcPr>
          <w:p w14:paraId="2E8760E1" w14:textId="36336373" w:rsidR="009549B1" w:rsidRPr="00670755" w:rsidRDefault="009549B1" w:rsidP="00B40A9F">
            <w:pPr>
              <w:ind w:right="-144"/>
              <w:rPr>
                <w:rFonts w:cs="Arial"/>
                <w:szCs w:val="20"/>
              </w:rPr>
            </w:pPr>
          </w:p>
        </w:tc>
        <w:tc>
          <w:tcPr>
            <w:tcW w:w="3678" w:type="dxa"/>
          </w:tcPr>
          <w:p w14:paraId="1A9C5183" w14:textId="77777777" w:rsidR="009549B1" w:rsidRDefault="009549B1" w:rsidP="00B40A9F">
            <w:pPr>
              <w:ind w:right="-144"/>
              <w:rPr>
                <w:rFonts w:cs="Arial"/>
                <w:szCs w:val="20"/>
              </w:rPr>
            </w:pPr>
          </w:p>
        </w:tc>
        <w:tc>
          <w:tcPr>
            <w:tcW w:w="1589" w:type="dxa"/>
          </w:tcPr>
          <w:p w14:paraId="79EFC3C9" w14:textId="77777777" w:rsidR="009549B1" w:rsidRPr="008D36E7" w:rsidRDefault="009549B1" w:rsidP="00B40A9F">
            <w:pPr>
              <w:tabs>
                <w:tab w:val="decimal" w:pos="1424"/>
              </w:tabs>
              <w:ind w:left="-460" w:right="-144" w:firstLine="460"/>
              <w:rPr>
                <w:rFonts w:cs="Arial"/>
                <w:b/>
                <w:szCs w:val="20"/>
              </w:rPr>
            </w:pPr>
          </w:p>
        </w:tc>
        <w:tc>
          <w:tcPr>
            <w:tcW w:w="1560" w:type="dxa"/>
          </w:tcPr>
          <w:p w14:paraId="1D5CFCC9" w14:textId="77777777" w:rsidR="009549B1" w:rsidRPr="00C97A82" w:rsidRDefault="009549B1" w:rsidP="00B40A9F">
            <w:pPr>
              <w:tabs>
                <w:tab w:val="decimal" w:pos="1424"/>
              </w:tabs>
              <w:ind w:right="-144"/>
              <w:rPr>
                <w:rFonts w:cs="Arial"/>
                <w:szCs w:val="20"/>
              </w:rPr>
            </w:pPr>
          </w:p>
        </w:tc>
        <w:tc>
          <w:tcPr>
            <w:tcW w:w="1701" w:type="dxa"/>
          </w:tcPr>
          <w:p w14:paraId="135A628B" w14:textId="11B6B764" w:rsidR="009549B1" w:rsidRPr="00F66016" w:rsidRDefault="0041333D" w:rsidP="7821F417">
            <w:pPr>
              <w:tabs>
                <w:tab w:val="decimal" w:pos="1424"/>
              </w:tabs>
              <w:ind w:right="-144"/>
              <w:rPr>
                <w:rFonts w:cs="Arial"/>
                <w:b/>
                <w:bCs/>
              </w:rPr>
            </w:pPr>
            <w:r>
              <w:rPr>
                <w:rFonts w:cs="Arial"/>
                <w:b/>
                <w:bCs/>
              </w:rPr>
              <w:t>510,34</w:t>
            </w:r>
            <w:r w:rsidR="00632DE3">
              <w:rPr>
                <w:rFonts w:cs="Arial"/>
                <w:b/>
                <w:bCs/>
              </w:rPr>
              <w:t>8</w:t>
            </w:r>
          </w:p>
        </w:tc>
        <w:tc>
          <w:tcPr>
            <w:tcW w:w="1559" w:type="dxa"/>
          </w:tcPr>
          <w:p w14:paraId="0D8338D4" w14:textId="77777777" w:rsidR="009549B1" w:rsidRPr="00C97A82" w:rsidRDefault="009549B1" w:rsidP="00B40A9F">
            <w:pPr>
              <w:tabs>
                <w:tab w:val="decimal" w:pos="1424"/>
              </w:tabs>
              <w:ind w:right="-144"/>
              <w:rPr>
                <w:rFonts w:cs="Arial"/>
                <w:szCs w:val="20"/>
              </w:rPr>
            </w:pPr>
          </w:p>
        </w:tc>
        <w:tc>
          <w:tcPr>
            <w:tcW w:w="1559" w:type="dxa"/>
          </w:tcPr>
          <w:p w14:paraId="096AEEB9" w14:textId="77777777" w:rsidR="009549B1" w:rsidRPr="005358BA" w:rsidRDefault="009549B1" w:rsidP="00B40A9F">
            <w:pPr>
              <w:tabs>
                <w:tab w:val="decimal" w:pos="1424"/>
              </w:tabs>
              <w:ind w:right="-144"/>
              <w:rPr>
                <w:rFonts w:cs="Arial"/>
                <w:b/>
                <w:szCs w:val="20"/>
              </w:rPr>
            </w:pPr>
          </w:p>
        </w:tc>
        <w:tc>
          <w:tcPr>
            <w:tcW w:w="1701" w:type="dxa"/>
          </w:tcPr>
          <w:p w14:paraId="598A3707" w14:textId="0413E247" w:rsidR="009549B1" w:rsidRPr="00C97A82" w:rsidRDefault="001A4414" w:rsidP="7821F417">
            <w:pPr>
              <w:tabs>
                <w:tab w:val="decimal" w:pos="1424"/>
              </w:tabs>
              <w:ind w:right="-144"/>
              <w:rPr>
                <w:rFonts w:eastAsia="Calibri" w:cs="Arial"/>
                <w:szCs w:val="20"/>
              </w:rPr>
            </w:pPr>
            <w:r>
              <w:rPr>
                <w:rFonts w:cs="Arial"/>
              </w:rPr>
              <w:t>426,744</w:t>
            </w:r>
          </w:p>
        </w:tc>
      </w:tr>
      <w:tr w:rsidR="009549B1" w:rsidRPr="00891FAB" w14:paraId="16A1C02C" w14:textId="77777777" w:rsidTr="009549B1">
        <w:trPr>
          <w:trHeight w:val="367"/>
        </w:trPr>
        <w:tc>
          <w:tcPr>
            <w:tcW w:w="435" w:type="dxa"/>
          </w:tcPr>
          <w:p w14:paraId="64549144" w14:textId="77777777" w:rsidR="009549B1" w:rsidRPr="00670755" w:rsidRDefault="009549B1" w:rsidP="00B40A9F">
            <w:pPr>
              <w:ind w:right="-144"/>
              <w:rPr>
                <w:rFonts w:cs="Arial"/>
                <w:szCs w:val="20"/>
              </w:rPr>
            </w:pPr>
          </w:p>
        </w:tc>
        <w:tc>
          <w:tcPr>
            <w:tcW w:w="3678" w:type="dxa"/>
          </w:tcPr>
          <w:p w14:paraId="1B55CEC6" w14:textId="77777777" w:rsidR="009549B1" w:rsidRPr="00670755" w:rsidRDefault="009549B1" w:rsidP="00B40A9F">
            <w:pPr>
              <w:ind w:right="-144"/>
              <w:rPr>
                <w:rFonts w:cs="Arial"/>
                <w:szCs w:val="20"/>
              </w:rPr>
            </w:pPr>
          </w:p>
        </w:tc>
        <w:tc>
          <w:tcPr>
            <w:tcW w:w="1589" w:type="dxa"/>
          </w:tcPr>
          <w:p w14:paraId="45EA3914" w14:textId="77777777" w:rsidR="009549B1" w:rsidRPr="00670755" w:rsidRDefault="009549B1" w:rsidP="00B40A9F">
            <w:pPr>
              <w:tabs>
                <w:tab w:val="decimal" w:pos="1424"/>
              </w:tabs>
              <w:ind w:left="-460" w:right="-144" w:firstLine="460"/>
              <w:rPr>
                <w:rFonts w:cs="Arial"/>
                <w:szCs w:val="20"/>
                <w:u w:val="double"/>
              </w:rPr>
            </w:pPr>
          </w:p>
        </w:tc>
        <w:tc>
          <w:tcPr>
            <w:tcW w:w="1560" w:type="dxa"/>
          </w:tcPr>
          <w:p w14:paraId="2038882D" w14:textId="77777777" w:rsidR="009549B1" w:rsidRPr="00891FAB" w:rsidRDefault="009549B1" w:rsidP="00B40A9F">
            <w:pPr>
              <w:tabs>
                <w:tab w:val="decimal" w:pos="1424"/>
              </w:tabs>
              <w:ind w:right="-144"/>
              <w:rPr>
                <w:rFonts w:cs="Arial"/>
                <w:szCs w:val="20"/>
                <w:u w:val="double"/>
              </w:rPr>
            </w:pPr>
          </w:p>
        </w:tc>
        <w:tc>
          <w:tcPr>
            <w:tcW w:w="1701" w:type="dxa"/>
          </w:tcPr>
          <w:p w14:paraId="33CCE091" w14:textId="77777777" w:rsidR="009549B1" w:rsidRPr="00891FAB" w:rsidRDefault="009549B1" w:rsidP="00B40A9F">
            <w:pPr>
              <w:tabs>
                <w:tab w:val="decimal" w:pos="1424"/>
              </w:tabs>
              <w:ind w:right="-144"/>
              <w:rPr>
                <w:rFonts w:cs="Arial"/>
                <w:szCs w:val="20"/>
                <w:u w:val="double"/>
              </w:rPr>
            </w:pPr>
            <w:r w:rsidRPr="00891FAB">
              <w:rPr>
                <w:rFonts w:cs="Arial"/>
                <w:szCs w:val="20"/>
                <w:u w:val="double"/>
              </w:rPr>
              <w:t>                  </w:t>
            </w:r>
          </w:p>
        </w:tc>
        <w:tc>
          <w:tcPr>
            <w:tcW w:w="1559" w:type="dxa"/>
          </w:tcPr>
          <w:p w14:paraId="55CFF9AF" w14:textId="1A2D6A91" w:rsidR="009549B1" w:rsidRPr="00891FAB" w:rsidRDefault="009549B1" w:rsidP="00B40A9F">
            <w:pPr>
              <w:tabs>
                <w:tab w:val="decimal" w:pos="1424"/>
              </w:tabs>
              <w:ind w:right="-144"/>
              <w:rPr>
                <w:rFonts w:cs="Arial"/>
                <w:szCs w:val="20"/>
                <w:u w:val="double"/>
              </w:rPr>
            </w:pPr>
          </w:p>
        </w:tc>
        <w:tc>
          <w:tcPr>
            <w:tcW w:w="1559" w:type="dxa"/>
          </w:tcPr>
          <w:p w14:paraId="40688237" w14:textId="01E0C3C3" w:rsidR="009549B1" w:rsidRPr="005358BA" w:rsidRDefault="009549B1" w:rsidP="00B40A9F">
            <w:pPr>
              <w:tabs>
                <w:tab w:val="decimal" w:pos="1424"/>
              </w:tabs>
              <w:ind w:right="-144"/>
              <w:rPr>
                <w:rFonts w:cs="Arial"/>
                <w:b/>
                <w:szCs w:val="20"/>
              </w:rPr>
            </w:pPr>
          </w:p>
        </w:tc>
        <w:tc>
          <w:tcPr>
            <w:tcW w:w="1701" w:type="dxa"/>
          </w:tcPr>
          <w:p w14:paraId="791786F8" w14:textId="73528941" w:rsidR="009549B1" w:rsidRPr="00891FAB" w:rsidRDefault="009549B1" w:rsidP="00B40A9F">
            <w:pPr>
              <w:tabs>
                <w:tab w:val="decimal" w:pos="1424"/>
              </w:tabs>
              <w:ind w:right="-144"/>
              <w:rPr>
                <w:rFonts w:cs="Arial"/>
                <w:szCs w:val="20"/>
                <w:u w:val="double"/>
              </w:rPr>
            </w:pPr>
            <w:r w:rsidRPr="00891FAB">
              <w:rPr>
                <w:rFonts w:cs="Arial"/>
                <w:szCs w:val="20"/>
                <w:u w:val="double"/>
              </w:rPr>
              <w:t>                  </w:t>
            </w:r>
          </w:p>
        </w:tc>
      </w:tr>
    </w:tbl>
    <w:p w14:paraId="5ABC79F3" w14:textId="77777777" w:rsidR="00254C46" w:rsidRDefault="00254C46" w:rsidP="00254C46">
      <w:pPr>
        <w:pStyle w:val="Sub-header"/>
      </w:pPr>
    </w:p>
    <w:p w14:paraId="3F12429F" w14:textId="76B69211" w:rsidR="00FF0004" w:rsidRPr="00FD2A5E" w:rsidRDefault="00FF0004" w:rsidP="00FD2A5E">
      <w:pPr>
        <w:sectPr w:rsidR="00FF0004" w:rsidRPr="00FD2A5E" w:rsidSect="00E5419A">
          <w:headerReference w:type="even" r:id="rId64"/>
          <w:headerReference w:type="default" r:id="rId65"/>
          <w:footerReference w:type="even" r:id="rId66"/>
          <w:footerReference w:type="default" r:id="rId67"/>
          <w:headerReference w:type="first" r:id="rId68"/>
          <w:footerReference w:type="first" r:id="rId69"/>
          <w:pgSz w:w="16834" w:h="11909" w:orient="landscape" w:code="9"/>
          <w:pgMar w:top="1440" w:right="1077" w:bottom="1077" w:left="1080" w:header="397" w:footer="709" w:gutter="0"/>
          <w:cols w:space="720"/>
          <w:noEndnote/>
          <w:docGrid w:linePitch="272"/>
        </w:sectPr>
      </w:pPr>
    </w:p>
    <w:p w14:paraId="5DB9E1A4" w14:textId="1013855B" w:rsidR="00254C46" w:rsidRDefault="00254C46" w:rsidP="005C02FC">
      <w:pPr>
        <w:pStyle w:val="NotesBody"/>
        <w:jc w:val="both"/>
      </w:pPr>
    </w:p>
    <w:p w14:paraId="6621420C" w14:textId="175FEE9B" w:rsidR="008C396A" w:rsidRDefault="008C396A" w:rsidP="008C396A">
      <w:pPr>
        <w:pStyle w:val="NotesHeading"/>
        <w:jc w:val="both"/>
      </w:pPr>
      <w:r>
        <w:t>8</w:t>
      </w:r>
      <w:r>
        <w:tab/>
        <w:t>Revenue</w:t>
      </w:r>
    </w:p>
    <w:tbl>
      <w:tblPr>
        <w:tblW w:w="9147" w:type="dxa"/>
        <w:tblInd w:w="426" w:type="dxa"/>
        <w:tblLayout w:type="fixed"/>
        <w:tblCellMar>
          <w:left w:w="0" w:type="dxa"/>
          <w:right w:w="115" w:type="dxa"/>
        </w:tblCellMar>
        <w:tblLook w:val="04A0" w:firstRow="1" w:lastRow="0" w:firstColumn="1" w:lastColumn="0" w:noHBand="0" w:noVBand="1"/>
      </w:tblPr>
      <w:tblGrid>
        <w:gridCol w:w="4068"/>
        <w:gridCol w:w="1693"/>
        <w:gridCol w:w="1693"/>
        <w:gridCol w:w="1693"/>
      </w:tblGrid>
      <w:tr w:rsidR="00CE6867" w:rsidRPr="00105867" w14:paraId="7B67B671" w14:textId="77777777" w:rsidTr="6EA96A9F">
        <w:tc>
          <w:tcPr>
            <w:tcW w:w="4068" w:type="dxa"/>
          </w:tcPr>
          <w:p w14:paraId="4FB32BD6" w14:textId="77777777" w:rsidR="00CE6867" w:rsidRDefault="00CE6867" w:rsidP="7821F417">
            <w:pPr>
              <w:ind w:right="-144"/>
              <w:jc w:val="both"/>
              <w:rPr>
                <w:rFonts w:cs="Arial"/>
              </w:rPr>
            </w:pPr>
            <w:bookmarkStart w:id="9" w:name="_Hlk49253735"/>
          </w:p>
        </w:tc>
        <w:tc>
          <w:tcPr>
            <w:tcW w:w="1693" w:type="dxa"/>
          </w:tcPr>
          <w:p w14:paraId="27A57DFF" w14:textId="77777777" w:rsidR="00CE6867" w:rsidRPr="00105867" w:rsidRDefault="00CE6867" w:rsidP="7821F417">
            <w:pPr>
              <w:tabs>
                <w:tab w:val="decimal" w:pos="1424"/>
              </w:tabs>
              <w:ind w:left="-460" w:right="-144" w:firstLine="460"/>
              <w:jc w:val="both"/>
              <w:rPr>
                <w:rFonts w:cs="Arial"/>
              </w:rPr>
            </w:pPr>
          </w:p>
        </w:tc>
        <w:tc>
          <w:tcPr>
            <w:tcW w:w="1693" w:type="dxa"/>
          </w:tcPr>
          <w:p w14:paraId="12DF5D88" w14:textId="77777777" w:rsidR="00CE6867" w:rsidRDefault="00CE6867" w:rsidP="7821F417">
            <w:pPr>
              <w:tabs>
                <w:tab w:val="decimal" w:pos="1333"/>
              </w:tabs>
              <w:ind w:right="110"/>
              <w:jc w:val="both"/>
              <w:rPr>
                <w:rFonts w:cs="Arial"/>
                <w:b/>
                <w:bCs/>
              </w:rPr>
            </w:pPr>
          </w:p>
        </w:tc>
        <w:tc>
          <w:tcPr>
            <w:tcW w:w="1693" w:type="dxa"/>
          </w:tcPr>
          <w:p w14:paraId="1E13DF3C" w14:textId="657B0D07" w:rsidR="00CE6867" w:rsidRDefault="386C4233" w:rsidP="7821F417">
            <w:pPr>
              <w:tabs>
                <w:tab w:val="decimal" w:pos="1197"/>
              </w:tabs>
              <w:ind w:right="109"/>
              <w:jc w:val="both"/>
              <w:rPr>
                <w:rFonts w:cs="Arial"/>
                <w:b/>
                <w:bCs/>
              </w:rPr>
            </w:pPr>
            <w:r w:rsidRPr="7821F417">
              <w:rPr>
                <w:rFonts w:cs="Arial"/>
                <w:b/>
                <w:bCs/>
              </w:rPr>
              <w:t xml:space="preserve">      </w:t>
            </w:r>
          </w:p>
        </w:tc>
      </w:tr>
      <w:tr w:rsidR="00AD15B8" w:rsidRPr="00105867" w14:paraId="6C5B10F9" w14:textId="77777777" w:rsidTr="6EA96A9F">
        <w:tc>
          <w:tcPr>
            <w:tcW w:w="4068" w:type="dxa"/>
          </w:tcPr>
          <w:p w14:paraId="24EFC3DE" w14:textId="77777777" w:rsidR="00AD15B8" w:rsidRDefault="00AD15B8" w:rsidP="7821F417">
            <w:pPr>
              <w:ind w:right="-144"/>
              <w:jc w:val="both"/>
              <w:rPr>
                <w:rFonts w:cs="Arial"/>
              </w:rPr>
            </w:pPr>
            <w:bookmarkStart w:id="10" w:name="_Hlk49252312"/>
            <w:bookmarkEnd w:id="9"/>
          </w:p>
        </w:tc>
        <w:tc>
          <w:tcPr>
            <w:tcW w:w="1693" w:type="dxa"/>
          </w:tcPr>
          <w:p w14:paraId="1D39D8A4" w14:textId="77777777" w:rsidR="00AD15B8" w:rsidRPr="00105867" w:rsidRDefault="00AD15B8" w:rsidP="7821F417">
            <w:pPr>
              <w:tabs>
                <w:tab w:val="decimal" w:pos="1424"/>
              </w:tabs>
              <w:ind w:left="-460" w:right="-144" w:firstLine="460"/>
              <w:jc w:val="both"/>
              <w:rPr>
                <w:rFonts w:cs="Arial"/>
              </w:rPr>
            </w:pPr>
          </w:p>
        </w:tc>
        <w:tc>
          <w:tcPr>
            <w:tcW w:w="1693" w:type="dxa"/>
          </w:tcPr>
          <w:p w14:paraId="4F38DFDF" w14:textId="77777777" w:rsidR="00AD15B8" w:rsidRPr="00F8158C" w:rsidRDefault="1E86F6C3" w:rsidP="7821F417">
            <w:pPr>
              <w:tabs>
                <w:tab w:val="decimal" w:pos="1333"/>
              </w:tabs>
              <w:ind w:right="110"/>
              <w:jc w:val="both"/>
              <w:rPr>
                <w:rFonts w:cs="Arial"/>
                <w:b/>
                <w:bCs/>
              </w:rPr>
            </w:pPr>
            <w:r w:rsidRPr="7821F417">
              <w:rPr>
                <w:rFonts w:cs="Arial"/>
                <w:b/>
                <w:bCs/>
              </w:rPr>
              <w:t>30 June</w:t>
            </w:r>
          </w:p>
        </w:tc>
        <w:tc>
          <w:tcPr>
            <w:tcW w:w="1693" w:type="dxa"/>
          </w:tcPr>
          <w:p w14:paraId="53F1551D" w14:textId="77777777" w:rsidR="00AD15B8" w:rsidRDefault="1E86F6C3" w:rsidP="7821F417">
            <w:pPr>
              <w:tabs>
                <w:tab w:val="decimal" w:pos="1197"/>
              </w:tabs>
              <w:ind w:right="109"/>
              <w:jc w:val="both"/>
              <w:rPr>
                <w:rFonts w:cs="Arial"/>
                <w:b/>
                <w:bCs/>
              </w:rPr>
            </w:pPr>
            <w:r w:rsidRPr="7821F417">
              <w:rPr>
                <w:rFonts w:cs="Arial"/>
                <w:b/>
                <w:bCs/>
              </w:rPr>
              <w:t>30 June</w:t>
            </w:r>
          </w:p>
        </w:tc>
      </w:tr>
      <w:bookmarkEnd w:id="10"/>
      <w:tr w:rsidR="00AD15B8" w:rsidRPr="00105867" w14:paraId="033E122C" w14:textId="77777777" w:rsidTr="6EA96A9F">
        <w:tc>
          <w:tcPr>
            <w:tcW w:w="4068" w:type="dxa"/>
          </w:tcPr>
          <w:p w14:paraId="7CA71FAF" w14:textId="77777777" w:rsidR="00AD15B8" w:rsidRDefault="00AD15B8" w:rsidP="7821F417">
            <w:pPr>
              <w:ind w:right="-144"/>
              <w:jc w:val="both"/>
              <w:rPr>
                <w:rFonts w:cs="Arial"/>
              </w:rPr>
            </w:pPr>
          </w:p>
        </w:tc>
        <w:tc>
          <w:tcPr>
            <w:tcW w:w="1693" w:type="dxa"/>
          </w:tcPr>
          <w:p w14:paraId="327766E6" w14:textId="77777777" w:rsidR="00AD15B8" w:rsidRPr="00105867" w:rsidRDefault="00AD15B8" w:rsidP="7821F417">
            <w:pPr>
              <w:tabs>
                <w:tab w:val="decimal" w:pos="1424"/>
              </w:tabs>
              <w:ind w:left="-460" w:right="-144" w:firstLine="460"/>
              <w:jc w:val="both"/>
              <w:rPr>
                <w:rFonts w:cs="Arial"/>
              </w:rPr>
            </w:pPr>
          </w:p>
        </w:tc>
        <w:tc>
          <w:tcPr>
            <w:tcW w:w="1693" w:type="dxa"/>
          </w:tcPr>
          <w:p w14:paraId="29B355CE" w14:textId="1FC62153" w:rsidR="00AD15B8" w:rsidRPr="00F8158C" w:rsidRDefault="4FA83792" w:rsidP="7821F417">
            <w:pPr>
              <w:tabs>
                <w:tab w:val="decimal" w:pos="1475"/>
              </w:tabs>
              <w:ind w:right="-144"/>
              <w:jc w:val="both"/>
              <w:rPr>
                <w:rFonts w:cs="Arial"/>
                <w:b/>
                <w:bCs/>
              </w:rPr>
            </w:pPr>
            <w:r w:rsidRPr="7821F417">
              <w:rPr>
                <w:rFonts w:cs="Arial"/>
                <w:b/>
                <w:bCs/>
              </w:rPr>
              <w:t>202</w:t>
            </w:r>
            <w:r w:rsidR="001D1CB0">
              <w:rPr>
                <w:rFonts w:cs="Arial"/>
                <w:b/>
                <w:bCs/>
              </w:rPr>
              <w:t>5</w:t>
            </w:r>
          </w:p>
        </w:tc>
        <w:tc>
          <w:tcPr>
            <w:tcW w:w="1693" w:type="dxa"/>
          </w:tcPr>
          <w:p w14:paraId="5FEF87EA" w14:textId="3622EEE4" w:rsidR="00AD15B8" w:rsidRDefault="4FA83792" w:rsidP="7821F417">
            <w:pPr>
              <w:tabs>
                <w:tab w:val="decimal" w:pos="1481"/>
              </w:tabs>
              <w:ind w:right="-144"/>
              <w:jc w:val="both"/>
              <w:rPr>
                <w:rFonts w:cs="Arial"/>
                <w:b/>
                <w:bCs/>
              </w:rPr>
            </w:pPr>
            <w:r w:rsidRPr="7821F417">
              <w:rPr>
                <w:rFonts w:cs="Arial"/>
                <w:b/>
                <w:bCs/>
              </w:rPr>
              <w:t>202</w:t>
            </w:r>
            <w:r w:rsidR="00F57956">
              <w:rPr>
                <w:rFonts w:cs="Arial"/>
                <w:b/>
                <w:bCs/>
              </w:rPr>
              <w:t>4</w:t>
            </w:r>
          </w:p>
        </w:tc>
      </w:tr>
      <w:tr w:rsidR="00AD15B8" w:rsidRPr="00105867" w14:paraId="3631B1F8" w14:textId="77777777" w:rsidTr="6EA96A9F">
        <w:tc>
          <w:tcPr>
            <w:tcW w:w="4068" w:type="dxa"/>
          </w:tcPr>
          <w:p w14:paraId="7F4BE69D" w14:textId="77777777" w:rsidR="00AD15B8" w:rsidRDefault="00AD15B8" w:rsidP="7821F417">
            <w:pPr>
              <w:ind w:right="-144"/>
              <w:jc w:val="both"/>
              <w:rPr>
                <w:rFonts w:cs="Arial"/>
              </w:rPr>
            </w:pPr>
          </w:p>
        </w:tc>
        <w:tc>
          <w:tcPr>
            <w:tcW w:w="1693" w:type="dxa"/>
          </w:tcPr>
          <w:p w14:paraId="1DDB23EE" w14:textId="77777777" w:rsidR="00AD15B8" w:rsidRPr="00105867" w:rsidRDefault="00AD15B8" w:rsidP="7821F417">
            <w:pPr>
              <w:tabs>
                <w:tab w:val="decimal" w:pos="1424"/>
              </w:tabs>
              <w:ind w:left="-460" w:right="-144" w:firstLine="460"/>
              <w:jc w:val="both"/>
              <w:rPr>
                <w:rFonts w:cs="Arial"/>
              </w:rPr>
            </w:pPr>
          </w:p>
        </w:tc>
        <w:tc>
          <w:tcPr>
            <w:tcW w:w="1693" w:type="dxa"/>
          </w:tcPr>
          <w:p w14:paraId="7AFE147C" w14:textId="77777777" w:rsidR="00AD15B8" w:rsidRPr="00F8158C" w:rsidRDefault="1E86F6C3" w:rsidP="7821F417">
            <w:pPr>
              <w:tabs>
                <w:tab w:val="decimal" w:pos="1475"/>
              </w:tabs>
              <w:ind w:right="-144"/>
              <w:jc w:val="both"/>
              <w:rPr>
                <w:rFonts w:cs="Arial"/>
                <w:b/>
                <w:bCs/>
              </w:rPr>
            </w:pPr>
            <w:r w:rsidRPr="7821F417">
              <w:rPr>
                <w:rFonts w:cs="Arial"/>
                <w:b/>
                <w:bCs/>
              </w:rPr>
              <w:t>€’000</w:t>
            </w:r>
          </w:p>
        </w:tc>
        <w:tc>
          <w:tcPr>
            <w:tcW w:w="1693" w:type="dxa"/>
          </w:tcPr>
          <w:p w14:paraId="0064CDA4" w14:textId="77777777" w:rsidR="00AD15B8" w:rsidRDefault="1E86F6C3" w:rsidP="7821F417">
            <w:pPr>
              <w:tabs>
                <w:tab w:val="decimal" w:pos="1481"/>
              </w:tabs>
              <w:ind w:right="-144"/>
              <w:jc w:val="both"/>
              <w:rPr>
                <w:rFonts w:cs="Arial"/>
                <w:b/>
                <w:bCs/>
              </w:rPr>
            </w:pPr>
            <w:r w:rsidRPr="7821F417">
              <w:rPr>
                <w:rFonts w:cs="Arial"/>
                <w:b/>
                <w:bCs/>
              </w:rPr>
              <w:t>€’000</w:t>
            </w:r>
          </w:p>
        </w:tc>
      </w:tr>
      <w:tr w:rsidR="00AD15B8" w:rsidRPr="00105867" w14:paraId="781C0E7C" w14:textId="77777777" w:rsidTr="6EA96A9F">
        <w:tc>
          <w:tcPr>
            <w:tcW w:w="4068" w:type="dxa"/>
          </w:tcPr>
          <w:p w14:paraId="2B854313" w14:textId="69D01F43" w:rsidR="00AD15B8" w:rsidRPr="00BF6C37" w:rsidRDefault="00F57956" w:rsidP="7821F417">
            <w:pPr>
              <w:ind w:right="-144"/>
              <w:jc w:val="both"/>
              <w:rPr>
                <w:rFonts w:cs="Arial"/>
                <w:i/>
                <w:iCs/>
              </w:rPr>
            </w:pPr>
            <w:r>
              <w:rPr>
                <w:rFonts w:cs="Arial"/>
                <w:i/>
                <w:iCs/>
              </w:rPr>
              <w:t>Homebuilding</w:t>
            </w:r>
          </w:p>
        </w:tc>
        <w:tc>
          <w:tcPr>
            <w:tcW w:w="1693" w:type="dxa"/>
          </w:tcPr>
          <w:p w14:paraId="326AF8CF" w14:textId="77777777" w:rsidR="00AD15B8" w:rsidRPr="00105867" w:rsidRDefault="00AD15B8" w:rsidP="7821F417">
            <w:pPr>
              <w:tabs>
                <w:tab w:val="decimal" w:pos="1424"/>
              </w:tabs>
              <w:ind w:left="-460" w:right="-144" w:firstLine="460"/>
              <w:jc w:val="both"/>
              <w:rPr>
                <w:rFonts w:cs="Arial"/>
              </w:rPr>
            </w:pPr>
          </w:p>
        </w:tc>
        <w:tc>
          <w:tcPr>
            <w:tcW w:w="1693" w:type="dxa"/>
          </w:tcPr>
          <w:p w14:paraId="4CD7ECEC" w14:textId="77777777" w:rsidR="00AD15B8" w:rsidRPr="00105867" w:rsidRDefault="00AD15B8" w:rsidP="7821F417">
            <w:pPr>
              <w:tabs>
                <w:tab w:val="decimal" w:pos="1475"/>
              </w:tabs>
              <w:ind w:right="-144"/>
              <w:jc w:val="both"/>
              <w:rPr>
                <w:rFonts w:cs="Arial"/>
              </w:rPr>
            </w:pPr>
          </w:p>
        </w:tc>
        <w:tc>
          <w:tcPr>
            <w:tcW w:w="1693" w:type="dxa"/>
          </w:tcPr>
          <w:p w14:paraId="12A8FDC4" w14:textId="77777777" w:rsidR="00AD15B8" w:rsidRDefault="00AD15B8" w:rsidP="7821F417">
            <w:pPr>
              <w:tabs>
                <w:tab w:val="decimal" w:pos="1481"/>
              </w:tabs>
              <w:ind w:right="-144"/>
              <w:jc w:val="both"/>
              <w:rPr>
                <w:rFonts w:cs="Arial"/>
                <w:b/>
                <w:bCs/>
              </w:rPr>
            </w:pPr>
          </w:p>
        </w:tc>
      </w:tr>
      <w:tr w:rsidR="00F016AC" w:rsidRPr="00105867" w14:paraId="0587A4DC" w14:textId="77777777" w:rsidTr="6EA96A9F">
        <w:tc>
          <w:tcPr>
            <w:tcW w:w="4068" w:type="dxa"/>
          </w:tcPr>
          <w:p w14:paraId="72B199C1" w14:textId="7D6D3B1F" w:rsidR="00F016AC" w:rsidRDefault="00F016AC" w:rsidP="00F016AC">
            <w:pPr>
              <w:ind w:right="-144"/>
              <w:jc w:val="both"/>
              <w:rPr>
                <w:rFonts w:cs="Arial"/>
              </w:rPr>
            </w:pPr>
            <w:r w:rsidRPr="7821F417">
              <w:rPr>
                <w:rFonts w:cs="Arial"/>
              </w:rPr>
              <w:t>Core</w:t>
            </w:r>
          </w:p>
        </w:tc>
        <w:tc>
          <w:tcPr>
            <w:tcW w:w="1693" w:type="dxa"/>
          </w:tcPr>
          <w:p w14:paraId="22646D9D" w14:textId="77777777" w:rsidR="00F016AC" w:rsidRPr="00105867" w:rsidRDefault="00F016AC" w:rsidP="00F016AC">
            <w:pPr>
              <w:tabs>
                <w:tab w:val="decimal" w:pos="1424"/>
              </w:tabs>
              <w:ind w:left="-460" w:right="-144" w:firstLine="460"/>
              <w:jc w:val="both"/>
              <w:rPr>
                <w:rFonts w:cs="Arial"/>
              </w:rPr>
            </w:pPr>
          </w:p>
        </w:tc>
        <w:tc>
          <w:tcPr>
            <w:tcW w:w="1693" w:type="dxa"/>
          </w:tcPr>
          <w:p w14:paraId="01CDD41D" w14:textId="3F28D985" w:rsidR="00F016AC" w:rsidRDefault="004B4E35" w:rsidP="00F016AC">
            <w:pPr>
              <w:tabs>
                <w:tab w:val="decimal" w:pos="1475"/>
              </w:tabs>
              <w:ind w:right="-144"/>
              <w:jc w:val="both"/>
              <w:rPr>
                <w:rFonts w:cs="Arial"/>
                <w:b/>
                <w:bCs/>
              </w:rPr>
            </w:pPr>
            <w:r>
              <w:rPr>
                <w:rFonts w:cs="Arial"/>
                <w:b/>
                <w:bCs/>
              </w:rPr>
              <w:t>21</w:t>
            </w:r>
            <w:r w:rsidR="009B27D9">
              <w:rPr>
                <w:rFonts w:cs="Arial"/>
                <w:b/>
                <w:bCs/>
              </w:rPr>
              <w:t>1,800</w:t>
            </w:r>
          </w:p>
        </w:tc>
        <w:tc>
          <w:tcPr>
            <w:tcW w:w="1693" w:type="dxa"/>
          </w:tcPr>
          <w:p w14:paraId="504F193A" w14:textId="7740E212" w:rsidR="00F016AC" w:rsidRPr="00F016AC" w:rsidRDefault="002A0940" w:rsidP="00F016AC">
            <w:pPr>
              <w:tabs>
                <w:tab w:val="decimal" w:pos="1481"/>
              </w:tabs>
              <w:ind w:right="-144"/>
              <w:jc w:val="both"/>
              <w:rPr>
                <w:rFonts w:eastAsia="Calibri" w:cs="Arial"/>
                <w:szCs w:val="20"/>
              </w:rPr>
            </w:pPr>
            <w:r w:rsidRPr="00E26169">
              <w:rPr>
                <w:rFonts w:eastAsia="Calibri" w:cs="Arial"/>
                <w:szCs w:val="20"/>
              </w:rPr>
              <w:t>10</w:t>
            </w:r>
            <w:r w:rsidR="00315397" w:rsidRPr="00E26169">
              <w:rPr>
                <w:rFonts w:eastAsia="Calibri" w:cs="Arial"/>
                <w:szCs w:val="20"/>
              </w:rPr>
              <w:t>1</w:t>
            </w:r>
            <w:r w:rsidR="00315397">
              <w:rPr>
                <w:rFonts w:eastAsia="Calibri" w:cs="Arial"/>
                <w:szCs w:val="20"/>
              </w:rPr>
              <w:t>,598</w:t>
            </w:r>
          </w:p>
        </w:tc>
      </w:tr>
      <w:tr w:rsidR="001E5B68" w:rsidRPr="00105867" w14:paraId="44831744" w14:textId="77777777" w:rsidTr="6EA96A9F">
        <w:tc>
          <w:tcPr>
            <w:tcW w:w="4068" w:type="dxa"/>
          </w:tcPr>
          <w:p w14:paraId="30A1F74D" w14:textId="448BACCB" w:rsidR="001E5B68" w:rsidRPr="7821F417" w:rsidRDefault="001E5B68" w:rsidP="00F016AC">
            <w:pPr>
              <w:ind w:right="-144"/>
              <w:jc w:val="both"/>
              <w:rPr>
                <w:rFonts w:cs="Arial"/>
              </w:rPr>
            </w:pPr>
            <w:r>
              <w:rPr>
                <w:rFonts w:cs="Arial"/>
              </w:rPr>
              <w:t>Non-core</w:t>
            </w:r>
          </w:p>
        </w:tc>
        <w:tc>
          <w:tcPr>
            <w:tcW w:w="1693" w:type="dxa"/>
          </w:tcPr>
          <w:p w14:paraId="5099197E" w14:textId="77777777" w:rsidR="001E5B68" w:rsidRPr="00105867" w:rsidRDefault="001E5B68" w:rsidP="00F016AC">
            <w:pPr>
              <w:tabs>
                <w:tab w:val="decimal" w:pos="1424"/>
              </w:tabs>
              <w:ind w:left="-460" w:right="-144" w:firstLine="460"/>
              <w:jc w:val="both"/>
              <w:rPr>
                <w:rFonts w:cs="Arial"/>
              </w:rPr>
            </w:pPr>
          </w:p>
        </w:tc>
        <w:tc>
          <w:tcPr>
            <w:tcW w:w="1693" w:type="dxa"/>
          </w:tcPr>
          <w:p w14:paraId="1C73CC6B" w14:textId="5C0F1468" w:rsidR="001E5B68" w:rsidRDefault="00771ED8" w:rsidP="00F016AC">
            <w:pPr>
              <w:tabs>
                <w:tab w:val="decimal" w:pos="1475"/>
              </w:tabs>
              <w:ind w:right="-144"/>
              <w:jc w:val="both"/>
              <w:rPr>
                <w:rFonts w:cs="Arial"/>
                <w:b/>
                <w:bCs/>
              </w:rPr>
            </w:pPr>
            <w:r>
              <w:rPr>
                <w:rFonts w:cs="Arial"/>
                <w:b/>
                <w:bCs/>
              </w:rPr>
              <w:t>6,60</w:t>
            </w:r>
            <w:r w:rsidR="00340D92">
              <w:rPr>
                <w:rFonts w:cs="Arial"/>
                <w:b/>
                <w:bCs/>
              </w:rPr>
              <w:t>1</w:t>
            </w:r>
          </w:p>
        </w:tc>
        <w:tc>
          <w:tcPr>
            <w:tcW w:w="1693" w:type="dxa"/>
          </w:tcPr>
          <w:p w14:paraId="2175EFF4" w14:textId="2B91320C" w:rsidR="001E5B68" w:rsidRPr="00E26169" w:rsidRDefault="00771ED8" w:rsidP="00F016AC">
            <w:pPr>
              <w:tabs>
                <w:tab w:val="decimal" w:pos="1481"/>
              </w:tabs>
              <w:ind w:right="-144"/>
              <w:jc w:val="both"/>
              <w:rPr>
                <w:rFonts w:eastAsia="Calibri" w:cs="Arial"/>
                <w:szCs w:val="20"/>
              </w:rPr>
            </w:pPr>
            <w:r>
              <w:rPr>
                <w:rFonts w:eastAsia="Calibri" w:cs="Arial"/>
                <w:szCs w:val="20"/>
              </w:rPr>
              <w:t>-</w:t>
            </w:r>
          </w:p>
        </w:tc>
      </w:tr>
      <w:tr w:rsidR="006A6008" w:rsidRPr="00105867" w14:paraId="34CBCB37" w14:textId="77777777" w:rsidTr="6EA96A9F">
        <w:tc>
          <w:tcPr>
            <w:tcW w:w="4068" w:type="dxa"/>
          </w:tcPr>
          <w:p w14:paraId="55EB963C" w14:textId="77777777" w:rsidR="006A6008" w:rsidRDefault="006A6008" w:rsidP="006A6008">
            <w:pPr>
              <w:ind w:right="-144"/>
              <w:jc w:val="both"/>
              <w:rPr>
                <w:rFonts w:cs="Arial"/>
              </w:rPr>
            </w:pPr>
          </w:p>
        </w:tc>
        <w:tc>
          <w:tcPr>
            <w:tcW w:w="1693" w:type="dxa"/>
          </w:tcPr>
          <w:p w14:paraId="49EF59D5" w14:textId="77777777" w:rsidR="006A6008" w:rsidRPr="00105867" w:rsidRDefault="006A6008" w:rsidP="006A6008">
            <w:pPr>
              <w:tabs>
                <w:tab w:val="decimal" w:pos="1424"/>
              </w:tabs>
              <w:ind w:left="-460" w:right="-144" w:firstLine="460"/>
              <w:jc w:val="both"/>
              <w:rPr>
                <w:rFonts w:cs="Arial"/>
              </w:rPr>
            </w:pPr>
          </w:p>
        </w:tc>
        <w:tc>
          <w:tcPr>
            <w:tcW w:w="1693" w:type="dxa"/>
          </w:tcPr>
          <w:p w14:paraId="7E5618A4" w14:textId="3E58A369" w:rsidR="006A6008" w:rsidRDefault="006A6008" w:rsidP="006A6008">
            <w:pPr>
              <w:tabs>
                <w:tab w:val="decimal" w:pos="1475"/>
              </w:tabs>
              <w:ind w:right="-144"/>
              <w:jc w:val="both"/>
              <w:rPr>
                <w:rFonts w:cs="Arial"/>
                <w:b/>
                <w:bCs/>
              </w:rPr>
            </w:pPr>
            <w:r w:rsidRPr="7821F417">
              <w:rPr>
                <w:rFonts w:cs="Arial"/>
                <w:u w:val="single"/>
              </w:rPr>
              <w:t>                  </w:t>
            </w:r>
          </w:p>
        </w:tc>
        <w:tc>
          <w:tcPr>
            <w:tcW w:w="1693" w:type="dxa"/>
          </w:tcPr>
          <w:p w14:paraId="47FC4ABB" w14:textId="317F89CB" w:rsidR="006A6008" w:rsidRDefault="006A6008" w:rsidP="006A6008">
            <w:pPr>
              <w:tabs>
                <w:tab w:val="decimal" w:pos="1481"/>
              </w:tabs>
              <w:ind w:right="-144"/>
              <w:jc w:val="both"/>
              <w:rPr>
                <w:rFonts w:eastAsia="Calibri" w:cs="Arial"/>
                <w:szCs w:val="20"/>
              </w:rPr>
            </w:pPr>
            <w:r w:rsidRPr="00F016AC">
              <w:rPr>
                <w:rFonts w:cs="Arial"/>
                <w:u w:val="single"/>
              </w:rPr>
              <w:t>                  </w:t>
            </w:r>
          </w:p>
        </w:tc>
      </w:tr>
      <w:tr w:rsidR="006A6008" w:rsidRPr="00105867" w14:paraId="452CECB5" w14:textId="77777777" w:rsidTr="004E6703">
        <w:trPr>
          <w:trHeight w:val="425"/>
        </w:trPr>
        <w:tc>
          <w:tcPr>
            <w:tcW w:w="4068" w:type="dxa"/>
          </w:tcPr>
          <w:p w14:paraId="29A15E6F" w14:textId="77777777" w:rsidR="006A6008" w:rsidRDefault="006A6008" w:rsidP="006A6008">
            <w:pPr>
              <w:ind w:right="-144"/>
              <w:jc w:val="both"/>
              <w:rPr>
                <w:rFonts w:cs="Arial"/>
              </w:rPr>
            </w:pPr>
          </w:p>
        </w:tc>
        <w:tc>
          <w:tcPr>
            <w:tcW w:w="1693" w:type="dxa"/>
          </w:tcPr>
          <w:p w14:paraId="2EB0A47D" w14:textId="77777777" w:rsidR="006A6008" w:rsidRPr="00105867" w:rsidRDefault="006A6008" w:rsidP="006A6008">
            <w:pPr>
              <w:tabs>
                <w:tab w:val="decimal" w:pos="1424"/>
              </w:tabs>
              <w:ind w:left="-460" w:right="-144" w:firstLine="460"/>
              <w:jc w:val="both"/>
              <w:rPr>
                <w:rFonts w:cs="Arial"/>
              </w:rPr>
            </w:pPr>
          </w:p>
        </w:tc>
        <w:tc>
          <w:tcPr>
            <w:tcW w:w="1693" w:type="dxa"/>
          </w:tcPr>
          <w:p w14:paraId="04D5F383" w14:textId="77777777" w:rsidR="006A6008" w:rsidRPr="00A82B7E" w:rsidRDefault="006A6008" w:rsidP="006A6008">
            <w:pPr>
              <w:tabs>
                <w:tab w:val="decimal" w:pos="1475"/>
              </w:tabs>
              <w:ind w:right="-144"/>
              <w:jc w:val="both"/>
              <w:rPr>
                <w:rFonts w:cs="Arial"/>
              </w:rPr>
            </w:pPr>
          </w:p>
          <w:p w14:paraId="49A312EC" w14:textId="4CA0BF07" w:rsidR="006A6008" w:rsidRDefault="006A6008" w:rsidP="006A6008">
            <w:pPr>
              <w:tabs>
                <w:tab w:val="decimal" w:pos="1475"/>
              </w:tabs>
              <w:ind w:right="-144"/>
              <w:jc w:val="both"/>
              <w:rPr>
                <w:rFonts w:cs="Arial"/>
                <w:b/>
                <w:bCs/>
              </w:rPr>
            </w:pPr>
            <w:r>
              <w:rPr>
                <w:rFonts w:cs="Arial"/>
                <w:b/>
                <w:bCs/>
              </w:rPr>
              <w:t>218,401</w:t>
            </w:r>
          </w:p>
        </w:tc>
        <w:tc>
          <w:tcPr>
            <w:tcW w:w="1693" w:type="dxa"/>
          </w:tcPr>
          <w:p w14:paraId="4EE63453" w14:textId="77777777" w:rsidR="006A6008" w:rsidRPr="00F016AC" w:rsidRDefault="006A6008" w:rsidP="006A6008">
            <w:pPr>
              <w:tabs>
                <w:tab w:val="decimal" w:pos="1475"/>
              </w:tabs>
              <w:ind w:right="-144"/>
              <w:jc w:val="both"/>
              <w:rPr>
                <w:rFonts w:cs="Arial"/>
              </w:rPr>
            </w:pPr>
          </w:p>
          <w:p w14:paraId="1019B477" w14:textId="2C039EBA" w:rsidR="006A6008" w:rsidRDefault="006A6008" w:rsidP="006A6008">
            <w:pPr>
              <w:tabs>
                <w:tab w:val="decimal" w:pos="1481"/>
              </w:tabs>
              <w:ind w:right="-144"/>
              <w:jc w:val="both"/>
              <w:rPr>
                <w:rFonts w:eastAsia="Calibri" w:cs="Arial"/>
                <w:szCs w:val="20"/>
              </w:rPr>
            </w:pPr>
            <w:r>
              <w:rPr>
                <w:rFonts w:cs="Arial"/>
              </w:rPr>
              <w:t>1</w:t>
            </w:r>
            <w:r w:rsidR="002C117A">
              <w:rPr>
                <w:rFonts w:cs="Arial"/>
              </w:rPr>
              <w:t>01,598</w:t>
            </w:r>
          </w:p>
        </w:tc>
      </w:tr>
      <w:tr w:rsidR="006A6008" w:rsidRPr="00105867" w14:paraId="72EABB3F" w14:textId="77777777" w:rsidTr="6EA96A9F">
        <w:trPr>
          <w:trHeight w:val="229"/>
        </w:trPr>
        <w:tc>
          <w:tcPr>
            <w:tcW w:w="4068" w:type="dxa"/>
          </w:tcPr>
          <w:p w14:paraId="14BB812B" w14:textId="77777777" w:rsidR="006A6008" w:rsidRDefault="006A6008" w:rsidP="006A6008">
            <w:pPr>
              <w:ind w:right="-144"/>
              <w:jc w:val="both"/>
              <w:rPr>
                <w:rFonts w:cs="Arial"/>
                <w:i/>
                <w:iCs/>
              </w:rPr>
            </w:pPr>
          </w:p>
        </w:tc>
        <w:tc>
          <w:tcPr>
            <w:tcW w:w="1693" w:type="dxa"/>
          </w:tcPr>
          <w:p w14:paraId="785712E1" w14:textId="77777777" w:rsidR="006A6008" w:rsidRPr="00105867" w:rsidRDefault="006A6008" w:rsidP="006A6008">
            <w:pPr>
              <w:tabs>
                <w:tab w:val="decimal" w:pos="1424"/>
              </w:tabs>
              <w:ind w:left="-460" w:right="-144" w:firstLine="460"/>
              <w:jc w:val="both"/>
              <w:rPr>
                <w:rFonts w:cs="Arial"/>
              </w:rPr>
            </w:pPr>
          </w:p>
        </w:tc>
        <w:tc>
          <w:tcPr>
            <w:tcW w:w="1693" w:type="dxa"/>
          </w:tcPr>
          <w:p w14:paraId="3F7C2DC9" w14:textId="34356AC4" w:rsidR="006A6008" w:rsidRDefault="006A6008" w:rsidP="006A6008">
            <w:pPr>
              <w:tabs>
                <w:tab w:val="decimal" w:pos="1475"/>
              </w:tabs>
              <w:ind w:right="-144"/>
              <w:jc w:val="both"/>
              <w:rPr>
                <w:rFonts w:cs="Arial"/>
                <w:b/>
                <w:bCs/>
              </w:rPr>
            </w:pPr>
            <w:r w:rsidRPr="7821F417">
              <w:rPr>
                <w:rFonts w:cs="Arial"/>
                <w:b/>
                <w:bCs/>
                <w:u w:val="double"/>
              </w:rPr>
              <w:t>                  </w:t>
            </w:r>
          </w:p>
        </w:tc>
        <w:tc>
          <w:tcPr>
            <w:tcW w:w="1693" w:type="dxa"/>
          </w:tcPr>
          <w:p w14:paraId="19F54F2A" w14:textId="3D2DB349" w:rsidR="006A6008" w:rsidRPr="00F016AC" w:rsidRDefault="006A6008" w:rsidP="006A6008">
            <w:pPr>
              <w:tabs>
                <w:tab w:val="decimal" w:pos="1481"/>
              </w:tabs>
              <w:ind w:right="-144"/>
              <w:jc w:val="both"/>
              <w:rPr>
                <w:rFonts w:cs="Arial"/>
              </w:rPr>
            </w:pPr>
            <w:r w:rsidRPr="7821F417">
              <w:rPr>
                <w:rFonts w:cs="Arial"/>
                <w:u w:val="double"/>
              </w:rPr>
              <w:t>                  </w:t>
            </w:r>
          </w:p>
        </w:tc>
      </w:tr>
      <w:tr w:rsidR="006A6008" w:rsidRPr="00105867" w14:paraId="3C842BB1" w14:textId="77777777" w:rsidTr="6EA96A9F">
        <w:trPr>
          <w:trHeight w:val="229"/>
        </w:trPr>
        <w:tc>
          <w:tcPr>
            <w:tcW w:w="4068" w:type="dxa"/>
          </w:tcPr>
          <w:p w14:paraId="2C65C493" w14:textId="77777777" w:rsidR="006A6008" w:rsidRDefault="006A6008" w:rsidP="006A6008">
            <w:pPr>
              <w:ind w:right="-144"/>
              <w:jc w:val="both"/>
              <w:rPr>
                <w:rFonts w:cs="Arial"/>
                <w:i/>
                <w:iCs/>
              </w:rPr>
            </w:pPr>
          </w:p>
        </w:tc>
        <w:tc>
          <w:tcPr>
            <w:tcW w:w="1693" w:type="dxa"/>
          </w:tcPr>
          <w:p w14:paraId="5733176A" w14:textId="77777777" w:rsidR="006A6008" w:rsidRPr="00105867" w:rsidRDefault="006A6008" w:rsidP="006A6008">
            <w:pPr>
              <w:tabs>
                <w:tab w:val="decimal" w:pos="1424"/>
              </w:tabs>
              <w:ind w:left="-460" w:right="-144" w:firstLine="460"/>
              <w:jc w:val="both"/>
              <w:rPr>
                <w:rFonts w:cs="Arial"/>
              </w:rPr>
            </w:pPr>
          </w:p>
        </w:tc>
        <w:tc>
          <w:tcPr>
            <w:tcW w:w="1693" w:type="dxa"/>
          </w:tcPr>
          <w:p w14:paraId="5E161971" w14:textId="77777777" w:rsidR="006A6008" w:rsidRDefault="006A6008" w:rsidP="006A6008">
            <w:pPr>
              <w:tabs>
                <w:tab w:val="decimal" w:pos="1475"/>
              </w:tabs>
              <w:ind w:right="-144"/>
              <w:jc w:val="both"/>
              <w:rPr>
                <w:rFonts w:cs="Arial"/>
                <w:b/>
                <w:bCs/>
              </w:rPr>
            </w:pPr>
          </w:p>
        </w:tc>
        <w:tc>
          <w:tcPr>
            <w:tcW w:w="1693" w:type="dxa"/>
          </w:tcPr>
          <w:p w14:paraId="10DAFF63" w14:textId="77777777" w:rsidR="006A6008" w:rsidRPr="00F016AC" w:rsidRDefault="006A6008" w:rsidP="006A6008">
            <w:pPr>
              <w:tabs>
                <w:tab w:val="decimal" w:pos="1481"/>
              </w:tabs>
              <w:ind w:right="-144"/>
              <w:jc w:val="both"/>
              <w:rPr>
                <w:rFonts w:cs="Arial"/>
              </w:rPr>
            </w:pPr>
          </w:p>
        </w:tc>
      </w:tr>
      <w:tr w:rsidR="006A6008" w:rsidRPr="00105867" w14:paraId="5D1C4690" w14:textId="77777777" w:rsidTr="6EA96A9F">
        <w:trPr>
          <w:trHeight w:val="990"/>
        </w:trPr>
        <w:tc>
          <w:tcPr>
            <w:tcW w:w="4068" w:type="dxa"/>
          </w:tcPr>
          <w:p w14:paraId="093C537C" w14:textId="69F29C82" w:rsidR="006A6008" w:rsidRDefault="006A6008" w:rsidP="006A6008">
            <w:pPr>
              <w:ind w:right="-144"/>
              <w:jc w:val="both"/>
              <w:rPr>
                <w:rFonts w:cs="Arial"/>
                <w:i/>
                <w:iCs/>
              </w:rPr>
            </w:pPr>
          </w:p>
        </w:tc>
        <w:tc>
          <w:tcPr>
            <w:tcW w:w="1693" w:type="dxa"/>
          </w:tcPr>
          <w:p w14:paraId="6A5B68A1" w14:textId="77777777" w:rsidR="006A6008" w:rsidRPr="00105867" w:rsidRDefault="006A6008" w:rsidP="006A6008">
            <w:pPr>
              <w:tabs>
                <w:tab w:val="decimal" w:pos="1424"/>
              </w:tabs>
              <w:ind w:left="-460" w:right="-144" w:firstLine="460"/>
              <w:jc w:val="both"/>
              <w:rPr>
                <w:rFonts w:cs="Arial"/>
              </w:rPr>
            </w:pPr>
          </w:p>
        </w:tc>
        <w:tc>
          <w:tcPr>
            <w:tcW w:w="1693" w:type="dxa"/>
          </w:tcPr>
          <w:p w14:paraId="4FC9C540" w14:textId="77777777" w:rsidR="006A6008" w:rsidRDefault="006A6008" w:rsidP="006A6008">
            <w:pPr>
              <w:tabs>
                <w:tab w:val="decimal" w:pos="1475"/>
              </w:tabs>
              <w:ind w:right="-144"/>
              <w:jc w:val="both"/>
              <w:rPr>
                <w:rFonts w:cs="Arial"/>
                <w:b/>
                <w:bCs/>
              </w:rPr>
            </w:pPr>
          </w:p>
        </w:tc>
        <w:tc>
          <w:tcPr>
            <w:tcW w:w="1693" w:type="dxa"/>
          </w:tcPr>
          <w:p w14:paraId="0AA0FD26" w14:textId="77777777" w:rsidR="006A6008" w:rsidRPr="00F016AC" w:rsidRDefault="006A6008" w:rsidP="006A6008">
            <w:pPr>
              <w:tabs>
                <w:tab w:val="decimal" w:pos="1481"/>
              </w:tabs>
              <w:ind w:right="-144"/>
              <w:jc w:val="both"/>
              <w:rPr>
                <w:rFonts w:cs="Arial"/>
              </w:rPr>
            </w:pPr>
          </w:p>
        </w:tc>
      </w:tr>
      <w:tr w:rsidR="006A6008" w:rsidRPr="00105867" w14:paraId="35D8624C" w14:textId="77777777" w:rsidTr="6EA96A9F">
        <w:trPr>
          <w:trHeight w:val="229"/>
        </w:trPr>
        <w:tc>
          <w:tcPr>
            <w:tcW w:w="4068" w:type="dxa"/>
          </w:tcPr>
          <w:p w14:paraId="20CBDF27" w14:textId="759E5D9E" w:rsidR="006A6008" w:rsidRDefault="006A6008" w:rsidP="006A6008">
            <w:pPr>
              <w:ind w:right="-144"/>
              <w:jc w:val="both"/>
              <w:rPr>
                <w:rFonts w:cs="Arial"/>
                <w:i/>
                <w:iCs/>
              </w:rPr>
            </w:pPr>
            <w:r w:rsidRPr="00E43C4E">
              <w:rPr>
                <w:rFonts w:cs="Arial"/>
                <w:i/>
                <w:iCs/>
              </w:rPr>
              <w:t>Partnerships</w:t>
            </w:r>
          </w:p>
        </w:tc>
        <w:tc>
          <w:tcPr>
            <w:tcW w:w="1693" w:type="dxa"/>
          </w:tcPr>
          <w:p w14:paraId="483C90AB" w14:textId="77777777" w:rsidR="006A6008" w:rsidRPr="00105867" w:rsidRDefault="006A6008" w:rsidP="006A6008">
            <w:pPr>
              <w:tabs>
                <w:tab w:val="decimal" w:pos="1424"/>
              </w:tabs>
              <w:ind w:left="-460" w:right="-144" w:firstLine="460"/>
              <w:jc w:val="both"/>
              <w:rPr>
                <w:rFonts w:cs="Arial"/>
              </w:rPr>
            </w:pPr>
          </w:p>
        </w:tc>
        <w:tc>
          <w:tcPr>
            <w:tcW w:w="1693" w:type="dxa"/>
          </w:tcPr>
          <w:p w14:paraId="5686BE1F" w14:textId="577A6B83" w:rsidR="006A6008" w:rsidRDefault="006A6008" w:rsidP="006A6008">
            <w:pPr>
              <w:tabs>
                <w:tab w:val="decimal" w:pos="1475"/>
              </w:tabs>
              <w:ind w:right="-144"/>
              <w:jc w:val="both"/>
              <w:rPr>
                <w:rFonts w:cs="Arial"/>
                <w:b/>
                <w:bCs/>
              </w:rPr>
            </w:pPr>
          </w:p>
        </w:tc>
        <w:tc>
          <w:tcPr>
            <w:tcW w:w="1693" w:type="dxa"/>
          </w:tcPr>
          <w:p w14:paraId="0A38887A" w14:textId="0E7B56D6" w:rsidR="006A6008" w:rsidRPr="00F016AC" w:rsidRDefault="006A6008" w:rsidP="006A6008">
            <w:pPr>
              <w:tabs>
                <w:tab w:val="decimal" w:pos="1481"/>
              </w:tabs>
              <w:ind w:right="-144"/>
              <w:jc w:val="both"/>
              <w:rPr>
                <w:rFonts w:cs="Arial"/>
              </w:rPr>
            </w:pPr>
          </w:p>
        </w:tc>
      </w:tr>
      <w:tr w:rsidR="006A6008" w:rsidRPr="00105867" w14:paraId="18A4EEBD" w14:textId="77777777" w:rsidTr="6EA96A9F">
        <w:trPr>
          <w:trHeight w:val="229"/>
        </w:trPr>
        <w:tc>
          <w:tcPr>
            <w:tcW w:w="4068" w:type="dxa"/>
          </w:tcPr>
          <w:p w14:paraId="493FDD5E" w14:textId="374FE87D" w:rsidR="006A6008" w:rsidRDefault="006A6008" w:rsidP="006A6008">
            <w:pPr>
              <w:ind w:right="-144"/>
              <w:jc w:val="both"/>
              <w:rPr>
                <w:rFonts w:cs="Arial"/>
                <w:i/>
                <w:iCs/>
              </w:rPr>
            </w:pPr>
            <w:r>
              <w:rPr>
                <w:rFonts w:cs="Arial"/>
              </w:rPr>
              <w:t>Core</w:t>
            </w:r>
          </w:p>
        </w:tc>
        <w:tc>
          <w:tcPr>
            <w:tcW w:w="1693" w:type="dxa"/>
          </w:tcPr>
          <w:p w14:paraId="321C3E3C" w14:textId="77777777" w:rsidR="006A6008" w:rsidRPr="00105867" w:rsidRDefault="006A6008" w:rsidP="006A6008">
            <w:pPr>
              <w:tabs>
                <w:tab w:val="decimal" w:pos="1424"/>
              </w:tabs>
              <w:ind w:left="-460" w:right="-144" w:firstLine="460"/>
              <w:jc w:val="both"/>
              <w:rPr>
                <w:rFonts w:cs="Arial"/>
              </w:rPr>
            </w:pPr>
          </w:p>
        </w:tc>
        <w:tc>
          <w:tcPr>
            <w:tcW w:w="1693" w:type="dxa"/>
          </w:tcPr>
          <w:p w14:paraId="008C4A89" w14:textId="70241921" w:rsidR="006A6008" w:rsidRDefault="006A6008" w:rsidP="006A6008">
            <w:pPr>
              <w:tabs>
                <w:tab w:val="decimal" w:pos="1475"/>
              </w:tabs>
              <w:ind w:right="-144"/>
              <w:jc w:val="both"/>
              <w:rPr>
                <w:rFonts w:cs="Arial"/>
                <w:b/>
                <w:bCs/>
              </w:rPr>
            </w:pPr>
            <w:r>
              <w:rPr>
                <w:rFonts w:cs="Arial"/>
                <w:b/>
                <w:bCs/>
              </w:rPr>
              <w:t>123,191</w:t>
            </w:r>
          </w:p>
        </w:tc>
        <w:tc>
          <w:tcPr>
            <w:tcW w:w="1693" w:type="dxa"/>
          </w:tcPr>
          <w:p w14:paraId="211408DE" w14:textId="3C3015B3" w:rsidR="006A6008" w:rsidRPr="00F016AC" w:rsidRDefault="006A6008" w:rsidP="006A6008">
            <w:pPr>
              <w:tabs>
                <w:tab w:val="decimal" w:pos="1481"/>
              </w:tabs>
              <w:ind w:right="-144"/>
              <w:jc w:val="both"/>
              <w:rPr>
                <w:rFonts w:cs="Arial"/>
              </w:rPr>
            </w:pPr>
            <w:r>
              <w:rPr>
                <w:rFonts w:cs="Arial"/>
              </w:rPr>
              <w:t>49,929</w:t>
            </w:r>
          </w:p>
        </w:tc>
      </w:tr>
      <w:tr w:rsidR="006A6008" w:rsidRPr="00105867" w14:paraId="4F27814A" w14:textId="77777777" w:rsidTr="6EA96A9F">
        <w:trPr>
          <w:trHeight w:val="229"/>
        </w:trPr>
        <w:tc>
          <w:tcPr>
            <w:tcW w:w="4068" w:type="dxa"/>
          </w:tcPr>
          <w:p w14:paraId="3E6A2907" w14:textId="55A92180" w:rsidR="006A6008" w:rsidRDefault="006A6008" w:rsidP="006A6008">
            <w:pPr>
              <w:ind w:right="-144"/>
              <w:jc w:val="both"/>
              <w:rPr>
                <w:rFonts w:cs="Arial"/>
              </w:rPr>
            </w:pPr>
            <w:r>
              <w:rPr>
                <w:rFonts w:cs="Arial"/>
              </w:rPr>
              <w:t>Non-core</w:t>
            </w:r>
          </w:p>
        </w:tc>
        <w:tc>
          <w:tcPr>
            <w:tcW w:w="1693" w:type="dxa"/>
          </w:tcPr>
          <w:p w14:paraId="09B4D01B" w14:textId="77777777" w:rsidR="006A6008" w:rsidRPr="00105867" w:rsidRDefault="006A6008" w:rsidP="006A6008">
            <w:pPr>
              <w:tabs>
                <w:tab w:val="decimal" w:pos="1424"/>
              </w:tabs>
              <w:ind w:left="-460" w:right="-144" w:firstLine="460"/>
              <w:jc w:val="both"/>
              <w:rPr>
                <w:rFonts w:cs="Arial"/>
              </w:rPr>
            </w:pPr>
          </w:p>
        </w:tc>
        <w:tc>
          <w:tcPr>
            <w:tcW w:w="1693" w:type="dxa"/>
          </w:tcPr>
          <w:p w14:paraId="78A0581F" w14:textId="25C5AE07" w:rsidR="006A6008" w:rsidRDefault="006A6008" w:rsidP="006A6008">
            <w:pPr>
              <w:tabs>
                <w:tab w:val="decimal" w:pos="1475"/>
              </w:tabs>
              <w:ind w:right="-144"/>
              <w:jc w:val="both"/>
              <w:rPr>
                <w:rFonts w:cs="Arial"/>
                <w:b/>
                <w:bCs/>
              </w:rPr>
            </w:pPr>
            <w:r>
              <w:rPr>
                <w:rFonts w:cs="Arial"/>
                <w:b/>
                <w:bCs/>
              </w:rPr>
              <w:t>-</w:t>
            </w:r>
          </w:p>
        </w:tc>
        <w:tc>
          <w:tcPr>
            <w:tcW w:w="1693" w:type="dxa"/>
          </w:tcPr>
          <w:p w14:paraId="3A61A5EE" w14:textId="11B67485" w:rsidR="006A6008" w:rsidRDefault="006A6008" w:rsidP="006A6008">
            <w:pPr>
              <w:tabs>
                <w:tab w:val="decimal" w:pos="1481"/>
              </w:tabs>
              <w:ind w:right="-144"/>
              <w:jc w:val="both"/>
              <w:rPr>
                <w:rFonts w:cs="Arial"/>
              </w:rPr>
            </w:pPr>
            <w:r>
              <w:rPr>
                <w:rFonts w:cs="Arial"/>
              </w:rPr>
              <w:t>659</w:t>
            </w:r>
          </w:p>
        </w:tc>
      </w:tr>
      <w:tr w:rsidR="002C117A" w:rsidRPr="00105867" w14:paraId="165F5666" w14:textId="77777777" w:rsidTr="6EA96A9F">
        <w:trPr>
          <w:trHeight w:val="229"/>
        </w:trPr>
        <w:tc>
          <w:tcPr>
            <w:tcW w:w="4068" w:type="dxa"/>
          </w:tcPr>
          <w:p w14:paraId="51664E99" w14:textId="77777777" w:rsidR="002C117A" w:rsidRDefault="002C117A" w:rsidP="002C117A">
            <w:pPr>
              <w:ind w:right="-144"/>
              <w:jc w:val="both"/>
              <w:rPr>
                <w:rFonts w:cs="Arial"/>
              </w:rPr>
            </w:pPr>
          </w:p>
        </w:tc>
        <w:tc>
          <w:tcPr>
            <w:tcW w:w="1693" w:type="dxa"/>
          </w:tcPr>
          <w:p w14:paraId="5CE21A59" w14:textId="77777777" w:rsidR="002C117A" w:rsidRPr="00105867" w:rsidRDefault="002C117A" w:rsidP="002C117A">
            <w:pPr>
              <w:tabs>
                <w:tab w:val="decimal" w:pos="1424"/>
              </w:tabs>
              <w:ind w:left="-460" w:right="-144" w:firstLine="460"/>
              <w:jc w:val="both"/>
              <w:rPr>
                <w:rFonts w:cs="Arial"/>
              </w:rPr>
            </w:pPr>
          </w:p>
        </w:tc>
        <w:tc>
          <w:tcPr>
            <w:tcW w:w="1693" w:type="dxa"/>
          </w:tcPr>
          <w:p w14:paraId="6919AF35" w14:textId="51E90C17" w:rsidR="002C117A" w:rsidRDefault="002C117A" w:rsidP="002C117A">
            <w:pPr>
              <w:tabs>
                <w:tab w:val="decimal" w:pos="1475"/>
              </w:tabs>
              <w:ind w:right="-144"/>
              <w:jc w:val="both"/>
              <w:rPr>
                <w:rFonts w:cs="Arial"/>
                <w:b/>
                <w:bCs/>
              </w:rPr>
            </w:pPr>
            <w:r w:rsidRPr="7821F417">
              <w:rPr>
                <w:rFonts w:cs="Arial"/>
                <w:u w:val="single"/>
              </w:rPr>
              <w:t>                  </w:t>
            </w:r>
          </w:p>
        </w:tc>
        <w:tc>
          <w:tcPr>
            <w:tcW w:w="1693" w:type="dxa"/>
          </w:tcPr>
          <w:p w14:paraId="19636D28" w14:textId="7481A233" w:rsidR="002C117A" w:rsidRDefault="002C117A" w:rsidP="002C117A">
            <w:pPr>
              <w:tabs>
                <w:tab w:val="decimal" w:pos="1481"/>
              </w:tabs>
              <w:ind w:right="-144"/>
              <w:jc w:val="both"/>
              <w:rPr>
                <w:rFonts w:cs="Arial"/>
              </w:rPr>
            </w:pPr>
            <w:r w:rsidRPr="00F016AC">
              <w:rPr>
                <w:rFonts w:cs="Arial"/>
                <w:u w:val="single"/>
              </w:rPr>
              <w:t>                  </w:t>
            </w:r>
          </w:p>
        </w:tc>
      </w:tr>
      <w:tr w:rsidR="002C117A" w:rsidRPr="00105867" w14:paraId="66468CFD" w14:textId="77777777" w:rsidTr="6EA96A9F">
        <w:trPr>
          <w:trHeight w:val="229"/>
        </w:trPr>
        <w:tc>
          <w:tcPr>
            <w:tcW w:w="4068" w:type="dxa"/>
          </w:tcPr>
          <w:p w14:paraId="08BD97A4" w14:textId="77777777" w:rsidR="002C117A" w:rsidRDefault="002C117A" w:rsidP="002C117A">
            <w:pPr>
              <w:ind w:right="-144"/>
              <w:jc w:val="both"/>
              <w:rPr>
                <w:rFonts w:cs="Arial"/>
              </w:rPr>
            </w:pPr>
          </w:p>
        </w:tc>
        <w:tc>
          <w:tcPr>
            <w:tcW w:w="1693" w:type="dxa"/>
          </w:tcPr>
          <w:p w14:paraId="6C6F12EA" w14:textId="77777777" w:rsidR="002C117A" w:rsidRPr="00105867" w:rsidRDefault="002C117A" w:rsidP="002C117A">
            <w:pPr>
              <w:tabs>
                <w:tab w:val="decimal" w:pos="1424"/>
              </w:tabs>
              <w:ind w:left="-460" w:right="-144" w:firstLine="460"/>
              <w:jc w:val="both"/>
              <w:rPr>
                <w:rFonts w:cs="Arial"/>
              </w:rPr>
            </w:pPr>
          </w:p>
        </w:tc>
        <w:tc>
          <w:tcPr>
            <w:tcW w:w="1693" w:type="dxa"/>
          </w:tcPr>
          <w:p w14:paraId="2C38622F" w14:textId="77777777" w:rsidR="002C117A" w:rsidRPr="00A82B7E" w:rsidRDefault="002C117A" w:rsidP="002C117A">
            <w:pPr>
              <w:tabs>
                <w:tab w:val="decimal" w:pos="1475"/>
              </w:tabs>
              <w:ind w:right="-144"/>
              <w:jc w:val="both"/>
              <w:rPr>
                <w:rFonts w:cs="Arial"/>
              </w:rPr>
            </w:pPr>
          </w:p>
          <w:p w14:paraId="7C359EE1" w14:textId="657DB57C" w:rsidR="002C117A" w:rsidRDefault="002C117A" w:rsidP="002C117A">
            <w:pPr>
              <w:tabs>
                <w:tab w:val="decimal" w:pos="1475"/>
              </w:tabs>
              <w:ind w:right="-144"/>
              <w:jc w:val="both"/>
              <w:rPr>
                <w:rFonts w:cs="Arial"/>
                <w:b/>
                <w:bCs/>
              </w:rPr>
            </w:pPr>
            <w:r>
              <w:rPr>
                <w:rFonts w:cs="Arial"/>
                <w:b/>
                <w:bCs/>
              </w:rPr>
              <w:t>123,191</w:t>
            </w:r>
          </w:p>
        </w:tc>
        <w:tc>
          <w:tcPr>
            <w:tcW w:w="1693" w:type="dxa"/>
          </w:tcPr>
          <w:p w14:paraId="597F4418" w14:textId="77777777" w:rsidR="002C117A" w:rsidRPr="00F016AC" w:rsidRDefault="002C117A" w:rsidP="002C117A">
            <w:pPr>
              <w:tabs>
                <w:tab w:val="decimal" w:pos="1475"/>
              </w:tabs>
              <w:ind w:right="-144"/>
              <w:jc w:val="both"/>
              <w:rPr>
                <w:rFonts w:cs="Arial"/>
              </w:rPr>
            </w:pPr>
          </w:p>
          <w:p w14:paraId="301D11F4" w14:textId="01CEFC9C" w:rsidR="002C117A" w:rsidRDefault="00D82E09" w:rsidP="002C117A">
            <w:pPr>
              <w:tabs>
                <w:tab w:val="decimal" w:pos="1481"/>
              </w:tabs>
              <w:ind w:right="-144"/>
              <w:jc w:val="both"/>
              <w:rPr>
                <w:rFonts w:cs="Arial"/>
              </w:rPr>
            </w:pPr>
            <w:r>
              <w:rPr>
                <w:rFonts w:cs="Arial"/>
              </w:rPr>
              <w:t>50,588</w:t>
            </w:r>
          </w:p>
        </w:tc>
      </w:tr>
      <w:tr w:rsidR="002C117A" w:rsidRPr="00105867" w14:paraId="6C3348A3" w14:textId="77777777" w:rsidTr="6EA96A9F">
        <w:trPr>
          <w:trHeight w:val="229"/>
        </w:trPr>
        <w:tc>
          <w:tcPr>
            <w:tcW w:w="4068" w:type="dxa"/>
          </w:tcPr>
          <w:p w14:paraId="67483C53" w14:textId="77777777" w:rsidR="002C117A" w:rsidRDefault="002C117A" w:rsidP="002C117A">
            <w:pPr>
              <w:ind w:right="-144"/>
              <w:jc w:val="both"/>
              <w:rPr>
                <w:rFonts w:cs="Arial"/>
              </w:rPr>
            </w:pPr>
          </w:p>
        </w:tc>
        <w:tc>
          <w:tcPr>
            <w:tcW w:w="1693" w:type="dxa"/>
          </w:tcPr>
          <w:p w14:paraId="593F3336" w14:textId="77777777" w:rsidR="002C117A" w:rsidRPr="00105867" w:rsidRDefault="002C117A" w:rsidP="002C117A">
            <w:pPr>
              <w:tabs>
                <w:tab w:val="decimal" w:pos="1424"/>
              </w:tabs>
              <w:ind w:left="-460" w:right="-144" w:firstLine="460"/>
              <w:jc w:val="both"/>
              <w:rPr>
                <w:rFonts w:cs="Arial"/>
              </w:rPr>
            </w:pPr>
          </w:p>
        </w:tc>
        <w:tc>
          <w:tcPr>
            <w:tcW w:w="1693" w:type="dxa"/>
          </w:tcPr>
          <w:p w14:paraId="689C9082" w14:textId="5B891B2F" w:rsidR="002C117A" w:rsidRDefault="002C117A" w:rsidP="002C117A">
            <w:pPr>
              <w:tabs>
                <w:tab w:val="decimal" w:pos="1475"/>
              </w:tabs>
              <w:ind w:right="-144"/>
              <w:jc w:val="both"/>
              <w:rPr>
                <w:rFonts w:cs="Arial"/>
                <w:b/>
                <w:bCs/>
              </w:rPr>
            </w:pPr>
            <w:r w:rsidRPr="7821F417">
              <w:rPr>
                <w:rFonts w:cs="Arial"/>
                <w:b/>
                <w:bCs/>
                <w:u w:val="double"/>
              </w:rPr>
              <w:t>                  </w:t>
            </w:r>
          </w:p>
        </w:tc>
        <w:tc>
          <w:tcPr>
            <w:tcW w:w="1693" w:type="dxa"/>
          </w:tcPr>
          <w:p w14:paraId="5960A8A9" w14:textId="35E4B783" w:rsidR="002C117A" w:rsidRDefault="002C117A" w:rsidP="002C117A">
            <w:pPr>
              <w:tabs>
                <w:tab w:val="decimal" w:pos="1481"/>
              </w:tabs>
              <w:ind w:right="-144"/>
              <w:jc w:val="both"/>
              <w:rPr>
                <w:rFonts w:cs="Arial"/>
              </w:rPr>
            </w:pPr>
            <w:r w:rsidRPr="7821F417">
              <w:rPr>
                <w:rFonts w:cs="Arial"/>
                <w:u w:val="double"/>
              </w:rPr>
              <w:t>                  </w:t>
            </w:r>
          </w:p>
        </w:tc>
      </w:tr>
      <w:tr w:rsidR="002C117A" w:rsidRPr="00105867" w14:paraId="5656F0DE" w14:textId="77777777" w:rsidTr="6EA96A9F">
        <w:trPr>
          <w:trHeight w:val="229"/>
        </w:trPr>
        <w:tc>
          <w:tcPr>
            <w:tcW w:w="4068" w:type="dxa"/>
          </w:tcPr>
          <w:p w14:paraId="37DD6EFF" w14:textId="77777777" w:rsidR="002C117A" w:rsidRDefault="002C117A" w:rsidP="002C117A">
            <w:pPr>
              <w:ind w:right="-144"/>
              <w:jc w:val="both"/>
              <w:rPr>
                <w:rFonts w:cs="Arial"/>
              </w:rPr>
            </w:pPr>
          </w:p>
        </w:tc>
        <w:tc>
          <w:tcPr>
            <w:tcW w:w="1693" w:type="dxa"/>
          </w:tcPr>
          <w:p w14:paraId="44F80E32" w14:textId="77777777" w:rsidR="002C117A" w:rsidRPr="00105867" w:rsidRDefault="002C117A" w:rsidP="002C117A">
            <w:pPr>
              <w:tabs>
                <w:tab w:val="decimal" w:pos="1424"/>
              </w:tabs>
              <w:ind w:left="-460" w:right="-144" w:firstLine="460"/>
              <w:jc w:val="both"/>
              <w:rPr>
                <w:rFonts w:cs="Arial"/>
              </w:rPr>
            </w:pPr>
          </w:p>
        </w:tc>
        <w:tc>
          <w:tcPr>
            <w:tcW w:w="1693" w:type="dxa"/>
          </w:tcPr>
          <w:p w14:paraId="7B455AAB" w14:textId="77777777" w:rsidR="002C117A" w:rsidRDefault="002C117A" w:rsidP="002C117A">
            <w:pPr>
              <w:tabs>
                <w:tab w:val="decimal" w:pos="1475"/>
              </w:tabs>
              <w:ind w:right="-144"/>
              <w:jc w:val="both"/>
              <w:rPr>
                <w:rFonts w:cs="Arial"/>
                <w:b/>
                <w:bCs/>
              </w:rPr>
            </w:pPr>
          </w:p>
        </w:tc>
        <w:tc>
          <w:tcPr>
            <w:tcW w:w="1693" w:type="dxa"/>
          </w:tcPr>
          <w:p w14:paraId="2EB44F67" w14:textId="77777777" w:rsidR="002C117A" w:rsidRDefault="002C117A" w:rsidP="002C117A">
            <w:pPr>
              <w:tabs>
                <w:tab w:val="decimal" w:pos="1481"/>
              </w:tabs>
              <w:ind w:right="-144"/>
              <w:jc w:val="both"/>
              <w:rPr>
                <w:rFonts w:cs="Arial"/>
              </w:rPr>
            </w:pPr>
          </w:p>
        </w:tc>
      </w:tr>
      <w:tr w:rsidR="002C117A" w:rsidRPr="00105867" w14:paraId="6CD98299" w14:textId="77777777" w:rsidTr="6EA96A9F">
        <w:trPr>
          <w:trHeight w:val="240"/>
        </w:trPr>
        <w:tc>
          <w:tcPr>
            <w:tcW w:w="4068" w:type="dxa"/>
          </w:tcPr>
          <w:p w14:paraId="5A11816E" w14:textId="77777777" w:rsidR="002C117A" w:rsidRDefault="002C117A" w:rsidP="002C117A">
            <w:pPr>
              <w:ind w:right="-144"/>
              <w:jc w:val="both"/>
              <w:rPr>
                <w:rFonts w:cs="Arial"/>
              </w:rPr>
            </w:pPr>
          </w:p>
        </w:tc>
        <w:tc>
          <w:tcPr>
            <w:tcW w:w="1693" w:type="dxa"/>
          </w:tcPr>
          <w:p w14:paraId="6C9F3F16" w14:textId="77777777" w:rsidR="002C117A" w:rsidRPr="00105867" w:rsidRDefault="002C117A" w:rsidP="002C117A">
            <w:pPr>
              <w:tabs>
                <w:tab w:val="decimal" w:pos="1424"/>
              </w:tabs>
              <w:ind w:left="-460" w:right="-144" w:firstLine="460"/>
              <w:jc w:val="both"/>
              <w:rPr>
                <w:rFonts w:cs="Arial"/>
              </w:rPr>
            </w:pPr>
          </w:p>
        </w:tc>
        <w:tc>
          <w:tcPr>
            <w:tcW w:w="1693" w:type="dxa"/>
          </w:tcPr>
          <w:p w14:paraId="34441EF0" w14:textId="4EBE5D4F" w:rsidR="002C117A" w:rsidRPr="00A82B7E" w:rsidRDefault="002C117A" w:rsidP="002C117A">
            <w:pPr>
              <w:tabs>
                <w:tab w:val="decimal" w:pos="1475"/>
              </w:tabs>
              <w:ind w:right="-144"/>
              <w:jc w:val="both"/>
              <w:rPr>
                <w:rFonts w:cs="Arial"/>
                <w:u w:val="single"/>
              </w:rPr>
            </w:pPr>
            <w:r w:rsidRPr="7821F417">
              <w:rPr>
                <w:rFonts w:cs="Arial"/>
                <w:u w:val="single"/>
              </w:rPr>
              <w:t>                  </w:t>
            </w:r>
          </w:p>
        </w:tc>
        <w:tc>
          <w:tcPr>
            <w:tcW w:w="1693" w:type="dxa"/>
          </w:tcPr>
          <w:p w14:paraId="34639F0D" w14:textId="5DC11BA8" w:rsidR="002C117A" w:rsidRPr="00F016AC" w:rsidRDefault="002C117A" w:rsidP="002C117A">
            <w:pPr>
              <w:tabs>
                <w:tab w:val="decimal" w:pos="1481"/>
              </w:tabs>
              <w:ind w:right="-144"/>
              <w:jc w:val="both"/>
              <w:rPr>
                <w:rFonts w:cs="Arial"/>
                <w:u w:val="single"/>
              </w:rPr>
            </w:pPr>
            <w:r w:rsidRPr="00F016AC">
              <w:rPr>
                <w:rFonts w:cs="Arial"/>
                <w:u w:val="single"/>
              </w:rPr>
              <w:t>                  </w:t>
            </w:r>
          </w:p>
        </w:tc>
      </w:tr>
      <w:tr w:rsidR="002C117A" w:rsidRPr="00105867" w14:paraId="108B2099" w14:textId="77777777" w:rsidTr="6EA96A9F">
        <w:trPr>
          <w:trHeight w:val="240"/>
        </w:trPr>
        <w:tc>
          <w:tcPr>
            <w:tcW w:w="4068" w:type="dxa"/>
          </w:tcPr>
          <w:p w14:paraId="544EF018" w14:textId="77777777" w:rsidR="002C117A" w:rsidRDefault="002C117A" w:rsidP="002C117A">
            <w:pPr>
              <w:ind w:right="-144"/>
              <w:jc w:val="both"/>
              <w:rPr>
                <w:rFonts w:cs="Arial"/>
                <w:b/>
                <w:bCs/>
              </w:rPr>
            </w:pPr>
          </w:p>
          <w:p w14:paraId="6F740F5B" w14:textId="735DB06B" w:rsidR="002C117A" w:rsidRDefault="002C117A" w:rsidP="002C117A">
            <w:pPr>
              <w:ind w:right="-144"/>
              <w:jc w:val="both"/>
              <w:rPr>
                <w:rFonts w:cs="Arial"/>
              </w:rPr>
            </w:pPr>
            <w:r w:rsidRPr="7821F417">
              <w:rPr>
                <w:rFonts w:cs="Arial"/>
                <w:b/>
                <w:bCs/>
              </w:rPr>
              <w:t xml:space="preserve">Total Revenue </w:t>
            </w:r>
          </w:p>
        </w:tc>
        <w:tc>
          <w:tcPr>
            <w:tcW w:w="1693" w:type="dxa"/>
          </w:tcPr>
          <w:p w14:paraId="527E05ED" w14:textId="77777777" w:rsidR="002C117A" w:rsidRPr="00105867" w:rsidRDefault="002C117A" w:rsidP="002C117A">
            <w:pPr>
              <w:tabs>
                <w:tab w:val="decimal" w:pos="1424"/>
              </w:tabs>
              <w:ind w:left="-460" w:right="-144" w:firstLine="460"/>
              <w:jc w:val="both"/>
              <w:rPr>
                <w:rFonts w:cs="Arial"/>
              </w:rPr>
            </w:pPr>
          </w:p>
        </w:tc>
        <w:tc>
          <w:tcPr>
            <w:tcW w:w="1693" w:type="dxa"/>
          </w:tcPr>
          <w:p w14:paraId="4FF04800" w14:textId="77777777" w:rsidR="002C117A" w:rsidRPr="00A82B7E" w:rsidRDefault="002C117A" w:rsidP="002C117A">
            <w:pPr>
              <w:tabs>
                <w:tab w:val="decimal" w:pos="1475"/>
              </w:tabs>
              <w:ind w:right="-144"/>
              <w:jc w:val="both"/>
              <w:rPr>
                <w:rFonts w:cs="Arial"/>
              </w:rPr>
            </w:pPr>
          </w:p>
          <w:p w14:paraId="47B63648" w14:textId="752BD5CE" w:rsidR="002C117A" w:rsidRPr="00A82B7E" w:rsidRDefault="002C117A" w:rsidP="002C117A">
            <w:pPr>
              <w:tabs>
                <w:tab w:val="decimal" w:pos="1475"/>
              </w:tabs>
              <w:ind w:right="-144"/>
              <w:jc w:val="both"/>
              <w:rPr>
                <w:rFonts w:cs="Arial"/>
                <w:b/>
                <w:bCs/>
              </w:rPr>
            </w:pPr>
            <w:r>
              <w:rPr>
                <w:rFonts w:cs="Arial"/>
                <w:b/>
                <w:bCs/>
              </w:rPr>
              <w:t>341,592</w:t>
            </w:r>
          </w:p>
        </w:tc>
        <w:tc>
          <w:tcPr>
            <w:tcW w:w="1693" w:type="dxa"/>
          </w:tcPr>
          <w:p w14:paraId="7E178B2C" w14:textId="77777777" w:rsidR="002C117A" w:rsidRPr="00F016AC" w:rsidRDefault="002C117A" w:rsidP="002C117A">
            <w:pPr>
              <w:tabs>
                <w:tab w:val="decimal" w:pos="1475"/>
              </w:tabs>
              <w:ind w:right="-144"/>
              <w:jc w:val="both"/>
              <w:rPr>
                <w:rFonts w:cs="Arial"/>
              </w:rPr>
            </w:pPr>
          </w:p>
          <w:p w14:paraId="344D3230" w14:textId="469CDCCE" w:rsidR="002C117A" w:rsidRPr="00F016AC" w:rsidRDefault="002C117A" w:rsidP="002C117A">
            <w:pPr>
              <w:tabs>
                <w:tab w:val="decimal" w:pos="1481"/>
              </w:tabs>
              <w:ind w:right="-144"/>
              <w:jc w:val="both"/>
              <w:rPr>
                <w:rFonts w:cs="Arial"/>
              </w:rPr>
            </w:pPr>
            <w:r>
              <w:rPr>
                <w:rFonts w:cs="Arial"/>
              </w:rPr>
              <w:t>152,186</w:t>
            </w:r>
          </w:p>
        </w:tc>
      </w:tr>
      <w:tr w:rsidR="002C117A" w:rsidRPr="00105867" w14:paraId="160950E9" w14:textId="77777777" w:rsidTr="6EA96A9F">
        <w:trPr>
          <w:trHeight w:val="240"/>
        </w:trPr>
        <w:tc>
          <w:tcPr>
            <w:tcW w:w="4068" w:type="dxa"/>
          </w:tcPr>
          <w:p w14:paraId="7183767F" w14:textId="77777777" w:rsidR="002C117A" w:rsidRDefault="002C117A" w:rsidP="002C117A">
            <w:pPr>
              <w:ind w:right="-144"/>
              <w:jc w:val="both"/>
              <w:rPr>
                <w:rFonts w:cs="Arial"/>
              </w:rPr>
            </w:pPr>
          </w:p>
        </w:tc>
        <w:tc>
          <w:tcPr>
            <w:tcW w:w="1693" w:type="dxa"/>
          </w:tcPr>
          <w:p w14:paraId="5B65D82D" w14:textId="77777777" w:rsidR="002C117A" w:rsidRPr="00105867" w:rsidRDefault="002C117A" w:rsidP="002C117A">
            <w:pPr>
              <w:tabs>
                <w:tab w:val="decimal" w:pos="1424"/>
              </w:tabs>
              <w:ind w:left="-460" w:right="-144" w:firstLine="460"/>
              <w:jc w:val="both"/>
              <w:rPr>
                <w:rFonts w:cs="Arial"/>
              </w:rPr>
            </w:pPr>
          </w:p>
        </w:tc>
        <w:tc>
          <w:tcPr>
            <w:tcW w:w="1693" w:type="dxa"/>
          </w:tcPr>
          <w:p w14:paraId="6D2321DE" w14:textId="306ABC05" w:rsidR="002C117A" w:rsidRPr="00A82B7E" w:rsidRDefault="002C117A" w:rsidP="002C117A">
            <w:pPr>
              <w:tabs>
                <w:tab w:val="decimal" w:pos="1475"/>
              </w:tabs>
              <w:ind w:right="-144"/>
              <w:jc w:val="both"/>
              <w:rPr>
                <w:rFonts w:cs="Arial"/>
              </w:rPr>
            </w:pPr>
            <w:r w:rsidRPr="7821F417">
              <w:rPr>
                <w:rFonts w:cs="Arial"/>
                <w:b/>
                <w:bCs/>
                <w:u w:val="double"/>
              </w:rPr>
              <w:t>                  </w:t>
            </w:r>
          </w:p>
        </w:tc>
        <w:tc>
          <w:tcPr>
            <w:tcW w:w="1693" w:type="dxa"/>
          </w:tcPr>
          <w:p w14:paraId="77D73496" w14:textId="04CE5917" w:rsidR="002C117A" w:rsidRPr="00F016AC" w:rsidRDefault="002C117A" w:rsidP="002C117A">
            <w:pPr>
              <w:tabs>
                <w:tab w:val="decimal" w:pos="1481"/>
              </w:tabs>
              <w:ind w:right="-144"/>
              <w:jc w:val="both"/>
              <w:rPr>
                <w:rFonts w:cs="Arial"/>
              </w:rPr>
            </w:pPr>
            <w:r w:rsidRPr="7821F417">
              <w:rPr>
                <w:rFonts w:cs="Arial"/>
                <w:u w:val="double"/>
              </w:rPr>
              <w:t>                  </w:t>
            </w:r>
          </w:p>
        </w:tc>
      </w:tr>
      <w:tr w:rsidR="002C117A" w:rsidRPr="00105867" w14:paraId="690C9C83" w14:textId="77777777" w:rsidTr="6EA96A9F">
        <w:trPr>
          <w:trHeight w:val="240"/>
        </w:trPr>
        <w:tc>
          <w:tcPr>
            <w:tcW w:w="4068" w:type="dxa"/>
          </w:tcPr>
          <w:p w14:paraId="3E94A618" w14:textId="77777777" w:rsidR="002C117A" w:rsidRDefault="002C117A" w:rsidP="002C117A">
            <w:pPr>
              <w:ind w:right="-144"/>
              <w:jc w:val="both"/>
              <w:rPr>
                <w:rFonts w:cs="Arial"/>
              </w:rPr>
            </w:pPr>
          </w:p>
        </w:tc>
        <w:tc>
          <w:tcPr>
            <w:tcW w:w="1693" w:type="dxa"/>
          </w:tcPr>
          <w:p w14:paraId="67B4CEA4" w14:textId="77777777" w:rsidR="002C117A" w:rsidRPr="00105867" w:rsidRDefault="002C117A" w:rsidP="002C117A">
            <w:pPr>
              <w:tabs>
                <w:tab w:val="decimal" w:pos="1424"/>
              </w:tabs>
              <w:ind w:left="-460" w:right="-144" w:firstLine="460"/>
              <w:jc w:val="both"/>
              <w:rPr>
                <w:rFonts w:cs="Arial"/>
              </w:rPr>
            </w:pPr>
          </w:p>
        </w:tc>
        <w:tc>
          <w:tcPr>
            <w:tcW w:w="1693" w:type="dxa"/>
          </w:tcPr>
          <w:p w14:paraId="1E68674F" w14:textId="77777777" w:rsidR="002C117A" w:rsidRPr="7821F417" w:rsidRDefault="002C117A" w:rsidP="002C117A">
            <w:pPr>
              <w:tabs>
                <w:tab w:val="decimal" w:pos="1475"/>
              </w:tabs>
              <w:ind w:right="-144"/>
              <w:jc w:val="both"/>
              <w:rPr>
                <w:rFonts w:cs="Arial"/>
                <w:b/>
                <w:bCs/>
                <w:u w:val="double"/>
              </w:rPr>
            </w:pPr>
          </w:p>
        </w:tc>
        <w:tc>
          <w:tcPr>
            <w:tcW w:w="1693" w:type="dxa"/>
          </w:tcPr>
          <w:p w14:paraId="26501399" w14:textId="77777777" w:rsidR="002C117A" w:rsidRPr="00F016AC" w:rsidRDefault="002C117A" w:rsidP="002C117A">
            <w:pPr>
              <w:tabs>
                <w:tab w:val="decimal" w:pos="1481"/>
              </w:tabs>
              <w:ind w:right="-144"/>
              <w:jc w:val="both"/>
              <w:rPr>
                <w:rFonts w:cs="Arial"/>
                <w:u w:val="double"/>
              </w:rPr>
            </w:pPr>
          </w:p>
        </w:tc>
      </w:tr>
    </w:tbl>
    <w:p w14:paraId="3E3BE05D" w14:textId="76E11245" w:rsidR="008C396A" w:rsidRDefault="008C396A" w:rsidP="008C396A">
      <w:pPr>
        <w:pStyle w:val="NotesHeading"/>
        <w:jc w:val="both"/>
      </w:pPr>
    </w:p>
    <w:p w14:paraId="3386D44F" w14:textId="6B6B388B" w:rsidR="004062E3" w:rsidRDefault="00F47F2A" w:rsidP="00B05D0C">
      <w:pPr>
        <w:pStyle w:val="NotesBody"/>
        <w:jc w:val="both"/>
      </w:pPr>
      <w:r>
        <w:t>As in the prior year</w:t>
      </w:r>
      <w:r w:rsidR="00545971">
        <w:t>, the Group expects significantly more closing activity</w:t>
      </w:r>
      <w:r w:rsidR="001244AF">
        <w:t xml:space="preserve"> (and consequently increased revenue)</w:t>
      </w:r>
      <w:r w:rsidR="00545971">
        <w:t xml:space="preserve"> in the second half of the financial year </w:t>
      </w:r>
      <w:proofErr w:type="gramStart"/>
      <w:r w:rsidR="00DE0F3B">
        <w:t>as a result of</w:t>
      </w:r>
      <w:proofErr w:type="gramEnd"/>
      <w:r w:rsidR="00DE0F3B">
        <w:t xml:space="preserve"> </w:t>
      </w:r>
      <w:r w:rsidR="001244AF">
        <w:t>the seasonality that currently exists within the Group’s development cycle</w:t>
      </w:r>
      <w:r w:rsidR="006C6FE5">
        <w:t xml:space="preserve">. </w:t>
      </w:r>
    </w:p>
    <w:p w14:paraId="570CB3B6" w14:textId="1D573352" w:rsidR="00B05D0C" w:rsidRDefault="00B05D0C" w:rsidP="00B05D0C">
      <w:pPr>
        <w:pStyle w:val="NotesBody"/>
        <w:jc w:val="both"/>
      </w:pPr>
    </w:p>
    <w:p w14:paraId="3558A157" w14:textId="66298E53" w:rsidR="00B05D0C" w:rsidRPr="00654FE7" w:rsidRDefault="00BC7159" w:rsidP="7821F417">
      <w:pPr>
        <w:pStyle w:val="NotesBody"/>
        <w:jc w:val="both"/>
        <w:rPr>
          <w:rFonts w:cs="Arial"/>
          <w:color w:val="000000" w:themeColor="text1"/>
        </w:rPr>
      </w:pPr>
      <w:r>
        <w:rPr>
          <w:rFonts w:cs="Arial"/>
          <w:color w:val="000000" w:themeColor="text1"/>
        </w:rPr>
        <w:t xml:space="preserve">Core </w:t>
      </w:r>
      <w:r w:rsidR="00A53CBD">
        <w:rPr>
          <w:rFonts w:cs="Arial"/>
          <w:color w:val="000000" w:themeColor="text1"/>
        </w:rPr>
        <w:t>Homebuilding</w:t>
      </w:r>
      <w:r w:rsidR="00FC2B11" w:rsidRPr="7821F417">
        <w:rPr>
          <w:rFonts w:cs="Arial"/>
          <w:color w:val="000000" w:themeColor="text1"/>
        </w:rPr>
        <w:t xml:space="preserve"> </w:t>
      </w:r>
      <w:r w:rsidR="0015761C" w:rsidRPr="7821F417">
        <w:rPr>
          <w:rFonts w:cs="Arial"/>
          <w:color w:val="000000" w:themeColor="text1"/>
        </w:rPr>
        <w:t xml:space="preserve">product relates to </w:t>
      </w:r>
      <w:r w:rsidR="009E3AE6" w:rsidRPr="7821F417">
        <w:rPr>
          <w:rFonts w:cs="Arial"/>
          <w:color w:val="000000" w:themeColor="text1"/>
        </w:rPr>
        <w:t xml:space="preserve">affordable </w:t>
      </w:r>
      <w:r w:rsidR="00A4380A">
        <w:rPr>
          <w:rFonts w:cs="Arial"/>
          <w:color w:val="000000" w:themeColor="text1"/>
        </w:rPr>
        <w:t xml:space="preserve">own door </w:t>
      </w:r>
      <w:r w:rsidR="001A622F">
        <w:rPr>
          <w:rFonts w:cs="Arial"/>
          <w:color w:val="000000" w:themeColor="text1"/>
        </w:rPr>
        <w:t xml:space="preserve">single family </w:t>
      </w:r>
      <w:r w:rsidR="0015761C" w:rsidRPr="7821F417">
        <w:rPr>
          <w:rFonts w:cs="Arial"/>
          <w:color w:val="000000" w:themeColor="text1"/>
        </w:rPr>
        <w:t xml:space="preserve">homes for first time buyers. </w:t>
      </w:r>
      <w:r w:rsidR="00B36FFD">
        <w:rPr>
          <w:rFonts w:cs="Arial"/>
          <w:color w:val="000000" w:themeColor="text1"/>
        </w:rPr>
        <w:t>R</w:t>
      </w:r>
      <w:r w:rsidR="007A5512">
        <w:rPr>
          <w:rFonts w:cs="Arial"/>
          <w:color w:val="000000" w:themeColor="text1"/>
        </w:rPr>
        <w:t>evenue is recognised at a point in time</w:t>
      </w:r>
      <w:r w:rsidR="007A5512" w:rsidRPr="00654FE7">
        <w:rPr>
          <w:rFonts w:cs="Arial"/>
          <w:color w:val="000000" w:themeColor="text1"/>
        </w:rPr>
        <w:t>.</w:t>
      </w:r>
      <w:r w:rsidR="00F53F42" w:rsidRPr="00654FE7">
        <w:rPr>
          <w:rFonts w:cs="Arial"/>
          <w:color w:val="000000" w:themeColor="text1"/>
        </w:rPr>
        <w:t xml:space="preserve"> </w:t>
      </w:r>
      <w:r w:rsidR="006810AB">
        <w:rPr>
          <w:rFonts w:cs="Arial"/>
          <w:color w:val="000000" w:themeColor="text1"/>
        </w:rPr>
        <w:t xml:space="preserve">Non-core Homebuilding revenue </w:t>
      </w:r>
      <w:r w:rsidR="00811AE8">
        <w:rPr>
          <w:rFonts w:cs="Arial"/>
          <w:color w:val="000000" w:themeColor="text1"/>
        </w:rPr>
        <w:t xml:space="preserve">relates to the </w:t>
      </w:r>
      <w:r w:rsidR="00811BA6">
        <w:rPr>
          <w:rFonts w:cs="Arial"/>
          <w:color w:val="000000" w:themeColor="text1"/>
        </w:rPr>
        <w:t xml:space="preserve">sale of </w:t>
      </w:r>
      <w:r w:rsidR="00EC3828" w:rsidRPr="00EC3828">
        <w:rPr>
          <w:rFonts w:cs="Arial"/>
          <w:color w:val="000000" w:themeColor="text1"/>
        </w:rPr>
        <w:t>high-end, private developments</w:t>
      </w:r>
      <w:r w:rsidR="0027704A">
        <w:rPr>
          <w:rFonts w:cs="Arial"/>
          <w:color w:val="000000" w:themeColor="text1"/>
        </w:rPr>
        <w:t xml:space="preserve">. </w:t>
      </w:r>
    </w:p>
    <w:p w14:paraId="09EFEDDF" w14:textId="77777777" w:rsidR="00423D02" w:rsidRDefault="00423D02" w:rsidP="00557478">
      <w:pPr>
        <w:pStyle w:val="NotesBody"/>
        <w:ind w:left="0"/>
        <w:jc w:val="both"/>
        <w:rPr>
          <w:rFonts w:cs="Arial"/>
          <w:color w:val="000000" w:themeColor="text1"/>
        </w:rPr>
      </w:pPr>
    </w:p>
    <w:p w14:paraId="16D3D1E3" w14:textId="7260BDA6" w:rsidR="00423D02" w:rsidRDefault="007E6515" w:rsidP="00EA7AE9">
      <w:pPr>
        <w:pStyle w:val="NotesBody"/>
        <w:jc w:val="both"/>
        <w:rPr>
          <w:rFonts w:cs="Arial"/>
          <w:color w:val="000000" w:themeColor="text1"/>
        </w:rPr>
      </w:pPr>
      <w:r w:rsidRPr="007E6515">
        <w:rPr>
          <w:rFonts w:cs="Arial"/>
          <w:color w:val="000000" w:themeColor="text1"/>
        </w:rPr>
        <w:t xml:space="preserve">Partnerships revenue includes income from the sale of units recognised at a point in time and development revenue from construction contracts that are recognised over time by reference to the stage of completion of the contract with the customer. Development revenue recognised in the financial </w:t>
      </w:r>
      <w:r w:rsidR="00317533">
        <w:rPr>
          <w:rFonts w:cs="Arial"/>
          <w:color w:val="000000" w:themeColor="text1"/>
        </w:rPr>
        <w:t>period</w:t>
      </w:r>
      <w:r w:rsidRPr="007E6515">
        <w:rPr>
          <w:rFonts w:cs="Arial"/>
          <w:color w:val="000000" w:themeColor="text1"/>
        </w:rPr>
        <w:t xml:space="preserve"> related to the development of the sites at </w:t>
      </w:r>
      <w:proofErr w:type="spellStart"/>
      <w:r w:rsidRPr="007E6515">
        <w:rPr>
          <w:rFonts w:cs="Arial"/>
          <w:color w:val="000000" w:themeColor="text1"/>
        </w:rPr>
        <w:t>Ballymastone</w:t>
      </w:r>
      <w:proofErr w:type="spellEnd"/>
      <w:r w:rsidR="00FA51C3">
        <w:rPr>
          <w:rFonts w:cs="Arial"/>
          <w:color w:val="000000" w:themeColor="text1"/>
        </w:rPr>
        <w:t xml:space="preserve">, </w:t>
      </w:r>
      <w:r w:rsidRPr="007E6515">
        <w:rPr>
          <w:rFonts w:cs="Arial"/>
          <w:color w:val="000000" w:themeColor="text1"/>
        </w:rPr>
        <w:t>Oscar Traynor Road</w:t>
      </w:r>
      <w:r w:rsidR="00A02C0D">
        <w:rPr>
          <w:rFonts w:cs="Arial"/>
          <w:color w:val="000000" w:themeColor="text1"/>
        </w:rPr>
        <w:t xml:space="preserve">, </w:t>
      </w:r>
      <w:r w:rsidR="00FA51C3">
        <w:rPr>
          <w:rFonts w:cs="Arial"/>
          <w:color w:val="000000" w:themeColor="text1"/>
        </w:rPr>
        <w:t>Mooretown</w:t>
      </w:r>
      <w:r w:rsidR="00A02C0D">
        <w:rPr>
          <w:rFonts w:cs="Arial"/>
          <w:color w:val="000000" w:themeColor="text1"/>
        </w:rPr>
        <w:t xml:space="preserve">, Cork Docklands and </w:t>
      </w:r>
      <w:r w:rsidR="00FD4B84">
        <w:rPr>
          <w:rFonts w:cs="Arial"/>
          <w:color w:val="000000" w:themeColor="text1"/>
        </w:rPr>
        <w:t>Foxwood Barn Citywest</w:t>
      </w:r>
      <w:r w:rsidRPr="007E6515">
        <w:rPr>
          <w:rFonts w:cs="Arial"/>
          <w:color w:val="000000" w:themeColor="text1"/>
        </w:rPr>
        <w:t xml:space="preserve"> amounted to</w:t>
      </w:r>
      <w:r w:rsidR="00C3001F">
        <w:rPr>
          <w:rFonts w:cs="Arial"/>
          <w:color w:val="000000" w:themeColor="text1"/>
        </w:rPr>
        <w:t xml:space="preserve"> </w:t>
      </w:r>
      <w:r w:rsidRPr="007E6515">
        <w:rPr>
          <w:rFonts w:cs="Arial"/>
          <w:color w:val="000000" w:themeColor="text1"/>
        </w:rPr>
        <w:t>€</w:t>
      </w:r>
      <w:r w:rsidR="00F162E6">
        <w:rPr>
          <w:rFonts w:cs="Arial"/>
          <w:color w:val="000000" w:themeColor="text1"/>
        </w:rPr>
        <w:t>95.</w:t>
      </w:r>
      <w:r w:rsidR="00116F50">
        <w:rPr>
          <w:rFonts w:cs="Arial"/>
          <w:color w:val="000000" w:themeColor="text1"/>
        </w:rPr>
        <w:t>9</w:t>
      </w:r>
      <w:r w:rsidR="00C3001F">
        <w:rPr>
          <w:rFonts w:cs="Arial"/>
          <w:color w:val="000000" w:themeColor="text1"/>
        </w:rPr>
        <w:t xml:space="preserve"> </w:t>
      </w:r>
      <w:r w:rsidRPr="007E6515">
        <w:rPr>
          <w:rFonts w:cs="Arial"/>
          <w:color w:val="000000" w:themeColor="text1"/>
        </w:rPr>
        <w:t>million</w:t>
      </w:r>
      <w:r w:rsidR="00C3001F">
        <w:rPr>
          <w:rFonts w:cs="Arial"/>
          <w:color w:val="000000" w:themeColor="text1"/>
        </w:rPr>
        <w:t xml:space="preserve"> </w:t>
      </w:r>
      <w:r w:rsidRPr="00B54539">
        <w:rPr>
          <w:rFonts w:cs="Arial"/>
          <w:i/>
          <w:iCs/>
          <w:color w:val="000000" w:themeColor="text1"/>
        </w:rPr>
        <w:t>(</w:t>
      </w:r>
      <w:r w:rsidR="00C3064A" w:rsidRPr="00B54539">
        <w:rPr>
          <w:rFonts w:cs="Arial"/>
          <w:i/>
          <w:iCs/>
          <w:color w:val="000000" w:themeColor="text1"/>
        </w:rPr>
        <w:t>30 June 202</w:t>
      </w:r>
      <w:r w:rsidR="00DB2294">
        <w:rPr>
          <w:rFonts w:cs="Arial"/>
          <w:i/>
          <w:iCs/>
          <w:color w:val="000000" w:themeColor="text1"/>
        </w:rPr>
        <w:t>4</w:t>
      </w:r>
      <w:r w:rsidRPr="00B54539">
        <w:rPr>
          <w:rFonts w:cs="Arial"/>
          <w:i/>
          <w:iCs/>
          <w:color w:val="000000" w:themeColor="text1"/>
        </w:rPr>
        <w:t>: €</w:t>
      </w:r>
      <w:r w:rsidR="00DB2294">
        <w:rPr>
          <w:rFonts w:cs="Arial"/>
          <w:i/>
          <w:iCs/>
          <w:color w:val="000000" w:themeColor="text1"/>
        </w:rPr>
        <w:t>45.</w:t>
      </w:r>
      <w:r w:rsidR="001F5B75">
        <w:rPr>
          <w:rFonts w:cs="Arial"/>
          <w:i/>
          <w:iCs/>
          <w:color w:val="000000" w:themeColor="text1"/>
        </w:rPr>
        <w:t>5</w:t>
      </w:r>
      <w:r w:rsidR="00087761">
        <w:rPr>
          <w:rFonts w:cs="Arial"/>
          <w:i/>
          <w:iCs/>
          <w:color w:val="000000" w:themeColor="text1"/>
        </w:rPr>
        <w:t xml:space="preserve"> million</w:t>
      </w:r>
      <w:r w:rsidRPr="00C024C8">
        <w:rPr>
          <w:rFonts w:cs="Arial"/>
          <w:i/>
          <w:iCs/>
          <w:color w:val="000000" w:themeColor="text1"/>
        </w:rPr>
        <w:t>)</w:t>
      </w:r>
      <w:r w:rsidRPr="00C024C8">
        <w:rPr>
          <w:rFonts w:cs="Arial"/>
          <w:color w:val="000000" w:themeColor="text1"/>
        </w:rPr>
        <w:t xml:space="preserve"> with</w:t>
      </w:r>
      <w:r w:rsidR="00D062D3" w:rsidRPr="00C024C8">
        <w:rPr>
          <w:rFonts w:cs="Arial"/>
          <w:color w:val="000000" w:themeColor="text1"/>
        </w:rPr>
        <w:t xml:space="preserve"> </w:t>
      </w:r>
      <w:r w:rsidR="009A0118" w:rsidRPr="00C024C8">
        <w:rPr>
          <w:rFonts w:cs="Arial"/>
          <w:color w:val="000000" w:themeColor="text1"/>
        </w:rPr>
        <w:t>€</w:t>
      </w:r>
      <w:r w:rsidR="00EF64D2">
        <w:rPr>
          <w:rFonts w:cs="Arial"/>
          <w:color w:val="000000" w:themeColor="text1"/>
        </w:rPr>
        <w:t>1</w:t>
      </w:r>
      <w:r w:rsidR="0083495B">
        <w:rPr>
          <w:rFonts w:cs="Arial"/>
          <w:color w:val="000000" w:themeColor="text1"/>
        </w:rPr>
        <w:t>8.2</w:t>
      </w:r>
      <w:r w:rsidR="00C024C8" w:rsidRPr="00C024C8">
        <w:rPr>
          <w:rFonts w:cs="Arial"/>
          <w:color w:val="000000" w:themeColor="text1"/>
        </w:rPr>
        <w:t xml:space="preserve"> </w:t>
      </w:r>
      <w:r w:rsidR="009A0118" w:rsidRPr="00C024C8">
        <w:rPr>
          <w:rFonts w:cs="Arial"/>
          <w:color w:val="000000" w:themeColor="text1"/>
        </w:rPr>
        <w:t>million</w:t>
      </w:r>
      <w:r w:rsidR="00C024C8" w:rsidRPr="00C024C8">
        <w:rPr>
          <w:rFonts w:cs="Arial"/>
          <w:color w:val="000000" w:themeColor="text1"/>
        </w:rPr>
        <w:t xml:space="preserve"> </w:t>
      </w:r>
      <w:r w:rsidRPr="00C024C8">
        <w:rPr>
          <w:rFonts w:cs="Arial"/>
          <w:i/>
          <w:iCs/>
          <w:color w:val="000000" w:themeColor="text1"/>
        </w:rPr>
        <w:t>(</w:t>
      </w:r>
      <w:r w:rsidR="00B54539" w:rsidRPr="00C024C8">
        <w:rPr>
          <w:rFonts w:cs="Arial"/>
          <w:i/>
          <w:iCs/>
          <w:color w:val="000000" w:themeColor="text1"/>
        </w:rPr>
        <w:t>31 December</w:t>
      </w:r>
      <w:r w:rsidR="00B54539" w:rsidRPr="00B54539">
        <w:rPr>
          <w:rFonts w:cs="Arial"/>
          <w:i/>
          <w:iCs/>
          <w:color w:val="000000" w:themeColor="text1"/>
        </w:rPr>
        <w:t xml:space="preserve"> </w:t>
      </w:r>
      <w:r w:rsidRPr="00B54539">
        <w:rPr>
          <w:rFonts w:cs="Arial"/>
          <w:i/>
          <w:iCs/>
          <w:color w:val="000000" w:themeColor="text1"/>
        </w:rPr>
        <w:t>202</w:t>
      </w:r>
      <w:r w:rsidR="00F162E6">
        <w:rPr>
          <w:rFonts w:cs="Arial"/>
          <w:i/>
          <w:iCs/>
          <w:color w:val="000000" w:themeColor="text1"/>
        </w:rPr>
        <w:t>4</w:t>
      </w:r>
      <w:r w:rsidRPr="00B54539">
        <w:rPr>
          <w:rFonts w:cs="Arial"/>
          <w:i/>
          <w:iCs/>
          <w:color w:val="000000" w:themeColor="text1"/>
        </w:rPr>
        <w:t>: €</w:t>
      </w:r>
      <w:r w:rsidR="00B55B77">
        <w:rPr>
          <w:rFonts w:cs="Arial"/>
          <w:i/>
          <w:iCs/>
          <w:color w:val="000000" w:themeColor="text1"/>
        </w:rPr>
        <w:t>32.3</w:t>
      </w:r>
      <w:r w:rsidR="00B41737">
        <w:rPr>
          <w:rFonts w:cs="Arial"/>
          <w:i/>
          <w:iCs/>
          <w:color w:val="000000" w:themeColor="text1"/>
        </w:rPr>
        <w:t xml:space="preserve"> million</w:t>
      </w:r>
      <w:r w:rsidRPr="00B54539">
        <w:rPr>
          <w:rFonts w:cs="Arial"/>
          <w:i/>
          <w:iCs/>
          <w:color w:val="000000" w:themeColor="text1"/>
        </w:rPr>
        <w:t>)</w:t>
      </w:r>
      <w:r w:rsidRPr="007E6515">
        <w:rPr>
          <w:rFonts w:cs="Arial"/>
          <w:color w:val="000000" w:themeColor="text1"/>
        </w:rPr>
        <w:t xml:space="preserve"> outstanding in </w:t>
      </w:r>
      <w:r w:rsidR="00827542">
        <w:rPr>
          <w:rFonts w:cs="Arial"/>
          <w:color w:val="000000" w:themeColor="text1"/>
        </w:rPr>
        <w:t>contract receivables and €</w:t>
      </w:r>
      <w:r w:rsidR="0083495B">
        <w:rPr>
          <w:rFonts w:cs="Arial"/>
          <w:color w:val="000000" w:themeColor="text1"/>
        </w:rPr>
        <w:t>114.2</w:t>
      </w:r>
      <w:r w:rsidR="00827542">
        <w:rPr>
          <w:rFonts w:cs="Arial"/>
          <w:color w:val="000000" w:themeColor="text1"/>
        </w:rPr>
        <w:t xml:space="preserve"> million </w:t>
      </w:r>
      <w:r w:rsidR="00827542" w:rsidRPr="00C024C8">
        <w:rPr>
          <w:rFonts w:cs="Arial"/>
          <w:i/>
          <w:iCs/>
          <w:color w:val="000000" w:themeColor="text1"/>
        </w:rPr>
        <w:t>(31 December</w:t>
      </w:r>
      <w:r w:rsidR="00827542" w:rsidRPr="00B54539">
        <w:rPr>
          <w:rFonts w:cs="Arial"/>
          <w:i/>
          <w:iCs/>
          <w:color w:val="000000" w:themeColor="text1"/>
        </w:rPr>
        <w:t xml:space="preserve"> 202</w:t>
      </w:r>
      <w:r w:rsidR="00827542">
        <w:rPr>
          <w:rFonts w:cs="Arial"/>
          <w:i/>
          <w:iCs/>
          <w:color w:val="000000" w:themeColor="text1"/>
        </w:rPr>
        <w:t>4</w:t>
      </w:r>
      <w:r w:rsidR="00827542" w:rsidRPr="00B54539">
        <w:rPr>
          <w:rFonts w:cs="Arial"/>
          <w:i/>
          <w:iCs/>
          <w:color w:val="000000" w:themeColor="text1"/>
        </w:rPr>
        <w:t>: €</w:t>
      </w:r>
      <w:r w:rsidR="008A54D3">
        <w:rPr>
          <w:rFonts w:cs="Arial"/>
          <w:i/>
          <w:iCs/>
          <w:color w:val="000000" w:themeColor="text1"/>
        </w:rPr>
        <w:t>79.2</w:t>
      </w:r>
      <w:r w:rsidR="00827542">
        <w:rPr>
          <w:rFonts w:cs="Arial"/>
          <w:i/>
          <w:iCs/>
          <w:color w:val="000000" w:themeColor="text1"/>
        </w:rPr>
        <w:t xml:space="preserve"> million</w:t>
      </w:r>
      <w:r w:rsidR="00827542" w:rsidRPr="00B54539">
        <w:rPr>
          <w:rFonts w:cs="Arial"/>
          <w:i/>
          <w:iCs/>
          <w:color w:val="000000" w:themeColor="text1"/>
        </w:rPr>
        <w:t>)</w:t>
      </w:r>
      <w:r w:rsidR="00827542">
        <w:rPr>
          <w:rFonts w:cs="Arial"/>
          <w:color w:val="000000" w:themeColor="text1"/>
        </w:rPr>
        <w:t xml:space="preserve"> </w:t>
      </w:r>
      <w:r w:rsidR="00B665F1">
        <w:rPr>
          <w:rFonts w:cs="Arial"/>
          <w:color w:val="000000" w:themeColor="text1"/>
        </w:rPr>
        <w:t xml:space="preserve">outstanding in </w:t>
      </w:r>
      <w:r w:rsidRPr="007E6515">
        <w:rPr>
          <w:rFonts w:cs="Arial"/>
          <w:color w:val="000000" w:themeColor="text1"/>
        </w:rPr>
        <w:t>contract assets at the end</w:t>
      </w:r>
      <w:r w:rsidR="00EA7AE9">
        <w:rPr>
          <w:rFonts w:cs="Arial"/>
          <w:color w:val="000000" w:themeColor="text1"/>
        </w:rPr>
        <w:t xml:space="preserve"> of the financial period</w:t>
      </w:r>
      <w:r w:rsidR="00DE7B40">
        <w:t xml:space="preserve">. </w:t>
      </w:r>
      <w:r w:rsidR="00DE7B40" w:rsidRPr="00DE7B40">
        <w:rPr>
          <w:rFonts w:cs="Arial"/>
          <w:color w:val="000000" w:themeColor="text1"/>
        </w:rPr>
        <w:t>Land revenue associated with construction contracts amounted to €</w:t>
      </w:r>
      <w:r w:rsidR="00F23168">
        <w:rPr>
          <w:rFonts w:cs="Arial"/>
          <w:color w:val="000000" w:themeColor="text1"/>
        </w:rPr>
        <w:t>8.4</w:t>
      </w:r>
      <w:r w:rsidR="00DE7B40" w:rsidRPr="00DE7B40">
        <w:rPr>
          <w:rFonts w:cs="Arial"/>
          <w:color w:val="000000" w:themeColor="text1"/>
        </w:rPr>
        <w:t xml:space="preserve"> million (</w:t>
      </w:r>
      <w:r w:rsidR="00DE7B40" w:rsidRPr="0011384A">
        <w:rPr>
          <w:rFonts w:cs="Arial"/>
          <w:i/>
          <w:iCs/>
          <w:color w:val="000000" w:themeColor="text1"/>
        </w:rPr>
        <w:t>30 June 2024: €</w:t>
      </w:r>
      <w:r w:rsidR="007D59EE" w:rsidRPr="0011384A">
        <w:rPr>
          <w:rFonts w:cs="Arial"/>
          <w:i/>
          <w:iCs/>
          <w:color w:val="000000" w:themeColor="text1"/>
        </w:rPr>
        <w:t>Nil</w:t>
      </w:r>
      <w:r w:rsidR="00DE7B40" w:rsidRPr="00DE7B40">
        <w:rPr>
          <w:rFonts w:cs="Arial"/>
          <w:color w:val="000000" w:themeColor="text1"/>
        </w:rPr>
        <w:t xml:space="preserve">) in the financial </w:t>
      </w:r>
      <w:r w:rsidR="00DE7B40">
        <w:rPr>
          <w:rFonts w:cs="Arial"/>
          <w:color w:val="000000" w:themeColor="text1"/>
        </w:rPr>
        <w:t>period</w:t>
      </w:r>
      <w:r w:rsidR="00DE7B40" w:rsidRPr="00DE7B40">
        <w:rPr>
          <w:rFonts w:cs="Arial"/>
          <w:color w:val="000000" w:themeColor="text1"/>
        </w:rPr>
        <w:t xml:space="preserve">, </w:t>
      </w:r>
      <w:r w:rsidR="001131E7" w:rsidRPr="001131E7">
        <w:rPr>
          <w:rFonts w:cs="Arial"/>
          <w:color w:val="000000" w:themeColor="text1"/>
        </w:rPr>
        <w:t xml:space="preserve">revenue from land sales generated an immaterial profit in the </w:t>
      </w:r>
      <w:r w:rsidR="00846070">
        <w:rPr>
          <w:rFonts w:cs="Arial"/>
          <w:color w:val="000000" w:themeColor="text1"/>
        </w:rPr>
        <w:t>financial period</w:t>
      </w:r>
      <w:r w:rsidR="001131E7" w:rsidRPr="001131E7">
        <w:rPr>
          <w:rFonts w:cs="Arial"/>
          <w:color w:val="000000" w:themeColor="text1"/>
        </w:rPr>
        <w:t xml:space="preserve">. </w:t>
      </w:r>
      <w:r w:rsidR="008A16C5" w:rsidRPr="008A16C5">
        <w:rPr>
          <w:rFonts w:cs="Arial"/>
          <w:color w:val="000000" w:themeColor="text1"/>
        </w:rPr>
        <w:t xml:space="preserve">Non-core </w:t>
      </w:r>
      <w:r w:rsidR="008A16C5">
        <w:rPr>
          <w:rFonts w:cs="Arial"/>
          <w:color w:val="000000" w:themeColor="text1"/>
        </w:rPr>
        <w:t>Partnerships</w:t>
      </w:r>
      <w:r w:rsidR="008A16C5" w:rsidRPr="008A16C5">
        <w:rPr>
          <w:rFonts w:cs="Arial"/>
          <w:color w:val="000000" w:themeColor="text1"/>
        </w:rPr>
        <w:t xml:space="preserve"> </w:t>
      </w:r>
      <w:r w:rsidR="002E1200">
        <w:rPr>
          <w:rFonts w:cs="Arial"/>
          <w:color w:val="000000" w:themeColor="text1"/>
        </w:rPr>
        <w:t xml:space="preserve">revenue </w:t>
      </w:r>
      <w:r w:rsidR="008A16C5" w:rsidRPr="008A16C5">
        <w:rPr>
          <w:rFonts w:cs="Arial"/>
          <w:color w:val="000000" w:themeColor="text1"/>
        </w:rPr>
        <w:t xml:space="preserve">product relates to </w:t>
      </w:r>
      <w:r w:rsidR="002E1200">
        <w:rPr>
          <w:rFonts w:cs="Arial"/>
          <w:color w:val="000000" w:themeColor="text1"/>
        </w:rPr>
        <w:t xml:space="preserve">the sale of </w:t>
      </w:r>
      <w:r w:rsidR="008A16C5" w:rsidRPr="008A16C5">
        <w:rPr>
          <w:rFonts w:cs="Arial"/>
          <w:color w:val="000000" w:themeColor="text1"/>
        </w:rPr>
        <w:t>high-end, private developments.</w:t>
      </w:r>
    </w:p>
    <w:p w14:paraId="3C5164C4" w14:textId="6FC67C5F" w:rsidR="00B2084C" w:rsidRDefault="009232AF" w:rsidP="009232AF">
      <w:pPr>
        <w:spacing w:after="160" w:line="259" w:lineRule="auto"/>
        <w:rPr>
          <w:rFonts w:cs="Arial"/>
          <w:color w:val="000000" w:themeColor="text1"/>
        </w:rPr>
      </w:pPr>
      <w:r>
        <w:rPr>
          <w:rFonts w:cs="Arial"/>
          <w:color w:val="000000" w:themeColor="text1"/>
        </w:rPr>
        <w:br w:type="page"/>
      </w:r>
    </w:p>
    <w:p w14:paraId="44F68DB5" w14:textId="77777777" w:rsidR="004062E3" w:rsidRPr="004062E3" w:rsidRDefault="004062E3" w:rsidP="004062E3">
      <w:pPr>
        <w:pStyle w:val="NotesBody"/>
      </w:pPr>
    </w:p>
    <w:p w14:paraId="73EEB1A3" w14:textId="6ACAC350" w:rsidR="006C1229" w:rsidRDefault="006C1229" w:rsidP="006C1229">
      <w:pPr>
        <w:pStyle w:val="NotesHeading"/>
        <w:jc w:val="both"/>
      </w:pPr>
      <w:r>
        <w:t>9</w:t>
      </w:r>
      <w:r>
        <w:tab/>
        <w:t>Share-based payment arrangements</w:t>
      </w:r>
    </w:p>
    <w:p w14:paraId="2721C25D" w14:textId="77777777" w:rsidR="006C1229" w:rsidRPr="00431A56" w:rsidRDefault="006C1229" w:rsidP="7821F417">
      <w:pPr>
        <w:ind w:left="448"/>
        <w:jc w:val="both"/>
        <w:rPr>
          <w:b/>
          <w:bCs/>
        </w:rPr>
      </w:pPr>
      <w:r w:rsidRPr="00FC0232">
        <w:rPr>
          <w:b/>
        </w:rPr>
        <w:tab/>
      </w:r>
    </w:p>
    <w:p w14:paraId="552A1EE9" w14:textId="3CF9F8C1" w:rsidR="006C1229" w:rsidRPr="00431A56" w:rsidRDefault="006C1229" w:rsidP="00A1275D">
      <w:pPr>
        <w:pStyle w:val="ListParagraph"/>
        <w:numPr>
          <w:ilvl w:val="0"/>
          <w:numId w:val="4"/>
        </w:numPr>
        <w:jc w:val="both"/>
        <w:rPr>
          <w:rFonts w:eastAsia="Calibri" w:cs="Arial"/>
          <w:b/>
          <w:bCs/>
          <w:color w:val="000000"/>
        </w:rPr>
      </w:pPr>
      <w:r w:rsidRPr="7821F417">
        <w:rPr>
          <w:rFonts w:eastAsia="Calibri" w:cs="Arial"/>
          <w:b/>
          <w:bCs/>
          <w:color w:val="000000" w:themeColor="text1"/>
        </w:rPr>
        <w:t>Description</w:t>
      </w:r>
      <w:r w:rsidR="00050C9A" w:rsidRPr="7821F417">
        <w:rPr>
          <w:rFonts w:eastAsia="Calibri" w:cs="Arial"/>
          <w:b/>
          <w:bCs/>
          <w:color w:val="000000" w:themeColor="text1"/>
        </w:rPr>
        <w:t xml:space="preserve"> </w:t>
      </w:r>
      <w:r w:rsidR="00756AD8" w:rsidRPr="7821F417">
        <w:rPr>
          <w:rFonts w:eastAsia="Calibri" w:cs="Arial"/>
          <w:b/>
          <w:bCs/>
          <w:color w:val="000000" w:themeColor="text1"/>
        </w:rPr>
        <w:t xml:space="preserve">and reconciliation of options outstanding </w:t>
      </w:r>
    </w:p>
    <w:p w14:paraId="71A40A5E" w14:textId="77777777" w:rsidR="006C1229" w:rsidRDefault="006C1229" w:rsidP="00CE2415">
      <w:pPr>
        <w:pStyle w:val="NotesBody"/>
        <w:tabs>
          <w:tab w:val="left" w:pos="3119"/>
          <w:tab w:val="left" w:pos="8647"/>
        </w:tabs>
        <w:ind w:left="0"/>
      </w:pPr>
    </w:p>
    <w:tbl>
      <w:tblPr>
        <w:tblStyle w:val="PlainTable4"/>
        <w:tblW w:w="9048" w:type="dxa"/>
        <w:tblInd w:w="450" w:type="dxa"/>
        <w:tblLayout w:type="fixed"/>
        <w:tblLook w:val="06A0" w:firstRow="1" w:lastRow="0" w:firstColumn="1" w:lastColumn="0" w:noHBand="1" w:noVBand="1"/>
      </w:tblPr>
      <w:tblGrid>
        <w:gridCol w:w="5079"/>
        <w:gridCol w:w="2355"/>
        <w:gridCol w:w="1614"/>
      </w:tblGrid>
      <w:tr w:rsidR="006C1229" w:rsidRPr="004E2008" w14:paraId="04CE7937" w14:textId="77777777" w:rsidTr="7821F417">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079" w:type="dxa"/>
          </w:tcPr>
          <w:p w14:paraId="2C4DD7AB" w14:textId="77777777" w:rsidR="006C1229" w:rsidRPr="004E2008" w:rsidRDefault="006C1229" w:rsidP="7821F417">
            <w:pPr>
              <w:ind w:right="135"/>
              <w:rPr>
                <w:rFonts w:eastAsia="Calibri" w:cs="Arial"/>
              </w:rPr>
            </w:pPr>
          </w:p>
        </w:tc>
        <w:tc>
          <w:tcPr>
            <w:tcW w:w="2355" w:type="dxa"/>
          </w:tcPr>
          <w:p w14:paraId="4157975C" w14:textId="77777777" w:rsidR="006C1229" w:rsidRDefault="006C1229" w:rsidP="005D1FA9">
            <w:pPr>
              <w:tabs>
                <w:tab w:val="decimal" w:pos="1172"/>
                <w:tab w:val="left" w:pos="1590"/>
              </w:tabs>
              <w:ind w:right="115"/>
              <w:jc w:val="right"/>
              <w:cnfStyle w:val="100000000000" w:firstRow="1" w:lastRow="0" w:firstColumn="0" w:lastColumn="0" w:oddVBand="0" w:evenVBand="0" w:oddHBand="0" w:evenHBand="0" w:firstRowFirstColumn="0" w:firstRowLastColumn="0" w:lastRowFirstColumn="0" w:lastRowLastColumn="0"/>
              <w:rPr>
                <w:rFonts w:eastAsia="Calibri" w:cs="Arial"/>
                <w:b w:val="0"/>
                <w:bCs w:val="0"/>
              </w:rPr>
            </w:pPr>
            <w:r w:rsidRPr="7821F417">
              <w:rPr>
                <w:rFonts w:eastAsia="Calibri" w:cs="Arial"/>
              </w:rPr>
              <w:t xml:space="preserve">Number of </w:t>
            </w:r>
          </w:p>
          <w:p w14:paraId="58566EE6" w14:textId="77777777" w:rsidR="006C1229" w:rsidRDefault="006C1229" w:rsidP="005D1FA9">
            <w:pPr>
              <w:tabs>
                <w:tab w:val="decimal" w:pos="1172"/>
                <w:tab w:val="left" w:pos="1590"/>
              </w:tabs>
              <w:ind w:right="115"/>
              <w:jc w:val="right"/>
              <w:cnfStyle w:val="100000000000" w:firstRow="1" w:lastRow="0" w:firstColumn="0" w:lastColumn="0" w:oddVBand="0" w:evenVBand="0" w:oddHBand="0" w:evenHBand="0" w:firstRowFirstColumn="0" w:firstRowLastColumn="0" w:lastRowFirstColumn="0" w:lastRowLastColumn="0"/>
              <w:rPr>
                <w:rFonts w:eastAsia="Calibri" w:cs="Arial"/>
                <w:b w:val="0"/>
                <w:bCs w:val="0"/>
              </w:rPr>
            </w:pPr>
            <w:r w:rsidRPr="7821F417">
              <w:rPr>
                <w:rFonts w:eastAsia="Calibri" w:cs="Arial"/>
              </w:rPr>
              <w:t>Options</w:t>
            </w:r>
          </w:p>
          <w:p w14:paraId="06E95C87" w14:textId="0B8AB1F4" w:rsidR="006C1229" w:rsidRPr="004E2008" w:rsidRDefault="006C1229" w:rsidP="005D1FA9">
            <w:pPr>
              <w:tabs>
                <w:tab w:val="decimal" w:pos="1172"/>
                <w:tab w:val="left" w:pos="1590"/>
              </w:tabs>
              <w:ind w:right="115"/>
              <w:jc w:val="right"/>
              <w:cnfStyle w:val="100000000000" w:firstRow="1" w:lastRow="0" w:firstColumn="0" w:lastColumn="0" w:oddVBand="0" w:evenVBand="0" w:oddHBand="0" w:evenHBand="0" w:firstRowFirstColumn="0" w:firstRowLastColumn="0" w:lastRowFirstColumn="0" w:lastRowLastColumn="0"/>
              <w:rPr>
                <w:rFonts w:eastAsia="Calibri" w:cs="Arial"/>
              </w:rPr>
            </w:pPr>
            <w:r w:rsidRPr="7821F417">
              <w:rPr>
                <w:rFonts w:eastAsia="Calibri" w:cs="Arial"/>
              </w:rPr>
              <w:t xml:space="preserve"> </w:t>
            </w:r>
            <w:r w:rsidR="45470EF2" w:rsidRPr="7821F417">
              <w:rPr>
                <w:rFonts w:eastAsia="Calibri" w:cs="Arial"/>
              </w:rPr>
              <w:t>202</w:t>
            </w:r>
            <w:r w:rsidR="00EB64A3">
              <w:rPr>
                <w:rFonts w:eastAsia="Calibri" w:cs="Arial"/>
              </w:rPr>
              <w:t>5</w:t>
            </w:r>
          </w:p>
        </w:tc>
        <w:tc>
          <w:tcPr>
            <w:tcW w:w="1614" w:type="dxa"/>
          </w:tcPr>
          <w:p w14:paraId="418F5AE5" w14:textId="77777777" w:rsidR="006C1229" w:rsidRDefault="006C1229" w:rsidP="7821F417">
            <w:pPr>
              <w:tabs>
                <w:tab w:val="decimal" w:pos="1024"/>
              </w:tabs>
              <w:ind w:right="29"/>
              <w:jc w:val="right"/>
              <w:cnfStyle w:val="100000000000" w:firstRow="1" w:lastRow="0" w:firstColumn="0" w:lastColumn="0" w:oddVBand="0" w:evenVBand="0" w:oddHBand="0" w:evenHBand="0" w:firstRowFirstColumn="0" w:firstRowLastColumn="0" w:lastRowFirstColumn="0" w:lastRowLastColumn="0"/>
              <w:rPr>
                <w:rFonts w:eastAsia="Calibri" w:cs="Arial"/>
                <w:b w:val="0"/>
                <w:bCs w:val="0"/>
              </w:rPr>
            </w:pPr>
            <w:r w:rsidRPr="7821F417">
              <w:rPr>
                <w:rFonts w:eastAsia="Calibri" w:cs="Arial"/>
              </w:rPr>
              <w:t xml:space="preserve">Number of </w:t>
            </w:r>
          </w:p>
          <w:p w14:paraId="339ED158" w14:textId="77777777" w:rsidR="006C1229" w:rsidRDefault="006C1229" w:rsidP="7821F417">
            <w:pPr>
              <w:tabs>
                <w:tab w:val="decimal" w:pos="1024"/>
              </w:tabs>
              <w:ind w:right="29"/>
              <w:jc w:val="right"/>
              <w:cnfStyle w:val="100000000000" w:firstRow="1" w:lastRow="0" w:firstColumn="0" w:lastColumn="0" w:oddVBand="0" w:evenVBand="0" w:oddHBand="0" w:evenHBand="0" w:firstRowFirstColumn="0" w:firstRowLastColumn="0" w:lastRowFirstColumn="0" w:lastRowLastColumn="0"/>
              <w:rPr>
                <w:rFonts w:eastAsia="Calibri" w:cs="Arial"/>
                <w:b w:val="0"/>
                <w:bCs w:val="0"/>
              </w:rPr>
            </w:pPr>
            <w:r w:rsidRPr="7821F417">
              <w:rPr>
                <w:rFonts w:eastAsia="Calibri" w:cs="Arial"/>
              </w:rPr>
              <w:t>Options</w:t>
            </w:r>
          </w:p>
          <w:p w14:paraId="6ED1E1C0" w14:textId="5113D863" w:rsidR="006C1229" w:rsidRPr="00E50AEC" w:rsidRDefault="006C1229" w:rsidP="7821F417">
            <w:pPr>
              <w:tabs>
                <w:tab w:val="decimal" w:pos="1024"/>
              </w:tabs>
              <w:ind w:right="29"/>
              <w:jc w:val="right"/>
              <w:cnfStyle w:val="100000000000" w:firstRow="1" w:lastRow="0" w:firstColumn="0" w:lastColumn="0" w:oddVBand="0" w:evenVBand="0" w:oddHBand="0" w:evenHBand="0" w:firstRowFirstColumn="0" w:firstRowLastColumn="0" w:lastRowFirstColumn="0" w:lastRowLastColumn="0"/>
              <w:rPr>
                <w:rFonts w:eastAsia="Calibri" w:cs="Arial"/>
                <w:b w:val="0"/>
                <w:bCs w:val="0"/>
              </w:rPr>
            </w:pPr>
            <w:r w:rsidRPr="7821F417">
              <w:rPr>
                <w:rFonts w:eastAsia="Calibri" w:cs="Arial"/>
              </w:rPr>
              <w:t xml:space="preserve"> </w:t>
            </w:r>
            <w:r w:rsidR="45470EF2" w:rsidRPr="7821F417">
              <w:rPr>
                <w:rFonts w:eastAsia="Calibri" w:cs="Arial"/>
              </w:rPr>
              <w:t>202</w:t>
            </w:r>
            <w:r w:rsidR="00EB64A3">
              <w:rPr>
                <w:rFonts w:eastAsia="Calibri" w:cs="Arial"/>
              </w:rPr>
              <w:t>4</w:t>
            </w:r>
          </w:p>
        </w:tc>
      </w:tr>
      <w:tr w:rsidR="006C1229" w:rsidRPr="004E2008" w14:paraId="01BC63CB" w14:textId="77777777" w:rsidTr="7821F417">
        <w:trPr>
          <w:trHeight w:val="220"/>
        </w:trPr>
        <w:tc>
          <w:tcPr>
            <w:cnfStyle w:val="001000000000" w:firstRow="0" w:lastRow="0" w:firstColumn="1" w:lastColumn="0" w:oddVBand="0" w:evenVBand="0" w:oddHBand="0" w:evenHBand="0" w:firstRowFirstColumn="0" w:firstRowLastColumn="0" w:lastRowFirstColumn="0" w:lastRowLastColumn="0"/>
            <w:tcW w:w="5079" w:type="dxa"/>
          </w:tcPr>
          <w:p w14:paraId="000CED34" w14:textId="77777777" w:rsidR="006C1229" w:rsidRPr="004E2008" w:rsidRDefault="006C1229" w:rsidP="7821F417">
            <w:pPr>
              <w:ind w:right="135"/>
              <w:rPr>
                <w:rFonts w:eastAsia="Calibri" w:cs="Arial"/>
              </w:rPr>
            </w:pPr>
          </w:p>
        </w:tc>
        <w:tc>
          <w:tcPr>
            <w:tcW w:w="2355" w:type="dxa"/>
          </w:tcPr>
          <w:p w14:paraId="0AF49C8A" w14:textId="77777777" w:rsidR="006C1229" w:rsidRPr="004E2008" w:rsidRDefault="006C1229" w:rsidP="005D1FA9">
            <w:pPr>
              <w:tabs>
                <w:tab w:val="decimal" w:pos="1172"/>
                <w:tab w:val="left" w:pos="1590"/>
              </w:tabs>
              <w:ind w:right="115"/>
              <w:jc w:val="right"/>
              <w:cnfStyle w:val="000000000000" w:firstRow="0" w:lastRow="0" w:firstColumn="0" w:lastColumn="0" w:oddVBand="0" w:evenVBand="0" w:oddHBand="0" w:evenHBand="0" w:firstRowFirstColumn="0" w:firstRowLastColumn="0" w:lastRowFirstColumn="0" w:lastRowLastColumn="0"/>
              <w:rPr>
                <w:rFonts w:eastAsia="Calibri" w:cs="Arial"/>
              </w:rPr>
            </w:pPr>
          </w:p>
        </w:tc>
        <w:tc>
          <w:tcPr>
            <w:tcW w:w="1614" w:type="dxa"/>
          </w:tcPr>
          <w:p w14:paraId="652619E5" w14:textId="77777777" w:rsidR="006C1229" w:rsidRPr="004E2008" w:rsidRDefault="006C1229" w:rsidP="7821F417">
            <w:pPr>
              <w:tabs>
                <w:tab w:val="decimal" w:pos="1024"/>
              </w:tabs>
              <w:ind w:right="29"/>
              <w:jc w:val="right"/>
              <w:cnfStyle w:val="000000000000" w:firstRow="0" w:lastRow="0" w:firstColumn="0" w:lastColumn="0" w:oddVBand="0" w:evenVBand="0" w:oddHBand="0" w:evenHBand="0" w:firstRowFirstColumn="0" w:firstRowLastColumn="0" w:lastRowFirstColumn="0" w:lastRowLastColumn="0"/>
              <w:rPr>
                <w:rFonts w:eastAsia="Calibri" w:cs="Arial"/>
              </w:rPr>
            </w:pPr>
          </w:p>
        </w:tc>
      </w:tr>
      <w:tr w:rsidR="00EB64A3" w:rsidRPr="004E2008" w14:paraId="0BC0B255" w14:textId="77777777" w:rsidTr="7821F417">
        <w:trPr>
          <w:trHeight w:val="255"/>
        </w:trPr>
        <w:tc>
          <w:tcPr>
            <w:cnfStyle w:val="001000000000" w:firstRow="0" w:lastRow="0" w:firstColumn="1" w:lastColumn="0" w:oddVBand="0" w:evenVBand="0" w:oddHBand="0" w:evenHBand="0" w:firstRowFirstColumn="0" w:firstRowLastColumn="0" w:lastRowFirstColumn="0" w:lastRowLastColumn="0"/>
            <w:tcW w:w="5079" w:type="dxa"/>
          </w:tcPr>
          <w:p w14:paraId="334D1ED7" w14:textId="77777777" w:rsidR="00EB64A3" w:rsidRPr="00D80F90" w:rsidRDefault="00EB64A3" w:rsidP="00EB64A3">
            <w:pPr>
              <w:ind w:right="-386"/>
              <w:rPr>
                <w:rFonts w:eastAsia="Calibri" w:cs="Arial"/>
                <w:b w:val="0"/>
                <w:bCs w:val="0"/>
              </w:rPr>
            </w:pPr>
            <w:r w:rsidRPr="7821F417">
              <w:rPr>
                <w:rFonts w:eastAsia="Calibri" w:cs="Arial"/>
                <w:b w:val="0"/>
                <w:bCs w:val="0"/>
              </w:rPr>
              <w:t xml:space="preserve">LTIP options in issue </w:t>
            </w:r>
            <w:proofErr w:type="gramStart"/>
            <w:r w:rsidRPr="7821F417">
              <w:rPr>
                <w:rFonts w:eastAsia="Calibri" w:cs="Arial"/>
                <w:b w:val="0"/>
                <w:bCs w:val="0"/>
              </w:rPr>
              <w:t>at</w:t>
            </w:r>
            <w:proofErr w:type="gramEnd"/>
            <w:r w:rsidRPr="7821F417">
              <w:rPr>
                <w:rFonts w:eastAsia="Calibri" w:cs="Arial"/>
                <w:b w:val="0"/>
                <w:bCs w:val="0"/>
              </w:rPr>
              <w:t xml:space="preserve"> 1 January</w:t>
            </w:r>
          </w:p>
        </w:tc>
        <w:tc>
          <w:tcPr>
            <w:tcW w:w="2355" w:type="dxa"/>
          </w:tcPr>
          <w:p w14:paraId="30A4EB83" w14:textId="72E12F91" w:rsidR="00EB64A3" w:rsidRPr="004E2008" w:rsidRDefault="009A3AC1" w:rsidP="00EB64A3">
            <w:pPr>
              <w:tabs>
                <w:tab w:val="decimal" w:pos="1172"/>
                <w:tab w:val="left" w:pos="1590"/>
              </w:tabs>
              <w:ind w:right="115"/>
              <w:jc w:val="right"/>
              <w:cnfStyle w:val="000000000000" w:firstRow="0" w:lastRow="0" w:firstColumn="0" w:lastColumn="0" w:oddVBand="0" w:evenVBand="0" w:oddHBand="0" w:evenHBand="0" w:firstRowFirstColumn="0" w:firstRowLastColumn="0" w:lastRowFirstColumn="0" w:lastRowLastColumn="0"/>
              <w:rPr>
                <w:rFonts w:eastAsia="Calibri" w:cs="Arial"/>
                <w:b/>
                <w:bCs/>
                <w:szCs w:val="20"/>
              </w:rPr>
            </w:pPr>
            <w:r>
              <w:rPr>
                <w:rFonts w:eastAsia="Calibri" w:cs="Arial"/>
                <w:b/>
                <w:bCs/>
                <w:szCs w:val="20"/>
              </w:rPr>
              <w:t>15</w:t>
            </w:r>
            <w:r w:rsidR="005E37F0">
              <w:rPr>
                <w:rFonts w:eastAsia="Calibri" w:cs="Arial"/>
                <w:b/>
                <w:bCs/>
                <w:szCs w:val="20"/>
              </w:rPr>
              <w:t>,972,572</w:t>
            </w:r>
          </w:p>
        </w:tc>
        <w:tc>
          <w:tcPr>
            <w:tcW w:w="1614" w:type="dxa"/>
          </w:tcPr>
          <w:p w14:paraId="681C77B9" w14:textId="0FEF06C5" w:rsidR="00EB64A3" w:rsidRPr="00EB64A3" w:rsidRDefault="00EB64A3" w:rsidP="00EB64A3">
            <w:pPr>
              <w:tabs>
                <w:tab w:val="decimal" w:pos="794"/>
                <w:tab w:val="left" w:pos="2015"/>
              </w:tabs>
              <w:ind w:right="34"/>
              <w:jc w:val="right"/>
              <w:cnfStyle w:val="000000000000" w:firstRow="0" w:lastRow="0" w:firstColumn="0" w:lastColumn="0" w:oddVBand="0" w:evenVBand="0" w:oddHBand="0" w:evenHBand="0" w:firstRowFirstColumn="0" w:firstRowLastColumn="0" w:lastRowFirstColumn="0" w:lastRowLastColumn="0"/>
              <w:rPr>
                <w:rFonts w:eastAsia="Calibri" w:cs="Arial"/>
              </w:rPr>
            </w:pPr>
            <w:r w:rsidRPr="00EB64A3">
              <w:rPr>
                <w:rFonts w:eastAsia="Calibri" w:cs="Arial"/>
                <w:szCs w:val="20"/>
              </w:rPr>
              <w:t>13,960,427</w:t>
            </w:r>
          </w:p>
        </w:tc>
      </w:tr>
      <w:tr w:rsidR="00EB64A3" w:rsidRPr="004E2008" w14:paraId="214B8185" w14:textId="77777777" w:rsidTr="7821F417">
        <w:trPr>
          <w:trHeight w:val="263"/>
        </w:trPr>
        <w:tc>
          <w:tcPr>
            <w:cnfStyle w:val="001000000000" w:firstRow="0" w:lastRow="0" w:firstColumn="1" w:lastColumn="0" w:oddVBand="0" w:evenVBand="0" w:oddHBand="0" w:evenHBand="0" w:firstRowFirstColumn="0" w:firstRowLastColumn="0" w:lastRowFirstColumn="0" w:lastRowLastColumn="0"/>
            <w:tcW w:w="5079" w:type="dxa"/>
          </w:tcPr>
          <w:p w14:paraId="7A861E19" w14:textId="77777777" w:rsidR="00EB64A3" w:rsidRPr="00D80F90" w:rsidRDefault="00EB64A3" w:rsidP="00EB64A3">
            <w:pPr>
              <w:ind w:right="-386"/>
              <w:rPr>
                <w:rFonts w:eastAsia="Calibri" w:cs="Arial"/>
                <w:b w:val="0"/>
                <w:bCs w:val="0"/>
              </w:rPr>
            </w:pPr>
            <w:r w:rsidRPr="7821F417">
              <w:rPr>
                <w:rFonts w:eastAsia="Calibri" w:cs="Arial"/>
                <w:b w:val="0"/>
                <w:bCs w:val="0"/>
              </w:rPr>
              <w:t>Granted during the period</w:t>
            </w:r>
          </w:p>
        </w:tc>
        <w:tc>
          <w:tcPr>
            <w:tcW w:w="2355" w:type="dxa"/>
          </w:tcPr>
          <w:p w14:paraId="063DA045" w14:textId="247535B9" w:rsidR="00EB64A3" w:rsidRPr="004E2008" w:rsidRDefault="00A670EA" w:rsidP="00EB64A3">
            <w:pPr>
              <w:tabs>
                <w:tab w:val="decimal" w:pos="1172"/>
                <w:tab w:val="left" w:pos="1590"/>
              </w:tabs>
              <w:ind w:right="115"/>
              <w:jc w:val="right"/>
              <w:cnfStyle w:val="000000000000" w:firstRow="0" w:lastRow="0" w:firstColumn="0" w:lastColumn="0" w:oddVBand="0" w:evenVBand="0" w:oddHBand="0" w:evenHBand="0" w:firstRowFirstColumn="0" w:firstRowLastColumn="0" w:lastRowFirstColumn="0" w:lastRowLastColumn="0"/>
              <w:rPr>
                <w:rFonts w:eastAsia="Calibri" w:cs="Arial"/>
                <w:b/>
                <w:bCs/>
              </w:rPr>
            </w:pPr>
            <w:r>
              <w:rPr>
                <w:rFonts w:eastAsia="Calibri" w:cs="Arial"/>
                <w:b/>
                <w:bCs/>
              </w:rPr>
              <w:t>5,090,826</w:t>
            </w:r>
          </w:p>
        </w:tc>
        <w:tc>
          <w:tcPr>
            <w:tcW w:w="1614" w:type="dxa"/>
          </w:tcPr>
          <w:p w14:paraId="3A265449" w14:textId="31202C3D" w:rsidR="00EB64A3" w:rsidRPr="00EB64A3" w:rsidRDefault="00EB64A3" w:rsidP="00EB64A3">
            <w:pPr>
              <w:tabs>
                <w:tab w:val="decimal" w:pos="794"/>
                <w:tab w:val="left" w:pos="2015"/>
              </w:tabs>
              <w:ind w:right="34"/>
              <w:jc w:val="right"/>
              <w:cnfStyle w:val="000000000000" w:firstRow="0" w:lastRow="0" w:firstColumn="0" w:lastColumn="0" w:oddVBand="0" w:evenVBand="0" w:oddHBand="0" w:evenHBand="0" w:firstRowFirstColumn="0" w:firstRowLastColumn="0" w:lastRowFirstColumn="0" w:lastRowLastColumn="0"/>
              <w:rPr>
                <w:rFonts w:eastAsia="Calibri" w:cs="Arial"/>
              </w:rPr>
            </w:pPr>
            <w:r w:rsidRPr="00EB64A3">
              <w:rPr>
                <w:rFonts w:eastAsia="Calibri" w:cs="Arial"/>
              </w:rPr>
              <w:t>6,037,690</w:t>
            </w:r>
          </w:p>
        </w:tc>
      </w:tr>
      <w:tr w:rsidR="00EB64A3" w:rsidRPr="004E2008" w14:paraId="1DFC6B23" w14:textId="77777777" w:rsidTr="7821F417">
        <w:trPr>
          <w:trHeight w:val="263"/>
        </w:trPr>
        <w:tc>
          <w:tcPr>
            <w:cnfStyle w:val="001000000000" w:firstRow="0" w:lastRow="0" w:firstColumn="1" w:lastColumn="0" w:oddVBand="0" w:evenVBand="0" w:oddHBand="0" w:evenHBand="0" w:firstRowFirstColumn="0" w:firstRowLastColumn="0" w:lastRowFirstColumn="0" w:lastRowLastColumn="0"/>
            <w:tcW w:w="5079" w:type="dxa"/>
          </w:tcPr>
          <w:p w14:paraId="65B9B4A2" w14:textId="585A944A" w:rsidR="00EB64A3" w:rsidRDefault="00EB64A3" w:rsidP="00EB64A3">
            <w:pPr>
              <w:ind w:right="-386"/>
              <w:rPr>
                <w:rFonts w:eastAsia="Calibri" w:cs="Arial"/>
              </w:rPr>
            </w:pPr>
            <w:r w:rsidRPr="7821F417">
              <w:rPr>
                <w:rFonts w:eastAsia="Calibri" w:cs="Arial"/>
                <w:b w:val="0"/>
                <w:bCs w:val="0"/>
              </w:rPr>
              <w:t>Forfeited during the period</w:t>
            </w:r>
          </w:p>
        </w:tc>
        <w:tc>
          <w:tcPr>
            <w:tcW w:w="2355" w:type="dxa"/>
          </w:tcPr>
          <w:p w14:paraId="205390D5" w14:textId="29D51B11" w:rsidR="00EB64A3" w:rsidRDefault="00DE25F5" w:rsidP="00EB64A3">
            <w:pPr>
              <w:tabs>
                <w:tab w:val="decimal" w:pos="1172"/>
                <w:tab w:val="left" w:pos="1590"/>
              </w:tabs>
              <w:ind w:right="115"/>
              <w:jc w:val="right"/>
              <w:cnfStyle w:val="000000000000" w:firstRow="0" w:lastRow="0" w:firstColumn="0" w:lastColumn="0" w:oddVBand="0" w:evenVBand="0" w:oddHBand="0" w:evenHBand="0" w:firstRowFirstColumn="0" w:firstRowLastColumn="0" w:lastRowFirstColumn="0" w:lastRowLastColumn="0"/>
              <w:rPr>
                <w:rFonts w:eastAsia="Calibri" w:cs="Arial"/>
                <w:b/>
                <w:bCs/>
              </w:rPr>
            </w:pPr>
            <w:r>
              <w:rPr>
                <w:rFonts w:eastAsia="Calibri" w:cs="Arial"/>
                <w:b/>
                <w:bCs/>
              </w:rPr>
              <w:t>(1</w:t>
            </w:r>
            <w:r w:rsidR="007C1436">
              <w:rPr>
                <w:rFonts w:eastAsia="Calibri" w:cs="Arial"/>
                <w:b/>
                <w:bCs/>
              </w:rPr>
              <w:t>,552</w:t>
            </w:r>
            <w:r w:rsidR="00AE475F">
              <w:rPr>
                <w:rFonts w:eastAsia="Calibri" w:cs="Arial"/>
                <w:b/>
                <w:bCs/>
              </w:rPr>
              <w:t>,756</w:t>
            </w:r>
            <w:r>
              <w:rPr>
                <w:rFonts w:eastAsia="Calibri" w:cs="Arial"/>
                <w:b/>
                <w:bCs/>
              </w:rPr>
              <w:t>)</w:t>
            </w:r>
          </w:p>
        </w:tc>
        <w:tc>
          <w:tcPr>
            <w:tcW w:w="1614" w:type="dxa"/>
          </w:tcPr>
          <w:p w14:paraId="19E5B716" w14:textId="5C20A7CF" w:rsidR="00EB64A3" w:rsidRPr="00EB64A3" w:rsidRDefault="00EB64A3" w:rsidP="00EB64A3">
            <w:pPr>
              <w:tabs>
                <w:tab w:val="decimal" w:pos="794"/>
                <w:tab w:val="left" w:pos="2015"/>
              </w:tabs>
              <w:ind w:right="34"/>
              <w:jc w:val="right"/>
              <w:cnfStyle w:val="000000000000" w:firstRow="0" w:lastRow="0" w:firstColumn="0" w:lastColumn="0" w:oddVBand="0" w:evenVBand="0" w:oddHBand="0" w:evenHBand="0" w:firstRowFirstColumn="0" w:firstRowLastColumn="0" w:lastRowFirstColumn="0" w:lastRowLastColumn="0"/>
              <w:rPr>
                <w:rFonts w:eastAsia="Calibri" w:cs="Arial"/>
              </w:rPr>
            </w:pPr>
            <w:r w:rsidRPr="00EB64A3">
              <w:rPr>
                <w:rFonts w:eastAsia="Calibri" w:cs="Arial"/>
              </w:rPr>
              <w:t>(1,952,697)</w:t>
            </w:r>
          </w:p>
        </w:tc>
      </w:tr>
      <w:tr w:rsidR="00EB64A3" w:rsidRPr="004E2008" w14:paraId="6E3DAF62" w14:textId="77777777" w:rsidTr="7821F417">
        <w:trPr>
          <w:trHeight w:val="300"/>
        </w:trPr>
        <w:tc>
          <w:tcPr>
            <w:cnfStyle w:val="001000000000" w:firstRow="0" w:lastRow="0" w:firstColumn="1" w:lastColumn="0" w:oddVBand="0" w:evenVBand="0" w:oddHBand="0" w:evenHBand="0" w:firstRowFirstColumn="0" w:firstRowLastColumn="0" w:lastRowFirstColumn="0" w:lastRowLastColumn="0"/>
            <w:tcW w:w="5079" w:type="dxa"/>
          </w:tcPr>
          <w:p w14:paraId="272F2B28" w14:textId="27995734" w:rsidR="00EB64A3" w:rsidRPr="00136B7D" w:rsidRDefault="00EB64A3" w:rsidP="00EB64A3">
            <w:pPr>
              <w:ind w:right="135"/>
              <w:rPr>
                <w:rFonts w:eastAsia="Calibri" w:cs="Arial"/>
                <w:b w:val="0"/>
                <w:bCs w:val="0"/>
              </w:rPr>
            </w:pPr>
            <w:r w:rsidRPr="00136B7D">
              <w:rPr>
                <w:rFonts w:eastAsia="Calibri" w:cs="Arial"/>
                <w:b w:val="0"/>
                <w:bCs w:val="0"/>
              </w:rPr>
              <w:t>Exercised during the period</w:t>
            </w:r>
          </w:p>
        </w:tc>
        <w:tc>
          <w:tcPr>
            <w:tcW w:w="2355" w:type="dxa"/>
          </w:tcPr>
          <w:p w14:paraId="579757E6" w14:textId="468EAACF" w:rsidR="00EB64A3" w:rsidRPr="000E61A5" w:rsidRDefault="00E56723" w:rsidP="00EB64A3">
            <w:pPr>
              <w:tabs>
                <w:tab w:val="decimal" w:pos="1172"/>
                <w:tab w:val="left" w:pos="1590"/>
              </w:tabs>
              <w:ind w:right="115"/>
              <w:jc w:val="right"/>
              <w:cnfStyle w:val="000000000000" w:firstRow="0" w:lastRow="0" w:firstColumn="0" w:lastColumn="0" w:oddVBand="0" w:evenVBand="0" w:oddHBand="0" w:evenHBand="0" w:firstRowFirstColumn="0" w:firstRowLastColumn="0" w:lastRowFirstColumn="0" w:lastRowLastColumn="0"/>
              <w:rPr>
                <w:rFonts w:eastAsia="Calibri" w:cs="Times New Roman"/>
                <w:b/>
              </w:rPr>
            </w:pPr>
            <w:r>
              <w:rPr>
                <w:rFonts w:eastAsia="Calibri" w:cs="Times New Roman"/>
                <w:b/>
              </w:rPr>
              <w:t>(2,471,002)</w:t>
            </w:r>
          </w:p>
        </w:tc>
        <w:tc>
          <w:tcPr>
            <w:tcW w:w="1614" w:type="dxa"/>
          </w:tcPr>
          <w:p w14:paraId="6413FF80" w14:textId="0979171E" w:rsidR="00EB64A3" w:rsidRPr="00EB64A3" w:rsidRDefault="00EB64A3" w:rsidP="00EB64A3">
            <w:pPr>
              <w:tabs>
                <w:tab w:val="decimal" w:pos="1024"/>
              </w:tabs>
              <w:ind w:right="29"/>
              <w:jc w:val="righ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B64A3">
              <w:rPr>
                <w:rFonts w:eastAsia="Calibri" w:cs="Times New Roman"/>
              </w:rPr>
              <w:t>(1,820,872)</w:t>
            </w:r>
          </w:p>
        </w:tc>
      </w:tr>
      <w:tr w:rsidR="00EB64A3" w:rsidRPr="004E2008" w14:paraId="0658ECBD" w14:textId="77777777" w:rsidTr="7821F417">
        <w:trPr>
          <w:trHeight w:val="300"/>
        </w:trPr>
        <w:tc>
          <w:tcPr>
            <w:cnfStyle w:val="001000000000" w:firstRow="0" w:lastRow="0" w:firstColumn="1" w:lastColumn="0" w:oddVBand="0" w:evenVBand="0" w:oddHBand="0" w:evenHBand="0" w:firstRowFirstColumn="0" w:firstRowLastColumn="0" w:lastRowFirstColumn="0" w:lastRowLastColumn="0"/>
            <w:tcW w:w="5079" w:type="dxa"/>
          </w:tcPr>
          <w:p w14:paraId="1368E16B" w14:textId="77777777" w:rsidR="00EB64A3" w:rsidRPr="004E2008" w:rsidRDefault="00EB64A3" w:rsidP="00EB64A3">
            <w:pPr>
              <w:ind w:right="135"/>
              <w:rPr>
                <w:rFonts w:eastAsia="Calibri" w:cs="Arial"/>
              </w:rPr>
            </w:pPr>
          </w:p>
        </w:tc>
        <w:tc>
          <w:tcPr>
            <w:tcW w:w="2355" w:type="dxa"/>
          </w:tcPr>
          <w:p w14:paraId="399C94C5" w14:textId="77777777" w:rsidR="00EB64A3" w:rsidRPr="00AE498E" w:rsidRDefault="00EB64A3" w:rsidP="00EB64A3">
            <w:pPr>
              <w:tabs>
                <w:tab w:val="decimal" w:pos="1172"/>
                <w:tab w:val="left" w:pos="1590"/>
              </w:tabs>
              <w:ind w:right="115"/>
              <w:jc w:val="right"/>
              <w:cnfStyle w:val="000000000000" w:firstRow="0" w:lastRow="0" w:firstColumn="0" w:lastColumn="0" w:oddVBand="0" w:evenVBand="0" w:oddHBand="0" w:evenHBand="0" w:firstRowFirstColumn="0" w:firstRowLastColumn="0" w:lastRowFirstColumn="0" w:lastRowLastColumn="0"/>
              <w:rPr>
                <w:rFonts w:eastAsia="Calibri" w:cs="Arial"/>
                <w:u w:val="single"/>
              </w:rPr>
            </w:pPr>
            <w:r w:rsidRPr="7821F417">
              <w:rPr>
                <w:rFonts w:eastAsia="Calibri" w:cs="Times New Roman"/>
                <w:u w:val="single"/>
              </w:rPr>
              <w:t>                  </w:t>
            </w:r>
          </w:p>
        </w:tc>
        <w:tc>
          <w:tcPr>
            <w:tcW w:w="1614" w:type="dxa"/>
          </w:tcPr>
          <w:p w14:paraId="47042DAC" w14:textId="7A5C09FF" w:rsidR="00EB64A3" w:rsidRPr="00EB64A3" w:rsidRDefault="00EB64A3" w:rsidP="00EB64A3">
            <w:pPr>
              <w:tabs>
                <w:tab w:val="decimal" w:pos="1024"/>
              </w:tabs>
              <w:ind w:right="29"/>
              <w:jc w:val="right"/>
              <w:cnfStyle w:val="000000000000" w:firstRow="0" w:lastRow="0" w:firstColumn="0" w:lastColumn="0" w:oddVBand="0" w:evenVBand="0" w:oddHBand="0" w:evenHBand="0" w:firstRowFirstColumn="0" w:firstRowLastColumn="0" w:lastRowFirstColumn="0" w:lastRowLastColumn="0"/>
              <w:rPr>
                <w:rFonts w:eastAsia="Calibri" w:cs="Times New Roman"/>
                <w:u w:val="single"/>
              </w:rPr>
            </w:pPr>
            <w:r w:rsidRPr="00EB64A3">
              <w:rPr>
                <w:rFonts w:eastAsia="Calibri" w:cs="Times New Roman"/>
                <w:u w:val="single"/>
              </w:rPr>
              <w:t>                  </w:t>
            </w:r>
          </w:p>
        </w:tc>
      </w:tr>
      <w:tr w:rsidR="00EB64A3" w:rsidRPr="004E2008" w14:paraId="0663C323" w14:textId="77777777" w:rsidTr="006A196D">
        <w:trPr>
          <w:trHeight w:val="80"/>
        </w:trPr>
        <w:tc>
          <w:tcPr>
            <w:cnfStyle w:val="001000000000" w:firstRow="0" w:lastRow="0" w:firstColumn="1" w:lastColumn="0" w:oddVBand="0" w:evenVBand="0" w:oddHBand="0" w:evenHBand="0" w:firstRowFirstColumn="0" w:firstRowLastColumn="0" w:lastRowFirstColumn="0" w:lastRowLastColumn="0"/>
            <w:tcW w:w="5079" w:type="dxa"/>
          </w:tcPr>
          <w:p w14:paraId="477A1869" w14:textId="77777777" w:rsidR="00EB64A3" w:rsidRPr="004E2008" w:rsidRDefault="00EB64A3" w:rsidP="00EB64A3">
            <w:pPr>
              <w:ind w:right="135"/>
              <w:rPr>
                <w:rFonts w:eastAsia="Calibri" w:cs="Arial"/>
              </w:rPr>
            </w:pPr>
            <w:r w:rsidRPr="00DE1466">
              <w:rPr>
                <w:rFonts w:eastAsia="Calibri" w:cs="Arial"/>
              </w:rPr>
              <w:t xml:space="preserve">LTIP options in issue </w:t>
            </w:r>
            <w:proofErr w:type="gramStart"/>
            <w:r w:rsidRPr="00DE1466">
              <w:rPr>
                <w:rFonts w:eastAsia="Calibri" w:cs="Arial"/>
              </w:rPr>
              <w:t>at</w:t>
            </w:r>
            <w:proofErr w:type="gramEnd"/>
            <w:r w:rsidRPr="00DE1466">
              <w:rPr>
                <w:rFonts w:eastAsia="Calibri" w:cs="Arial"/>
              </w:rPr>
              <w:t xml:space="preserve"> 30 June</w:t>
            </w:r>
          </w:p>
        </w:tc>
        <w:tc>
          <w:tcPr>
            <w:tcW w:w="2355" w:type="dxa"/>
          </w:tcPr>
          <w:p w14:paraId="5D9AEA77" w14:textId="1A404EA7" w:rsidR="00EB64A3" w:rsidRPr="004E2008" w:rsidRDefault="00E02054" w:rsidP="00EB64A3">
            <w:pPr>
              <w:tabs>
                <w:tab w:val="decimal" w:pos="1172"/>
                <w:tab w:val="left" w:pos="1590"/>
              </w:tabs>
              <w:ind w:right="115"/>
              <w:jc w:val="right"/>
              <w:cnfStyle w:val="000000000000" w:firstRow="0" w:lastRow="0" w:firstColumn="0" w:lastColumn="0" w:oddVBand="0" w:evenVBand="0" w:oddHBand="0" w:evenHBand="0" w:firstRowFirstColumn="0" w:firstRowLastColumn="0" w:lastRowFirstColumn="0" w:lastRowLastColumn="0"/>
              <w:rPr>
                <w:rFonts w:eastAsia="Calibri" w:cs="Arial"/>
                <w:b/>
                <w:bCs/>
              </w:rPr>
            </w:pPr>
            <w:r>
              <w:rPr>
                <w:rFonts w:eastAsia="Calibri" w:cs="Arial"/>
                <w:b/>
                <w:bCs/>
              </w:rPr>
              <w:t>17,039,640</w:t>
            </w:r>
          </w:p>
        </w:tc>
        <w:tc>
          <w:tcPr>
            <w:tcW w:w="1614" w:type="dxa"/>
          </w:tcPr>
          <w:p w14:paraId="7B97B766" w14:textId="508611F1" w:rsidR="00EB64A3" w:rsidRPr="00EB64A3" w:rsidRDefault="00EB64A3" w:rsidP="00EB64A3">
            <w:pPr>
              <w:tabs>
                <w:tab w:val="decimal" w:pos="794"/>
                <w:tab w:val="left" w:pos="2015"/>
              </w:tabs>
              <w:jc w:val="right"/>
              <w:cnfStyle w:val="000000000000" w:firstRow="0" w:lastRow="0" w:firstColumn="0" w:lastColumn="0" w:oddVBand="0" w:evenVBand="0" w:oddHBand="0" w:evenHBand="0" w:firstRowFirstColumn="0" w:firstRowLastColumn="0" w:lastRowFirstColumn="0" w:lastRowLastColumn="0"/>
              <w:rPr>
                <w:rFonts w:eastAsia="Calibri" w:cs="Arial"/>
              </w:rPr>
            </w:pPr>
            <w:r w:rsidRPr="00EB64A3">
              <w:rPr>
                <w:rFonts w:eastAsia="Calibri" w:cs="Arial"/>
              </w:rPr>
              <w:t>16,224,548</w:t>
            </w:r>
          </w:p>
        </w:tc>
      </w:tr>
      <w:tr w:rsidR="00EB64A3" w:rsidRPr="004E2008" w14:paraId="7191780B" w14:textId="77777777" w:rsidTr="7821F417">
        <w:trPr>
          <w:trHeight w:val="390"/>
        </w:trPr>
        <w:tc>
          <w:tcPr>
            <w:cnfStyle w:val="001000000000" w:firstRow="0" w:lastRow="0" w:firstColumn="1" w:lastColumn="0" w:oddVBand="0" w:evenVBand="0" w:oddHBand="0" w:evenHBand="0" w:firstRowFirstColumn="0" w:firstRowLastColumn="0" w:lastRowFirstColumn="0" w:lastRowLastColumn="0"/>
            <w:tcW w:w="5079" w:type="dxa"/>
          </w:tcPr>
          <w:p w14:paraId="3C41CB97" w14:textId="77777777" w:rsidR="00EB64A3" w:rsidRPr="004E2008" w:rsidRDefault="00EB64A3" w:rsidP="00EB64A3">
            <w:pPr>
              <w:ind w:right="135"/>
              <w:rPr>
                <w:rFonts w:eastAsia="Calibri" w:cs="Arial"/>
              </w:rPr>
            </w:pPr>
          </w:p>
        </w:tc>
        <w:tc>
          <w:tcPr>
            <w:tcW w:w="2355" w:type="dxa"/>
          </w:tcPr>
          <w:p w14:paraId="432C2A56" w14:textId="77777777" w:rsidR="00EB64A3" w:rsidRPr="004E2008" w:rsidRDefault="00EB64A3" w:rsidP="00EB64A3">
            <w:pPr>
              <w:tabs>
                <w:tab w:val="decimal" w:pos="1172"/>
                <w:tab w:val="left" w:pos="1590"/>
              </w:tabs>
              <w:ind w:right="115"/>
              <w:jc w:val="right"/>
              <w:cnfStyle w:val="000000000000" w:firstRow="0" w:lastRow="0" w:firstColumn="0" w:lastColumn="0" w:oddVBand="0" w:evenVBand="0" w:oddHBand="0" w:evenHBand="0" w:firstRowFirstColumn="0" w:firstRowLastColumn="0" w:lastRowFirstColumn="0" w:lastRowLastColumn="0"/>
              <w:rPr>
                <w:rFonts w:eastAsia="Calibri" w:cs="Arial"/>
                <w:u w:val="double"/>
              </w:rPr>
            </w:pPr>
            <w:r w:rsidRPr="7821F417">
              <w:rPr>
                <w:rFonts w:eastAsia="Calibri" w:cs="Times New Roman"/>
                <w:u w:val="double"/>
              </w:rPr>
              <w:t>                  </w:t>
            </w:r>
          </w:p>
        </w:tc>
        <w:tc>
          <w:tcPr>
            <w:tcW w:w="1614" w:type="dxa"/>
          </w:tcPr>
          <w:p w14:paraId="1060EDDA" w14:textId="236E415B" w:rsidR="00EB64A3" w:rsidRPr="00EB64A3" w:rsidRDefault="00EB64A3" w:rsidP="00EB64A3">
            <w:pPr>
              <w:tabs>
                <w:tab w:val="decimal" w:pos="1024"/>
              </w:tabs>
              <w:ind w:right="29"/>
              <w:jc w:val="right"/>
              <w:cnfStyle w:val="000000000000" w:firstRow="0" w:lastRow="0" w:firstColumn="0" w:lastColumn="0" w:oddVBand="0" w:evenVBand="0" w:oddHBand="0" w:evenHBand="0" w:firstRowFirstColumn="0" w:firstRowLastColumn="0" w:lastRowFirstColumn="0" w:lastRowLastColumn="0"/>
              <w:rPr>
                <w:rFonts w:eastAsia="Calibri" w:cs="Times New Roman"/>
                <w:u w:val="double"/>
              </w:rPr>
            </w:pPr>
            <w:r w:rsidRPr="00EB64A3">
              <w:rPr>
                <w:rFonts w:eastAsia="Calibri" w:cs="Times New Roman"/>
                <w:u w:val="double"/>
              </w:rPr>
              <w:t>                  </w:t>
            </w:r>
          </w:p>
        </w:tc>
      </w:tr>
      <w:tr w:rsidR="00EB64A3" w:rsidRPr="004E2008" w14:paraId="7CCFEE52" w14:textId="77777777" w:rsidTr="7821F417">
        <w:trPr>
          <w:trHeight w:val="390"/>
        </w:trPr>
        <w:tc>
          <w:tcPr>
            <w:cnfStyle w:val="001000000000" w:firstRow="0" w:lastRow="0" w:firstColumn="1" w:lastColumn="0" w:oddVBand="0" w:evenVBand="0" w:oddHBand="0" w:evenHBand="0" w:firstRowFirstColumn="0" w:firstRowLastColumn="0" w:lastRowFirstColumn="0" w:lastRowLastColumn="0"/>
            <w:tcW w:w="5079" w:type="dxa"/>
          </w:tcPr>
          <w:p w14:paraId="3F7960AF" w14:textId="34AA79DB" w:rsidR="00EB64A3" w:rsidRPr="004E2008" w:rsidRDefault="00EB64A3" w:rsidP="00EB64A3">
            <w:pPr>
              <w:ind w:right="135"/>
              <w:rPr>
                <w:rFonts w:eastAsia="Calibri" w:cs="Arial"/>
              </w:rPr>
            </w:pPr>
            <w:r w:rsidRPr="00C82D3F">
              <w:rPr>
                <w:rFonts w:eastAsia="Calibri" w:cs="Arial"/>
              </w:rPr>
              <w:t xml:space="preserve">Exercisable </w:t>
            </w:r>
            <w:proofErr w:type="gramStart"/>
            <w:r w:rsidRPr="00C82D3F">
              <w:rPr>
                <w:rFonts w:eastAsia="Calibri" w:cs="Arial"/>
              </w:rPr>
              <w:t>at</w:t>
            </w:r>
            <w:proofErr w:type="gramEnd"/>
            <w:r w:rsidRPr="00C82D3F">
              <w:rPr>
                <w:rFonts w:eastAsia="Calibri" w:cs="Arial"/>
              </w:rPr>
              <w:t xml:space="preserve"> 30 June</w:t>
            </w:r>
          </w:p>
        </w:tc>
        <w:tc>
          <w:tcPr>
            <w:tcW w:w="2355" w:type="dxa"/>
          </w:tcPr>
          <w:p w14:paraId="2E7EE0C2" w14:textId="64755B6E" w:rsidR="00EB64A3" w:rsidRPr="0084578C" w:rsidRDefault="00C82D3F" w:rsidP="00EB64A3">
            <w:pPr>
              <w:tabs>
                <w:tab w:val="decimal" w:pos="1172"/>
                <w:tab w:val="left" w:pos="1590"/>
              </w:tabs>
              <w:ind w:right="115"/>
              <w:jc w:val="right"/>
              <w:cnfStyle w:val="000000000000" w:firstRow="0" w:lastRow="0" w:firstColumn="0" w:lastColumn="0" w:oddVBand="0" w:evenVBand="0" w:oddHBand="0" w:evenHBand="0" w:firstRowFirstColumn="0" w:firstRowLastColumn="0" w:lastRowFirstColumn="0" w:lastRowLastColumn="0"/>
              <w:rPr>
                <w:rFonts w:eastAsia="Calibri" w:cs="Times New Roman"/>
                <w:b/>
                <w:bCs/>
              </w:rPr>
            </w:pPr>
            <w:r>
              <w:rPr>
                <w:rFonts w:eastAsia="Calibri" w:cs="Times New Roman"/>
                <w:b/>
                <w:bCs/>
              </w:rPr>
              <w:t>763,145</w:t>
            </w:r>
          </w:p>
        </w:tc>
        <w:tc>
          <w:tcPr>
            <w:tcW w:w="1614" w:type="dxa"/>
          </w:tcPr>
          <w:p w14:paraId="54813B62" w14:textId="159CA292" w:rsidR="00EB64A3" w:rsidRPr="00EB64A3" w:rsidRDefault="00EB64A3" w:rsidP="00EB64A3">
            <w:pPr>
              <w:tabs>
                <w:tab w:val="decimal" w:pos="1024"/>
              </w:tabs>
              <w:ind w:right="29"/>
              <w:jc w:val="righ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B64A3">
              <w:rPr>
                <w:rFonts w:eastAsia="Calibri" w:cs="Times New Roman"/>
              </w:rPr>
              <w:t>319,393</w:t>
            </w:r>
          </w:p>
        </w:tc>
      </w:tr>
    </w:tbl>
    <w:p w14:paraId="2E306465" w14:textId="3AF9029E" w:rsidR="00A555D2" w:rsidRDefault="00A555D2" w:rsidP="00AF6183">
      <w:pPr>
        <w:jc w:val="both"/>
        <w:rPr>
          <w:rFonts w:eastAsia="Calibri" w:cs="Times New Roman"/>
        </w:rPr>
      </w:pPr>
    </w:p>
    <w:p w14:paraId="73F9AEBE" w14:textId="370B8920" w:rsidR="002A5E24" w:rsidRPr="00970F22" w:rsidRDefault="00453AEB" w:rsidP="002D4561">
      <w:pPr>
        <w:ind w:left="448"/>
        <w:rPr>
          <w:rFonts w:eastAsia="Calibri" w:cs="Times New Roman"/>
          <w:i/>
          <w:iCs/>
        </w:rPr>
      </w:pPr>
      <w:r w:rsidRPr="00C82D3F">
        <w:rPr>
          <w:rFonts w:eastAsia="Calibri" w:cs="Times New Roman"/>
        </w:rPr>
        <w:t xml:space="preserve">The options outstanding </w:t>
      </w:r>
      <w:proofErr w:type="gramStart"/>
      <w:r w:rsidRPr="00C82D3F">
        <w:rPr>
          <w:rFonts w:eastAsia="Calibri" w:cs="Times New Roman"/>
        </w:rPr>
        <w:t>at</w:t>
      </w:r>
      <w:proofErr w:type="gramEnd"/>
      <w:r w:rsidRPr="00C82D3F">
        <w:rPr>
          <w:rFonts w:eastAsia="Calibri" w:cs="Times New Roman"/>
        </w:rPr>
        <w:t xml:space="preserve"> 30 June 202</w:t>
      </w:r>
      <w:r w:rsidR="00C37C07" w:rsidRPr="00C82D3F">
        <w:rPr>
          <w:rFonts w:eastAsia="Calibri" w:cs="Times New Roman"/>
        </w:rPr>
        <w:t>5</w:t>
      </w:r>
      <w:r w:rsidRPr="00C82D3F">
        <w:rPr>
          <w:rFonts w:eastAsia="Calibri" w:cs="Times New Roman"/>
        </w:rPr>
        <w:t xml:space="preserve"> had an exercise price </w:t>
      </w:r>
      <w:r w:rsidR="00E354DA" w:rsidRPr="00C82D3F">
        <w:rPr>
          <w:rFonts w:eastAsia="Calibri" w:cs="Times New Roman"/>
        </w:rPr>
        <w:t>€0.001</w:t>
      </w:r>
      <w:r w:rsidR="00970F22" w:rsidRPr="00C82D3F">
        <w:rPr>
          <w:rFonts w:eastAsia="Calibri" w:cs="Times New Roman"/>
        </w:rPr>
        <w:t xml:space="preserve"> </w:t>
      </w:r>
      <w:r w:rsidR="00970F22" w:rsidRPr="00C82D3F">
        <w:rPr>
          <w:rFonts w:eastAsia="Calibri" w:cs="Times New Roman"/>
          <w:i/>
          <w:iCs/>
        </w:rPr>
        <w:t>(202</w:t>
      </w:r>
      <w:r w:rsidR="00C37C07" w:rsidRPr="00C82D3F">
        <w:rPr>
          <w:rFonts w:eastAsia="Calibri" w:cs="Times New Roman"/>
          <w:i/>
          <w:iCs/>
        </w:rPr>
        <w:t>4</w:t>
      </w:r>
      <w:r w:rsidR="00970F22" w:rsidRPr="00C82D3F">
        <w:rPr>
          <w:rFonts w:eastAsia="Calibri" w:cs="Times New Roman"/>
          <w:i/>
          <w:iCs/>
        </w:rPr>
        <w:t>: €0.001)</w:t>
      </w:r>
      <w:r w:rsidR="00970F22" w:rsidRPr="00C82D3F">
        <w:rPr>
          <w:rFonts w:eastAsia="Calibri" w:cs="Times New Roman"/>
        </w:rPr>
        <w:t xml:space="preserve"> and a </w:t>
      </w:r>
      <w:r w:rsidR="002C4836" w:rsidRPr="00C82D3F">
        <w:rPr>
          <w:rFonts w:eastAsia="Calibri" w:cs="Times New Roman"/>
        </w:rPr>
        <w:t xml:space="preserve">       </w:t>
      </w:r>
      <w:r w:rsidR="002D4561" w:rsidRPr="00C82D3F">
        <w:rPr>
          <w:rFonts w:eastAsia="Calibri" w:cs="Times New Roman"/>
        </w:rPr>
        <w:t xml:space="preserve"> </w:t>
      </w:r>
      <w:r w:rsidR="002C4836" w:rsidRPr="00C82D3F">
        <w:rPr>
          <w:rFonts w:eastAsia="Calibri" w:cs="Times New Roman"/>
        </w:rPr>
        <w:t>weighted-average contractual life of</w:t>
      </w:r>
      <w:r w:rsidR="008154C2" w:rsidRPr="00C82D3F">
        <w:rPr>
          <w:rFonts w:eastAsia="Calibri" w:cs="Times New Roman"/>
        </w:rPr>
        <w:t xml:space="preserve"> 7 </w:t>
      </w:r>
      <w:r w:rsidR="002C4836" w:rsidRPr="00C82D3F">
        <w:rPr>
          <w:rFonts w:eastAsia="Calibri" w:cs="Times New Roman"/>
        </w:rPr>
        <w:t xml:space="preserve">years </w:t>
      </w:r>
      <w:r w:rsidR="002C4836" w:rsidRPr="00C82D3F">
        <w:rPr>
          <w:rFonts w:eastAsia="Calibri" w:cs="Times New Roman"/>
          <w:i/>
          <w:iCs/>
        </w:rPr>
        <w:t>(202</w:t>
      </w:r>
      <w:r w:rsidR="00C37C07" w:rsidRPr="00C82D3F">
        <w:rPr>
          <w:rFonts w:eastAsia="Calibri" w:cs="Times New Roman"/>
          <w:i/>
          <w:iCs/>
        </w:rPr>
        <w:t>4</w:t>
      </w:r>
      <w:r w:rsidR="002C4836" w:rsidRPr="00C82D3F">
        <w:rPr>
          <w:rFonts w:eastAsia="Calibri" w:cs="Times New Roman"/>
          <w:i/>
          <w:iCs/>
        </w:rPr>
        <w:t>: 7 years)</w:t>
      </w:r>
      <w:r w:rsidR="00970F22" w:rsidRPr="00C82D3F">
        <w:rPr>
          <w:rFonts w:eastAsia="Calibri" w:cs="Times New Roman"/>
          <w:i/>
          <w:iCs/>
        </w:rPr>
        <w:t>.</w:t>
      </w:r>
    </w:p>
    <w:p w14:paraId="57C45401" w14:textId="77777777" w:rsidR="002A5E24" w:rsidRDefault="002A5E24" w:rsidP="008C3EE6">
      <w:pPr>
        <w:rPr>
          <w:rFonts w:eastAsia="Calibri" w:cs="Times New Roman"/>
        </w:rPr>
      </w:pPr>
    </w:p>
    <w:p w14:paraId="668547AE" w14:textId="590475A9" w:rsidR="00B32A92" w:rsidRPr="003C0FBE" w:rsidRDefault="00B32A92" w:rsidP="7821F417">
      <w:pPr>
        <w:pStyle w:val="H2Notes"/>
        <w:spacing w:line="220" w:lineRule="exact"/>
        <w:ind w:left="851" w:hanging="403"/>
        <w:rPr>
          <w:i w:val="0"/>
        </w:rPr>
      </w:pPr>
      <w:bookmarkStart w:id="11" w:name="_Hlk77804256"/>
      <w:r w:rsidRPr="7821F417">
        <w:rPr>
          <w:i w:val="0"/>
        </w:rPr>
        <w:t>(</w:t>
      </w:r>
      <w:r w:rsidR="00A77E2A" w:rsidRPr="7821F417">
        <w:rPr>
          <w:i w:val="0"/>
        </w:rPr>
        <w:t>b</w:t>
      </w:r>
      <w:r w:rsidRPr="7821F417">
        <w:rPr>
          <w:i w:val="0"/>
        </w:rPr>
        <w:t>)</w:t>
      </w:r>
      <w:r>
        <w:tab/>
      </w:r>
      <w:r w:rsidRPr="7821F417">
        <w:rPr>
          <w:i w:val="0"/>
        </w:rPr>
        <w:t>Measurement of fair values</w:t>
      </w:r>
    </w:p>
    <w:bookmarkEnd w:id="11"/>
    <w:p w14:paraId="221BD5B9" w14:textId="77777777" w:rsidR="00B32A92" w:rsidRPr="007277B7" w:rsidRDefault="00B32A92" w:rsidP="00B32A92">
      <w:pPr>
        <w:pStyle w:val="NotesBody"/>
        <w:spacing w:line="220" w:lineRule="exact"/>
      </w:pPr>
    </w:p>
    <w:p w14:paraId="42FF2C74" w14:textId="5A042024" w:rsidR="00E55098" w:rsidRDefault="004F27E8" w:rsidP="00116E31">
      <w:pPr>
        <w:pStyle w:val="NotesBody"/>
        <w:jc w:val="both"/>
      </w:pPr>
      <w:r>
        <w:t xml:space="preserve">The EPS </w:t>
      </w:r>
      <w:r w:rsidR="004D5A16">
        <w:t xml:space="preserve">and ROE </w:t>
      </w:r>
      <w:r>
        <w:t>related performance condition</w:t>
      </w:r>
      <w:r w:rsidR="00DA7E3F">
        <w:t>s</w:t>
      </w:r>
      <w:r>
        <w:t xml:space="preserve"> </w:t>
      </w:r>
      <w:r w:rsidR="00DA7E3F">
        <w:t>are</w:t>
      </w:r>
      <w:r w:rsidR="001C619B">
        <w:t xml:space="preserve"> non-market condition</w:t>
      </w:r>
      <w:r w:rsidR="00870D9B">
        <w:t>s</w:t>
      </w:r>
      <w:r w:rsidR="001C619B">
        <w:t xml:space="preserve"> and do not impact </w:t>
      </w:r>
      <w:r w:rsidR="00C058C4">
        <w:t>the fair value of th</w:t>
      </w:r>
      <w:r w:rsidR="002552A2">
        <w:t xml:space="preserve">e EPS </w:t>
      </w:r>
      <w:r w:rsidR="00DA7E3F">
        <w:t xml:space="preserve">or ROE </w:t>
      </w:r>
      <w:r w:rsidR="005F5BF1">
        <w:t>based awards</w:t>
      </w:r>
      <w:r w:rsidR="00EE47EC">
        <w:t xml:space="preserve"> at grant date</w:t>
      </w:r>
      <w:r w:rsidR="007A3335">
        <w:t xml:space="preserve"> which is equivalent t</w:t>
      </w:r>
      <w:r w:rsidR="00DB06A5">
        <w:t xml:space="preserve">o the share price at grant date. </w:t>
      </w:r>
      <w:r w:rsidR="004215A1">
        <w:t xml:space="preserve">Awards granted have a </w:t>
      </w:r>
      <w:proofErr w:type="gramStart"/>
      <w:r w:rsidR="004215A1">
        <w:t>three year</w:t>
      </w:r>
      <w:proofErr w:type="gramEnd"/>
      <w:r w:rsidR="004215A1">
        <w:t xml:space="preserve"> vesting period. </w:t>
      </w:r>
      <w:r w:rsidR="00AE07E9" w:rsidRPr="00AE07E9">
        <w:t>The inputs used in measuring fair value at grant date were as follows:</w:t>
      </w:r>
    </w:p>
    <w:p w14:paraId="192302D3" w14:textId="285CE952" w:rsidR="006C1229" w:rsidRDefault="006C1229" w:rsidP="00897300">
      <w:pPr>
        <w:pStyle w:val="NotesBody"/>
        <w:ind w:left="0"/>
        <w:jc w:val="both"/>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385"/>
        <w:gridCol w:w="3402"/>
        <w:gridCol w:w="1395"/>
        <w:gridCol w:w="1395"/>
        <w:gridCol w:w="1383"/>
        <w:gridCol w:w="1395"/>
      </w:tblGrid>
      <w:tr w:rsidR="00CF7241" w:rsidRPr="00C82D3F" w14:paraId="5E362C61" w14:textId="77777777" w:rsidTr="7821F417">
        <w:trPr>
          <w:trHeight w:val="183"/>
        </w:trPr>
        <w:tc>
          <w:tcPr>
            <w:tcW w:w="385" w:type="dxa"/>
          </w:tcPr>
          <w:p w14:paraId="21FA2021" w14:textId="77777777" w:rsidR="00C751C5" w:rsidRPr="004E2008" w:rsidRDefault="00C751C5" w:rsidP="00FA45F9">
            <w:pPr>
              <w:spacing w:line="220" w:lineRule="exact"/>
              <w:rPr>
                <w:rFonts w:eastAsia="Calibri" w:cs="Times New Roman"/>
              </w:rPr>
            </w:pPr>
          </w:p>
        </w:tc>
        <w:tc>
          <w:tcPr>
            <w:tcW w:w="3402" w:type="dxa"/>
          </w:tcPr>
          <w:p w14:paraId="13AF6131" w14:textId="77777777" w:rsidR="00C751C5" w:rsidRPr="004E2008" w:rsidRDefault="00C751C5" w:rsidP="00FA45F9">
            <w:pPr>
              <w:spacing w:line="220" w:lineRule="exact"/>
              <w:rPr>
                <w:rFonts w:eastAsia="Calibri" w:cs="Times New Roman"/>
              </w:rPr>
            </w:pPr>
          </w:p>
        </w:tc>
        <w:tc>
          <w:tcPr>
            <w:tcW w:w="1395" w:type="dxa"/>
          </w:tcPr>
          <w:p w14:paraId="45298F69" w14:textId="2F0E8001" w:rsidR="00CF7241" w:rsidDel="006D4B53" w:rsidRDefault="00CF7241" w:rsidP="7821F417">
            <w:pPr>
              <w:spacing w:line="220" w:lineRule="exact"/>
              <w:ind w:right="-11"/>
              <w:jc w:val="right"/>
              <w:rPr>
                <w:rFonts w:eastAsia="Calibri" w:cs="Times New Roman"/>
                <w:b/>
                <w:bCs/>
              </w:rPr>
            </w:pPr>
          </w:p>
        </w:tc>
        <w:tc>
          <w:tcPr>
            <w:tcW w:w="1395" w:type="dxa"/>
          </w:tcPr>
          <w:p w14:paraId="4A30480D" w14:textId="0F8CFE8F" w:rsidR="00C751C5" w:rsidRDefault="00C751C5" w:rsidP="7821F417">
            <w:pPr>
              <w:spacing w:line="220" w:lineRule="exact"/>
              <w:ind w:right="-11"/>
              <w:jc w:val="right"/>
              <w:rPr>
                <w:rFonts w:eastAsia="Calibri" w:cs="Times New Roman"/>
                <w:b/>
                <w:bCs/>
              </w:rPr>
            </w:pPr>
          </w:p>
        </w:tc>
        <w:tc>
          <w:tcPr>
            <w:tcW w:w="1383" w:type="dxa"/>
          </w:tcPr>
          <w:p w14:paraId="3948FDDB" w14:textId="0F4F6B26" w:rsidR="00C751C5" w:rsidRPr="00C82D3F" w:rsidRDefault="00EA5806" w:rsidP="7821F417">
            <w:pPr>
              <w:spacing w:line="220" w:lineRule="exact"/>
              <w:ind w:right="-11"/>
              <w:jc w:val="right"/>
              <w:rPr>
                <w:rFonts w:eastAsia="Calibri" w:cs="Times New Roman"/>
                <w:b/>
                <w:bCs/>
              </w:rPr>
            </w:pPr>
            <w:r w:rsidRPr="00C82D3F">
              <w:rPr>
                <w:rFonts w:eastAsia="Calibri" w:cs="Times New Roman"/>
                <w:b/>
                <w:bCs/>
              </w:rPr>
              <w:t>202</w:t>
            </w:r>
            <w:r w:rsidR="00EC1BCF" w:rsidRPr="00C82D3F">
              <w:rPr>
                <w:rFonts w:eastAsia="Calibri" w:cs="Times New Roman"/>
                <w:b/>
                <w:bCs/>
              </w:rPr>
              <w:t>5</w:t>
            </w:r>
          </w:p>
        </w:tc>
        <w:tc>
          <w:tcPr>
            <w:tcW w:w="1395" w:type="dxa"/>
          </w:tcPr>
          <w:p w14:paraId="403F79F3" w14:textId="03AFA2BC" w:rsidR="00C751C5" w:rsidRPr="00C82D3F" w:rsidRDefault="00EA5806" w:rsidP="7821F417">
            <w:pPr>
              <w:spacing w:line="220" w:lineRule="exact"/>
              <w:ind w:right="43"/>
              <w:jc w:val="right"/>
              <w:rPr>
                <w:rFonts w:eastAsia="Calibri" w:cs="Times New Roman"/>
                <w:b/>
                <w:bCs/>
              </w:rPr>
            </w:pPr>
            <w:r w:rsidRPr="00C82D3F">
              <w:rPr>
                <w:rFonts w:eastAsia="Calibri" w:cs="Times New Roman"/>
                <w:b/>
                <w:bCs/>
              </w:rPr>
              <w:t>202</w:t>
            </w:r>
            <w:r w:rsidR="00EC1BCF" w:rsidRPr="00C82D3F">
              <w:rPr>
                <w:rFonts w:eastAsia="Calibri" w:cs="Times New Roman"/>
                <w:b/>
                <w:bCs/>
              </w:rPr>
              <w:t>4</w:t>
            </w:r>
          </w:p>
        </w:tc>
      </w:tr>
      <w:tr w:rsidR="00107295" w:rsidRPr="00F91E2A" w14:paraId="41951F54" w14:textId="77777777" w:rsidTr="7821F417">
        <w:trPr>
          <w:trHeight w:val="183"/>
        </w:trPr>
        <w:tc>
          <w:tcPr>
            <w:tcW w:w="385" w:type="dxa"/>
          </w:tcPr>
          <w:p w14:paraId="549A49F0" w14:textId="77777777" w:rsidR="00107295" w:rsidRPr="00AF6183" w:rsidRDefault="00107295" w:rsidP="00107295">
            <w:pPr>
              <w:spacing w:line="220" w:lineRule="exact"/>
              <w:ind w:right="-144"/>
              <w:rPr>
                <w:rFonts w:eastAsia="Calibri" w:cs="Times New Roman"/>
                <w:b/>
                <w:bCs/>
                <w:highlight w:val="yellow"/>
              </w:rPr>
            </w:pPr>
          </w:p>
        </w:tc>
        <w:tc>
          <w:tcPr>
            <w:tcW w:w="3402" w:type="dxa"/>
          </w:tcPr>
          <w:p w14:paraId="3E1366A9" w14:textId="57177C41" w:rsidR="00107295" w:rsidRPr="00F91E2A" w:rsidRDefault="00107295" w:rsidP="00015119">
            <w:pPr>
              <w:spacing w:line="220" w:lineRule="exact"/>
              <w:ind w:left="36" w:right="-144"/>
              <w:rPr>
                <w:rFonts w:eastAsia="Calibri" w:cs="Times New Roman"/>
                <w:b/>
                <w:bCs/>
              </w:rPr>
            </w:pPr>
            <w:r w:rsidRPr="00F91E2A">
              <w:rPr>
                <w:rFonts w:eastAsia="Calibri" w:cs="Times New Roman"/>
                <w:b/>
                <w:bCs/>
              </w:rPr>
              <w:t xml:space="preserve">Fair value at </w:t>
            </w:r>
            <w:r w:rsidR="00F91E2A" w:rsidRPr="00F91E2A">
              <w:rPr>
                <w:rFonts w:eastAsia="Calibri" w:cs="Times New Roman"/>
                <w:b/>
                <w:bCs/>
              </w:rPr>
              <w:t>reporting</w:t>
            </w:r>
            <w:r w:rsidRPr="00F91E2A">
              <w:rPr>
                <w:rFonts w:eastAsia="Calibri" w:cs="Times New Roman"/>
                <w:b/>
                <w:bCs/>
              </w:rPr>
              <w:t xml:space="preserve"> date</w:t>
            </w:r>
          </w:p>
        </w:tc>
        <w:tc>
          <w:tcPr>
            <w:tcW w:w="1395" w:type="dxa"/>
          </w:tcPr>
          <w:p w14:paraId="5E27914C" w14:textId="77777777" w:rsidR="00107295" w:rsidRPr="00F91E2A" w:rsidRDefault="00107295" w:rsidP="00107295">
            <w:pPr>
              <w:spacing w:line="220" w:lineRule="exact"/>
              <w:ind w:right="-11"/>
              <w:jc w:val="right"/>
              <w:rPr>
                <w:rFonts w:eastAsia="Calibri" w:cs="Times New Roman"/>
                <w:b/>
                <w:bCs/>
              </w:rPr>
            </w:pPr>
          </w:p>
        </w:tc>
        <w:tc>
          <w:tcPr>
            <w:tcW w:w="1395" w:type="dxa"/>
          </w:tcPr>
          <w:p w14:paraId="09563F82" w14:textId="5A5167D9" w:rsidR="00107295" w:rsidRPr="00F91E2A" w:rsidRDefault="00107295" w:rsidP="00107295">
            <w:pPr>
              <w:spacing w:line="220" w:lineRule="exact"/>
              <w:ind w:right="-11"/>
              <w:jc w:val="right"/>
              <w:rPr>
                <w:rFonts w:eastAsia="Calibri" w:cs="Times New Roman"/>
                <w:b/>
                <w:bCs/>
              </w:rPr>
            </w:pPr>
          </w:p>
        </w:tc>
        <w:tc>
          <w:tcPr>
            <w:tcW w:w="1383" w:type="dxa"/>
          </w:tcPr>
          <w:p w14:paraId="4CCF1719" w14:textId="5E1306D6" w:rsidR="00107295" w:rsidRPr="00F91E2A" w:rsidRDefault="006031BA" w:rsidP="00107295">
            <w:pPr>
              <w:spacing w:line="240" w:lineRule="exact"/>
              <w:ind w:right="-11"/>
              <w:jc w:val="right"/>
              <w:rPr>
                <w:rFonts w:eastAsia="Calibri" w:cs="Arial"/>
                <w:b/>
                <w:bCs/>
                <w:szCs w:val="20"/>
              </w:rPr>
            </w:pPr>
            <w:r w:rsidRPr="00F91E2A">
              <w:rPr>
                <w:rFonts w:eastAsia="Calibri" w:cs="Arial"/>
                <w:b/>
                <w:bCs/>
                <w:szCs w:val="20"/>
              </w:rPr>
              <w:t>€1.</w:t>
            </w:r>
            <w:r w:rsidR="008B5814" w:rsidRPr="00F91E2A">
              <w:rPr>
                <w:rFonts w:eastAsia="Calibri" w:cs="Arial"/>
                <w:b/>
                <w:bCs/>
                <w:szCs w:val="20"/>
              </w:rPr>
              <w:t>72</w:t>
            </w:r>
          </w:p>
        </w:tc>
        <w:tc>
          <w:tcPr>
            <w:tcW w:w="1395" w:type="dxa"/>
          </w:tcPr>
          <w:p w14:paraId="39865FD1" w14:textId="1C6F9F41" w:rsidR="00107295" w:rsidRPr="00F91E2A" w:rsidRDefault="00107295" w:rsidP="00107295">
            <w:pPr>
              <w:spacing w:line="220" w:lineRule="exact"/>
              <w:ind w:right="-11"/>
              <w:jc w:val="right"/>
              <w:rPr>
                <w:rFonts w:eastAsia="Calibri" w:cs="Times New Roman"/>
              </w:rPr>
            </w:pPr>
            <w:r w:rsidRPr="00F91E2A">
              <w:rPr>
                <w:rFonts w:eastAsia="Calibri" w:cs="Arial"/>
                <w:szCs w:val="20"/>
              </w:rPr>
              <w:t>€1.</w:t>
            </w:r>
            <w:r w:rsidR="00EC1BCF" w:rsidRPr="00F91E2A">
              <w:rPr>
                <w:rFonts w:eastAsia="Calibri" w:cs="Arial"/>
                <w:szCs w:val="20"/>
              </w:rPr>
              <w:t>30</w:t>
            </w:r>
          </w:p>
        </w:tc>
      </w:tr>
      <w:tr w:rsidR="00107295" w:rsidRPr="00F91E2A" w14:paraId="1D763BDB" w14:textId="77777777" w:rsidTr="7821F417">
        <w:trPr>
          <w:trHeight w:val="183"/>
        </w:trPr>
        <w:tc>
          <w:tcPr>
            <w:tcW w:w="385" w:type="dxa"/>
          </w:tcPr>
          <w:p w14:paraId="10DFC2B8" w14:textId="77777777" w:rsidR="00107295" w:rsidRPr="00AF6183" w:rsidRDefault="00107295" w:rsidP="00107295">
            <w:pPr>
              <w:spacing w:line="220" w:lineRule="exact"/>
              <w:ind w:right="-144"/>
              <w:rPr>
                <w:rFonts w:eastAsia="Calibri" w:cs="Times New Roman"/>
                <w:highlight w:val="yellow"/>
              </w:rPr>
            </w:pPr>
          </w:p>
        </w:tc>
        <w:tc>
          <w:tcPr>
            <w:tcW w:w="3402" w:type="dxa"/>
          </w:tcPr>
          <w:p w14:paraId="733DC137" w14:textId="4F8D0782" w:rsidR="00107295" w:rsidRPr="00F91E2A" w:rsidRDefault="00107295" w:rsidP="00015119">
            <w:pPr>
              <w:spacing w:line="220" w:lineRule="exact"/>
              <w:ind w:left="36" w:right="-144"/>
              <w:rPr>
                <w:rFonts w:eastAsia="Calibri" w:cs="Times New Roman"/>
              </w:rPr>
            </w:pPr>
            <w:r w:rsidRPr="00F91E2A">
              <w:rPr>
                <w:rFonts w:eastAsia="Calibri" w:cs="Times New Roman"/>
              </w:rPr>
              <w:t xml:space="preserve">Share price at </w:t>
            </w:r>
            <w:r w:rsidR="00F91E2A" w:rsidRPr="00F91E2A">
              <w:rPr>
                <w:rFonts w:eastAsia="Calibri" w:cs="Times New Roman"/>
              </w:rPr>
              <w:t>reporting</w:t>
            </w:r>
            <w:r w:rsidRPr="00F91E2A">
              <w:rPr>
                <w:rFonts w:eastAsia="Calibri" w:cs="Times New Roman"/>
              </w:rPr>
              <w:t xml:space="preserve"> date</w:t>
            </w:r>
          </w:p>
        </w:tc>
        <w:tc>
          <w:tcPr>
            <w:tcW w:w="1395" w:type="dxa"/>
          </w:tcPr>
          <w:p w14:paraId="6E4B6173" w14:textId="77777777" w:rsidR="00107295" w:rsidRPr="00F91E2A" w:rsidRDefault="00107295" w:rsidP="00107295">
            <w:pPr>
              <w:spacing w:line="220" w:lineRule="exact"/>
              <w:ind w:right="-11"/>
              <w:jc w:val="right"/>
              <w:rPr>
                <w:rFonts w:eastAsia="Calibri" w:cs="Times New Roman"/>
              </w:rPr>
            </w:pPr>
          </w:p>
        </w:tc>
        <w:tc>
          <w:tcPr>
            <w:tcW w:w="1395" w:type="dxa"/>
          </w:tcPr>
          <w:p w14:paraId="232A59E9" w14:textId="0009E699" w:rsidR="00107295" w:rsidRPr="00F91E2A" w:rsidRDefault="00107295" w:rsidP="00107295">
            <w:pPr>
              <w:spacing w:line="220" w:lineRule="exact"/>
              <w:ind w:right="-11"/>
              <w:jc w:val="right"/>
              <w:rPr>
                <w:rFonts w:eastAsia="Calibri" w:cs="Times New Roman"/>
              </w:rPr>
            </w:pPr>
          </w:p>
        </w:tc>
        <w:tc>
          <w:tcPr>
            <w:tcW w:w="1383" w:type="dxa"/>
          </w:tcPr>
          <w:p w14:paraId="2AC80E19" w14:textId="14D16792" w:rsidR="00107295" w:rsidRPr="00F91E2A" w:rsidRDefault="006031BA" w:rsidP="00107295">
            <w:pPr>
              <w:spacing w:line="220" w:lineRule="exact"/>
              <w:ind w:right="-11"/>
              <w:jc w:val="right"/>
              <w:rPr>
                <w:rFonts w:eastAsia="Calibri" w:cs="Times New Roman"/>
              </w:rPr>
            </w:pPr>
            <w:r w:rsidRPr="00F91E2A">
              <w:rPr>
                <w:rFonts w:eastAsia="Calibri" w:cs="Times New Roman"/>
              </w:rPr>
              <w:t>€1.</w:t>
            </w:r>
            <w:r w:rsidR="008B5814" w:rsidRPr="00F91E2A">
              <w:rPr>
                <w:rFonts w:eastAsia="Calibri" w:cs="Times New Roman"/>
              </w:rPr>
              <w:t>72</w:t>
            </w:r>
          </w:p>
        </w:tc>
        <w:tc>
          <w:tcPr>
            <w:tcW w:w="1395" w:type="dxa"/>
          </w:tcPr>
          <w:p w14:paraId="2A2B9C7F" w14:textId="7B8B06E2" w:rsidR="00107295" w:rsidRPr="00F91E2A" w:rsidRDefault="001F0D1F" w:rsidP="00107295">
            <w:pPr>
              <w:spacing w:line="220" w:lineRule="exact"/>
              <w:ind w:right="-11"/>
              <w:jc w:val="right"/>
              <w:rPr>
                <w:rFonts w:eastAsia="Calibri" w:cs="Times New Roman"/>
              </w:rPr>
            </w:pPr>
            <w:r w:rsidRPr="00F91E2A">
              <w:rPr>
                <w:rFonts w:eastAsia="Calibri" w:cs="Arial"/>
                <w:szCs w:val="20"/>
              </w:rPr>
              <w:t>€1.</w:t>
            </w:r>
            <w:r w:rsidR="00EC1BCF" w:rsidRPr="00F91E2A">
              <w:rPr>
                <w:rFonts w:eastAsia="Calibri" w:cs="Arial"/>
                <w:szCs w:val="20"/>
              </w:rPr>
              <w:t>30</w:t>
            </w:r>
          </w:p>
        </w:tc>
      </w:tr>
    </w:tbl>
    <w:p w14:paraId="304AC928" w14:textId="77777777" w:rsidR="00A04911" w:rsidRDefault="00A04911" w:rsidP="00FC4A5A">
      <w:pPr>
        <w:rPr>
          <w:rFonts w:eastAsia="Calibri" w:cs="Times New Roman"/>
        </w:rPr>
      </w:pPr>
    </w:p>
    <w:p w14:paraId="79F42251" w14:textId="7215EDC6" w:rsidR="008E04DE" w:rsidRDefault="006C1229" w:rsidP="008E04DE">
      <w:pPr>
        <w:ind w:left="426"/>
        <w:rPr>
          <w:rFonts w:eastAsia="Calibri" w:cs="Times New Roman"/>
        </w:rPr>
      </w:pPr>
      <w:r w:rsidRPr="7821F417">
        <w:rPr>
          <w:rFonts w:eastAsia="Calibri" w:cs="Times New Roman"/>
        </w:rPr>
        <w:t>The exercise price of all options granted under the LTIP to date is €0.001 and all options have a 7- year contractual life.</w:t>
      </w:r>
    </w:p>
    <w:p w14:paraId="15611687" w14:textId="77777777" w:rsidR="0038457C" w:rsidRPr="004E2008" w:rsidRDefault="0038457C" w:rsidP="006C1229">
      <w:pPr>
        <w:spacing w:line="220" w:lineRule="exact"/>
        <w:ind w:left="426"/>
        <w:rPr>
          <w:rFonts w:eastAsia="Calibri" w:cs="Times New Roman"/>
        </w:rPr>
      </w:pPr>
    </w:p>
    <w:p w14:paraId="1318FACA" w14:textId="2090B6C9" w:rsidR="006C1229" w:rsidRPr="004200A9" w:rsidRDefault="006C1229" w:rsidP="7821F417">
      <w:pPr>
        <w:pStyle w:val="H2Notes"/>
        <w:ind w:left="892" w:hanging="446"/>
        <w:rPr>
          <w:i w:val="0"/>
        </w:rPr>
      </w:pPr>
      <w:r w:rsidRPr="7821F417">
        <w:rPr>
          <w:i w:val="0"/>
        </w:rPr>
        <w:t>(</w:t>
      </w:r>
      <w:r w:rsidR="00A77E2A" w:rsidRPr="7821F417">
        <w:rPr>
          <w:i w:val="0"/>
        </w:rPr>
        <w:t>c</w:t>
      </w:r>
      <w:r w:rsidRPr="7821F417">
        <w:rPr>
          <w:i w:val="0"/>
        </w:rPr>
        <w:t>)</w:t>
      </w:r>
      <w:r>
        <w:tab/>
      </w:r>
      <w:r w:rsidRPr="7821F417">
        <w:rPr>
          <w:i w:val="0"/>
        </w:rPr>
        <w:t>Expense recognised in profit or loss</w:t>
      </w:r>
    </w:p>
    <w:p w14:paraId="4059D4D3" w14:textId="77777777" w:rsidR="006C1229" w:rsidRDefault="006C1229" w:rsidP="006C1229">
      <w:pPr>
        <w:pStyle w:val="NotesBody"/>
        <w:tabs>
          <w:tab w:val="left" w:pos="3119"/>
          <w:tab w:val="left" w:pos="8647"/>
        </w:tabs>
        <w:rPr>
          <w:rFonts w:eastAsia="Calibri" w:cs="Times New Roman"/>
        </w:rPr>
      </w:pPr>
    </w:p>
    <w:p w14:paraId="456D36EF" w14:textId="77154A4D" w:rsidR="0020070D" w:rsidRDefault="006C1229" w:rsidP="00F537F0">
      <w:pPr>
        <w:pStyle w:val="NotesBody"/>
        <w:tabs>
          <w:tab w:val="left" w:pos="3119"/>
          <w:tab w:val="left" w:pos="8647"/>
        </w:tabs>
        <w:rPr>
          <w:rFonts w:eastAsia="Calibri" w:cs="Times New Roman"/>
        </w:rPr>
      </w:pPr>
      <w:r w:rsidRPr="008B5814">
        <w:rPr>
          <w:rFonts w:eastAsia="Calibri" w:cs="Times New Roman"/>
        </w:rPr>
        <w:t>The Group recognised an expense of €</w:t>
      </w:r>
      <w:r w:rsidR="0061380D" w:rsidRPr="008B5814">
        <w:rPr>
          <w:rFonts w:eastAsia="Calibri" w:cs="Times New Roman"/>
        </w:rPr>
        <w:t>3.2</w:t>
      </w:r>
      <w:r w:rsidR="00791988" w:rsidRPr="008B5814">
        <w:rPr>
          <w:rFonts w:eastAsia="Calibri" w:cs="Times New Roman"/>
        </w:rPr>
        <w:t xml:space="preserve"> </w:t>
      </w:r>
      <w:r w:rsidRPr="008B5814">
        <w:rPr>
          <w:rFonts w:eastAsia="Calibri" w:cs="Times New Roman"/>
        </w:rPr>
        <w:t>million (</w:t>
      </w:r>
      <w:r w:rsidR="00222A66" w:rsidRPr="008B5814">
        <w:rPr>
          <w:rFonts w:eastAsia="Calibri" w:cs="Times New Roman"/>
          <w:i/>
          <w:iCs/>
        </w:rPr>
        <w:t>202</w:t>
      </w:r>
      <w:r w:rsidR="00C8642C" w:rsidRPr="008B5814">
        <w:rPr>
          <w:rFonts w:eastAsia="Calibri" w:cs="Times New Roman"/>
          <w:i/>
          <w:iCs/>
        </w:rPr>
        <w:t>4</w:t>
      </w:r>
      <w:r w:rsidRPr="008B5814">
        <w:rPr>
          <w:rFonts w:eastAsia="Calibri" w:cs="Times New Roman"/>
          <w:i/>
          <w:iCs/>
        </w:rPr>
        <w:t>: €</w:t>
      </w:r>
      <w:r w:rsidR="00EA5806" w:rsidRPr="008B5814">
        <w:rPr>
          <w:rFonts w:eastAsia="Calibri" w:cs="Times New Roman"/>
          <w:i/>
          <w:iCs/>
        </w:rPr>
        <w:t>1.</w:t>
      </w:r>
      <w:r w:rsidR="00C8642C" w:rsidRPr="008B5814">
        <w:rPr>
          <w:rFonts w:eastAsia="Calibri" w:cs="Times New Roman"/>
          <w:i/>
          <w:iCs/>
        </w:rPr>
        <w:t>5</w:t>
      </w:r>
      <w:r w:rsidR="00222A66" w:rsidRPr="008B5814">
        <w:rPr>
          <w:rFonts w:eastAsia="Calibri" w:cs="Times New Roman"/>
        </w:rPr>
        <w:t xml:space="preserve"> </w:t>
      </w:r>
      <w:r w:rsidRPr="008B5814">
        <w:rPr>
          <w:rFonts w:eastAsia="Calibri" w:cs="Times New Roman"/>
        </w:rPr>
        <w:t xml:space="preserve">million) in the </w:t>
      </w:r>
      <w:r w:rsidR="00A40338" w:rsidRPr="008B5814">
        <w:rPr>
          <w:rFonts w:eastAsia="Calibri" w:cs="Times New Roman"/>
        </w:rPr>
        <w:t xml:space="preserve">condensed </w:t>
      </w:r>
      <w:r w:rsidRPr="008B5814">
        <w:rPr>
          <w:rFonts w:eastAsia="Calibri" w:cs="Times New Roman"/>
        </w:rPr>
        <w:t>consolidated statement of profit or loss in respect of options granted under the LTIP and SAYE arrangements.</w:t>
      </w:r>
    </w:p>
    <w:p w14:paraId="13DC82EE" w14:textId="77777777" w:rsidR="00897300" w:rsidRDefault="00897300" w:rsidP="00F537F0">
      <w:pPr>
        <w:pStyle w:val="NotesBody"/>
        <w:tabs>
          <w:tab w:val="left" w:pos="3119"/>
          <w:tab w:val="left" w:pos="8647"/>
        </w:tabs>
        <w:rPr>
          <w:rFonts w:eastAsia="Calibri" w:cs="Times New Roman"/>
        </w:rPr>
      </w:pPr>
    </w:p>
    <w:p w14:paraId="11E7CB0A" w14:textId="77777777" w:rsidR="008E04DE" w:rsidRDefault="008E04DE" w:rsidP="00116E31">
      <w:pPr>
        <w:pStyle w:val="NotesBody"/>
        <w:tabs>
          <w:tab w:val="left" w:pos="3119"/>
          <w:tab w:val="left" w:pos="8647"/>
        </w:tabs>
        <w:ind w:left="0"/>
        <w:rPr>
          <w:lang w:val="en-GB"/>
        </w:rPr>
      </w:pPr>
    </w:p>
    <w:p w14:paraId="6B3219C1" w14:textId="77777777" w:rsidR="00C8023A" w:rsidRDefault="00C8023A" w:rsidP="00116E31">
      <w:pPr>
        <w:pStyle w:val="NotesBody"/>
        <w:tabs>
          <w:tab w:val="left" w:pos="3119"/>
          <w:tab w:val="left" w:pos="8647"/>
        </w:tabs>
        <w:ind w:left="0"/>
        <w:rPr>
          <w:lang w:val="en-GB"/>
        </w:rPr>
      </w:pPr>
    </w:p>
    <w:p w14:paraId="56B4C29A" w14:textId="77777777" w:rsidR="00AF6183" w:rsidRDefault="00AF6183" w:rsidP="00116E31">
      <w:pPr>
        <w:pStyle w:val="NotesBody"/>
        <w:tabs>
          <w:tab w:val="left" w:pos="3119"/>
          <w:tab w:val="left" w:pos="8647"/>
        </w:tabs>
        <w:ind w:left="0"/>
        <w:rPr>
          <w:lang w:val="en-GB"/>
        </w:rPr>
      </w:pPr>
    </w:p>
    <w:p w14:paraId="153E1125" w14:textId="77777777" w:rsidR="00AF6183" w:rsidRDefault="00AF6183" w:rsidP="00116E31">
      <w:pPr>
        <w:pStyle w:val="NotesBody"/>
        <w:tabs>
          <w:tab w:val="left" w:pos="3119"/>
          <w:tab w:val="left" w:pos="8647"/>
        </w:tabs>
        <w:ind w:left="0"/>
        <w:rPr>
          <w:lang w:val="en-GB"/>
        </w:rPr>
      </w:pPr>
    </w:p>
    <w:p w14:paraId="59073D1B" w14:textId="77777777" w:rsidR="00AF6183" w:rsidRDefault="00AF6183" w:rsidP="00116E31">
      <w:pPr>
        <w:pStyle w:val="NotesBody"/>
        <w:tabs>
          <w:tab w:val="left" w:pos="3119"/>
          <w:tab w:val="left" w:pos="8647"/>
        </w:tabs>
        <w:ind w:left="0"/>
        <w:rPr>
          <w:lang w:val="en-GB"/>
        </w:rPr>
      </w:pPr>
    </w:p>
    <w:p w14:paraId="35DBF282" w14:textId="77777777" w:rsidR="00AF6183" w:rsidRDefault="00AF6183" w:rsidP="00116E31">
      <w:pPr>
        <w:pStyle w:val="NotesBody"/>
        <w:tabs>
          <w:tab w:val="left" w:pos="3119"/>
          <w:tab w:val="left" w:pos="8647"/>
        </w:tabs>
        <w:ind w:left="0"/>
        <w:rPr>
          <w:lang w:val="en-GB"/>
        </w:rPr>
      </w:pPr>
    </w:p>
    <w:p w14:paraId="7CAD3680" w14:textId="77777777" w:rsidR="00AF6183" w:rsidRDefault="00AF6183" w:rsidP="00116E31">
      <w:pPr>
        <w:pStyle w:val="NotesBody"/>
        <w:tabs>
          <w:tab w:val="left" w:pos="3119"/>
          <w:tab w:val="left" w:pos="8647"/>
        </w:tabs>
        <w:ind w:left="0"/>
        <w:rPr>
          <w:lang w:val="en-GB"/>
        </w:rPr>
      </w:pPr>
    </w:p>
    <w:p w14:paraId="480ECF3A" w14:textId="77777777" w:rsidR="00AF6183" w:rsidRDefault="00AF6183" w:rsidP="00116E31">
      <w:pPr>
        <w:pStyle w:val="NotesBody"/>
        <w:tabs>
          <w:tab w:val="left" w:pos="3119"/>
          <w:tab w:val="left" w:pos="8647"/>
        </w:tabs>
        <w:ind w:left="0"/>
        <w:rPr>
          <w:lang w:val="en-GB"/>
        </w:rPr>
      </w:pPr>
    </w:p>
    <w:p w14:paraId="1AA72627" w14:textId="77777777" w:rsidR="00AF6183" w:rsidRDefault="00AF6183" w:rsidP="00116E31">
      <w:pPr>
        <w:pStyle w:val="NotesBody"/>
        <w:tabs>
          <w:tab w:val="left" w:pos="3119"/>
          <w:tab w:val="left" w:pos="8647"/>
        </w:tabs>
        <w:ind w:left="0"/>
        <w:rPr>
          <w:lang w:val="en-GB"/>
        </w:rPr>
      </w:pPr>
    </w:p>
    <w:p w14:paraId="606459E3" w14:textId="77777777" w:rsidR="00AF6183" w:rsidRDefault="00AF6183" w:rsidP="00116E31">
      <w:pPr>
        <w:pStyle w:val="NotesBody"/>
        <w:tabs>
          <w:tab w:val="left" w:pos="3119"/>
          <w:tab w:val="left" w:pos="8647"/>
        </w:tabs>
        <w:ind w:left="0"/>
        <w:rPr>
          <w:lang w:val="en-GB"/>
        </w:rPr>
      </w:pPr>
    </w:p>
    <w:p w14:paraId="1DE22E5E" w14:textId="77777777" w:rsidR="00AF6183" w:rsidRDefault="00AF6183" w:rsidP="00116E31">
      <w:pPr>
        <w:pStyle w:val="NotesBody"/>
        <w:tabs>
          <w:tab w:val="left" w:pos="3119"/>
          <w:tab w:val="left" w:pos="8647"/>
        </w:tabs>
        <w:ind w:left="0"/>
        <w:rPr>
          <w:lang w:val="en-GB"/>
        </w:rPr>
      </w:pPr>
    </w:p>
    <w:p w14:paraId="3732B5E5" w14:textId="77777777" w:rsidR="00AF6183" w:rsidRDefault="00AF6183" w:rsidP="00116E31">
      <w:pPr>
        <w:pStyle w:val="NotesBody"/>
        <w:tabs>
          <w:tab w:val="left" w:pos="3119"/>
          <w:tab w:val="left" w:pos="8647"/>
        </w:tabs>
        <w:ind w:left="0"/>
        <w:rPr>
          <w:lang w:val="en-GB"/>
        </w:rPr>
      </w:pPr>
    </w:p>
    <w:p w14:paraId="4B6B92F1" w14:textId="77777777" w:rsidR="00AF6183" w:rsidRDefault="00AF6183" w:rsidP="00116E31">
      <w:pPr>
        <w:pStyle w:val="NotesBody"/>
        <w:tabs>
          <w:tab w:val="left" w:pos="3119"/>
          <w:tab w:val="left" w:pos="8647"/>
        </w:tabs>
        <w:ind w:left="0"/>
        <w:rPr>
          <w:lang w:val="en-GB"/>
        </w:rPr>
      </w:pPr>
    </w:p>
    <w:p w14:paraId="52339AF6" w14:textId="77777777" w:rsidR="00AF6183" w:rsidRDefault="00AF6183" w:rsidP="00116E31">
      <w:pPr>
        <w:pStyle w:val="NotesBody"/>
        <w:tabs>
          <w:tab w:val="left" w:pos="3119"/>
          <w:tab w:val="left" w:pos="8647"/>
        </w:tabs>
        <w:ind w:left="0"/>
        <w:rPr>
          <w:lang w:val="en-GB"/>
        </w:rPr>
      </w:pPr>
    </w:p>
    <w:p w14:paraId="6A60FB6F" w14:textId="77777777" w:rsidR="00AF6183" w:rsidRDefault="00AF6183" w:rsidP="00116E31">
      <w:pPr>
        <w:pStyle w:val="NotesBody"/>
        <w:tabs>
          <w:tab w:val="left" w:pos="3119"/>
          <w:tab w:val="left" w:pos="8647"/>
        </w:tabs>
        <w:ind w:left="0"/>
        <w:rPr>
          <w:lang w:val="en-GB"/>
        </w:rPr>
      </w:pPr>
    </w:p>
    <w:p w14:paraId="3F98B763" w14:textId="77777777" w:rsidR="00AF6183" w:rsidRDefault="00AF6183" w:rsidP="00116E31">
      <w:pPr>
        <w:pStyle w:val="NotesBody"/>
        <w:tabs>
          <w:tab w:val="left" w:pos="3119"/>
          <w:tab w:val="left" w:pos="8647"/>
        </w:tabs>
        <w:ind w:left="0"/>
        <w:rPr>
          <w:lang w:val="en-GB"/>
        </w:rPr>
      </w:pPr>
    </w:p>
    <w:p w14:paraId="47876EE3" w14:textId="77777777" w:rsidR="00AF6183" w:rsidRDefault="00AF6183" w:rsidP="00116E31">
      <w:pPr>
        <w:pStyle w:val="NotesBody"/>
        <w:tabs>
          <w:tab w:val="left" w:pos="3119"/>
          <w:tab w:val="left" w:pos="8647"/>
        </w:tabs>
        <w:ind w:left="0"/>
        <w:rPr>
          <w:lang w:val="en-GB"/>
        </w:rPr>
      </w:pPr>
    </w:p>
    <w:p w14:paraId="45D2961C" w14:textId="77777777" w:rsidR="00C8023A" w:rsidRDefault="00C8023A" w:rsidP="00116E31">
      <w:pPr>
        <w:pStyle w:val="NotesBody"/>
        <w:tabs>
          <w:tab w:val="left" w:pos="3119"/>
          <w:tab w:val="left" w:pos="8647"/>
        </w:tabs>
        <w:ind w:left="0"/>
        <w:rPr>
          <w:lang w:val="en-GB"/>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447"/>
        <w:gridCol w:w="5649"/>
        <w:gridCol w:w="1984"/>
        <w:gridCol w:w="1559"/>
      </w:tblGrid>
      <w:tr w:rsidR="005D74AF" w:rsidRPr="007A4A08" w14:paraId="66F4FB14" w14:textId="2A39571D" w:rsidTr="136D1507">
        <w:tc>
          <w:tcPr>
            <w:tcW w:w="447" w:type="dxa"/>
          </w:tcPr>
          <w:p w14:paraId="09C9FB79" w14:textId="4FBAE729" w:rsidR="005D74AF" w:rsidRPr="007A4A08" w:rsidRDefault="4B9647AE" w:rsidP="7821F417">
            <w:pPr>
              <w:jc w:val="both"/>
              <w:rPr>
                <w:rFonts w:cs="Arial"/>
                <w:lang w:eastAsia="en-IE"/>
              </w:rPr>
            </w:pPr>
            <w:r w:rsidRPr="7821F417">
              <w:rPr>
                <w:rFonts w:cs="Arial"/>
                <w:b/>
                <w:bCs/>
              </w:rPr>
              <w:t>1</w:t>
            </w:r>
            <w:r w:rsidR="317AF19A" w:rsidRPr="7821F417">
              <w:rPr>
                <w:rFonts w:cs="Arial"/>
                <w:b/>
                <w:bCs/>
              </w:rPr>
              <w:t>0</w:t>
            </w:r>
          </w:p>
        </w:tc>
        <w:tc>
          <w:tcPr>
            <w:tcW w:w="5649" w:type="dxa"/>
          </w:tcPr>
          <w:p w14:paraId="24C0F3F3" w14:textId="30B4BD2A" w:rsidR="005D74AF" w:rsidRPr="007A4A08" w:rsidRDefault="4B9647AE" w:rsidP="7821F417">
            <w:pPr>
              <w:jc w:val="both"/>
              <w:rPr>
                <w:rFonts w:cs="Arial"/>
                <w:b/>
                <w:bCs/>
              </w:rPr>
            </w:pPr>
            <w:r w:rsidRPr="7821F417">
              <w:rPr>
                <w:rFonts w:cs="Arial"/>
                <w:b/>
                <w:bCs/>
              </w:rPr>
              <w:t>Income tax</w:t>
            </w:r>
          </w:p>
        </w:tc>
        <w:tc>
          <w:tcPr>
            <w:tcW w:w="3543" w:type="dxa"/>
            <w:gridSpan w:val="2"/>
          </w:tcPr>
          <w:p w14:paraId="3D0FBC02" w14:textId="18AD1F0E" w:rsidR="005D74AF" w:rsidRDefault="005D74AF" w:rsidP="7821F417">
            <w:pPr>
              <w:tabs>
                <w:tab w:val="decimal" w:pos="1557"/>
              </w:tabs>
              <w:ind w:right="-144"/>
              <w:jc w:val="center"/>
              <w:rPr>
                <w:rFonts w:cs="Arial"/>
                <w:b/>
                <w:bCs/>
              </w:rPr>
            </w:pPr>
          </w:p>
        </w:tc>
      </w:tr>
      <w:tr w:rsidR="00E33E74" w:rsidRPr="007A4A08" w14:paraId="65C6D7E7" w14:textId="77777777" w:rsidTr="136D1507">
        <w:tc>
          <w:tcPr>
            <w:tcW w:w="447" w:type="dxa"/>
          </w:tcPr>
          <w:p w14:paraId="2BCCA714" w14:textId="77777777" w:rsidR="00E33E74" w:rsidRPr="007A4A08" w:rsidRDefault="00E33E74" w:rsidP="7821F417">
            <w:pPr>
              <w:ind w:right="-144"/>
              <w:jc w:val="both"/>
              <w:rPr>
                <w:rFonts w:cs="Arial"/>
                <w:b/>
                <w:bCs/>
              </w:rPr>
            </w:pPr>
          </w:p>
        </w:tc>
        <w:tc>
          <w:tcPr>
            <w:tcW w:w="5649" w:type="dxa"/>
          </w:tcPr>
          <w:p w14:paraId="65327E1C" w14:textId="77777777" w:rsidR="00E33E74" w:rsidRPr="007A4A08" w:rsidRDefault="00E33E74" w:rsidP="7821F417">
            <w:pPr>
              <w:ind w:right="-144"/>
              <w:jc w:val="both"/>
              <w:rPr>
                <w:rFonts w:cs="Arial"/>
                <w:b/>
                <w:bCs/>
              </w:rPr>
            </w:pPr>
          </w:p>
        </w:tc>
        <w:tc>
          <w:tcPr>
            <w:tcW w:w="1984" w:type="dxa"/>
          </w:tcPr>
          <w:p w14:paraId="5D1CDBD3" w14:textId="4EBD4A6B" w:rsidR="00E33E74" w:rsidRDefault="2314B97A" w:rsidP="7821F417">
            <w:pPr>
              <w:tabs>
                <w:tab w:val="decimal" w:pos="1647"/>
              </w:tabs>
              <w:jc w:val="both"/>
              <w:rPr>
                <w:rFonts w:cs="Arial"/>
                <w:b/>
                <w:bCs/>
              </w:rPr>
            </w:pPr>
            <w:r w:rsidRPr="7821F417">
              <w:rPr>
                <w:rFonts w:cs="Arial"/>
                <w:b/>
                <w:bCs/>
              </w:rPr>
              <w:t>30 June</w:t>
            </w:r>
          </w:p>
        </w:tc>
        <w:tc>
          <w:tcPr>
            <w:tcW w:w="1559" w:type="dxa"/>
          </w:tcPr>
          <w:p w14:paraId="372A1DD2" w14:textId="465F44F9" w:rsidR="00E33E74" w:rsidRDefault="2314B97A" w:rsidP="7821F417">
            <w:pPr>
              <w:tabs>
                <w:tab w:val="decimal" w:pos="1155"/>
              </w:tabs>
              <w:jc w:val="both"/>
              <w:rPr>
                <w:rFonts w:cs="Arial"/>
                <w:b/>
                <w:bCs/>
              </w:rPr>
            </w:pPr>
            <w:r w:rsidRPr="7821F417">
              <w:rPr>
                <w:rFonts w:cs="Arial"/>
                <w:b/>
                <w:bCs/>
              </w:rPr>
              <w:t>30 June</w:t>
            </w:r>
          </w:p>
        </w:tc>
      </w:tr>
      <w:tr w:rsidR="007A4210" w:rsidRPr="007A4A08" w14:paraId="5D411DB7" w14:textId="77777777" w:rsidTr="136D1507">
        <w:tc>
          <w:tcPr>
            <w:tcW w:w="447" w:type="dxa"/>
          </w:tcPr>
          <w:p w14:paraId="59DBC124" w14:textId="77777777" w:rsidR="007A4210" w:rsidRPr="007A4A08" w:rsidRDefault="007A4210" w:rsidP="7821F417">
            <w:pPr>
              <w:ind w:right="-144"/>
              <w:jc w:val="both"/>
              <w:rPr>
                <w:rFonts w:cs="Arial"/>
                <w:b/>
                <w:bCs/>
              </w:rPr>
            </w:pPr>
          </w:p>
        </w:tc>
        <w:tc>
          <w:tcPr>
            <w:tcW w:w="5649" w:type="dxa"/>
          </w:tcPr>
          <w:p w14:paraId="5E8D72FE" w14:textId="77777777" w:rsidR="007A4210" w:rsidRPr="007A4A08" w:rsidRDefault="007A4210" w:rsidP="7821F417">
            <w:pPr>
              <w:ind w:right="-144"/>
              <w:jc w:val="both"/>
              <w:rPr>
                <w:rFonts w:cs="Arial"/>
                <w:b/>
                <w:bCs/>
              </w:rPr>
            </w:pPr>
          </w:p>
        </w:tc>
        <w:tc>
          <w:tcPr>
            <w:tcW w:w="1984" w:type="dxa"/>
          </w:tcPr>
          <w:p w14:paraId="73817035" w14:textId="0579AD16" w:rsidR="007A4210" w:rsidRPr="007A4A08" w:rsidRDefault="4C3D04D9" w:rsidP="7821F417">
            <w:pPr>
              <w:tabs>
                <w:tab w:val="decimal" w:pos="1875"/>
              </w:tabs>
              <w:ind w:right="-118"/>
              <w:jc w:val="both"/>
              <w:rPr>
                <w:rFonts w:cs="Arial"/>
                <w:b/>
                <w:bCs/>
              </w:rPr>
            </w:pPr>
            <w:r w:rsidRPr="7821F417">
              <w:rPr>
                <w:rFonts w:cs="Arial"/>
                <w:b/>
                <w:bCs/>
              </w:rPr>
              <w:t>202</w:t>
            </w:r>
            <w:r w:rsidR="00C8642C">
              <w:rPr>
                <w:rFonts w:cs="Arial"/>
                <w:b/>
                <w:bCs/>
              </w:rPr>
              <w:t>5</w:t>
            </w:r>
          </w:p>
        </w:tc>
        <w:tc>
          <w:tcPr>
            <w:tcW w:w="1559" w:type="dxa"/>
          </w:tcPr>
          <w:p w14:paraId="47BA9DB6" w14:textId="7DBB71BD" w:rsidR="007A4210" w:rsidRPr="007A4A08" w:rsidRDefault="00155A42" w:rsidP="7821F417">
            <w:pPr>
              <w:tabs>
                <w:tab w:val="decimal" w:pos="1699"/>
              </w:tabs>
              <w:jc w:val="both"/>
              <w:rPr>
                <w:rFonts w:cs="Arial"/>
                <w:b/>
                <w:bCs/>
              </w:rPr>
            </w:pPr>
            <w:r>
              <w:rPr>
                <w:rFonts w:cs="Arial"/>
                <w:b/>
                <w:bCs/>
              </w:rPr>
              <w:t>202</w:t>
            </w:r>
            <w:r w:rsidR="00C8642C">
              <w:rPr>
                <w:rFonts w:cs="Arial"/>
                <w:b/>
                <w:bCs/>
              </w:rPr>
              <w:t>4</w:t>
            </w:r>
          </w:p>
        </w:tc>
      </w:tr>
      <w:tr w:rsidR="00695059" w:rsidRPr="007A4A08" w14:paraId="121C851C" w14:textId="6163006D" w:rsidTr="136D1507">
        <w:tc>
          <w:tcPr>
            <w:tcW w:w="447" w:type="dxa"/>
          </w:tcPr>
          <w:p w14:paraId="5F511D28" w14:textId="77777777" w:rsidR="00695059" w:rsidRPr="007A4A08" w:rsidRDefault="00695059" w:rsidP="7821F417">
            <w:pPr>
              <w:ind w:right="-144"/>
              <w:jc w:val="both"/>
              <w:rPr>
                <w:rFonts w:cs="Arial"/>
                <w:b/>
                <w:bCs/>
              </w:rPr>
            </w:pPr>
          </w:p>
        </w:tc>
        <w:tc>
          <w:tcPr>
            <w:tcW w:w="5649" w:type="dxa"/>
          </w:tcPr>
          <w:p w14:paraId="45D88124" w14:textId="77777777" w:rsidR="00695059" w:rsidRPr="007A4A08" w:rsidRDefault="00695059" w:rsidP="7821F417">
            <w:pPr>
              <w:ind w:right="-144"/>
              <w:jc w:val="both"/>
              <w:rPr>
                <w:rFonts w:cs="Arial"/>
                <w:b/>
                <w:bCs/>
              </w:rPr>
            </w:pPr>
          </w:p>
        </w:tc>
        <w:tc>
          <w:tcPr>
            <w:tcW w:w="1984" w:type="dxa"/>
          </w:tcPr>
          <w:p w14:paraId="1DDF145A" w14:textId="77777777" w:rsidR="00695059" w:rsidRPr="007A4A08" w:rsidRDefault="0B0E19A9" w:rsidP="7821F417">
            <w:pPr>
              <w:tabs>
                <w:tab w:val="decimal" w:pos="1875"/>
              </w:tabs>
              <w:ind w:right="-118"/>
              <w:jc w:val="both"/>
              <w:rPr>
                <w:rFonts w:cs="Arial"/>
                <w:b/>
                <w:bCs/>
              </w:rPr>
            </w:pPr>
            <w:r w:rsidRPr="7821F417">
              <w:rPr>
                <w:rFonts w:cs="Arial"/>
                <w:b/>
                <w:bCs/>
              </w:rPr>
              <w:t>€'000</w:t>
            </w:r>
          </w:p>
        </w:tc>
        <w:tc>
          <w:tcPr>
            <w:tcW w:w="1559" w:type="dxa"/>
          </w:tcPr>
          <w:p w14:paraId="336990BB" w14:textId="1DD050CB" w:rsidR="00695059" w:rsidRPr="007A4A08" w:rsidRDefault="0B0E19A9" w:rsidP="7821F417">
            <w:pPr>
              <w:tabs>
                <w:tab w:val="decimal" w:pos="1699"/>
              </w:tabs>
              <w:jc w:val="both"/>
              <w:rPr>
                <w:rFonts w:cs="Arial"/>
                <w:b/>
                <w:bCs/>
              </w:rPr>
            </w:pPr>
            <w:r w:rsidRPr="7821F417">
              <w:rPr>
                <w:rFonts w:cs="Arial"/>
                <w:b/>
                <w:bCs/>
              </w:rPr>
              <w:t>€'000</w:t>
            </w:r>
          </w:p>
        </w:tc>
      </w:tr>
      <w:tr w:rsidR="00695059" w:rsidRPr="007A4A08" w14:paraId="71CDDBF5" w14:textId="5B4980DF" w:rsidTr="136D1507">
        <w:tc>
          <w:tcPr>
            <w:tcW w:w="447" w:type="dxa"/>
          </w:tcPr>
          <w:p w14:paraId="6B2B306D" w14:textId="77777777" w:rsidR="00695059" w:rsidRPr="007A4A08" w:rsidRDefault="00695059" w:rsidP="7821F417">
            <w:pPr>
              <w:ind w:right="-144"/>
              <w:jc w:val="both"/>
              <w:rPr>
                <w:rFonts w:cs="Arial"/>
                <w:lang w:eastAsia="en-IE"/>
              </w:rPr>
            </w:pPr>
          </w:p>
        </w:tc>
        <w:tc>
          <w:tcPr>
            <w:tcW w:w="5649" w:type="dxa"/>
          </w:tcPr>
          <w:p w14:paraId="72EDBAB5" w14:textId="77777777" w:rsidR="00695059" w:rsidRPr="007A4A08" w:rsidRDefault="00695059" w:rsidP="7821F417">
            <w:pPr>
              <w:ind w:right="-144"/>
              <w:jc w:val="both"/>
              <w:rPr>
                <w:rFonts w:cs="Arial"/>
                <w:lang w:eastAsia="en-IE"/>
              </w:rPr>
            </w:pPr>
          </w:p>
        </w:tc>
        <w:tc>
          <w:tcPr>
            <w:tcW w:w="1984" w:type="dxa"/>
          </w:tcPr>
          <w:p w14:paraId="2520AE5D" w14:textId="77777777" w:rsidR="00695059" w:rsidRPr="007A4A08" w:rsidRDefault="00695059" w:rsidP="7821F417">
            <w:pPr>
              <w:tabs>
                <w:tab w:val="decimal" w:pos="1875"/>
              </w:tabs>
              <w:ind w:right="-144"/>
              <w:jc w:val="both"/>
              <w:rPr>
                <w:rFonts w:cs="Arial"/>
                <w:b/>
                <w:bCs/>
              </w:rPr>
            </w:pPr>
          </w:p>
        </w:tc>
        <w:tc>
          <w:tcPr>
            <w:tcW w:w="1559" w:type="dxa"/>
          </w:tcPr>
          <w:p w14:paraId="46BFD711" w14:textId="77777777" w:rsidR="00695059" w:rsidRPr="007A4A08" w:rsidRDefault="00695059" w:rsidP="7821F417">
            <w:pPr>
              <w:tabs>
                <w:tab w:val="decimal" w:pos="1647"/>
                <w:tab w:val="decimal" w:pos="1699"/>
              </w:tabs>
              <w:jc w:val="both"/>
              <w:rPr>
                <w:rFonts w:cs="Arial"/>
                <w:b/>
                <w:bCs/>
              </w:rPr>
            </w:pPr>
          </w:p>
        </w:tc>
      </w:tr>
      <w:tr w:rsidR="00C8642C" w:rsidRPr="007A4A08" w14:paraId="38D7CBF7" w14:textId="497D6E8A" w:rsidTr="136D1507">
        <w:tc>
          <w:tcPr>
            <w:tcW w:w="447" w:type="dxa"/>
          </w:tcPr>
          <w:p w14:paraId="017C2C5C" w14:textId="77777777" w:rsidR="00C8642C" w:rsidRPr="007A4A08" w:rsidRDefault="00C8642C" w:rsidP="00C8642C">
            <w:pPr>
              <w:ind w:right="-144"/>
              <w:jc w:val="both"/>
              <w:rPr>
                <w:rFonts w:cs="Arial"/>
                <w:lang w:eastAsia="en-IE"/>
              </w:rPr>
            </w:pPr>
          </w:p>
        </w:tc>
        <w:tc>
          <w:tcPr>
            <w:tcW w:w="5649" w:type="dxa"/>
          </w:tcPr>
          <w:p w14:paraId="13BE7DB2" w14:textId="318D8BA6" w:rsidR="00C8642C" w:rsidRPr="007A4A08" w:rsidRDefault="00C8642C" w:rsidP="00C8642C">
            <w:pPr>
              <w:ind w:right="-144"/>
              <w:jc w:val="both"/>
              <w:rPr>
                <w:rFonts w:cs="Arial"/>
                <w:lang w:eastAsia="en-IE"/>
              </w:rPr>
            </w:pPr>
            <w:r w:rsidRPr="7821F417">
              <w:rPr>
                <w:rFonts w:cs="Arial"/>
                <w:lang w:eastAsia="en-IE"/>
              </w:rPr>
              <w:t xml:space="preserve">Current tax charge for the period </w:t>
            </w:r>
          </w:p>
        </w:tc>
        <w:tc>
          <w:tcPr>
            <w:tcW w:w="1984" w:type="dxa"/>
          </w:tcPr>
          <w:p w14:paraId="0DE8D8F4" w14:textId="4D627E83" w:rsidR="00C8642C" w:rsidRPr="007A4A08" w:rsidRDefault="00BD2AF2" w:rsidP="00C8642C">
            <w:pPr>
              <w:tabs>
                <w:tab w:val="decimal" w:pos="1875"/>
              </w:tabs>
              <w:ind w:right="-118"/>
              <w:jc w:val="both"/>
              <w:rPr>
                <w:rFonts w:eastAsia="Calibri" w:cs="Arial"/>
                <w:b/>
                <w:bCs/>
              </w:rPr>
            </w:pPr>
            <w:r>
              <w:rPr>
                <w:rFonts w:eastAsia="Calibri" w:cs="Arial"/>
                <w:b/>
                <w:bCs/>
              </w:rPr>
              <w:t>4,19</w:t>
            </w:r>
            <w:r w:rsidR="00957525">
              <w:rPr>
                <w:rFonts w:eastAsia="Calibri" w:cs="Arial"/>
                <w:b/>
                <w:bCs/>
              </w:rPr>
              <w:t>8</w:t>
            </w:r>
          </w:p>
        </w:tc>
        <w:tc>
          <w:tcPr>
            <w:tcW w:w="1559" w:type="dxa"/>
          </w:tcPr>
          <w:p w14:paraId="52353054" w14:textId="025B08A5" w:rsidR="00C8642C" w:rsidRPr="00C8642C" w:rsidRDefault="00C8642C" w:rsidP="00C8642C">
            <w:pPr>
              <w:tabs>
                <w:tab w:val="decimal" w:pos="1699"/>
              </w:tabs>
              <w:jc w:val="both"/>
              <w:rPr>
                <w:rFonts w:cs="Arial"/>
              </w:rPr>
            </w:pPr>
            <w:r w:rsidRPr="00C8642C">
              <w:rPr>
                <w:rFonts w:eastAsia="Calibri" w:cs="Arial"/>
              </w:rPr>
              <w:t>392</w:t>
            </w:r>
          </w:p>
        </w:tc>
      </w:tr>
      <w:tr w:rsidR="00C8642C" w:rsidRPr="007A4A08" w14:paraId="7AA3AEC9" w14:textId="506C0782" w:rsidTr="136D1507">
        <w:tc>
          <w:tcPr>
            <w:tcW w:w="447" w:type="dxa"/>
          </w:tcPr>
          <w:p w14:paraId="49B89138" w14:textId="77777777" w:rsidR="00C8642C" w:rsidRPr="007A4A08" w:rsidRDefault="00C8642C" w:rsidP="00C8642C">
            <w:pPr>
              <w:ind w:right="-144"/>
              <w:jc w:val="both"/>
              <w:rPr>
                <w:rFonts w:cs="Arial"/>
                <w:lang w:eastAsia="en-IE"/>
              </w:rPr>
            </w:pPr>
          </w:p>
        </w:tc>
        <w:tc>
          <w:tcPr>
            <w:tcW w:w="5649" w:type="dxa"/>
          </w:tcPr>
          <w:p w14:paraId="48A7E244" w14:textId="5B063EF2" w:rsidR="00C8642C" w:rsidRPr="007A4A08" w:rsidRDefault="00C8642C" w:rsidP="00C8642C">
            <w:pPr>
              <w:ind w:right="-144"/>
              <w:jc w:val="both"/>
              <w:rPr>
                <w:rFonts w:cs="Arial"/>
                <w:lang w:eastAsia="en-IE"/>
              </w:rPr>
            </w:pPr>
            <w:r w:rsidRPr="7821F417">
              <w:rPr>
                <w:rFonts w:cs="Arial"/>
                <w:lang w:eastAsia="en-IE"/>
              </w:rPr>
              <w:t xml:space="preserve">Deferred tax </w:t>
            </w:r>
            <w:r>
              <w:rPr>
                <w:rFonts w:cs="Arial"/>
                <w:lang w:eastAsia="en-IE"/>
              </w:rPr>
              <w:t xml:space="preserve">credit </w:t>
            </w:r>
            <w:r w:rsidRPr="7821F417">
              <w:rPr>
                <w:rFonts w:cs="Arial"/>
                <w:lang w:eastAsia="en-IE"/>
              </w:rPr>
              <w:t>for the period</w:t>
            </w:r>
          </w:p>
        </w:tc>
        <w:tc>
          <w:tcPr>
            <w:tcW w:w="1984" w:type="dxa"/>
          </w:tcPr>
          <w:p w14:paraId="6BA02B22" w14:textId="531236F5" w:rsidR="00C8642C" w:rsidRPr="007A4A08" w:rsidRDefault="00BD2AF2" w:rsidP="00C8642C">
            <w:pPr>
              <w:tabs>
                <w:tab w:val="decimal" w:pos="1875"/>
              </w:tabs>
              <w:ind w:right="-118"/>
              <w:jc w:val="both"/>
              <w:rPr>
                <w:rFonts w:cs="Arial"/>
                <w:b/>
                <w:bCs/>
              </w:rPr>
            </w:pPr>
            <w:r>
              <w:rPr>
                <w:rFonts w:cs="Arial"/>
                <w:b/>
                <w:bCs/>
              </w:rPr>
              <w:t>(</w:t>
            </w:r>
            <w:r w:rsidR="004F6483">
              <w:rPr>
                <w:rFonts w:cs="Arial"/>
                <w:b/>
                <w:bCs/>
              </w:rPr>
              <w:t>8</w:t>
            </w:r>
            <w:r w:rsidR="00957525">
              <w:rPr>
                <w:rFonts w:cs="Arial"/>
                <w:b/>
                <w:bCs/>
              </w:rPr>
              <w:t>2</w:t>
            </w:r>
            <w:r w:rsidR="004F6483">
              <w:rPr>
                <w:rFonts w:cs="Arial"/>
                <w:b/>
                <w:bCs/>
              </w:rPr>
              <w:t>)</w:t>
            </w:r>
          </w:p>
        </w:tc>
        <w:tc>
          <w:tcPr>
            <w:tcW w:w="1559" w:type="dxa"/>
          </w:tcPr>
          <w:p w14:paraId="5B7285FC" w14:textId="0E4A2445" w:rsidR="00C8642C" w:rsidRPr="00C8642C" w:rsidRDefault="00C8642C" w:rsidP="00C8642C">
            <w:pPr>
              <w:tabs>
                <w:tab w:val="decimal" w:pos="1699"/>
              </w:tabs>
              <w:jc w:val="both"/>
              <w:rPr>
                <w:rFonts w:eastAsia="Calibri" w:cs="Arial"/>
                <w:szCs w:val="20"/>
              </w:rPr>
            </w:pPr>
            <w:r w:rsidRPr="00C8642C">
              <w:rPr>
                <w:rFonts w:cs="Arial"/>
              </w:rPr>
              <w:t>(73)</w:t>
            </w:r>
          </w:p>
        </w:tc>
      </w:tr>
      <w:tr w:rsidR="00C8642C" w:rsidRPr="007A4A08" w14:paraId="14F6C7A0" w14:textId="6151BEE1" w:rsidTr="136D1507">
        <w:tc>
          <w:tcPr>
            <w:tcW w:w="447" w:type="dxa"/>
          </w:tcPr>
          <w:p w14:paraId="74754389" w14:textId="77777777" w:rsidR="00C8642C" w:rsidRPr="007A4A08" w:rsidRDefault="00C8642C" w:rsidP="00C8642C">
            <w:pPr>
              <w:ind w:right="-144"/>
              <w:jc w:val="both"/>
              <w:rPr>
                <w:rFonts w:cs="Arial"/>
                <w:lang w:eastAsia="en-IE"/>
              </w:rPr>
            </w:pPr>
          </w:p>
        </w:tc>
        <w:tc>
          <w:tcPr>
            <w:tcW w:w="5649" w:type="dxa"/>
          </w:tcPr>
          <w:p w14:paraId="51ACDBF9" w14:textId="77777777" w:rsidR="00C8642C" w:rsidRPr="007A4A08" w:rsidRDefault="00C8642C" w:rsidP="00C8642C">
            <w:pPr>
              <w:ind w:right="-144"/>
              <w:jc w:val="both"/>
              <w:rPr>
                <w:rFonts w:cs="Arial"/>
                <w:lang w:eastAsia="en-IE"/>
              </w:rPr>
            </w:pPr>
          </w:p>
        </w:tc>
        <w:tc>
          <w:tcPr>
            <w:tcW w:w="1984" w:type="dxa"/>
          </w:tcPr>
          <w:p w14:paraId="6F7FCD60" w14:textId="77777777" w:rsidR="00C8642C" w:rsidRPr="007A4A08" w:rsidRDefault="00C8642C" w:rsidP="00C8642C">
            <w:pPr>
              <w:tabs>
                <w:tab w:val="decimal" w:pos="1875"/>
              </w:tabs>
              <w:ind w:right="-118"/>
              <w:jc w:val="both"/>
              <w:rPr>
                <w:rFonts w:cs="Arial"/>
                <w:b/>
                <w:bCs/>
                <w:u w:val="single"/>
              </w:rPr>
            </w:pPr>
            <w:r w:rsidRPr="7821F417">
              <w:rPr>
                <w:rFonts w:cs="Arial"/>
                <w:u w:val="single"/>
              </w:rPr>
              <w:t>                  </w:t>
            </w:r>
          </w:p>
        </w:tc>
        <w:tc>
          <w:tcPr>
            <w:tcW w:w="1559" w:type="dxa"/>
          </w:tcPr>
          <w:p w14:paraId="182C6C7F" w14:textId="303C3B5B" w:rsidR="00C8642C" w:rsidRPr="00C8642C" w:rsidRDefault="00C8642C" w:rsidP="00C8642C">
            <w:pPr>
              <w:tabs>
                <w:tab w:val="decimal" w:pos="1699"/>
              </w:tabs>
              <w:jc w:val="both"/>
              <w:rPr>
                <w:rFonts w:cs="Arial"/>
                <w:u w:val="single"/>
              </w:rPr>
            </w:pPr>
            <w:r w:rsidRPr="00C8642C">
              <w:rPr>
                <w:rFonts w:cs="Arial"/>
                <w:u w:val="single"/>
              </w:rPr>
              <w:t>                  </w:t>
            </w:r>
          </w:p>
        </w:tc>
      </w:tr>
      <w:tr w:rsidR="00C8642C" w:rsidRPr="007A4A08" w14:paraId="71FCFBB1" w14:textId="6DE7624F" w:rsidTr="136D1507">
        <w:tc>
          <w:tcPr>
            <w:tcW w:w="447" w:type="dxa"/>
          </w:tcPr>
          <w:p w14:paraId="5A550064" w14:textId="77777777" w:rsidR="00C8642C" w:rsidRPr="007A4A08" w:rsidRDefault="00C8642C" w:rsidP="00C8642C">
            <w:pPr>
              <w:ind w:right="-144"/>
              <w:jc w:val="both"/>
              <w:rPr>
                <w:rFonts w:cs="Arial"/>
                <w:lang w:eastAsia="en-IE"/>
              </w:rPr>
            </w:pPr>
          </w:p>
        </w:tc>
        <w:tc>
          <w:tcPr>
            <w:tcW w:w="5649" w:type="dxa"/>
          </w:tcPr>
          <w:p w14:paraId="09FCF02C" w14:textId="77777777" w:rsidR="00C8642C" w:rsidRPr="007A4A08" w:rsidRDefault="00C8642C" w:rsidP="00C8642C">
            <w:pPr>
              <w:ind w:right="-144"/>
              <w:jc w:val="both"/>
              <w:rPr>
                <w:rFonts w:cs="Arial"/>
                <w:lang w:eastAsia="en-IE"/>
              </w:rPr>
            </w:pPr>
          </w:p>
        </w:tc>
        <w:tc>
          <w:tcPr>
            <w:tcW w:w="1984" w:type="dxa"/>
          </w:tcPr>
          <w:p w14:paraId="4796746B" w14:textId="77777777" w:rsidR="00C8642C" w:rsidRPr="007A4A08" w:rsidRDefault="00C8642C" w:rsidP="00C8642C">
            <w:pPr>
              <w:tabs>
                <w:tab w:val="decimal" w:pos="1875"/>
              </w:tabs>
              <w:ind w:right="-144"/>
              <w:jc w:val="both"/>
              <w:rPr>
                <w:rFonts w:cs="Arial"/>
                <w:b/>
                <w:bCs/>
              </w:rPr>
            </w:pPr>
          </w:p>
        </w:tc>
        <w:tc>
          <w:tcPr>
            <w:tcW w:w="1559" w:type="dxa"/>
          </w:tcPr>
          <w:p w14:paraId="07014897" w14:textId="77777777" w:rsidR="00C8642C" w:rsidRPr="00C8642C" w:rsidRDefault="00C8642C" w:rsidP="00C8642C">
            <w:pPr>
              <w:tabs>
                <w:tab w:val="decimal" w:pos="1699"/>
              </w:tabs>
              <w:jc w:val="both"/>
              <w:rPr>
                <w:rFonts w:cs="Arial"/>
              </w:rPr>
            </w:pPr>
          </w:p>
        </w:tc>
      </w:tr>
      <w:tr w:rsidR="00C8642C" w:rsidRPr="007A4A08" w14:paraId="5F44C1EE" w14:textId="5B5BC991" w:rsidTr="136D1507">
        <w:tc>
          <w:tcPr>
            <w:tcW w:w="447" w:type="dxa"/>
          </w:tcPr>
          <w:p w14:paraId="1150B8CE" w14:textId="77777777" w:rsidR="00C8642C" w:rsidRPr="007A4A08" w:rsidRDefault="00C8642C" w:rsidP="00C8642C">
            <w:pPr>
              <w:ind w:right="-144"/>
              <w:jc w:val="both"/>
              <w:rPr>
                <w:rFonts w:cs="Arial"/>
                <w:lang w:eastAsia="en-IE"/>
              </w:rPr>
            </w:pPr>
          </w:p>
        </w:tc>
        <w:tc>
          <w:tcPr>
            <w:tcW w:w="5649" w:type="dxa"/>
          </w:tcPr>
          <w:p w14:paraId="60CE61EB" w14:textId="03F4F154" w:rsidR="00C8642C" w:rsidRPr="007A4A08" w:rsidRDefault="00C8642C" w:rsidP="00C8642C">
            <w:pPr>
              <w:ind w:right="-144"/>
              <w:jc w:val="both"/>
              <w:rPr>
                <w:rFonts w:cs="Arial"/>
                <w:b/>
                <w:bCs/>
                <w:lang w:eastAsia="en-IE"/>
              </w:rPr>
            </w:pPr>
            <w:r w:rsidRPr="7821F417">
              <w:rPr>
                <w:rFonts w:cs="Arial"/>
                <w:b/>
                <w:bCs/>
                <w:lang w:eastAsia="en-IE"/>
              </w:rPr>
              <w:t xml:space="preserve">Total income tax charge </w:t>
            </w:r>
          </w:p>
        </w:tc>
        <w:tc>
          <w:tcPr>
            <w:tcW w:w="1984" w:type="dxa"/>
          </w:tcPr>
          <w:p w14:paraId="688F5F37" w14:textId="269C04D2" w:rsidR="00C8642C" w:rsidRPr="007A4A08" w:rsidRDefault="00D36760" w:rsidP="00C8642C">
            <w:pPr>
              <w:tabs>
                <w:tab w:val="decimal" w:pos="1875"/>
              </w:tabs>
              <w:ind w:right="-118"/>
              <w:jc w:val="both"/>
              <w:rPr>
                <w:rFonts w:cs="Arial"/>
                <w:b/>
                <w:bCs/>
              </w:rPr>
            </w:pPr>
            <w:r>
              <w:rPr>
                <w:rFonts w:cs="Arial"/>
                <w:b/>
                <w:bCs/>
              </w:rPr>
              <w:t>4,11</w:t>
            </w:r>
            <w:r w:rsidR="00654E9A">
              <w:rPr>
                <w:rFonts w:cs="Arial"/>
                <w:b/>
                <w:bCs/>
              </w:rPr>
              <w:t>6</w:t>
            </w:r>
          </w:p>
        </w:tc>
        <w:tc>
          <w:tcPr>
            <w:tcW w:w="1559" w:type="dxa"/>
          </w:tcPr>
          <w:p w14:paraId="5E20AB1A" w14:textId="3E3226AD" w:rsidR="00C8642C" w:rsidRPr="00C8642C" w:rsidRDefault="00C8642C" w:rsidP="00C8642C">
            <w:pPr>
              <w:tabs>
                <w:tab w:val="decimal" w:pos="1699"/>
              </w:tabs>
              <w:jc w:val="both"/>
              <w:rPr>
                <w:rFonts w:eastAsia="Calibri" w:cs="Arial"/>
                <w:szCs w:val="20"/>
              </w:rPr>
            </w:pPr>
            <w:r w:rsidRPr="00C8642C">
              <w:rPr>
                <w:rFonts w:cs="Arial"/>
              </w:rPr>
              <w:t>319</w:t>
            </w:r>
          </w:p>
        </w:tc>
      </w:tr>
      <w:tr w:rsidR="00C8642C" w:rsidRPr="007A4A08" w14:paraId="78DB38A0" w14:textId="0DF8D04F" w:rsidTr="136D1507">
        <w:trPr>
          <w:trHeight w:val="294"/>
        </w:trPr>
        <w:tc>
          <w:tcPr>
            <w:tcW w:w="447" w:type="dxa"/>
          </w:tcPr>
          <w:p w14:paraId="6BD0B873" w14:textId="77777777" w:rsidR="00C8642C" w:rsidRPr="007A4A08" w:rsidRDefault="00C8642C" w:rsidP="00C8642C">
            <w:pPr>
              <w:ind w:right="-144"/>
              <w:jc w:val="both"/>
              <w:rPr>
                <w:rFonts w:cs="Arial"/>
                <w:lang w:eastAsia="en-IE"/>
              </w:rPr>
            </w:pPr>
          </w:p>
        </w:tc>
        <w:tc>
          <w:tcPr>
            <w:tcW w:w="5649" w:type="dxa"/>
          </w:tcPr>
          <w:p w14:paraId="414110AF" w14:textId="77777777" w:rsidR="00C8642C" w:rsidRPr="007A4A08" w:rsidRDefault="00C8642C" w:rsidP="00C8642C">
            <w:pPr>
              <w:ind w:right="-144"/>
              <w:jc w:val="both"/>
              <w:rPr>
                <w:rFonts w:cs="Arial"/>
                <w:lang w:eastAsia="en-IE"/>
              </w:rPr>
            </w:pPr>
          </w:p>
        </w:tc>
        <w:tc>
          <w:tcPr>
            <w:tcW w:w="1984" w:type="dxa"/>
          </w:tcPr>
          <w:p w14:paraId="7829DB9E" w14:textId="77777777" w:rsidR="00C8642C" w:rsidRPr="007A4A08" w:rsidRDefault="00C8642C" w:rsidP="00C8642C">
            <w:pPr>
              <w:tabs>
                <w:tab w:val="decimal" w:pos="1875"/>
              </w:tabs>
              <w:ind w:right="-118"/>
              <w:jc w:val="both"/>
              <w:rPr>
                <w:rFonts w:cs="Arial"/>
                <w:b/>
                <w:bCs/>
                <w:u w:val="double"/>
              </w:rPr>
            </w:pPr>
            <w:r w:rsidRPr="7821F417">
              <w:rPr>
                <w:rFonts w:cs="Arial"/>
                <w:u w:val="double"/>
              </w:rPr>
              <w:t>                  </w:t>
            </w:r>
          </w:p>
        </w:tc>
        <w:tc>
          <w:tcPr>
            <w:tcW w:w="1559" w:type="dxa"/>
          </w:tcPr>
          <w:p w14:paraId="0BAAF74F" w14:textId="6D544986" w:rsidR="00C8642C" w:rsidRPr="00C8642C" w:rsidRDefault="00C8642C" w:rsidP="00C8642C">
            <w:pPr>
              <w:tabs>
                <w:tab w:val="decimal" w:pos="1699"/>
              </w:tabs>
              <w:jc w:val="both"/>
              <w:rPr>
                <w:rFonts w:cs="Arial"/>
                <w:u w:val="double"/>
              </w:rPr>
            </w:pPr>
            <w:r w:rsidRPr="00C8642C">
              <w:rPr>
                <w:rFonts w:cs="Arial"/>
                <w:u w:val="double"/>
              </w:rPr>
              <w:t>                  </w:t>
            </w:r>
          </w:p>
        </w:tc>
      </w:tr>
      <w:tr w:rsidR="008D1A55" w:rsidRPr="007A4A08" w14:paraId="1ADEA56B" w14:textId="77777777" w:rsidTr="136D1507">
        <w:trPr>
          <w:trHeight w:val="344"/>
        </w:trPr>
        <w:tc>
          <w:tcPr>
            <w:tcW w:w="447" w:type="dxa"/>
          </w:tcPr>
          <w:p w14:paraId="570EA054" w14:textId="77777777" w:rsidR="008D1A55" w:rsidRPr="007A4A08" w:rsidRDefault="008D1A55" w:rsidP="7821F417">
            <w:pPr>
              <w:ind w:right="-144"/>
              <w:jc w:val="both"/>
              <w:rPr>
                <w:rFonts w:cs="Arial"/>
                <w:lang w:eastAsia="en-IE"/>
              </w:rPr>
            </w:pPr>
          </w:p>
        </w:tc>
        <w:tc>
          <w:tcPr>
            <w:tcW w:w="5649" w:type="dxa"/>
          </w:tcPr>
          <w:p w14:paraId="67299C31" w14:textId="77777777" w:rsidR="008D1A55" w:rsidRPr="007A4A08" w:rsidRDefault="008D1A55" w:rsidP="7821F417">
            <w:pPr>
              <w:ind w:right="-144"/>
              <w:jc w:val="both"/>
              <w:rPr>
                <w:rFonts w:cs="Arial"/>
                <w:u w:val="double"/>
                <w:lang w:eastAsia="en-IE"/>
              </w:rPr>
            </w:pPr>
          </w:p>
        </w:tc>
        <w:tc>
          <w:tcPr>
            <w:tcW w:w="1984" w:type="dxa"/>
          </w:tcPr>
          <w:p w14:paraId="4259F04C" w14:textId="1D5A1135" w:rsidR="008D1A55" w:rsidRPr="007A4A08" w:rsidRDefault="008D1A55" w:rsidP="7821F417">
            <w:pPr>
              <w:tabs>
                <w:tab w:val="decimal" w:pos="1875"/>
              </w:tabs>
              <w:ind w:right="-144"/>
              <w:jc w:val="both"/>
              <w:rPr>
                <w:rFonts w:cs="Arial"/>
                <w:b/>
                <w:bCs/>
                <w:u w:val="double"/>
              </w:rPr>
            </w:pPr>
          </w:p>
        </w:tc>
        <w:tc>
          <w:tcPr>
            <w:tcW w:w="1559" w:type="dxa"/>
          </w:tcPr>
          <w:p w14:paraId="0F646E0D" w14:textId="3067E8C8" w:rsidR="008D1A55" w:rsidRPr="009A16EF" w:rsidRDefault="008D1A55" w:rsidP="7821F417">
            <w:pPr>
              <w:tabs>
                <w:tab w:val="decimal" w:pos="1424"/>
              </w:tabs>
              <w:ind w:right="-144"/>
              <w:jc w:val="both"/>
              <w:rPr>
                <w:rFonts w:cs="Arial"/>
                <w:u w:val="double"/>
              </w:rPr>
            </w:pPr>
          </w:p>
        </w:tc>
      </w:tr>
    </w:tbl>
    <w:p w14:paraId="52FDBCD2" w14:textId="77777777" w:rsidR="00AA5E9A" w:rsidRDefault="00AA5E9A" w:rsidP="00CD63DA">
      <w:pPr>
        <w:pStyle w:val="NotesBody"/>
        <w:ind w:left="0"/>
        <w:jc w:val="both"/>
      </w:pPr>
    </w:p>
    <w:tbl>
      <w:tblPr>
        <w:tblStyle w:val="TableGrid"/>
        <w:tblpPr w:leftFromText="180" w:rightFromText="180" w:vertAnchor="text" w:horzAnchor="margin" w:tblpY="4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426"/>
        <w:gridCol w:w="3118"/>
        <w:gridCol w:w="1701"/>
        <w:gridCol w:w="1701"/>
        <w:gridCol w:w="1843"/>
        <w:gridCol w:w="1553"/>
        <w:gridCol w:w="6"/>
      </w:tblGrid>
      <w:tr w:rsidR="004A614B" w:rsidRPr="008F1B64" w14:paraId="5601C7D6" w14:textId="77777777" w:rsidTr="00BE3018">
        <w:trPr>
          <w:gridAfter w:val="1"/>
          <w:wAfter w:w="6" w:type="dxa"/>
          <w:trHeight w:val="228"/>
        </w:trPr>
        <w:tc>
          <w:tcPr>
            <w:tcW w:w="10342" w:type="dxa"/>
            <w:gridSpan w:val="6"/>
          </w:tcPr>
          <w:p w14:paraId="6BF5F696" w14:textId="7B059C2D" w:rsidR="004A614B" w:rsidRDefault="00AA24C2" w:rsidP="004A614B">
            <w:pPr>
              <w:tabs>
                <w:tab w:val="decimal" w:pos="1424"/>
              </w:tabs>
              <w:ind w:right="-144"/>
              <w:rPr>
                <w:rFonts w:cs="Arial"/>
                <w:b/>
                <w:bCs/>
                <w:lang w:eastAsia="en-IE"/>
              </w:rPr>
            </w:pPr>
            <w:r>
              <w:rPr>
                <w:b/>
                <w:bCs/>
              </w:rPr>
              <w:t xml:space="preserve"> </w:t>
            </w:r>
            <w:r w:rsidR="00F272EE">
              <w:rPr>
                <w:b/>
                <w:bCs/>
              </w:rPr>
              <w:t xml:space="preserve">      </w:t>
            </w:r>
            <w:r w:rsidR="004A614B" w:rsidRPr="7821F417">
              <w:rPr>
                <w:b/>
                <w:bCs/>
              </w:rPr>
              <w:t>Movement in deferred tax balances</w:t>
            </w:r>
          </w:p>
        </w:tc>
      </w:tr>
      <w:tr w:rsidR="004A614B" w:rsidRPr="008F1B64" w14:paraId="1998E8D5" w14:textId="77777777" w:rsidTr="00BE3018">
        <w:trPr>
          <w:trHeight w:val="190"/>
        </w:trPr>
        <w:tc>
          <w:tcPr>
            <w:tcW w:w="426" w:type="dxa"/>
          </w:tcPr>
          <w:p w14:paraId="652770B5" w14:textId="77777777" w:rsidR="004A614B" w:rsidRPr="008F1B64" w:rsidRDefault="004A614B" w:rsidP="00545A3E">
            <w:pPr>
              <w:ind w:right="-144"/>
              <w:jc w:val="both"/>
              <w:rPr>
                <w:rFonts w:cs="Arial"/>
                <w:lang w:eastAsia="en-IE"/>
              </w:rPr>
            </w:pPr>
          </w:p>
        </w:tc>
        <w:tc>
          <w:tcPr>
            <w:tcW w:w="3118" w:type="dxa"/>
          </w:tcPr>
          <w:p w14:paraId="351BB429" w14:textId="77777777" w:rsidR="004A614B" w:rsidRPr="008F1B64" w:rsidRDefault="004A614B" w:rsidP="00545A3E">
            <w:pPr>
              <w:ind w:right="-144"/>
              <w:jc w:val="both"/>
              <w:rPr>
                <w:rFonts w:cs="Arial"/>
                <w:lang w:eastAsia="en-IE"/>
              </w:rPr>
            </w:pPr>
          </w:p>
        </w:tc>
        <w:tc>
          <w:tcPr>
            <w:tcW w:w="1701" w:type="dxa"/>
          </w:tcPr>
          <w:p w14:paraId="1369C2CC" w14:textId="77777777" w:rsidR="00E778B4" w:rsidRDefault="00E778B4" w:rsidP="00F52C91">
            <w:pPr>
              <w:tabs>
                <w:tab w:val="decimal" w:pos="1424"/>
              </w:tabs>
              <w:ind w:right="43"/>
              <w:jc w:val="center"/>
              <w:rPr>
                <w:rFonts w:cs="Arial"/>
                <w:b/>
                <w:bCs/>
                <w:lang w:eastAsia="en-IE"/>
              </w:rPr>
            </w:pPr>
          </w:p>
          <w:p w14:paraId="4A427CA2" w14:textId="77777777" w:rsidR="00E44A37" w:rsidRDefault="00E44A37" w:rsidP="00F52C91">
            <w:pPr>
              <w:tabs>
                <w:tab w:val="decimal" w:pos="1424"/>
              </w:tabs>
              <w:ind w:right="43"/>
              <w:jc w:val="center"/>
              <w:rPr>
                <w:rFonts w:cs="Arial"/>
                <w:b/>
                <w:bCs/>
                <w:lang w:eastAsia="en-IE"/>
              </w:rPr>
            </w:pPr>
          </w:p>
          <w:p w14:paraId="02DB4BA9" w14:textId="065CD14E" w:rsidR="004A614B" w:rsidRPr="008F1B64" w:rsidRDefault="00F52C91" w:rsidP="00F52C91">
            <w:pPr>
              <w:tabs>
                <w:tab w:val="decimal" w:pos="1424"/>
              </w:tabs>
              <w:ind w:right="43"/>
              <w:jc w:val="center"/>
              <w:rPr>
                <w:rFonts w:cs="Arial"/>
                <w:b/>
                <w:bCs/>
                <w:lang w:eastAsia="en-IE"/>
              </w:rPr>
            </w:pPr>
            <w:r>
              <w:rPr>
                <w:rFonts w:cs="Arial"/>
                <w:b/>
                <w:bCs/>
                <w:lang w:eastAsia="en-IE"/>
              </w:rPr>
              <w:t xml:space="preserve">Balance </w:t>
            </w:r>
            <w:proofErr w:type="gramStart"/>
            <w:r w:rsidR="004A614B" w:rsidRPr="7821F417">
              <w:rPr>
                <w:rFonts w:cs="Arial"/>
                <w:b/>
                <w:bCs/>
                <w:lang w:eastAsia="en-IE"/>
              </w:rPr>
              <w:t>at</w:t>
            </w:r>
            <w:proofErr w:type="gramEnd"/>
            <w:r w:rsidR="004A614B" w:rsidRPr="7821F417">
              <w:rPr>
                <w:rFonts w:cs="Arial"/>
                <w:b/>
                <w:bCs/>
                <w:lang w:eastAsia="en-IE"/>
              </w:rPr>
              <w:t xml:space="preserve"> 1 January</w:t>
            </w:r>
            <w:r w:rsidR="00E44A37">
              <w:rPr>
                <w:rFonts w:cs="Arial"/>
                <w:b/>
                <w:bCs/>
                <w:lang w:eastAsia="en-IE"/>
              </w:rPr>
              <w:t xml:space="preserve"> 2025</w:t>
            </w:r>
          </w:p>
        </w:tc>
        <w:tc>
          <w:tcPr>
            <w:tcW w:w="1701" w:type="dxa"/>
          </w:tcPr>
          <w:p w14:paraId="12A841E3" w14:textId="55BA5EBB" w:rsidR="004A614B" w:rsidRPr="7821F417" w:rsidRDefault="00F52C91" w:rsidP="00E44A37">
            <w:pPr>
              <w:tabs>
                <w:tab w:val="decimal" w:pos="1395"/>
              </w:tabs>
              <w:spacing w:line="220" w:lineRule="exact"/>
              <w:ind w:right="45"/>
              <w:jc w:val="center"/>
              <w:rPr>
                <w:rFonts w:cs="Arial"/>
                <w:b/>
                <w:bCs/>
                <w:lang w:eastAsia="en-IE"/>
              </w:rPr>
            </w:pPr>
            <w:r>
              <w:rPr>
                <w:rFonts w:cs="Arial"/>
                <w:b/>
                <w:bCs/>
                <w:szCs w:val="20"/>
                <w:lang w:eastAsia="en-IE"/>
              </w:rPr>
              <w:t xml:space="preserve">Recognised in </w:t>
            </w:r>
            <w:r w:rsidR="00E36C21" w:rsidRPr="00BE3018">
              <w:rPr>
                <w:rFonts w:cs="Arial"/>
                <w:b/>
                <w:bCs/>
                <w:szCs w:val="20"/>
                <w:lang w:eastAsia="en-IE"/>
              </w:rPr>
              <w:t>o</w:t>
            </w:r>
            <w:r w:rsidR="004A614B" w:rsidRPr="00BE3018">
              <w:rPr>
                <w:rFonts w:cs="Arial"/>
                <w:b/>
                <w:bCs/>
                <w:szCs w:val="20"/>
                <w:lang w:eastAsia="en-IE"/>
              </w:rPr>
              <w:t>ther</w:t>
            </w:r>
            <w:r w:rsidR="006A0029">
              <w:rPr>
                <w:rFonts w:cs="Arial"/>
                <w:b/>
                <w:bCs/>
                <w:szCs w:val="20"/>
                <w:lang w:eastAsia="en-IE"/>
              </w:rPr>
              <w:t xml:space="preserve"> </w:t>
            </w:r>
            <w:r w:rsidR="00BE3018">
              <w:rPr>
                <w:rFonts w:cs="Arial"/>
                <w:b/>
                <w:bCs/>
                <w:szCs w:val="20"/>
                <w:lang w:eastAsia="en-IE"/>
              </w:rPr>
              <w:t>c</w:t>
            </w:r>
            <w:r w:rsidR="004A614B" w:rsidRPr="00BE3018">
              <w:rPr>
                <w:rFonts w:cs="Arial"/>
                <w:b/>
                <w:bCs/>
                <w:szCs w:val="20"/>
                <w:lang w:eastAsia="en-IE"/>
              </w:rPr>
              <w:t>o</w:t>
            </w:r>
            <w:r w:rsidR="00E36C21" w:rsidRPr="00BE3018">
              <w:rPr>
                <w:rFonts w:cs="Arial"/>
                <w:b/>
                <w:bCs/>
                <w:szCs w:val="20"/>
                <w:lang w:eastAsia="en-IE"/>
              </w:rPr>
              <w:t>mprehensive</w:t>
            </w:r>
            <w:r w:rsidR="00E44A37">
              <w:rPr>
                <w:rFonts w:cs="Arial"/>
                <w:b/>
                <w:bCs/>
                <w:szCs w:val="20"/>
                <w:lang w:eastAsia="en-IE"/>
              </w:rPr>
              <w:t xml:space="preserve"> income</w:t>
            </w:r>
          </w:p>
        </w:tc>
        <w:tc>
          <w:tcPr>
            <w:tcW w:w="1843" w:type="dxa"/>
          </w:tcPr>
          <w:p w14:paraId="21FD860E" w14:textId="77777777" w:rsidR="00F52C91" w:rsidRDefault="00F52C91" w:rsidP="00F52C91">
            <w:pPr>
              <w:tabs>
                <w:tab w:val="decimal" w:pos="1633"/>
              </w:tabs>
              <w:ind w:right="-144"/>
              <w:jc w:val="center"/>
              <w:rPr>
                <w:rFonts w:cs="Arial"/>
                <w:b/>
                <w:bCs/>
                <w:lang w:eastAsia="en-IE"/>
              </w:rPr>
            </w:pPr>
          </w:p>
          <w:p w14:paraId="675EC531" w14:textId="77777777" w:rsidR="00E778B4" w:rsidRDefault="00E778B4" w:rsidP="00F52C91">
            <w:pPr>
              <w:tabs>
                <w:tab w:val="decimal" w:pos="1633"/>
              </w:tabs>
              <w:ind w:right="-144"/>
              <w:jc w:val="center"/>
              <w:rPr>
                <w:rFonts w:cs="Arial"/>
                <w:b/>
                <w:bCs/>
                <w:lang w:eastAsia="en-IE"/>
              </w:rPr>
            </w:pPr>
          </w:p>
          <w:p w14:paraId="3586782A" w14:textId="78854283" w:rsidR="004A614B" w:rsidRPr="008F1B64" w:rsidRDefault="004A614B" w:rsidP="00F52C91">
            <w:pPr>
              <w:tabs>
                <w:tab w:val="decimal" w:pos="1633"/>
              </w:tabs>
              <w:ind w:right="-144"/>
              <w:jc w:val="center"/>
              <w:rPr>
                <w:rFonts w:cs="Arial"/>
                <w:b/>
                <w:bCs/>
                <w:lang w:eastAsia="en-IE"/>
              </w:rPr>
            </w:pPr>
            <w:r w:rsidRPr="7821F417">
              <w:rPr>
                <w:rFonts w:cs="Arial"/>
                <w:b/>
                <w:bCs/>
                <w:lang w:eastAsia="en-IE"/>
              </w:rPr>
              <w:t>Recognised in</w:t>
            </w:r>
            <w:r w:rsidR="00E44A37">
              <w:rPr>
                <w:rFonts w:cs="Arial"/>
                <w:b/>
                <w:bCs/>
                <w:lang w:eastAsia="en-IE"/>
              </w:rPr>
              <w:t xml:space="preserve"> profit or loss</w:t>
            </w:r>
          </w:p>
        </w:tc>
        <w:tc>
          <w:tcPr>
            <w:tcW w:w="1559" w:type="dxa"/>
            <w:gridSpan w:val="2"/>
          </w:tcPr>
          <w:p w14:paraId="0FD0FA44" w14:textId="77777777" w:rsidR="00E778B4" w:rsidRDefault="00E778B4" w:rsidP="00E778B4">
            <w:pPr>
              <w:tabs>
                <w:tab w:val="decimal" w:pos="1424"/>
              </w:tabs>
              <w:ind w:right="309"/>
              <w:jc w:val="center"/>
              <w:rPr>
                <w:rFonts w:cs="Arial"/>
                <w:b/>
                <w:bCs/>
                <w:lang w:eastAsia="en-IE"/>
              </w:rPr>
            </w:pPr>
          </w:p>
          <w:p w14:paraId="3352B414" w14:textId="77777777" w:rsidR="0067520B" w:rsidRDefault="0067520B" w:rsidP="00E778B4">
            <w:pPr>
              <w:tabs>
                <w:tab w:val="decimal" w:pos="1424"/>
              </w:tabs>
              <w:ind w:right="309"/>
              <w:jc w:val="center"/>
              <w:rPr>
                <w:rFonts w:cs="Arial"/>
                <w:b/>
                <w:bCs/>
                <w:lang w:eastAsia="en-IE"/>
              </w:rPr>
            </w:pPr>
          </w:p>
          <w:p w14:paraId="02BCA1D4" w14:textId="3F3A1C0B" w:rsidR="004A614B" w:rsidRPr="008F1B64" w:rsidRDefault="00E778B4" w:rsidP="00E778B4">
            <w:pPr>
              <w:tabs>
                <w:tab w:val="decimal" w:pos="1424"/>
              </w:tabs>
              <w:ind w:right="309"/>
              <w:jc w:val="center"/>
              <w:rPr>
                <w:rFonts w:cs="Arial"/>
                <w:b/>
                <w:bCs/>
                <w:lang w:eastAsia="en-IE"/>
              </w:rPr>
            </w:pPr>
            <w:r>
              <w:rPr>
                <w:rFonts w:cs="Arial"/>
                <w:b/>
                <w:bCs/>
                <w:lang w:eastAsia="en-IE"/>
              </w:rPr>
              <w:t xml:space="preserve">Balance </w:t>
            </w:r>
            <w:proofErr w:type="gramStart"/>
            <w:r>
              <w:rPr>
                <w:rFonts w:cs="Arial"/>
                <w:b/>
                <w:bCs/>
                <w:lang w:eastAsia="en-IE"/>
              </w:rPr>
              <w:t>at</w:t>
            </w:r>
            <w:proofErr w:type="gramEnd"/>
            <w:r>
              <w:rPr>
                <w:rFonts w:cs="Arial"/>
                <w:b/>
                <w:bCs/>
                <w:lang w:eastAsia="en-IE"/>
              </w:rPr>
              <w:t xml:space="preserve"> </w:t>
            </w:r>
            <w:r w:rsidR="004A614B">
              <w:rPr>
                <w:rFonts w:cs="Arial"/>
                <w:b/>
                <w:bCs/>
                <w:lang w:eastAsia="en-IE"/>
              </w:rPr>
              <w:t>30 June</w:t>
            </w:r>
            <w:r>
              <w:rPr>
                <w:rFonts w:cs="Arial"/>
                <w:b/>
                <w:bCs/>
                <w:lang w:eastAsia="en-IE"/>
              </w:rPr>
              <w:t xml:space="preserve"> 2025</w:t>
            </w:r>
          </w:p>
        </w:tc>
      </w:tr>
      <w:tr w:rsidR="004A614B" w:rsidRPr="008F1B64" w14:paraId="3781817F" w14:textId="77777777" w:rsidTr="00BE3018">
        <w:trPr>
          <w:trHeight w:val="190"/>
        </w:trPr>
        <w:tc>
          <w:tcPr>
            <w:tcW w:w="426" w:type="dxa"/>
          </w:tcPr>
          <w:p w14:paraId="39088475" w14:textId="77777777" w:rsidR="004A614B" w:rsidRPr="008F1B64" w:rsidRDefault="004A614B" w:rsidP="00106799">
            <w:pPr>
              <w:ind w:right="-144"/>
              <w:jc w:val="both"/>
              <w:rPr>
                <w:rFonts w:cs="Arial"/>
                <w:lang w:eastAsia="en-IE"/>
              </w:rPr>
            </w:pPr>
          </w:p>
        </w:tc>
        <w:tc>
          <w:tcPr>
            <w:tcW w:w="3118" w:type="dxa"/>
          </w:tcPr>
          <w:p w14:paraId="16CE3D9F" w14:textId="77777777" w:rsidR="004A614B" w:rsidRPr="008F1B64" w:rsidRDefault="004A614B" w:rsidP="00106799">
            <w:pPr>
              <w:ind w:right="-144"/>
              <w:jc w:val="both"/>
              <w:rPr>
                <w:rFonts w:cs="Arial"/>
                <w:lang w:eastAsia="en-IE"/>
              </w:rPr>
            </w:pPr>
          </w:p>
        </w:tc>
        <w:tc>
          <w:tcPr>
            <w:tcW w:w="1701" w:type="dxa"/>
          </w:tcPr>
          <w:p w14:paraId="011EAA53" w14:textId="77777777" w:rsidR="004A614B" w:rsidRPr="008F1B64" w:rsidRDefault="004A614B" w:rsidP="00106799">
            <w:pPr>
              <w:tabs>
                <w:tab w:val="decimal" w:pos="1424"/>
              </w:tabs>
              <w:ind w:right="-144"/>
              <w:jc w:val="both"/>
              <w:rPr>
                <w:rFonts w:cs="Arial"/>
                <w:b/>
                <w:bCs/>
                <w:lang w:eastAsia="en-IE"/>
              </w:rPr>
            </w:pPr>
            <w:r w:rsidRPr="7821F417">
              <w:rPr>
                <w:rFonts w:cs="Arial"/>
                <w:b/>
                <w:bCs/>
                <w:lang w:eastAsia="en-IE"/>
              </w:rPr>
              <w:t>€'000</w:t>
            </w:r>
          </w:p>
        </w:tc>
        <w:tc>
          <w:tcPr>
            <w:tcW w:w="1701" w:type="dxa"/>
          </w:tcPr>
          <w:p w14:paraId="4B890ABD" w14:textId="2E7275FC" w:rsidR="004A614B" w:rsidRPr="7821F417" w:rsidRDefault="006A0029" w:rsidP="00106799">
            <w:pPr>
              <w:tabs>
                <w:tab w:val="decimal" w:pos="1633"/>
              </w:tabs>
              <w:ind w:right="-144"/>
              <w:jc w:val="both"/>
              <w:rPr>
                <w:rFonts w:cs="Arial"/>
                <w:b/>
                <w:bCs/>
                <w:lang w:eastAsia="en-IE"/>
              </w:rPr>
            </w:pPr>
            <w:r w:rsidRPr="7821F417">
              <w:rPr>
                <w:rFonts w:cs="Arial"/>
                <w:b/>
                <w:bCs/>
                <w:lang w:eastAsia="en-IE"/>
              </w:rPr>
              <w:t>€'000</w:t>
            </w:r>
            <w:r>
              <w:rPr>
                <w:rFonts w:cs="Arial"/>
                <w:b/>
                <w:bCs/>
                <w:lang w:eastAsia="en-IE"/>
              </w:rPr>
              <w:t xml:space="preserve"> </w:t>
            </w:r>
          </w:p>
        </w:tc>
        <w:tc>
          <w:tcPr>
            <w:tcW w:w="1843" w:type="dxa"/>
          </w:tcPr>
          <w:p w14:paraId="05D24869" w14:textId="3FB98751" w:rsidR="004A614B" w:rsidRPr="008F1B64" w:rsidRDefault="004A614B" w:rsidP="00106799">
            <w:pPr>
              <w:tabs>
                <w:tab w:val="decimal" w:pos="1633"/>
              </w:tabs>
              <w:ind w:right="-144"/>
              <w:jc w:val="both"/>
              <w:rPr>
                <w:rFonts w:cs="Arial"/>
                <w:b/>
                <w:bCs/>
                <w:lang w:eastAsia="en-IE"/>
              </w:rPr>
            </w:pPr>
            <w:r w:rsidRPr="7821F417">
              <w:rPr>
                <w:rFonts w:cs="Arial"/>
                <w:b/>
                <w:bCs/>
                <w:lang w:eastAsia="en-IE"/>
              </w:rPr>
              <w:t>€'000</w:t>
            </w:r>
          </w:p>
        </w:tc>
        <w:tc>
          <w:tcPr>
            <w:tcW w:w="1559" w:type="dxa"/>
            <w:gridSpan w:val="2"/>
          </w:tcPr>
          <w:p w14:paraId="6F30A046" w14:textId="77777777" w:rsidR="004A614B" w:rsidRPr="008F1B64" w:rsidRDefault="004A614B" w:rsidP="00106799">
            <w:pPr>
              <w:tabs>
                <w:tab w:val="decimal" w:pos="1424"/>
              </w:tabs>
              <w:ind w:right="-144"/>
              <w:jc w:val="both"/>
              <w:rPr>
                <w:rFonts w:cs="Arial"/>
                <w:b/>
                <w:bCs/>
                <w:lang w:eastAsia="en-IE"/>
              </w:rPr>
            </w:pPr>
            <w:r w:rsidRPr="7821F417">
              <w:rPr>
                <w:rFonts w:cs="Arial"/>
                <w:b/>
                <w:bCs/>
                <w:lang w:eastAsia="en-IE"/>
              </w:rPr>
              <w:t>€'000</w:t>
            </w:r>
          </w:p>
        </w:tc>
      </w:tr>
      <w:tr w:rsidR="004A614B" w:rsidRPr="008F1B64" w14:paraId="0E435526" w14:textId="77777777" w:rsidTr="00BE3018">
        <w:trPr>
          <w:trHeight w:val="190"/>
        </w:trPr>
        <w:tc>
          <w:tcPr>
            <w:tcW w:w="426" w:type="dxa"/>
          </w:tcPr>
          <w:p w14:paraId="7E51C21F" w14:textId="77777777" w:rsidR="004A614B" w:rsidRPr="008F1B64" w:rsidRDefault="004A614B" w:rsidP="00106799">
            <w:pPr>
              <w:ind w:right="-144"/>
              <w:jc w:val="both"/>
              <w:rPr>
                <w:rFonts w:cs="Arial"/>
                <w:lang w:eastAsia="en-IE"/>
              </w:rPr>
            </w:pPr>
          </w:p>
        </w:tc>
        <w:tc>
          <w:tcPr>
            <w:tcW w:w="3118" w:type="dxa"/>
          </w:tcPr>
          <w:p w14:paraId="21910910" w14:textId="77777777" w:rsidR="004A614B" w:rsidRPr="008F1B64" w:rsidRDefault="004A614B" w:rsidP="00106799">
            <w:pPr>
              <w:ind w:right="-144"/>
              <w:jc w:val="both"/>
              <w:rPr>
                <w:rFonts w:cs="Arial"/>
                <w:lang w:eastAsia="en-IE"/>
              </w:rPr>
            </w:pPr>
          </w:p>
        </w:tc>
        <w:tc>
          <w:tcPr>
            <w:tcW w:w="1701" w:type="dxa"/>
          </w:tcPr>
          <w:p w14:paraId="54157092" w14:textId="77777777" w:rsidR="004A614B" w:rsidRPr="008F1B64" w:rsidRDefault="004A614B" w:rsidP="00106799">
            <w:pPr>
              <w:tabs>
                <w:tab w:val="decimal" w:pos="1424"/>
              </w:tabs>
              <w:ind w:right="-144"/>
              <w:jc w:val="both"/>
              <w:rPr>
                <w:rFonts w:cs="Arial"/>
                <w:lang w:eastAsia="en-IE"/>
              </w:rPr>
            </w:pPr>
          </w:p>
        </w:tc>
        <w:tc>
          <w:tcPr>
            <w:tcW w:w="1701" w:type="dxa"/>
          </w:tcPr>
          <w:p w14:paraId="52C32D64" w14:textId="77777777" w:rsidR="004A614B" w:rsidRPr="008F1B64" w:rsidRDefault="004A614B" w:rsidP="00106799">
            <w:pPr>
              <w:tabs>
                <w:tab w:val="decimal" w:pos="1633"/>
              </w:tabs>
              <w:ind w:right="-144"/>
              <w:jc w:val="both"/>
              <w:rPr>
                <w:rFonts w:cs="Arial"/>
                <w:lang w:eastAsia="en-IE"/>
              </w:rPr>
            </w:pPr>
          </w:p>
        </w:tc>
        <w:tc>
          <w:tcPr>
            <w:tcW w:w="1843" w:type="dxa"/>
          </w:tcPr>
          <w:p w14:paraId="078B244D" w14:textId="4B31DB9F" w:rsidR="004A614B" w:rsidRPr="008F1B64" w:rsidRDefault="004A614B" w:rsidP="00106799">
            <w:pPr>
              <w:tabs>
                <w:tab w:val="decimal" w:pos="1633"/>
              </w:tabs>
              <w:ind w:right="-144"/>
              <w:jc w:val="both"/>
              <w:rPr>
                <w:rFonts w:cs="Arial"/>
                <w:lang w:eastAsia="en-IE"/>
              </w:rPr>
            </w:pPr>
          </w:p>
        </w:tc>
        <w:tc>
          <w:tcPr>
            <w:tcW w:w="1559" w:type="dxa"/>
            <w:gridSpan w:val="2"/>
          </w:tcPr>
          <w:p w14:paraId="7FFC5484" w14:textId="77777777" w:rsidR="004A614B" w:rsidRPr="008F1B64" w:rsidRDefault="004A614B" w:rsidP="00106799">
            <w:pPr>
              <w:tabs>
                <w:tab w:val="decimal" w:pos="1424"/>
              </w:tabs>
              <w:ind w:right="-144"/>
              <w:jc w:val="both"/>
              <w:rPr>
                <w:rFonts w:cs="Arial"/>
                <w:lang w:eastAsia="en-IE"/>
              </w:rPr>
            </w:pPr>
          </w:p>
        </w:tc>
      </w:tr>
      <w:tr w:rsidR="004A614B" w:rsidRPr="008A7580" w14:paraId="2ED4900D" w14:textId="77777777" w:rsidTr="00BE3018">
        <w:trPr>
          <w:trHeight w:val="190"/>
        </w:trPr>
        <w:tc>
          <w:tcPr>
            <w:tcW w:w="426" w:type="dxa"/>
          </w:tcPr>
          <w:p w14:paraId="48265CC2" w14:textId="77777777" w:rsidR="004A614B" w:rsidRPr="008F1B64" w:rsidRDefault="004A614B" w:rsidP="00106799">
            <w:pPr>
              <w:ind w:right="-144"/>
              <w:jc w:val="both"/>
              <w:rPr>
                <w:rFonts w:cs="Arial"/>
                <w:lang w:eastAsia="en-IE"/>
              </w:rPr>
            </w:pPr>
          </w:p>
        </w:tc>
        <w:tc>
          <w:tcPr>
            <w:tcW w:w="3118" w:type="dxa"/>
          </w:tcPr>
          <w:p w14:paraId="02C16309" w14:textId="77777777" w:rsidR="004A614B" w:rsidRPr="008F1B64" w:rsidRDefault="004A614B" w:rsidP="004A614B">
            <w:pPr>
              <w:ind w:right="-144"/>
              <w:rPr>
                <w:lang w:eastAsia="en-IE"/>
              </w:rPr>
            </w:pPr>
            <w:r>
              <w:rPr>
                <w:lang w:eastAsia="en-IE"/>
              </w:rPr>
              <w:t>Expenses deductible in future periods</w:t>
            </w:r>
          </w:p>
        </w:tc>
        <w:tc>
          <w:tcPr>
            <w:tcW w:w="1701" w:type="dxa"/>
          </w:tcPr>
          <w:p w14:paraId="5000FA9A" w14:textId="39DF9AC4" w:rsidR="004A614B" w:rsidRPr="008A7580" w:rsidRDefault="004A614B" w:rsidP="00106799">
            <w:pPr>
              <w:tabs>
                <w:tab w:val="decimal" w:pos="1424"/>
              </w:tabs>
              <w:ind w:right="-144"/>
              <w:jc w:val="both"/>
              <w:rPr>
                <w:rFonts w:cs="Arial"/>
                <w:b/>
                <w:bCs/>
                <w:lang w:eastAsia="en-IE"/>
              </w:rPr>
            </w:pPr>
            <w:r>
              <w:rPr>
                <w:rFonts w:cs="Arial"/>
                <w:b/>
                <w:bCs/>
                <w:lang w:eastAsia="en-IE"/>
              </w:rPr>
              <w:t>1,339</w:t>
            </w:r>
          </w:p>
        </w:tc>
        <w:tc>
          <w:tcPr>
            <w:tcW w:w="1701" w:type="dxa"/>
          </w:tcPr>
          <w:p w14:paraId="4DCFF685" w14:textId="5F59B84F" w:rsidR="004A614B" w:rsidRPr="008A7580" w:rsidRDefault="002023A2" w:rsidP="00106799">
            <w:pPr>
              <w:tabs>
                <w:tab w:val="decimal" w:pos="1633"/>
              </w:tabs>
              <w:ind w:right="-144"/>
              <w:jc w:val="both"/>
              <w:rPr>
                <w:rFonts w:cs="Arial"/>
                <w:b/>
                <w:bCs/>
                <w:lang w:eastAsia="en-IE"/>
              </w:rPr>
            </w:pPr>
            <w:r>
              <w:rPr>
                <w:rFonts w:cs="Arial"/>
                <w:b/>
                <w:bCs/>
                <w:lang w:eastAsia="en-IE"/>
              </w:rPr>
              <w:t>(</w:t>
            </w:r>
            <w:r w:rsidR="00E754EE">
              <w:rPr>
                <w:rFonts w:cs="Arial"/>
                <w:b/>
                <w:bCs/>
                <w:lang w:eastAsia="en-IE"/>
              </w:rPr>
              <w:t>52</w:t>
            </w:r>
            <w:r>
              <w:rPr>
                <w:rFonts w:cs="Arial"/>
                <w:b/>
                <w:bCs/>
                <w:lang w:eastAsia="en-IE"/>
              </w:rPr>
              <w:t>)</w:t>
            </w:r>
          </w:p>
        </w:tc>
        <w:tc>
          <w:tcPr>
            <w:tcW w:w="1843" w:type="dxa"/>
          </w:tcPr>
          <w:p w14:paraId="5F57212E" w14:textId="074B00C4" w:rsidR="004A614B" w:rsidRPr="008A7580" w:rsidRDefault="009928DD" w:rsidP="00106799">
            <w:pPr>
              <w:tabs>
                <w:tab w:val="decimal" w:pos="1633"/>
              </w:tabs>
              <w:ind w:right="-144"/>
              <w:jc w:val="both"/>
              <w:rPr>
                <w:rFonts w:cs="Arial"/>
                <w:b/>
                <w:bCs/>
                <w:lang w:eastAsia="en-IE"/>
              </w:rPr>
            </w:pPr>
            <w:r>
              <w:rPr>
                <w:rFonts w:cs="Arial"/>
                <w:b/>
                <w:bCs/>
                <w:lang w:eastAsia="en-IE"/>
              </w:rPr>
              <w:t>8</w:t>
            </w:r>
            <w:r w:rsidR="00957525">
              <w:rPr>
                <w:rFonts w:cs="Arial"/>
                <w:b/>
                <w:bCs/>
                <w:lang w:eastAsia="en-IE"/>
              </w:rPr>
              <w:t>2</w:t>
            </w:r>
          </w:p>
        </w:tc>
        <w:tc>
          <w:tcPr>
            <w:tcW w:w="1559" w:type="dxa"/>
            <w:gridSpan w:val="2"/>
          </w:tcPr>
          <w:p w14:paraId="2CA0C5E4" w14:textId="13D49B1F" w:rsidR="004A614B" w:rsidRPr="008A7580" w:rsidRDefault="00142C90" w:rsidP="00106799">
            <w:pPr>
              <w:tabs>
                <w:tab w:val="decimal" w:pos="1424"/>
              </w:tabs>
              <w:ind w:right="-144"/>
              <w:jc w:val="both"/>
              <w:rPr>
                <w:rFonts w:cs="Arial"/>
                <w:b/>
                <w:bCs/>
                <w:lang w:eastAsia="en-IE"/>
              </w:rPr>
            </w:pPr>
            <w:r>
              <w:rPr>
                <w:rFonts w:cs="Arial"/>
                <w:b/>
                <w:bCs/>
                <w:lang w:eastAsia="en-IE"/>
              </w:rPr>
              <w:t>1,</w:t>
            </w:r>
            <w:r w:rsidR="009124AE">
              <w:rPr>
                <w:rFonts w:cs="Arial"/>
                <w:b/>
                <w:bCs/>
                <w:lang w:eastAsia="en-IE"/>
              </w:rPr>
              <w:t>369</w:t>
            </w:r>
          </w:p>
        </w:tc>
      </w:tr>
      <w:tr w:rsidR="004A614B" w:rsidRPr="008F1B64" w14:paraId="06789034" w14:textId="77777777" w:rsidTr="00BE3018">
        <w:trPr>
          <w:trHeight w:val="340"/>
        </w:trPr>
        <w:tc>
          <w:tcPr>
            <w:tcW w:w="426" w:type="dxa"/>
          </w:tcPr>
          <w:p w14:paraId="2BA6FC7E" w14:textId="77777777" w:rsidR="004A614B" w:rsidRPr="008F1B64" w:rsidRDefault="004A614B" w:rsidP="00106799">
            <w:pPr>
              <w:ind w:right="-144"/>
              <w:jc w:val="both"/>
              <w:rPr>
                <w:rFonts w:cs="Arial"/>
                <w:lang w:eastAsia="en-IE"/>
              </w:rPr>
            </w:pPr>
          </w:p>
        </w:tc>
        <w:tc>
          <w:tcPr>
            <w:tcW w:w="3118" w:type="dxa"/>
          </w:tcPr>
          <w:p w14:paraId="40314956" w14:textId="77777777" w:rsidR="004A614B" w:rsidRPr="008F1B64" w:rsidRDefault="004A614B" w:rsidP="00106799">
            <w:pPr>
              <w:ind w:right="-144"/>
              <w:jc w:val="both"/>
              <w:rPr>
                <w:rFonts w:cs="Arial"/>
                <w:lang w:eastAsia="en-IE"/>
              </w:rPr>
            </w:pPr>
          </w:p>
        </w:tc>
        <w:tc>
          <w:tcPr>
            <w:tcW w:w="1701" w:type="dxa"/>
          </w:tcPr>
          <w:p w14:paraId="3DD740BC" w14:textId="77777777" w:rsidR="004A614B" w:rsidRPr="008F1B64" w:rsidRDefault="004A614B" w:rsidP="00106799">
            <w:pPr>
              <w:tabs>
                <w:tab w:val="decimal" w:pos="1424"/>
              </w:tabs>
              <w:ind w:right="-144"/>
              <w:jc w:val="both"/>
              <w:rPr>
                <w:rFonts w:cs="Arial"/>
                <w:u w:val="double"/>
              </w:rPr>
            </w:pPr>
            <w:r w:rsidRPr="7821F417">
              <w:rPr>
                <w:rFonts w:cs="Arial"/>
                <w:u w:val="double"/>
              </w:rPr>
              <w:t>                  </w:t>
            </w:r>
          </w:p>
        </w:tc>
        <w:tc>
          <w:tcPr>
            <w:tcW w:w="1701" w:type="dxa"/>
          </w:tcPr>
          <w:p w14:paraId="1BD59865" w14:textId="3D0FF5BF" w:rsidR="004A614B" w:rsidRPr="7821F417" w:rsidRDefault="00743E28" w:rsidP="00106799">
            <w:pPr>
              <w:tabs>
                <w:tab w:val="decimal" w:pos="1633"/>
              </w:tabs>
              <w:ind w:right="-144"/>
              <w:jc w:val="both"/>
              <w:rPr>
                <w:rFonts w:cs="Arial"/>
                <w:u w:val="double"/>
              </w:rPr>
            </w:pPr>
            <w:r w:rsidRPr="7821F417">
              <w:rPr>
                <w:rFonts w:cs="Arial"/>
                <w:u w:val="double"/>
              </w:rPr>
              <w:t>                  </w:t>
            </w:r>
          </w:p>
        </w:tc>
        <w:tc>
          <w:tcPr>
            <w:tcW w:w="1843" w:type="dxa"/>
          </w:tcPr>
          <w:p w14:paraId="45587E55" w14:textId="55398CA6" w:rsidR="004A614B" w:rsidRPr="008F1B64" w:rsidRDefault="004A614B" w:rsidP="00106799">
            <w:pPr>
              <w:tabs>
                <w:tab w:val="decimal" w:pos="1633"/>
              </w:tabs>
              <w:ind w:right="-144"/>
              <w:jc w:val="both"/>
              <w:rPr>
                <w:rFonts w:cs="Arial"/>
                <w:u w:val="double"/>
              </w:rPr>
            </w:pPr>
            <w:r w:rsidRPr="7821F417">
              <w:rPr>
                <w:rFonts w:cs="Arial"/>
                <w:u w:val="double"/>
              </w:rPr>
              <w:t>                  </w:t>
            </w:r>
          </w:p>
        </w:tc>
        <w:tc>
          <w:tcPr>
            <w:tcW w:w="1559" w:type="dxa"/>
            <w:gridSpan w:val="2"/>
          </w:tcPr>
          <w:p w14:paraId="6EF34A5C" w14:textId="77777777" w:rsidR="004A614B" w:rsidRPr="008F1B64" w:rsidRDefault="004A614B" w:rsidP="00106799">
            <w:pPr>
              <w:tabs>
                <w:tab w:val="decimal" w:pos="1424"/>
              </w:tabs>
              <w:ind w:right="-144"/>
              <w:jc w:val="both"/>
              <w:rPr>
                <w:rFonts w:cs="Arial"/>
                <w:u w:val="double"/>
              </w:rPr>
            </w:pPr>
            <w:r w:rsidRPr="7821F417">
              <w:rPr>
                <w:rFonts w:cs="Arial"/>
                <w:u w:val="double"/>
              </w:rPr>
              <w:t>                  </w:t>
            </w:r>
          </w:p>
        </w:tc>
      </w:tr>
    </w:tbl>
    <w:p w14:paraId="7BEB1519" w14:textId="77777777" w:rsidR="00EC34B7" w:rsidRDefault="00EC34B7" w:rsidP="00AA5E9A">
      <w:pPr>
        <w:pStyle w:val="NotesBody"/>
        <w:ind w:left="0"/>
        <w:jc w:val="both"/>
      </w:pPr>
    </w:p>
    <w:p w14:paraId="64A4602D" w14:textId="314F0622" w:rsidR="00635AE8" w:rsidRDefault="00E865F6" w:rsidP="00CD63DA">
      <w:pPr>
        <w:pStyle w:val="NotesBody"/>
        <w:jc w:val="both"/>
      </w:pPr>
      <w:r>
        <w:t xml:space="preserve">The </w:t>
      </w:r>
      <w:r w:rsidR="0067177D">
        <w:rPr>
          <w:lang w:eastAsia="en-IE"/>
        </w:rPr>
        <w:t>expenses deductible in future periods</w:t>
      </w:r>
      <w:r w:rsidR="009A7834">
        <w:t xml:space="preserve"> arise</w:t>
      </w:r>
      <w:r>
        <w:t xml:space="preserve"> in Ireland and ha</w:t>
      </w:r>
      <w:r w:rsidR="009A7834">
        <w:t>ve</w:t>
      </w:r>
      <w:r>
        <w:t xml:space="preserve"> no expiry date. </w:t>
      </w:r>
      <w:r w:rsidR="001339F3">
        <w:t xml:space="preserve">Based on </w:t>
      </w:r>
      <w:r w:rsidR="005E266C">
        <w:t>profitability</w:t>
      </w:r>
      <w:r w:rsidR="00A45E50">
        <w:t xml:space="preserve"> achieved in t</w:t>
      </w:r>
      <w:r w:rsidR="00300C9F">
        <w:t>he period</w:t>
      </w:r>
      <w:r w:rsidR="00AE2F67">
        <w:t>,</w:t>
      </w:r>
      <w:r w:rsidR="00114612">
        <w:t xml:space="preserve"> the continued</w:t>
      </w:r>
      <w:r w:rsidR="005E266C">
        <w:t xml:space="preserve"> forecast</w:t>
      </w:r>
      <w:r w:rsidR="00114612">
        <w:t xml:space="preserve"> </w:t>
      </w:r>
      <w:r w:rsidR="00AE2F67">
        <w:t>profitability</w:t>
      </w:r>
      <w:r w:rsidR="005E266C">
        <w:t xml:space="preserve"> in the Group’s </w:t>
      </w:r>
      <w:r w:rsidR="005C6CC4">
        <w:t>strateg</w:t>
      </w:r>
      <w:r w:rsidR="00065D06">
        <w:t>ic</w:t>
      </w:r>
      <w:r w:rsidR="005C6CC4">
        <w:t xml:space="preserve"> plan and the sensitivities that have been applied </w:t>
      </w:r>
      <w:r w:rsidR="00DE5BB3">
        <w:t>therein</w:t>
      </w:r>
      <w:r w:rsidR="005C6CC4">
        <w:t xml:space="preserve">, </w:t>
      </w:r>
      <w:r w:rsidR="00DE5BB3">
        <w:t>m</w:t>
      </w:r>
      <w:r>
        <w:t xml:space="preserve">anagement has considered it probable that future profits will be available against which the above losses can be recovered and, therefore, the related deferred tax asset can be realised. </w:t>
      </w:r>
    </w:p>
    <w:p w14:paraId="50F7851B" w14:textId="77777777" w:rsidR="00773CDA" w:rsidRDefault="00773CDA" w:rsidP="00CD63DA">
      <w:pPr>
        <w:pStyle w:val="NotesBody"/>
        <w:jc w:val="both"/>
      </w:pPr>
    </w:p>
    <w:p w14:paraId="7ECEF8F4" w14:textId="77777777" w:rsidR="00773CDA" w:rsidRPr="00D058B2" w:rsidRDefault="00773CDA" w:rsidP="00CD63DA">
      <w:pPr>
        <w:pStyle w:val="NotesBody"/>
        <w:jc w:val="both"/>
      </w:pPr>
    </w:p>
    <w:p w14:paraId="2FC67781" w14:textId="1B678B7B" w:rsidR="00D34535" w:rsidRDefault="00F537F0" w:rsidP="00F537F0">
      <w:pPr>
        <w:spacing w:after="160" w:line="259" w:lineRule="auto"/>
      </w:pPr>
      <w:r>
        <w:br w:type="page"/>
      </w:r>
    </w:p>
    <w:p w14:paraId="7CDF109B" w14:textId="148CF53C" w:rsidR="0020266D" w:rsidRDefault="0020266D" w:rsidP="00E33E74">
      <w:pPr>
        <w:pStyle w:val="NotesBody"/>
        <w:jc w:val="both"/>
      </w:pPr>
    </w:p>
    <w:tbl>
      <w:tblPr>
        <w:tblW w:w="0" w:type="auto"/>
        <w:tblLayout w:type="fixed"/>
        <w:tblCellMar>
          <w:left w:w="0" w:type="dxa"/>
          <w:right w:w="115" w:type="dxa"/>
        </w:tblCellMar>
        <w:tblLook w:val="04A0" w:firstRow="1" w:lastRow="0" w:firstColumn="1" w:lastColumn="0" w:noHBand="0" w:noVBand="1"/>
      </w:tblPr>
      <w:tblGrid>
        <w:gridCol w:w="446"/>
        <w:gridCol w:w="5224"/>
        <w:gridCol w:w="1985"/>
        <w:gridCol w:w="1559"/>
      </w:tblGrid>
      <w:tr w:rsidR="00450549" w:rsidRPr="00670755" w14:paraId="440B1759" w14:textId="77777777" w:rsidTr="7821F417">
        <w:tc>
          <w:tcPr>
            <w:tcW w:w="446" w:type="dxa"/>
          </w:tcPr>
          <w:p w14:paraId="5C02981B" w14:textId="4E31DFDD" w:rsidR="00450549" w:rsidRPr="00670755" w:rsidRDefault="00450549" w:rsidP="7821F417">
            <w:pPr>
              <w:jc w:val="both"/>
              <w:rPr>
                <w:rFonts w:cs="Arial"/>
                <w:b/>
                <w:bCs/>
              </w:rPr>
            </w:pPr>
            <w:r>
              <w:br w:type="page"/>
            </w:r>
            <w:r w:rsidR="04C6D92F" w:rsidRPr="7821F417">
              <w:rPr>
                <w:rFonts w:cs="Arial"/>
                <w:b/>
                <w:bCs/>
              </w:rPr>
              <w:t>1</w:t>
            </w:r>
            <w:r w:rsidR="00CD63DA" w:rsidRPr="7821F417">
              <w:rPr>
                <w:rFonts w:cs="Arial"/>
                <w:b/>
                <w:bCs/>
              </w:rPr>
              <w:t>1</w:t>
            </w:r>
          </w:p>
        </w:tc>
        <w:tc>
          <w:tcPr>
            <w:tcW w:w="5224" w:type="dxa"/>
          </w:tcPr>
          <w:p w14:paraId="6A92206B" w14:textId="77777777" w:rsidR="00450549" w:rsidRPr="00670755" w:rsidRDefault="04C6D92F" w:rsidP="7821F417">
            <w:pPr>
              <w:jc w:val="both"/>
              <w:rPr>
                <w:rFonts w:cs="Arial"/>
                <w:b/>
                <w:bCs/>
              </w:rPr>
            </w:pPr>
            <w:r w:rsidRPr="7821F417">
              <w:rPr>
                <w:rFonts w:cs="Arial"/>
                <w:b/>
                <w:bCs/>
              </w:rPr>
              <w:t>Inventory</w:t>
            </w:r>
          </w:p>
        </w:tc>
        <w:tc>
          <w:tcPr>
            <w:tcW w:w="1985" w:type="dxa"/>
          </w:tcPr>
          <w:p w14:paraId="02F29632" w14:textId="77777777" w:rsidR="00450549" w:rsidRPr="00A61A9A" w:rsidRDefault="5233DC41" w:rsidP="7821F417">
            <w:pPr>
              <w:tabs>
                <w:tab w:val="decimal" w:pos="1424"/>
              </w:tabs>
              <w:jc w:val="both"/>
              <w:rPr>
                <w:rFonts w:cs="Arial"/>
                <w:b/>
                <w:bCs/>
              </w:rPr>
            </w:pPr>
            <w:r w:rsidRPr="7821F417">
              <w:rPr>
                <w:rFonts w:cs="Arial"/>
                <w:b/>
                <w:bCs/>
              </w:rPr>
              <w:t>30 June</w:t>
            </w:r>
          </w:p>
        </w:tc>
        <w:tc>
          <w:tcPr>
            <w:tcW w:w="1559" w:type="dxa"/>
          </w:tcPr>
          <w:p w14:paraId="2F78B02A" w14:textId="77777777" w:rsidR="00450549" w:rsidRPr="00FD2A5E" w:rsidRDefault="5233DC41" w:rsidP="7821F417">
            <w:pPr>
              <w:tabs>
                <w:tab w:val="decimal" w:pos="1424"/>
              </w:tabs>
              <w:jc w:val="both"/>
              <w:rPr>
                <w:rFonts w:cs="Arial"/>
                <w:b/>
                <w:bCs/>
              </w:rPr>
            </w:pPr>
            <w:r w:rsidRPr="7821F417">
              <w:rPr>
                <w:rFonts w:cs="Arial"/>
                <w:b/>
                <w:bCs/>
              </w:rPr>
              <w:t>31 December</w:t>
            </w:r>
          </w:p>
        </w:tc>
      </w:tr>
      <w:tr w:rsidR="00450549" w:rsidRPr="00670755" w14:paraId="7A85CA67" w14:textId="77777777" w:rsidTr="7821F417">
        <w:tc>
          <w:tcPr>
            <w:tcW w:w="446" w:type="dxa"/>
          </w:tcPr>
          <w:p w14:paraId="788B84E0" w14:textId="77777777" w:rsidR="00450549" w:rsidRPr="00670755" w:rsidRDefault="00450549" w:rsidP="7821F417">
            <w:pPr>
              <w:ind w:right="-144"/>
              <w:jc w:val="both"/>
              <w:rPr>
                <w:rFonts w:cs="Arial"/>
              </w:rPr>
            </w:pPr>
          </w:p>
        </w:tc>
        <w:tc>
          <w:tcPr>
            <w:tcW w:w="5224" w:type="dxa"/>
          </w:tcPr>
          <w:p w14:paraId="1B757386" w14:textId="77777777" w:rsidR="00450549" w:rsidRPr="00670755" w:rsidRDefault="00450549" w:rsidP="7821F417">
            <w:pPr>
              <w:ind w:right="-144"/>
              <w:jc w:val="both"/>
              <w:rPr>
                <w:rFonts w:cs="Arial"/>
              </w:rPr>
            </w:pPr>
          </w:p>
        </w:tc>
        <w:tc>
          <w:tcPr>
            <w:tcW w:w="1985" w:type="dxa"/>
          </w:tcPr>
          <w:p w14:paraId="03DD8FC2" w14:textId="07B97386" w:rsidR="00450549" w:rsidRPr="00A61A9A" w:rsidRDefault="080140EE" w:rsidP="7821F417">
            <w:pPr>
              <w:tabs>
                <w:tab w:val="decimal" w:pos="1875"/>
              </w:tabs>
              <w:ind w:right="-110"/>
              <w:jc w:val="both"/>
              <w:rPr>
                <w:rFonts w:cs="Arial"/>
                <w:b/>
                <w:bCs/>
              </w:rPr>
            </w:pPr>
            <w:r w:rsidRPr="7821F417">
              <w:rPr>
                <w:rFonts w:cs="Arial"/>
                <w:b/>
                <w:bCs/>
              </w:rPr>
              <w:t>202</w:t>
            </w:r>
            <w:r w:rsidR="00871876">
              <w:rPr>
                <w:rFonts w:cs="Arial"/>
                <w:b/>
                <w:bCs/>
              </w:rPr>
              <w:t>5</w:t>
            </w:r>
          </w:p>
        </w:tc>
        <w:tc>
          <w:tcPr>
            <w:tcW w:w="1559" w:type="dxa"/>
          </w:tcPr>
          <w:p w14:paraId="65E0C22B" w14:textId="18F1BCF1" w:rsidR="00450549" w:rsidRPr="00FD2A5E" w:rsidRDefault="0033487E" w:rsidP="7821F417">
            <w:pPr>
              <w:tabs>
                <w:tab w:val="decimal" w:pos="1424"/>
              </w:tabs>
              <w:jc w:val="both"/>
              <w:rPr>
                <w:rFonts w:cs="Arial"/>
                <w:b/>
                <w:bCs/>
              </w:rPr>
            </w:pPr>
            <w:r>
              <w:rPr>
                <w:rFonts w:cs="Arial"/>
                <w:b/>
                <w:bCs/>
              </w:rPr>
              <w:t>202</w:t>
            </w:r>
            <w:r w:rsidR="00871876">
              <w:rPr>
                <w:rFonts w:cs="Arial"/>
                <w:b/>
                <w:bCs/>
              </w:rPr>
              <w:t>4</w:t>
            </w:r>
          </w:p>
        </w:tc>
      </w:tr>
      <w:tr w:rsidR="00450549" w:rsidRPr="00670755" w14:paraId="4D0E14F6" w14:textId="77777777" w:rsidTr="7821F417">
        <w:tc>
          <w:tcPr>
            <w:tcW w:w="446" w:type="dxa"/>
          </w:tcPr>
          <w:p w14:paraId="79B2C900" w14:textId="77777777" w:rsidR="00450549" w:rsidRPr="00670755" w:rsidRDefault="00450549" w:rsidP="7821F417">
            <w:pPr>
              <w:ind w:right="-144"/>
              <w:jc w:val="both"/>
              <w:rPr>
                <w:rFonts w:cs="Arial"/>
              </w:rPr>
            </w:pPr>
          </w:p>
        </w:tc>
        <w:tc>
          <w:tcPr>
            <w:tcW w:w="5224" w:type="dxa"/>
          </w:tcPr>
          <w:p w14:paraId="5AD6014E" w14:textId="77777777" w:rsidR="00450549" w:rsidRPr="00670755" w:rsidRDefault="00450549" w:rsidP="7821F417">
            <w:pPr>
              <w:ind w:right="-144"/>
              <w:jc w:val="both"/>
              <w:rPr>
                <w:rFonts w:cs="Arial"/>
              </w:rPr>
            </w:pPr>
          </w:p>
        </w:tc>
        <w:tc>
          <w:tcPr>
            <w:tcW w:w="1985" w:type="dxa"/>
          </w:tcPr>
          <w:p w14:paraId="5EFCF45C" w14:textId="77777777" w:rsidR="00450549" w:rsidRPr="00A61A9A" w:rsidRDefault="5233DC41" w:rsidP="7821F417">
            <w:pPr>
              <w:tabs>
                <w:tab w:val="decimal" w:pos="1875"/>
              </w:tabs>
              <w:ind w:right="-110"/>
              <w:jc w:val="both"/>
              <w:rPr>
                <w:rFonts w:cs="Arial"/>
                <w:b/>
                <w:bCs/>
              </w:rPr>
            </w:pPr>
            <w:r w:rsidRPr="7821F417">
              <w:rPr>
                <w:rFonts w:cs="Arial"/>
                <w:b/>
                <w:bCs/>
              </w:rPr>
              <w:t>€’000</w:t>
            </w:r>
          </w:p>
        </w:tc>
        <w:tc>
          <w:tcPr>
            <w:tcW w:w="1559" w:type="dxa"/>
          </w:tcPr>
          <w:p w14:paraId="29376443" w14:textId="77777777" w:rsidR="00450549" w:rsidRPr="00FD2A5E" w:rsidRDefault="5233DC41" w:rsidP="7821F417">
            <w:pPr>
              <w:tabs>
                <w:tab w:val="decimal" w:pos="1422"/>
              </w:tabs>
              <w:ind w:right="-144"/>
              <w:jc w:val="both"/>
              <w:rPr>
                <w:rFonts w:cs="Arial"/>
                <w:b/>
                <w:bCs/>
              </w:rPr>
            </w:pPr>
            <w:r w:rsidRPr="7821F417">
              <w:rPr>
                <w:rFonts w:cs="Arial"/>
                <w:b/>
                <w:bCs/>
              </w:rPr>
              <w:t>€’000</w:t>
            </w:r>
          </w:p>
        </w:tc>
      </w:tr>
      <w:tr w:rsidR="00450549" w:rsidRPr="00670755" w14:paraId="164CE991" w14:textId="77777777" w:rsidTr="7821F417">
        <w:tc>
          <w:tcPr>
            <w:tcW w:w="446" w:type="dxa"/>
          </w:tcPr>
          <w:p w14:paraId="30470B2B" w14:textId="77777777" w:rsidR="00450549" w:rsidRPr="00670755" w:rsidRDefault="04C6D92F" w:rsidP="7821F417">
            <w:pPr>
              <w:ind w:right="-144"/>
              <w:jc w:val="both"/>
              <w:rPr>
                <w:rFonts w:cs="Arial"/>
              </w:rPr>
            </w:pPr>
            <w:r w:rsidRPr="7821F417">
              <w:rPr>
                <w:rFonts w:cs="Arial"/>
              </w:rPr>
              <w:t xml:space="preserve"> </w:t>
            </w:r>
          </w:p>
        </w:tc>
        <w:tc>
          <w:tcPr>
            <w:tcW w:w="5224" w:type="dxa"/>
          </w:tcPr>
          <w:p w14:paraId="30843661" w14:textId="77777777" w:rsidR="00450549" w:rsidRPr="00670755" w:rsidRDefault="00450549" w:rsidP="7821F417">
            <w:pPr>
              <w:ind w:right="-144"/>
              <w:jc w:val="both"/>
              <w:rPr>
                <w:rFonts w:cs="Arial"/>
              </w:rPr>
            </w:pPr>
          </w:p>
        </w:tc>
        <w:tc>
          <w:tcPr>
            <w:tcW w:w="1985" w:type="dxa"/>
          </w:tcPr>
          <w:p w14:paraId="5B270532" w14:textId="77777777" w:rsidR="00450549" w:rsidRPr="00670755" w:rsidRDefault="00450549" w:rsidP="7821F417">
            <w:pPr>
              <w:tabs>
                <w:tab w:val="decimal" w:pos="1424"/>
                <w:tab w:val="decimal" w:pos="1875"/>
              </w:tabs>
              <w:ind w:right="-110"/>
              <w:jc w:val="both"/>
              <w:rPr>
                <w:rFonts w:cs="Arial"/>
              </w:rPr>
            </w:pPr>
          </w:p>
        </w:tc>
        <w:tc>
          <w:tcPr>
            <w:tcW w:w="1559" w:type="dxa"/>
          </w:tcPr>
          <w:p w14:paraId="02FF46D4" w14:textId="77777777" w:rsidR="00450549" w:rsidRPr="00891FAB" w:rsidRDefault="00450549" w:rsidP="7821F417">
            <w:pPr>
              <w:tabs>
                <w:tab w:val="decimal" w:pos="1424"/>
              </w:tabs>
              <w:ind w:right="-144"/>
              <w:jc w:val="both"/>
              <w:rPr>
                <w:rFonts w:cs="Arial"/>
              </w:rPr>
            </w:pPr>
          </w:p>
        </w:tc>
      </w:tr>
      <w:tr w:rsidR="00C73C4A" w:rsidRPr="00670755" w14:paraId="305AC511" w14:textId="77777777" w:rsidTr="7821F417">
        <w:tc>
          <w:tcPr>
            <w:tcW w:w="446" w:type="dxa"/>
          </w:tcPr>
          <w:p w14:paraId="1FA91C26" w14:textId="77777777" w:rsidR="00C73C4A" w:rsidRPr="00670755" w:rsidRDefault="00C73C4A" w:rsidP="00C73C4A">
            <w:pPr>
              <w:ind w:right="-144"/>
              <w:jc w:val="both"/>
              <w:rPr>
                <w:rFonts w:cs="Arial"/>
              </w:rPr>
            </w:pPr>
          </w:p>
        </w:tc>
        <w:tc>
          <w:tcPr>
            <w:tcW w:w="5224" w:type="dxa"/>
          </w:tcPr>
          <w:p w14:paraId="35A99853" w14:textId="12EC1615" w:rsidR="00C73C4A" w:rsidRPr="00670755" w:rsidRDefault="00C73C4A" w:rsidP="00C73C4A">
            <w:pPr>
              <w:ind w:right="-144"/>
              <w:jc w:val="both"/>
              <w:rPr>
                <w:rFonts w:cs="Arial"/>
              </w:rPr>
            </w:pPr>
            <w:r w:rsidRPr="7821F417">
              <w:rPr>
                <w:rFonts w:cs="Arial"/>
              </w:rPr>
              <w:t>Land</w:t>
            </w:r>
          </w:p>
        </w:tc>
        <w:tc>
          <w:tcPr>
            <w:tcW w:w="1985" w:type="dxa"/>
          </w:tcPr>
          <w:p w14:paraId="46457CAC" w14:textId="7A332A5E" w:rsidR="00C73C4A" w:rsidRPr="007E17D0" w:rsidRDefault="00091C02" w:rsidP="00C73C4A">
            <w:pPr>
              <w:tabs>
                <w:tab w:val="decimal" w:pos="1875"/>
              </w:tabs>
              <w:ind w:right="-110"/>
              <w:jc w:val="both"/>
              <w:rPr>
                <w:rFonts w:cs="Arial"/>
                <w:b/>
                <w:bCs/>
              </w:rPr>
            </w:pPr>
            <w:r>
              <w:rPr>
                <w:rFonts w:cs="Arial"/>
                <w:b/>
                <w:bCs/>
              </w:rPr>
              <w:t>5</w:t>
            </w:r>
            <w:r w:rsidR="000A0071">
              <w:rPr>
                <w:rFonts w:cs="Arial"/>
                <w:b/>
                <w:bCs/>
              </w:rPr>
              <w:t>36</w:t>
            </w:r>
            <w:r w:rsidR="00DD345B">
              <w:rPr>
                <w:rFonts w:cs="Arial"/>
                <w:b/>
                <w:bCs/>
              </w:rPr>
              <w:t>,004</w:t>
            </w:r>
          </w:p>
        </w:tc>
        <w:tc>
          <w:tcPr>
            <w:tcW w:w="1559" w:type="dxa"/>
          </w:tcPr>
          <w:p w14:paraId="72CCA820" w14:textId="05C4C7BD" w:rsidR="00C73C4A" w:rsidRPr="00C73C4A" w:rsidRDefault="00C73C4A" w:rsidP="00C73C4A">
            <w:pPr>
              <w:tabs>
                <w:tab w:val="decimal" w:pos="1424"/>
              </w:tabs>
              <w:ind w:right="-144"/>
              <w:jc w:val="both"/>
              <w:rPr>
                <w:rFonts w:eastAsia="Calibri" w:cs="Arial"/>
                <w:szCs w:val="20"/>
              </w:rPr>
            </w:pPr>
            <w:r w:rsidRPr="00C73C4A">
              <w:t>556,163</w:t>
            </w:r>
          </w:p>
        </w:tc>
      </w:tr>
      <w:tr w:rsidR="00C73C4A" w:rsidRPr="00670755" w14:paraId="79A9F270" w14:textId="77777777" w:rsidTr="7821F417">
        <w:tc>
          <w:tcPr>
            <w:tcW w:w="446" w:type="dxa"/>
          </w:tcPr>
          <w:p w14:paraId="2546F751" w14:textId="77777777" w:rsidR="00C73C4A" w:rsidRPr="00670755" w:rsidRDefault="00C73C4A" w:rsidP="00C73C4A">
            <w:pPr>
              <w:ind w:right="-144"/>
              <w:jc w:val="both"/>
              <w:rPr>
                <w:rFonts w:cs="Arial"/>
              </w:rPr>
            </w:pPr>
          </w:p>
        </w:tc>
        <w:tc>
          <w:tcPr>
            <w:tcW w:w="5224" w:type="dxa"/>
          </w:tcPr>
          <w:p w14:paraId="2E8AA59C" w14:textId="111C1FED" w:rsidR="00C73C4A" w:rsidRDefault="00C73C4A" w:rsidP="00C73C4A">
            <w:pPr>
              <w:ind w:right="-144"/>
              <w:jc w:val="both"/>
              <w:rPr>
                <w:rFonts w:cs="Arial"/>
              </w:rPr>
            </w:pPr>
            <w:r w:rsidRPr="7821F417">
              <w:rPr>
                <w:rFonts w:cs="Arial"/>
              </w:rPr>
              <w:t xml:space="preserve">Development expenditure work in progress </w:t>
            </w:r>
          </w:p>
        </w:tc>
        <w:tc>
          <w:tcPr>
            <w:tcW w:w="1985" w:type="dxa"/>
          </w:tcPr>
          <w:p w14:paraId="18001A94" w14:textId="32C39A12" w:rsidR="00C73C4A" w:rsidRDefault="00E9549E" w:rsidP="00C73C4A">
            <w:pPr>
              <w:tabs>
                <w:tab w:val="decimal" w:pos="1875"/>
              </w:tabs>
              <w:ind w:right="-110"/>
              <w:jc w:val="both"/>
              <w:rPr>
                <w:rFonts w:cs="Arial"/>
                <w:b/>
                <w:bCs/>
              </w:rPr>
            </w:pPr>
            <w:r>
              <w:rPr>
                <w:rFonts w:cs="Arial"/>
                <w:b/>
                <w:bCs/>
              </w:rPr>
              <w:t>346,</w:t>
            </w:r>
            <w:r w:rsidR="00EA5D0E">
              <w:rPr>
                <w:rFonts w:cs="Arial"/>
                <w:b/>
                <w:bCs/>
              </w:rPr>
              <w:t>845</w:t>
            </w:r>
          </w:p>
        </w:tc>
        <w:tc>
          <w:tcPr>
            <w:tcW w:w="1559" w:type="dxa"/>
          </w:tcPr>
          <w:p w14:paraId="57086F7D" w14:textId="59CF404A" w:rsidR="00C73C4A" w:rsidRPr="00C73C4A" w:rsidRDefault="00C73C4A" w:rsidP="00C73C4A">
            <w:pPr>
              <w:tabs>
                <w:tab w:val="decimal" w:pos="1424"/>
              </w:tabs>
              <w:ind w:right="-144"/>
              <w:jc w:val="both"/>
              <w:rPr>
                <w:rFonts w:cs="Arial"/>
              </w:rPr>
            </w:pPr>
            <w:r w:rsidRPr="00C73C4A">
              <w:rPr>
                <w:rFonts w:eastAsia="Calibri" w:cs="Arial"/>
                <w:szCs w:val="20"/>
              </w:rPr>
              <w:t>283,746</w:t>
            </w:r>
          </w:p>
        </w:tc>
      </w:tr>
      <w:tr w:rsidR="00C73C4A" w:rsidRPr="00670755" w14:paraId="5EA323EF" w14:textId="77777777" w:rsidTr="7821F417">
        <w:trPr>
          <w:trHeight w:val="212"/>
        </w:trPr>
        <w:tc>
          <w:tcPr>
            <w:tcW w:w="446" w:type="dxa"/>
          </w:tcPr>
          <w:p w14:paraId="07C69F56" w14:textId="77777777" w:rsidR="00C73C4A" w:rsidRPr="00670755" w:rsidRDefault="00C73C4A" w:rsidP="00C73C4A">
            <w:pPr>
              <w:ind w:right="-144"/>
              <w:jc w:val="both"/>
              <w:rPr>
                <w:rFonts w:cs="Arial"/>
              </w:rPr>
            </w:pPr>
          </w:p>
        </w:tc>
        <w:tc>
          <w:tcPr>
            <w:tcW w:w="5224" w:type="dxa"/>
          </w:tcPr>
          <w:p w14:paraId="69DB6867" w14:textId="580CD398" w:rsidR="00C73C4A" w:rsidRPr="00670755" w:rsidRDefault="00C73C4A" w:rsidP="00C73C4A">
            <w:pPr>
              <w:ind w:right="-144"/>
              <w:jc w:val="both"/>
              <w:rPr>
                <w:rFonts w:cs="Arial"/>
              </w:rPr>
            </w:pPr>
            <w:r w:rsidRPr="7821F417">
              <w:rPr>
                <w:rFonts w:cs="Arial"/>
              </w:rPr>
              <w:t>Development rights</w:t>
            </w:r>
          </w:p>
        </w:tc>
        <w:tc>
          <w:tcPr>
            <w:tcW w:w="1985" w:type="dxa"/>
          </w:tcPr>
          <w:p w14:paraId="2141202B" w14:textId="7896E8E9" w:rsidR="00C73C4A" w:rsidRPr="007E17D0" w:rsidRDefault="00E9549E" w:rsidP="00C73C4A">
            <w:pPr>
              <w:tabs>
                <w:tab w:val="decimal" w:pos="1875"/>
              </w:tabs>
              <w:ind w:right="-110"/>
              <w:jc w:val="both"/>
              <w:rPr>
                <w:rFonts w:cs="Arial"/>
                <w:b/>
                <w:bCs/>
              </w:rPr>
            </w:pPr>
            <w:r>
              <w:rPr>
                <w:rFonts w:cs="Arial"/>
                <w:b/>
                <w:bCs/>
              </w:rPr>
              <w:t>2</w:t>
            </w:r>
            <w:r w:rsidR="00216015">
              <w:rPr>
                <w:rFonts w:cs="Arial"/>
                <w:b/>
                <w:bCs/>
              </w:rPr>
              <w:t>8,62</w:t>
            </w:r>
            <w:r w:rsidR="00267815">
              <w:rPr>
                <w:rFonts w:cs="Arial"/>
                <w:b/>
                <w:bCs/>
              </w:rPr>
              <w:t>5</w:t>
            </w:r>
          </w:p>
        </w:tc>
        <w:tc>
          <w:tcPr>
            <w:tcW w:w="1559" w:type="dxa"/>
          </w:tcPr>
          <w:p w14:paraId="5A7BE8E9" w14:textId="4568A6E8" w:rsidR="00C73C4A" w:rsidRPr="00C73C4A" w:rsidRDefault="00C73C4A" w:rsidP="00C73C4A">
            <w:pPr>
              <w:tabs>
                <w:tab w:val="decimal" w:pos="1424"/>
              </w:tabs>
              <w:ind w:right="-144"/>
              <w:jc w:val="both"/>
              <w:rPr>
                <w:rFonts w:cs="Arial"/>
              </w:rPr>
            </w:pPr>
            <w:r w:rsidRPr="00C73C4A">
              <w:rPr>
                <w:rFonts w:eastAsia="Calibri" w:cs="Arial"/>
                <w:szCs w:val="20"/>
              </w:rPr>
              <w:t>24,444</w:t>
            </w:r>
          </w:p>
        </w:tc>
      </w:tr>
      <w:tr w:rsidR="00450549" w:rsidRPr="00670755" w14:paraId="34C96185" w14:textId="77777777" w:rsidTr="7821F417">
        <w:tc>
          <w:tcPr>
            <w:tcW w:w="446" w:type="dxa"/>
          </w:tcPr>
          <w:p w14:paraId="33A67A3E" w14:textId="77777777" w:rsidR="00450549" w:rsidRPr="00670755" w:rsidRDefault="00450549" w:rsidP="7821F417">
            <w:pPr>
              <w:ind w:right="-144"/>
              <w:jc w:val="both"/>
              <w:rPr>
                <w:rFonts w:cs="Arial"/>
              </w:rPr>
            </w:pPr>
          </w:p>
        </w:tc>
        <w:tc>
          <w:tcPr>
            <w:tcW w:w="5224" w:type="dxa"/>
          </w:tcPr>
          <w:p w14:paraId="14AC5E04" w14:textId="77777777" w:rsidR="00450549" w:rsidRPr="00670755" w:rsidRDefault="00450549" w:rsidP="7821F417">
            <w:pPr>
              <w:ind w:right="-144"/>
              <w:jc w:val="both"/>
              <w:rPr>
                <w:rFonts w:cs="Arial"/>
              </w:rPr>
            </w:pPr>
          </w:p>
        </w:tc>
        <w:tc>
          <w:tcPr>
            <w:tcW w:w="1985" w:type="dxa"/>
          </w:tcPr>
          <w:p w14:paraId="339F697D" w14:textId="77777777" w:rsidR="00450549" w:rsidRPr="006C2F97" w:rsidRDefault="5233DC41" w:rsidP="7821F417">
            <w:pPr>
              <w:tabs>
                <w:tab w:val="decimal" w:pos="1875"/>
              </w:tabs>
              <w:ind w:right="-110"/>
              <w:jc w:val="both"/>
              <w:rPr>
                <w:rFonts w:cs="Arial"/>
                <w:u w:val="single"/>
              </w:rPr>
            </w:pPr>
            <w:r w:rsidRPr="7821F417">
              <w:rPr>
                <w:rFonts w:cs="Arial"/>
                <w:u w:val="single"/>
              </w:rPr>
              <w:t>                  </w:t>
            </w:r>
          </w:p>
        </w:tc>
        <w:tc>
          <w:tcPr>
            <w:tcW w:w="1559" w:type="dxa"/>
          </w:tcPr>
          <w:p w14:paraId="059EB66F" w14:textId="77777777" w:rsidR="00450549" w:rsidRPr="00891FAB" w:rsidRDefault="5233DC41" w:rsidP="7821F417">
            <w:pPr>
              <w:tabs>
                <w:tab w:val="decimal" w:pos="1424"/>
              </w:tabs>
              <w:ind w:right="-144"/>
              <w:jc w:val="both"/>
              <w:rPr>
                <w:rFonts w:cs="Arial"/>
                <w:u w:val="single"/>
              </w:rPr>
            </w:pPr>
            <w:r w:rsidRPr="7821F417">
              <w:rPr>
                <w:rFonts w:cs="Arial"/>
                <w:u w:val="single"/>
              </w:rPr>
              <w:t>                  </w:t>
            </w:r>
          </w:p>
        </w:tc>
      </w:tr>
      <w:tr w:rsidR="00450549" w:rsidRPr="00670755" w14:paraId="6DC4F09E" w14:textId="77777777" w:rsidTr="7821F417">
        <w:tc>
          <w:tcPr>
            <w:tcW w:w="446" w:type="dxa"/>
          </w:tcPr>
          <w:p w14:paraId="2CAEF0B4" w14:textId="77777777" w:rsidR="00450549" w:rsidRPr="00670755" w:rsidRDefault="00450549" w:rsidP="7821F417">
            <w:pPr>
              <w:ind w:right="-144"/>
              <w:jc w:val="both"/>
              <w:rPr>
                <w:rFonts w:cs="Arial"/>
              </w:rPr>
            </w:pPr>
          </w:p>
        </w:tc>
        <w:tc>
          <w:tcPr>
            <w:tcW w:w="5224" w:type="dxa"/>
          </w:tcPr>
          <w:p w14:paraId="4E54E482" w14:textId="77777777" w:rsidR="00450549" w:rsidRPr="00670755" w:rsidRDefault="00450549" w:rsidP="7821F417">
            <w:pPr>
              <w:ind w:right="-144"/>
              <w:jc w:val="both"/>
              <w:rPr>
                <w:rFonts w:cs="Arial"/>
              </w:rPr>
            </w:pPr>
          </w:p>
        </w:tc>
        <w:tc>
          <w:tcPr>
            <w:tcW w:w="1985" w:type="dxa"/>
          </w:tcPr>
          <w:p w14:paraId="29CF3521" w14:textId="77777777" w:rsidR="00450549" w:rsidRPr="00670755" w:rsidRDefault="00450549" w:rsidP="7821F417">
            <w:pPr>
              <w:tabs>
                <w:tab w:val="decimal" w:pos="1875"/>
              </w:tabs>
              <w:ind w:right="-110"/>
              <w:jc w:val="both"/>
              <w:rPr>
                <w:rFonts w:cs="Arial"/>
              </w:rPr>
            </w:pPr>
          </w:p>
        </w:tc>
        <w:tc>
          <w:tcPr>
            <w:tcW w:w="1559" w:type="dxa"/>
          </w:tcPr>
          <w:p w14:paraId="0D360E08" w14:textId="77777777" w:rsidR="00450549" w:rsidRPr="00891FAB" w:rsidRDefault="00450549" w:rsidP="7821F417">
            <w:pPr>
              <w:tabs>
                <w:tab w:val="decimal" w:pos="1424"/>
              </w:tabs>
              <w:ind w:right="-144"/>
              <w:jc w:val="both"/>
              <w:rPr>
                <w:rFonts w:cs="Arial"/>
              </w:rPr>
            </w:pPr>
          </w:p>
        </w:tc>
      </w:tr>
      <w:tr w:rsidR="00450549" w:rsidRPr="00670755" w14:paraId="2F42DBB3" w14:textId="77777777" w:rsidTr="7821F417">
        <w:tc>
          <w:tcPr>
            <w:tcW w:w="446" w:type="dxa"/>
          </w:tcPr>
          <w:p w14:paraId="374FC194" w14:textId="77777777" w:rsidR="00450549" w:rsidRPr="00670755" w:rsidRDefault="00450549" w:rsidP="7821F417">
            <w:pPr>
              <w:ind w:right="-144"/>
              <w:jc w:val="both"/>
              <w:rPr>
                <w:rFonts w:cs="Arial"/>
              </w:rPr>
            </w:pPr>
          </w:p>
        </w:tc>
        <w:tc>
          <w:tcPr>
            <w:tcW w:w="5224" w:type="dxa"/>
          </w:tcPr>
          <w:p w14:paraId="09C21F10" w14:textId="77777777" w:rsidR="00450549" w:rsidRPr="00670755" w:rsidRDefault="00450549" w:rsidP="7821F417">
            <w:pPr>
              <w:ind w:right="-144"/>
              <w:jc w:val="both"/>
              <w:rPr>
                <w:rFonts w:cs="Arial"/>
              </w:rPr>
            </w:pPr>
          </w:p>
        </w:tc>
        <w:tc>
          <w:tcPr>
            <w:tcW w:w="1985" w:type="dxa"/>
          </w:tcPr>
          <w:p w14:paraId="772E698C" w14:textId="4E9EFAB4" w:rsidR="00450549" w:rsidRPr="007E17D0" w:rsidRDefault="00152C58" w:rsidP="7821F417">
            <w:pPr>
              <w:tabs>
                <w:tab w:val="decimal" w:pos="1875"/>
              </w:tabs>
              <w:ind w:right="-110"/>
              <w:jc w:val="both"/>
              <w:rPr>
                <w:rFonts w:cs="Arial"/>
                <w:b/>
                <w:bCs/>
              </w:rPr>
            </w:pPr>
            <w:r>
              <w:rPr>
                <w:rFonts w:cs="Arial"/>
                <w:b/>
                <w:bCs/>
              </w:rPr>
              <w:t>911,474</w:t>
            </w:r>
          </w:p>
        </w:tc>
        <w:tc>
          <w:tcPr>
            <w:tcW w:w="1559" w:type="dxa"/>
          </w:tcPr>
          <w:p w14:paraId="4A941DAA" w14:textId="74641459" w:rsidR="00450549" w:rsidRPr="00E4062D" w:rsidRDefault="00E4062D" w:rsidP="7821F417">
            <w:pPr>
              <w:tabs>
                <w:tab w:val="decimal" w:pos="1424"/>
              </w:tabs>
              <w:ind w:right="-144"/>
              <w:jc w:val="both"/>
              <w:rPr>
                <w:rFonts w:eastAsia="Calibri" w:cs="Arial"/>
                <w:szCs w:val="20"/>
              </w:rPr>
            </w:pPr>
            <w:r w:rsidRPr="00E4062D">
              <w:rPr>
                <w:rFonts w:eastAsia="Calibri" w:cs="Arial"/>
                <w:szCs w:val="20"/>
              </w:rPr>
              <w:t>864,353</w:t>
            </w:r>
          </w:p>
        </w:tc>
      </w:tr>
      <w:tr w:rsidR="00450549" w:rsidRPr="00670755" w14:paraId="1C7567C6" w14:textId="77777777" w:rsidTr="7821F417">
        <w:trPr>
          <w:trHeight w:val="259"/>
        </w:trPr>
        <w:tc>
          <w:tcPr>
            <w:tcW w:w="446" w:type="dxa"/>
          </w:tcPr>
          <w:p w14:paraId="32F32CCF" w14:textId="77777777" w:rsidR="00450549" w:rsidRPr="00670755" w:rsidRDefault="00450549" w:rsidP="7821F417">
            <w:pPr>
              <w:ind w:right="-144"/>
              <w:jc w:val="both"/>
              <w:rPr>
                <w:rFonts w:cs="Arial"/>
              </w:rPr>
            </w:pPr>
          </w:p>
        </w:tc>
        <w:tc>
          <w:tcPr>
            <w:tcW w:w="5224" w:type="dxa"/>
          </w:tcPr>
          <w:p w14:paraId="360ABF51" w14:textId="77777777" w:rsidR="00450549" w:rsidRPr="00670755" w:rsidRDefault="00450549" w:rsidP="7821F417">
            <w:pPr>
              <w:ind w:right="-144"/>
              <w:jc w:val="both"/>
              <w:rPr>
                <w:rFonts w:cs="Arial"/>
              </w:rPr>
            </w:pPr>
          </w:p>
        </w:tc>
        <w:tc>
          <w:tcPr>
            <w:tcW w:w="1985" w:type="dxa"/>
          </w:tcPr>
          <w:p w14:paraId="555A5027" w14:textId="77777777" w:rsidR="00450549" w:rsidRDefault="04C6D92F" w:rsidP="7821F417">
            <w:pPr>
              <w:tabs>
                <w:tab w:val="decimal" w:pos="1875"/>
              </w:tabs>
              <w:ind w:right="-110"/>
              <w:jc w:val="both"/>
              <w:rPr>
                <w:rFonts w:cs="Arial"/>
                <w:b/>
                <w:bCs/>
              </w:rPr>
            </w:pPr>
            <w:r w:rsidRPr="7821F417">
              <w:rPr>
                <w:rFonts w:cs="Arial"/>
                <w:u w:val="double"/>
              </w:rPr>
              <w:t>                  </w:t>
            </w:r>
          </w:p>
        </w:tc>
        <w:tc>
          <w:tcPr>
            <w:tcW w:w="1559" w:type="dxa"/>
          </w:tcPr>
          <w:p w14:paraId="04C1DE2F" w14:textId="77777777" w:rsidR="00450549" w:rsidRPr="00891FAB" w:rsidRDefault="04C6D92F" w:rsidP="7821F417">
            <w:pPr>
              <w:tabs>
                <w:tab w:val="decimal" w:pos="1424"/>
              </w:tabs>
              <w:ind w:right="-144"/>
              <w:jc w:val="both"/>
              <w:rPr>
                <w:rFonts w:cs="Arial"/>
              </w:rPr>
            </w:pPr>
            <w:r w:rsidRPr="7821F417">
              <w:rPr>
                <w:rFonts w:cs="Arial"/>
                <w:u w:val="double"/>
              </w:rPr>
              <w:t>                  </w:t>
            </w:r>
          </w:p>
        </w:tc>
      </w:tr>
    </w:tbl>
    <w:p w14:paraId="2612C302" w14:textId="77777777" w:rsidR="004233DF" w:rsidRPr="004233DF" w:rsidRDefault="004233DF" w:rsidP="00F537F0">
      <w:pPr>
        <w:pStyle w:val="NotesBody"/>
        <w:ind w:left="0"/>
      </w:pPr>
    </w:p>
    <w:p w14:paraId="46CFE8E2" w14:textId="77777777" w:rsidR="00C443CA" w:rsidRPr="00A65BCA" w:rsidRDefault="00C443CA" w:rsidP="00A1275D">
      <w:pPr>
        <w:pStyle w:val="ListParagraph"/>
        <w:numPr>
          <w:ilvl w:val="0"/>
          <w:numId w:val="6"/>
        </w:numPr>
        <w:jc w:val="both"/>
        <w:rPr>
          <w:i/>
          <w:iCs/>
        </w:rPr>
      </w:pPr>
      <w:r w:rsidRPr="7821F417">
        <w:rPr>
          <w:i/>
          <w:iCs/>
        </w:rPr>
        <w:t>Employment cost capitalised</w:t>
      </w:r>
    </w:p>
    <w:p w14:paraId="3126003E" w14:textId="77777777" w:rsidR="00C443CA" w:rsidRDefault="00C443CA" w:rsidP="7821F417">
      <w:pPr>
        <w:ind w:left="448"/>
        <w:jc w:val="both"/>
        <w:rPr>
          <w:rFonts w:cs="Arial"/>
        </w:rPr>
      </w:pPr>
    </w:p>
    <w:p w14:paraId="19E411B5" w14:textId="00A4A663" w:rsidR="00C443CA" w:rsidRPr="009F332A" w:rsidRDefault="00C443CA" w:rsidP="5CD6ACF8">
      <w:pPr>
        <w:pStyle w:val="NotesBody"/>
        <w:jc w:val="both"/>
      </w:pPr>
      <w:r w:rsidRPr="00492301">
        <w:rPr>
          <w:rFonts w:cs="Arial"/>
        </w:rPr>
        <w:t>€</w:t>
      </w:r>
      <w:r w:rsidR="007D576C">
        <w:rPr>
          <w:rFonts w:cs="Arial"/>
        </w:rPr>
        <w:t>1</w:t>
      </w:r>
      <w:r w:rsidR="002156F3">
        <w:rPr>
          <w:rFonts w:cs="Arial"/>
        </w:rPr>
        <w:t>1.7</w:t>
      </w:r>
      <w:r w:rsidR="005212F8" w:rsidRPr="00492301">
        <w:t xml:space="preserve"> </w:t>
      </w:r>
      <w:r w:rsidRPr="00492301">
        <w:t>million</w:t>
      </w:r>
      <w:r>
        <w:t xml:space="preserve"> of employment costs</w:t>
      </w:r>
      <w:r w:rsidR="002D0551">
        <w:t xml:space="preserve"> </w:t>
      </w:r>
      <w:r>
        <w:t xml:space="preserve">incurred in the period have been capitalised in inventory </w:t>
      </w:r>
      <w:r w:rsidRPr="5CD6ACF8">
        <w:rPr>
          <w:i/>
          <w:iCs/>
        </w:rPr>
        <w:t xml:space="preserve">(June </w:t>
      </w:r>
      <w:r w:rsidR="0079694F" w:rsidRPr="5CD6ACF8">
        <w:rPr>
          <w:i/>
          <w:iCs/>
        </w:rPr>
        <w:t>202</w:t>
      </w:r>
      <w:r w:rsidR="00E4062D">
        <w:rPr>
          <w:i/>
          <w:iCs/>
        </w:rPr>
        <w:t>4</w:t>
      </w:r>
      <w:r w:rsidRPr="5CD6ACF8">
        <w:rPr>
          <w:i/>
          <w:iCs/>
        </w:rPr>
        <w:t xml:space="preserve">: </w:t>
      </w:r>
      <w:r w:rsidRPr="5CD6ACF8">
        <w:rPr>
          <w:rFonts w:cs="Arial"/>
          <w:i/>
          <w:iCs/>
        </w:rPr>
        <w:t>€</w:t>
      </w:r>
      <w:r w:rsidR="00E4062D">
        <w:rPr>
          <w:rFonts w:cs="Arial"/>
          <w:i/>
          <w:iCs/>
        </w:rPr>
        <w:t>12</w:t>
      </w:r>
      <w:r w:rsidR="00BF5345" w:rsidRPr="5CD6ACF8">
        <w:rPr>
          <w:rFonts w:cs="Arial"/>
          <w:i/>
          <w:iCs/>
        </w:rPr>
        <w:t xml:space="preserve">.0 </w:t>
      </w:r>
      <w:r w:rsidRPr="5CD6ACF8">
        <w:rPr>
          <w:i/>
          <w:iCs/>
        </w:rPr>
        <w:t>million</w:t>
      </w:r>
      <w:r w:rsidR="00065D06" w:rsidRPr="5CD6ACF8">
        <w:rPr>
          <w:i/>
          <w:iCs/>
        </w:rPr>
        <w:t>)</w:t>
      </w:r>
      <w:r w:rsidR="00EB51AF">
        <w:rPr>
          <w:i/>
          <w:iCs/>
        </w:rPr>
        <w:t xml:space="preserve">, </w:t>
      </w:r>
      <w:r w:rsidR="00EB51AF" w:rsidRPr="00EB51AF">
        <w:t>this includes</w:t>
      </w:r>
      <w:r w:rsidR="00EB51AF">
        <w:rPr>
          <w:i/>
          <w:iCs/>
        </w:rPr>
        <w:t xml:space="preserve"> </w:t>
      </w:r>
      <w:r w:rsidR="000938D6">
        <w:t xml:space="preserve">€0.8 million of </w:t>
      </w:r>
      <w:r w:rsidR="003225B3">
        <w:t xml:space="preserve">equity settled </w:t>
      </w:r>
      <w:r w:rsidR="007B64EC">
        <w:t>share-based</w:t>
      </w:r>
      <w:r w:rsidR="003225B3">
        <w:t xml:space="preserve"> payment costs incurred in the period</w:t>
      </w:r>
      <w:r w:rsidR="007B64EC">
        <w:t xml:space="preserve"> </w:t>
      </w:r>
      <w:r w:rsidR="007B64EC" w:rsidRPr="007B64EC">
        <w:rPr>
          <w:i/>
          <w:iCs/>
        </w:rPr>
        <w:t>(June 2024: €Nil)</w:t>
      </w:r>
      <w:r w:rsidR="009F332A">
        <w:t xml:space="preserve">. </w:t>
      </w:r>
    </w:p>
    <w:p w14:paraId="5671C4B0" w14:textId="77777777" w:rsidR="00917336" w:rsidRDefault="00917336" w:rsidP="0F8406B4">
      <w:pPr>
        <w:pStyle w:val="NotesBody"/>
        <w:jc w:val="both"/>
        <w:rPr>
          <w:i/>
        </w:rPr>
      </w:pPr>
    </w:p>
    <w:p w14:paraId="06BCF346" w14:textId="32292C7B" w:rsidR="00917336" w:rsidRDefault="00917336" w:rsidP="00917336">
      <w:pPr>
        <w:pStyle w:val="ListParagraph"/>
        <w:numPr>
          <w:ilvl w:val="0"/>
          <w:numId w:val="6"/>
        </w:numPr>
        <w:jc w:val="both"/>
        <w:rPr>
          <w:i/>
          <w:iCs/>
        </w:rPr>
      </w:pPr>
      <w:r>
        <w:rPr>
          <w:i/>
          <w:iCs/>
        </w:rPr>
        <w:t>Development right</w:t>
      </w:r>
      <w:r w:rsidR="001C15DD">
        <w:rPr>
          <w:i/>
          <w:iCs/>
        </w:rPr>
        <w:t>s</w:t>
      </w:r>
    </w:p>
    <w:p w14:paraId="4DC431BD" w14:textId="77777777" w:rsidR="00917336" w:rsidRDefault="00917336" w:rsidP="00917336">
      <w:pPr>
        <w:ind w:left="448"/>
        <w:jc w:val="both"/>
        <w:rPr>
          <w:i/>
          <w:iCs/>
        </w:rPr>
      </w:pPr>
    </w:p>
    <w:p w14:paraId="5B028765" w14:textId="5FB9EBBE" w:rsidR="004E2141" w:rsidRPr="00270A88" w:rsidRDefault="006030BE" w:rsidP="004E2141">
      <w:pPr>
        <w:spacing w:after="160" w:line="259" w:lineRule="auto"/>
        <w:ind w:left="426"/>
        <w:rPr>
          <w:rFonts w:cs="Arial"/>
          <w:i/>
          <w:iCs/>
        </w:rPr>
      </w:pPr>
      <w:r>
        <w:rPr>
          <w:rFonts w:cs="Arial"/>
          <w:i/>
          <w:iCs/>
        </w:rPr>
        <w:t>Mooretown</w:t>
      </w:r>
      <w:r w:rsidR="004E2141" w:rsidRPr="00270A88">
        <w:rPr>
          <w:rFonts w:cs="Arial"/>
          <w:i/>
          <w:iCs/>
        </w:rPr>
        <w:t xml:space="preserve">, </w:t>
      </w:r>
      <w:r w:rsidR="00837AA6">
        <w:rPr>
          <w:rFonts w:cs="Arial"/>
          <w:i/>
          <w:iCs/>
        </w:rPr>
        <w:t>Swords</w:t>
      </w:r>
      <w:r w:rsidR="004E2141" w:rsidRPr="00270A88">
        <w:rPr>
          <w:rFonts w:cs="Arial"/>
          <w:i/>
          <w:iCs/>
        </w:rPr>
        <w:t xml:space="preserve">, </w:t>
      </w:r>
      <w:r w:rsidR="009F0FFA">
        <w:rPr>
          <w:rFonts w:cs="Arial"/>
          <w:i/>
          <w:iCs/>
        </w:rPr>
        <w:t xml:space="preserve">Co </w:t>
      </w:r>
      <w:r w:rsidR="004E2141" w:rsidRPr="00270A88">
        <w:rPr>
          <w:rFonts w:cs="Arial"/>
          <w:i/>
          <w:iCs/>
        </w:rPr>
        <w:t>Dublin</w:t>
      </w:r>
    </w:p>
    <w:p w14:paraId="7D89BCE3" w14:textId="28C261A8" w:rsidR="004E2141" w:rsidRPr="008335AE" w:rsidRDefault="004E2141" w:rsidP="004407E8">
      <w:pPr>
        <w:spacing w:after="160" w:line="259" w:lineRule="auto"/>
        <w:ind w:left="426"/>
        <w:rPr>
          <w:rFonts w:cs="Arial"/>
        </w:rPr>
      </w:pPr>
      <w:r w:rsidRPr="004956E7">
        <w:rPr>
          <w:rFonts w:cs="Arial"/>
        </w:rPr>
        <w:t xml:space="preserve">In </w:t>
      </w:r>
      <w:r w:rsidR="008B20DC">
        <w:rPr>
          <w:rFonts w:cs="Arial"/>
        </w:rPr>
        <w:t>March</w:t>
      </w:r>
      <w:r w:rsidRPr="004956E7">
        <w:rPr>
          <w:rFonts w:cs="Arial"/>
        </w:rPr>
        <w:t xml:space="preserve"> 202</w:t>
      </w:r>
      <w:r w:rsidR="008B20DC">
        <w:rPr>
          <w:rFonts w:cs="Arial"/>
        </w:rPr>
        <w:t>5</w:t>
      </w:r>
      <w:r w:rsidRPr="004956E7">
        <w:rPr>
          <w:rFonts w:cs="Arial"/>
        </w:rPr>
        <w:t xml:space="preserve">, the </w:t>
      </w:r>
      <w:r>
        <w:rPr>
          <w:rFonts w:cs="Arial"/>
        </w:rPr>
        <w:t>Company</w:t>
      </w:r>
      <w:r w:rsidRPr="004956E7">
        <w:rPr>
          <w:rFonts w:cs="Arial"/>
        </w:rPr>
        <w:t xml:space="preserve"> entered into a Development Agreement (“DA”) with Fingal County Council</w:t>
      </w:r>
      <w:r>
        <w:rPr>
          <w:rFonts w:cs="Arial"/>
        </w:rPr>
        <w:t xml:space="preserve"> </w:t>
      </w:r>
      <w:r w:rsidRPr="004956E7">
        <w:rPr>
          <w:rFonts w:cs="Arial"/>
        </w:rPr>
        <w:t>(“FCC”). Under the terms of the DA and following planning permission being granted, th</w:t>
      </w:r>
      <w:r>
        <w:rPr>
          <w:rFonts w:cs="Arial"/>
        </w:rPr>
        <w:t>e Company</w:t>
      </w:r>
      <w:r w:rsidRPr="004956E7">
        <w:rPr>
          <w:rFonts w:cs="Arial"/>
        </w:rPr>
        <w:t xml:space="preserve"> acquired certain development rights in respect of the site at </w:t>
      </w:r>
      <w:r w:rsidR="00C34AF5">
        <w:rPr>
          <w:rFonts w:cs="Arial"/>
        </w:rPr>
        <w:t>Mooretown</w:t>
      </w:r>
      <w:r w:rsidRPr="004956E7">
        <w:rPr>
          <w:rFonts w:cs="Arial"/>
        </w:rPr>
        <w:t xml:space="preserve">, </w:t>
      </w:r>
      <w:r w:rsidR="00F26EDB">
        <w:rPr>
          <w:rFonts w:cs="Arial"/>
        </w:rPr>
        <w:t>Swords</w:t>
      </w:r>
      <w:r w:rsidRPr="004956E7">
        <w:rPr>
          <w:rFonts w:cs="Arial"/>
        </w:rPr>
        <w:t>, Dublin for</w:t>
      </w:r>
      <w:r>
        <w:rPr>
          <w:rFonts w:cs="Arial"/>
        </w:rPr>
        <w:t xml:space="preserve"> </w:t>
      </w:r>
      <w:r w:rsidRPr="004956E7">
        <w:rPr>
          <w:rFonts w:cs="Arial"/>
        </w:rPr>
        <w:t xml:space="preserve">consideration of approximately </w:t>
      </w:r>
      <w:r w:rsidRPr="000D6368">
        <w:rPr>
          <w:rFonts w:cs="Arial"/>
        </w:rPr>
        <w:t>€</w:t>
      </w:r>
      <w:r w:rsidR="00A9426B">
        <w:rPr>
          <w:rFonts w:cs="Arial"/>
        </w:rPr>
        <w:t>7</w:t>
      </w:r>
      <w:r w:rsidR="00FA5D2A" w:rsidRPr="000D6368">
        <w:rPr>
          <w:rFonts w:cs="Arial"/>
        </w:rPr>
        <w:t>.1</w:t>
      </w:r>
      <w:r w:rsidRPr="000D6368">
        <w:rPr>
          <w:rFonts w:cs="Arial"/>
        </w:rPr>
        <w:t>m</w:t>
      </w:r>
      <w:r w:rsidRPr="004956E7">
        <w:rPr>
          <w:rFonts w:cs="Arial"/>
        </w:rPr>
        <w:t xml:space="preserve"> exclusive of stamp duty and acquisition costs. The development rights</w:t>
      </w:r>
      <w:r>
        <w:rPr>
          <w:rFonts w:cs="Arial"/>
        </w:rPr>
        <w:t xml:space="preserve"> </w:t>
      </w:r>
      <w:r w:rsidRPr="004956E7">
        <w:rPr>
          <w:rFonts w:cs="Arial"/>
        </w:rPr>
        <w:t xml:space="preserve">(subject to planning permission) entitle the </w:t>
      </w:r>
      <w:r>
        <w:rPr>
          <w:rFonts w:cs="Arial"/>
        </w:rPr>
        <w:t>Company</w:t>
      </w:r>
      <w:r w:rsidRPr="004956E7">
        <w:rPr>
          <w:rFonts w:cs="Arial"/>
        </w:rPr>
        <w:t xml:space="preserve"> to develop approximately </w:t>
      </w:r>
      <w:r w:rsidR="00EB7284">
        <w:rPr>
          <w:rFonts w:cs="Arial"/>
        </w:rPr>
        <w:t>350</w:t>
      </w:r>
      <w:r w:rsidRPr="004956E7">
        <w:rPr>
          <w:rFonts w:cs="Arial"/>
        </w:rPr>
        <w:t xml:space="preserve"> residential units in</w:t>
      </w:r>
      <w:r>
        <w:rPr>
          <w:rFonts w:cs="Arial"/>
        </w:rPr>
        <w:t xml:space="preserve"> </w:t>
      </w:r>
      <w:r w:rsidRPr="004956E7">
        <w:rPr>
          <w:rFonts w:cs="Arial"/>
        </w:rPr>
        <w:t>accordance with the terms of the DA.</w:t>
      </w:r>
    </w:p>
    <w:p w14:paraId="5516A60B" w14:textId="77777777" w:rsidR="000B02F9" w:rsidRDefault="000B02F9" w:rsidP="7821F417">
      <w:pPr>
        <w:pStyle w:val="NotesBody"/>
        <w:jc w:val="both"/>
        <w:rPr>
          <w:i/>
          <w:iCs/>
        </w:rPr>
      </w:pPr>
    </w:p>
    <w:p w14:paraId="3045E237" w14:textId="2CE20359" w:rsidR="004F23FA" w:rsidRDefault="004F23FA" w:rsidP="004F23FA">
      <w:pPr>
        <w:pStyle w:val="NotesHeading"/>
        <w:jc w:val="both"/>
        <w:rPr>
          <w:lang w:eastAsia="en-IE"/>
        </w:rPr>
      </w:pPr>
      <w:r>
        <w:t>1</w:t>
      </w:r>
      <w:r w:rsidR="00CD63DA">
        <w:t>2</w:t>
      </w:r>
      <w:r>
        <w:tab/>
      </w:r>
      <w:r w:rsidRPr="7821F417">
        <w:rPr>
          <w:lang w:eastAsia="en-IE"/>
        </w:rPr>
        <w:t>Property, plant and equipment</w:t>
      </w:r>
    </w:p>
    <w:p w14:paraId="040419C6" w14:textId="77777777" w:rsidR="004F23FA" w:rsidRDefault="004F23FA" w:rsidP="004F23FA">
      <w:pPr>
        <w:pStyle w:val="NotesBody"/>
        <w:jc w:val="both"/>
        <w:rPr>
          <w:lang w:eastAsia="en-IE"/>
        </w:rPr>
      </w:pPr>
    </w:p>
    <w:p w14:paraId="47A90619" w14:textId="57CA5C94" w:rsidR="00CA2A07" w:rsidRDefault="004F23FA" w:rsidP="009F332A">
      <w:pPr>
        <w:pStyle w:val="NotesBody"/>
        <w:jc w:val="both"/>
        <w:rPr>
          <w:lang w:eastAsia="en-IE"/>
        </w:rPr>
      </w:pPr>
      <w:r w:rsidRPr="00B37AA8">
        <w:rPr>
          <w:lang w:eastAsia="en-IE"/>
        </w:rPr>
        <w:t>During the period, the Group recognised total additions to property, plant and equipment of €</w:t>
      </w:r>
      <w:r w:rsidR="00AB1B8A">
        <w:rPr>
          <w:lang w:eastAsia="en-IE"/>
        </w:rPr>
        <w:t>3.5</w:t>
      </w:r>
      <w:r w:rsidR="00DC4593">
        <w:rPr>
          <w:lang w:eastAsia="en-IE"/>
        </w:rPr>
        <w:t xml:space="preserve">     </w:t>
      </w:r>
      <w:r w:rsidR="00342896" w:rsidRPr="00B37AA8">
        <w:rPr>
          <w:lang w:eastAsia="en-IE"/>
        </w:rPr>
        <w:t xml:space="preserve"> </w:t>
      </w:r>
      <w:r w:rsidRPr="00B37AA8">
        <w:rPr>
          <w:lang w:eastAsia="en-IE"/>
        </w:rPr>
        <w:t xml:space="preserve">million </w:t>
      </w:r>
      <w:r w:rsidRPr="00B37AA8">
        <w:rPr>
          <w:i/>
          <w:iCs/>
          <w:lang w:eastAsia="en-IE"/>
        </w:rPr>
        <w:t xml:space="preserve">(six months ended 30 June </w:t>
      </w:r>
      <w:r w:rsidR="00824274" w:rsidRPr="00B37AA8">
        <w:rPr>
          <w:i/>
          <w:iCs/>
          <w:lang w:eastAsia="en-IE"/>
        </w:rPr>
        <w:t>202</w:t>
      </w:r>
      <w:r w:rsidR="00DC4593">
        <w:rPr>
          <w:i/>
          <w:iCs/>
          <w:lang w:eastAsia="en-IE"/>
        </w:rPr>
        <w:t>4</w:t>
      </w:r>
      <w:r w:rsidRPr="00B37AA8">
        <w:rPr>
          <w:i/>
          <w:iCs/>
          <w:lang w:eastAsia="en-IE"/>
        </w:rPr>
        <w:t>: €</w:t>
      </w:r>
      <w:r w:rsidR="00DC4593">
        <w:rPr>
          <w:i/>
          <w:iCs/>
          <w:lang w:eastAsia="en-IE"/>
        </w:rPr>
        <w:t>2.4</w:t>
      </w:r>
      <w:r w:rsidRPr="00B37AA8">
        <w:rPr>
          <w:i/>
          <w:iCs/>
          <w:lang w:eastAsia="en-IE"/>
        </w:rPr>
        <w:t xml:space="preserve"> million)</w:t>
      </w:r>
      <w:r w:rsidRPr="00B37AA8">
        <w:rPr>
          <w:lang w:eastAsia="en-IE"/>
        </w:rPr>
        <w:t xml:space="preserve"> which included expenditure on land and buildings of €</w:t>
      </w:r>
      <w:r w:rsidR="00135F65">
        <w:rPr>
          <w:lang w:eastAsia="en-IE"/>
        </w:rPr>
        <w:t xml:space="preserve">0.3 </w:t>
      </w:r>
      <w:r w:rsidR="006B47FA" w:rsidRPr="00B37AA8">
        <w:rPr>
          <w:lang w:eastAsia="en-IE"/>
        </w:rPr>
        <w:t>million</w:t>
      </w:r>
      <w:r w:rsidRPr="00B37AA8">
        <w:rPr>
          <w:lang w:eastAsia="en-IE"/>
        </w:rPr>
        <w:t xml:space="preserve"> </w:t>
      </w:r>
      <w:r w:rsidRPr="00B37AA8">
        <w:rPr>
          <w:i/>
          <w:iCs/>
          <w:lang w:eastAsia="en-IE"/>
        </w:rPr>
        <w:t xml:space="preserve">(six months ended 30 June </w:t>
      </w:r>
      <w:r w:rsidR="00824274" w:rsidRPr="00B37AA8">
        <w:rPr>
          <w:i/>
          <w:iCs/>
          <w:lang w:eastAsia="en-IE"/>
        </w:rPr>
        <w:t>20</w:t>
      </w:r>
      <w:r w:rsidR="00C91932" w:rsidRPr="00B37AA8">
        <w:rPr>
          <w:i/>
          <w:iCs/>
          <w:lang w:eastAsia="en-IE"/>
        </w:rPr>
        <w:t>2</w:t>
      </w:r>
      <w:r w:rsidR="00A96EB8">
        <w:rPr>
          <w:i/>
          <w:iCs/>
          <w:lang w:eastAsia="en-IE"/>
        </w:rPr>
        <w:t>4</w:t>
      </w:r>
      <w:r w:rsidRPr="00B37AA8">
        <w:rPr>
          <w:i/>
          <w:iCs/>
          <w:lang w:eastAsia="en-IE"/>
        </w:rPr>
        <w:t>: €</w:t>
      </w:r>
      <w:r w:rsidR="00A96EB8">
        <w:rPr>
          <w:i/>
          <w:iCs/>
          <w:lang w:eastAsia="en-IE"/>
        </w:rPr>
        <w:t>0.7</w:t>
      </w:r>
      <w:r w:rsidR="00824274" w:rsidRPr="00B37AA8">
        <w:rPr>
          <w:i/>
          <w:iCs/>
          <w:lang w:eastAsia="en-IE"/>
        </w:rPr>
        <w:t xml:space="preserve"> million</w:t>
      </w:r>
      <w:r w:rsidRPr="00B37AA8">
        <w:rPr>
          <w:i/>
          <w:iCs/>
          <w:lang w:eastAsia="en-IE"/>
        </w:rPr>
        <w:t>)</w:t>
      </w:r>
      <w:r w:rsidRPr="00B37AA8">
        <w:rPr>
          <w:lang w:eastAsia="en-IE"/>
        </w:rPr>
        <w:t>, with €</w:t>
      </w:r>
      <w:r w:rsidR="0028248F">
        <w:rPr>
          <w:lang w:eastAsia="en-IE"/>
        </w:rPr>
        <w:t xml:space="preserve"> </w:t>
      </w:r>
      <w:r w:rsidR="00A6698F">
        <w:rPr>
          <w:lang w:eastAsia="en-IE"/>
        </w:rPr>
        <w:t>3.2</w:t>
      </w:r>
      <w:r w:rsidR="00135F65">
        <w:rPr>
          <w:lang w:eastAsia="en-IE"/>
        </w:rPr>
        <w:t xml:space="preserve"> </w:t>
      </w:r>
      <w:r w:rsidRPr="00B37AA8">
        <w:rPr>
          <w:lang w:eastAsia="en-IE"/>
        </w:rPr>
        <w:t xml:space="preserve">million </w:t>
      </w:r>
      <w:r w:rsidRPr="00B37AA8">
        <w:rPr>
          <w:i/>
          <w:iCs/>
          <w:lang w:eastAsia="en-IE"/>
        </w:rPr>
        <w:t xml:space="preserve">(six months ended 30 June </w:t>
      </w:r>
      <w:r w:rsidR="00C03867" w:rsidRPr="00B37AA8">
        <w:rPr>
          <w:i/>
          <w:iCs/>
          <w:lang w:eastAsia="en-IE"/>
        </w:rPr>
        <w:t>202</w:t>
      </w:r>
      <w:r w:rsidR="0028248F">
        <w:rPr>
          <w:i/>
          <w:iCs/>
          <w:lang w:eastAsia="en-IE"/>
        </w:rPr>
        <w:t>4</w:t>
      </w:r>
      <w:r w:rsidRPr="00B37AA8">
        <w:rPr>
          <w:i/>
          <w:iCs/>
          <w:lang w:eastAsia="en-IE"/>
        </w:rPr>
        <w:t>: €</w:t>
      </w:r>
      <w:r w:rsidR="0028248F">
        <w:rPr>
          <w:i/>
          <w:iCs/>
          <w:lang w:eastAsia="en-IE"/>
        </w:rPr>
        <w:t>1.7</w:t>
      </w:r>
      <w:r w:rsidRPr="00B37AA8">
        <w:rPr>
          <w:i/>
          <w:iCs/>
          <w:lang w:eastAsia="en-IE"/>
        </w:rPr>
        <w:t xml:space="preserve"> million)</w:t>
      </w:r>
      <w:r w:rsidRPr="00B37AA8">
        <w:rPr>
          <w:lang w:eastAsia="en-IE"/>
        </w:rPr>
        <w:t xml:space="preserve"> invested in plant and machinery,</w:t>
      </w:r>
      <w:r w:rsidR="00DF0E48" w:rsidRPr="00B37AA8">
        <w:rPr>
          <w:lang w:eastAsia="en-IE"/>
        </w:rPr>
        <w:t xml:space="preserve"> </w:t>
      </w:r>
      <w:r w:rsidRPr="00B37AA8">
        <w:rPr>
          <w:lang w:eastAsia="en-IE"/>
        </w:rPr>
        <w:t>fixtures and fittings and computer equipment. Depreciation recognised in the period was €</w:t>
      </w:r>
      <w:r w:rsidR="00DF7448">
        <w:rPr>
          <w:lang w:eastAsia="en-IE"/>
        </w:rPr>
        <w:t xml:space="preserve">3.4 </w:t>
      </w:r>
      <w:r w:rsidRPr="00B37AA8">
        <w:rPr>
          <w:lang w:eastAsia="en-IE"/>
        </w:rPr>
        <w:t xml:space="preserve">million </w:t>
      </w:r>
      <w:r w:rsidRPr="00B37AA8">
        <w:rPr>
          <w:i/>
          <w:iCs/>
          <w:lang w:eastAsia="en-IE"/>
        </w:rPr>
        <w:t xml:space="preserve">(six months ended 30 June </w:t>
      </w:r>
      <w:r w:rsidR="00C03867" w:rsidRPr="00B37AA8">
        <w:rPr>
          <w:i/>
          <w:iCs/>
          <w:lang w:eastAsia="en-IE"/>
        </w:rPr>
        <w:t>202</w:t>
      </w:r>
      <w:r w:rsidR="0028248F">
        <w:rPr>
          <w:i/>
          <w:iCs/>
          <w:lang w:eastAsia="en-IE"/>
        </w:rPr>
        <w:t>4</w:t>
      </w:r>
      <w:r w:rsidRPr="00B37AA8">
        <w:rPr>
          <w:i/>
          <w:iCs/>
          <w:lang w:eastAsia="en-IE"/>
        </w:rPr>
        <w:t>: €</w:t>
      </w:r>
      <w:r w:rsidR="0028248F">
        <w:rPr>
          <w:i/>
          <w:iCs/>
          <w:lang w:eastAsia="en-IE"/>
        </w:rPr>
        <w:t>3</w:t>
      </w:r>
      <w:r w:rsidR="00D53C88">
        <w:rPr>
          <w:i/>
          <w:iCs/>
          <w:lang w:eastAsia="en-IE"/>
        </w:rPr>
        <w:t>.3</w:t>
      </w:r>
      <w:r w:rsidR="00C03867" w:rsidRPr="00B37AA8">
        <w:rPr>
          <w:i/>
          <w:iCs/>
          <w:lang w:eastAsia="en-IE"/>
        </w:rPr>
        <w:t xml:space="preserve"> </w:t>
      </w:r>
      <w:r w:rsidRPr="00B37AA8">
        <w:rPr>
          <w:i/>
          <w:iCs/>
          <w:lang w:eastAsia="en-IE"/>
        </w:rPr>
        <w:t>million)</w:t>
      </w:r>
      <w:r w:rsidRPr="00B37AA8">
        <w:rPr>
          <w:lang w:eastAsia="en-IE"/>
        </w:rPr>
        <w:t>.</w:t>
      </w:r>
      <w:r w:rsidRPr="001D24EB">
        <w:rPr>
          <w:lang w:eastAsia="en-IE"/>
        </w:rPr>
        <w:t xml:space="preserve"> </w:t>
      </w:r>
      <w:r w:rsidR="00CA3A77">
        <w:rPr>
          <w:lang w:eastAsia="en-IE"/>
        </w:rPr>
        <w:t>Net dispos</w:t>
      </w:r>
      <w:r w:rsidR="0051178E">
        <w:rPr>
          <w:lang w:eastAsia="en-IE"/>
        </w:rPr>
        <w:t xml:space="preserve">als </w:t>
      </w:r>
      <w:r w:rsidR="001B6782">
        <w:rPr>
          <w:lang w:eastAsia="en-IE"/>
        </w:rPr>
        <w:t xml:space="preserve">of plant and </w:t>
      </w:r>
      <w:r w:rsidR="00C772EA">
        <w:rPr>
          <w:lang w:eastAsia="en-IE"/>
        </w:rPr>
        <w:t xml:space="preserve">machinery </w:t>
      </w:r>
      <w:r w:rsidR="0051178E">
        <w:rPr>
          <w:lang w:eastAsia="en-IE"/>
        </w:rPr>
        <w:t>in the per</w:t>
      </w:r>
      <w:r w:rsidR="007B6D1E">
        <w:rPr>
          <w:lang w:eastAsia="en-IE"/>
        </w:rPr>
        <w:t>iod of €</w:t>
      </w:r>
      <w:r w:rsidR="002465FB">
        <w:rPr>
          <w:lang w:eastAsia="en-IE"/>
        </w:rPr>
        <w:t xml:space="preserve">0.2 </w:t>
      </w:r>
      <w:r w:rsidR="007C5A2D">
        <w:rPr>
          <w:lang w:eastAsia="en-IE"/>
        </w:rPr>
        <w:t>m</w:t>
      </w:r>
      <w:r w:rsidR="002465FB">
        <w:rPr>
          <w:lang w:eastAsia="en-IE"/>
        </w:rPr>
        <w:t>illion</w:t>
      </w:r>
      <w:r w:rsidR="007C5A2D">
        <w:rPr>
          <w:lang w:eastAsia="en-IE"/>
        </w:rPr>
        <w:t xml:space="preserve"> </w:t>
      </w:r>
      <w:r w:rsidR="007C5A2D" w:rsidRPr="00B37AA8">
        <w:rPr>
          <w:i/>
          <w:iCs/>
          <w:lang w:eastAsia="en-IE"/>
        </w:rPr>
        <w:t>(six months ended 30 June 202</w:t>
      </w:r>
      <w:r w:rsidR="00806FE0">
        <w:rPr>
          <w:i/>
          <w:iCs/>
          <w:lang w:eastAsia="en-IE"/>
        </w:rPr>
        <w:t>4</w:t>
      </w:r>
      <w:r w:rsidR="007C5A2D" w:rsidRPr="00B37AA8">
        <w:rPr>
          <w:i/>
          <w:iCs/>
          <w:lang w:eastAsia="en-IE"/>
        </w:rPr>
        <w:t>: €</w:t>
      </w:r>
      <w:r w:rsidR="00145EBF">
        <w:rPr>
          <w:i/>
          <w:iCs/>
          <w:lang w:eastAsia="en-IE"/>
        </w:rPr>
        <w:t>0.</w:t>
      </w:r>
      <w:r w:rsidR="00806FE0">
        <w:rPr>
          <w:i/>
          <w:iCs/>
          <w:lang w:eastAsia="en-IE"/>
        </w:rPr>
        <w:t>2</w:t>
      </w:r>
      <w:r w:rsidR="007C5A2D" w:rsidRPr="00B37AA8">
        <w:rPr>
          <w:i/>
          <w:iCs/>
          <w:lang w:eastAsia="en-IE"/>
        </w:rPr>
        <w:t xml:space="preserve"> million)</w:t>
      </w:r>
      <w:r w:rsidR="007C5A2D" w:rsidRPr="00B37AA8">
        <w:rPr>
          <w:lang w:eastAsia="en-IE"/>
        </w:rPr>
        <w:t>.</w:t>
      </w:r>
    </w:p>
    <w:p w14:paraId="32BE060C" w14:textId="77777777" w:rsidR="00314512" w:rsidRDefault="00314512" w:rsidP="004A3454">
      <w:pPr>
        <w:pStyle w:val="NotesBody"/>
        <w:ind w:left="0"/>
        <w:jc w:val="both"/>
        <w:rPr>
          <w:lang w:eastAsia="en-IE"/>
        </w:rPr>
      </w:pPr>
    </w:p>
    <w:p w14:paraId="0B678462" w14:textId="247F7A85" w:rsidR="003240D3" w:rsidRDefault="003240D3" w:rsidP="7821F417">
      <w:pPr>
        <w:pStyle w:val="NotesBody"/>
        <w:jc w:val="both"/>
        <w:rPr>
          <w:lang w:eastAsia="en-IE"/>
        </w:rPr>
      </w:pPr>
      <w:r w:rsidRPr="003240D3">
        <w:rPr>
          <w:lang w:eastAsia="en-IE"/>
        </w:rPr>
        <w:t xml:space="preserve">During the period, the Group entered into new lease agreements for the use of motor vehicles </w:t>
      </w:r>
      <w:r w:rsidR="00964E59">
        <w:rPr>
          <w:lang w:eastAsia="en-IE"/>
        </w:rPr>
        <w:t>of</w:t>
      </w:r>
      <w:r w:rsidRPr="003240D3">
        <w:rPr>
          <w:lang w:eastAsia="en-IE"/>
        </w:rPr>
        <w:t xml:space="preserve"> €</w:t>
      </w:r>
      <w:r w:rsidR="000714FD">
        <w:rPr>
          <w:lang w:eastAsia="en-IE"/>
        </w:rPr>
        <w:t>1.0</w:t>
      </w:r>
      <w:r w:rsidR="00404522">
        <w:rPr>
          <w:lang w:eastAsia="en-IE"/>
        </w:rPr>
        <w:t xml:space="preserve">    </w:t>
      </w:r>
      <w:r>
        <w:rPr>
          <w:lang w:eastAsia="en-IE"/>
        </w:rPr>
        <w:t xml:space="preserve"> </w:t>
      </w:r>
      <w:r w:rsidRPr="003240D3">
        <w:rPr>
          <w:lang w:eastAsia="en-IE"/>
        </w:rPr>
        <w:t>million (</w:t>
      </w:r>
      <w:r w:rsidRPr="00D224A7">
        <w:rPr>
          <w:i/>
          <w:iCs/>
          <w:lang w:eastAsia="en-IE"/>
        </w:rPr>
        <w:t>six months ended 30 June 202</w:t>
      </w:r>
      <w:r w:rsidR="00404522">
        <w:rPr>
          <w:i/>
          <w:iCs/>
          <w:lang w:eastAsia="en-IE"/>
        </w:rPr>
        <w:t>4</w:t>
      </w:r>
      <w:r w:rsidRPr="00D224A7">
        <w:rPr>
          <w:i/>
          <w:iCs/>
          <w:lang w:eastAsia="en-IE"/>
        </w:rPr>
        <w:t xml:space="preserve">: </w:t>
      </w:r>
      <w:r w:rsidR="00D224A7" w:rsidRPr="00D224A7">
        <w:rPr>
          <w:i/>
          <w:iCs/>
          <w:lang w:eastAsia="en-IE"/>
        </w:rPr>
        <w:t>€0.2 million</w:t>
      </w:r>
      <w:r w:rsidRPr="003240D3">
        <w:rPr>
          <w:lang w:eastAsia="en-IE"/>
        </w:rPr>
        <w:t>).</w:t>
      </w:r>
    </w:p>
    <w:p w14:paraId="03481EE0" w14:textId="77777777" w:rsidR="00670DFA" w:rsidRDefault="00670DFA" w:rsidP="003240D3">
      <w:pPr>
        <w:pStyle w:val="NotesBody"/>
        <w:ind w:left="0"/>
        <w:jc w:val="both"/>
        <w:rPr>
          <w:lang w:eastAsia="en-IE"/>
        </w:rPr>
      </w:pPr>
    </w:p>
    <w:p w14:paraId="0F0765C9" w14:textId="77777777" w:rsidR="00670DFA" w:rsidRDefault="00670DFA" w:rsidP="003240D3">
      <w:pPr>
        <w:pStyle w:val="NotesBody"/>
        <w:ind w:left="0"/>
        <w:jc w:val="both"/>
        <w:rPr>
          <w:lang w:eastAsia="en-IE"/>
        </w:rPr>
      </w:pPr>
    </w:p>
    <w:p w14:paraId="6FCE4BC6" w14:textId="3E1708D1" w:rsidR="000240BA" w:rsidRPr="00670755" w:rsidRDefault="000240BA" w:rsidP="000240BA">
      <w:pPr>
        <w:pStyle w:val="NotesHeading"/>
      </w:pPr>
      <w:r>
        <w:t>1</w:t>
      </w:r>
      <w:r w:rsidR="00400B82">
        <w:t>3</w:t>
      </w:r>
      <w:r>
        <w:tab/>
        <w:t>Share capital and share premium</w:t>
      </w:r>
    </w:p>
    <w:p w14:paraId="583DE270" w14:textId="77777777" w:rsidR="000240BA" w:rsidRDefault="000240BA" w:rsidP="000240BA">
      <w:pPr>
        <w:pStyle w:val="NotesBody"/>
      </w:pPr>
    </w:p>
    <w:tbl>
      <w:tblPr>
        <w:tblStyle w:val="TableGrid"/>
        <w:tblW w:w="51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37"/>
        <w:gridCol w:w="5801"/>
        <w:gridCol w:w="1703"/>
        <w:gridCol w:w="1701"/>
      </w:tblGrid>
      <w:tr w:rsidR="00042688" w:rsidRPr="00BD69AF" w14:paraId="5BC6BD12" w14:textId="77777777">
        <w:tc>
          <w:tcPr>
            <w:tcW w:w="227" w:type="pct"/>
          </w:tcPr>
          <w:p w14:paraId="16853A6D" w14:textId="77777777" w:rsidR="00042688" w:rsidRPr="00BD69AF" w:rsidRDefault="00042688">
            <w:pPr>
              <w:rPr>
                <w:lang w:eastAsia="en-IE"/>
              </w:rPr>
            </w:pPr>
          </w:p>
        </w:tc>
        <w:tc>
          <w:tcPr>
            <w:tcW w:w="3008" w:type="pct"/>
          </w:tcPr>
          <w:p w14:paraId="101F3381" w14:textId="77777777" w:rsidR="00042688" w:rsidRPr="00BD69AF" w:rsidRDefault="00042688">
            <w:pPr>
              <w:pStyle w:val="Heading1"/>
              <w:numPr>
                <w:ilvl w:val="0"/>
                <w:numId w:val="2"/>
              </w:numPr>
              <w:ind w:left="446" w:hanging="446"/>
              <w:rPr>
                <w:lang w:eastAsia="en-IE"/>
              </w:rPr>
            </w:pPr>
            <w:r w:rsidRPr="7821F417">
              <w:rPr>
                <w:lang w:eastAsia="en-IE"/>
              </w:rPr>
              <w:t>Authorised share capital</w:t>
            </w:r>
          </w:p>
        </w:tc>
        <w:tc>
          <w:tcPr>
            <w:tcW w:w="883" w:type="pct"/>
          </w:tcPr>
          <w:p w14:paraId="18078F6B" w14:textId="77777777" w:rsidR="00042688" w:rsidRPr="00BD69AF" w:rsidRDefault="00042688">
            <w:pPr>
              <w:tabs>
                <w:tab w:val="decimal" w:pos="1424"/>
              </w:tabs>
              <w:ind w:right="-144"/>
              <w:rPr>
                <w:b/>
                <w:bCs/>
                <w:lang w:eastAsia="en-IE"/>
              </w:rPr>
            </w:pPr>
          </w:p>
        </w:tc>
        <w:tc>
          <w:tcPr>
            <w:tcW w:w="882" w:type="pct"/>
          </w:tcPr>
          <w:p w14:paraId="7515AE25" w14:textId="77777777" w:rsidR="00042688" w:rsidRPr="00BD69AF" w:rsidRDefault="00042688">
            <w:pPr>
              <w:tabs>
                <w:tab w:val="decimal" w:pos="1424"/>
              </w:tabs>
              <w:ind w:right="-144"/>
              <w:rPr>
                <w:b/>
                <w:bCs/>
                <w:lang w:eastAsia="en-IE"/>
              </w:rPr>
            </w:pPr>
          </w:p>
        </w:tc>
      </w:tr>
      <w:tr w:rsidR="00042688" w:rsidRPr="00BD69AF" w14:paraId="7728F7FB" w14:textId="77777777">
        <w:tc>
          <w:tcPr>
            <w:tcW w:w="227" w:type="pct"/>
          </w:tcPr>
          <w:p w14:paraId="725050A6" w14:textId="77777777" w:rsidR="00042688" w:rsidRPr="00BD69AF" w:rsidRDefault="00042688">
            <w:pPr>
              <w:ind w:right="-144"/>
              <w:rPr>
                <w:lang w:eastAsia="en-IE"/>
              </w:rPr>
            </w:pPr>
          </w:p>
        </w:tc>
        <w:tc>
          <w:tcPr>
            <w:tcW w:w="3008" w:type="pct"/>
          </w:tcPr>
          <w:p w14:paraId="0E32ECD7" w14:textId="77777777" w:rsidR="00042688" w:rsidRPr="00BD69AF" w:rsidRDefault="00042688">
            <w:pPr>
              <w:pStyle w:val="Heading1"/>
              <w:ind w:right="-144"/>
              <w:rPr>
                <w:lang w:eastAsia="en-IE"/>
              </w:rPr>
            </w:pPr>
          </w:p>
        </w:tc>
        <w:tc>
          <w:tcPr>
            <w:tcW w:w="883" w:type="pct"/>
          </w:tcPr>
          <w:p w14:paraId="52B4A362" w14:textId="77777777" w:rsidR="00042688" w:rsidRPr="00BD69AF" w:rsidRDefault="00042688">
            <w:pPr>
              <w:tabs>
                <w:tab w:val="decimal" w:pos="1424"/>
              </w:tabs>
              <w:ind w:right="-144"/>
              <w:rPr>
                <w:b/>
                <w:bCs/>
                <w:lang w:eastAsia="en-IE"/>
              </w:rPr>
            </w:pPr>
          </w:p>
        </w:tc>
        <w:tc>
          <w:tcPr>
            <w:tcW w:w="882" w:type="pct"/>
          </w:tcPr>
          <w:p w14:paraId="76ECD80A" w14:textId="77777777" w:rsidR="00042688" w:rsidRPr="00BD69AF" w:rsidRDefault="00042688">
            <w:pPr>
              <w:tabs>
                <w:tab w:val="decimal" w:pos="1424"/>
              </w:tabs>
              <w:ind w:right="-144"/>
              <w:rPr>
                <w:b/>
                <w:bCs/>
                <w:lang w:eastAsia="en-IE"/>
              </w:rPr>
            </w:pPr>
          </w:p>
        </w:tc>
      </w:tr>
      <w:tr w:rsidR="00042688" w:rsidRPr="00BD69AF" w14:paraId="16BEA566" w14:textId="77777777">
        <w:tc>
          <w:tcPr>
            <w:tcW w:w="227" w:type="pct"/>
          </w:tcPr>
          <w:p w14:paraId="79BE5E3A" w14:textId="77777777" w:rsidR="00042688" w:rsidRPr="00BD69AF" w:rsidRDefault="00042688">
            <w:pPr>
              <w:ind w:right="-144"/>
              <w:rPr>
                <w:lang w:eastAsia="en-IE"/>
              </w:rPr>
            </w:pPr>
          </w:p>
        </w:tc>
        <w:tc>
          <w:tcPr>
            <w:tcW w:w="3008" w:type="pct"/>
          </w:tcPr>
          <w:p w14:paraId="1731D5A1" w14:textId="329DE973" w:rsidR="00042688" w:rsidRPr="00860AEA" w:rsidRDefault="00042688">
            <w:pPr>
              <w:ind w:right="-144"/>
              <w:rPr>
                <w:b/>
                <w:bCs/>
                <w:lang w:eastAsia="en-IE"/>
              </w:rPr>
            </w:pPr>
            <w:r w:rsidRPr="7821F417">
              <w:rPr>
                <w:b/>
                <w:bCs/>
                <w:lang w:eastAsia="en-IE"/>
              </w:rPr>
              <w:t xml:space="preserve">As </w:t>
            </w:r>
            <w:proofErr w:type="gramStart"/>
            <w:r w:rsidRPr="7821F417">
              <w:rPr>
                <w:b/>
                <w:bCs/>
                <w:lang w:eastAsia="en-IE"/>
              </w:rPr>
              <w:t>at</w:t>
            </w:r>
            <w:proofErr w:type="gramEnd"/>
            <w:r w:rsidRPr="7821F417">
              <w:rPr>
                <w:b/>
                <w:bCs/>
                <w:lang w:eastAsia="en-IE"/>
              </w:rPr>
              <w:t xml:space="preserve"> 30 June 202</w:t>
            </w:r>
            <w:r>
              <w:rPr>
                <w:b/>
                <w:bCs/>
                <w:lang w:eastAsia="en-IE"/>
              </w:rPr>
              <w:t>5</w:t>
            </w:r>
            <w:r w:rsidRPr="7821F417">
              <w:rPr>
                <w:b/>
                <w:bCs/>
                <w:lang w:eastAsia="en-IE"/>
              </w:rPr>
              <w:t xml:space="preserve"> </w:t>
            </w:r>
          </w:p>
        </w:tc>
        <w:tc>
          <w:tcPr>
            <w:tcW w:w="883" w:type="pct"/>
          </w:tcPr>
          <w:p w14:paraId="6DDD2D05" w14:textId="77777777" w:rsidR="00042688" w:rsidRPr="00BD69AF" w:rsidRDefault="00042688">
            <w:pPr>
              <w:tabs>
                <w:tab w:val="decimal" w:pos="1424"/>
              </w:tabs>
              <w:ind w:right="-144"/>
              <w:rPr>
                <w:b/>
                <w:bCs/>
                <w:lang w:eastAsia="en-IE"/>
              </w:rPr>
            </w:pPr>
            <w:r w:rsidRPr="7821F417">
              <w:rPr>
                <w:b/>
                <w:bCs/>
                <w:lang w:eastAsia="en-IE"/>
              </w:rPr>
              <w:t>Number of</w:t>
            </w:r>
          </w:p>
        </w:tc>
        <w:tc>
          <w:tcPr>
            <w:tcW w:w="882" w:type="pct"/>
          </w:tcPr>
          <w:p w14:paraId="5915071C" w14:textId="77777777" w:rsidR="00042688" w:rsidRPr="00BD69AF" w:rsidRDefault="00042688">
            <w:pPr>
              <w:tabs>
                <w:tab w:val="decimal" w:pos="1424"/>
              </w:tabs>
              <w:ind w:right="-144"/>
              <w:rPr>
                <w:b/>
                <w:bCs/>
                <w:lang w:eastAsia="en-IE"/>
              </w:rPr>
            </w:pPr>
          </w:p>
        </w:tc>
      </w:tr>
      <w:tr w:rsidR="00042688" w:rsidRPr="00BD69AF" w14:paraId="167024D2" w14:textId="77777777">
        <w:tc>
          <w:tcPr>
            <w:tcW w:w="227" w:type="pct"/>
          </w:tcPr>
          <w:p w14:paraId="2ADC06EF" w14:textId="77777777" w:rsidR="00042688" w:rsidRPr="00BD69AF" w:rsidRDefault="00042688">
            <w:pPr>
              <w:ind w:right="-144"/>
              <w:rPr>
                <w:lang w:eastAsia="en-IE"/>
              </w:rPr>
            </w:pPr>
          </w:p>
        </w:tc>
        <w:tc>
          <w:tcPr>
            <w:tcW w:w="3008" w:type="pct"/>
          </w:tcPr>
          <w:p w14:paraId="5602C03C" w14:textId="77777777" w:rsidR="00042688" w:rsidRPr="00BD69AF" w:rsidRDefault="00042688">
            <w:pPr>
              <w:ind w:right="-144"/>
              <w:rPr>
                <w:lang w:eastAsia="en-IE"/>
              </w:rPr>
            </w:pPr>
          </w:p>
        </w:tc>
        <w:tc>
          <w:tcPr>
            <w:tcW w:w="883" w:type="pct"/>
          </w:tcPr>
          <w:p w14:paraId="4295AD97" w14:textId="77777777" w:rsidR="00042688" w:rsidRPr="00BD69AF" w:rsidRDefault="00042688">
            <w:pPr>
              <w:tabs>
                <w:tab w:val="decimal" w:pos="1424"/>
              </w:tabs>
              <w:ind w:right="-144"/>
              <w:rPr>
                <w:b/>
                <w:bCs/>
                <w:lang w:eastAsia="en-IE"/>
              </w:rPr>
            </w:pPr>
            <w:r w:rsidRPr="7821F417">
              <w:rPr>
                <w:b/>
                <w:bCs/>
                <w:lang w:eastAsia="en-IE"/>
              </w:rPr>
              <w:t>shares</w:t>
            </w:r>
          </w:p>
        </w:tc>
        <w:tc>
          <w:tcPr>
            <w:tcW w:w="882" w:type="pct"/>
          </w:tcPr>
          <w:p w14:paraId="03315400" w14:textId="77777777" w:rsidR="00042688" w:rsidRPr="00BD69AF" w:rsidRDefault="00042688">
            <w:pPr>
              <w:tabs>
                <w:tab w:val="decimal" w:pos="1424"/>
              </w:tabs>
              <w:ind w:right="-144"/>
              <w:rPr>
                <w:b/>
                <w:bCs/>
                <w:lang w:eastAsia="en-IE"/>
              </w:rPr>
            </w:pPr>
            <w:r w:rsidRPr="7821F417">
              <w:rPr>
                <w:b/>
                <w:bCs/>
                <w:lang w:eastAsia="en-IE"/>
              </w:rPr>
              <w:t>€’000</w:t>
            </w:r>
          </w:p>
        </w:tc>
      </w:tr>
      <w:tr w:rsidR="00042688" w:rsidRPr="00BD69AF" w14:paraId="43F6037F" w14:textId="77777777">
        <w:tc>
          <w:tcPr>
            <w:tcW w:w="227" w:type="pct"/>
          </w:tcPr>
          <w:p w14:paraId="67415532" w14:textId="77777777" w:rsidR="00042688" w:rsidRPr="00BD69AF" w:rsidRDefault="00042688">
            <w:pPr>
              <w:ind w:right="-144"/>
              <w:rPr>
                <w:lang w:eastAsia="en-IE"/>
              </w:rPr>
            </w:pPr>
          </w:p>
        </w:tc>
        <w:tc>
          <w:tcPr>
            <w:tcW w:w="3008" w:type="pct"/>
          </w:tcPr>
          <w:p w14:paraId="506E45E4" w14:textId="77777777" w:rsidR="00042688" w:rsidRPr="00BD69AF" w:rsidRDefault="00042688">
            <w:pPr>
              <w:ind w:right="-144"/>
              <w:rPr>
                <w:lang w:eastAsia="en-IE"/>
              </w:rPr>
            </w:pPr>
          </w:p>
        </w:tc>
        <w:tc>
          <w:tcPr>
            <w:tcW w:w="883" w:type="pct"/>
          </w:tcPr>
          <w:p w14:paraId="317C16CB" w14:textId="77777777" w:rsidR="00042688" w:rsidRPr="00BD69AF" w:rsidRDefault="00042688">
            <w:pPr>
              <w:tabs>
                <w:tab w:val="decimal" w:pos="1424"/>
              </w:tabs>
              <w:ind w:right="-144"/>
              <w:rPr>
                <w:lang w:eastAsia="en-IE"/>
              </w:rPr>
            </w:pPr>
          </w:p>
        </w:tc>
        <w:tc>
          <w:tcPr>
            <w:tcW w:w="882" w:type="pct"/>
          </w:tcPr>
          <w:p w14:paraId="008330DB" w14:textId="77777777" w:rsidR="00042688" w:rsidRPr="00BD69AF" w:rsidRDefault="00042688">
            <w:pPr>
              <w:tabs>
                <w:tab w:val="decimal" w:pos="1424"/>
              </w:tabs>
              <w:ind w:right="-144"/>
              <w:rPr>
                <w:lang w:eastAsia="en-IE"/>
              </w:rPr>
            </w:pPr>
          </w:p>
        </w:tc>
      </w:tr>
      <w:tr w:rsidR="00042688" w:rsidRPr="00BD69AF" w14:paraId="4AD4CA4D" w14:textId="77777777">
        <w:tc>
          <w:tcPr>
            <w:tcW w:w="227" w:type="pct"/>
          </w:tcPr>
          <w:p w14:paraId="4FF0F2FB" w14:textId="77777777" w:rsidR="00042688" w:rsidRPr="00997223" w:rsidRDefault="00042688">
            <w:pPr>
              <w:ind w:right="-144"/>
              <w:rPr>
                <w:rFonts w:cs="Arial"/>
                <w:lang w:eastAsia="en-IE"/>
              </w:rPr>
            </w:pPr>
          </w:p>
        </w:tc>
        <w:tc>
          <w:tcPr>
            <w:tcW w:w="3008" w:type="pct"/>
          </w:tcPr>
          <w:p w14:paraId="69A6764D" w14:textId="77777777" w:rsidR="00042688" w:rsidRPr="00BD69AF" w:rsidRDefault="00042688">
            <w:pPr>
              <w:ind w:right="-144"/>
              <w:rPr>
                <w:lang w:eastAsia="en-IE"/>
              </w:rPr>
            </w:pPr>
            <w:r w:rsidRPr="7821F417">
              <w:rPr>
                <w:lang w:eastAsia="en-IE"/>
              </w:rPr>
              <w:t>Ordinary shares of €0.001 each</w:t>
            </w:r>
          </w:p>
        </w:tc>
        <w:tc>
          <w:tcPr>
            <w:tcW w:w="883" w:type="pct"/>
          </w:tcPr>
          <w:p w14:paraId="32155020" w14:textId="77777777" w:rsidR="00042688" w:rsidRPr="0070024B" w:rsidRDefault="00042688">
            <w:pPr>
              <w:tabs>
                <w:tab w:val="decimal" w:pos="1424"/>
              </w:tabs>
              <w:ind w:right="-144"/>
              <w:rPr>
                <w:b/>
                <w:bCs/>
                <w:lang w:eastAsia="en-IE"/>
              </w:rPr>
            </w:pPr>
            <w:r w:rsidRPr="0070024B">
              <w:rPr>
                <w:b/>
                <w:bCs/>
                <w:lang w:eastAsia="en-IE"/>
              </w:rPr>
              <w:t>1,000,000,000</w:t>
            </w:r>
          </w:p>
        </w:tc>
        <w:tc>
          <w:tcPr>
            <w:tcW w:w="882" w:type="pct"/>
          </w:tcPr>
          <w:p w14:paraId="76AFA188" w14:textId="77777777" w:rsidR="00042688" w:rsidRPr="0070024B" w:rsidRDefault="00042688">
            <w:pPr>
              <w:tabs>
                <w:tab w:val="decimal" w:pos="1424"/>
              </w:tabs>
              <w:ind w:right="-144"/>
              <w:rPr>
                <w:b/>
                <w:bCs/>
                <w:lang w:eastAsia="en-IE"/>
              </w:rPr>
            </w:pPr>
            <w:r w:rsidRPr="0070024B">
              <w:rPr>
                <w:b/>
                <w:bCs/>
                <w:lang w:eastAsia="en-IE"/>
              </w:rPr>
              <w:t>1,000</w:t>
            </w:r>
          </w:p>
        </w:tc>
      </w:tr>
      <w:tr w:rsidR="00042688" w:rsidRPr="00BD69AF" w14:paraId="4E858B29" w14:textId="77777777">
        <w:tc>
          <w:tcPr>
            <w:tcW w:w="227" w:type="pct"/>
          </w:tcPr>
          <w:p w14:paraId="1B901BA0" w14:textId="77777777" w:rsidR="00042688" w:rsidRPr="00997223" w:rsidRDefault="00042688">
            <w:pPr>
              <w:ind w:right="-144"/>
              <w:rPr>
                <w:rFonts w:cs="Arial"/>
                <w:lang w:eastAsia="en-IE"/>
              </w:rPr>
            </w:pPr>
          </w:p>
        </w:tc>
        <w:tc>
          <w:tcPr>
            <w:tcW w:w="3008" w:type="pct"/>
          </w:tcPr>
          <w:p w14:paraId="0280860C" w14:textId="77777777" w:rsidR="00042688" w:rsidRPr="00BD69AF" w:rsidRDefault="00042688">
            <w:pPr>
              <w:ind w:right="-144"/>
              <w:rPr>
                <w:lang w:eastAsia="en-IE"/>
              </w:rPr>
            </w:pPr>
          </w:p>
        </w:tc>
        <w:tc>
          <w:tcPr>
            <w:tcW w:w="883" w:type="pct"/>
          </w:tcPr>
          <w:p w14:paraId="17A32153" w14:textId="77777777" w:rsidR="00042688" w:rsidRPr="00BD69AF" w:rsidRDefault="00042688">
            <w:pPr>
              <w:tabs>
                <w:tab w:val="decimal" w:pos="1424"/>
              </w:tabs>
              <w:ind w:right="-144"/>
              <w:rPr>
                <w:u w:val="single"/>
                <w:lang w:eastAsia="en-IE"/>
              </w:rPr>
            </w:pPr>
            <w:r w:rsidRPr="7821F417">
              <w:rPr>
                <w:u w:val="single"/>
                <w:lang w:eastAsia="en-IE"/>
              </w:rPr>
              <w:t>                        </w:t>
            </w:r>
          </w:p>
        </w:tc>
        <w:tc>
          <w:tcPr>
            <w:tcW w:w="882" w:type="pct"/>
          </w:tcPr>
          <w:p w14:paraId="68423203" w14:textId="77777777" w:rsidR="00042688" w:rsidRPr="00BD69AF" w:rsidRDefault="00042688">
            <w:pPr>
              <w:tabs>
                <w:tab w:val="decimal" w:pos="1424"/>
              </w:tabs>
              <w:ind w:right="-144"/>
              <w:rPr>
                <w:u w:val="single"/>
                <w:lang w:eastAsia="en-IE"/>
              </w:rPr>
            </w:pPr>
            <w:r w:rsidRPr="7821F417">
              <w:rPr>
                <w:u w:val="single"/>
                <w:lang w:eastAsia="en-IE"/>
              </w:rPr>
              <w:t>                        </w:t>
            </w:r>
          </w:p>
        </w:tc>
      </w:tr>
      <w:tr w:rsidR="00042688" w:rsidRPr="00BD69AF" w14:paraId="2026D1F9" w14:textId="77777777">
        <w:tc>
          <w:tcPr>
            <w:tcW w:w="227" w:type="pct"/>
          </w:tcPr>
          <w:p w14:paraId="74387736" w14:textId="77777777" w:rsidR="00042688" w:rsidRPr="00997223" w:rsidRDefault="00042688">
            <w:pPr>
              <w:ind w:right="-144"/>
              <w:rPr>
                <w:rFonts w:cs="Arial"/>
                <w:lang w:eastAsia="en-IE"/>
              </w:rPr>
            </w:pPr>
          </w:p>
        </w:tc>
        <w:tc>
          <w:tcPr>
            <w:tcW w:w="3008" w:type="pct"/>
          </w:tcPr>
          <w:p w14:paraId="35425239" w14:textId="77777777" w:rsidR="00042688" w:rsidRPr="00BD69AF" w:rsidRDefault="00042688">
            <w:pPr>
              <w:ind w:right="-144"/>
              <w:rPr>
                <w:lang w:eastAsia="en-IE"/>
              </w:rPr>
            </w:pPr>
          </w:p>
        </w:tc>
        <w:tc>
          <w:tcPr>
            <w:tcW w:w="883" w:type="pct"/>
          </w:tcPr>
          <w:p w14:paraId="4C591512" w14:textId="77777777" w:rsidR="00042688" w:rsidRPr="00BD69AF" w:rsidRDefault="00042688">
            <w:pPr>
              <w:tabs>
                <w:tab w:val="decimal" w:pos="1424"/>
              </w:tabs>
              <w:ind w:right="-144"/>
              <w:rPr>
                <w:lang w:eastAsia="en-IE"/>
              </w:rPr>
            </w:pPr>
          </w:p>
        </w:tc>
        <w:tc>
          <w:tcPr>
            <w:tcW w:w="882" w:type="pct"/>
          </w:tcPr>
          <w:p w14:paraId="108A2E81" w14:textId="77777777" w:rsidR="00042688" w:rsidRDefault="00042688">
            <w:pPr>
              <w:tabs>
                <w:tab w:val="decimal" w:pos="1424"/>
              </w:tabs>
              <w:ind w:right="-144"/>
              <w:rPr>
                <w:lang w:eastAsia="en-IE"/>
              </w:rPr>
            </w:pPr>
          </w:p>
        </w:tc>
      </w:tr>
      <w:tr w:rsidR="00042688" w:rsidRPr="00BD69AF" w14:paraId="23CC890A" w14:textId="77777777">
        <w:tc>
          <w:tcPr>
            <w:tcW w:w="227" w:type="pct"/>
          </w:tcPr>
          <w:p w14:paraId="0C51FF66" w14:textId="77777777" w:rsidR="00042688" w:rsidRPr="00997223" w:rsidRDefault="00042688">
            <w:pPr>
              <w:ind w:right="-144"/>
              <w:rPr>
                <w:rFonts w:cs="Arial"/>
                <w:lang w:eastAsia="en-IE"/>
              </w:rPr>
            </w:pPr>
          </w:p>
        </w:tc>
        <w:tc>
          <w:tcPr>
            <w:tcW w:w="3008" w:type="pct"/>
          </w:tcPr>
          <w:p w14:paraId="40BF9989" w14:textId="77777777" w:rsidR="00042688" w:rsidRPr="00997223" w:rsidRDefault="00042688">
            <w:pPr>
              <w:ind w:right="-144"/>
              <w:rPr>
                <w:rFonts w:cs="Arial"/>
                <w:lang w:eastAsia="en-IE"/>
              </w:rPr>
            </w:pPr>
          </w:p>
        </w:tc>
        <w:tc>
          <w:tcPr>
            <w:tcW w:w="883" w:type="pct"/>
          </w:tcPr>
          <w:p w14:paraId="1172006D" w14:textId="6467411F" w:rsidR="00042688" w:rsidRPr="00BD69AF" w:rsidRDefault="00042688">
            <w:pPr>
              <w:tabs>
                <w:tab w:val="decimal" w:pos="1424"/>
              </w:tabs>
              <w:ind w:right="-144"/>
              <w:rPr>
                <w:rFonts w:ascii="Times New Roman" w:hAnsi="Times New Roman" w:cs="Times New Roman"/>
                <w:b/>
                <w:bCs/>
                <w:lang w:eastAsia="en-IE"/>
              </w:rPr>
            </w:pPr>
            <w:r w:rsidRPr="7821F417">
              <w:rPr>
                <w:b/>
                <w:bCs/>
                <w:lang w:eastAsia="en-IE"/>
              </w:rPr>
              <w:t>1,</w:t>
            </w:r>
            <w:r w:rsidR="00055A79">
              <w:rPr>
                <w:b/>
                <w:bCs/>
                <w:lang w:eastAsia="en-IE"/>
              </w:rPr>
              <w:t>0</w:t>
            </w:r>
            <w:r w:rsidRPr="7821F417">
              <w:rPr>
                <w:b/>
                <w:bCs/>
                <w:lang w:eastAsia="en-IE"/>
              </w:rPr>
              <w:t>00,000,000</w:t>
            </w:r>
          </w:p>
        </w:tc>
        <w:tc>
          <w:tcPr>
            <w:tcW w:w="882" w:type="pct"/>
          </w:tcPr>
          <w:p w14:paraId="5D871F67" w14:textId="1A9988FF" w:rsidR="00042688" w:rsidRPr="00BD69AF" w:rsidRDefault="00042688">
            <w:pPr>
              <w:tabs>
                <w:tab w:val="decimal" w:pos="1424"/>
              </w:tabs>
              <w:ind w:right="-144"/>
              <w:rPr>
                <w:rFonts w:ascii="Times New Roman" w:hAnsi="Times New Roman" w:cs="Times New Roman"/>
                <w:b/>
                <w:bCs/>
                <w:lang w:eastAsia="en-IE"/>
              </w:rPr>
            </w:pPr>
            <w:r w:rsidRPr="7821F417">
              <w:rPr>
                <w:b/>
                <w:bCs/>
                <w:lang w:eastAsia="en-IE"/>
              </w:rPr>
              <w:t>1,</w:t>
            </w:r>
            <w:r w:rsidR="00055A79">
              <w:rPr>
                <w:b/>
                <w:bCs/>
                <w:lang w:eastAsia="en-IE"/>
              </w:rPr>
              <w:t>0</w:t>
            </w:r>
            <w:r w:rsidRPr="7821F417">
              <w:rPr>
                <w:b/>
                <w:bCs/>
                <w:lang w:eastAsia="en-IE"/>
              </w:rPr>
              <w:t>00</w:t>
            </w:r>
          </w:p>
        </w:tc>
      </w:tr>
      <w:tr w:rsidR="00042688" w:rsidRPr="00BD69AF" w14:paraId="02F5DD11" w14:textId="77777777">
        <w:trPr>
          <w:trHeight w:val="346"/>
        </w:trPr>
        <w:tc>
          <w:tcPr>
            <w:tcW w:w="227" w:type="pct"/>
          </w:tcPr>
          <w:p w14:paraId="78B1F735" w14:textId="77777777" w:rsidR="00042688" w:rsidRPr="00997223" w:rsidRDefault="00042688">
            <w:pPr>
              <w:ind w:right="-144"/>
              <w:rPr>
                <w:rFonts w:cs="Arial"/>
                <w:lang w:eastAsia="en-IE"/>
              </w:rPr>
            </w:pPr>
          </w:p>
        </w:tc>
        <w:tc>
          <w:tcPr>
            <w:tcW w:w="3008" w:type="pct"/>
          </w:tcPr>
          <w:p w14:paraId="5E659D65" w14:textId="77777777" w:rsidR="00042688" w:rsidRPr="00997223" w:rsidRDefault="00042688">
            <w:pPr>
              <w:ind w:right="-144"/>
              <w:rPr>
                <w:rFonts w:cs="Arial"/>
                <w:lang w:eastAsia="en-IE"/>
              </w:rPr>
            </w:pPr>
          </w:p>
        </w:tc>
        <w:tc>
          <w:tcPr>
            <w:tcW w:w="883" w:type="pct"/>
          </w:tcPr>
          <w:p w14:paraId="7B541051" w14:textId="77777777" w:rsidR="00042688" w:rsidRPr="00860AEA" w:rsidRDefault="00042688">
            <w:pPr>
              <w:tabs>
                <w:tab w:val="decimal" w:pos="1424"/>
              </w:tabs>
              <w:ind w:right="-144"/>
              <w:rPr>
                <w:u w:val="double"/>
                <w:lang w:eastAsia="en-IE"/>
              </w:rPr>
            </w:pPr>
            <w:r w:rsidRPr="7821F417">
              <w:rPr>
                <w:u w:val="double"/>
                <w:lang w:eastAsia="en-IE"/>
              </w:rPr>
              <w:t>                        </w:t>
            </w:r>
          </w:p>
        </w:tc>
        <w:tc>
          <w:tcPr>
            <w:tcW w:w="882" w:type="pct"/>
          </w:tcPr>
          <w:p w14:paraId="6302F174" w14:textId="77777777" w:rsidR="00042688" w:rsidRPr="00860AEA" w:rsidRDefault="00042688">
            <w:pPr>
              <w:tabs>
                <w:tab w:val="decimal" w:pos="1424"/>
              </w:tabs>
              <w:ind w:right="-144"/>
              <w:rPr>
                <w:u w:val="double"/>
                <w:lang w:eastAsia="en-IE"/>
              </w:rPr>
            </w:pPr>
            <w:r w:rsidRPr="7821F417">
              <w:rPr>
                <w:u w:val="double"/>
                <w:lang w:eastAsia="en-IE"/>
              </w:rPr>
              <w:t>                        </w:t>
            </w:r>
          </w:p>
        </w:tc>
      </w:tr>
    </w:tbl>
    <w:p w14:paraId="1534817C" w14:textId="77777777" w:rsidR="00042688" w:rsidRDefault="00042688" w:rsidP="000240BA">
      <w:pPr>
        <w:pStyle w:val="NotesBody"/>
      </w:pPr>
    </w:p>
    <w:p w14:paraId="3A3C7C3F" w14:textId="77777777" w:rsidR="004A3454" w:rsidRDefault="004A3454" w:rsidP="004A3454">
      <w:pPr>
        <w:pStyle w:val="NotesHeading"/>
      </w:pPr>
    </w:p>
    <w:p w14:paraId="21A8C234" w14:textId="013C57B7" w:rsidR="004A3454" w:rsidRPr="004A3454" w:rsidRDefault="004A3454" w:rsidP="004A3454">
      <w:pPr>
        <w:pStyle w:val="NotesHeading"/>
        <w:rPr>
          <w:b w:val="0"/>
          <w:bCs/>
          <w:i/>
          <w:iCs/>
        </w:rPr>
      </w:pPr>
      <w:r>
        <w:t>13</w:t>
      </w:r>
      <w:r>
        <w:tab/>
        <w:t xml:space="preserve">Share capital and share premium </w:t>
      </w:r>
      <w:r>
        <w:rPr>
          <w:b w:val="0"/>
          <w:bCs/>
          <w:i/>
          <w:iCs/>
        </w:rPr>
        <w:t>(continued)</w:t>
      </w:r>
    </w:p>
    <w:p w14:paraId="7D9B3779" w14:textId="77777777" w:rsidR="00042688" w:rsidRDefault="00042688" w:rsidP="004A3454">
      <w:pPr>
        <w:pStyle w:val="NotesBody"/>
        <w:ind w:left="0"/>
      </w:pPr>
    </w:p>
    <w:tbl>
      <w:tblPr>
        <w:tblStyle w:val="TableGrid"/>
        <w:tblW w:w="51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37"/>
        <w:gridCol w:w="5801"/>
        <w:gridCol w:w="1703"/>
        <w:gridCol w:w="1701"/>
      </w:tblGrid>
      <w:tr w:rsidR="000240BA" w:rsidRPr="00BD69AF" w14:paraId="32C50193" w14:textId="77777777" w:rsidTr="7821F417">
        <w:tc>
          <w:tcPr>
            <w:tcW w:w="227" w:type="pct"/>
          </w:tcPr>
          <w:p w14:paraId="5924D819" w14:textId="77777777" w:rsidR="000240BA" w:rsidRPr="00BD69AF" w:rsidRDefault="000240BA" w:rsidP="00FA45F9">
            <w:pPr>
              <w:rPr>
                <w:lang w:eastAsia="en-IE"/>
              </w:rPr>
            </w:pPr>
          </w:p>
        </w:tc>
        <w:tc>
          <w:tcPr>
            <w:tcW w:w="3008" w:type="pct"/>
          </w:tcPr>
          <w:p w14:paraId="7583291F" w14:textId="33CCFD7C" w:rsidR="000240BA" w:rsidRPr="00BD69AF" w:rsidRDefault="000240BA" w:rsidP="00615486">
            <w:pPr>
              <w:pStyle w:val="Heading1"/>
              <w:numPr>
                <w:ilvl w:val="0"/>
                <w:numId w:val="2"/>
              </w:numPr>
              <w:ind w:left="446" w:hanging="446"/>
              <w:rPr>
                <w:lang w:eastAsia="en-IE"/>
              </w:rPr>
            </w:pPr>
            <w:r w:rsidRPr="7821F417">
              <w:rPr>
                <w:lang w:eastAsia="en-IE"/>
              </w:rPr>
              <w:t>Authorised share capital</w:t>
            </w:r>
          </w:p>
        </w:tc>
        <w:tc>
          <w:tcPr>
            <w:tcW w:w="883" w:type="pct"/>
          </w:tcPr>
          <w:p w14:paraId="43CD75A2" w14:textId="77777777" w:rsidR="000240BA" w:rsidRPr="00BD69AF" w:rsidRDefault="000240BA" w:rsidP="7821F417">
            <w:pPr>
              <w:tabs>
                <w:tab w:val="decimal" w:pos="1424"/>
              </w:tabs>
              <w:ind w:right="-144"/>
              <w:rPr>
                <w:b/>
                <w:bCs/>
                <w:lang w:eastAsia="en-IE"/>
              </w:rPr>
            </w:pPr>
          </w:p>
        </w:tc>
        <w:tc>
          <w:tcPr>
            <w:tcW w:w="882" w:type="pct"/>
          </w:tcPr>
          <w:p w14:paraId="3C26ACEE" w14:textId="77777777" w:rsidR="000240BA" w:rsidRPr="00BD69AF" w:rsidRDefault="000240BA" w:rsidP="7821F417">
            <w:pPr>
              <w:tabs>
                <w:tab w:val="decimal" w:pos="1424"/>
              </w:tabs>
              <w:ind w:right="-144"/>
              <w:rPr>
                <w:b/>
                <w:bCs/>
                <w:lang w:eastAsia="en-IE"/>
              </w:rPr>
            </w:pPr>
          </w:p>
        </w:tc>
      </w:tr>
      <w:tr w:rsidR="000240BA" w:rsidRPr="00BD69AF" w14:paraId="1A1639B4" w14:textId="77777777" w:rsidTr="7821F417">
        <w:tc>
          <w:tcPr>
            <w:tcW w:w="227" w:type="pct"/>
          </w:tcPr>
          <w:p w14:paraId="4ADA3972" w14:textId="77777777" w:rsidR="000240BA" w:rsidRPr="00BD69AF" w:rsidRDefault="000240BA" w:rsidP="00FA45F9">
            <w:pPr>
              <w:ind w:right="-144"/>
              <w:rPr>
                <w:lang w:eastAsia="en-IE"/>
              </w:rPr>
            </w:pPr>
          </w:p>
        </w:tc>
        <w:tc>
          <w:tcPr>
            <w:tcW w:w="3008" w:type="pct"/>
          </w:tcPr>
          <w:p w14:paraId="30DAAA79" w14:textId="77777777" w:rsidR="000240BA" w:rsidRPr="00BD69AF" w:rsidRDefault="000240BA" w:rsidP="00FA45F9">
            <w:pPr>
              <w:pStyle w:val="Heading1"/>
              <w:ind w:right="-144"/>
              <w:rPr>
                <w:lang w:eastAsia="en-IE"/>
              </w:rPr>
            </w:pPr>
          </w:p>
        </w:tc>
        <w:tc>
          <w:tcPr>
            <w:tcW w:w="883" w:type="pct"/>
          </w:tcPr>
          <w:p w14:paraId="4FCAB88D" w14:textId="77777777" w:rsidR="000240BA" w:rsidRPr="00BD69AF" w:rsidRDefault="000240BA" w:rsidP="7821F417">
            <w:pPr>
              <w:tabs>
                <w:tab w:val="decimal" w:pos="1424"/>
              </w:tabs>
              <w:ind w:right="-144"/>
              <w:rPr>
                <w:b/>
                <w:bCs/>
                <w:lang w:eastAsia="en-IE"/>
              </w:rPr>
            </w:pPr>
          </w:p>
        </w:tc>
        <w:tc>
          <w:tcPr>
            <w:tcW w:w="882" w:type="pct"/>
          </w:tcPr>
          <w:p w14:paraId="2F16D5D6" w14:textId="77777777" w:rsidR="000240BA" w:rsidRPr="00BD69AF" w:rsidRDefault="000240BA" w:rsidP="7821F417">
            <w:pPr>
              <w:tabs>
                <w:tab w:val="decimal" w:pos="1424"/>
              </w:tabs>
              <w:ind w:right="-144"/>
              <w:rPr>
                <w:b/>
                <w:bCs/>
                <w:lang w:eastAsia="en-IE"/>
              </w:rPr>
            </w:pPr>
          </w:p>
        </w:tc>
      </w:tr>
      <w:tr w:rsidR="000240BA" w:rsidRPr="00BD69AF" w14:paraId="01DA6A87" w14:textId="77777777" w:rsidTr="7821F417">
        <w:tc>
          <w:tcPr>
            <w:tcW w:w="227" w:type="pct"/>
          </w:tcPr>
          <w:p w14:paraId="61B06264" w14:textId="77777777" w:rsidR="000240BA" w:rsidRPr="00BD69AF" w:rsidRDefault="000240BA" w:rsidP="00FA45F9">
            <w:pPr>
              <w:ind w:right="-144"/>
              <w:rPr>
                <w:lang w:eastAsia="en-IE"/>
              </w:rPr>
            </w:pPr>
          </w:p>
        </w:tc>
        <w:tc>
          <w:tcPr>
            <w:tcW w:w="3008" w:type="pct"/>
          </w:tcPr>
          <w:p w14:paraId="46BB726A" w14:textId="69BAEF75" w:rsidR="000240BA" w:rsidRPr="00860AEA" w:rsidRDefault="000240BA" w:rsidP="7821F417">
            <w:pPr>
              <w:ind w:right="-144"/>
              <w:rPr>
                <w:b/>
                <w:bCs/>
                <w:lang w:eastAsia="en-IE"/>
              </w:rPr>
            </w:pPr>
            <w:r w:rsidRPr="7821F417">
              <w:rPr>
                <w:b/>
                <w:bCs/>
                <w:lang w:eastAsia="en-IE"/>
              </w:rPr>
              <w:t xml:space="preserve">As </w:t>
            </w:r>
            <w:proofErr w:type="gramStart"/>
            <w:r w:rsidRPr="7821F417">
              <w:rPr>
                <w:b/>
                <w:bCs/>
                <w:lang w:eastAsia="en-IE"/>
              </w:rPr>
              <w:t>at</w:t>
            </w:r>
            <w:proofErr w:type="gramEnd"/>
            <w:r w:rsidRPr="7821F417">
              <w:rPr>
                <w:b/>
                <w:bCs/>
                <w:lang w:eastAsia="en-IE"/>
              </w:rPr>
              <w:t xml:space="preserve"> 31 December </w:t>
            </w:r>
            <w:r w:rsidR="5038EB28" w:rsidRPr="7821F417">
              <w:rPr>
                <w:b/>
                <w:bCs/>
                <w:lang w:eastAsia="en-IE"/>
              </w:rPr>
              <w:t>202</w:t>
            </w:r>
            <w:r w:rsidR="009E58FE">
              <w:rPr>
                <w:b/>
                <w:bCs/>
                <w:lang w:eastAsia="en-IE"/>
              </w:rPr>
              <w:t>4</w:t>
            </w:r>
          </w:p>
        </w:tc>
        <w:tc>
          <w:tcPr>
            <w:tcW w:w="883" w:type="pct"/>
          </w:tcPr>
          <w:p w14:paraId="20212F6A" w14:textId="77777777" w:rsidR="000240BA" w:rsidRPr="00BD69AF" w:rsidRDefault="000240BA" w:rsidP="7821F417">
            <w:pPr>
              <w:tabs>
                <w:tab w:val="decimal" w:pos="1424"/>
              </w:tabs>
              <w:ind w:right="-144"/>
              <w:rPr>
                <w:b/>
                <w:bCs/>
                <w:lang w:eastAsia="en-IE"/>
              </w:rPr>
            </w:pPr>
            <w:r w:rsidRPr="7821F417">
              <w:rPr>
                <w:b/>
                <w:bCs/>
                <w:lang w:eastAsia="en-IE"/>
              </w:rPr>
              <w:t>Number of</w:t>
            </w:r>
          </w:p>
        </w:tc>
        <w:tc>
          <w:tcPr>
            <w:tcW w:w="882" w:type="pct"/>
          </w:tcPr>
          <w:p w14:paraId="3424C65B" w14:textId="77777777" w:rsidR="000240BA" w:rsidRPr="00BD69AF" w:rsidRDefault="000240BA" w:rsidP="7821F417">
            <w:pPr>
              <w:tabs>
                <w:tab w:val="decimal" w:pos="1424"/>
              </w:tabs>
              <w:ind w:right="-144"/>
              <w:rPr>
                <w:b/>
                <w:bCs/>
                <w:lang w:eastAsia="en-IE"/>
              </w:rPr>
            </w:pPr>
          </w:p>
        </w:tc>
      </w:tr>
      <w:tr w:rsidR="000240BA" w:rsidRPr="00BD69AF" w14:paraId="5DD781D6" w14:textId="77777777" w:rsidTr="7821F417">
        <w:tc>
          <w:tcPr>
            <w:tcW w:w="227" w:type="pct"/>
          </w:tcPr>
          <w:p w14:paraId="33356BE0" w14:textId="77777777" w:rsidR="000240BA" w:rsidRPr="00BD69AF" w:rsidRDefault="000240BA" w:rsidP="00FA45F9">
            <w:pPr>
              <w:ind w:right="-144"/>
              <w:rPr>
                <w:lang w:eastAsia="en-IE"/>
              </w:rPr>
            </w:pPr>
          </w:p>
        </w:tc>
        <w:tc>
          <w:tcPr>
            <w:tcW w:w="3008" w:type="pct"/>
          </w:tcPr>
          <w:p w14:paraId="23783803" w14:textId="77777777" w:rsidR="000240BA" w:rsidRPr="00BD69AF" w:rsidRDefault="000240BA" w:rsidP="00FA45F9">
            <w:pPr>
              <w:ind w:right="-144"/>
              <w:rPr>
                <w:lang w:eastAsia="en-IE"/>
              </w:rPr>
            </w:pPr>
          </w:p>
        </w:tc>
        <w:tc>
          <w:tcPr>
            <w:tcW w:w="883" w:type="pct"/>
          </w:tcPr>
          <w:p w14:paraId="56098815" w14:textId="77777777" w:rsidR="000240BA" w:rsidRPr="00BD69AF" w:rsidRDefault="000240BA" w:rsidP="7821F417">
            <w:pPr>
              <w:tabs>
                <w:tab w:val="decimal" w:pos="1424"/>
              </w:tabs>
              <w:ind w:right="-144"/>
              <w:rPr>
                <w:b/>
                <w:bCs/>
                <w:lang w:eastAsia="en-IE"/>
              </w:rPr>
            </w:pPr>
            <w:r w:rsidRPr="7821F417">
              <w:rPr>
                <w:b/>
                <w:bCs/>
                <w:lang w:eastAsia="en-IE"/>
              </w:rPr>
              <w:t>shares</w:t>
            </w:r>
          </w:p>
        </w:tc>
        <w:tc>
          <w:tcPr>
            <w:tcW w:w="882" w:type="pct"/>
          </w:tcPr>
          <w:p w14:paraId="46B661EC" w14:textId="77777777" w:rsidR="000240BA" w:rsidRPr="00BD69AF" w:rsidRDefault="000240BA" w:rsidP="7821F417">
            <w:pPr>
              <w:tabs>
                <w:tab w:val="decimal" w:pos="1424"/>
              </w:tabs>
              <w:ind w:right="-144"/>
              <w:rPr>
                <w:b/>
                <w:bCs/>
                <w:lang w:eastAsia="en-IE"/>
              </w:rPr>
            </w:pPr>
            <w:r w:rsidRPr="7821F417">
              <w:rPr>
                <w:b/>
                <w:bCs/>
                <w:lang w:eastAsia="en-IE"/>
              </w:rPr>
              <w:t>€’000</w:t>
            </w:r>
          </w:p>
        </w:tc>
      </w:tr>
      <w:tr w:rsidR="000240BA" w:rsidRPr="00BD69AF" w14:paraId="150D178A" w14:textId="77777777" w:rsidTr="7821F417">
        <w:tc>
          <w:tcPr>
            <w:tcW w:w="227" w:type="pct"/>
          </w:tcPr>
          <w:p w14:paraId="2F9CC62F" w14:textId="77777777" w:rsidR="000240BA" w:rsidRPr="00BD69AF" w:rsidRDefault="000240BA" w:rsidP="00FA45F9">
            <w:pPr>
              <w:ind w:right="-144"/>
              <w:rPr>
                <w:lang w:eastAsia="en-IE"/>
              </w:rPr>
            </w:pPr>
          </w:p>
        </w:tc>
        <w:tc>
          <w:tcPr>
            <w:tcW w:w="3008" w:type="pct"/>
          </w:tcPr>
          <w:p w14:paraId="2C6BD1F1" w14:textId="77777777" w:rsidR="000240BA" w:rsidRPr="00BD69AF" w:rsidRDefault="000240BA" w:rsidP="00FA45F9">
            <w:pPr>
              <w:ind w:right="-144"/>
              <w:rPr>
                <w:lang w:eastAsia="en-IE"/>
              </w:rPr>
            </w:pPr>
          </w:p>
        </w:tc>
        <w:tc>
          <w:tcPr>
            <w:tcW w:w="883" w:type="pct"/>
          </w:tcPr>
          <w:p w14:paraId="3F61CE5C" w14:textId="77777777" w:rsidR="000240BA" w:rsidRPr="00BD69AF" w:rsidRDefault="000240BA" w:rsidP="00FA45F9">
            <w:pPr>
              <w:tabs>
                <w:tab w:val="decimal" w:pos="1424"/>
              </w:tabs>
              <w:ind w:right="-144"/>
              <w:rPr>
                <w:lang w:eastAsia="en-IE"/>
              </w:rPr>
            </w:pPr>
          </w:p>
        </w:tc>
        <w:tc>
          <w:tcPr>
            <w:tcW w:w="882" w:type="pct"/>
          </w:tcPr>
          <w:p w14:paraId="26368806" w14:textId="77777777" w:rsidR="000240BA" w:rsidRPr="00BD69AF" w:rsidRDefault="000240BA" w:rsidP="00FA45F9">
            <w:pPr>
              <w:tabs>
                <w:tab w:val="decimal" w:pos="1424"/>
              </w:tabs>
              <w:ind w:right="-144"/>
              <w:rPr>
                <w:lang w:eastAsia="en-IE"/>
              </w:rPr>
            </w:pPr>
          </w:p>
        </w:tc>
      </w:tr>
      <w:tr w:rsidR="000240BA" w:rsidRPr="00BD69AF" w14:paraId="44722E37" w14:textId="77777777" w:rsidTr="7821F417">
        <w:tc>
          <w:tcPr>
            <w:tcW w:w="227" w:type="pct"/>
          </w:tcPr>
          <w:p w14:paraId="324CB5F1" w14:textId="77777777" w:rsidR="000240BA" w:rsidRPr="00997223" w:rsidRDefault="000240BA" w:rsidP="7821F417">
            <w:pPr>
              <w:ind w:right="-144"/>
              <w:rPr>
                <w:rFonts w:cs="Arial"/>
                <w:lang w:eastAsia="en-IE"/>
              </w:rPr>
            </w:pPr>
          </w:p>
        </w:tc>
        <w:tc>
          <w:tcPr>
            <w:tcW w:w="3008" w:type="pct"/>
          </w:tcPr>
          <w:p w14:paraId="43ECA9DB" w14:textId="77777777" w:rsidR="000240BA" w:rsidRPr="00BD69AF" w:rsidRDefault="000240BA" w:rsidP="00FA45F9">
            <w:pPr>
              <w:ind w:right="-144"/>
              <w:rPr>
                <w:lang w:eastAsia="en-IE"/>
              </w:rPr>
            </w:pPr>
            <w:r w:rsidRPr="7821F417">
              <w:rPr>
                <w:lang w:eastAsia="en-IE"/>
              </w:rPr>
              <w:t>Ordinary shares of €0.001 each</w:t>
            </w:r>
          </w:p>
        </w:tc>
        <w:tc>
          <w:tcPr>
            <w:tcW w:w="883" w:type="pct"/>
          </w:tcPr>
          <w:p w14:paraId="693CFF16" w14:textId="77777777" w:rsidR="000240BA" w:rsidRPr="0070024B" w:rsidRDefault="000240BA" w:rsidP="00FA45F9">
            <w:pPr>
              <w:tabs>
                <w:tab w:val="decimal" w:pos="1424"/>
              </w:tabs>
              <w:ind w:right="-144"/>
              <w:rPr>
                <w:b/>
                <w:bCs/>
                <w:lang w:eastAsia="en-IE"/>
              </w:rPr>
            </w:pPr>
            <w:r w:rsidRPr="0070024B">
              <w:rPr>
                <w:b/>
                <w:bCs/>
                <w:lang w:eastAsia="en-IE"/>
              </w:rPr>
              <w:t>1,000,000,000</w:t>
            </w:r>
          </w:p>
        </w:tc>
        <w:tc>
          <w:tcPr>
            <w:tcW w:w="882" w:type="pct"/>
          </w:tcPr>
          <w:p w14:paraId="6412E899" w14:textId="77777777" w:rsidR="000240BA" w:rsidRPr="0070024B" w:rsidRDefault="000240BA" w:rsidP="00FA45F9">
            <w:pPr>
              <w:tabs>
                <w:tab w:val="decimal" w:pos="1424"/>
              </w:tabs>
              <w:ind w:right="-144"/>
              <w:rPr>
                <w:b/>
                <w:bCs/>
                <w:lang w:eastAsia="en-IE"/>
              </w:rPr>
            </w:pPr>
            <w:r w:rsidRPr="0070024B">
              <w:rPr>
                <w:b/>
                <w:bCs/>
                <w:lang w:eastAsia="en-IE"/>
              </w:rPr>
              <w:t>1,000</w:t>
            </w:r>
          </w:p>
        </w:tc>
      </w:tr>
      <w:tr w:rsidR="000240BA" w:rsidRPr="00BD69AF" w14:paraId="7AB3C7CF" w14:textId="77777777" w:rsidTr="7821F417">
        <w:tc>
          <w:tcPr>
            <w:tcW w:w="227" w:type="pct"/>
          </w:tcPr>
          <w:p w14:paraId="2331332B" w14:textId="77777777" w:rsidR="000240BA" w:rsidRPr="00997223" w:rsidRDefault="000240BA" w:rsidP="7821F417">
            <w:pPr>
              <w:ind w:right="-144"/>
              <w:rPr>
                <w:rFonts w:cs="Arial"/>
                <w:lang w:eastAsia="en-IE"/>
              </w:rPr>
            </w:pPr>
          </w:p>
        </w:tc>
        <w:tc>
          <w:tcPr>
            <w:tcW w:w="3008" w:type="pct"/>
          </w:tcPr>
          <w:p w14:paraId="3184B4DD" w14:textId="77777777" w:rsidR="000240BA" w:rsidRPr="00BD69AF" w:rsidRDefault="000240BA" w:rsidP="00FA45F9">
            <w:pPr>
              <w:ind w:right="-144"/>
              <w:rPr>
                <w:lang w:eastAsia="en-IE"/>
              </w:rPr>
            </w:pPr>
            <w:r w:rsidRPr="7821F417">
              <w:rPr>
                <w:lang w:eastAsia="en-IE"/>
              </w:rPr>
              <w:t>Deferred shares of €0.001 each</w:t>
            </w:r>
          </w:p>
        </w:tc>
        <w:tc>
          <w:tcPr>
            <w:tcW w:w="883" w:type="pct"/>
          </w:tcPr>
          <w:p w14:paraId="4B1B5D9F" w14:textId="77777777" w:rsidR="000240BA" w:rsidRPr="0070024B" w:rsidRDefault="000240BA" w:rsidP="00FA45F9">
            <w:pPr>
              <w:tabs>
                <w:tab w:val="decimal" w:pos="1424"/>
              </w:tabs>
              <w:ind w:right="-144"/>
              <w:rPr>
                <w:b/>
                <w:bCs/>
                <w:lang w:eastAsia="en-IE"/>
              </w:rPr>
            </w:pPr>
            <w:r w:rsidRPr="0070024B">
              <w:rPr>
                <w:b/>
                <w:bCs/>
                <w:lang w:eastAsia="en-IE"/>
              </w:rPr>
              <w:t>200,000,000</w:t>
            </w:r>
          </w:p>
        </w:tc>
        <w:tc>
          <w:tcPr>
            <w:tcW w:w="882" w:type="pct"/>
          </w:tcPr>
          <w:p w14:paraId="73E386B5" w14:textId="77777777" w:rsidR="000240BA" w:rsidRPr="0070024B" w:rsidRDefault="000240BA" w:rsidP="00FA45F9">
            <w:pPr>
              <w:tabs>
                <w:tab w:val="decimal" w:pos="1424"/>
              </w:tabs>
              <w:ind w:right="-144"/>
              <w:rPr>
                <w:b/>
                <w:bCs/>
                <w:lang w:eastAsia="en-IE"/>
              </w:rPr>
            </w:pPr>
            <w:r w:rsidRPr="0070024B">
              <w:rPr>
                <w:b/>
                <w:bCs/>
                <w:lang w:eastAsia="en-IE"/>
              </w:rPr>
              <w:t>200</w:t>
            </w:r>
          </w:p>
        </w:tc>
      </w:tr>
      <w:tr w:rsidR="000240BA" w:rsidRPr="00BD69AF" w14:paraId="0BC34611" w14:textId="77777777" w:rsidTr="7821F417">
        <w:tc>
          <w:tcPr>
            <w:tcW w:w="227" w:type="pct"/>
          </w:tcPr>
          <w:p w14:paraId="5E054C5B" w14:textId="77777777" w:rsidR="000240BA" w:rsidRPr="00997223" w:rsidRDefault="000240BA" w:rsidP="7821F417">
            <w:pPr>
              <w:ind w:right="-144"/>
              <w:rPr>
                <w:rFonts w:cs="Arial"/>
                <w:lang w:eastAsia="en-IE"/>
              </w:rPr>
            </w:pPr>
          </w:p>
        </w:tc>
        <w:tc>
          <w:tcPr>
            <w:tcW w:w="3008" w:type="pct"/>
          </w:tcPr>
          <w:p w14:paraId="0C4F1827" w14:textId="77777777" w:rsidR="000240BA" w:rsidRPr="00BD69AF" w:rsidRDefault="000240BA" w:rsidP="00FA45F9">
            <w:pPr>
              <w:ind w:right="-144"/>
              <w:rPr>
                <w:lang w:eastAsia="en-IE"/>
              </w:rPr>
            </w:pPr>
          </w:p>
        </w:tc>
        <w:tc>
          <w:tcPr>
            <w:tcW w:w="883" w:type="pct"/>
          </w:tcPr>
          <w:p w14:paraId="515E4285" w14:textId="77777777" w:rsidR="000240BA" w:rsidRPr="00BD69AF" w:rsidRDefault="000240BA" w:rsidP="00FA45F9">
            <w:pPr>
              <w:tabs>
                <w:tab w:val="decimal" w:pos="1424"/>
              </w:tabs>
              <w:ind w:right="-144"/>
              <w:rPr>
                <w:u w:val="single"/>
                <w:lang w:eastAsia="en-IE"/>
              </w:rPr>
            </w:pPr>
            <w:r w:rsidRPr="7821F417">
              <w:rPr>
                <w:u w:val="single"/>
                <w:lang w:eastAsia="en-IE"/>
              </w:rPr>
              <w:t>                        </w:t>
            </w:r>
          </w:p>
        </w:tc>
        <w:tc>
          <w:tcPr>
            <w:tcW w:w="882" w:type="pct"/>
          </w:tcPr>
          <w:p w14:paraId="282AC48E" w14:textId="77777777" w:rsidR="000240BA" w:rsidRPr="00BD69AF" w:rsidRDefault="000240BA" w:rsidP="00FA45F9">
            <w:pPr>
              <w:tabs>
                <w:tab w:val="decimal" w:pos="1424"/>
              </w:tabs>
              <w:ind w:right="-144"/>
              <w:rPr>
                <w:u w:val="single"/>
                <w:lang w:eastAsia="en-IE"/>
              </w:rPr>
            </w:pPr>
            <w:r w:rsidRPr="7821F417">
              <w:rPr>
                <w:u w:val="single"/>
                <w:lang w:eastAsia="en-IE"/>
              </w:rPr>
              <w:t>                        </w:t>
            </w:r>
          </w:p>
        </w:tc>
      </w:tr>
      <w:tr w:rsidR="000240BA" w:rsidRPr="00BD69AF" w14:paraId="77208317" w14:textId="77777777" w:rsidTr="7821F417">
        <w:tc>
          <w:tcPr>
            <w:tcW w:w="227" w:type="pct"/>
          </w:tcPr>
          <w:p w14:paraId="5D63C2C8" w14:textId="77777777" w:rsidR="000240BA" w:rsidRPr="00997223" w:rsidRDefault="000240BA" w:rsidP="7821F417">
            <w:pPr>
              <w:ind w:right="-144"/>
              <w:rPr>
                <w:rFonts w:cs="Arial"/>
                <w:lang w:eastAsia="en-IE"/>
              </w:rPr>
            </w:pPr>
          </w:p>
        </w:tc>
        <w:tc>
          <w:tcPr>
            <w:tcW w:w="3008" w:type="pct"/>
          </w:tcPr>
          <w:p w14:paraId="57344CDE" w14:textId="77777777" w:rsidR="000240BA" w:rsidRPr="00BD69AF" w:rsidRDefault="000240BA" w:rsidP="00FA45F9">
            <w:pPr>
              <w:ind w:right="-144"/>
              <w:rPr>
                <w:lang w:eastAsia="en-IE"/>
              </w:rPr>
            </w:pPr>
          </w:p>
        </w:tc>
        <w:tc>
          <w:tcPr>
            <w:tcW w:w="883" w:type="pct"/>
          </w:tcPr>
          <w:p w14:paraId="0C75D52A" w14:textId="77777777" w:rsidR="000240BA" w:rsidRPr="00BD69AF" w:rsidRDefault="000240BA" w:rsidP="00FA45F9">
            <w:pPr>
              <w:tabs>
                <w:tab w:val="decimal" w:pos="1424"/>
              </w:tabs>
              <w:ind w:right="-144"/>
              <w:rPr>
                <w:lang w:eastAsia="en-IE"/>
              </w:rPr>
            </w:pPr>
          </w:p>
        </w:tc>
        <w:tc>
          <w:tcPr>
            <w:tcW w:w="882" w:type="pct"/>
          </w:tcPr>
          <w:p w14:paraId="1F7F710B" w14:textId="77777777" w:rsidR="000240BA" w:rsidRDefault="000240BA" w:rsidP="00FA45F9">
            <w:pPr>
              <w:tabs>
                <w:tab w:val="decimal" w:pos="1424"/>
              </w:tabs>
              <w:ind w:right="-144"/>
              <w:rPr>
                <w:lang w:eastAsia="en-IE"/>
              </w:rPr>
            </w:pPr>
          </w:p>
        </w:tc>
      </w:tr>
      <w:tr w:rsidR="000240BA" w:rsidRPr="00BD69AF" w14:paraId="59718549" w14:textId="77777777" w:rsidTr="7821F417">
        <w:tc>
          <w:tcPr>
            <w:tcW w:w="227" w:type="pct"/>
          </w:tcPr>
          <w:p w14:paraId="3552103A" w14:textId="77777777" w:rsidR="000240BA" w:rsidRPr="00997223" w:rsidRDefault="000240BA" w:rsidP="7821F417">
            <w:pPr>
              <w:ind w:right="-144"/>
              <w:rPr>
                <w:rFonts w:cs="Arial"/>
                <w:lang w:eastAsia="en-IE"/>
              </w:rPr>
            </w:pPr>
          </w:p>
        </w:tc>
        <w:tc>
          <w:tcPr>
            <w:tcW w:w="3008" w:type="pct"/>
          </w:tcPr>
          <w:p w14:paraId="2845591D" w14:textId="77777777" w:rsidR="000240BA" w:rsidRPr="00997223" w:rsidRDefault="000240BA" w:rsidP="7821F417">
            <w:pPr>
              <w:ind w:right="-144"/>
              <w:rPr>
                <w:rFonts w:cs="Arial"/>
                <w:lang w:eastAsia="en-IE"/>
              </w:rPr>
            </w:pPr>
          </w:p>
        </w:tc>
        <w:tc>
          <w:tcPr>
            <w:tcW w:w="883" w:type="pct"/>
          </w:tcPr>
          <w:p w14:paraId="0778716D" w14:textId="725CEB4A" w:rsidR="000240BA" w:rsidRPr="00BD69AF" w:rsidRDefault="000240BA" w:rsidP="7821F417">
            <w:pPr>
              <w:tabs>
                <w:tab w:val="decimal" w:pos="1424"/>
              </w:tabs>
              <w:ind w:right="-144"/>
              <w:rPr>
                <w:rFonts w:ascii="Times New Roman" w:hAnsi="Times New Roman" w:cs="Times New Roman"/>
                <w:b/>
                <w:bCs/>
                <w:lang w:eastAsia="en-IE"/>
              </w:rPr>
            </w:pPr>
            <w:r w:rsidRPr="7821F417">
              <w:rPr>
                <w:b/>
                <w:bCs/>
                <w:lang w:eastAsia="en-IE"/>
              </w:rPr>
              <w:t>1,</w:t>
            </w:r>
            <w:r w:rsidR="007E4D78">
              <w:rPr>
                <w:b/>
                <w:bCs/>
                <w:lang w:eastAsia="en-IE"/>
              </w:rPr>
              <w:t>2</w:t>
            </w:r>
            <w:r w:rsidRPr="7821F417">
              <w:rPr>
                <w:b/>
                <w:bCs/>
                <w:lang w:eastAsia="en-IE"/>
              </w:rPr>
              <w:t>00,000,000</w:t>
            </w:r>
          </w:p>
        </w:tc>
        <w:tc>
          <w:tcPr>
            <w:tcW w:w="882" w:type="pct"/>
          </w:tcPr>
          <w:p w14:paraId="32A40571" w14:textId="3F0A2330" w:rsidR="000240BA" w:rsidRPr="00BD69AF" w:rsidRDefault="000240BA" w:rsidP="7821F417">
            <w:pPr>
              <w:tabs>
                <w:tab w:val="decimal" w:pos="1424"/>
              </w:tabs>
              <w:ind w:right="-144"/>
              <w:rPr>
                <w:rFonts w:ascii="Times New Roman" w:hAnsi="Times New Roman" w:cs="Times New Roman"/>
                <w:b/>
                <w:bCs/>
                <w:lang w:eastAsia="en-IE"/>
              </w:rPr>
            </w:pPr>
            <w:r w:rsidRPr="7821F417">
              <w:rPr>
                <w:b/>
                <w:bCs/>
                <w:lang w:eastAsia="en-IE"/>
              </w:rPr>
              <w:t>1,</w:t>
            </w:r>
            <w:r w:rsidR="007E4D78">
              <w:rPr>
                <w:b/>
                <w:bCs/>
                <w:lang w:eastAsia="en-IE"/>
              </w:rPr>
              <w:t>2</w:t>
            </w:r>
            <w:r w:rsidRPr="7821F417">
              <w:rPr>
                <w:b/>
                <w:bCs/>
                <w:lang w:eastAsia="en-IE"/>
              </w:rPr>
              <w:t>00</w:t>
            </w:r>
          </w:p>
        </w:tc>
      </w:tr>
      <w:tr w:rsidR="000240BA" w:rsidRPr="00BD69AF" w14:paraId="2C35D198" w14:textId="77777777" w:rsidTr="7821F417">
        <w:trPr>
          <w:trHeight w:val="346"/>
        </w:trPr>
        <w:tc>
          <w:tcPr>
            <w:tcW w:w="227" w:type="pct"/>
          </w:tcPr>
          <w:p w14:paraId="73131510" w14:textId="77777777" w:rsidR="000240BA" w:rsidRPr="00997223" w:rsidRDefault="000240BA" w:rsidP="7821F417">
            <w:pPr>
              <w:ind w:right="-144"/>
              <w:rPr>
                <w:rFonts w:cs="Arial"/>
                <w:lang w:eastAsia="en-IE"/>
              </w:rPr>
            </w:pPr>
          </w:p>
        </w:tc>
        <w:tc>
          <w:tcPr>
            <w:tcW w:w="3008" w:type="pct"/>
          </w:tcPr>
          <w:p w14:paraId="3E1BF4F5" w14:textId="77777777" w:rsidR="000240BA" w:rsidRPr="00997223" w:rsidRDefault="000240BA" w:rsidP="7821F417">
            <w:pPr>
              <w:ind w:right="-144"/>
              <w:rPr>
                <w:rFonts w:cs="Arial"/>
                <w:lang w:eastAsia="en-IE"/>
              </w:rPr>
            </w:pPr>
          </w:p>
        </w:tc>
        <w:tc>
          <w:tcPr>
            <w:tcW w:w="883" w:type="pct"/>
          </w:tcPr>
          <w:p w14:paraId="51913571" w14:textId="77777777" w:rsidR="000240BA" w:rsidRPr="00860AEA" w:rsidRDefault="000240BA" w:rsidP="00FA45F9">
            <w:pPr>
              <w:tabs>
                <w:tab w:val="decimal" w:pos="1424"/>
              </w:tabs>
              <w:ind w:right="-144"/>
              <w:rPr>
                <w:u w:val="double"/>
                <w:lang w:eastAsia="en-IE"/>
              </w:rPr>
            </w:pPr>
            <w:r w:rsidRPr="7821F417">
              <w:rPr>
                <w:u w:val="double"/>
                <w:lang w:eastAsia="en-IE"/>
              </w:rPr>
              <w:t>                        </w:t>
            </w:r>
          </w:p>
        </w:tc>
        <w:tc>
          <w:tcPr>
            <w:tcW w:w="882" w:type="pct"/>
          </w:tcPr>
          <w:p w14:paraId="4ABC131B" w14:textId="77777777" w:rsidR="000240BA" w:rsidRPr="00860AEA" w:rsidRDefault="000240BA" w:rsidP="00FA45F9">
            <w:pPr>
              <w:tabs>
                <w:tab w:val="decimal" w:pos="1424"/>
              </w:tabs>
              <w:ind w:right="-144"/>
              <w:rPr>
                <w:u w:val="double"/>
                <w:lang w:eastAsia="en-IE"/>
              </w:rPr>
            </w:pPr>
            <w:r w:rsidRPr="7821F417">
              <w:rPr>
                <w:u w:val="double"/>
                <w:lang w:eastAsia="en-IE"/>
              </w:rPr>
              <w:t>                        </w:t>
            </w:r>
          </w:p>
        </w:tc>
      </w:tr>
    </w:tbl>
    <w:p w14:paraId="3F701094" w14:textId="7DD935CF" w:rsidR="00400B82" w:rsidRPr="00670755" w:rsidRDefault="00400B82" w:rsidP="000C1A5F">
      <w:pPr>
        <w:pStyle w:val="NotesHeading"/>
        <w:ind w:left="0" w:firstLine="0"/>
      </w:pPr>
    </w:p>
    <w:p w14:paraId="108013CB" w14:textId="77777777" w:rsidR="00400B82" w:rsidRDefault="00400B82" w:rsidP="009F5006">
      <w:pPr>
        <w:pStyle w:val="NotesBody"/>
        <w:ind w:left="0"/>
      </w:pPr>
    </w:p>
    <w:tbl>
      <w:tblPr>
        <w:tblStyle w:val="TableGrid"/>
        <w:tblW w:w="51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424"/>
        <w:gridCol w:w="4254"/>
        <w:gridCol w:w="1560"/>
        <w:gridCol w:w="1703"/>
        <w:gridCol w:w="1701"/>
      </w:tblGrid>
      <w:tr w:rsidR="00545839" w:rsidRPr="00BD69AF" w14:paraId="73519AAA" w14:textId="77777777" w:rsidTr="7821F417">
        <w:tc>
          <w:tcPr>
            <w:tcW w:w="220" w:type="pct"/>
          </w:tcPr>
          <w:p w14:paraId="77123558" w14:textId="77777777" w:rsidR="00545839" w:rsidRPr="00BD69AF" w:rsidRDefault="00545839" w:rsidP="00FA45F9">
            <w:pPr>
              <w:rPr>
                <w:lang w:eastAsia="en-IE"/>
              </w:rPr>
            </w:pPr>
            <w:bookmarkStart w:id="12" w:name="_Hlk79410589"/>
          </w:p>
        </w:tc>
        <w:tc>
          <w:tcPr>
            <w:tcW w:w="3015" w:type="pct"/>
            <w:gridSpan w:val="2"/>
          </w:tcPr>
          <w:p w14:paraId="4E184E45" w14:textId="60464DB0" w:rsidR="00545839" w:rsidRPr="00545839" w:rsidRDefault="2D31582F" w:rsidP="00545839">
            <w:pPr>
              <w:pStyle w:val="Heading1"/>
              <w:numPr>
                <w:ilvl w:val="0"/>
                <w:numId w:val="2"/>
              </w:numPr>
              <w:ind w:left="446" w:hanging="446"/>
              <w:rPr>
                <w:lang w:eastAsia="en-IE"/>
              </w:rPr>
            </w:pPr>
            <w:r w:rsidRPr="7821F417">
              <w:rPr>
                <w:lang w:eastAsia="en-IE"/>
              </w:rPr>
              <w:t xml:space="preserve">Issued and fully paid share capital and share premium </w:t>
            </w:r>
          </w:p>
        </w:tc>
        <w:tc>
          <w:tcPr>
            <w:tcW w:w="883" w:type="pct"/>
          </w:tcPr>
          <w:p w14:paraId="157F7C32" w14:textId="77777777" w:rsidR="00545839" w:rsidRPr="00545839" w:rsidRDefault="00545839" w:rsidP="00545839">
            <w:pPr>
              <w:pStyle w:val="Heading1"/>
              <w:rPr>
                <w:lang w:eastAsia="en-IE"/>
              </w:rPr>
            </w:pPr>
          </w:p>
        </w:tc>
        <w:tc>
          <w:tcPr>
            <w:tcW w:w="882" w:type="pct"/>
          </w:tcPr>
          <w:p w14:paraId="56CC3672" w14:textId="77777777" w:rsidR="00545839" w:rsidRDefault="00545839" w:rsidP="7821F417">
            <w:pPr>
              <w:tabs>
                <w:tab w:val="decimal" w:pos="1424"/>
              </w:tabs>
              <w:ind w:right="-144"/>
              <w:rPr>
                <w:b/>
                <w:bCs/>
                <w:lang w:eastAsia="en-IE"/>
              </w:rPr>
            </w:pPr>
          </w:p>
        </w:tc>
      </w:tr>
      <w:bookmarkEnd w:id="12"/>
      <w:tr w:rsidR="000D3BE1" w:rsidRPr="00BD69AF" w14:paraId="5B1F7214" w14:textId="77777777" w:rsidTr="7821F417">
        <w:tc>
          <w:tcPr>
            <w:tcW w:w="220" w:type="pct"/>
          </w:tcPr>
          <w:p w14:paraId="15A6F4CD" w14:textId="77777777" w:rsidR="000D3BE1" w:rsidRPr="00BD69AF" w:rsidRDefault="000D3BE1" w:rsidP="00FA45F9">
            <w:pPr>
              <w:ind w:right="-144"/>
              <w:rPr>
                <w:lang w:eastAsia="en-IE"/>
              </w:rPr>
            </w:pPr>
          </w:p>
        </w:tc>
        <w:tc>
          <w:tcPr>
            <w:tcW w:w="2206" w:type="pct"/>
          </w:tcPr>
          <w:p w14:paraId="410A083B" w14:textId="77777777" w:rsidR="000D3BE1" w:rsidRPr="00BD69AF" w:rsidRDefault="000D3BE1" w:rsidP="00FA45F9">
            <w:pPr>
              <w:ind w:right="-144"/>
            </w:pPr>
          </w:p>
        </w:tc>
        <w:tc>
          <w:tcPr>
            <w:tcW w:w="809" w:type="pct"/>
          </w:tcPr>
          <w:p w14:paraId="38EA9C45" w14:textId="77777777" w:rsidR="000D3BE1" w:rsidRPr="00BD69AF" w:rsidRDefault="000D3BE1" w:rsidP="7821F417">
            <w:pPr>
              <w:tabs>
                <w:tab w:val="decimal" w:pos="1424"/>
              </w:tabs>
              <w:ind w:right="-144"/>
              <w:rPr>
                <w:b/>
                <w:bCs/>
                <w:lang w:eastAsia="en-IE"/>
              </w:rPr>
            </w:pPr>
          </w:p>
        </w:tc>
        <w:tc>
          <w:tcPr>
            <w:tcW w:w="883" w:type="pct"/>
          </w:tcPr>
          <w:p w14:paraId="1B79DEEE" w14:textId="77777777" w:rsidR="000D3BE1" w:rsidRDefault="000D3BE1" w:rsidP="7821F417">
            <w:pPr>
              <w:tabs>
                <w:tab w:val="decimal" w:pos="1424"/>
              </w:tabs>
              <w:ind w:right="-144"/>
              <w:rPr>
                <w:b/>
                <w:bCs/>
                <w:lang w:eastAsia="en-IE"/>
              </w:rPr>
            </w:pPr>
          </w:p>
        </w:tc>
        <w:tc>
          <w:tcPr>
            <w:tcW w:w="882" w:type="pct"/>
          </w:tcPr>
          <w:p w14:paraId="2D6A1E76" w14:textId="77777777" w:rsidR="000D3BE1" w:rsidRDefault="000D3BE1" w:rsidP="7821F417">
            <w:pPr>
              <w:tabs>
                <w:tab w:val="decimal" w:pos="1424"/>
              </w:tabs>
              <w:ind w:right="-144"/>
              <w:rPr>
                <w:b/>
                <w:bCs/>
                <w:lang w:eastAsia="en-IE"/>
              </w:rPr>
            </w:pPr>
          </w:p>
        </w:tc>
      </w:tr>
      <w:tr w:rsidR="000D3BE1" w:rsidRPr="00BD69AF" w14:paraId="7E86AEF1" w14:textId="77777777" w:rsidTr="7821F417">
        <w:tc>
          <w:tcPr>
            <w:tcW w:w="220" w:type="pct"/>
          </w:tcPr>
          <w:p w14:paraId="6068419B" w14:textId="77777777" w:rsidR="000D3BE1" w:rsidRPr="00BD69AF" w:rsidRDefault="000D3BE1" w:rsidP="000D3BE1">
            <w:pPr>
              <w:ind w:right="-144"/>
              <w:rPr>
                <w:lang w:eastAsia="en-IE"/>
              </w:rPr>
            </w:pPr>
          </w:p>
        </w:tc>
        <w:tc>
          <w:tcPr>
            <w:tcW w:w="2206" w:type="pct"/>
          </w:tcPr>
          <w:p w14:paraId="1AA9B712" w14:textId="1C3E5B8B" w:rsidR="000D3BE1" w:rsidRPr="00BD69AF" w:rsidRDefault="0BB1A1B5" w:rsidP="7821F417">
            <w:pPr>
              <w:ind w:right="-144"/>
              <w:rPr>
                <w:b/>
                <w:bCs/>
                <w:lang w:eastAsia="en-IE"/>
              </w:rPr>
            </w:pPr>
            <w:r w:rsidRPr="7821F417">
              <w:rPr>
                <w:b/>
                <w:bCs/>
                <w:lang w:eastAsia="en-IE"/>
              </w:rPr>
              <w:t xml:space="preserve">As </w:t>
            </w:r>
            <w:proofErr w:type="gramStart"/>
            <w:r w:rsidRPr="7821F417">
              <w:rPr>
                <w:b/>
                <w:bCs/>
                <w:lang w:eastAsia="en-IE"/>
              </w:rPr>
              <w:t>at</w:t>
            </w:r>
            <w:proofErr w:type="gramEnd"/>
            <w:r w:rsidRPr="7821F417">
              <w:rPr>
                <w:b/>
                <w:bCs/>
                <w:lang w:eastAsia="en-IE"/>
              </w:rPr>
              <w:t xml:space="preserve"> 30 June </w:t>
            </w:r>
            <w:r w:rsidR="7D91DB7F" w:rsidRPr="7821F417">
              <w:rPr>
                <w:b/>
                <w:bCs/>
                <w:lang w:eastAsia="en-IE"/>
              </w:rPr>
              <w:t>202</w:t>
            </w:r>
            <w:r w:rsidR="0012735C">
              <w:rPr>
                <w:b/>
                <w:bCs/>
                <w:lang w:eastAsia="en-IE"/>
              </w:rPr>
              <w:t>5</w:t>
            </w:r>
          </w:p>
        </w:tc>
        <w:tc>
          <w:tcPr>
            <w:tcW w:w="809" w:type="pct"/>
          </w:tcPr>
          <w:p w14:paraId="7BE0E642" w14:textId="4AAEA78F" w:rsidR="000D3BE1" w:rsidRPr="00BD69AF" w:rsidRDefault="0BB1A1B5" w:rsidP="7821F417">
            <w:pPr>
              <w:tabs>
                <w:tab w:val="decimal" w:pos="1424"/>
              </w:tabs>
              <w:ind w:right="-144"/>
              <w:rPr>
                <w:b/>
                <w:bCs/>
                <w:lang w:eastAsia="en-IE"/>
              </w:rPr>
            </w:pPr>
            <w:r w:rsidRPr="7821F417">
              <w:rPr>
                <w:b/>
                <w:bCs/>
                <w:lang w:eastAsia="en-IE"/>
              </w:rPr>
              <w:t>Number of</w:t>
            </w:r>
          </w:p>
        </w:tc>
        <w:tc>
          <w:tcPr>
            <w:tcW w:w="883" w:type="pct"/>
          </w:tcPr>
          <w:p w14:paraId="7DEE5F12" w14:textId="295EEC0C" w:rsidR="000D3BE1" w:rsidRDefault="0BB1A1B5" w:rsidP="7821F417">
            <w:pPr>
              <w:tabs>
                <w:tab w:val="decimal" w:pos="1424"/>
              </w:tabs>
              <w:ind w:right="-144"/>
              <w:rPr>
                <w:b/>
                <w:bCs/>
                <w:lang w:eastAsia="en-IE"/>
              </w:rPr>
            </w:pPr>
            <w:r w:rsidRPr="7821F417">
              <w:rPr>
                <w:b/>
                <w:bCs/>
                <w:lang w:eastAsia="en-IE"/>
              </w:rPr>
              <w:t>Share capital</w:t>
            </w:r>
          </w:p>
        </w:tc>
        <w:tc>
          <w:tcPr>
            <w:tcW w:w="882" w:type="pct"/>
          </w:tcPr>
          <w:p w14:paraId="3CC2215D" w14:textId="39924CB2" w:rsidR="000D3BE1" w:rsidRDefault="0BB1A1B5" w:rsidP="7821F417">
            <w:pPr>
              <w:tabs>
                <w:tab w:val="decimal" w:pos="1424"/>
              </w:tabs>
              <w:ind w:right="-144"/>
              <w:rPr>
                <w:b/>
                <w:bCs/>
                <w:lang w:eastAsia="en-IE"/>
              </w:rPr>
            </w:pPr>
            <w:r w:rsidRPr="7821F417">
              <w:rPr>
                <w:b/>
                <w:bCs/>
                <w:lang w:eastAsia="en-IE"/>
              </w:rPr>
              <w:t>Share premium</w:t>
            </w:r>
          </w:p>
        </w:tc>
      </w:tr>
      <w:tr w:rsidR="000D3BE1" w:rsidRPr="00BD69AF" w14:paraId="5922EBCD" w14:textId="77777777" w:rsidTr="7821F417">
        <w:tc>
          <w:tcPr>
            <w:tcW w:w="220" w:type="pct"/>
          </w:tcPr>
          <w:p w14:paraId="0FF262AB" w14:textId="77777777" w:rsidR="000D3BE1" w:rsidRPr="00BD69AF" w:rsidRDefault="000D3BE1" w:rsidP="000D3BE1">
            <w:pPr>
              <w:ind w:right="-144"/>
              <w:rPr>
                <w:lang w:eastAsia="en-IE"/>
              </w:rPr>
            </w:pPr>
          </w:p>
        </w:tc>
        <w:tc>
          <w:tcPr>
            <w:tcW w:w="2206" w:type="pct"/>
          </w:tcPr>
          <w:p w14:paraId="60BFEB33" w14:textId="77777777" w:rsidR="000D3BE1" w:rsidRPr="00BD69AF" w:rsidRDefault="000D3BE1" w:rsidP="000D3BE1">
            <w:pPr>
              <w:ind w:right="-144"/>
            </w:pPr>
          </w:p>
        </w:tc>
        <w:tc>
          <w:tcPr>
            <w:tcW w:w="809" w:type="pct"/>
          </w:tcPr>
          <w:p w14:paraId="3DAEDC65" w14:textId="3C951551" w:rsidR="000D3BE1" w:rsidRPr="00BD69AF" w:rsidRDefault="0BB1A1B5" w:rsidP="7821F417">
            <w:pPr>
              <w:tabs>
                <w:tab w:val="decimal" w:pos="1424"/>
              </w:tabs>
              <w:ind w:right="-144"/>
              <w:rPr>
                <w:b/>
                <w:bCs/>
                <w:lang w:eastAsia="en-IE"/>
              </w:rPr>
            </w:pPr>
            <w:r w:rsidRPr="7821F417">
              <w:rPr>
                <w:b/>
                <w:bCs/>
                <w:lang w:eastAsia="en-IE"/>
              </w:rPr>
              <w:t>shares</w:t>
            </w:r>
          </w:p>
        </w:tc>
        <w:tc>
          <w:tcPr>
            <w:tcW w:w="883" w:type="pct"/>
          </w:tcPr>
          <w:p w14:paraId="7849D280" w14:textId="3E5F974C" w:rsidR="000D3BE1" w:rsidRDefault="0BB1A1B5" w:rsidP="7821F417">
            <w:pPr>
              <w:tabs>
                <w:tab w:val="decimal" w:pos="1424"/>
              </w:tabs>
              <w:ind w:right="-144"/>
              <w:rPr>
                <w:b/>
                <w:bCs/>
                <w:lang w:eastAsia="en-IE"/>
              </w:rPr>
            </w:pPr>
            <w:r w:rsidRPr="7821F417">
              <w:rPr>
                <w:b/>
                <w:bCs/>
                <w:lang w:eastAsia="en-IE"/>
              </w:rPr>
              <w:t>€’000</w:t>
            </w:r>
          </w:p>
        </w:tc>
        <w:tc>
          <w:tcPr>
            <w:tcW w:w="882" w:type="pct"/>
          </w:tcPr>
          <w:p w14:paraId="431D611A" w14:textId="743C1466" w:rsidR="000D3BE1" w:rsidRDefault="0BB1A1B5" w:rsidP="7821F417">
            <w:pPr>
              <w:tabs>
                <w:tab w:val="decimal" w:pos="1424"/>
              </w:tabs>
              <w:ind w:right="-144"/>
              <w:rPr>
                <w:b/>
                <w:bCs/>
                <w:lang w:eastAsia="en-IE"/>
              </w:rPr>
            </w:pPr>
            <w:r w:rsidRPr="7821F417">
              <w:rPr>
                <w:b/>
                <w:bCs/>
                <w:lang w:eastAsia="en-IE"/>
              </w:rPr>
              <w:t>€’000</w:t>
            </w:r>
          </w:p>
        </w:tc>
      </w:tr>
      <w:tr w:rsidR="000D3BE1" w:rsidRPr="00BD69AF" w14:paraId="4553B944" w14:textId="77777777" w:rsidTr="7821F417">
        <w:tc>
          <w:tcPr>
            <w:tcW w:w="220" w:type="pct"/>
          </w:tcPr>
          <w:p w14:paraId="2BBCEAA5" w14:textId="77777777" w:rsidR="000D3BE1" w:rsidRPr="00BD69AF" w:rsidRDefault="000D3BE1" w:rsidP="000D3BE1">
            <w:pPr>
              <w:ind w:right="-144"/>
              <w:rPr>
                <w:lang w:eastAsia="en-IE"/>
              </w:rPr>
            </w:pPr>
          </w:p>
        </w:tc>
        <w:tc>
          <w:tcPr>
            <w:tcW w:w="2206" w:type="pct"/>
          </w:tcPr>
          <w:p w14:paraId="0982873F" w14:textId="77777777" w:rsidR="000D3BE1" w:rsidRPr="00BD69AF" w:rsidRDefault="000D3BE1" w:rsidP="000D3BE1">
            <w:pPr>
              <w:ind w:right="-144"/>
            </w:pPr>
          </w:p>
        </w:tc>
        <w:tc>
          <w:tcPr>
            <w:tcW w:w="809" w:type="pct"/>
          </w:tcPr>
          <w:p w14:paraId="6F8B446A" w14:textId="77777777" w:rsidR="000D3BE1" w:rsidRPr="00BD69AF" w:rsidRDefault="000D3BE1" w:rsidP="7821F417">
            <w:pPr>
              <w:tabs>
                <w:tab w:val="decimal" w:pos="1424"/>
              </w:tabs>
              <w:ind w:right="-144"/>
              <w:rPr>
                <w:b/>
                <w:bCs/>
                <w:lang w:eastAsia="en-IE"/>
              </w:rPr>
            </w:pPr>
          </w:p>
        </w:tc>
        <w:tc>
          <w:tcPr>
            <w:tcW w:w="883" w:type="pct"/>
          </w:tcPr>
          <w:p w14:paraId="4CCC901E" w14:textId="77777777" w:rsidR="000D3BE1" w:rsidRDefault="000D3BE1" w:rsidP="7821F417">
            <w:pPr>
              <w:tabs>
                <w:tab w:val="decimal" w:pos="1424"/>
              </w:tabs>
              <w:ind w:right="-144"/>
              <w:rPr>
                <w:b/>
                <w:bCs/>
                <w:lang w:eastAsia="en-IE"/>
              </w:rPr>
            </w:pPr>
          </w:p>
        </w:tc>
        <w:tc>
          <w:tcPr>
            <w:tcW w:w="882" w:type="pct"/>
          </w:tcPr>
          <w:p w14:paraId="5EC1A13E" w14:textId="77777777" w:rsidR="000D3BE1" w:rsidRDefault="000D3BE1" w:rsidP="7821F417">
            <w:pPr>
              <w:tabs>
                <w:tab w:val="decimal" w:pos="1424"/>
              </w:tabs>
              <w:ind w:right="-144"/>
              <w:rPr>
                <w:b/>
                <w:bCs/>
                <w:lang w:eastAsia="en-IE"/>
              </w:rPr>
            </w:pPr>
          </w:p>
        </w:tc>
      </w:tr>
      <w:tr w:rsidR="000D3BE1" w:rsidRPr="00BD69AF" w14:paraId="344B8B58" w14:textId="77777777" w:rsidTr="7821F417">
        <w:tc>
          <w:tcPr>
            <w:tcW w:w="220" w:type="pct"/>
          </w:tcPr>
          <w:p w14:paraId="37F73534" w14:textId="77777777" w:rsidR="000D3BE1" w:rsidRPr="00BD69AF" w:rsidRDefault="000D3BE1" w:rsidP="000D3BE1">
            <w:pPr>
              <w:ind w:right="-144"/>
              <w:rPr>
                <w:lang w:eastAsia="en-IE"/>
              </w:rPr>
            </w:pPr>
          </w:p>
        </w:tc>
        <w:tc>
          <w:tcPr>
            <w:tcW w:w="2206" w:type="pct"/>
          </w:tcPr>
          <w:p w14:paraId="21C0DB04" w14:textId="3FE78C6F" w:rsidR="000D3BE1" w:rsidRPr="00BD69AF" w:rsidRDefault="0BB1A1B5" w:rsidP="7821F417">
            <w:pPr>
              <w:ind w:right="-144"/>
              <w:rPr>
                <w:lang w:eastAsia="en-IE"/>
              </w:rPr>
            </w:pPr>
            <w:r w:rsidRPr="7821F417">
              <w:rPr>
                <w:lang w:eastAsia="en-IE"/>
              </w:rPr>
              <w:t>Ordinary shares of €0.001 each</w:t>
            </w:r>
          </w:p>
        </w:tc>
        <w:tc>
          <w:tcPr>
            <w:tcW w:w="809" w:type="pct"/>
          </w:tcPr>
          <w:p w14:paraId="7E9EFB18" w14:textId="10D75E6E" w:rsidR="000D3BE1" w:rsidRPr="00433C6E" w:rsidRDefault="00DA411B" w:rsidP="7821F417">
            <w:pPr>
              <w:tabs>
                <w:tab w:val="decimal" w:pos="1424"/>
              </w:tabs>
              <w:ind w:right="-144"/>
              <w:rPr>
                <w:b/>
                <w:bCs/>
                <w:lang w:eastAsia="en-IE"/>
              </w:rPr>
            </w:pPr>
            <w:r>
              <w:rPr>
                <w:b/>
                <w:bCs/>
                <w:lang w:eastAsia="en-IE"/>
              </w:rPr>
              <w:t>541,227,409</w:t>
            </w:r>
          </w:p>
        </w:tc>
        <w:tc>
          <w:tcPr>
            <w:tcW w:w="883" w:type="pct"/>
          </w:tcPr>
          <w:p w14:paraId="3413D556" w14:textId="7FF05002" w:rsidR="000D3BE1" w:rsidRPr="00433C6E" w:rsidRDefault="006A6278" w:rsidP="7821F417">
            <w:pPr>
              <w:tabs>
                <w:tab w:val="decimal" w:pos="1424"/>
              </w:tabs>
              <w:ind w:right="-144"/>
              <w:rPr>
                <w:b/>
                <w:bCs/>
                <w:lang w:eastAsia="en-IE"/>
              </w:rPr>
            </w:pPr>
            <w:r>
              <w:rPr>
                <w:b/>
                <w:bCs/>
                <w:lang w:eastAsia="en-IE"/>
              </w:rPr>
              <w:t>541</w:t>
            </w:r>
          </w:p>
        </w:tc>
        <w:tc>
          <w:tcPr>
            <w:tcW w:w="882" w:type="pct"/>
            <w:vAlign w:val="bottom"/>
          </w:tcPr>
          <w:p w14:paraId="77EC0367" w14:textId="48FF7784" w:rsidR="000D3BE1" w:rsidRPr="00433C6E" w:rsidRDefault="0036605A" w:rsidP="7821F417">
            <w:pPr>
              <w:tabs>
                <w:tab w:val="decimal" w:pos="1424"/>
              </w:tabs>
              <w:ind w:right="-144"/>
              <w:rPr>
                <w:rFonts w:eastAsia="Calibri" w:cs="Arial"/>
                <w:b/>
                <w:bCs/>
                <w:szCs w:val="20"/>
              </w:rPr>
            </w:pPr>
            <w:r>
              <w:rPr>
                <w:rFonts w:eastAsia="Calibri" w:cs="Arial"/>
                <w:b/>
                <w:bCs/>
                <w:szCs w:val="20"/>
              </w:rPr>
              <w:t>179,85</w:t>
            </w:r>
            <w:r w:rsidR="00D713B1">
              <w:rPr>
                <w:rFonts w:eastAsia="Calibri" w:cs="Arial"/>
                <w:b/>
                <w:bCs/>
                <w:szCs w:val="20"/>
              </w:rPr>
              <w:t>6</w:t>
            </w:r>
          </w:p>
        </w:tc>
      </w:tr>
      <w:tr w:rsidR="000D3BE1" w:rsidRPr="00BD69AF" w14:paraId="3B1E07B7" w14:textId="77777777" w:rsidTr="7821F417">
        <w:tc>
          <w:tcPr>
            <w:tcW w:w="220" w:type="pct"/>
          </w:tcPr>
          <w:p w14:paraId="28325811" w14:textId="77777777" w:rsidR="000D3BE1" w:rsidRPr="00BD69AF" w:rsidRDefault="000D3BE1" w:rsidP="000D3BE1">
            <w:pPr>
              <w:ind w:right="-144"/>
              <w:rPr>
                <w:lang w:eastAsia="en-IE"/>
              </w:rPr>
            </w:pPr>
          </w:p>
        </w:tc>
        <w:tc>
          <w:tcPr>
            <w:tcW w:w="2206" w:type="pct"/>
          </w:tcPr>
          <w:p w14:paraId="2E693D46" w14:textId="77777777" w:rsidR="000D3BE1" w:rsidRPr="00BD69AF" w:rsidRDefault="000D3BE1" w:rsidP="000D3BE1">
            <w:pPr>
              <w:ind w:right="-144"/>
            </w:pPr>
          </w:p>
        </w:tc>
        <w:tc>
          <w:tcPr>
            <w:tcW w:w="809" w:type="pct"/>
          </w:tcPr>
          <w:p w14:paraId="166069A5" w14:textId="0BCE6B29" w:rsidR="000D3BE1" w:rsidRPr="00BD69AF" w:rsidRDefault="0BB1A1B5" w:rsidP="7821F417">
            <w:pPr>
              <w:tabs>
                <w:tab w:val="decimal" w:pos="1424"/>
              </w:tabs>
              <w:ind w:right="-144"/>
              <w:rPr>
                <w:b/>
                <w:bCs/>
                <w:lang w:eastAsia="en-IE"/>
              </w:rPr>
            </w:pPr>
            <w:r w:rsidRPr="7821F417">
              <w:rPr>
                <w:u w:val="single"/>
                <w:lang w:eastAsia="en-IE"/>
              </w:rPr>
              <w:t>                        </w:t>
            </w:r>
          </w:p>
        </w:tc>
        <w:tc>
          <w:tcPr>
            <w:tcW w:w="883" w:type="pct"/>
          </w:tcPr>
          <w:p w14:paraId="0BC18FCC" w14:textId="08F1B4AD" w:rsidR="000D3BE1" w:rsidRDefault="0BB1A1B5" w:rsidP="7821F417">
            <w:pPr>
              <w:tabs>
                <w:tab w:val="decimal" w:pos="1424"/>
              </w:tabs>
              <w:ind w:right="-144"/>
              <w:rPr>
                <w:b/>
                <w:bCs/>
                <w:lang w:eastAsia="en-IE"/>
              </w:rPr>
            </w:pPr>
            <w:r w:rsidRPr="7821F417">
              <w:rPr>
                <w:u w:val="single"/>
                <w:lang w:eastAsia="en-IE"/>
              </w:rPr>
              <w:t>                        </w:t>
            </w:r>
          </w:p>
        </w:tc>
        <w:tc>
          <w:tcPr>
            <w:tcW w:w="882" w:type="pct"/>
          </w:tcPr>
          <w:p w14:paraId="1BB64912" w14:textId="3BAD0DD7" w:rsidR="000D3BE1" w:rsidRDefault="0BB1A1B5" w:rsidP="7821F417">
            <w:pPr>
              <w:tabs>
                <w:tab w:val="decimal" w:pos="1424"/>
              </w:tabs>
              <w:ind w:right="-144"/>
              <w:rPr>
                <w:b/>
                <w:bCs/>
                <w:lang w:eastAsia="en-IE"/>
              </w:rPr>
            </w:pPr>
            <w:r w:rsidRPr="7821F417">
              <w:rPr>
                <w:u w:val="single"/>
                <w:lang w:eastAsia="en-IE"/>
              </w:rPr>
              <w:t>                        </w:t>
            </w:r>
          </w:p>
        </w:tc>
      </w:tr>
      <w:tr w:rsidR="000D3BE1" w:rsidRPr="00BD69AF" w14:paraId="2DD1B6CB" w14:textId="77777777" w:rsidTr="7821F417">
        <w:tc>
          <w:tcPr>
            <w:tcW w:w="220" w:type="pct"/>
          </w:tcPr>
          <w:p w14:paraId="0A1AB899" w14:textId="77777777" w:rsidR="000D3BE1" w:rsidRPr="00BD69AF" w:rsidRDefault="000D3BE1" w:rsidP="000D3BE1">
            <w:pPr>
              <w:ind w:right="-144"/>
              <w:rPr>
                <w:lang w:eastAsia="en-IE"/>
              </w:rPr>
            </w:pPr>
          </w:p>
        </w:tc>
        <w:tc>
          <w:tcPr>
            <w:tcW w:w="2206" w:type="pct"/>
          </w:tcPr>
          <w:p w14:paraId="3E287324" w14:textId="77777777" w:rsidR="000D3BE1" w:rsidRPr="00BD69AF" w:rsidRDefault="000D3BE1" w:rsidP="000D3BE1">
            <w:pPr>
              <w:ind w:right="-144"/>
            </w:pPr>
          </w:p>
        </w:tc>
        <w:tc>
          <w:tcPr>
            <w:tcW w:w="809" w:type="pct"/>
          </w:tcPr>
          <w:p w14:paraId="30D5F057" w14:textId="77777777" w:rsidR="000D3BE1" w:rsidRPr="00BD69AF" w:rsidRDefault="000D3BE1" w:rsidP="7821F417">
            <w:pPr>
              <w:tabs>
                <w:tab w:val="decimal" w:pos="1424"/>
              </w:tabs>
              <w:ind w:right="-144"/>
              <w:rPr>
                <w:b/>
                <w:bCs/>
                <w:lang w:eastAsia="en-IE"/>
              </w:rPr>
            </w:pPr>
          </w:p>
        </w:tc>
        <w:tc>
          <w:tcPr>
            <w:tcW w:w="883" w:type="pct"/>
          </w:tcPr>
          <w:p w14:paraId="1A71FF4B" w14:textId="77777777" w:rsidR="000D3BE1" w:rsidRDefault="000D3BE1" w:rsidP="7821F417">
            <w:pPr>
              <w:tabs>
                <w:tab w:val="decimal" w:pos="1424"/>
              </w:tabs>
              <w:ind w:right="-144"/>
              <w:rPr>
                <w:b/>
                <w:bCs/>
                <w:lang w:eastAsia="en-IE"/>
              </w:rPr>
            </w:pPr>
          </w:p>
        </w:tc>
        <w:tc>
          <w:tcPr>
            <w:tcW w:w="882" w:type="pct"/>
          </w:tcPr>
          <w:p w14:paraId="225B90E0" w14:textId="77777777" w:rsidR="000D3BE1" w:rsidRDefault="000D3BE1" w:rsidP="7821F417">
            <w:pPr>
              <w:tabs>
                <w:tab w:val="decimal" w:pos="1424"/>
              </w:tabs>
              <w:ind w:right="-144"/>
              <w:rPr>
                <w:b/>
                <w:bCs/>
                <w:lang w:eastAsia="en-IE"/>
              </w:rPr>
            </w:pPr>
          </w:p>
        </w:tc>
      </w:tr>
      <w:tr w:rsidR="000D3BE1" w:rsidRPr="00BD69AF" w14:paraId="357C2165" w14:textId="77777777" w:rsidTr="7821F417">
        <w:tc>
          <w:tcPr>
            <w:tcW w:w="220" w:type="pct"/>
          </w:tcPr>
          <w:p w14:paraId="615E6648" w14:textId="77777777" w:rsidR="000D3BE1" w:rsidRPr="00BD69AF" w:rsidRDefault="000D3BE1" w:rsidP="000D3BE1">
            <w:pPr>
              <w:ind w:right="-144"/>
              <w:rPr>
                <w:lang w:eastAsia="en-IE"/>
              </w:rPr>
            </w:pPr>
          </w:p>
        </w:tc>
        <w:tc>
          <w:tcPr>
            <w:tcW w:w="2206" w:type="pct"/>
          </w:tcPr>
          <w:p w14:paraId="7D86BE81" w14:textId="77777777" w:rsidR="000D3BE1" w:rsidRPr="00BD69AF" w:rsidRDefault="000D3BE1" w:rsidP="000D3BE1">
            <w:pPr>
              <w:ind w:right="-144"/>
            </w:pPr>
          </w:p>
        </w:tc>
        <w:tc>
          <w:tcPr>
            <w:tcW w:w="809" w:type="pct"/>
          </w:tcPr>
          <w:p w14:paraId="35475FB6" w14:textId="79871624" w:rsidR="000D3BE1" w:rsidRPr="00BD69AF" w:rsidRDefault="009B0E8F" w:rsidP="7821F417">
            <w:pPr>
              <w:tabs>
                <w:tab w:val="decimal" w:pos="1424"/>
              </w:tabs>
              <w:ind w:right="-144"/>
              <w:rPr>
                <w:rFonts w:cs="Arial"/>
                <w:b/>
                <w:bCs/>
                <w:lang w:eastAsia="en-IE"/>
              </w:rPr>
            </w:pPr>
            <w:r>
              <w:rPr>
                <w:b/>
                <w:bCs/>
                <w:lang w:eastAsia="en-IE"/>
              </w:rPr>
              <w:t>541,227,409</w:t>
            </w:r>
          </w:p>
        </w:tc>
        <w:tc>
          <w:tcPr>
            <w:tcW w:w="883" w:type="pct"/>
          </w:tcPr>
          <w:p w14:paraId="0E2FA4E8" w14:textId="2ABF52B1" w:rsidR="000D3BE1" w:rsidRDefault="009B0E8F" w:rsidP="7821F417">
            <w:pPr>
              <w:tabs>
                <w:tab w:val="decimal" w:pos="1424"/>
              </w:tabs>
              <w:ind w:right="-144"/>
              <w:rPr>
                <w:rFonts w:eastAsia="Calibri" w:cs="Arial"/>
                <w:b/>
                <w:bCs/>
                <w:szCs w:val="20"/>
                <w:lang w:eastAsia="en-IE"/>
              </w:rPr>
            </w:pPr>
            <w:r>
              <w:rPr>
                <w:rFonts w:eastAsia="Calibri" w:cs="Arial"/>
                <w:b/>
                <w:bCs/>
                <w:szCs w:val="20"/>
                <w:lang w:eastAsia="en-IE"/>
              </w:rPr>
              <w:t>541</w:t>
            </w:r>
          </w:p>
        </w:tc>
        <w:tc>
          <w:tcPr>
            <w:tcW w:w="882" w:type="pct"/>
          </w:tcPr>
          <w:p w14:paraId="54D61F50" w14:textId="012D5700" w:rsidR="000D3BE1" w:rsidRDefault="0036605A" w:rsidP="7821F417">
            <w:pPr>
              <w:tabs>
                <w:tab w:val="decimal" w:pos="1424"/>
              </w:tabs>
              <w:ind w:right="-144"/>
              <w:rPr>
                <w:rFonts w:eastAsia="Calibri" w:cs="Arial"/>
                <w:b/>
                <w:bCs/>
                <w:szCs w:val="20"/>
                <w:lang w:eastAsia="en-IE"/>
              </w:rPr>
            </w:pPr>
            <w:r>
              <w:rPr>
                <w:rFonts w:eastAsia="Calibri" w:cs="Arial"/>
                <w:b/>
                <w:bCs/>
                <w:szCs w:val="20"/>
                <w:lang w:eastAsia="en-IE"/>
              </w:rPr>
              <w:t>179,85</w:t>
            </w:r>
            <w:r w:rsidR="00D713B1">
              <w:rPr>
                <w:rFonts w:eastAsia="Calibri" w:cs="Arial"/>
                <w:b/>
                <w:bCs/>
                <w:szCs w:val="20"/>
                <w:lang w:eastAsia="en-IE"/>
              </w:rPr>
              <w:t>6</w:t>
            </w:r>
          </w:p>
        </w:tc>
      </w:tr>
      <w:tr w:rsidR="000D3BE1" w:rsidRPr="00BD69AF" w14:paraId="5A679F74" w14:textId="77777777" w:rsidTr="7821F417">
        <w:tc>
          <w:tcPr>
            <w:tcW w:w="220" w:type="pct"/>
          </w:tcPr>
          <w:p w14:paraId="7619F7A7" w14:textId="77777777" w:rsidR="000D3BE1" w:rsidRPr="00BD69AF" w:rsidRDefault="000D3BE1" w:rsidP="000D3BE1">
            <w:pPr>
              <w:ind w:right="-144"/>
              <w:rPr>
                <w:lang w:eastAsia="en-IE"/>
              </w:rPr>
            </w:pPr>
          </w:p>
        </w:tc>
        <w:tc>
          <w:tcPr>
            <w:tcW w:w="2206" w:type="pct"/>
          </w:tcPr>
          <w:p w14:paraId="5D3ECB4F" w14:textId="49FE8DC2" w:rsidR="009A5B08" w:rsidRPr="00BD69AF" w:rsidRDefault="009A5B08" w:rsidP="000D3BE1">
            <w:pPr>
              <w:ind w:right="-144"/>
            </w:pPr>
          </w:p>
        </w:tc>
        <w:tc>
          <w:tcPr>
            <w:tcW w:w="809" w:type="pct"/>
          </w:tcPr>
          <w:p w14:paraId="4D0A8977" w14:textId="19DDFAD6" w:rsidR="000D3BE1" w:rsidRPr="00BD69AF" w:rsidRDefault="0BB1A1B5" w:rsidP="7821F417">
            <w:pPr>
              <w:tabs>
                <w:tab w:val="decimal" w:pos="1424"/>
              </w:tabs>
              <w:ind w:right="-144"/>
              <w:rPr>
                <w:b/>
                <w:bCs/>
                <w:lang w:eastAsia="en-IE"/>
              </w:rPr>
            </w:pPr>
            <w:r w:rsidRPr="7821F417">
              <w:rPr>
                <w:u w:val="double"/>
                <w:lang w:eastAsia="en-IE"/>
              </w:rPr>
              <w:t>                        </w:t>
            </w:r>
          </w:p>
        </w:tc>
        <w:tc>
          <w:tcPr>
            <w:tcW w:w="883" w:type="pct"/>
          </w:tcPr>
          <w:p w14:paraId="2848660F" w14:textId="73ECA1DB" w:rsidR="000D3BE1" w:rsidRDefault="0BB1A1B5" w:rsidP="7821F417">
            <w:pPr>
              <w:tabs>
                <w:tab w:val="decimal" w:pos="1424"/>
              </w:tabs>
              <w:ind w:right="-144"/>
              <w:rPr>
                <w:b/>
                <w:bCs/>
                <w:lang w:eastAsia="en-IE"/>
              </w:rPr>
            </w:pPr>
            <w:r w:rsidRPr="7821F417">
              <w:rPr>
                <w:u w:val="double"/>
                <w:lang w:eastAsia="en-IE"/>
              </w:rPr>
              <w:t>                        </w:t>
            </w:r>
          </w:p>
        </w:tc>
        <w:tc>
          <w:tcPr>
            <w:tcW w:w="882" w:type="pct"/>
          </w:tcPr>
          <w:p w14:paraId="7C802064" w14:textId="580A3EA6" w:rsidR="000D3BE1" w:rsidRDefault="0BB1A1B5" w:rsidP="7821F417">
            <w:pPr>
              <w:tabs>
                <w:tab w:val="decimal" w:pos="1424"/>
              </w:tabs>
              <w:ind w:right="-144"/>
              <w:rPr>
                <w:b/>
                <w:bCs/>
                <w:lang w:eastAsia="en-IE"/>
              </w:rPr>
            </w:pPr>
            <w:r w:rsidRPr="7821F417">
              <w:rPr>
                <w:u w:val="double"/>
                <w:lang w:eastAsia="en-IE"/>
              </w:rPr>
              <w:t>                        </w:t>
            </w:r>
          </w:p>
        </w:tc>
      </w:tr>
      <w:tr w:rsidR="009A5B08" w:rsidRPr="00BD69AF" w14:paraId="02E76DDC" w14:textId="77777777" w:rsidTr="7821F417">
        <w:tc>
          <w:tcPr>
            <w:tcW w:w="220" w:type="pct"/>
          </w:tcPr>
          <w:p w14:paraId="0ECB4315" w14:textId="77777777" w:rsidR="009A5B08" w:rsidRPr="00BD69AF" w:rsidRDefault="009A5B08" w:rsidP="000D3BE1">
            <w:pPr>
              <w:ind w:right="-144"/>
              <w:rPr>
                <w:lang w:eastAsia="en-IE"/>
              </w:rPr>
            </w:pPr>
          </w:p>
        </w:tc>
        <w:tc>
          <w:tcPr>
            <w:tcW w:w="2206" w:type="pct"/>
          </w:tcPr>
          <w:p w14:paraId="26D92ADD" w14:textId="77777777" w:rsidR="009A5B08" w:rsidRPr="00860AEA" w:rsidRDefault="009A5B08" w:rsidP="7821F417">
            <w:pPr>
              <w:ind w:right="-144"/>
              <w:rPr>
                <w:b/>
                <w:bCs/>
                <w:lang w:eastAsia="en-IE"/>
              </w:rPr>
            </w:pPr>
          </w:p>
        </w:tc>
        <w:tc>
          <w:tcPr>
            <w:tcW w:w="809" w:type="pct"/>
          </w:tcPr>
          <w:p w14:paraId="744E1688" w14:textId="77777777" w:rsidR="009A5B08" w:rsidRPr="00BD69AF" w:rsidRDefault="009A5B08" w:rsidP="7821F417">
            <w:pPr>
              <w:tabs>
                <w:tab w:val="decimal" w:pos="1424"/>
              </w:tabs>
              <w:ind w:left="416" w:right="-144" w:hanging="416"/>
              <w:rPr>
                <w:b/>
                <w:bCs/>
                <w:lang w:eastAsia="en-IE"/>
              </w:rPr>
            </w:pPr>
          </w:p>
        </w:tc>
        <w:tc>
          <w:tcPr>
            <w:tcW w:w="883" w:type="pct"/>
          </w:tcPr>
          <w:p w14:paraId="72C34CB9" w14:textId="77777777" w:rsidR="009A5B08" w:rsidRDefault="009A5B08" w:rsidP="7821F417">
            <w:pPr>
              <w:tabs>
                <w:tab w:val="decimal" w:pos="1424"/>
              </w:tabs>
              <w:ind w:right="-144"/>
              <w:rPr>
                <w:b/>
                <w:bCs/>
                <w:lang w:eastAsia="en-IE"/>
              </w:rPr>
            </w:pPr>
          </w:p>
        </w:tc>
        <w:tc>
          <w:tcPr>
            <w:tcW w:w="882" w:type="pct"/>
          </w:tcPr>
          <w:p w14:paraId="49635602" w14:textId="77777777" w:rsidR="009A5B08" w:rsidRDefault="009A5B08" w:rsidP="7821F417">
            <w:pPr>
              <w:tabs>
                <w:tab w:val="decimal" w:pos="1424"/>
              </w:tabs>
              <w:ind w:right="-144"/>
              <w:rPr>
                <w:b/>
                <w:bCs/>
                <w:lang w:eastAsia="en-IE"/>
              </w:rPr>
            </w:pPr>
          </w:p>
        </w:tc>
      </w:tr>
      <w:tr w:rsidR="00DA5EE5" w:rsidRPr="00BD69AF" w14:paraId="78577154" w14:textId="77777777" w:rsidTr="7821F417">
        <w:tc>
          <w:tcPr>
            <w:tcW w:w="220" w:type="pct"/>
          </w:tcPr>
          <w:p w14:paraId="4813FEE1" w14:textId="77777777" w:rsidR="00DA5EE5" w:rsidRPr="00BD69AF" w:rsidRDefault="00DA5EE5" w:rsidP="00DA5EE5">
            <w:pPr>
              <w:ind w:right="-144"/>
              <w:rPr>
                <w:lang w:eastAsia="en-IE"/>
              </w:rPr>
            </w:pPr>
          </w:p>
        </w:tc>
        <w:tc>
          <w:tcPr>
            <w:tcW w:w="2206" w:type="pct"/>
          </w:tcPr>
          <w:p w14:paraId="4225E045" w14:textId="5BAD525F" w:rsidR="00DA5EE5" w:rsidRPr="00BD69AF" w:rsidRDefault="40C3C1DD" w:rsidP="7821F417">
            <w:pPr>
              <w:ind w:right="-144"/>
              <w:rPr>
                <w:b/>
                <w:bCs/>
                <w:lang w:eastAsia="en-IE"/>
              </w:rPr>
            </w:pPr>
            <w:r w:rsidRPr="7821F417">
              <w:rPr>
                <w:b/>
                <w:bCs/>
                <w:lang w:eastAsia="en-IE"/>
              </w:rPr>
              <w:t xml:space="preserve">As </w:t>
            </w:r>
            <w:proofErr w:type="gramStart"/>
            <w:r w:rsidRPr="7821F417">
              <w:rPr>
                <w:b/>
                <w:bCs/>
                <w:lang w:eastAsia="en-IE"/>
              </w:rPr>
              <w:t>at</w:t>
            </w:r>
            <w:proofErr w:type="gramEnd"/>
            <w:r w:rsidRPr="7821F417">
              <w:rPr>
                <w:b/>
                <w:bCs/>
                <w:lang w:eastAsia="en-IE"/>
              </w:rPr>
              <w:t xml:space="preserve"> 31 December</w:t>
            </w:r>
            <w:r w:rsidR="007E4D78">
              <w:rPr>
                <w:rStyle w:val="CommentReference"/>
                <w:rFonts w:ascii="Times New Roman" w:eastAsia="Times New Roman" w:hAnsi="Times New Roman" w:cs="Times New Roman"/>
                <w:szCs w:val="20"/>
                <w:lang w:val="en-GB"/>
              </w:rPr>
              <w:t xml:space="preserve"> </w:t>
            </w:r>
            <w:r w:rsidR="007E4D78" w:rsidRPr="007E4D78">
              <w:rPr>
                <w:b/>
                <w:bCs/>
                <w:lang w:eastAsia="en-IE"/>
              </w:rPr>
              <w:t>202</w:t>
            </w:r>
            <w:r w:rsidR="0012735C">
              <w:rPr>
                <w:b/>
                <w:bCs/>
                <w:lang w:eastAsia="en-IE"/>
              </w:rPr>
              <w:t>4</w:t>
            </w:r>
          </w:p>
        </w:tc>
        <w:tc>
          <w:tcPr>
            <w:tcW w:w="809" w:type="pct"/>
          </w:tcPr>
          <w:p w14:paraId="42198B70" w14:textId="77777777" w:rsidR="00DA5EE5" w:rsidRPr="00BD69AF" w:rsidRDefault="40C3C1DD" w:rsidP="7821F417">
            <w:pPr>
              <w:tabs>
                <w:tab w:val="decimal" w:pos="1424"/>
              </w:tabs>
              <w:ind w:left="416" w:right="-144" w:hanging="416"/>
              <w:rPr>
                <w:b/>
                <w:bCs/>
                <w:lang w:eastAsia="en-IE"/>
              </w:rPr>
            </w:pPr>
            <w:r w:rsidRPr="7821F417">
              <w:rPr>
                <w:b/>
                <w:bCs/>
                <w:lang w:eastAsia="en-IE"/>
              </w:rPr>
              <w:t>Number of</w:t>
            </w:r>
          </w:p>
        </w:tc>
        <w:tc>
          <w:tcPr>
            <w:tcW w:w="883" w:type="pct"/>
          </w:tcPr>
          <w:p w14:paraId="69070F64" w14:textId="77777777" w:rsidR="00DA5EE5" w:rsidRPr="00BD69AF" w:rsidRDefault="40C3C1DD" w:rsidP="7821F417">
            <w:pPr>
              <w:tabs>
                <w:tab w:val="decimal" w:pos="1424"/>
              </w:tabs>
              <w:ind w:right="-144"/>
              <w:rPr>
                <w:b/>
                <w:bCs/>
                <w:lang w:eastAsia="en-IE"/>
              </w:rPr>
            </w:pPr>
            <w:r w:rsidRPr="7821F417">
              <w:rPr>
                <w:b/>
                <w:bCs/>
                <w:lang w:eastAsia="en-IE"/>
              </w:rPr>
              <w:t>Share capital</w:t>
            </w:r>
          </w:p>
        </w:tc>
        <w:tc>
          <w:tcPr>
            <w:tcW w:w="882" w:type="pct"/>
          </w:tcPr>
          <w:p w14:paraId="4EE66903" w14:textId="77777777" w:rsidR="00DA5EE5" w:rsidRPr="00BD69AF" w:rsidRDefault="40C3C1DD" w:rsidP="7821F417">
            <w:pPr>
              <w:tabs>
                <w:tab w:val="decimal" w:pos="1424"/>
              </w:tabs>
              <w:ind w:right="-144"/>
              <w:rPr>
                <w:b/>
                <w:bCs/>
                <w:lang w:eastAsia="en-IE"/>
              </w:rPr>
            </w:pPr>
            <w:r w:rsidRPr="7821F417">
              <w:rPr>
                <w:b/>
                <w:bCs/>
                <w:lang w:eastAsia="en-IE"/>
              </w:rPr>
              <w:t>Share premium</w:t>
            </w:r>
          </w:p>
        </w:tc>
      </w:tr>
      <w:tr w:rsidR="00DA5EE5" w:rsidRPr="00BD69AF" w14:paraId="063315DD" w14:textId="77777777" w:rsidTr="7821F417">
        <w:tc>
          <w:tcPr>
            <w:tcW w:w="220" w:type="pct"/>
          </w:tcPr>
          <w:p w14:paraId="4DA38A2B" w14:textId="77777777" w:rsidR="00DA5EE5" w:rsidRPr="00BD69AF" w:rsidRDefault="00DA5EE5" w:rsidP="00DA5EE5">
            <w:pPr>
              <w:ind w:right="-144"/>
              <w:rPr>
                <w:lang w:eastAsia="en-IE"/>
              </w:rPr>
            </w:pPr>
          </w:p>
        </w:tc>
        <w:tc>
          <w:tcPr>
            <w:tcW w:w="2206" w:type="pct"/>
          </w:tcPr>
          <w:p w14:paraId="15F867C5" w14:textId="77777777" w:rsidR="00DA5EE5" w:rsidRPr="00BD69AF" w:rsidRDefault="00DA5EE5" w:rsidP="00DA5EE5">
            <w:pPr>
              <w:ind w:right="-144"/>
            </w:pPr>
          </w:p>
        </w:tc>
        <w:tc>
          <w:tcPr>
            <w:tcW w:w="809" w:type="pct"/>
          </w:tcPr>
          <w:p w14:paraId="75B1A35D" w14:textId="77777777" w:rsidR="00DA5EE5" w:rsidRPr="00BD69AF" w:rsidRDefault="40C3C1DD" w:rsidP="7821F417">
            <w:pPr>
              <w:tabs>
                <w:tab w:val="decimal" w:pos="1424"/>
              </w:tabs>
              <w:ind w:right="-144"/>
              <w:rPr>
                <w:b/>
                <w:bCs/>
                <w:lang w:eastAsia="en-IE"/>
              </w:rPr>
            </w:pPr>
            <w:r w:rsidRPr="7821F417">
              <w:rPr>
                <w:b/>
                <w:bCs/>
                <w:lang w:eastAsia="en-IE"/>
              </w:rPr>
              <w:t>shares</w:t>
            </w:r>
          </w:p>
        </w:tc>
        <w:tc>
          <w:tcPr>
            <w:tcW w:w="883" w:type="pct"/>
          </w:tcPr>
          <w:p w14:paraId="3AD52CD5" w14:textId="77777777" w:rsidR="00DA5EE5" w:rsidRPr="00BD69AF" w:rsidRDefault="40C3C1DD" w:rsidP="7821F417">
            <w:pPr>
              <w:tabs>
                <w:tab w:val="decimal" w:pos="1424"/>
              </w:tabs>
              <w:ind w:right="-144"/>
              <w:rPr>
                <w:b/>
                <w:bCs/>
                <w:lang w:eastAsia="en-IE"/>
              </w:rPr>
            </w:pPr>
            <w:r w:rsidRPr="7821F417">
              <w:rPr>
                <w:b/>
                <w:bCs/>
                <w:lang w:eastAsia="en-IE"/>
              </w:rPr>
              <w:t>€’000</w:t>
            </w:r>
          </w:p>
        </w:tc>
        <w:tc>
          <w:tcPr>
            <w:tcW w:w="882" w:type="pct"/>
          </w:tcPr>
          <w:p w14:paraId="1F25BF92" w14:textId="77777777" w:rsidR="00DA5EE5" w:rsidRPr="00BD69AF" w:rsidRDefault="40C3C1DD" w:rsidP="7821F417">
            <w:pPr>
              <w:tabs>
                <w:tab w:val="decimal" w:pos="1424"/>
              </w:tabs>
              <w:ind w:right="-144"/>
              <w:rPr>
                <w:b/>
                <w:bCs/>
                <w:lang w:eastAsia="en-IE"/>
              </w:rPr>
            </w:pPr>
            <w:r w:rsidRPr="7821F417">
              <w:rPr>
                <w:b/>
                <w:bCs/>
                <w:lang w:eastAsia="en-IE"/>
              </w:rPr>
              <w:t>€’000</w:t>
            </w:r>
          </w:p>
        </w:tc>
      </w:tr>
      <w:tr w:rsidR="00DA5EE5" w:rsidRPr="00BD69AF" w14:paraId="35E91319" w14:textId="77777777" w:rsidTr="7821F417">
        <w:tc>
          <w:tcPr>
            <w:tcW w:w="220" w:type="pct"/>
          </w:tcPr>
          <w:p w14:paraId="70DA803F" w14:textId="77777777" w:rsidR="00DA5EE5" w:rsidRPr="00BD69AF" w:rsidRDefault="00DA5EE5" w:rsidP="00DA5EE5">
            <w:pPr>
              <w:ind w:right="-144"/>
              <w:rPr>
                <w:lang w:eastAsia="en-IE"/>
              </w:rPr>
            </w:pPr>
          </w:p>
        </w:tc>
        <w:tc>
          <w:tcPr>
            <w:tcW w:w="2206" w:type="pct"/>
          </w:tcPr>
          <w:p w14:paraId="0976DD3D" w14:textId="77777777" w:rsidR="00DA5EE5" w:rsidRPr="00BD69AF" w:rsidRDefault="00DA5EE5" w:rsidP="00DA5EE5">
            <w:pPr>
              <w:ind w:right="-144"/>
              <w:rPr>
                <w:lang w:eastAsia="en-IE"/>
              </w:rPr>
            </w:pPr>
          </w:p>
        </w:tc>
        <w:tc>
          <w:tcPr>
            <w:tcW w:w="809" w:type="pct"/>
          </w:tcPr>
          <w:p w14:paraId="30121373" w14:textId="77777777" w:rsidR="00DA5EE5" w:rsidRPr="00BD69AF" w:rsidRDefault="00DA5EE5" w:rsidP="00DA5EE5">
            <w:pPr>
              <w:tabs>
                <w:tab w:val="decimal" w:pos="1424"/>
              </w:tabs>
              <w:ind w:right="-144"/>
              <w:rPr>
                <w:lang w:eastAsia="en-IE"/>
              </w:rPr>
            </w:pPr>
          </w:p>
        </w:tc>
        <w:tc>
          <w:tcPr>
            <w:tcW w:w="883" w:type="pct"/>
          </w:tcPr>
          <w:p w14:paraId="4080F5A6" w14:textId="77777777" w:rsidR="00DA5EE5" w:rsidRPr="00BD69AF" w:rsidRDefault="00DA5EE5" w:rsidP="00DA5EE5">
            <w:pPr>
              <w:tabs>
                <w:tab w:val="decimal" w:pos="1424"/>
              </w:tabs>
              <w:ind w:right="-144"/>
              <w:rPr>
                <w:lang w:eastAsia="en-IE"/>
              </w:rPr>
            </w:pPr>
          </w:p>
        </w:tc>
        <w:tc>
          <w:tcPr>
            <w:tcW w:w="882" w:type="pct"/>
          </w:tcPr>
          <w:p w14:paraId="2E5CB719" w14:textId="77777777" w:rsidR="00DA5EE5" w:rsidRPr="00BD69AF" w:rsidRDefault="00DA5EE5" w:rsidP="00DA5EE5">
            <w:pPr>
              <w:tabs>
                <w:tab w:val="decimal" w:pos="1424"/>
              </w:tabs>
              <w:ind w:right="-144"/>
              <w:rPr>
                <w:lang w:eastAsia="en-IE"/>
              </w:rPr>
            </w:pPr>
          </w:p>
        </w:tc>
      </w:tr>
      <w:tr w:rsidR="005D19D2" w:rsidRPr="00BD69AF" w14:paraId="5DC3E27C" w14:textId="77777777">
        <w:tc>
          <w:tcPr>
            <w:tcW w:w="220" w:type="pct"/>
          </w:tcPr>
          <w:p w14:paraId="498E77D4" w14:textId="77777777" w:rsidR="005D19D2" w:rsidRPr="00997223" w:rsidRDefault="005D19D2" w:rsidP="005D19D2">
            <w:pPr>
              <w:ind w:right="-144"/>
              <w:rPr>
                <w:rFonts w:cs="Arial"/>
                <w:lang w:eastAsia="en-IE"/>
              </w:rPr>
            </w:pPr>
          </w:p>
        </w:tc>
        <w:tc>
          <w:tcPr>
            <w:tcW w:w="2206" w:type="pct"/>
          </w:tcPr>
          <w:p w14:paraId="7997E05F" w14:textId="77777777" w:rsidR="005D19D2" w:rsidRPr="00BD69AF" w:rsidRDefault="005D19D2" w:rsidP="005D19D2">
            <w:pPr>
              <w:ind w:right="-144"/>
              <w:rPr>
                <w:lang w:eastAsia="en-IE"/>
              </w:rPr>
            </w:pPr>
            <w:r w:rsidRPr="7821F417">
              <w:rPr>
                <w:lang w:eastAsia="en-IE"/>
              </w:rPr>
              <w:t>Ordinary shares of €0.001 each</w:t>
            </w:r>
          </w:p>
        </w:tc>
        <w:tc>
          <w:tcPr>
            <w:tcW w:w="809" w:type="pct"/>
          </w:tcPr>
          <w:p w14:paraId="52878CFA" w14:textId="5696D7FF" w:rsidR="005D19D2" w:rsidRPr="005D19D2" w:rsidRDefault="005D19D2" w:rsidP="005D19D2">
            <w:pPr>
              <w:tabs>
                <w:tab w:val="decimal" w:pos="1424"/>
              </w:tabs>
              <w:ind w:right="-144"/>
              <w:rPr>
                <w:rFonts w:eastAsia="Calibri" w:cs="Arial"/>
                <w:szCs w:val="20"/>
                <w:lang w:eastAsia="en-IE"/>
              </w:rPr>
            </w:pPr>
            <w:r w:rsidRPr="005D19D2">
              <w:rPr>
                <w:rFonts w:cs="Arial"/>
                <w:szCs w:val="20"/>
              </w:rPr>
              <w:t>560,878,504</w:t>
            </w:r>
          </w:p>
        </w:tc>
        <w:tc>
          <w:tcPr>
            <w:tcW w:w="883" w:type="pct"/>
          </w:tcPr>
          <w:p w14:paraId="35384563" w14:textId="548EA979" w:rsidR="005D19D2" w:rsidRPr="005D19D2" w:rsidRDefault="005D19D2" w:rsidP="005D19D2">
            <w:pPr>
              <w:tabs>
                <w:tab w:val="decimal" w:pos="1424"/>
              </w:tabs>
              <w:ind w:right="-144"/>
              <w:rPr>
                <w:rFonts w:eastAsia="Calibri" w:cs="Arial"/>
                <w:szCs w:val="20"/>
                <w:lang w:eastAsia="en-IE"/>
              </w:rPr>
            </w:pPr>
            <w:r w:rsidRPr="005D19D2">
              <w:rPr>
                <w:rFonts w:cs="Arial"/>
                <w:szCs w:val="20"/>
              </w:rPr>
              <w:t>561</w:t>
            </w:r>
          </w:p>
        </w:tc>
        <w:tc>
          <w:tcPr>
            <w:tcW w:w="882" w:type="pct"/>
          </w:tcPr>
          <w:p w14:paraId="4ACAB663" w14:textId="5D0BBD0E" w:rsidR="005D19D2" w:rsidRPr="005D19D2" w:rsidRDefault="005D19D2" w:rsidP="005D19D2">
            <w:pPr>
              <w:tabs>
                <w:tab w:val="decimal" w:pos="1424"/>
              </w:tabs>
              <w:ind w:right="-144"/>
              <w:rPr>
                <w:rFonts w:eastAsia="Calibri" w:cs="Arial"/>
                <w:szCs w:val="20"/>
              </w:rPr>
            </w:pPr>
            <w:r w:rsidRPr="005D19D2">
              <w:rPr>
                <w:rFonts w:cs="Arial"/>
                <w:szCs w:val="20"/>
              </w:rPr>
              <w:t>179,788</w:t>
            </w:r>
          </w:p>
        </w:tc>
      </w:tr>
      <w:tr w:rsidR="005D19D2" w:rsidRPr="00BD69AF" w14:paraId="31918BDD" w14:textId="77777777" w:rsidTr="7821F417">
        <w:tc>
          <w:tcPr>
            <w:tcW w:w="220" w:type="pct"/>
          </w:tcPr>
          <w:p w14:paraId="3ED485D0" w14:textId="77777777" w:rsidR="005D19D2" w:rsidRPr="00997223" w:rsidRDefault="005D19D2" w:rsidP="005D19D2">
            <w:pPr>
              <w:ind w:right="-144"/>
              <w:rPr>
                <w:rFonts w:cs="Arial"/>
                <w:lang w:eastAsia="en-IE"/>
              </w:rPr>
            </w:pPr>
          </w:p>
        </w:tc>
        <w:tc>
          <w:tcPr>
            <w:tcW w:w="2206" w:type="pct"/>
          </w:tcPr>
          <w:p w14:paraId="7A1E6370" w14:textId="2495A0F9" w:rsidR="005D19D2" w:rsidRPr="00BD69AF" w:rsidRDefault="005D19D2" w:rsidP="005D19D2">
            <w:pPr>
              <w:ind w:right="-144"/>
              <w:rPr>
                <w:lang w:eastAsia="en-IE"/>
              </w:rPr>
            </w:pPr>
            <w:r>
              <w:rPr>
                <w:lang w:eastAsia="en-IE"/>
              </w:rPr>
              <w:t>Deferred</w:t>
            </w:r>
            <w:r w:rsidRPr="7821F417">
              <w:rPr>
                <w:lang w:eastAsia="en-IE"/>
              </w:rPr>
              <w:t xml:space="preserve"> shares of €0.001 each</w:t>
            </w:r>
          </w:p>
        </w:tc>
        <w:tc>
          <w:tcPr>
            <w:tcW w:w="809" w:type="pct"/>
          </w:tcPr>
          <w:p w14:paraId="7AD9A895" w14:textId="659AD7C3" w:rsidR="005D19D2" w:rsidRPr="005D19D2" w:rsidRDefault="005D19D2" w:rsidP="005D19D2">
            <w:pPr>
              <w:tabs>
                <w:tab w:val="decimal" w:pos="1424"/>
              </w:tabs>
              <w:ind w:right="-144"/>
              <w:rPr>
                <w:lang w:eastAsia="en-IE"/>
              </w:rPr>
            </w:pPr>
            <w:r w:rsidRPr="005D19D2">
              <w:rPr>
                <w:rFonts w:cs="Arial"/>
                <w:szCs w:val="20"/>
              </w:rPr>
              <w:t>81,453,077</w:t>
            </w:r>
          </w:p>
        </w:tc>
        <w:tc>
          <w:tcPr>
            <w:tcW w:w="883" w:type="pct"/>
          </w:tcPr>
          <w:p w14:paraId="0B2567B9" w14:textId="3DB0411A" w:rsidR="005D19D2" w:rsidRPr="005D19D2" w:rsidRDefault="005D19D2" w:rsidP="005D19D2">
            <w:pPr>
              <w:tabs>
                <w:tab w:val="decimal" w:pos="1424"/>
              </w:tabs>
              <w:ind w:right="-144"/>
              <w:rPr>
                <w:lang w:eastAsia="en-IE"/>
              </w:rPr>
            </w:pPr>
            <w:r w:rsidRPr="005D19D2">
              <w:rPr>
                <w:rFonts w:cs="Arial"/>
                <w:szCs w:val="20"/>
              </w:rPr>
              <w:t>81</w:t>
            </w:r>
          </w:p>
        </w:tc>
        <w:tc>
          <w:tcPr>
            <w:tcW w:w="882" w:type="pct"/>
          </w:tcPr>
          <w:p w14:paraId="3508E6F8" w14:textId="78075DAF" w:rsidR="005D19D2" w:rsidRPr="005D19D2" w:rsidRDefault="005D19D2" w:rsidP="005D19D2">
            <w:pPr>
              <w:tabs>
                <w:tab w:val="decimal" w:pos="1424"/>
              </w:tabs>
              <w:ind w:right="-144"/>
              <w:rPr>
                <w:lang w:eastAsia="en-IE"/>
              </w:rPr>
            </w:pPr>
            <w:r w:rsidRPr="005D19D2">
              <w:rPr>
                <w:rFonts w:cs="Arial"/>
                <w:szCs w:val="20"/>
              </w:rPr>
              <w:t>-</w:t>
            </w:r>
          </w:p>
        </w:tc>
      </w:tr>
      <w:tr w:rsidR="00DA5EE5" w:rsidRPr="00BD69AF" w14:paraId="1D3C6BD1" w14:textId="77777777" w:rsidTr="7821F417">
        <w:tc>
          <w:tcPr>
            <w:tcW w:w="220" w:type="pct"/>
          </w:tcPr>
          <w:p w14:paraId="37AF79F9" w14:textId="77777777" w:rsidR="00DA5EE5" w:rsidRPr="00997223" w:rsidRDefault="00DA5EE5" w:rsidP="7821F417">
            <w:pPr>
              <w:ind w:right="-144"/>
              <w:rPr>
                <w:rFonts w:cs="Arial"/>
                <w:lang w:eastAsia="en-IE"/>
              </w:rPr>
            </w:pPr>
          </w:p>
        </w:tc>
        <w:tc>
          <w:tcPr>
            <w:tcW w:w="2206" w:type="pct"/>
          </w:tcPr>
          <w:p w14:paraId="61E71361" w14:textId="77777777" w:rsidR="00DA5EE5" w:rsidRPr="00BD69AF" w:rsidRDefault="00DA5EE5" w:rsidP="00DA5EE5">
            <w:pPr>
              <w:ind w:right="-144"/>
              <w:rPr>
                <w:lang w:eastAsia="en-IE"/>
              </w:rPr>
            </w:pPr>
          </w:p>
        </w:tc>
        <w:tc>
          <w:tcPr>
            <w:tcW w:w="809" w:type="pct"/>
          </w:tcPr>
          <w:p w14:paraId="78DF6CD7" w14:textId="77777777" w:rsidR="00DA5EE5" w:rsidRPr="00BD69AF" w:rsidRDefault="40C3C1DD" w:rsidP="00DA5EE5">
            <w:pPr>
              <w:tabs>
                <w:tab w:val="decimal" w:pos="1424"/>
              </w:tabs>
              <w:ind w:right="-144"/>
              <w:rPr>
                <w:u w:val="single"/>
                <w:lang w:eastAsia="en-IE"/>
              </w:rPr>
            </w:pPr>
            <w:r w:rsidRPr="7821F417">
              <w:rPr>
                <w:u w:val="single"/>
                <w:lang w:eastAsia="en-IE"/>
              </w:rPr>
              <w:t>                        </w:t>
            </w:r>
          </w:p>
        </w:tc>
        <w:tc>
          <w:tcPr>
            <w:tcW w:w="883" w:type="pct"/>
          </w:tcPr>
          <w:p w14:paraId="2E5F76EF" w14:textId="77777777" w:rsidR="00DA5EE5" w:rsidRPr="00BD69AF" w:rsidRDefault="40C3C1DD" w:rsidP="00DA5EE5">
            <w:pPr>
              <w:tabs>
                <w:tab w:val="decimal" w:pos="1424"/>
              </w:tabs>
              <w:ind w:right="-144"/>
              <w:rPr>
                <w:u w:val="single"/>
                <w:lang w:eastAsia="en-IE"/>
              </w:rPr>
            </w:pPr>
            <w:r w:rsidRPr="7821F417">
              <w:rPr>
                <w:u w:val="single"/>
                <w:lang w:eastAsia="en-IE"/>
              </w:rPr>
              <w:t>                        </w:t>
            </w:r>
          </w:p>
        </w:tc>
        <w:tc>
          <w:tcPr>
            <w:tcW w:w="882" w:type="pct"/>
          </w:tcPr>
          <w:p w14:paraId="1F6267FF" w14:textId="77777777" w:rsidR="00DA5EE5" w:rsidRPr="00BD69AF" w:rsidRDefault="40C3C1DD" w:rsidP="00DA5EE5">
            <w:pPr>
              <w:tabs>
                <w:tab w:val="decimal" w:pos="1424"/>
              </w:tabs>
              <w:ind w:right="-144"/>
              <w:rPr>
                <w:u w:val="single"/>
                <w:lang w:eastAsia="en-IE"/>
              </w:rPr>
            </w:pPr>
            <w:r w:rsidRPr="7821F417">
              <w:rPr>
                <w:u w:val="single"/>
                <w:lang w:eastAsia="en-IE"/>
              </w:rPr>
              <w:t>                        </w:t>
            </w:r>
          </w:p>
        </w:tc>
      </w:tr>
      <w:tr w:rsidR="00DA5EE5" w:rsidRPr="00BD69AF" w14:paraId="7BC8A0A3" w14:textId="77777777" w:rsidTr="7821F417">
        <w:tc>
          <w:tcPr>
            <w:tcW w:w="220" w:type="pct"/>
          </w:tcPr>
          <w:p w14:paraId="32010406" w14:textId="77777777" w:rsidR="00DA5EE5" w:rsidRPr="00997223" w:rsidRDefault="00DA5EE5" w:rsidP="7821F417">
            <w:pPr>
              <w:ind w:right="-144"/>
              <w:rPr>
                <w:rFonts w:cs="Arial"/>
                <w:lang w:eastAsia="en-IE"/>
              </w:rPr>
            </w:pPr>
          </w:p>
        </w:tc>
        <w:tc>
          <w:tcPr>
            <w:tcW w:w="2206" w:type="pct"/>
          </w:tcPr>
          <w:p w14:paraId="6C041E83" w14:textId="77777777" w:rsidR="00DA5EE5" w:rsidRPr="00BD69AF" w:rsidRDefault="00DA5EE5" w:rsidP="00DA5EE5">
            <w:pPr>
              <w:ind w:right="-144"/>
              <w:rPr>
                <w:lang w:eastAsia="en-IE"/>
              </w:rPr>
            </w:pPr>
          </w:p>
        </w:tc>
        <w:tc>
          <w:tcPr>
            <w:tcW w:w="809" w:type="pct"/>
          </w:tcPr>
          <w:p w14:paraId="75137A9A" w14:textId="77777777" w:rsidR="00DA5EE5" w:rsidRPr="00BD69AF" w:rsidRDefault="00DA5EE5" w:rsidP="7821F417">
            <w:pPr>
              <w:tabs>
                <w:tab w:val="decimal" w:pos="1424"/>
              </w:tabs>
              <w:ind w:right="-144"/>
              <w:rPr>
                <w:rFonts w:cs="Arial"/>
                <w:lang w:eastAsia="en-IE"/>
              </w:rPr>
            </w:pPr>
          </w:p>
        </w:tc>
        <w:tc>
          <w:tcPr>
            <w:tcW w:w="883" w:type="pct"/>
          </w:tcPr>
          <w:p w14:paraId="07535F42" w14:textId="77777777" w:rsidR="00DA5EE5" w:rsidRPr="00BD69AF" w:rsidRDefault="00DA5EE5" w:rsidP="7821F417">
            <w:pPr>
              <w:tabs>
                <w:tab w:val="decimal" w:pos="1424"/>
              </w:tabs>
              <w:ind w:right="-144"/>
              <w:rPr>
                <w:rFonts w:cs="Arial"/>
                <w:lang w:eastAsia="en-IE"/>
              </w:rPr>
            </w:pPr>
          </w:p>
        </w:tc>
        <w:tc>
          <w:tcPr>
            <w:tcW w:w="882" w:type="pct"/>
          </w:tcPr>
          <w:p w14:paraId="247A1D74" w14:textId="77777777" w:rsidR="00DA5EE5" w:rsidRPr="00BD69AF" w:rsidRDefault="00DA5EE5" w:rsidP="7821F417">
            <w:pPr>
              <w:tabs>
                <w:tab w:val="decimal" w:pos="1424"/>
              </w:tabs>
              <w:ind w:right="-144"/>
              <w:rPr>
                <w:rFonts w:cs="Arial"/>
                <w:lang w:eastAsia="en-IE"/>
              </w:rPr>
            </w:pPr>
          </w:p>
        </w:tc>
      </w:tr>
      <w:tr w:rsidR="00E75700" w:rsidRPr="00BD69AF" w14:paraId="1534E12A" w14:textId="77777777" w:rsidTr="7821F417">
        <w:tc>
          <w:tcPr>
            <w:tcW w:w="220" w:type="pct"/>
          </w:tcPr>
          <w:p w14:paraId="5AC78194" w14:textId="77777777" w:rsidR="00E75700" w:rsidRPr="00997223" w:rsidRDefault="00E75700" w:rsidP="00E75700">
            <w:pPr>
              <w:ind w:right="-144"/>
              <w:rPr>
                <w:rFonts w:cs="Arial"/>
                <w:lang w:eastAsia="en-IE"/>
              </w:rPr>
            </w:pPr>
          </w:p>
        </w:tc>
        <w:tc>
          <w:tcPr>
            <w:tcW w:w="2206" w:type="pct"/>
          </w:tcPr>
          <w:p w14:paraId="32C2E80D" w14:textId="77777777" w:rsidR="00E75700" w:rsidRPr="00997223" w:rsidRDefault="00E75700" w:rsidP="00E75700">
            <w:pPr>
              <w:ind w:right="-144"/>
              <w:rPr>
                <w:rFonts w:cs="Arial"/>
                <w:lang w:eastAsia="en-IE"/>
              </w:rPr>
            </w:pPr>
          </w:p>
        </w:tc>
        <w:tc>
          <w:tcPr>
            <w:tcW w:w="809" w:type="pct"/>
          </w:tcPr>
          <w:p w14:paraId="7A4D1A07" w14:textId="45131968" w:rsidR="00E75700" w:rsidRPr="00E75700" w:rsidRDefault="00E75700" w:rsidP="00E75700">
            <w:pPr>
              <w:tabs>
                <w:tab w:val="decimal" w:pos="1424"/>
              </w:tabs>
              <w:ind w:right="-144"/>
              <w:rPr>
                <w:rFonts w:eastAsia="Calibri" w:cs="Arial"/>
                <w:bCs/>
                <w:szCs w:val="20"/>
                <w:lang w:eastAsia="en-IE"/>
              </w:rPr>
            </w:pPr>
            <w:r w:rsidRPr="00E75700">
              <w:rPr>
                <w:rFonts w:cs="Arial"/>
                <w:bCs/>
                <w:szCs w:val="20"/>
              </w:rPr>
              <w:t>642,331,581</w:t>
            </w:r>
          </w:p>
        </w:tc>
        <w:tc>
          <w:tcPr>
            <w:tcW w:w="883" w:type="pct"/>
          </w:tcPr>
          <w:p w14:paraId="7AEC808A" w14:textId="2847265E" w:rsidR="00E75700" w:rsidRPr="00E75700" w:rsidRDefault="00E75700" w:rsidP="00E75700">
            <w:pPr>
              <w:tabs>
                <w:tab w:val="decimal" w:pos="1424"/>
              </w:tabs>
              <w:ind w:right="-144"/>
              <w:rPr>
                <w:rFonts w:eastAsia="Calibri" w:cs="Arial"/>
                <w:bCs/>
                <w:szCs w:val="20"/>
                <w:lang w:eastAsia="en-IE"/>
              </w:rPr>
            </w:pPr>
            <w:r w:rsidRPr="00E75700">
              <w:rPr>
                <w:rFonts w:cs="Arial"/>
                <w:bCs/>
                <w:szCs w:val="20"/>
              </w:rPr>
              <w:t>642</w:t>
            </w:r>
          </w:p>
        </w:tc>
        <w:tc>
          <w:tcPr>
            <w:tcW w:w="882" w:type="pct"/>
          </w:tcPr>
          <w:p w14:paraId="5E0C3407" w14:textId="72D3B66D" w:rsidR="00E75700" w:rsidRPr="00E75700" w:rsidRDefault="00E75700" w:rsidP="00E75700">
            <w:pPr>
              <w:tabs>
                <w:tab w:val="decimal" w:pos="1424"/>
              </w:tabs>
              <w:ind w:right="-144"/>
              <w:rPr>
                <w:rFonts w:eastAsia="Calibri" w:cs="Arial"/>
                <w:bCs/>
                <w:szCs w:val="20"/>
                <w:lang w:eastAsia="en-IE"/>
              </w:rPr>
            </w:pPr>
            <w:r w:rsidRPr="00E75700">
              <w:rPr>
                <w:rFonts w:cs="Arial"/>
                <w:bCs/>
                <w:szCs w:val="20"/>
              </w:rPr>
              <w:t>179,788</w:t>
            </w:r>
          </w:p>
        </w:tc>
      </w:tr>
      <w:tr w:rsidR="00DA5EE5" w:rsidRPr="00BD69AF" w14:paraId="77639E98" w14:textId="77777777" w:rsidTr="7821F417">
        <w:trPr>
          <w:trHeight w:val="345"/>
        </w:trPr>
        <w:tc>
          <w:tcPr>
            <w:tcW w:w="220" w:type="pct"/>
          </w:tcPr>
          <w:p w14:paraId="28AEBBF6" w14:textId="77777777" w:rsidR="00DA5EE5" w:rsidRPr="00997223" w:rsidRDefault="00DA5EE5" w:rsidP="7821F417">
            <w:pPr>
              <w:ind w:right="-144"/>
              <w:rPr>
                <w:rFonts w:cs="Arial"/>
                <w:lang w:eastAsia="en-IE"/>
              </w:rPr>
            </w:pPr>
          </w:p>
        </w:tc>
        <w:tc>
          <w:tcPr>
            <w:tcW w:w="2206" w:type="pct"/>
          </w:tcPr>
          <w:p w14:paraId="526D8C94" w14:textId="77777777" w:rsidR="00DA5EE5" w:rsidRDefault="00DA5EE5" w:rsidP="7821F417">
            <w:pPr>
              <w:ind w:right="-144"/>
              <w:rPr>
                <w:rFonts w:cs="Arial"/>
                <w:lang w:eastAsia="en-IE"/>
              </w:rPr>
            </w:pPr>
          </w:p>
          <w:p w14:paraId="3A1AB6E2" w14:textId="77777777" w:rsidR="00DA5EE5" w:rsidRPr="00997223" w:rsidRDefault="00DA5EE5" w:rsidP="7821F417">
            <w:pPr>
              <w:ind w:right="-144"/>
              <w:rPr>
                <w:rFonts w:cs="Arial"/>
                <w:lang w:eastAsia="en-IE"/>
              </w:rPr>
            </w:pPr>
          </w:p>
        </w:tc>
        <w:tc>
          <w:tcPr>
            <w:tcW w:w="809" w:type="pct"/>
          </w:tcPr>
          <w:p w14:paraId="2DE6BD4A" w14:textId="77777777" w:rsidR="00DA5EE5" w:rsidRPr="00BD69AF" w:rsidRDefault="40C3C1DD" w:rsidP="00DA5EE5">
            <w:pPr>
              <w:tabs>
                <w:tab w:val="decimal" w:pos="1424"/>
              </w:tabs>
              <w:ind w:right="-144"/>
              <w:rPr>
                <w:lang w:eastAsia="en-IE"/>
              </w:rPr>
            </w:pPr>
            <w:r w:rsidRPr="7821F417">
              <w:rPr>
                <w:u w:val="double"/>
                <w:lang w:eastAsia="en-IE"/>
              </w:rPr>
              <w:t>                        </w:t>
            </w:r>
          </w:p>
        </w:tc>
        <w:tc>
          <w:tcPr>
            <w:tcW w:w="883" w:type="pct"/>
          </w:tcPr>
          <w:p w14:paraId="07F89AC6" w14:textId="77777777" w:rsidR="00DA5EE5" w:rsidRPr="00BD69AF" w:rsidRDefault="40C3C1DD" w:rsidP="00DA5EE5">
            <w:pPr>
              <w:tabs>
                <w:tab w:val="decimal" w:pos="1424"/>
              </w:tabs>
              <w:ind w:right="-144"/>
              <w:rPr>
                <w:lang w:eastAsia="en-IE"/>
              </w:rPr>
            </w:pPr>
            <w:r w:rsidRPr="7821F417">
              <w:rPr>
                <w:u w:val="double"/>
                <w:lang w:eastAsia="en-IE"/>
              </w:rPr>
              <w:t>                        </w:t>
            </w:r>
          </w:p>
        </w:tc>
        <w:tc>
          <w:tcPr>
            <w:tcW w:w="882" w:type="pct"/>
          </w:tcPr>
          <w:p w14:paraId="67565E11" w14:textId="77777777" w:rsidR="00DA5EE5" w:rsidRPr="00BD69AF" w:rsidRDefault="40C3C1DD" w:rsidP="00DA5EE5">
            <w:pPr>
              <w:tabs>
                <w:tab w:val="decimal" w:pos="1424"/>
              </w:tabs>
              <w:ind w:right="-144"/>
              <w:rPr>
                <w:lang w:eastAsia="en-IE"/>
              </w:rPr>
            </w:pPr>
            <w:r w:rsidRPr="7821F417">
              <w:rPr>
                <w:u w:val="double"/>
                <w:lang w:eastAsia="en-IE"/>
              </w:rPr>
              <w:t>                        </w:t>
            </w:r>
          </w:p>
        </w:tc>
      </w:tr>
    </w:tbl>
    <w:p w14:paraId="4261F40E" w14:textId="77777777" w:rsidR="00117889" w:rsidRDefault="00117889" w:rsidP="004A3454">
      <w:pPr>
        <w:pStyle w:val="NotesBody"/>
        <w:ind w:left="0"/>
        <w:jc w:val="both"/>
      </w:pPr>
    </w:p>
    <w:p w14:paraId="1F4D2E0E" w14:textId="3C631C61" w:rsidR="00473DE3" w:rsidRDefault="00473DE3" w:rsidP="007B6089">
      <w:pPr>
        <w:pStyle w:val="NotesBody"/>
        <w:jc w:val="both"/>
        <w:rPr>
          <w:i/>
          <w:iCs/>
        </w:rPr>
      </w:pPr>
      <w:r w:rsidRPr="00473DE3">
        <w:rPr>
          <w:i/>
          <w:iCs/>
        </w:rPr>
        <w:t>Share buyback programme</w:t>
      </w:r>
    </w:p>
    <w:p w14:paraId="67AD13EB" w14:textId="77777777" w:rsidR="00D13400" w:rsidRPr="00473DE3" w:rsidRDefault="00D13400" w:rsidP="007B6089">
      <w:pPr>
        <w:pStyle w:val="NotesBody"/>
        <w:jc w:val="both"/>
        <w:rPr>
          <w:i/>
          <w:iCs/>
        </w:rPr>
      </w:pPr>
    </w:p>
    <w:p w14:paraId="1661A8D1" w14:textId="10A2D24D" w:rsidR="002B576D" w:rsidRDefault="007B6089" w:rsidP="00E2517A">
      <w:pPr>
        <w:pStyle w:val="NotesBody"/>
        <w:jc w:val="both"/>
      </w:pPr>
      <w:r>
        <w:t>On 6 September 2024, a fifth share buyback programme commenced to repurchase a further €50.0 million.</w:t>
      </w:r>
      <w:r w:rsidR="00E2517A">
        <w:t xml:space="preserve"> The Group announced in January 2025 its intention to amend the terms of this programme so that the maximum aggregate consideration of the current programme is €65.0</w:t>
      </w:r>
      <w:r w:rsidR="00BB2C1D">
        <w:t xml:space="preserve"> </w:t>
      </w:r>
      <w:r w:rsidR="00E2517A">
        <w:t>m</w:t>
      </w:r>
      <w:r w:rsidR="00BB2C1D">
        <w:t>illion</w:t>
      </w:r>
      <w:r w:rsidR="00E2517A">
        <w:t xml:space="preserve">. </w:t>
      </w:r>
      <w:r w:rsidR="00862758">
        <w:t xml:space="preserve">In </w:t>
      </w:r>
      <w:r w:rsidR="00FB2CFD">
        <w:t xml:space="preserve">May </w:t>
      </w:r>
      <w:r w:rsidR="00862758">
        <w:t>2025,</w:t>
      </w:r>
      <w:r w:rsidR="00EE1B35">
        <w:t xml:space="preserve"> the Group announced its intention</w:t>
      </w:r>
      <w:r w:rsidR="00FB2CFD">
        <w:t xml:space="preserve"> to</w:t>
      </w:r>
      <w:r w:rsidR="00FB2CFD" w:rsidRPr="00FB2CFD">
        <w:t xml:space="preserve"> amend the terms of this programme so that the maximum aggregate consideration of the current programme is €85.0</w:t>
      </w:r>
      <w:r w:rsidR="00AA7EC6">
        <w:t xml:space="preserve"> </w:t>
      </w:r>
      <w:r w:rsidR="00FB2CFD" w:rsidRPr="00FB2CFD">
        <w:t>m</w:t>
      </w:r>
      <w:r w:rsidR="00AA7EC6">
        <w:t>illion</w:t>
      </w:r>
      <w:r w:rsidR="00FB2CFD" w:rsidRPr="00FB2CFD">
        <w:t>.</w:t>
      </w:r>
      <w:r w:rsidR="00FB2CFD">
        <w:t xml:space="preserve"> </w:t>
      </w:r>
      <w:r w:rsidR="00AE08A2">
        <w:t>T</w:t>
      </w:r>
      <w:r w:rsidR="002B576D">
        <w:t xml:space="preserve">he </w:t>
      </w:r>
      <w:r w:rsidR="00AE08A2">
        <w:t>total number of shares</w:t>
      </w:r>
      <w:r w:rsidR="005634E7">
        <w:t xml:space="preserve"> </w:t>
      </w:r>
      <w:r w:rsidR="001C2C21">
        <w:t xml:space="preserve">purchased in the </w:t>
      </w:r>
      <w:r w:rsidR="00634247">
        <w:t xml:space="preserve">financial period </w:t>
      </w:r>
      <w:r w:rsidR="001C2C21">
        <w:t>was</w:t>
      </w:r>
      <w:r w:rsidR="00634247">
        <w:t xml:space="preserve"> </w:t>
      </w:r>
      <w:r w:rsidR="00A00210">
        <w:t>22,164,101</w:t>
      </w:r>
      <w:r w:rsidR="00AA7EC6">
        <w:t xml:space="preserve"> at a total cost of €35.3 million</w:t>
      </w:r>
      <w:r w:rsidR="00BB2C1D">
        <w:t xml:space="preserve">. </w:t>
      </w:r>
      <w:r w:rsidR="00BB2C1D" w:rsidRPr="00BB2C1D">
        <w:t>All repurchased shares were cancelled in the period ended 30 June 2025.</w:t>
      </w:r>
    </w:p>
    <w:p w14:paraId="097298BA" w14:textId="77777777" w:rsidR="002B576D" w:rsidRDefault="002B576D" w:rsidP="007B6089">
      <w:pPr>
        <w:pStyle w:val="NotesBody"/>
        <w:jc w:val="both"/>
      </w:pPr>
    </w:p>
    <w:p w14:paraId="405E81E1" w14:textId="0F1E2013" w:rsidR="007B6089" w:rsidRDefault="00AE08A2" w:rsidP="007B6089">
      <w:pPr>
        <w:pStyle w:val="NotesBody"/>
        <w:jc w:val="both"/>
      </w:pPr>
      <w:r>
        <w:t xml:space="preserve">As </w:t>
      </w:r>
      <w:proofErr w:type="gramStart"/>
      <w:r>
        <w:t>at</w:t>
      </w:r>
      <w:proofErr w:type="gramEnd"/>
      <w:r>
        <w:t xml:space="preserve"> 30 June 2025, </w:t>
      </w:r>
      <w:r w:rsidR="007B6089">
        <w:t xml:space="preserve">the total number of shares purchased under the fifth buyback programme was </w:t>
      </w:r>
      <w:r w:rsidR="00C44B81">
        <w:t>41,302,026</w:t>
      </w:r>
      <w:r w:rsidR="007B6089">
        <w:t xml:space="preserve"> at a total cost of €</w:t>
      </w:r>
      <w:r w:rsidR="001B1F82">
        <w:t>65.7</w:t>
      </w:r>
      <w:r w:rsidR="007B6089">
        <w:t xml:space="preserve"> million. All repurchased shares were cancelled in the period ended 30 June 2025.The programme may continue until 31 December 2025. </w:t>
      </w:r>
    </w:p>
    <w:p w14:paraId="7AD36C14" w14:textId="77777777" w:rsidR="00D13400" w:rsidRDefault="00D13400" w:rsidP="007B6089">
      <w:pPr>
        <w:pStyle w:val="NotesBody"/>
        <w:jc w:val="both"/>
      </w:pPr>
    </w:p>
    <w:p w14:paraId="56A2B709" w14:textId="77777777" w:rsidR="008A7A85" w:rsidRDefault="00492437" w:rsidP="008A7A85">
      <w:pPr>
        <w:pStyle w:val="NotesBody"/>
        <w:jc w:val="both"/>
        <w:rPr>
          <w:i/>
          <w:iCs/>
        </w:rPr>
      </w:pPr>
      <w:r>
        <w:rPr>
          <w:i/>
          <w:iCs/>
        </w:rPr>
        <w:t>Def</w:t>
      </w:r>
      <w:r w:rsidR="003A0F68">
        <w:rPr>
          <w:i/>
          <w:iCs/>
        </w:rPr>
        <w:t>erred shares</w:t>
      </w:r>
    </w:p>
    <w:p w14:paraId="3E48B012" w14:textId="77777777" w:rsidR="008A7A85" w:rsidRDefault="008A7A85" w:rsidP="008A7A85">
      <w:pPr>
        <w:pStyle w:val="NotesBody"/>
        <w:jc w:val="both"/>
        <w:rPr>
          <w:i/>
          <w:iCs/>
        </w:rPr>
      </w:pPr>
    </w:p>
    <w:p w14:paraId="79286074" w14:textId="20C02B57" w:rsidR="00BF2B31" w:rsidRDefault="003D41E4" w:rsidP="00C85839">
      <w:pPr>
        <w:pStyle w:val="NotesBody"/>
        <w:jc w:val="both"/>
      </w:pPr>
      <w:r>
        <w:t>On 22</w:t>
      </w:r>
      <w:r w:rsidR="00522964">
        <w:rPr>
          <w:vertAlign w:val="superscript"/>
        </w:rPr>
        <w:t xml:space="preserve"> </w:t>
      </w:r>
      <w:r w:rsidR="00522964">
        <w:t xml:space="preserve">May 2025, the </w:t>
      </w:r>
      <w:r w:rsidR="00962B5A">
        <w:t xml:space="preserve">shareholders </w:t>
      </w:r>
      <w:r w:rsidR="00305913">
        <w:t xml:space="preserve">approved the </w:t>
      </w:r>
      <w:r w:rsidR="00962B5A">
        <w:t xml:space="preserve">cancellation of the </w:t>
      </w:r>
      <w:r w:rsidR="009043E6">
        <w:t xml:space="preserve">remaining deferred </w:t>
      </w:r>
      <w:r w:rsidR="006F145F">
        <w:t>shares</w:t>
      </w:r>
      <w:r w:rsidR="00962B5A">
        <w:t>.</w:t>
      </w:r>
    </w:p>
    <w:p w14:paraId="56BFDE5F" w14:textId="77777777" w:rsidR="008A0A4E" w:rsidRDefault="008A0A4E" w:rsidP="00C85839">
      <w:pPr>
        <w:pStyle w:val="NotesBody"/>
        <w:jc w:val="both"/>
      </w:pPr>
    </w:p>
    <w:p w14:paraId="5EFA17C7" w14:textId="77777777" w:rsidR="008A0A4E" w:rsidRDefault="008A0A4E" w:rsidP="00C85839">
      <w:pPr>
        <w:pStyle w:val="NotesBody"/>
        <w:jc w:val="both"/>
      </w:pPr>
    </w:p>
    <w:p w14:paraId="32457D6A" w14:textId="77777777" w:rsidR="008A0A4E" w:rsidRDefault="008A0A4E" w:rsidP="00C85839">
      <w:pPr>
        <w:pStyle w:val="NotesBody"/>
        <w:jc w:val="both"/>
      </w:pPr>
    </w:p>
    <w:p w14:paraId="2A95C582" w14:textId="77777777" w:rsidR="00BF2B31" w:rsidRPr="00BF2B31" w:rsidRDefault="00BF2B31" w:rsidP="00391C52">
      <w:pPr>
        <w:pStyle w:val="NotesBody"/>
        <w:ind w:left="0"/>
      </w:pPr>
    </w:p>
    <w:p w14:paraId="62D82935" w14:textId="535B4A65" w:rsidR="00432CB5" w:rsidRPr="00290C89" w:rsidRDefault="00432CB5" w:rsidP="00432CB5">
      <w:pPr>
        <w:pStyle w:val="NotesHeading"/>
        <w:jc w:val="both"/>
      </w:pPr>
      <w:bookmarkStart w:id="13" w:name="_Hlk205974683"/>
      <w:bookmarkStart w:id="14" w:name="_Hlk78957274"/>
      <w:r>
        <w:t>1</w:t>
      </w:r>
      <w:r w:rsidR="00400B82">
        <w:t>4</w:t>
      </w:r>
      <w:r>
        <w:t xml:space="preserve"> </w:t>
      </w:r>
      <w:r>
        <w:tab/>
      </w:r>
      <w:r w:rsidRPr="007B7ECC">
        <w:t>Loans and Borrowings</w:t>
      </w:r>
    </w:p>
    <w:bookmarkEnd w:id="13"/>
    <w:p w14:paraId="19B1C5D3" w14:textId="4FF6BB6B" w:rsidR="00432CB5" w:rsidRDefault="00432CB5" w:rsidP="7821F417">
      <w:pPr>
        <w:pStyle w:val="NotesBody"/>
        <w:jc w:val="both"/>
        <w:rPr>
          <w:i/>
          <w:iCs/>
        </w:rPr>
      </w:pPr>
    </w:p>
    <w:p w14:paraId="4780EA23" w14:textId="708357E6" w:rsidR="003A0AE9" w:rsidRPr="00622E4F" w:rsidRDefault="005C5E83" w:rsidP="00A1275D">
      <w:pPr>
        <w:pStyle w:val="NotesBody"/>
        <w:numPr>
          <w:ilvl w:val="0"/>
          <w:numId w:val="7"/>
        </w:numPr>
        <w:jc w:val="both"/>
        <w:rPr>
          <w:b/>
          <w:bCs/>
        </w:rPr>
      </w:pPr>
      <w:r w:rsidRPr="7821F417">
        <w:rPr>
          <w:b/>
          <w:bCs/>
        </w:rPr>
        <w:t>Loans and borrowings</w:t>
      </w:r>
    </w:p>
    <w:bookmarkEnd w:id="14"/>
    <w:p w14:paraId="07416B22" w14:textId="77777777" w:rsidR="003A0AE9" w:rsidRDefault="003A0AE9" w:rsidP="7821F417">
      <w:pPr>
        <w:pStyle w:val="NotesBody"/>
        <w:jc w:val="both"/>
        <w:rPr>
          <w:i/>
          <w:iCs/>
        </w:rPr>
      </w:pPr>
    </w:p>
    <w:p w14:paraId="5D46A723" w14:textId="58673957" w:rsidR="00511B5A" w:rsidRDefault="00511B5A" w:rsidP="00511B5A">
      <w:pPr>
        <w:pStyle w:val="NotesBody"/>
      </w:pPr>
      <w:r w:rsidRPr="00BE656D">
        <w:t xml:space="preserve">In August 2024, the Group finalised an expansion of the existing </w:t>
      </w:r>
      <w:r w:rsidRPr="008B08AE">
        <w:t xml:space="preserve">five-year </w:t>
      </w:r>
      <w:r w:rsidRPr="00BE656D">
        <w:t>sustainability linked finance facility to €450.0m (Term Loan: €150.0m, Revolving Credit Facility €300.0m) with the existing syndicate of domestic and international financial institutions</w:t>
      </w:r>
      <w:r>
        <w:t xml:space="preserve">, </w:t>
      </w:r>
      <w:r w:rsidRPr="00963942">
        <w:t>at an interest rate of one-month EURIBOR (subject to a floor of 0 per cent) plus a margin of 2.</w:t>
      </w:r>
      <w:r>
        <w:t>65</w:t>
      </w:r>
      <w:r w:rsidRPr="00963942">
        <w:t>-2.</w:t>
      </w:r>
      <w:r>
        <w:t>75</w:t>
      </w:r>
      <w:r w:rsidRPr="00963942">
        <w:t>%</w:t>
      </w:r>
      <w:r>
        <w:t xml:space="preserve"> </w:t>
      </w:r>
      <w:r w:rsidRPr="000B2A24">
        <w:rPr>
          <w:i/>
          <w:iCs/>
        </w:rPr>
        <w:t>(</w:t>
      </w:r>
      <w:r>
        <w:rPr>
          <w:i/>
          <w:iCs/>
        </w:rPr>
        <w:t>30 June</w:t>
      </w:r>
      <w:r w:rsidRPr="000B2A24">
        <w:rPr>
          <w:i/>
          <w:iCs/>
        </w:rPr>
        <w:t xml:space="preserve"> 202</w:t>
      </w:r>
      <w:r>
        <w:rPr>
          <w:i/>
          <w:iCs/>
        </w:rPr>
        <w:t>4</w:t>
      </w:r>
      <w:r w:rsidRPr="000B2A24">
        <w:rPr>
          <w:i/>
          <w:iCs/>
        </w:rPr>
        <w:t>:</w:t>
      </w:r>
      <w:r>
        <w:rPr>
          <w:i/>
          <w:iCs/>
        </w:rPr>
        <w:t xml:space="preserve"> 2.7-2.8%)</w:t>
      </w:r>
      <w:r w:rsidRPr="00963942">
        <w:t>.</w:t>
      </w:r>
      <w:r>
        <w:t xml:space="preserve"> </w:t>
      </w:r>
      <w:r w:rsidRPr="00BE656D">
        <w:t>All other terms and conditions agreed at the commencement of the facility remain the same as at the commencement in February 2023</w:t>
      </w:r>
      <w:r>
        <w:t xml:space="preserve">. </w:t>
      </w:r>
      <w:r w:rsidRPr="00584149">
        <w:t xml:space="preserve">The debt facility interest rates are linked to the Group meeting certain sustainability performance targets aligned to its sustainability strategy. The sustainability performance targets are in respect of decarbonisation and the Group’s Equity, Diversity and Inclusion strategy. </w:t>
      </w:r>
      <w:r w:rsidRPr="00215BC2">
        <w:t>The term loan is repayable in full at the end of the five years.</w:t>
      </w:r>
      <w:r>
        <w:t xml:space="preserve"> </w:t>
      </w:r>
      <w:proofErr w:type="gramStart"/>
      <w:r>
        <w:t>At</w:t>
      </w:r>
      <w:proofErr w:type="gramEnd"/>
      <w:r>
        <w:t xml:space="preserve"> 3</w:t>
      </w:r>
      <w:r w:rsidR="00381657">
        <w:t>0</w:t>
      </w:r>
      <w:r>
        <w:t xml:space="preserve"> </w:t>
      </w:r>
      <w:r w:rsidR="00381657">
        <w:t>June</w:t>
      </w:r>
      <w:r>
        <w:t xml:space="preserve"> 202</w:t>
      </w:r>
      <w:r w:rsidR="00381657">
        <w:t>5</w:t>
      </w:r>
      <w:r>
        <w:t xml:space="preserve">, </w:t>
      </w:r>
      <w:r w:rsidRPr="00584149">
        <w:t>€</w:t>
      </w:r>
      <w:r>
        <w:t xml:space="preserve">150.0 </w:t>
      </w:r>
      <w:r w:rsidRPr="00584149">
        <w:t xml:space="preserve">million has been drawn on the </w:t>
      </w:r>
      <w:r>
        <w:t xml:space="preserve">term loan element of the </w:t>
      </w:r>
      <w:r w:rsidRPr="00584149">
        <w:t xml:space="preserve">new debt facility </w:t>
      </w:r>
      <w:r w:rsidRPr="000B2A24">
        <w:rPr>
          <w:i/>
          <w:iCs/>
        </w:rPr>
        <w:t>(31 December 202</w:t>
      </w:r>
      <w:r w:rsidR="0031185F">
        <w:rPr>
          <w:i/>
          <w:iCs/>
        </w:rPr>
        <w:t>4</w:t>
      </w:r>
      <w:r w:rsidRPr="000B2A24">
        <w:rPr>
          <w:i/>
          <w:iCs/>
        </w:rPr>
        <w:t>: €</w:t>
      </w:r>
      <w:r w:rsidR="0031185F">
        <w:rPr>
          <w:i/>
          <w:iCs/>
        </w:rPr>
        <w:t>150.0</w:t>
      </w:r>
      <w:r w:rsidRPr="000B2A24">
        <w:rPr>
          <w:i/>
          <w:iCs/>
        </w:rPr>
        <w:t xml:space="preserve"> million)</w:t>
      </w:r>
      <w:r w:rsidRPr="00584149">
        <w:t xml:space="preserve">. Pursuant to the debt facility agreement, there is fixed and floating charges and assignments in place over all the assets of the Group as continuing security for the discharge of any amounts drawn down. The assets carrying value </w:t>
      </w:r>
      <w:proofErr w:type="gramStart"/>
      <w:r w:rsidRPr="00584149">
        <w:t>at</w:t>
      </w:r>
      <w:proofErr w:type="gramEnd"/>
      <w:r w:rsidRPr="00584149">
        <w:t xml:space="preserve"> </w:t>
      </w:r>
      <w:r w:rsidR="0031185F">
        <w:t>30 June 2025</w:t>
      </w:r>
      <w:r w:rsidRPr="00584149">
        <w:t xml:space="preserve"> is €</w:t>
      </w:r>
      <w:r w:rsidR="00A96A3C">
        <w:t>1,258</w:t>
      </w:r>
      <w:r w:rsidR="00535DE5">
        <w:t>.</w:t>
      </w:r>
      <w:r w:rsidR="00AA24C2">
        <w:t>7</w:t>
      </w:r>
      <w:r w:rsidR="00535DE5">
        <w:t xml:space="preserve"> </w:t>
      </w:r>
      <w:r w:rsidRPr="00584149">
        <w:t xml:space="preserve">million </w:t>
      </w:r>
      <w:r w:rsidRPr="00187CB2">
        <w:rPr>
          <w:i/>
          <w:iCs/>
        </w:rPr>
        <w:t>(31 December 202</w:t>
      </w:r>
      <w:r w:rsidR="0031185F">
        <w:rPr>
          <w:i/>
          <w:iCs/>
        </w:rPr>
        <w:t>4</w:t>
      </w:r>
      <w:r w:rsidRPr="00187CB2">
        <w:rPr>
          <w:i/>
          <w:iCs/>
        </w:rPr>
        <w:t>: €</w:t>
      </w:r>
      <w:r w:rsidR="0031185F">
        <w:rPr>
          <w:i/>
          <w:iCs/>
        </w:rPr>
        <w:t>1,177.9</w:t>
      </w:r>
      <w:r w:rsidRPr="00187CB2">
        <w:rPr>
          <w:i/>
          <w:iCs/>
        </w:rPr>
        <w:t xml:space="preserve"> million)</w:t>
      </w:r>
      <w:r w:rsidRPr="00584149">
        <w:t>.</w:t>
      </w:r>
    </w:p>
    <w:p w14:paraId="0E65E395" w14:textId="007670CF" w:rsidR="00097792" w:rsidRDefault="00273E75" w:rsidP="00083F28">
      <w:pPr>
        <w:pStyle w:val="NotesBody"/>
        <w:ind w:left="0"/>
        <w:jc w:val="both"/>
      </w:pPr>
      <w:r>
        <w:t xml:space="preserve"> </w:t>
      </w:r>
    </w:p>
    <w:tbl>
      <w:tblPr>
        <w:tblW w:w="9564" w:type="dxa"/>
        <w:tblLayout w:type="fixed"/>
        <w:tblCellMar>
          <w:left w:w="0" w:type="dxa"/>
          <w:right w:w="115" w:type="dxa"/>
        </w:tblCellMar>
        <w:tblLook w:val="04A0" w:firstRow="1" w:lastRow="0" w:firstColumn="1" w:lastColumn="0" w:noHBand="0" w:noVBand="1"/>
      </w:tblPr>
      <w:tblGrid>
        <w:gridCol w:w="446"/>
        <w:gridCol w:w="9"/>
        <w:gridCol w:w="5391"/>
        <w:gridCol w:w="125"/>
        <w:gridCol w:w="1826"/>
        <w:gridCol w:w="1701"/>
        <w:gridCol w:w="66"/>
      </w:tblGrid>
      <w:tr w:rsidR="00432CB5" w:rsidRPr="00A33586" w14:paraId="3D358B8E" w14:textId="77777777" w:rsidTr="7821F417">
        <w:trPr>
          <w:trHeight w:val="199"/>
        </w:trPr>
        <w:tc>
          <w:tcPr>
            <w:tcW w:w="455" w:type="dxa"/>
            <w:gridSpan w:val="2"/>
          </w:tcPr>
          <w:p w14:paraId="287346DF" w14:textId="71C8F009" w:rsidR="00432CB5" w:rsidRPr="00A33586" w:rsidRDefault="00AE4C4F" w:rsidP="0090240E">
            <w:pPr>
              <w:jc w:val="both"/>
            </w:pPr>
            <w:r>
              <w:t xml:space="preserve"> </w:t>
            </w:r>
            <w:r w:rsidR="00432CB5">
              <w:t xml:space="preserve"> </w:t>
            </w:r>
            <w:bookmarkStart w:id="15" w:name="_Hlk78956872"/>
          </w:p>
        </w:tc>
        <w:tc>
          <w:tcPr>
            <w:tcW w:w="5516" w:type="dxa"/>
            <w:gridSpan w:val="2"/>
          </w:tcPr>
          <w:p w14:paraId="6972B373" w14:textId="77777777" w:rsidR="00432CB5" w:rsidRPr="000575B2" w:rsidRDefault="00432CB5" w:rsidP="7821F417">
            <w:pPr>
              <w:jc w:val="both"/>
              <w:rPr>
                <w:b/>
                <w:bCs/>
              </w:rPr>
            </w:pPr>
          </w:p>
        </w:tc>
        <w:tc>
          <w:tcPr>
            <w:tcW w:w="1826" w:type="dxa"/>
          </w:tcPr>
          <w:p w14:paraId="705B25D4" w14:textId="77777777" w:rsidR="00432CB5" w:rsidRDefault="00432CB5" w:rsidP="7821F417">
            <w:pPr>
              <w:tabs>
                <w:tab w:val="decimal" w:pos="1424"/>
              </w:tabs>
              <w:ind w:right="43"/>
              <w:jc w:val="both"/>
              <w:rPr>
                <w:b/>
                <w:bCs/>
              </w:rPr>
            </w:pPr>
            <w:r w:rsidRPr="7821F417">
              <w:rPr>
                <w:b/>
                <w:bCs/>
              </w:rPr>
              <w:t>30 June</w:t>
            </w:r>
          </w:p>
        </w:tc>
        <w:tc>
          <w:tcPr>
            <w:tcW w:w="1767" w:type="dxa"/>
            <w:gridSpan w:val="2"/>
          </w:tcPr>
          <w:p w14:paraId="73C73B29" w14:textId="77777777" w:rsidR="00432CB5" w:rsidRPr="001B7536" w:rsidRDefault="00432CB5" w:rsidP="0090240E">
            <w:pPr>
              <w:tabs>
                <w:tab w:val="decimal" w:pos="1424"/>
              </w:tabs>
              <w:ind w:right="43"/>
              <w:jc w:val="both"/>
              <w:rPr>
                <w:b/>
                <w:bCs/>
              </w:rPr>
            </w:pPr>
            <w:r w:rsidRPr="7821F417">
              <w:rPr>
                <w:b/>
                <w:bCs/>
              </w:rPr>
              <w:t>31 December</w:t>
            </w:r>
          </w:p>
        </w:tc>
      </w:tr>
      <w:tr w:rsidR="00432CB5" w:rsidRPr="00A33586" w14:paraId="2BCD782F" w14:textId="77777777" w:rsidTr="7821F417">
        <w:trPr>
          <w:trHeight w:val="212"/>
        </w:trPr>
        <w:tc>
          <w:tcPr>
            <w:tcW w:w="455" w:type="dxa"/>
            <w:gridSpan w:val="2"/>
          </w:tcPr>
          <w:p w14:paraId="4A37A392" w14:textId="77777777" w:rsidR="00432CB5" w:rsidRPr="00A33586" w:rsidRDefault="00432CB5" w:rsidP="0090240E">
            <w:pPr>
              <w:ind w:right="-144"/>
              <w:jc w:val="both"/>
            </w:pPr>
          </w:p>
        </w:tc>
        <w:tc>
          <w:tcPr>
            <w:tcW w:w="5516" w:type="dxa"/>
            <w:gridSpan w:val="2"/>
          </w:tcPr>
          <w:p w14:paraId="538B01D6" w14:textId="77777777" w:rsidR="00432CB5" w:rsidRPr="00A33586" w:rsidRDefault="00432CB5" w:rsidP="0090240E">
            <w:pPr>
              <w:ind w:right="-144"/>
              <w:jc w:val="both"/>
            </w:pPr>
          </w:p>
        </w:tc>
        <w:tc>
          <w:tcPr>
            <w:tcW w:w="1826" w:type="dxa"/>
          </w:tcPr>
          <w:p w14:paraId="16D25ADE" w14:textId="416080DA" w:rsidR="00432CB5" w:rsidRPr="00A33586" w:rsidRDefault="4A5686E6" w:rsidP="7821F417">
            <w:pPr>
              <w:tabs>
                <w:tab w:val="decimal" w:pos="1663"/>
              </w:tabs>
              <w:ind w:right="-144"/>
              <w:jc w:val="both"/>
              <w:rPr>
                <w:b/>
                <w:bCs/>
              </w:rPr>
            </w:pPr>
            <w:r w:rsidRPr="7821F417">
              <w:rPr>
                <w:b/>
                <w:bCs/>
              </w:rPr>
              <w:t>202</w:t>
            </w:r>
            <w:r w:rsidR="00EB743A">
              <w:rPr>
                <w:b/>
                <w:bCs/>
              </w:rPr>
              <w:t>5</w:t>
            </w:r>
          </w:p>
        </w:tc>
        <w:tc>
          <w:tcPr>
            <w:tcW w:w="1767" w:type="dxa"/>
            <w:gridSpan w:val="2"/>
          </w:tcPr>
          <w:p w14:paraId="1EF4AE3F" w14:textId="0C73C520" w:rsidR="00432CB5" w:rsidRPr="001B7536" w:rsidRDefault="00C57BAE" w:rsidP="00BA3691">
            <w:pPr>
              <w:tabs>
                <w:tab w:val="decimal" w:pos="1624"/>
              </w:tabs>
              <w:ind w:right="-144"/>
              <w:jc w:val="both"/>
              <w:rPr>
                <w:b/>
                <w:bCs/>
              </w:rPr>
            </w:pPr>
            <w:r>
              <w:rPr>
                <w:b/>
                <w:bCs/>
              </w:rPr>
              <w:t>202</w:t>
            </w:r>
            <w:r w:rsidR="00EB743A">
              <w:rPr>
                <w:b/>
                <w:bCs/>
              </w:rPr>
              <w:t>4</w:t>
            </w:r>
          </w:p>
        </w:tc>
      </w:tr>
      <w:tr w:rsidR="00432CB5" w:rsidRPr="00A33586" w14:paraId="5006EDDD" w14:textId="77777777" w:rsidTr="7821F417">
        <w:trPr>
          <w:trHeight w:val="199"/>
        </w:trPr>
        <w:tc>
          <w:tcPr>
            <w:tcW w:w="455" w:type="dxa"/>
            <w:gridSpan w:val="2"/>
          </w:tcPr>
          <w:p w14:paraId="04887FFD" w14:textId="77777777" w:rsidR="00432CB5" w:rsidRPr="00A33586" w:rsidRDefault="00432CB5" w:rsidP="0090240E">
            <w:pPr>
              <w:ind w:right="-144"/>
              <w:jc w:val="both"/>
            </w:pPr>
          </w:p>
        </w:tc>
        <w:tc>
          <w:tcPr>
            <w:tcW w:w="5516" w:type="dxa"/>
            <w:gridSpan w:val="2"/>
          </w:tcPr>
          <w:p w14:paraId="03A2C962" w14:textId="77777777" w:rsidR="00432CB5" w:rsidRPr="00A33586" w:rsidRDefault="00432CB5" w:rsidP="0090240E">
            <w:pPr>
              <w:ind w:right="-144"/>
              <w:jc w:val="both"/>
            </w:pPr>
          </w:p>
        </w:tc>
        <w:tc>
          <w:tcPr>
            <w:tcW w:w="1826" w:type="dxa"/>
          </w:tcPr>
          <w:p w14:paraId="1714581F" w14:textId="77777777" w:rsidR="00432CB5" w:rsidRPr="00A33586" w:rsidRDefault="00432CB5" w:rsidP="7821F417">
            <w:pPr>
              <w:tabs>
                <w:tab w:val="decimal" w:pos="1663"/>
              </w:tabs>
              <w:ind w:right="-144"/>
              <w:jc w:val="both"/>
              <w:rPr>
                <w:b/>
                <w:bCs/>
              </w:rPr>
            </w:pPr>
            <w:r w:rsidRPr="7821F417">
              <w:rPr>
                <w:b/>
                <w:bCs/>
              </w:rPr>
              <w:t>€’000</w:t>
            </w:r>
          </w:p>
        </w:tc>
        <w:tc>
          <w:tcPr>
            <w:tcW w:w="1767" w:type="dxa"/>
            <w:gridSpan w:val="2"/>
          </w:tcPr>
          <w:p w14:paraId="0285547D" w14:textId="77777777" w:rsidR="00432CB5" w:rsidRPr="001B7536" w:rsidRDefault="00432CB5" w:rsidP="00BA3691">
            <w:pPr>
              <w:tabs>
                <w:tab w:val="decimal" w:pos="1624"/>
              </w:tabs>
              <w:ind w:right="-144"/>
              <w:jc w:val="both"/>
              <w:rPr>
                <w:b/>
                <w:bCs/>
              </w:rPr>
            </w:pPr>
            <w:r w:rsidRPr="7821F417">
              <w:rPr>
                <w:b/>
                <w:bCs/>
              </w:rPr>
              <w:t>€’000</w:t>
            </w:r>
          </w:p>
        </w:tc>
      </w:tr>
      <w:tr w:rsidR="00432CB5" w:rsidRPr="00A33586" w14:paraId="493430AD" w14:textId="77777777" w:rsidTr="7821F417">
        <w:trPr>
          <w:trHeight w:val="199"/>
        </w:trPr>
        <w:tc>
          <w:tcPr>
            <w:tcW w:w="455" w:type="dxa"/>
            <w:gridSpan w:val="2"/>
          </w:tcPr>
          <w:p w14:paraId="34E028CE" w14:textId="77777777" w:rsidR="00432CB5" w:rsidRPr="00A33586" w:rsidRDefault="00432CB5" w:rsidP="0090240E">
            <w:pPr>
              <w:ind w:right="-144"/>
              <w:jc w:val="both"/>
            </w:pPr>
          </w:p>
        </w:tc>
        <w:tc>
          <w:tcPr>
            <w:tcW w:w="5516" w:type="dxa"/>
            <w:gridSpan w:val="2"/>
          </w:tcPr>
          <w:p w14:paraId="168A3870" w14:textId="77777777" w:rsidR="00432CB5" w:rsidRPr="00A33586" w:rsidRDefault="00432CB5" w:rsidP="0090240E">
            <w:pPr>
              <w:ind w:right="-144"/>
              <w:jc w:val="both"/>
            </w:pPr>
          </w:p>
        </w:tc>
        <w:tc>
          <w:tcPr>
            <w:tcW w:w="1826" w:type="dxa"/>
          </w:tcPr>
          <w:p w14:paraId="4FA3CCBF" w14:textId="77777777" w:rsidR="00432CB5" w:rsidRPr="00A33586" w:rsidRDefault="00432CB5" w:rsidP="7821F417">
            <w:pPr>
              <w:tabs>
                <w:tab w:val="decimal" w:pos="1663"/>
              </w:tabs>
              <w:ind w:right="-144"/>
              <w:jc w:val="both"/>
              <w:rPr>
                <w:b/>
                <w:bCs/>
              </w:rPr>
            </w:pPr>
          </w:p>
        </w:tc>
        <w:tc>
          <w:tcPr>
            <w:tcW w:w="1767" w:type="dxa"/>
            <w:gridSpan w:val="2"/>
          </w:tcPr>
          <w:p w14:paraId="59F28DBB" w14:textId="77777777" w:rsidR="00432CB5" w:rsidRPr="00860AEA" w:rsidRDefault="00432CB5" w:rsidP="00BA3691">
            <w:pPr>
              <w:tabs>
                <w:tab w:val="decimal" w:pos="1624"/>
              </w:tabs>
              <w:ind w:right="-144"/>
              <w:jc w:val="both"/>
            </w:pPr>
          </w:p>
        </w:tc>
      </w:tr>
      <w:tr w:rsidR="00157FF8" w:rsidRPr="00A33586" w14:paraId="38C9AB77" w14:textId="77777777" w:rsidTr="7821F417">
        <w:trPr>
          <w:trHeight w:val="199"/>
        </w:trPr>
        <w:tc>
          <w:tcPr>
            <w:tcW w:w="455" w:type="dxa"/>
            <w:gridSpan w:val="2"/>
          </w:tcPr>
          <w:p w14:paraId="723C2C58" w14:textId="77777777" w:rsidR="00157FF8" w:rsidRPr="00A33586" w:rsidRDefault="00157FF8" w:rsidP="00157FF8">
            <w:pPr>
              <w:ind w:right="-144"/>
              <w:jc w:val="both"/>
            </w:pPr>
          </w:p>
        </w:tc>
        <w:tc>
          <w:tcPr>
            <w:tcW w:w="5516" w:type="dxa"/>
            <w:gridSpan w:val="2"/>
          </w:tcPr>
          <w:p w14:paraId="097E2176" w14:textId="4B6B3BDA" w:rsidR="00157FF8" w:rsidRPr="00A33586" w:rsidRDefault="00157FF8" w:rsidP="00157FF8">
            <w:pPr>
              <w:ind w:right="-144"/>
              <w:jc w:val="both"/>
            </w:pPr>
            <w:r>
              <w:t>Debt facilities</w:t>
            </w:r>
          </w:p>
        </w:tc>
        <w:tc>
          <w:tcPr>
            <w:tcW w:w="1826" w:type="dxa"/>
          </w:tcPr>
          <w:p w14:paraId="46D65826" w14:textId="4C18836F" w:rsidR="00157FF8" w:rsidRDefault="00EE590E" w:rsidP="00157FF8">
            <w:pPr>
              <w:tabs>
                <w:tab w:val="decimal" w:pos="1663"/>
              </w:tabs>
              <w:ind w:right="-144"/>
              <w:jc w:val="both"/>
              <w:rPr>
                <w:b/>
                <w:bCs/>
              </w:rPr>
            </w:pPr>
            <w:r>
              <w:rPr>
                <w:b/>
                <w:bCs/>
              </w:rPr>
              <w:t>320,000</w:t>
            </w:r>
          </w:p>
        </w:tc>
        <w:tc>
          <w:tcPr>
            <w:tcW w:w="1767" w:type="dxa"/>
            <w:gridSpan w:val="2"/>
          </w:tcPr>
          <w:p w14:paraId="2800910F" w14:textId="1AA26421" w:rsidR="00157FF8" w:rsidRPr="00157FF8" w:rsidRDefault="00157FF8" w:rsidP="00157FF8">
            <w:pPr>
              <w:tabs>
                <w:tab w:val="decimal" w:pos="1624"/>
              </w:tabs>
              <w:ind w:right="-144"/>
              <w:jc w:val="both"/>
              <w:rPr>
                <w:rFonts w:eastAsia="Calibri" w:cs="Arial"/>
                <w:bCs/>
                <w:szCs w:val="20"/>
              </w:rPr>
            </w:pPr>
            <w:r w:rsidRPr="00157FF8">
              <w:rPr>
                <w:bCs/>
              </w:rPr>
              <w:t>240,000</w:t>
            </w:r>
          </w:p>
        </w:tc>
      </w:tr>
      <w:tr w:rsidR="00157FF8" w:rsidRPr="00A33586" w14:paraId="6F114F01" w14:textId="77777777" w:rsidTr="7821F417">
        <w:trPr>
          <w:trHeight w:val="199"/>
        </w:trPr>
        <w:tc>
          <w:tcPr>
            <w:tcW w:w="455" w:type="dxa"/>
            <w:gridSpan w:val="2"/>
          </w:tcPr>
          <w:p w14:paraId="2BC3C4DB" w14:textId="77777777" w:rsidR="00157FF8" w:rsidRPr="00A33586" w:rsidRDefault="00157FF8" w:rsidP="00157FF8">
            <w:pPr>
              <w:ind w:right="-144"/>
              <w:jc w:val="both"/>
            </w:pPr>
          </w:p>
        </w:tc>
        <w:tc>
          <w:tcPr>
            <w:tcW w:w="5516" w:type="dxa"/>
            <w:gridSpan w:val="2"/>
          </w:tcPr>
          <w:p w14:paraId="1063CA1F" w14:textId="7C510D20" w:rsidR="00157FF8" w:rsidRDefault="00157FF8" w:rsidP="00157FF8">
            <w:pPr>
              <w:ind w:right="-144"/>
              <w:jc w:val="both"/>
            </w:pPr>
            <w:r>
              <w:t>Unamortised transaction costs</w:t>
            </w:r>
          </w:p>
        </w:tc>
        <w:tc>
          <w:tcPr>
            <w:tcW w:w="1826" w:type="dxa"/>
          </w:tcPr>
          <w:p w14:paraId="5F4DC274" w14:textId="2672F4EF" w:rsidR="00157FF8" w:rsidRDefault="00EE590E" w:rsidP="00157FF8">
            <w:pPr>
              <w:tabs>
                <w:tab w:val="decimal" w:pos="1663"/>
              </w:tabs>
              <w:ind w:right="-144"/>
              <w:jc w:val="both"/>
              <w:rPr>
                <w:b/>
                <w:bCs/>
              </w:rPr>
            </w:pPr>
            <w:r>
              <w:rPr>
                <w:b/>
                <w:bCs/>
              </w:rPr>
              <w:t>(3,17</w:t>
            </w:r>
            <w:r w:rsidR="004C35FE">
              <w:rPr>
                <w:b/>
                <w:bCs/>
              </w:rPr>
              <w:t>8</w:t>
            </w:r>
            <w:r>
              <w:rPr>
                <w:b/>
                <w:bCs/>
              </w:rPr>
              <w:t>)</w:t>
            </w:r>
          </w:p>
        </w:tc>
        <w:tc>
          <w:tcPr>
            <w:tcW w:w="1767" w:type="dxa"/>
            <w:gridSpan w:val="2"/>
          </w:tcPr>
          <w:p w14:paraId="4529C903" w14:textId="7BA735E1" w:rsidR="00157FF8" w:rsidRPr="00157FF8" w:rsidRDefault="00157FF8" w:rsidP="00157FF8">
            <w:pPr>
              <w:tabs>
                <w:tab w:val="decimal" w:pos="1624"/>
              </w:tabs>
              <w:ind w:right="-144"/>
              <w:jc w:val="both"/>
              <w:rPr>
                <w:bCs/>
              </w:rPr>
            </w:pPr>
            <w:r w:rsidRPr="00157FF8">
              <w:rPr>
                <w:bCs/>
              </w:rPr>
              <w:t>(3,771)</w:t>
            </w:r>
          </w:p>
        </w:tc>
      </w:tr>
      <w:tr w:rsidR="00157FF8" w:rsidRPr="00A33586" w14:paraId="020BB532" w14:textId="77777777" w:rsidTr="7821F417">
        <w:trPr>
          <w:trHeight w:val="212"/>
        </w:trPr>
        <w:tc>
          <w:tcPr>
            <w:tcW w:w="455" w:type="dxa"/>
            <w:gridSpan w:val="2"/>
          </w:tcPr>
          <w:p w14:paraId="0610CE2E" w14:textId="77777777" w:rsidR="00157FF8" w:rsidRPr="00A33586" w:rsidRDefault="00157FF8" w:rsidP="00157FF8">
            <w:pPr>
              <w:ind w:right="-144"/>
              <w:jc w:val="both"/>
            </w:pPr>
          </w:p>
        </w:tc>
        <w:tc>
          <w:tcPr>
            <w:tcW w:w="5516" w:type="dxa"/>
            <w:gridSpan w:val="2"/>
          </w:tcPr>
          <w:p w14:paraId="4DC27514" w14:textId="115D139C" w:rsidR="00157FF8" w:rsidRDefault="00157FF8" w:rsidP="00157FF8">
            <w:pPr>
              <w:ind w:right="-144"/>
              <w:jc w:val="both"/>
            </w:pPr>
            <w:r>
              <w:t>Interest accrued</w:t>
            </w:r>
          </w:p>
        </w:tc>
        <w:tc>
          <w:tcPr>
            <w:tcW w:w="1826" w:type="dxa"/>
          </w:tcPr>
          <w:p w14:paraId="38126D36" w14:textId="5BF37436" w:rsidR="00157FF8" w:rsidRDefault="00EE590E" w:rsidP="00157FF8">
            <w:pPr>
              <w:tabs>
                <w:tab w:val="decimal" w:pos="1663"/>
              </w:tabs>
              <w:ind w:right="-144"/>
              <w:jc w:val="both"/>
              <w:rPr>
                <w:b/>
                <w:bCs/>
              </w:rPr>
            </w:pPr>
            <w:r>
              <w:rPr>
                <w:b/>
                <w:bCs/>
              </w:rPr>
              <w:t>1,545</w:t>
            </w:r>
          </w:p>
        </w:tc>
        <w:tc>
          <w:tcPr>
            <w:tcW w:w="1767" w:type="dxa"/>
            <w:gridSpan w:val="2"/>
          </w:tcPr>
          <w:p w14:paraId="35F48E81" w14:textId="7A532E9C" w:rsidR="00157FF8" w:rsidRPr="00157FF8" w:rsidRDefault="00157FF8" w:rsidP="00157FF8">
            <w:pPr>
              <w:tabs>
                <w:tab w:val="decimal" w:pos="1624"/>
              </w:tabs>
              <w:ind w:right="-144"/>
              <w:jc w:val="both"/>
              <w:rPr>
                <w:bCs/>
              </w:rPr>
            </w:pPr>
            <w:r w:rsidRPr="00157FF8">
              <w:rPr>
                <w:bCs/>
              </w:rPr>
              <w:t>1,939</w:t>
            </w:r>
          </w:p>
        </w:tc>
      </w:tr>
      <w:tr w:rsidR="00432CB5" w:rsidRPr="00A33586" w14:paraId="00CE2286" w14:textId="77777777" w:rsidTr="7821F417">
        <w:trPr>
          <w:trHeight w:val="199"/>
        </w:trPr>
        <w:tc>
          <w:tcPr>
            <w:tcW w:w="455" w:type="dxa"/>
            <w:gridSpan w:val="2"/>
          </w:tcPr>
          <w:p w14:paraId="1632F9D6" w14:textId="77777777" w:rsidR="00432CB5" w:rsidRPr="00A33586" w:rsidRDefault="00432CB5" w:rsidP="0090240E">
            <w:pPr>
              <w:ind w:right="-144"/>
              <w:jc w:val="both"/>
            </w:pPr>
          </w:p>
        </w:tc>
        <w:tc>
          <w:tcPr>
            <w:tcW w:w="5516" w:type="dxa"/>
            <w:gridSpan w:val="2"/>
          </w:tcPr>
          <w:p w14:paraId="3CA742D6" w14:textId="77777777" w:rsidR="00432CB5" w:rsidRPr="00A33586" w:rsidRDefault="00432CB5" w:rsidP="0090240E">
            <w:pPr>
              <w:ind w:right="-144"/>
              <w:jc w:val="both"/>
            </w:pPr>
          </w:p>
        </w:tc>
        <w:tc>
          <w:tcPr>
            <w:tcW w:w="1826" w:type="dxa"/>
          </w:tcPr>
          <w:p w14:paraId="77BBF025" w14:textId="77777777" w:rsidR="00432CB5" w:rsidRPr="00A33586" w:rsidRDefault="00432CB5" w:rsidP="00BA3691">
            <w:pPr>
              <w:tabs>
                <w:tab w:val="decimal" w:pos="1663"/>
              </w:tabs>
              <w:ind w:right="-144"/>
              <w:jc w:val="both"/>
              <w:rPr>
                <w:u w:val="single"/>
              </w:rPr>
            </w:pPr>
            <w:r w:rsidRPr="7821F417">
              <w:rPr>
                <w:u w:val="single"/>
              </w:rPr>
              <w:t>                  </w:t>
            </w:r>
          </w:p>
        </w:tc>
        <w:tc>
          <w:tcPr>
            <w:tcW w:w="1767" w:type="dxa"/>
            <w:gridSpan w:val="2"/>
          </w:tcPr>
          <w:p w14:paraId="7FF8A490" w14:textId="77777777" w:rsidR="00432CB5" w:rsidRPr="00860AEA" w:rsidRDefault="00432CB5" w:rsidP="00BA3691">
            <w:pPr>
              <w:tabs>
                <w:tab w:val="decimal" w:pos="1624"/>
              </w:tabs>
              <w:ind w:right="-144"/>
              <w:jc w:val="both"/>
              <w:rPr>
                <w:u w:val="single"/>
              </w:rPr>
            </w:pPr>
            <w:r w:rsidRPr="7821F417">
              <w:rPr>
                <w:u w:val="single"/>
              </w:rPr>
              <w:t>                  </w:t>
            </w:r>
          </w:p>
        </w:tc>
      </w:tr>
      <w:tr w:rsidR="00432CB5" w:rsidRPr="00A33586" w14:paraId="4CB80939" w14:textId="77777777" w:rsidTr="7821F417">
        <w:trPr>
          <w:trHeight w:val="199"/>
        </w:trPr>
        <w:tc>
          <w:tcPr>
            <w:tcW w:w="455" w:type="dxa"/>
            <w:gridSpan w:val="2"/>
          </w:tcPr>
          <w:p w14:paraId="7F0F2C0B" w14:textId="77777777" w:rsidR="00432CB5" w:rsidRPr="00A33586" w:rsidRDefault="00432CB5" w:rsidP="0090240E">
            <w:pPr>
              <w:ind w:right="-144"/>
              <w:jc w:val="both"/>
            </w:pPr>
          </w:p>
        </w:tc>
        <w:tc>
          <w:tcPr>
            <w:tcW w:w="5516" w:type="dxa"/>
            <w:gridSpan w:val="2"/>
          </w:tcPr>
          <w:p w14:paraId="04199923" w14:textId="77777777" w:rsidR="00432CB5" w:rsidRPr="00A33586" w:rsidRDefault="00432CB5" w:rsidP="0090240E">
            <w:pPr>
              <w:ind w:right="-144"/>
              <w:jc w:val="both"/>
            </w:pPr>
          </w:p>
        </w:tc>
        <w:tc>
          <w:tcPr>
            <w:tcW w:w="1826" w:type="dxa"/>
          </w:tcPr>
          <w:p w14:paraId="65148B62" w14:textId="77777777" w:rsidR="00432CB5" w:rsidRPr="00A33586" w:rsidRDefault="00432CB5" w:rsidP="7821F417">
            <w:pPr>
              <w:tabs>
                <w:tab w:val="decimal" w:pos="1663"/>
              </w:tabs>
              <w:ind w:right="-144"/>
              <w:jc w:val="both"/>
              <w:rPr>
                <w:b/>
                <w:bCs/>
              </w:rPr>
            </w:pPr>
          </w:p>
        </w:tc>
        <w:tc>
          <w:tcPr>
            <w:tcW w:w="1767" w:type="dxa"/>
            <w:gridSpan w:val="2"/>
          </w:tcPr>
          <w:p w14:paraId="60342D3B" w14:textId="77777777" w:rsidR="00432CB5" w:rsidRPr="00860AEA" w:rsidRDefault="00432CB5" w:rsidP="00BA3691">
            <w:pPr>
              <w:tabs>
                <w:tab w:val="decimal" w:pos="1624"/>
              </w:tabs>
              <w:ind w:right="-144"/>
              <w:jc w:val="both"/>
            </w:pPr>
          </w:p>
        </w:tc>
      </w:tr>
      <w:tr w:rsidR="00432CB5" w:rsidRPr="00A33586" w14:paraId="574AF6DC" w14:textId="77777777" w:rsidTr="7821F417">
        <w:trPr>
          <w:trHeight w:val="212"/>
        </w:trPr>
        <w:tc>
          <w:tcPr>
            <w:tcW w:w="455" w:type="dxa"/>
            <w:gridSpan w:val="2"/>
          </w:tcPr>
          <w:p w14:paraId="4B46B2E9" w14:textId="77777777" w:rsidR="00432CB5" w:rsidRPr="00A33586" w:rsidRDefault="00432CB5" w:rsidP="0090240E">
            <w:pPr>
              <w:ind w:right="-144"/>
              <w:jc w:val="both"/>
            </w:pPr>
          </w:p>
        </w:tc>
        <w:tc>
          <w:tcPr>
            <w:tcW w:w="5516" w:type="dxa"/>
            <w:gridSpan w:val="2"/>
          </w:tcPr>
          <w:p w14:paraId="724A815D" w14:textId="77777777" w:rsidR="00432CB5" w:rsidRPr="00A33586" w:rsidRDefault="00432CB5" w:rsidP="7821F417">
            <w:pPr>
              <w:ind w:right="-144"/>
              <w:jc w:val="both"/>
              <w:rPr>
                <w:b/>
                <w:bCs/>
              </w:rPr>
            </w:pPr>
            <w:r w:rsidRPr="7821F417">
              <w:rPr>
                <w:b/>
                <w:bCs/>
              </w:rPr>
              <w:t>Total loans and borrowings</w:t>
            </w:r>
          </w:p>
        </w:tc>
        <w:tc>
          <w:tcPr>
            <w:tcW w:w="1826" w:type="dxa"/>
          </w:tcPr>
          <w:p w14:paraId="2F51BC21" w14:textId="49CFC27B" w:rsidR="00432CB5" w:rsidRDefault="00EE590E" w:rsidP="7821F417">
            <w:pPr>
              <w:tabs>
                <w:tab w:val="decimal" w:pos="1663"/>
              </w:tabs>
              <w:ind w:right="-144"/>
              <w:jc w:val="both"/>
              <w:rPr>
                <w:rFonts w:eastAsia="Calibri" w:cs="Arial"/>
                <w:b/>
                <w:bCs/>
                <w:szCs w:val="20"/>
              </w:rPr>
            </w:pPr>
            <w:r>
              <w:rPr>
                <w:rFonts w:eastAsia="Calibri" w:cs="Arial"/>
                <w:b/>
                <w:bCs/>
                <w:szCs w:val="20"/>
              </w:rPr>
              <w:t>318,36</w:t>
            </w:r>
            <w:r w:rsidR="004C35FE">
              <w:rPr>
                <w:rFonts w:eastAsia="Calibri" w:cs="Arial"/>
                <w:b/>
                <w:bCs/>
                <w:szCs w:val="20"/>
              </w:rPr>
              <w:t>7</w:t>
            </w:r>
          </w:p>
        </w:tc>
        <w:tc>
          <w:tcPr>
            <w:tcW w:w="1767" w:type="dxa"/>
            <w:gridSpan w:val="2"/>
          </w:tcPr>
          <w:p w14:paraId="6DAB14D4" w14:textId="19D5A4C1" w:rsidR="00432CB5" w:rsidRPr="005A7761" w:rsidRDefault="005A7761" w:rsidP="00BA3691">
            <w:pPr>
              <w:tabs>
                <w:tab w:val="decimal" w:pos="1624"/>
              </w:tabs>
              <w:ind w:right="-144"/>
              <w:jc w:val="both"/>
              <w:rPr>
                <w:bCs/>
              </w:rPr>
            </w:pPr>
            <w:r w:rsidRPr="005A7761">
              <w:rPr>
                <w:bCs/>
              </w:rPr>
              <w:t>238,168</w:t>
            </w:r>
          </w:p>
        </w:tc>
      </w:tr>
      <w:tr w:rsidR="00432CB5" w:rsidRPr="00670755" w14:paraId="6499184A" w14:textId="77777777" w:rsidTr="7821F417">
        <w:trPr>
          <w:gridAfter w:val="1"/>
          <w:wAfter w:w="66" w:type="dxa"/>
          <w:trHeight w:val="237"/>
        </w:trPr>
        <w:tc>
          <w:tcPr>
            <w:tcW w:w="446" w:type="dxa"/>
          </w:tcPr>
          <w:p w14:paraId="71ED3AD9" w14:textId="77777777" w:rsidR="00432CB5" w:rsidRPr="00670755" w:rsidRDefault="00432CB5" w:rsidP="7821F417">
            <w:pPr>
              <w:ind w:right="-144"/>
              <w:jc w:val="both"/>
              <w:rPr>
                <w:rFonts w:cs="Arial"/>
              </w:rPr>
            </w:pPr>
            <w:r>
              <w:tab/>
            </w:r>
          </w:p>
        </w:tc>
        <w:tc>
          <w:tcPr>
            <w:tcW w:w="5400" w:type="dxa"/>
            <w:gridSpan w:val="2"/>
          </w:tcPr>
          <w:p w14:paraId="34F78A5F" w14:textId="77777777" w:rsidR="00432CB5" w:rsidRPr="00670755" w:rsidRDefault="00432CB5" w:rsidP="7821F417">
            <w:pPr>
              <w:ind w:right="-144"/>
              <w:jc w:val="both"/>
              <w:rPr>
                <w:rFonts w:cs="Arial"/>
              </w:rPr>
            </w:pPr>
          </w:p>
        </w:tc>
        <w:tc>
          <w:tcPr>
            <w:tcW w:w="1951" w:type="dxa"/>
            <w:gridSpan w:val="2"/>
          </w:tcPr>
          <w:p w14:paraId="17843BF3" w14:textId="77777777" w:rsidR="00432CB5" w:rsidRPr="00860AEA" w:rsidRDefault="00432CB5" w:rsidP="7821F417">
            <w:pPr>
              <w:tabs>
                <w:tab w:val="decimal" w:pos="1805"/>
              </w:tabs>
              <w:ind w:left="529" w:right="-144"/>
              <w:jc w:val="both"/>
              <w:rPr>
                <w:rFonts w:cs="Arial"/>
                <w:b/>
                <w:bCs/>
                <w:u w:val="double"/>
              </w:rPr>
            </w:pPr>
            <w:r w:rsidRPr="7821F417">
              <w:rPr>
                <w:rFonts w:cs="Arial"/>
                <w:u w:val="double"/>
              </w:rPr>
              <w:t>                  </w:t>
            </w:r>
          </w:p>
        </w:tc>
        <w:tc>
          <w:tcPr>
            <w:tcW w:w="1701" w:type="dxa"/>
          </w:tcPr>
          <w:p w14:paraId="46FCA029" w14:textId="77777777" w:rsidR="00432CB5" w:rsidRPr="00860AEA" w:rsidRDefault="00432CB5" w:rsidP="7821F417">
            <w:pPr>
              <w:tabs>
                <w:tab w:val="decimal" w:pos="1699"/>
              </w:tabs>
              <w:ind w:right="-144"/>
              <w:jc w:val="both"/>
              <w:rPr>
                <w:rFonts w:cs="Arial"/>
                <w:u w:val="double"/>
              </w:rPr>
            </w:pPr>
            <w:r w:rsidRPr="7821F417">
              <w:rPr>
                <w:rFonts w:cs="Arial"/>
                <w:u w:val="double"/>
              </w:rPr>
              <w:t>                  </w:t>
            </w:r>
          </w:p>
        </w:tc>
      </w:tr>
      <w:bookmarkEnd w:id="15"/>
    </w:tbl>
    <w:p w14:paraId="0CFFE178" w14:textId="77777777" w:rsidR="00AF0592" w:rsidRDefault="00AF0592" w:rsidP="00834025">
      <w:pPr>
        <w:pStyle w:val="NotesBody"/>
        <w:ind w:left="0"/>
        <w:jc w:val="both"/>
      </w:pPr>
    </w:p>
    <w:p w14:paraId="7E3CB6D7" w14:textId="77777777" w:rsidR="00AF0592" w:rsidRDefault="00AF0592" w:rsidP="00834025">
      <w:pPr>
        <w:pStyle w:val="NotesBody"/>
        <w:ind w:left="0"/>
        <w:jc w:val="both"/>
      </w:pPr>
    </w:p>
    <w:tbl>
      <w:tblPr>
        <w:tblW w:w="9564" w:type="dxa"/>
        <w:tblLayout w:type="fixed"/>
        <w:tblCellMar>
          <w:left w:w="0" w:type="dxa"/>
          <w:right w:w="115" w:type="dxa"/>
        </w:tblCellMar>
        <w:tblLook w:val="04A0" w:firstRow="1" w:lastRow="0" w:firstColumn="1" w:lastColumn="0" w:noHBand="0" w:noVBand="1"/>
      </w:tblPr>
      <w:tblGrid>
        <w:gridCol w:w="446"/>
        <w:gridCol w:w="9"/>
        <w:gridCol w:w="5391"/>
        <w:gridCol w:w="125"/>
        <w:gridCol w:w="1826"/>
        <w:gridCol w:w="1701"/>
        <w:gridCol w:w="66"/>
      </w:tblGrid>
      <w:tr w:rsidR="00FE79D6" w:rsidRPr="001B7536" w14:paraId="2CBA182A" w14:textId="77777777" w:rsidTr="7821F417">
        <w:trPr>
          <w:trHeight w:val="199"/>
        </w:trPr>
        <w:tc>
          <w:tcPr>
            <w:tcW w:w="455" w:type="dxa"/>
            <w:gridSpan w:val="2"/>
          </w:tcPr>
          <w:p w14:paraId="1494124A" w14:textId="77777777" w:rsidR="00FE79D6" w:rsidRPr="00A33586" w:rsidRDefault="00FE79D6" w:rsidP="00481D3D">
            <w:pPr>
              <w:jc w:val="both"/>
            </w:pPr>
          </w:p>
        </w:tc>
        <w:tc>
          <w:tcPr>
            <w:tcW w:w="5516" w:type="dxa"/>
            <w:gridSpan w:val="2"/>
          </w:tcPr>
          <w:p w14:paraId="0F8E6E83" w14:textId="5D76C33E" w:rsidR="00FE79D6" w:rsidRPr="000575B2" w:rsidRDefault="2E9AFF88" w:rsidP="7821F417">
            <w:pPr>
              <w:pStyle w:val="NotesBody"/>
              <w:ind w:left="0"/>
              <w:rPr>
                <w:b/>
                <w:bCs/>
              </w:rPr>
            </w:pPr>
            <w:r w:rsidRPr="7821F417">
              <w:rPr>
                <w:b/>
                <w:bCs/>
              </w:rPr>
              <w:t>Loans and borrowings are payable as follows:</w:t>
            </w:r>
          </w:p>
        </w:tc>
        <w:tc>
          <w:tcPr>
            <w:tcW w:w="1826" w:type="dxa"/>
          </w:tcPr>
          <w:p w14:paraId="663251F5" w14:textId="77777777" w:rsidR="00FE79D6" w:rsidRDefault="22CF06A6" w:rsidP="7821F417">
            <w:pPr>
              <w:tabs>
                <w:tab w:val="decimal" w:pos="1424"/>
              </w:tabs>
              <w:ind w:right="43"/>
              <w:jc w:val="both"/>
              <w:rPr>
                <w:b/>
                <w:bCs/>
              </w:rPr>
            </w:pPr>
            <w:r w:rsidRPr="7821F417">
              <w:rPr>
                <w:b/>
                <w:bCs/>
              </w:rPr>
              <w:t>30 June</w:t>
            </w:r>
          </w:p>
        </w:tc>
        <w:tc>
          <w:tcPr>
            <w:tcW w:w="1767" w:type="dxa"/>
            <w:gridSpan w:val="2"/>
          </w:tcPr>
          <w:p w14:paraId="337F10F3" w14:textId="77777777" w:rsidR="00FE79D6" w:rsidRPr="001B7536" w:rsidRDefault="22CF06A6" w:rsidP="00481D3D">
            <w:pPr>
              <w:tabs>
                <w:tab w:val="decimal" w:pos="1424"/>
              </w:tabs>
              <w:ind w:right="43"/>
              <w:jc w:val="both"/>
              <w:rPr>
                <w:b/>
                <w:bCs/>
              </w:rPr>
            </w:pPr>
            <w:r w:rsidRPr="7821F417">
              <w:rPr>
                <w:b/>
                <w:bCs/>
              </w:rPr>
              <w:t>31 December</w:t>
            </w:r>
          </w:p>
        </w:tc>
      </w:tr>
      <w:tr w:rsidR="00FE79D6" w:rsidRPr="001B7536" w14:paraId="6AA3239D" w14:textId="77777777" w:rsidTr="7821F417">
        <w:trPr>
          <w:trHeight w:val="212"/>
        </w:trPr>
        <w:tc>
          <w:tcPr>
            <w:tcW w:w="455" w:type="dxa"/>
            <w:gridSpan w:val="2"/>
          </w:tcPr>
          <w:p w14:paraId="7A3DCD95" w14:textId="77777777" w:rsidR="00FE79D6" w:rsidRPr="00A33586" w:rsidRDefault="00FE79D6" w:rsidP="00481D3D">
            <w:pPr>
              <w:ind w:right="-144"/>
              <w:jc w:val="both"/>
            </w:pPr>
          </w:p>
        </w:tc>
        <w:tc>
          <w:tcPr>
            <w:tcW w:w="5516" w:type="dxa"/>
            <w:gridSpan w:val="2"/>
          </w:tcPr>
          <w:p w14:paraId="3004D487" w14:textId="77777777" w:rsidR="00FE79D6" w:rsidRPr="00A33586" w:rsidRDefault="00FE79D6" w:rsidP="00481D3D">
            <w:pPr>
              <w:ind w:right="-144"/>
              <w:jc w:val="both"/>
            </w:pPr>
          </w:p>
        </w:tc>
        <w:tc>
          <w:tcPr>
            <w:tcW w:w="1826" w:type="dxa"/>
          </w:tcPr>
          <w:p w14:paraId="4459FB36" w14:textId="6666A279" w:rsidR="00FE79D6" w:rsidRPr="00A33586" w:rsidRDefault="22CF06A6" w:rsidP="7821F417">
            <w:pPr>
              <w:tabs>
                <w:tab w:val="decimal" w:pos="1663"/>
              </w:tabs>
              <w:ind w:right="-144"/>
              <w:jc w:val="both"/>
              <w:rPr>
                <w:b/>
                <w:bCs/>
              </w:rPr>
            </w:pPr>
            <w:r w:rsidRPr="7821F417">
              <w:rPr>
                <w:b/>
                <w:bCs/>
              </w:rPr>
              <w:t>202</w:t>
            </w:r>
            <w:r w:rsidR="00DC740B">
              <w:rPr>
                <w:b/>
                <w:bCs/>
              </w:rPr>
              <w:t>5</w:t>
            </w:r>
          </w:p>
        </w:tc>
        <w:tc>
          <w:tcPr>
            <w:tcW w:w="1767" w:type="dxa"/>
            <w:gridSpan w:val="2"/>
          </w:tcPr>
          <w:p w14:paraId="4B071AFC" w14:textId="6EB1C445" w:rsidR="00FE79D6" w:rsidRPr="001B7536" w:rsidRDefault="004E6FD2" w:rsidP="00481D3D">
            <w:pPr>
              <w:tabs>
                <w:tab w:val="decimal" w:pos="1624"/>
              </w:tabs>
              <w:ind w:right="-144"/>
              <w:jc w:val="both"/>
              <w:rPr>
                <w:b/>
                <w:bCs/>
              </w:rPr>
            </w:pPr>
            <w:r>
              <w:rPr>
                <w:b/>
                <w:bCs/>
              </w:rPr>
              <w:t>202</w:t>
            </w:r>
            <w:r w:rsidR="005A7761">
              <w:rPr>
                <w:b/>
                <w:bCs/>
              </w:rPr>
              <w:t>4</w:t>
            </w:r>
          </w:p>
        </w:tc>
      </w:tr>
      <w:tr w:rsidR="00FE79D6" w:rsidRPr="001B7536" w14:paraId="49C27865" w14:textId="77777777" w:rsidTr="7821F417">
        <w:trPr>
          <w:trHeight w:val="199"/>
        </w:trPr>
        <w:tc>
          <w:tcPr>
            <w:tcW w:w="455" w:type="dxa"/>
            <w:gridSpan w:val="2"/>
          </w:tcPr>
          <w:p w14:paraId="0F9A37B9" w14:textId="77777777" w:rsidR="00FE79D6" w:rsidRPr="00A33586" w:rsidRDefault="00FE79D6" w:rsidP="00481D3D">
            <w:pPr>
              <w:ind w:right="-144"/>
              <w:jc w:val="both"/>
            </w:pPr>
          </w:p>
        </w:tc>
        <w:tc>
          <w:tcPr>
            <w:tcW w:w="5516" w:type="dxa"/>
            <w:gridSpan w:val="2"/>
          </w:tcPr>
          <w:p w14:paraId="2A586716" w14:textId="77777777" w:rsidR="00FE79D6" w:rsidRPr="00A33586" w:rsidRDefault="00FE79D6" w:rsidP="00481D3D">
            <w:pPr>
              <w:ind w:right="-144"/>
              <w:jc w:val="both"/>
            </w:pPr>
          </w:p>
        </w:tc>
        <w:tc>
          <w:tcPr>
            <w:tcW w:w="1826" w:type="dxa"/>
          </w:tcPr>
          <w:p w14:paraId="1C777748" w14:textId="77777777" w:rsidR="00FE79D6" w:rsidRPr="00A33586" w:rsidRDefault="22CF06A6" w:rsidP="7821F417">
            <w:pPr>
              <w:tabs>
                <w:tab w:val="decimal" w:pos="1663"/>
              </w:tabs>
              <w:ind w:right="-144"/>
              <w:jc w:val="both"/>
              <w:rPr>
                <w:b/>
                <w:bCs/>
              </w:rPr>
            </w:pPr>
            <w:r w:rsidRPr="7821F417">
              <w:rPr>
                <w:b/>
                <w:bCs/>
              </w:rPr>
              <w:t>€’000</w:t>
            </w:r>
          </w:p>
        </w:tc>
        <w:tc>
          <w:tcPr>
            <w:tcW w:w="1767" w:type="dxa"/>
            <w:gridSpan w:val="2"/>
          </w:tcPr>
          <w:p w14:paraId="2E27D927" w14:textId="77777777" w:rsidR="00FE79D6" w:rsidRPr="001B7536" w:rsidRDefault="22CF06A6" w:rsidP="00481D3D">
            <w:pPr>
              <w:tabs>
                <w:tab w:val="decimal" w:pos="1624"/>
              </w:tabs>
              <w:ind w:right="-144"/>
              <w:jc w:val="both"/>
              <w:rPr>
                <w:b/>
                <w:bCs/>
              </w:rPr>
            </w:pPr>
            <w:r w:rsidRPr="7821F417">
              <w:rPr>
                <w:b/>
                <w:bCs/>
              </w:rPr>
              <w:t>€’000</w:t>
            </w:r>
          </w:p>
        </w:tc>
      </w:tr>
      <w:tr w:rsidR="00FE79D6" w:rsidRPr="00860AEA" w14:paraId="210F731A" w14:textId="77777777" w:rsidTr="7821F417">
        <w:trPr>
          <w:trHeight w:val="199"/>
        </w:trPr>
        <w:tc>
          <w:tcPr>
            <w:tcW w:w="455" w:type="dxa"/>
            <w:gridSpan w:val="2"/>
          </w:tcPr>
          <w:p w14:paraId="4491A29E" w14:textId="77777777" w:rsidR="00FE79D6" w:rsidRPr="00A33586" w:rsidRDefault="00FE79D6" w:rsidP="00481D3D">
            <w:pPr>
              <w:ind w:right="-144"/>
              <w:jc w:val="both"/>
            </w:pPr>
          </w:p>
        </w:tc>
        <w:tc>
          <w:tcPr>
            <w:tcW w:w="5516" w:type="dxa"/>
            <w:gridSpan w:val="2"/>
          </w:tcPr>
          <w:p w14:paraId="22185EC4" w14:textId="77777777" w:rsidR="00FE79D6" w:rsidRPr="00A33586" w:rsidRDefault="00FE79D6" w:rsidP="00481D3D">
            <w:pPr>
              <w:ind w:right="-144"/>
              <w:jc w:val="both"/>
            </w:pPr>
          </w:p>
        </w:tc>
        <w:tc>
          <w:tcPr>
            <w:tcW w:w="1826" w:type="dxa"/>
          </w:tcPr>
          <w:p w14:paraId="1BF8571A" w14:textId="77777777" w:rsidR="00FE79D6" w:rsidRPr="00A33586" w:rsidRDefault="00FE79D6" w:rsidP="7821F417">
            <w:pPr>
              <w:tabs>
                <w:tab w:val="decimal" w:pos="1663"/>
              </w:tabs>
              <w:ind w:right="-144"/>
              <w:jc w:val="both"/>
              <w:rPr>
                <w:b/>
                <w:bCs/>
              </w:rPr>
            </w:pPr>
          </w:p>
        </w:tc>
        <w:tc>
          <w:tcPr>
            <w:tcW w:w="1767" w:type="dxa"/>
            <w:gridSpan w:val="2"/>
          </w:tcPr>
          <w:p w14:paraId="21324861" w14:textId="77777777" w:rsidR="00FE79D6" w:rsidRPr="00860AEA" w:rsidRDefault="00FE79D6" w:rsidP="00481D3D">
            <w:pPr>
              <w:tabs>
                <w:tab w:val="decimal" w:pos="1624"/>
              </w:tabs>
              <w:ind w:right="-144"/>
              <w:jc w:val="both"/>
            </w:pPr>
          </w:p>
        </w:tc>
      </w:tr>
      <w:tr w:rsidR="00FE13B2" w:rsidRPr="00860AEA" w14:paraId="7EA6C475" w14:textId="77777777" w:rsidTr="7821F417">
        <w:trPr>
          <w:trHeight w:val="199"/>
        </w:trPr>
        <w:tc>
          <w:tcPr>
            <w:tcW w:w="455" w:type="dxa"/>
            <w:gridSpan w:val="2"/>
          </w:tcPr>
          <w:p w14:paraId="68BF7952" w14:textId="77777777" w:rsidR="00FE13B2" w:rsidRPr="00A33586" w:rsidRDefault="00FE13B2" w:rsidP="00FE13B2">
            <w:pPr>
              <w:ind w:right="-144"/>
              <w:jc w:val="both"/>
            </w:pPr>
          </w:p>
        </w:tc>
        <w:tc>
          <w:tcPr>
            <w:tcW w:w="5516" w:type="dxa"/>
            <w:gridSpan w:val="2"/>
          </w:tcPr>
          <w:p w14:paraId="149E2691" w14:textId="1F3FCC18" w:rsidR="00FE13B2" w:rsidRPr="00A33586" w:rsidRDefault="00FE13B2" w:rsidP="00FE13B2">
            <w:pPr>
              <w:ind w:right="-144"/>
              <w:jc w:val="both"/>
              <w:rPr>
                <w:lang w:eastAsia="en-IE"/>
              </w:rPr>
            </w:pPr>
            <w:r w:rsidRPr="7821F417">
              <w:rPr>
                <w:lang w:eastAsia="en-IE"/>
              </w:rPr>
              <w:t>Less than one year</w:t>
            </w:r>
          </w:p>
        </w:tc>
        <w:tc>
          <w:tcPr>
            <w:tcW w:w="1826" w:type="dxa"/>
          </w:tcPr>
          <w:p w14:paraId="123A521C" w14:textId="0657C6CA" w:rsidR="00FE13B2" w:rsidRDefault="00EE590E" w:rsidP="00FE13B2">
            <w:pPr>
              <w:tabs>
                <w:tab w:val="decimal" w:pos="1663"/>
              </w:tabs>
              <w:ind w:right="-144"/>
              <w:jc w:val="both"/>
              <w:rPr>
                <w:b/>
                <w:bCs/>
              </w:rPr>
            </w:pPr>
            <w:r>
              <w:rPr>
                <w:b/>
                <w:bCs/>
              </w:rPr>
              <w:t>2,734</w:t>
            </w:r>
          </w:p>
        </w:tc>
        <w:tc>
          <w:tcPr>
            <w:tcW w:w="1767" w:type="dxa"/>
            <w:gridSpan w:val="2"/>
          </w:tcPr>
          <w:p w14:paraId="626CAFF2" w14:textId="0AE3B700" w:rsidR="00FE13B2" w:rsidRPr="00FE13B2" w:rsidRDefault="00FE13B2" w:rsidP="00FE13B2">
            <w:pPr>
              <w:tabs>
                <w:tab w:val="decimal" w:pos="1624"/>
              </w:tabs>
              <w:ind w:right="-144"/>
              <w:jc w:val="both"/>
              <w:rPr>
                <w:rFonts w:eastAsia="Calibri" w:cs="Arial"/>
                <w:bCs/>
                <w:szCs w:val="20"/>
              </w:rPr>
            </w:pPr>
            <w:r w:rsidRPr="00FE13B2">
              <w:rPr>
                <w:bCs/>
              </w:rPr>
              <w:t>3,129</w:t>
            </w:r>
          </w:p>
        </w:tc>
      </w:tr>
      <w:tr w:rsidR="00FE13B2" w14:paraId="10046048" w14:textId="77777777" w:rsidTr="7821F417">
        <w:trPr>
          <w:trHeight w:val="199"/>
        </w:trPr>
        <w:tc>
          <w:tcPr>
            <w:tcW w:w="455" w:type="dxa"/>
            <w:gridSpan w:val="2"/>
          </w:tcPr>
          <w:p w14:paraId="5ECBABC5" w14:textId="77777777" w:rsidR="00FE13B2" w:rsidRPr="00A33586" w:rsidRDefault="00FE13B2" w:rsidP="00FE13B2">
            <w:pPr>
              <w:ind w:right="-144"/>
              <w:jc w:val="both"/>
            </w:pPr>
          </w:p>
        </w:tc>
        <w:tc>
          <w:tcPr>
            <w:tcW w:w="5516" w:type="dxa"/>
            <w:gridSpan w:val="2"/>
          </w:tcPr>
          <w:p w14:paraId="46899ABA" w14:textId="13C538E9" w:rsidR="00FE13B2" w:rsidRDefault="00FE13B2" w:rsidP="00FE13B2">
            <w:pPr>
              <w:ind w:right="-144"/>
              <w:jc w:val="both"/>
              <w:rPr>
                <w:lang w:eastAsia="en-IE"/>
              </w:rPr>
            </w:pPr>
            <w:r w:rsidRPr="7821F417">
              <w:rPr>
                <w:lang w:eastAsia="en-IE"/>
              </w:rPr>
              <w:t>Between one and two years</w:t>
            </w:r>
          </w:p>
        </w:tc>
        <w:tc>
          <w:tcPr>
            <w:tcW w:w="1826" w:type="dxa"/>
          </w:tcPr>
          <w:p w14:paraId="2801BC92" w14:textId="0AF05CAB" w:rsidR="00FE13B2" w:rsidRDefault="00EE590E" w:rsidP="00FE13B2">
            <w:pPr>
              <w:tabs>
                <w:tab w:val="decimal" w:pos="1663"/>
              </w:tabs>
              <w:ind w:right="-144"/>
              <w:jc w:val="both"/>
              <w:rPr>
                <w:b/>
                <w:bCs/>
              </w:rPr>
            </w:pPr>
            <w:r>
              <w:rPr>
                <w:b/>
                <w:bCs/>
              </w:rPr>
              <w:t>1,191</w:t>
            </w:r>
          </w:p>
        </w:tc>
        <w:tc>
          <w:tcPr>
            <w:tcW w:w="1767" w:type="dxa"/>
            <w:gridSpan w:val="2"/>
          </w:tcPr>
          <w:p w14:paraId="65ABEF33" w14:textId="07B7B307" w:rsidR="00FE13B2" w:rsidRPr="00FE13B2" w:rsidRDefault="00FE13B2" w:rsidP="00FE13B2">
            <w:pPr>
              <w:tabs>
                <w:tab w:val="decimal" w:pos="1624"/>
              </w:tabs>
              <w:ind w:right="-144"/>
              <w:jc w:val="both"/>
              <w:rPr>
                <w:bCs/>
              </w:rPr>
            </w:pPr>
            <w:r w:rsidRPr="00FE13B2">
              <w:rPr>
                <w:bCs/>
              </w:rPr>
              <w:t>1,191</w:t>
            </w:r>
          </w:p>
        </w:tc>
      </w:tr>
      <w:tr w:rsidR="00FE13B2" w14:paraId="507E5369" w14:textId="77777777" w:rsidTr="7821F417">
        <w:trPr>
          <w:trHeight w:val="212"/>
        </w:trPr>
        <w:tc>
          <w:tcPr>
            <w:tcW w:w="455" w:type="dxa"/>
            <w:gridSpan w:val="2"/>
          </w:tcPr>
          <w:p w14:paraId="12EE5B16" w14:textId="77777777" w:rsidR="00FE13B2" w:rsidRPr="00A33586" w:rsidRDefault="00FE13B2" w:rsidP="00FE13B2">
            <w:pPr>
              <w:ind w:right="-144"/>
              <w:jc w:val="both"/>
            </w:pPr>
          </w:p>
        </w:tc>
        <w:tc>
          <w:tcPr>
            <w:tcW w:w="5516" w:type="dxa"/>
            <w:gridSpan w:val="2"/>
          </w:tcPr>
          <w:p w14:paraId="5D2925EB" w14:textId="1024EF9B" w:rsidR="00FE13B2" w:rsidRDefault="00FE13B2" w:rsidP="00FE13B2">
            <w:pPr>
              <w:ind w:right="-144"/>
              <w:jc w:val="both"/>
              <w:rPr>
                <w:lang w:eastAsia="en-IE"/>
              </w:rPr>
            </w:pPr>
            <w:r w:rsidRPr="7821F417">
              <w:rPr>
                <w:lang w:eastAsia="en-IE"/>
              </w:rPr>
              <w:t>More than two years</w:t>
            </w:r>
          </w:p>
        </w:tc>
        <w:tc>
          <w:tcPr>
            <w:tcW w:w="1826" w:type="dxa"/>
          </w:tcPr>
          <w:p w14:paraId="0EA09ACA" w14:textId="0FC32644" w:rsidR="00FE13B2" w:rsidRDefault="00EE590E" w:rsidP="00FE13B2">
            <w:pPr>
              <w:tabs>
                <w:tab w:val="decimal" w:pos="1663"/>
              </w:tabs>
              <w:ind w:right="-144"/>
              <w:jc w:val="both"/>
              <w:rPr>
                <w:b/>
                <w:bCs/>
              </w:rPr>
            </w:pPr>
            <w:r>
              <w:rPr>
                <w:b/>
                <w:bCs/>
              </w:rPr>
              <w:t>314,44</w:t>
            </w:r>
            <w:r w:rsidR="009A19E5">
              <w:rPr>
                <w:b/>
                <w:bCs/>
              </w:rPr>
              <w:t>2</w:t>
            </w:r>
          </w:p>
        </w:tc>
        <w:tc>
          <w:tcPr>
            <w:tcW w:w="1767" w:type="dxa"/>
            <w:gridSpan w:val="2"/>
          </w:tcPr>
          <w:p w14:paraId="425EF8DF" w14:textId="3481A167" w:rsidR="00FE13B2" w:rsidRPr="00FE13B2" w:rsidRDefault="00FE13B2" w:rsidP="00FE13B2">
            <w:pPr>
              <w:tabs>
                <w:tab w:val="decimal" w:pos="1624"/>
              </w:tabs>
              <w:ind w:right="-144"/>
              <w:jc w:val="both"/>
              <w:rPr>
                <w:bCs/>
              </w:rPr>
            </w:pPr>
            <w:r w:rsidRPr="00FE13B2">
              <w:rPr>
                <w:bCs/>
              </w:rPr>
              <w:t>233,848</w:t>
            </w:r>
          </w:p>
        </w:tc>
      </w:tr>
      <w:tr w:rsidR="004E67CD" w:rsidRPr="00860AEA" w14:paraId="025F149E" w14:textId="77777777" w:rsidTr="7821F417">
        <w:trPr>
          <w:trHeight w:val="199"/>
        </w:trPr>
        <w:tc>
          <w:tcPr>
            <w:tcW w:w="455" w:type="dxa"/>
            <w:gridSpan w:val="2"/>
          </w:tcPr>
          <w:p w14:paraId="1952B92A" w14:textId="77777777" w:rsidR="004E67CD" w:rsidRPr="00A33586" w:rsidRDefault="004E67CD" w:rsidP="004E67CD">
            <w:pPr>
              <w:ind w:right="-144"/>
              <w:jc w:val="both"/>
            </w:pPr>
          </w:p>
        </w:tc>
        <w:tc>
          <w:tcPr>
            <w:tcW w:w="5516" w:type="dxa"/>
            <w:gridSpan w:val="2"/>
          </w:tcPr>
          <w:p w14:paraId="159647D1" w14:textId="77777777" w:rsidR="004E67CD" w:rsidRPr="00A33586" w:rsidRDefault="004E67CD" w:rsidP="004E67CD">
            <w:pPr>
              <w:ind w:right="-144"/>
              <w:jc w:val="both"/>
            </w:pPr>
          </w:p>
        </w:tc>
        <w:tc>
          <w:tcPr>
            <w:tcW w:w="1826" w:type="dxa"/>
          </w:tcPr>
          <w:p w14:paraId="414DE24F" w14:textId="77777777" w:rsidR="004E67CD" w:rsidRPr="00A33586" w:rsidRDefault="6FAAB735" w:rsidP="004E67CD">
            <w:pPr>
              <w:tabs>
                <w:tab w:val="decimal" w:pos="1663"/>
              </w:tabs>
              <w:ind w:right="-144"/>
              <w:jc w:val="both"/>
              <w:rPr>
                <w:u w:val="single"/>
              </w:rPr>
            </w:pPr>
            <w:r w:rsidRPr="7821F417">
              <w:rPr>
                <w:u w:val="single"/>
              </w:rPr>
              <w:t>                  </w:t>
            </w:r>
          </w:p>
        </w:tc>
        <w:tc>
          <w:tcPr>
            <w:tcW w:w="1767" w:type="dxa"/>
            <w:gridSpan w:val="2"/>
          </w:tcPr>
          <w:p w14:paraId="63EFD22E" w14:textId="77777777" w:rsidR="004E67CD" w:rsidRPr="00860AEA" w:rsidRDefault="6FAAB735" w:rsidP="004E67CD">
            <w:pPr>
              <w:tabs>
                <w:tab w:val="decimal" w:pos="1624"/>
              </w:tabs>
              <w:ind w:right="-144"/>
              <w:jc w:val="both"/>
              <w:rPr>
                <w:u w:val="single"/>
              </w:rPr>
            </w:pPr>
            <w:r w:rsidRPr="7821F417">
              <w:rPr>
                <w:u w:val="single"/>
              </w:rPr>
              <w:t>                  </w:t>
            </w:r>
          </w:p>
        </w:tc>
      </w:tr>
      <w:tr w:rsidR="004E67CD" w:rsidRPr="00860AEA" w14:paraId="3D357BE9" w14:textId="77777777" w:rsidTr="7821F417">
        <w:trPr>
          <w:trHeight w:val="199"/>
        </w:trPr>
        <w:tc>
          <w:tcPr>
            <w:tcW w:w="455" w:type="dxa"/>
            <w:gridSpan w:val="2"/>
          </w:tcPr>
          <w:p w14:paraId="14A6A613" w14:textId="77777777" w:rsidR="004E67CD" w:rsidRPr="00A33586" w:rsidRDefault="004E67CD" w:rsidP="004E67CD">
            <w:pPr>
              <w:ind w:right="-144"/>
              <w:jc w:val="both"/>
            </w:pPr>
          </w:p>
        </w:tc>
        <w:tc>
          <w:tcPr>
            <w:tcW w:w="5516" w:type="dxa"/>
            <w:gridSpan w:val="2"/>
          </w:tcPr>
          <w:p w14:paraId="583DF4FB" w14:textId="77777777" w:rsidR="004E67CD" w:rsidRPr="00A33586" w:rsidRDefault="004E67CD" w:rsidP="004E67CD">
            <w:pPr>
              <w:ind w:right="-144"/>
              <w:jc w:val="both"/>
            </w:pPr>
          </w:p>
        </w:tc>
        <w:tc>
          <w:tcPr>
            <w:tcW w:w="1826" w:type="dxa"/>
          </w:tcPr>
          <w:p w14:paraId="5BEC1600" w14:textId="77777777" w:rsidR="004E67CD" w:rsidRPr="00A33586" w:rsidRDefault="004E67CD" w:rsidP="7821F417">
            <w:pPr>
              <w:tabs>
                <w:tab w:val="decimal" w:pos="1663"/>
              </w:tabs>
              <w:ind w:right="-144"/>
              <w:jc w:val="both"/>
              <w:rPr>
                <w:b/>
                <w:bCs/>
              </w:rPr>
            </w:pPr>
          </w:p>
        </w:tc>
        <w:tc>
          <w:tcPr>
            <w:tcW w:w="1767" w:type="dxa"/>
            <w:gridSpan w:val="2"/>
          </w:tcPr>
          <w:p w14:paraId="0B14EF85" w14:textId="77777777" w:rsidR="004E67CD" w:rsidRPr="00860AEA" w:rsidRDefault="004E67CD" w:rsidP="004E67CD">
            <w:pPr>
              <w:tabs>
                <w:tab w:val="decimal" w:pos="1624"/>
              </w:tabs>
              <w:ind w:right="-144"/>
              <w:jc w:val="both"/>
            </w:pPr>
          </w:p>
        </w:tc>
      </w:tr>
      <w:tr w:rsidR="004E67CD" w:rsidRPr="00860AEA" w14:paraId="148AFD0E" w14:textId="77777777" w:rsidTr="7821F417">
        <w:trPr>
          <w:trHeight w:val="212"/>
        </w:trPr>
        <w:tc>
          <w:tcPr>
            <w:tcW w:w="455" w:type="dxa"/>
            <w:gridSpan w:val="2"/>
          </w:tcPr>
          <w:p w14:paraId="47DF7522" w14:textId="77777777" w:rsidR="004E67CD" w:rsidRPr="00A33586" w:rsidRDefault="004E67CD" w:rsidP="004E67CD">
            <w:pPr>
              <w:ind w:right="-144"/>
              <w:jc w:val="both"/>
            </w:pPr>
          </w:p>
        </w:tc>
        <w:tc>
          <w:tcPr>
            <w:tcW w:w="5516" w:type="dxa"/>
            <w:gridSpan w:val="2"/>
          </w:tcPr>
          <w:p w14:paraId="629D6ADF" w14:textId="77777777" w:rsidR="004E67CD" w:rsidRPr="00A33586" w:rsidRDefault="6FAAB735" w:rsidP="7821F417">
            <w:pPr>
              <w:ind w:right="-144"/>
              <w:jc w:val="both"/>
              <w:rPr>
                <w:b/>
                <w:bCs/>
              </w:rPr>
            </w:pPr>
            <w:r w:rsidRPr="7821F417">
              <w:rPr>
                <w:b/>
                <w:bCs/>
              </w:rPr>
              <w:t>Total loans and borrowings</w:t>
            </w:r>
          </w:p>
        </w:tc>
        <w:tc>
          <w:tcPr>
            <w:tcW w:w="1826" w:type="dxa"/>
          </w:tcPr>
          <w:p w14:paraId="4C19DED4" w14:textId="2EA6FEEE" w:rsidR="004E67CD" w:rsidRDefault="00EE590E" w:rsidP="7821F417">
            <w:pPr>
              <w:tabs>
                <w:tab w:val="decimal" w:pos="1663"/>
              </w:tabs>
              <w:ind w:right="-144"/>
              <w:jc w:val="both"/>
              <w:rPr>
                <w:rFonts w:eastAsia="Calibri" w:cs="Arial"/>
                <w:b/>
                <w:bCs/>
                <w:szCs w:val="20"/>
              </w:rPr>
            </w:pPr>
            <w:r>
              <w:rPr>
                <w:rFonts w:eastAsia="Calibri" w:cs="Arial"/>
                <w:b/>
                <w:bCs/>
                <w:szCs w:val="20"/>
              </w:rPr>
              <w:t>318,36</w:t>
            </w:r>
            <w:r w:rsidR="004C35FE">
              <w:rPr>
                <w:rFonts w:eastAsia="Calibri" w:cs="Arial"/>
                <w:b/>
                <w:bCs/>
                <w:szCs w:val="20"/>
              </w:rPr>
              <w:t>7</w:t>
            </w:r>
          </w:p>
        </w:tc>
        <w:tc>
          <w:tcPr>
            <w:tcW w:w="1767" w:type="dxa"/>
            <w:gridSpan w:val="2"/>
          </w:tcPr>
          <w:p w14:paraId="1786417C" w14:textId="5B1AF5E8" w:rsidR="004E67CD" w:rsidRPr="00DE78F7" w:rsidRDefault="00DE78F7" w:rsidP="7821F417">
            <w:pPr>
              <w:tabs>
                <w:tab w:val="decimal" w:pos="1624"/>
              </w:tabs>
              <w:ind w:right="-144"/>
              <w:jc w:val="both"/>
              <w:rPr>
                <w:rFonts w:eastAsia="Calibri" w:cs="Arial"/>
                <w:bCs/>
                <w:szCs w:val="20"/>
              </w:rPr>
            </w:pPr>
            <w:r w:rsidRPr="00DE78F7">
              <w:rPr>
                <w:bCs/>
              </w:rPr>
              <w:t>238,168</w:t>
            </w:r>
          </w:p>
        </w:tc>
      </w:tr>
      <w:tr w:rsidR="004E67CD" w:rsidRPr="00860AEA" w14:paraId="3702EAAF" w14:textId="77777777" w:rsidTr="7821F417">
        <w:trPr>
          <w:gridAfter w:val="1"/>
          <w:wAfter w:w="66" w:type="dxa"/>
          <w:trHeight w:val="237"/>
        </w:trPr>
        <w:tc>
          <w:tcPr>
            <w:tcW w:w="446" w:type="dxa"/>
          </w:tcPr>
          <w:p w14:paraId="331AAEBF" w14:textId="77777777" w:rsidR="004E67CD" w:rsidRPr="00670755" w:rsidRDefault="004E67CD" w:rsidP="7821F417">
            <w:pPr>
              <w:ind w:right="-144"/>
              <w:jc w:val="both"/>
              <w:rPr>
                <w:rFonts w:cs="Arial"/>
              </w:rPr>
            </w:pPr>
            <w:r>
              <w:tab/>
            </w:r>
          </w:p>
        </w:tc>
        <w:tc>
          <w:tcPr>
            <w:tcW w:w="5400" w:type="dxa"/>
            <w:gridSpan w:val="2"/>
          </w:tcPr>
          <w:p w14:paraId="21AE92C1" w14:textId="77777777" w:rsidR="004E67CD" w:rsidRPr="00670755" w:rsidRDefault="004E67CD" w:rsidP="7821F417">
            <w:pPr>
              <w:ind w:right="-144"/>
              <w:jc w:val="both"/>
              <w:rPr>
                <w:rFonts w:cs="Arial"/>
              </w:rPr>
            </w:pPr>
          </w:p>
        </w:tc>
        <w:tc>
          <w:tcPr>
            <w:tcW w:w="1951" w:type="dxa"/>
            <w:gridSpan w:val="2"/>
          </w:tcPr>
          <w:p w14:paraId="4140C6E3" w14:textId="77777777" w:rsidR="004E67CD" w:rsidRPr="00860AEA" w:rsidRDefault="6FAAB735" w:rsidP="7821F417">
            <w:pPr>
              <w:tabs>
                <w:tab w:val="decimal" w:pos="1805"/>
              </w:tabs>
              <w:ind w:left="529" w:right="-144"/>
              <w:jc w:val="both"/>
              <w:rPr>
                <w:rFonts w:cs="Arial"/>
                <w:b/>
                <w:bCs/>
                <w:u w:val="double"/>
              </w:rPr>
            </w:pPr>
            <w:r w:rsidRPr="7821F417">
              <w:rPr>
                <w:rFonts w:cs="Arial"/>
                <w:u w:val="double"/>
              </w:rPr>
              <w:t>                  </w:t>
            </w:r>
          </w:p>
        </w:tc>
        <w:tc>
          <w:tcPr>
            <w:tcW w:w="1701" w:type="dxa"/>
          </w:tcPr>
          <w:p w14:paraId="6D1AC4F5" w14:textId="77777777" w:rsidR="004E67CD" w:rsidRPr="00860AEA" w:rsidRDefault="6FAAB735" w:rsidP="7821F417">
            <w:pPr>
              <w:tabs>
                <w:tab w:val="decimal" w:pos="1699"/>
              </w:tabs>
              <w:ind w:right="-144"/>
              <w:jc w:val="both"/>
              <w:rPr>
                <w:rFonts w:cs="Arial"/>
                <w:u w:val="double"/>
              </w:rPr>
            </w:pPr>
            <w:r w:rsidRPr="7821F417">
              <w:rPr>
                <w:rFonts w:cs="Arial"/>
                <w:u w:val="double"/>
              </w:rPr>
              <w:t>                  </w:t>
            </w:r>
          </w:p>
        </w:tc>
      </w:tr>
    </w:tbl>
    <w:p w14:paraId="7DE6FB0F" w14:textId="77777777" w:rsidR="00C267B4" w:rsidRDefault="00C267B4" w:rsidP="00880ED7">
      <w:pPr>
        <w:ind w:left="426"/>
        <w:jc w:val="both"/>
        <w:rPr>
          <w:rFonts w:cs="Arial"/>
        </w:rPr>
      </w:pPr>
    </w:p>
    <w:p w14:paraId="1A2E314F" w14:textId="695E6173" w:rsidR="00917CD8" w:rsidRDefault="00397B3E" w:rsidP="00880ED7">
      <w:pPr>
        <w:ind w:left="426"/>
        <w:jc w:val="both"/>
        <w:rPr>
          <w:rFonts w:cs="Arial"/>
        </w:rPr>
      </w:pPr>
      <w:r w:rsidRPr="7821F417">
        <w:rPr>
          <w:rFonts w:cs="Arial"/>
        </w:rPr>
        <w:t>The Group’s</w:t>
      </w:r>
      <w:r w:rsidR="003A6F0C">
        <w:rPr>
          <w:rFonts w:cs="Arial"/>
        </w:rPr>
        <w:t xml:space="preserve"> </w:t>
      </w:r>
      <w:r w:rsidR="0009716B" w:rsidRPr="7821F417">
        <w:rPr>
          <w:rFonts w:cs="Arial"/>
        </w:rPr>
        <w:t xml:space="preserve">debt facilities </w:t>
      </w:r>
      <w:r w:rsidR="00CA340B">
        <w:rPr>
          <w:rFonts w:cs="Arial"/>
        </w:rPr>
        <w:t>were</w:t>
      </w:r>
      <w:r w:rsidR="00880ED7">
        <w:rPr>
          <w:rFonts w:cs="Arial"/>
        </w:rPr>
        <w:t xml:space="preserve"> entered into with AIB, Bank of Ireland, Barclays and Home Building Finance</w:t>
      </w:r>
      <w:r w:rsidR="00F97635">
        <w:rPr>
          <w:rFonts w:cs="Arial"/>
        </w:rPr>
        <w:t xml:space="preserve"> </w:t>
      </w:r>
      <w:r w:rsidR="00880ED7">
        <w:rPr>
          <w:rFonts w:cs="Arial"/>
        </w:rPr>
        <w:t>Ireland and are</w:t>
      </w:r>
      <w:r w:rsidRPr="7821F417">
        <w:rPr>
          <w:rFonts w:cs="Arial"/>
        </w:rPr>
        <w:t xml:space="preserve"> subject </w:t>
      </w:r>
      <w:r w:rsidR="00D47534">
        <w:rPr>
          <w:rFonts w:cs="Arial"/>
        </w:rPr>
        <w:t xml:space="preserve">to </w:t>
      </w:r>
      <w:r w:rsidRPr="7821F417">
        <w:rPr>
          <w:rFonts w:cs="Arial"/>
        </w:rPr>
        <w:t>primary financial covenants</w:t>
      </w:r>
      <w:r w:rsidR="00880ED7">
        <w:rPr>
          <w:rFonts w:cs="Arial"/>
        </w:rPr>
        <w:t xml:space="preserve"> calculated on a bi-annual basis</w:t>
      </w:r>
      <w:r w:rsidR="0093058A">
        <w:rPr>
          <w:rFonts w:cs="Arial"/>
        </w:rPr>
        <w:t>.</w:t>
      </w:r>
    </w:p>
    <w:p w14:paraId="609BB1A1" w14:textId="77777777" w:rsidR="00E33B45" w:rsidRDefault="00E33B45" w:rsidP="00BE2322">
      <w:pPr>
        <w:ind w:left="426"/>
        <w:rPr>
          <w:rFonts w:cs="Arial"/>
        </w:rPr>
      </w:pPr>
    </w:p>
    <w:p w14:paraId="031F4B89" w14:textId="67371D78" w:rsidR="00CF4B22" w:rsidRDefault="0093058A" w:rsidP="0093058A">
      <w:pPr>
        <w:spacing w:after="160" w:line="256" w:lineRule="auto"/>
        <w:jc w:val="both"/>
        <w:rPr>
          <w:rFonts w:cs="Arial"/>
        </w:rPr>
      </w:pPr>
      <w:bookmarkStart w:id="16" w:name="_Hlk42008615"/>
      <w:bookmarkStart w:id="17" w:name="_Hlk42004372"/>
      <w:r>
        <w:rPr>
          <w:rFonts w:cs="Arial"/>
        </w:rPr>
        <w:t xml:space="preserve">       </w:t>
      </w:r>
      <w:r w:rsidR="00390D5E" w:rsidRPr="0093058A">
        <w:rPr>
          <w:rFonts w:cs="Arial"/>
        </w:rPr>
        <w:t xml:space="preserve">All covenants have been complied with in </w:t>
      </w:r>
      <w:r w:rsidR="001502C6" w:rsidRPr="0093058A">
        <w:rPr>
          <w:rFonts w:cs="Arial"/>
        </w:rPr>
        <w:t>the</w:t>
      </w:r>
      <w:r w:rsidR="00E63958" w:rsidRPr="0093058A">
        <w:rPr>
          <w:rFonts w:cs="Arial"/>
        </w:rPr>
        <w:t xml:space="preserve"> </w:t>
      </w:r>
      <w:r w:rsidR="007B2CF0" w:rsidRPr="0093058A">
        <w:rPr>
          <w:rFonts w:cs="Arial"/>
        </w:rPr>
        <w:t>6-month</w:t>
      </w:r>
      <w:r w:rsidR="001502C6" w:rsidRPr="0093058A">
        <w:rPr>
          <w:rFonts w:cs="Arial"/>
        </w:rPr>
        <w:t xml:space="preserve"> </w:t>
      </w:r>
      <w:r w:rsidR="00BB756C" w:rsidRPr="0093058A">
        <w:rPr>
          <w:rFonts w:cs="Arial"/>
        </w:rPr>
        <w:t xml:space="preserve">period and </w:t>
      </w:r>
      <w:r w:rsidR="00947E64" w:rsidRPr="0093058A">
        <w:rPr>
          <w:rFonts w:cs="Arial"/>
        </w:rPr>
        <w:t>in</w:t>
      </w:r>
      <w:r w:rsidR="002603C1" w:rsidRPr="0093058A">
        <w:rPr>
          <w:rFonts w:cs="Arial"/>
        </w:rPr>
        <w:t xml:space="preserve"> financial year 202</w:t>
      </w:r>
      <w:r w:rsidR="00391C52" w:rsidRPr="0093058A">
        <w:rPr>
          <w:rFonts w:cs="Arial"/>
        </w:rPr>
        <w:t>4</w:t>
      </w:r>
      <w:r w:rsidR="00390D5E" w:rsidRPr="0093058A">
        <w:rPr>
          <w:rFonts w:cs="Arial"/>
        </w:rPr>
        <w:t xml:space="preserve">. </w:t>
      </w:r>
    </w:p>
    <w:p w14:paraId="6B6EC283" w14:textId="77777777" w:rsidR="0093058A" w:rsidRDefault="0093058A" w:rsidP="0093058A">
      <w:pPr>
        <w:spacing w:after="160" w:line="256" w:lineRule="auto"/>
        <w:jc w:val="both"/>
        <w:rPr>
          <w:rFonts w:cs="Arial"/>
        </w:rPr>
      </w:pPr>
    </w:p>
    <w:p w14:paraId="2A8F32E8" w14:textId="77777777" w:rsidR="0093058A" w:rsidRDefault="0093058A" w:rsidP="0093058A">
      <w:pPr>
        <w:spacing w:after="160" w:line="256" w:lineRule="auto"/>
        <w:jc w:val="both"/>
        <w:rPr>
          <w:rFonts w:cs="Arial"/>
        </w:rPr>
      </w:pPr>
    </w:p>
    <w:p w14:paraId="7AF3D868" w14:textId="77777777" w:rsidR="0093058A" w:rsidRDefault="0093058A" w:rsidP="0093058A">
      <w:pPr>
        <w:spacing w:after="160" w:line="256" w:lineRule="auto"/>
        <w:jc w:val="both"/>
        <w:rPr>
          <w:rFonts w:cs="Arial"/>
        </w:rPr>
      </w:pPr>
    </w:p>
    <w:p w14:paraId="6B7CA442" w14:textId="77777777" w:rsidR="0093058A" w:rsidRDefault="0093058A" w:rsidP="0093058A">
      <w:pPr>
        <w:spacing w:after="160" w:line="256" w:lineRule="auto"/>
        <w:jc w:val="both"/>
        <w:rPr>
          <w:rFonts w:cs="Arial"/>
        </w:rPr>
      </w:pPr>
    </w:p>
    <w:p w14:paraId="1C8F6115" w14:textId="77777777" w:rsidR="0093058A" w:rsidRPr="0093058A" w:rsidRDefault="0093058A" w:rsidP="0093058A">
      <w:pPr>
        <w:spacing w:after="160" w:line="256" w:lineRule="auto"/>
        <w:jc w:val="both"/>
        <w:rPr>
          <w:rFonts w:cs="Arial"/>
        </w:rPr>
      </w:pPr>
    </w:p>
    <w:p w14:paraId="0556CE4D" w14:textId="77777777" w:rsidR="00910C94" w:rsidRDefault="00910C94" w:rsidP="00A625D5">
      <w:pPr>
        <w:pStyle w:val="NotesHeading"/>
        <w:jc w:val="both"/>
      </w:pPr>
    </w:p>
    <w:p w14:paraId="53B623B0" w14:textId="47C0BF13" w:rsidR="00A625D5" w:rsidRPr="00910C94" w:rsidRDefault="00A625D5" w:rsidP="00A625D5">
      <w:pPr>
        <w:pStyle w:val="NotesHeading"/>
        <w:jc w:val="both"/>
        <w:rPr>
          <w:b w:val="0"/>
          <w:bCs/>
          <w:i/>
          <w:iCs/>
        </w:rPr>
      </w:pPr>
      <w:r>
        <w:t xml:space="preserve">14 </w:t>
      </w:r>
      <w:r>
        <w:tab/>
      </w:r>
      <w:r w:rsidR="00910C94">
        <w:t xml:space="preserve"> </w:t>
      </w:r>
      <w:r w:rsidRPr="007B7ECC">
        <w:t>Loans and Borrowings</w:t>
      </w:r>
      <w:r w:rsidR="00910C94">
        <w:t xml:space="preserve"> </w:t>
      </w:r>
      <w:r w:rsidR="00910C94">
        <w:rPr>
          <w:b w:val="0"/>
          <w:bCs/>
          <w:i/>
          <w:iCs/>
        </w:rPr>
        <w:t>(continued)</w:t>
      </w:r>
    </w:p>
    <w:p w14:paraId="12BA7640" w14:textId="77777777" w:rsidR="00FF2E9C" w:rsidRPr="00FF2E9C" w:rsidRDefault="00FF2E9C" w:rsidP="00787ABA">
      <w:pPr>
        <w:pStyle w:val="NotesBody"/>
        <w:ind w:left="0"/>
      </w:pPr>
    </w:p>
    <w:p w14:paraId="3D75FAF4" w14:textId="5E9ECBEC" w:rsidR="005C5E83" w:rsidRPr="00F12A89" w:rsidRDefault="005C5E83" w:rsidP="00904B8E">
      <w:pPr>
        <w:pStyle w:val="NotesBody"/>
        <w:numPr>
          <w:ilvl w:val="0"/>
          <w:numId w:val="39"/>
        </w:numPr>
        <w:jc w:val="both"/>
        <w:rPr>
          <w:b/>
          <w:bCs/>
        </w:rPr>
      </w:pPr>
      <w:r w:rsidRPr="7821F417">
        <w:rPr>
          <w:b/>
          <w:bCs/>
        </w:rPr>
        <w:t xml:space="preserve">Net </w:t>
      </w:r>
      <w:r w:rsidR="00133B64">
        <w:rPr>
          <w:b/>
          <w:bCs/>
        </w:rPr>
        <w:t xml:space="preserve">debt </w:t>
      </w:r>
      <w:r w:rsidR="00C86109" w:rsidRPr="7821F417">
        <w:rPr>
          <w:b/>
          <w:bCs/>
        </w:rPr>
        <w:t>reconciliation</w:t>
      </w:r>
      <w:bookmarkEnd w:id="16"/>
    </w:p>
    <w:tbl>
      <w:tblPr>
        <w:tblW w:w="9564" w:type="dxa"/>
        <w:tblLayout w:type="fixed"/>
        <w:tblCellMar>
          <w:left w:w="0" w:type="dxa"/>
          <w:right w:w="115" w:type="dxa"/>
        </w:tblCellMar>
        <w:tblLook w:val="04A0" w:firstRow="1" w:lastRow="0" w:firstColumn="1" w:lastColumn="0" w:noHBand="0" w:noVBand="1"/>
      </w:tblPr>
      <w:tblGrid>
        <w:gridCol w:w="446"/>
        <w:gridCol w:w="9"/>
        <w:gridCol w:w="5499"/>
        <w:gridCol w:w="17"/>
        <w:gridCol w:w="1826"/>
        <w:gridCol w:w="1767"/>
      </w:tblGrid>
      <w:tr w:rsidR="00C732A7" w:rsidRPr="00A33586" w14:paraId="5CA686CE" w14:textId="77777777" w:rsidTr="7821F417">
        <w:trPr>
          <w:trHeight w:val="199"/>
        </w:trPr>
        <w:tc>
          <w:tcPr>
            <w:tcW w:w="455" w:type="dxa"/>
            <w:gridSpan w:val="2"/>
          </w:tcPr>
          <w:p w14:paraId="7EF50D75" w14:textId="77777777" w:rsidR="00C732A7" w:rsidRPr="00A33586" w:rsidRDefault="00C732A7" w:rsidP="00BC685E">
            <w:pPr>
              <w:jc w:val="both"/>
            </w:pPr>
            <w:bookmarkStart w:id="18" w:name="_Hlk42004042"/>
            <w:bookmarkStart w:id="19" w:name="_Hlk42004114"/>
            <w:bookmarkStart w:id="20" w:name="_Hlk142414997"/>
          </w:p>
        </w:tc>
        <w:tc>
          <w:tcPr>
            <w:tcW w:w="5516" w:type="dxa"/>
            <w:gridSpan w:val="2"/>
          </w:tcPr>
          <w:p w14:paraId="1A122E01" w14:textId="77777777" w:rsidR="00C732A7" w:rsidRPr="000575B2" w:rsidRDefault="00C732A7" w:rsidP="7821F417">
            <w:pPr>
              <w:jc w:val="both"/>
              <w:rPr>
                <w:b/>
                <w:bCs/>
              </w:rPr>
            </w:pPr>
          </w:p>
        </w:tc>
        <w:tc>
          <w:tcPr>
            <w:tcW w:w="1826" w:type="dxa"/>
          </w:tcPr>
          <w:p w14:paraId="467B9070" w14:textId="77777777" w:rsidR="00C732A7" w:rsidRDefault="506396DC" w:rsidP="7821F417">
            <w:pPr>
              <w:tabs>
                <w:tab w:val="decimal" w:pos="1424"/>
              </w:tabs>
              <w:ind w:right="43"/>
              <w:jc w:val="both"/>
              <w:rPr>
                <w:b/>
                <w:bCs/>
              </w:rPr>
            </w:pPr>
            <w:r w:rsidRPr="7821F417">
              <w:rPr>
                <w:b/>
                <w:bCs/>
              </w:rPr>
              <w:t>30 June</w:t>
            </w:r>
          </w:p>
        </w:tc>
        <w:tc>
          <w:tcPr>
            <w:tcW w:w="1767" w:type="dxa"/>
          </w:tcPr>
          <w:p w14:paraId="0D60FBBF" w14:textId="77777777" w:rsidR="00C732A7" w:rsidRPr="001B7536" w:rsidRDefault="506396DC" w:rsidP="00BC685E">
            <w:pPr>
              <w:tabs>
                <w:tab w:val="decimal" w:pos="1424"/>
              </w:tabs>
              <w:ind w:right="43"/>
              <w:jc w:val="both"/>
              <w:rPr>
                <w:b/>
                <w:bCs/>
              </w:rPr>
            </w:pPr>
            <w:r w:rsidRPr="7821F417">
              <w:rPr>
                <w:b/>
                <w:bCs/>
              </w:rPr>
              <w:t>31 December</w:t>
            </w:r>
          </w:p>
        </w:tc>
      </w:tr>
      <w:tr w:rsidR="00C732A7" w:rsidRPr="00A33586" w14:paraId="64BA2477" w14:textId="77777777" w:rsidTr="7821F417">
        <w:trPr>
          <w:trHeight w:val="212"/>
        </w:trPr>
        <w:tc>
          <w:tcPr>
            <w:tcW w:w="455" w:type="dxa"/>
            <w:gridSpan w:val="2"/>
          </w:tcPr>
          <w:p w14:paraId="7B8E846B" w14:textId="77777777" w:rsidR="00C732A7" w:rsidRPr="00A33586" w:rsidRDefault="00C732A7" w:rsidP="00BC685E">
            <w:pPr>
              <w:ind w:right="-144"/>
              <w:jc w:val="both"/>
            </w:pPr>
          </w:p>
        </w:tc>
        <w:tc>
          <w:tcPr>
            <w:tcW w:w="5516" w:type="dxa"/>
            <w:gridSpan w:val="2"/>
          </w:tcPr>
          <w:p w14:paraId="257AF92E" w14:textId="77777777" w:rsidR="00C732A7" w:rsidRPr="00A33586" w:rsidRDefault="00C732A7" w:rsidP="00BC685E">
            <w:pPr>
              <w:ind w:right="-144"/>
              <w:jc w:val="both"/>
            </w:pPr>
          </w:p>
        </w:tc>
        <w:tc>
          <w:tcPr>
            <w:tcW w:w="1826" w:type="dxa"/>
          </w:tcPr>
          <w:p w14:paraId="79B61A5F" w14:textId="46E8B774" w:rsidR="00C732A7" w:rsidRPr="00A33586" w:rsidRDefault="1CECA264" w:rsidP="7821F417">
            <w:pPr>
              <w:tabs>
                <w:tab w:val="decimal" w:pos="1663"/>
              </w:tabs>
              <w:ind w:right="-144"/>
              <w:jc w:val="both"/>
              <w:rPr>
                <w:b/>
                <w:bCs/>
              </w:rPr>
            </w:pPr>
            <w:r w:rsidRPr="7821F417">
              <w:rPr>
                <w:b/>
                <w:bCs/>
              </w:rPr>
              <w:t>202</w:t>
            </w:r>
            <w:r w:rsidR="003D08FB">
              <w:rPr>
                <w:b/>
                <w:bCs/>
              </w:rPr>
              <w:t>5</w:t>
            </w:r>
          </w:p>
        </w:tc>
        <w:tc>
          <w:tcPr>
            <w:tcW w:w="1767" w:type="dxa"/>
          </w:tcPr>
          <w:p w14:paraId="5A1EA559" w14:textId="2E417170" w:rsidR="00C732A7" w:rsidRPr="001B7536" w:rsidRDefault="00807617" w:rsidP="00BC685E">
            <w:pPr>
              <w:tabs>
                <w:tab w:val="decimal" w:pos="1624"/>
              </w:tabs>
              <w:ind w:right="-144"/>
              <w:jc w:val="both"/>
              <w:rPr>
                <w:b/>
                <w:bCs/>
              </w:rPr>
            </w:pPr>
            <w:r>
              <w:rPr>
                <w:b/>
                <w:bCs/>
              </w:rPr>
              <w:t>202</w:t>
            </w:r>
            <w:r w:rsidR="003D08FB">
              <w:rPr>
                <w:b/>
                <w:bCs/>
              </w:rPr>
              <w:t>4</w:t>
            </w:r>
          </w:p>
        </w:tc>
      </w:tr>
      <w:bookmarkEnd w:id="18"/>
      <w:tr w:rsidR="00C732A7" w:rsidRPr="00A33586" w14:paraId="77847A9F" w14:textId="77777777" w:rsidTr="7821F417">
        <w:trPr>
          <w:trHeight w:val="199"/>
        </w:trPr>
        <w:tc>
          <w:tcPr>
            <w:tcW w:w="455" w:type="dxa"/>
            <w:gridSpan w:val="2"/>
          </w:tcPr>
          <w:p w14:paraId="5415E0F7" w14:textId="77777777" w:rsidR="00C732A7" w:rsidRPr="00A33586" w:rsidRDefault="00C732A7" w:rsidP="00BC685E">
            <w:pPr>
              <w:ind w:right="-144"/>
              <w:jc w:val="both"/>
            </w:pPr>
          </w:p>
        </w:tc>
        <w:tc>
          <w:tcPr>
            <w:tcW w:w="5516" w:type="dxa"/>
            <w:gridSpan w:val="2"/>
          </w:tcPr>
          <w:p w14:paraId="6664479C" w14:textId="77777777" w:rsidR="00C732A7" w:rsidRPr="00A33586" w:rsidRDefault="00C732A7" w:rsidP="00BC685E">
            <w:pPr>
              <w:ind w:right="-144"/>
              <w:jc w:val="both"/>
            </w:pPr>
          </w:p>
        </w:tc>
        <w:tc>
          <w:tcPr>
            <w:tcW w:w="1826" w:type="dxa"/>
          </w:tcPr>
          <w:p w14:paraId="301C0A62" w14:textId="77777777" w:rsidR="00C732A7" w:rsidRPr="00A33586" w:rsidRDefault="506396DC" w:rsidP="7821F417">
            <w:pPr>
              <w:tabs>
                <w:tab w:val="decimal" w:pos="1663"/>
              </w:tabs>
              <w:ind w:right="-144"/>
              <w:jc w:val="both"/>
              <w:rPr>
                <w:b/>
                <w:bCs/>
              </w:rPr>
            </w:pPr>
            <w:r w:rsidRPr="7821F417">
              <w:rPr>
                <w:b/>
                <w:bCs/>
              </w:rPr>
              <w:t>€’000</w:t>
            </w:r>
          </w:p>
        </w:tc>
        <w:tc>
          <w:tcPr>
            <w:tcW w:w="1767" w:type="dxa"/>
          </w:tcPr>
          <w:p w14:paraId="3EC71BDB" w14:textId="77777777" w:rsidR="00C732A7" w:rsidRPr="001B7536" w:rsidRDefault="506396DC" w:rsidP="00BC685E">
            <w:pPr>
              <w:tabs>
                <w:tab w:val="decimal" w:pos="1624"/>
              </w:tabs>
              <w:ind w:right="-144"/>
              <w:jc w:val="both"/>
              <w:rPr>
                <w:b/>
                <w:bCs/>
              </w:rPr>
            </w:pPr>
            <w:r w:rsidRPr="7821F417">
              <w:rPr>
                <w:b/>
                <w:bCs/>
              </w:rPr>
              <w:t>€’000</w:t>
            </w:r>
          </w:p>
        </w:tc>
      </w:tr>
      <w:bookmarkEnd w:id="19"/>
      <w:tr w:rsidR="00C732A7" w:rsidRPr="00A33586" w14:paraId="40B7465B" w14:textId="77777777" w:rsidTr="7821F417">
        <w:trPr>
          <w:trHeight w:val="199"/>
        </w:trPr>
        <w:tc>
          <w:tcPr>
            <w:tcW w:w="455" w:type="dxa"/>
            <w:gridSpan w:val="2"/>
          </w:tcPr>
          <w:p w14:paraId="30610C57" w14:textId="77777777" w:rsidR="00C732A7" w:rsidRPr="00A33586" w:rsidRDefault="00C732A7" w:rsidP="00BC685E">
            <w:pPr>
              <w:ind w:right="-144"/>
              <w:jc w:val="both"/>
            </w:pPr>
          </w:p>
        </w:tc>
        <w:tc>
          <w:tcPr>
            <w:tcW w:w="5516" w:type="dxa"/>
            <w:gridSpan w:val="2"/>
          </w:tcPr>
          <w:p w14:paraId="162332B6" w14:textId="77777777" w:rsidR="00C732A7" w:rsidRPr="00A33586" w:rsidRDefault="00C732A7" w:rsidP="00BC685E">
            <w:pPr>
              <w:ind w:right="-144"/>
              <w:jc w:val="both"/>
            </w:pPr>
          </w:p>
        </w:tc>
        <w:tc>
          <w:tcPr>
            <w:tcW w:w="1826" w:type="dxa"/>
          </w:tcPr>
          <w:p w14:paraId="5F5D2012" w14:textId="77777777" w:rsidR="00C732A7" w:rsidRPr="00A33586" w:rsidRDefault="00C732A7" w:rsidP="7821F417">
            <w:pPr>
              <w:tabs>
                <w:tab w:val="decimal" w:pos="1663"/>
              </w:tabs>
              <w:ind w:right="-144"/>
              <w:jc w:val="both"/>
              <w:rPr>
                <w:b/>
                <w:bCs/>
              </w:rPr>
            </w:pPr>
          </w:p>
        </w:tc>
        <w:tc>
          <w:tcPr>
            <w:tcW w:w="1767" w:type="dxa"/>
          </w:tcPr>
          <w:p w14:paraId="12A435F9" w14:textId="77777777" w:rsidR="00C732A7" w:rsidRPr="00860AEA" w:rsidRDefault="00C732A7" w:rsidP="00BC685E">
            <w:pPr>
              <w:tabs>
                <w:tab w:val="decimal" w:pos="1624"/>
              </w:tabs>
              <w:ind w:right="-144"/>
              <w:jc w:val="both"/>
            </w:pPr>
          </w:p>
        </w:tc>
      </w:tr>
      <w:tr w:rsidR="0017632C" w:rsidRPr="00A33586" w14:paraId="4275F7BD" w14:textId="77777777" w:rsidTr="7821F417">
        <w:trPr>
          <w:trHeight w:val="199"/>
        </w:trPr>
        <w:tc>
          <w:tcPr>
            <w:tcW w:w="455" w:type="dxa"/>
            <w:gridSpan w:val="2"/>
          </w:tcPr>
          <w:p w14:paraId="163E2AC6" w14:textId="77777777" w:rsidR="0017632C" w:rsidRPr="00041B0E" w:rsidRDefault="0017632C" w:rsidP="0017632C">
            <w:pPr>
              <w:ind w:right="-144"/>
              <w:jc w:val="both"/>
            </w:pPr>
          </w:p>
        </w:tc>
        <w:tc>
          <w:tcPr>
            <w:tcW w:w="5516" w:type="dxa"/>
            <w:gridSpan w:val="2"/>
          </w:tcPr>
          <w:p w14:paraId="69FBAF1D" w14:textId="56772B9B" w:rsidR="0017632C" w:rsidRPr="00041B0E" w:rsidRDefault="0017632C" w:rsidP="0017632C">
            <w:pPr>
              <w:ind w:right="-144"/>
              <w:jc w:val="both"/>
            </w:pPr>
            <w:r w:rsidRPr="00041B0E">
              <w:t>Restricted cash</w:t>
            </w:r>
          </w:p>
        </w:tc>
        <w:tc>
          <w:tcPr>
            <w:tcW w:w="1826" w:type="dxa"/>
          </w:tcPr>
          <w:p w14:paraId="7779ECC9" w14:textId="4D7B4B56" w:rsidR="0017632C" w:rsidRDefault="00A76245" w:rsidP="0017632C">
            <w:pPr>
              <w:tabs>
                <w:tab w:val="decimal" w:pos="1663"/>
              </w:tabs>
              <w:ind w:right="-144"/>
              <w:jc w:val="both"/>
              <w:rPr>
                <w:rFonts w:eastAsia="Calibri" w:cs="Arial"/>
                <w:b/>
                <w:bCs/>
                <w:szCs w:val="20"/>
              </w:rPr>
            </w:pPr>
            <w:r>
              <w:rPr>
                <w:rFonts w:eastAsia="Calibri" w:cs="Arial"/>
                <w:b/>
                <w:bCs/>
                <w:szCs w:val="20"/>
              </w:rPr>
              <w:t>458</w:t>
            </w:r>
          </w:p>
        </w:tc>
        <w:tc>
          <w:tcPr>
            <w:tcW w:w="1767" w:type="dxa"/>
          </w:tcPr>
          <w:p w14:paraId="1B7DC186" w14:textId="56106C00" w:rsidR="0017632C" w:rsidRPr="0017632C" w:rsidRDefault="0017632C" w:rsidP="0017632C">
            <w:pPr>
              <w:tabs>
                <w:tab w:val="decimal" w:pos="1624"/>
              </w:tabs>
              <w:ind w:right="-144"/>
              <w:jc w:val="both"/>
              <w:rPr>
                <w:bCs/>
              </w:rPr>
            </w:pPr>
            <w:r w:rsidRPr="0017632C">
              <w:rPr>
                <w:bCs/>
              </w:rPr>
              <w:t>458</w:t>
            </w:r>
          </w:p>
        </w:tc>
      </w:tr>
      <w:tr w:rsidR="0017632C" w:rsidRPr="00A33586" w14:paraId="46AF417D" w14:textId="77777777" w:rsidTr="7821F417">
        <w:trPr>
          <w:trHeight w:val="199"/>
        </w:trPr>
        <w:tc>
          <w:tcPr>
            <w:tcW w:w="455" w:type="dxa"/>
            <w:gridSpan w:val="2"/>
          </w:tcPr>
          <w:p w14:paraId="5212F40A" w14:textId="77777777" w:rsidR="0017632C" w:rsidRPr="00A33586" w:rsidRDefault="0017632C" w:rsidP="0017632C">
            <w:pPr>
              <w:ind w:right="-144"/>
              <w:jc w:val="both"/>
            </w:pPr>
          </w:p>
        </w:tc>
        <w:tc>
          <w:tcPr>
            <w:tcW w:w="5516" w:type="dxa"/>
            <w:gridSpan w:val="2"/>
          </w:tcPr>
          <w:p w14:paraId="3C28FB73" w14:textId="1C0C7633" w:rsidR="0017632C" w:rsidRPr="00A33586" w:rsidRDefault="0017632C" w:rsidP="0017632C">
            <w:pPr>
              <w:ind w:right="-144"/>
              <w:jc w:val="both"/>
            </w:pPr>
            <w:r>
              <w:t>Cash and cash equivalents</w:t>
            </w:r>
          </w:p>
        </w:tc>
        <w:tc>
          <w:tcPr>
            <w:tcW w:w="1826" w:type="dxa"/>
          </w:tcPr>
          <w:p w14:paraId="0B434020" w14:textId="306F9E2F" w:rsidR="0017632C" w:rsidRDefault="00C033CF" w:rsidP="0017632C">
            <w:pPr>
              <w:tabs>
                <w:tab w:val="decimal" w:pos="1663"/>
              </w:tabs>
              <w:ind w:right="-144"/>
              <w:jc w:val="both"/>
              <w:rPr>
                <w:b/>
                <w:bCs/>
              </w:rPr>
            </w:pPr>
            <w:r>
              <w:rPr>
                <w:b/>
                <w:bCs/>
              </w:rPr>
              <w:t>92,766</w:t>
            </w:r>
          </w:p>
        </w:tc>
        <w:tc>
          <w:tcPr>
            <w:tcW w:w="1767" w:type="dxa"/>
          </w:tcPr>
          <w:p w14:paraId="2DFFBAD5" w14:textId="1C52DA6E" w:rsidR="0017632C" w:rsidRPr="0017632C" w:rsidRDefault="0017632C" w:rsidP="0017632C">
            <w:pPr>
              <w:tabs>
                <w:tab w:val="decimal" w:pos="1624"/>
              </w:tabs>
              <w:ind w:right="-144"/>
              <w:jc w:val="both"/>
              <w:rPr>
                <w:rFonts w:eastAsia="Calibri" w:cs="Arial"/>
                <w:bCs/>
                <w:szCs w:val="20"/>
              </w:rPr>
            </w:pPr>
            <w:r w:rsidRPr="0017632C">
              <w:rPr>
                <w:bCs/>
              </w:rPr>
              <w:t>63,165</w:t>
            </w:r>
          </w:p>
        </w:tc>
      </w:tr>
      <w:tr w:rsidR="0017632C" w:rsidRPr="00A33586" w14:paraId="0AA8000E" w14:textId="77777777" w:rsidTr="7821F417">
        <w:trPr>
          <w:trHeight w:val="199"/>
        </w:trPr>
        <w:tc>
          <w:tcPr>
            <w:tcW w:w="455" w:type="dxa"/>
            <w:gridSpan w:val="2"/>
          </w:tcPr>
          <w:p w14:paraId="7CC4EAEA" w14:textId="77777777" w:rsidR="0017632C" w:rsidRPr="00A33586" w:rsidRDefault="0017632C" w:rsidP="0017632C">
            <w:pPr>
              <w:ind w:right="-144"/>
              <w:jc w:val="both"/>
            </w:pPr>
          </w:p>
        </w:tc>
        <w:tc>
          <w:tcPr>
            <w:tcW w:w="5516" w:type="dxa"/>
            <w:gridSpan w:val="2"/>
          </w:tcPr>
          <w:p w14:paraId="29750B45" w14:textId="424A86CC" w:rsidR="0017632C" w:rsidRDefault="0017632C" w:rsidP="0017632C">
            <w:pPr>
              <w:ind w:right="-144"/>
              <w:jc w:val="both"/>
            </w:pPr>
            <w:r>
              <w:t>Loans and borrowings</w:t>
            </w:r>
          </w:p>
        </w:tc>
        <w:tc>
          <w:tcPr>
            <w:tcW w:w="1826" w:type="dxa"/>
          </w:tcPr>
          <w:p w14:paraId="0A3E1E13" w14:textId="27BF66A6" w:rsidR="0017632C" w:rsidDel="00FC2240" w:rsidRDefault="00C033CF" w:rsidP="0017632C">
            <w:pPr>
              <w:tabs>
                <w:tab w:val="decimal" w:pos="1663"/>
              </w:tabs>
              <w:ind w:right="-144"/>
              <w:jc w:val="both"/>
              <w:rPr>
                <w:b/>
                <w:bCs/>
              </w:rPr>
            </w:pPr>
            <w:r>
              <w:rPr>
                <w:b/>
                <w:bCs/>
              </w:rPr>
              <w:t>(</w:t>
            </w:r>
            <w:r w:rsidR="00E179BA">
              <w:rPr>
                <w:b/>
                <w:bCs/>
              </w:rPr>
              <w:t>318,36</w:t>
            </w:r>
            <w:r w:rsidR="009A19E5">
              <w:rPr>
                <w:b/>
                <w:bCs/>
              </w:rPr>
              <w:t>7</w:t>
            </w:r>
            <w:r>
              <w:rPr>
                <w:b/>
                <w:bCs/>
              </w:rPr>
              <w:t>)</w:t>
            </w:r>
          </w:p>
        </w:tc>
        <w:tc>
          <w:tcPr>
            <w:tcW w:w="1767" w:type="dxa"/>
          </w:tcPr>
          <w:p w14:paraId="0C1487BC" w14:textId="579CB843" w:rsidR="0017632C" w:rsidRPr="0017632C" w:rsidRDefault="0017632C" w:rsidP="0017632C">
            <w:pPr>
              <w:tabs>
                <w:tab w:val="decimal" w:pos="1624"/>
              </w:tabs>
              <w:ind w:right="-144"/>
              <w:jc w:val="both"/>
              <w:rPr>
                <w:bCs/>
              </w:rPr>
            </w:pPr>
            <w:r w:rsidRPr="0017632C">
              <w:rPr>
                <w:bCs/>
              </w:rPr>
              <w:t>(238,168)</w:t>
            </w:r>
          </w:p>
        </w:tc>
      </w:tr>
      <w:tr w:rsidR="0017632C" w:rsidRPr="00A33586" w14:paraId="0DF5090F" w14:textId="77777777" w:rsidTr="7821F417">
        <w:trPr>
          <w:trHeight w:val="199"/>
        </w:trPr>
        <w:tc>
          <w:tcPr>
            <w:tcW w:w="455" w:type="dxa"/>
            <w:gridSpan w:val="2"/>
          </w:tcPr>
          <w:p w14:paraId="4C703685" w14:textId="77777777" w:rsidR="0017632C" w:rsidRPr="00C07117" w:rsidRDefault="0017632C" w:rsidP="0017632C">
            <w:pPr>
              <w:ind w:right="-144"/>
              <w:jc w:val="both"/>
              <w:rPr>
                <w:highlight w:val="yellow"/>
              </w:rPr>
            </w:pPr>
          </w:p>
        </w:tc>
        <w:tc>
          <w:tcPr>
            <w:tcW w:w="5516" w:type="dxa"/>
            <w:gridSpan w:val="2"/>
          </w:tcPr>
          <w:p w14:paraId="07E86B8E" w14:textId="7ECE5750" w:rsidR="0017632C" w:rsidRPr="00C07117" w:rsidRDefault="0017632C" w:rsidP="0017632C">
            <w:pPr>
              <w:ind w:right="-144"/>
              <w:jc w:val="both"/>
              <w:rPr>
                <w:highlight w:val="yellow"/>
              </w:rPr>
            </w:pPr>
            <w:r w:rsidRPr="0000799D">
              <w:t>Lease liabilities</w:t>
            </w:r>
          </w:p>
        </w:tc>
        <w:tc>
          <w:tcPr>
            <w:tcW w:w="1826" w:type="dxa"/>
          </w:tcPr>
          <w:p w14:paraId="7A72D4E3" w14:textId="55B96054" w:rsidR="0017632C" w:rsidRDefault="002B7368" w:rsidP="0017632C">
            <w:pPr>
              <w:tabs>
                <w:tab w:val="decimal" w:pos="1663"/>
              </w:tabs>
              <w:ind w:right="-144"/>
              <w:jc w:val="both"/>
              <w:rPr>
                <w:b/>
                <w:bCs/>
              </w:rPr>
            </w:pPr>
            <w:r>
              <w:rPr>
                <w:b/>
                <w:bCs/>
              </w:rPr>
              <w:t>(4</w:t>
            </w:r>
            <w:r w:rsidR="00694C17">
              <w:rPr>
                <w:b/>
                <w:bCs/>
              </w:rPr>
              <w:t>,738)</w:t>
            </w:r>
          </w:p>
        </w:tc>
        <w:tc>
          <w:tcPr>
            <w:tcW w:w="1767" w:type="dxa"/>
          </w:tcPr>
          <w:p w14:paraId="225E1269" w14:textId="2262715F" w:rsidR="0017632C" w:rsidRPr="0017632C" w:rsidRDefault="0017632C" w:rsidP="0017632C">
            <w:pPr>
              <w:tabs>
                <w:tab w:val="decimal" w:pos="1624"/>
              </w:tabs>
              <w:ind w:right="-144"/>
              <w:jc w:val="both"/>
              <w:rPr>
                <w:bCs/>
              </w:rPr>
            </w:pPr>
            <w:r w:rsidRPr="0017632C">
              <w:rPr>
                <w:bCs/>
              </w:rPr>
              <w:t>(4,415)</w:t>
            </w:r>
          </w:p>
        </w:tc>
      </w:tr>
      <w:tr w:rsidR="00C732A7" w:rsidRPr="00A33586" w14:paraId="108801D2" w14:textId="77777777" w:rsidTr="00E33B45">
        <w:trPr>
          <w:trHeight w:val="106"/>
        </w:trPr>
        <w:tc>
          <w:tcPr>
            <w:tcW w:w="455" w:type="dxa"/>
            <w:gridSpan w:val="2"/>
          </w:tcPr>
          <w:p w14:paraId="01DE3898" w14:textId="77777777" w:rsidR="00C732A7" w:rsidRPr="00A33586" w:rsidRDefault="00C732A7" w:rsidP="00BC685E">
            <w:pPr>
              <w:ind w:right="-144"/>
              <w:jc w:val="both"/>
            </w:pPr>
            <w:bookmarkStart w:id="21" w:name="_Hlk42003942"/>
          </w:p>
        </w:tc>
        <w:tc>
          <w:tcPr>
            <w:tcW w:w="5516" w:type="dxa"/>
            <w:gridSpan w:val="2"/>
          </w:tcPr>
          <w:p w14:paraId="452DDEAF" w14:textId="77777777" w:rsidR="00C732A7" w:rsidRPr="00A33586" w:rsidRDefault="00C732A7" w:rsidP="00BC685E">
            <w:pPr>
              <w:ind w:right="-144"/>
              <w:jc w:val="both"/>
            </w:pPr>
          </w:p>
        </w:tc>
        <w:tc>
          <w:tcPr>
            <w:tcW w:w="1826" w:type="dxa"/>
          </w:tcPr>
          <w:p w14:paraId="0BC4B3A6" w14:textId="77777777" w:rsidR="00C732A7" w:rsidRPr="00A33586" w:rsidRDefault="506396DC" w:rsidP="00BC685E">
            <w:pPr>
              <w:tabs>
                <w:tab w:val="decimal" w:pos="1663"/>
              </w:tabs>
              <w:ind w:right="-144"/>
              <w:jc w:val="both"/>
              <w:rPr>
                <w:u w:val="single"/>
              </w:rPr>
            </w:pPr>
            <w:r w:rsidRPr="7821F417">
              <w:rPr>
                <w:u w:val="single"/>
              </w:rPr>
              <w:t>                  </w:t>
            </w:r>
          </w:p>
        </w:tc>
        <w:tc>
          <w:tcPr>
            <w:tcW w:w="1767" w:type="dxa"/>
          </w:tcPr>
          <w:p w14:paraId="142CAA25" w14:textId="77777777" w:rsidR="00C732A7" w:rsidRPr="00860AEA" w:rsidRDefault="506396DC" w:rsidP="00BC685E">
            <w:pPr>
              <w:tabs>
                <w:tab w:val="decimal" w:pos="1624"/>
              </w:tabs>
              <w:ind w:right="-144"/>
              <w:jc w:val="both"/>
              <w:rPr>
                <w:u w:val="single"/>
              </w:rPr>
            </w:pPr>
            <w:r w:rsidRPr="7821F417">
              <w:rPr>
                <w:u w:val="single"/>
              </w:rPr>
              <w:t>                  </w:t>
            </w:r>
          </w:p>
        </w:tc>
      </w:tr>
      <w:tr w:rsidR="00C732A7" w:rsidRPr="00A33586" w14:paraId="3B768571" w14:textId="77777777" w:rsidTr="7821F417">
        <w:trPr>
          <w:trHeight w:val="199"/>
        </w:trPr>
        <w:tc>
          <w:tcPr>
            <w:tcW w:w="455" w:type="dxa"/>
            <w:gridSpan w:val="2"/>
          </w:tcPr>
          <w:p w14:paraId="4CBA877E" w14:textId="77777777" w:rsidR="00C732A7" w:rsidRPr="00A33586" w:rsidRDefault="00C732A7" w:rsidP="00BC685E">
            <w:pPr>
              <w:ind w:right="-144"/>
              <w:jc w:val="both"/>
            </w:pPr>
          </w:p>
        </w:tc>
        <w:tc>
          <w:tcPr>
            <w:tcW w:w="5516" w:type="dxa"/>
            <w:gridSpan w:val="2"/>
          </w:tcPr>
          <w:p w14:paraId="2AECBB13" w14:textId="77777777" w:rsidR="00C732A7" w:rsidRPr="00A33586" w:rsidRDefault="00C732A7" w:rsidP="00BC685E">
            <w:pPr>
              <w:ind w:right="-144"/>
              <w:jc w:val="both"/>
            </w:pPr>
          </w:p>
        </w:tc>
        <w:tc>
          <w:tcPr>
            <w:tcW w:w="1826" w:type="dxa"/>
          </w:tcPr>
          <w:p w14:paraId="56D19A9F" w14:textId="77777777" w:rsidR="00C732A7" w:rsidRPr="00A33586" w:rsidRDefault="00C732A7" w:rsidP="7821F417">
            <w:pPr>
              <w:tabs>
                <w:tab w:val="decimal" w:pos="1663"/>
              </w:tabs>
              <w:ind w:right="-144"/>
              <w:jc w:val="both"/>
              <w:rPr>
                <w:b/>
                <w:bCs/>
              </w:rPr>
            </w:pPr>
          </w:p>
        </w:tc>
        <w:tc>
          <w:tcPr>
            <w:tcW w:w="1767" w:type="dxa"/>
          </w:tcPr>
          <w:p w14:paraId="4225B3FB" w14:textId="77777777" w:rsidR="00C732A7" w:rsidRPr="00860AEA" w:rsidRDefault="00C732A7" w:rsidP="00BC685E">
            <w:pPr>
              <w:tabs>
                <w:tab w:val="decimal" w:pos="1624"/>
              </w:tabs>
              <w:ind w:right="-144"/>
              <w:jc w:val="both"/>
            </w:pPr>
          </w:p>
        </w:tc>
      </w:tr>
      <w:tr w:rsidR="00C732A7" w:rsidRPr="00A33586" w14:paraId="1C3AE873" w14:textId="77777777" w:rsidTr="7821F417">
        <w:trPr>
          <w:trHeight w:val="212"/>
        </w:trPr>
        <w:tc>
          <w:tcPr>
            <w:tcW w:w="455" w:type="dxa"/>
            <w:gridSpan w:val="2"/>
          </w:tcPr>
          <w:p w14:paraId="4CEA110C" w14:textId="77777777" w:rsidR="00C732A7" w:rsidRPr="00A33586" w:rsidRDefault="00C732A7" w:rsidP="00BC685E">
            <w:pPr>
              <w:ind w:right="-144"/>
              <w:jc w:val="both"/>
            </w:pPr>
          </w:p>
        </w:tc>
        <w:tc>
          <w:tcPr>
            <w:tcW w:w="5516" w:type="dxa"/>
            <w:gridSpan w:val="2"/>
          </w:tcPr>
          <w:p w14:paraId="4A9CE0C3" w14:textId="1D90D3D4" w:rsidR="00C732A7" w:rsidRPr="00BC106B" w:rsidRDefault="28C649B9" w:rsidP="00BC685E">
            <w:pPr>
              <w:ind w:right="-144"/>
              <w:jc w:val="both"/>
              <w:rPr>
                <w:b/>
                <w:bCs/>
              </w:rPr>
            </w:pPr>
            <w:r w:rsidRPr="7821F417">
              <w:rPr>
                <w:b/>
                <w:bCs/>
              </w:rPr>
              <w:t xml:space="preserve">Total </w:t>
            </w:r>
            <w:r w:rsidR="00BC106B" w:rsidRPr="7821F417">
              <w:rPr>
                <w:b/>
                <w:bCs/>
              </w:rPr>
              <w:t>net debt</w:t>
            </w:r>
          </w:p>
        </w:tc>
        <w:tc>
          <w:tcPr>
            <w:tcW w:w="1826" w:type="dxa"/>
          </w:tcPr>
          <w:p w14:paraId="7F6765CA" w14:textId="0E5BA941" w:rsidR="00C732A7" w:rsidRDefault="00F91B2D" w:rsidP="7821F417">
            <w:pPr>
              <w:tabs>
                <w:tab w:val="decimal" w:pos="1663"/>
              </w:tabs>
              <w:ind w:right="-144"/>
              <w:jc w:val="both"/>
              <w:rPr>
                <w:rFonts w:eastAsia="Calibri" w:cs="Arial"/>
                <w:b/>
                <w:bCs/>
                <w:szCs w:val="20"/>
              </w:rPr>
            </w:pPr>
            <w:r>
              <w:rPr>
                <w:rFonts w:eastAsia="Calibri" w:cs="Arial"/>
                <w:b/>
                <w:bCs/>
                <w:szCs w:val="20"/>
              </w:rPr>
              <w:t>(229,88</w:t>
            </w:r>
            <w:r w:rsidR="008C0B8B">
              <w:rPr>
                <w:rFonts w:eastAsia="Calibri" w:cs="Arial"/>
                <w:b/>
                <w:bCs/>
                <w:szCs w:val="20"/>
              </w:rPr>
              <w:t>1</w:t>
            </w:r>
            <w:r>
              <w:rPr>
                <w:rFonts w:eastAsia="Calibri" w:cs="Arial"/>
                <w:b/>
                <w:bCs/>
                <w:szCs w:val="20"/>
              </w:rPr>
              <w:t>)</w:t>
            </w:r>
          </w:p>
        </w:tc>
        <w:tc>
          <w:tcPr>
            <w:tcW w:w="1767" w:type="dxa"/>
          </w:tcPr>
          <w:p w14:paraId="3CB8E521" w14:textId="685B6B96" w:rsidR="00C732A7" w:rsidRPr="003D08FB" w:rsidRDefault="003D08FB" w:rsidP="7821F417">
            <w:pPr>
              <w:tabs>
                <w:tab w:val="decimal" w:pos="1624"/>
              </w:tabs>
              <w:ind w:right="-144"/>
              <w:jc w:val="both"/>
              <w:rPr>
                <w:rFonts w:eastAsia="Calibri" w:cs="Arial"/>
                <w:bCs/>
                <w:szCs w:val="20"/>
              </w:rPr>
            </w:pPr>
            <w:r w:rsidRPr="003D08FB">
              <w:rPr>
                <w:bCs/>
              </w:rPr>
              <w:t>(178,960)</w:t>
            </w:r>
          </w:p>
        </w:tc>
      </w:tr>
      <w:tr w:rsidR="00C732A7" w:rsidRPr="00670755" w14:paraId="11149EB9" w14:textId="77777777" w:rsidTr="7821F417">
        <w:trPr>
          <w:trHeight w:val="357"/>
        </w:trPr>
        <w:tc>
          <w:tcPr>
            <w:tcW w:w="446" w:type="dxa"/>
          </w:tcPr>
          <w:p w14:paraId="1AF445DE" w14:textId="536FCC5C" w:rsidR="005C0C14" w:rsidRPr="005B4003" w:rsidRDefault="005C0C14" w:rsidP="00BC685E">
            <w:pPr>
              <w:ind w:right="-144"/>
              <w:jc w:val="both"/>
            </w:pPr>
          </w:p>
        </w:tc>
        <w:tc>
          <w:tcPr>
            <w:tcW w:w="5508" w:type="dxa"/>
            <w:gridSpan w:val="2"/>
          </w:tcPr>
          <w:p w14:paraId="28291111" w14:textId="77777777" w:rsidR="00C732A7" w:rsidRPr="00670755" w:rsidRDefault="00C732A7" w:rsidP="7821F417">
            <w:pPr>
              <w:ind w:right="-144"/>
              <w:jc w:val="both"/>
              <w:rPr>
                <w:rFonts w:cs="Arial"/>
              </w:rPr>
            </w:pPr>
          </w:p>
        </w:tc>
        <w:tc>
          <w:tcPr>
            <w:tcW w:w="1843" w:type="dxa"/>
            <w:gridSpan w:val="2"/>
          </w:tcPr>
          <w:p w14:paraId="4A809497" w14:textId="19CCA00A" w:rsidR="00C732A7" w:rsidRPr="009F5006" w:rsidRDefault="002F5CB6" w:rsidP="7821F417">
            <w:pPr>
              <w:tabs>
                <w:tab w:val="decimal" w:pos="1805"/>
              </w:tabs>
              <w:ind w:right="-144"/>
              <w:jc w:val="both"/>
              <w:rPr>
                <w:rFonts w:cs="Arial"/>
                <w:b/>
                <w:bCs/>
                <w:u w:val="thick"/>
              </w:rPr>
            </w:pPr>
            <w:r w:rsidRPr="7821F417">
              <w:rPr>
                <w:rFonts w:cs="Arial"/>
                <w:u w:val="double"/>
              </w:rPr>
              <w:t>                  </w:t>
            </w:r>
            <w:r>
              <w:rPr>
                <w:rFonts w:cs="Arial"/>
                <w:u w:val="double"/>
              </w:rPr>
              <w:t xml:space="preserve">  </w:t>
            </w:r>
          </w:p>
        </w:tc>
        <w:tc>
          <w:tcPr>
            <w:tcW w:w="1767" w:type="dxa"/>
          </w:tcPr>
          <w:p w14:paraId="41D12F69" w14:textId="50F54D3E" w:rsidR="009F3FC1" w:rsidRPr="00860AEA" w:rsidRDefault="506396DC" w:rsidP="7821F417">
            <w:pPr>
              <w:tabs>
                <w:tab w:val="decimal" w:pos="1699"/>
              </w:tabs>
              <w:ind w:right="-144"/>
              <w:jc w:val="both"/>
              <w:rPr>
                <w:rFonts w:cs="Arial"/>
                <w:u w:val="double"/>
              </w:rPr>
            </w:pPr>
            <w:bookmarkStart w:id="22" w:name="_Hlk104190180"/>
            <w:r w:rsidRPr="7821F417">
              <w:rPr>
                <w:rFonts w:cs="Arial"/>
                <w:u w:val="double"/>
              </w:rPr>
              <w:t>               </w:t>
            </w:r>
            <w:r w:rsidR="6186DB5B" w:rsidRPr="7821F417">
              <w:rPr>
                <w:rFonts w:cs="Arial"/>
                <w:u w:val="double"/>
              </w:rPr>
              <w:t xml:space="preserve">  </w:t>
            </w:r>
            <w:r w:rsidRPr="7821F417">
              <w:rPr>
                <w:rFonts w:cs="Arial"/>
                <w:u w:val="double"/>
              </w:rPr>
              <w:t> </w:t>
            </w:r>
            <w:r w:rsidR="5C8B1600" w:rsidRPr="7821F417">
              <w:rPr>
                <w:rFonts w:cs="Arial"/>
                <w:u w:val="double"/>
              </w:rPr>
              <w:t xml:space="preserve"> </w:t>
            </w:r>
            <w:bookmarkEnd w:id="22"/>
          </w:p>
        </w:tc>
      </w:tr>
    </w:tbl>
    <w:p w14:paraId="7FD00E37" w14:textId="77777777" w:rsidR="00B64E50" w:rsidRDefault="00B64E50" w:rsidP="00DB53BC">
      <w:pPr>
        <w:pStyle w:val="NotesHeading"/>
        <w:jc w:val="both"/>
      </w:pPr>
      <w:bookmarkStart w:id="23" w:name="_Hlk79410919"/>
      <w:bookmarkStart w:id="24" w:name="_Hlk520301978"/>
      <w:bookmarkEnd w:id="17"/>
      <w:bookmarkEnd w:id="20"/>
      <w:bookmarkEnd w:id="21"/>
    </w:p>
    <w:p w14:paraId="4FA9956B" w14:textId="6489E89F" w:rsidR="00A42405" w:rsidRPr="00A33586" w:rsidRDefault="00B61856" w:rsidP="00391C52">
      <w:pPr>
        <w:pStyle w:val="NotesHeading"/>
        <w:ind w:left="0" w:firstLine="0"/>
        <w:jc w:val="both"/>
      </w:pPr>
      <w:r>
        <w:t>1</w:t>
      </w:r>
      <w:r w:rsidR="00400B82">
        <w:t>5</w:t>
      </w:r>
      <w:r w:rsidR="0056494F">
        <w:t xml:space="preserve"> </w:t>
      </w:r>
      <w:r w:rsidR="00A362D2">
        <w:t xml:space="preserve"> </w:t>
      </w:r>
      <w:r w:rsidR="00DB53BC">
        <w:t xml:space="preserve">  </w:t>
      </w:r>
      <w:r w:rsidR="00D3309F">
        <w:t>Financial instruments and financial risk management</w:t>
      </w:r>
    </w:p>
    <w:p w14:paraId="37D600F0" w14:textId="7038F419" w:rsidR="00A42405" w:rsidRPr="00E73C39" w:rsidRDefault="00A42405" w:rsidP="7821F417">
      <w:pPr>
        <w:pStyle w:val="NotesBody"/>
        <w:jc w:val="both"/>
        <w:rPr>
          <w:b/>
          <w:bCs/>
        </w:rPr>
      </w:pPr>
    </w:p>
    <w:p w14:paraId="53F94862" w14:textId="6B5B69AB" w:rsidR="00E73C39" w:rsidRDefault="00E73C39" w:rsidP="00A1275D">
      <w:pPr>
        <w:pStyle w:val="NotesBody"/>
        <w:numPr>
          <w:ilvl w:val="0"/>
          <w:numId w:val="20"/>
        </w:numPr>
        <w:jc w:val="both"/>
        <w:rPr>
          <w:b/>
          <w:bCs/>
        </w:rPr>
      </w:pPr>
      <w:r w:rsidRPr="7821F417">
        <w:rPr>
          <w:b/>
          <w:bCs/>
        </w:rPr>
        <w:t>Accounting classification and fair value</w:t>
      </w:r>
    </w:p>
    <w:bookmarkEnd w:id="23"/>
    <w:p w14:paraId="56D3CF61" w14:textId="77777777" w:rsidR="0016369C" w:rsidRDefault="0016369C" w:rsidP="00F06068">
      <w:pPr>
        <w:pStyle w:val="NotesBody"/>
        <w:ind w:left="0"/>
        <w:jc w:val="both"/>
      </w:pPr>
    </w:p>
    <w:p w14:paraId="0461D196" w14:textId="0E19D1DB" w:rsidR="0016369C" w:rsidRDefault="00DB1B58" w:rsidP="006A06F1">
      <w:pPr>
        <w:pStyle w:val="NotesBody"/>
        <w:jc w:val="both"/>
      </w:pPr>
      <w:r>
        <w:t xml:space="preserve">For details of the Groups share value hierarchy, please see the Group’s annual report. </w:t>
      </w:r>
    </w:p>
    <w:p w14:paraId="383C6CFA" w14:textId="77777777" w:rsidR="00A26794" w:rsidRDefault="00A26794" w:rsidP="00D655F4">
      <w:pPr>
        <w:pStyle w:val="NotesBody"/>
      </w:pPr>
    </w:p>
    <w:tbl>
      <w:tblPr>
        <w:tblW w:w="9935" w:type="dxa"/>
        <w:tblLayout w:type="fixed"/>
        <w:tblCellMar>
          <w:left w:w="0" w:type="dxa"/>
          <w:right w:w="115" w:type="dxa"/>
        </w:tblCellMar>
        <w:tblLook w:val="04A0" w:firstRow="1" w:lastRow="0" w:firstColumn="1" w:lastColumn="0" w:noHBand="0" w:noVBand="1"/>
      </w:tblPr>
      <w:tblGrid>
        <w:gridCol w:w="446"/>
        <w:gridCol w:w="9"/>
        <w:gridCol w:w="2522"/>
        <w:gridCol w:w="1843"/>
        <w:gridCol w:w="1701"/>
        <w:gridCol w:w="1713"/>
        <w:gridCol w:w="1701"/>
      </w:tblGrid>
      <w:tr w:rsidR="00A26794" w:rsidRPr="001B7536" w14:paraId="71AC0848" w14:textId="77777777">
        <w:trPr>
          <w:trHeight w:val="199"/>
        </w:trPr>
        <w:tc>
          <w:tcPr>
            <w:tcW w:w="455" w:type="dxa"/>
            <w:gridSpan w:val="2"/>
          </w:tcPr>
          <w:p w14:paraId="42858CCC" w14:textId="77777777" w:rsidR="00A26794" w:rsidRPr="00A33586" w:rsidRDefault="00A26794">
            <w:pPr>
              <w:jc w:val="both"/>
            </w:pPr>
          </w:p>
        </w:tc>
        <w:tc>
          <w:tcPr>
            <w:tcW w:w="2522" w:type="dxa"/>
          </w:tcPr>
          <w:p w14:paraId="18773C7D" w14:textId="3C6F3CF2" w:rsidR="00A26794" w:rsidRPr="000575B2" w:rsidRDefault="00A26794">
            <w:pPr>
              <w:jc w:val="both"/>
              <w:rPr>
                <w:b/>
                <w:bCs/>
              </w:rPr>
            </w:pPr>
            <w:r>
              <w:rPr>
                <w:b/>
                <w:bCs/>
              </w:rPr>
              <w:t>30 June 202</w:t>
            </w:r>
            <w:r w:rsidR="00B9429B">
              <w:rPr>
                <w:b/>
                <w:bCs/>
              </w:rPr>
              <w:t>5</w:t>
            </w:r>
          </w:p>
        </w:tc>
        <w:tc>
          <w:tcPr>
            <w:tcW w:w="1843" w:type="dxa"/>
          </w:tcPr>
          <w:p w14:paraId="31583ABD" w14:textId="77777777" w:rsidR="00A26794" w:rsidRDefault="00A26794">
            <w:pPr>
              <w:tabs>
                <w:tab w:val="decimal" w:pos="1424"/>
              </w:tabs>
              <w:ind w:right="43"/>
              <w:jc w:val="right"/>
              <w:rPr>
                <w:b/>
                <w:bCs/>
              </w:rPr>
            </w:pPr>
            <w:r>
              <w:rPr>
                <w:b/>
                <w:bCs/>
              </w:rPr>
              <w:t>Level 1</w:t>
            </w:r>
          </w:p>
        </w:tc>
        <w:tc>
          <w:tcPr>
            <w:tcW w:w="1701" w:type="dxa"/>
          </w:tcPr>
          <w:p w14:paraId="20D22866" w14:textId="77777777" w:rsidR="00A26794" w:rsidRPr="7821F417" w:rsidRDefault="00A26794">
            <w:pPr>
              <w:tabs>
                <w:tab w:val="decimal" w:pos="1424"/>
              </w:tabs>
              <w:ind w:right="43"/>
              <w:jc w:val="right"/>
              <w:rPr>
                <w:b/>
                <w:bCs/>
              </w:rPr>
            </w:pPr>
            <w:r>
              <w:rPr>
                <w:b/>
                <w:bCs/>
              </w:rPr>
              <w:t>Level 2</w:t>
            </w:r>
          </w:p>
        </w:tc>
        <w:tc>
          <w:tcPr>
            <w:tcW w:w="1713" w:type="dxa"/>
          </w:tcPr>
          <w:p w14:paraId="39648C53" w14:textId="77777777" w:rsidR="00A26794" w:rsidRPr="7821F417" w:rsidRDefault="00A26794">
            <w:pPr>
              <w:tabs>
                <w:tab w:val="decimal" w:pos="1424"/>
              </w:tabs>
              <w:ind w:right="43"/>
              <w:jc w:val="right"/>
              <w:rPr>
                <w:b/>
                <w:bCs/>
              </w:rPr>
            </w:pPr>
            <w:r>
              <w:rPr>
                <w:b/>
                <w:bCs/>
              </w:rPr>
              <w:t>Level 3</w:t>
            </w:r>
          </w:p>
        </w:tc>
        <w:tc>
          <w:tcPr>
            <w:tcW w:w="1701" w:type="dxa"/>
          </w:tcPr>
          <w:p w14:paraId="616819A0" w14:textId="77777777" w:rsidR="00A26794" w:rsidRPr="001B7536" w:rsidRDefault="00A26794">
            <w:pPr>
              <w:tabs>
                <w:tab w:val="decimal" w:pos="1424"/>
              </w:tabs>
              <w:ind w:right="43"/>
              <w:jc w:val="both"/>
              <w:rPr>
                <w:b/>
                <w:bCs/>
              </w:rPr>
            </w:pPr>
          </w:p>
        </w:tc>
      </w:tr>
      <w:tr w:rsidR="00A26794" w:rsidRPr="001B7536" w14:paraId="5AA7B3E4" w14:textId="77777777">
        <w:trPr>
          <w:trHeight w:val="212"/>
        </w:trPr>
        <w:tc>
          <w:tcPr>
            <w:tcW w:w="455" w:type="dxa"/>
            <w:gridSpan w:val="2"/>
          </w:tcPr>
          <w:p w14:paraId="6FC6A757" w14:textId="77777777" w:rsidR="00A26794" w:rsidRPr="00A33586" w:rsidRDefault="00A26794">
            <w:pPr>
              <w:ind w:right="-144"/>
              <w:jc w:val="both"/>
            </w:pPr>
          </w:p>
        </w:tc>
        <w:tc>
          <w:tcPr>
            <w:tcW w:w="2522" w:type="dxa"/>
          </w:tcPr>
          <w:p w14:paraId="330EB81B" w14:textId="77777777" w:rsidR="00A26794" w:rsidRPr="00A33586" w:rsidRDefault="00A26794">
            <w:pPr>
              <w:ind w:right="-144"/>
              <w:jc w:val="both"/>
            </w:pPr>
          </w:p>
        </w:tc>
        <w:tc>
          <w:tcPr>
            <w:tcW w:w="1843" w:type="dxa"/>
          </w:tcPr>
          <w:p w14:paraId="56B9B541" w14:textId="77777777" w:rsidR="00A26794" w:rsidRPr="00A33586" w:rsidRDefault="00A26794">
            <w:pPr>
              <w:tabs>
                <w:tab w:val="decimal" w:pos="1663"/>
              </w:tabs>
              <w:ind w:right="-144"/>
              <w:jc w:val="both"/>
              <w:rPr>
                <w:b/>
                <w:bCs/>
              </w:rPr>
            </w:pPr>
            <w:r>
              <w:rPr>
                <w:b/>
                <w:bCs/>
              </w:rPr>
              <w:t>Quoted prices in</w:t>
            </w:r>
          </w:p>
        </w:tc>
        <w:tc>
          <w:tcPr>
            <w:tcW w:w="1701" w:type="dxa"/>
          </w:tcPr>
          <w:p w14:paraId="2D6B6976" w14:textId="77777777" w:rsidR="00A26794" w:rsidRDefault="00A26794">
            <w:pPr>
              <w:tabs>
                <w:tab w:val="decimal" w:pos="1624"/>
              </w:tabs>
              <w:ind w:right="-144"/>
              <w:jc w:val="both"/>
              <w:rPr>
                <w:b/>
                <w:bCs/>
              </w:rPr>
            </w:pPr>
          </w:p>
        </w:tc>
        <w:tc>
          <w:tcPr>
            <w:tcW w:w="1713" w:type="dxa"/>
          </w:tcPr>
          <w:p w14:paraId="0CB9AE75" w14:textId="77777777" w:rsidR="00A26794" w:rsidRDefault="00A26794">
            <w:pPr>
              <w:tabs>
                <w:tab w:val="decimal" w:pos="1624"/>
              </w:tabs>
              <w:ind w:right="-144"/>
              <w:jc w:val="both"/>
              <w:rPr>
                <w:b/>
                <w:bCs/>
              </w:rPr>
            </w:pPr>
          </w:p>
        </w:tc>
        <w:tc>
          <w:tcPr>
            <w:tcW w:w="1701" w:type="dxa"/>
          </w:tcPr>
          <w:p w14:paraId="4A668922" w14:textId="77777777" w:rsidR="00A26794" w:rsidRPr="001B7536" w:rsidRDefault="00A26794">
            <w:pPr>
              <w:tabs>
                <w:tab w:val="decimal" w:pos="1624"/>
              </w:tabs>
              <w:ind w:right="-144"/>
              <w:jc w:val="both"/>
              <w:rPr>
                <w:b/>
                <w:bCs/>
              </w:rPr>
            </w:pPr>
          </w:p>
        </w:tc>
      </w:tr>
      <w:tr w:rsidR="00A26794" w:rsidRPr="001B7536" w14:paraId="1CA9722E" w14:textId="77777777">
        <w:trPr>
          <w:trHeight w:val="199"/>
        </w:trPr>
        <w:tc>
          <w:tcPr>
            <w:tcW w:w="455" w:type="dxa"/>
            <w:gridSpan w:val="2"/>
          </w:tcPr>
          <w:p w14:paraId="6EAD2A29" w14:textId="77777777" w:rsidR="00A26794" w:rsidRPr="00A33586" w:rsidRDefault="00A26794">
            <w:pPr>
              <w:ind w:right="-144"/>
              <w:jc w:val="both"/>
            </w:pPr>
          </w:p>
        </w:tc>
        <w:tc>
          <w:tcPr>
            <w:tcW w:w="2522" w:type="dxa"/>
          </w:tcPr>
          <w:p w14:paraId="04375C29" w14:textId="77777777" w:rsidR="00A26794" w:rsidRPr="00A33586" w:rsidRDefault="00A26794">
            <w:pPr>
              <w:ind w:right="-144"/>
              <w:jc w:val="both"/>
            </w:pPr>
          </w:p>
        </w:tc>
        <w:tc>
          <w:tcPr>
            <w:tcW w:w="1843" w:type="dxa"/>
          </w:tcPr>
          <w:p w14:paraId="5AD74EB6" w14:textId="77777777" w:rsidR="00A26794" w:rsidRPr="00A33586" w:rsidRDefault="00A26794">
            <w:pPr>
              <w:tabs>
                <w:tab w:val="decimal" w:pos="1663"/>
              </w:tabs>
              <w:ind w:right="-144"/>
              <w:jc w:val="both"/>
              <w:rPr>
                <w:b/>
                <w:bCs/>
              </w:rPr>
            </w:pPr>
            <w:r>
              <w:rPr>
                <w:b/>
                <w:bCs/>
              </w:rPr>
              <w:t>active markets for</w:t>
            </w:r>
          </w:p>
        </w:tc>
        <w:tc>
          <w:tcPr>
            <w:tcW w:w="1701" w:type="dxa"/>
          </w:tcPr>
          <w:p w14:paraId="10F37057" w14:textId="77777777" w:rsidR="00A26794" w:rsidRPr="7821F417" w:rsidRDefault="00A26794">
            <w:pPr>
              <w:tabs>
                <w:tab w:val="decimal" w:pos="1624"/>
              </w:tabs>
              <w:ind w:right="-144"/>
              <w:jc w:val="both"/>
              <w:rPr>
                <w:b/>
                <w:bCs/>
              </w:rPr>
            </w:pPr>
          </w:p>
        </w:tc>
        <w:tc>
          <w:tcPr>
            <w:tcW w:w="1713" w:type="dxa"/>
          </w:tcPr>
          <w:p w14:paraId="66297360" w14:textId="77777777" w:rsidR="00A26794" w:rsidRPr="7821F417" w:rsidRDefault="00A26794">
            <w:pPr>
              <w:tabs>
                <w:tab w:val="decimal" w:pos="1624"/>
              </w:tabs>
              <w:ind w:right="-144"/>
              <w:jc w:val="both"/>
              <w:rPr>
                <w:b/>
                <w:bCs/>
              </w:rPr>
            </w:pPr>
            <w:r>
              <w:rPr>
                <w:b/>
                <w:bCs/>
              </w:rPr>
              <w:t>Significant</w:t>
            </w:r>
          </w:p>
        </w:tc>
        <w:tc>
          <w:tcPr>
            <w:tcW w:w="1701" w:type="dxa"/>
          </w:tcPr>
          <w:p w14:paraId="5F3C0570" w14:textId="77777777" w:rsidR="00A26794" w:rsidRPr="001B7536" w:rsidRDefault="00A26794">
            <w:pPr>
              <w:tabs>
                <w:tab w:val="decimal" w:pos="1624"/>
              </w:tabs>
              <w:ind w:right="-144"/>
              <w:jc w:val="both"/>
              <w:rPr>
                <w:b/>
                <w:bCs/>
              </w:rPr>
            </w:pPr>
          </w:p>
        </w:tc>
      </w:tr>
      <w:tr w:rsidR="00A26794" w:rsidRPr="001B7536" w14:paraId="19E327DE" w14:textId="77777777">
        <w:trPr>
          <w:trHeight w:val="199"/>
        </w:trPr>
        <w:tc>
          <w:tcPr>
            <w:tcW w:w="455" w:type="dxa"/>
            <w:gridSpan w:val="2"/>
          </w:tcPr>
          <w:p w14:paraId="2B8E160B" w14:textId="77777777" w:rsidR="00A26794" w:rsidRPr="00A33586" w:rsidRDefault="00A26794">
            <w:pPr>
              <w:ind w:right="-144"/>
              <w:jc w:val="both"/>
            </w:pPr>
          </w:p>
        </w:tc>
        <w:tc>
          <w:tcPr>
            <w:tcW w:w="2522" w:type="dxa"/>
          </w:tcPr>
          <w:p w14:paraId="04F07AD8" w14:textId="77777777" w:rsidR="00A26794" w:rsidRPr="00A33586" w:rsidRDefault="00A26794">
            <w:pPr>
              <w:ind w:right="-144"/>
              <w:jc w:val="both"/>
            </w:pPr>
          </w:p>
        </w:tc>
        <w:tc>
          <w:tcPr>
            <w:tcW w:w="1843" w:type="dxa"/>
          </w:tcPr>
          <w:p w14:paraId="18A55197" w14:textId="77777777" w:rsidR="00A26794" w:rsidRDefault="00A26794">
            <w:pPr>
              <w:tabs>
                <w:tab w:val="decimal" w:pos="1663"/>
              </w:tabs>
              <w:ind w:right="-144"/>
              <w:jc w:val="both"/>
              <w:rPr>
                <w:b/>
                <w:bCs/>
              </w:rPr>
            </w:pPr>
            <w:r>
              <w:rPr>
                <w:b/>
                <w:bCs/>
              </w:rPr>
              <w:t>identical assets &amp;</w:t>
            </w:r>
          </w:p>
        </w:tc>
        <w:tc>
          <w:tcPr>
            <w:tcW w:w="1701" w:type="dxa"/>
          </w:tcPr>
          <w:p w14:paraId="1937CC46" w14:textId="77777777" w:rsidR="00A26794" w:rsidRPr="7821F417" w:rsidRDefault="00A26794">
            <w:pPr>
              <w:tabs>
                <w:tab w:val="decimal" w:pos="1624"/>
              </w:tabs>
              <w:ind w:right="-144"/>
              <w:jc w:val="both"/>
              <w:rPr>
                <w:b/>
                <w:bCs/>
              </w:rPr>
            </w:pPr>
            <w:r>
              <w:rPr>
                <w:b/>
                <w:bCs/>
              </w:rPr>
              <w:t xml:space="preserve">Significant other </w:t>
            </w:r>
          </w:p>
        </w:tc>
        <w:tc>
          <w:tcPr>
            <w:tcW w:w="1713" w:type="dxa"/>
          </w:tcPr>
          <w:p w14:paraId="0CA458AC" w14:textId="77777777" w:rsidR="00A26794" w:rsidRPr="7821F417" w:rsidRDefault="00A26794">
            <w:pPr>
              <w:tabs>
                <w:tab w:val="decimal" w:pos="1624"/>
              </w:tabs>
              <w:ind w:right="-144"/>
              <w:jc w:val="both"/>
              <w:rPr>
                <w:b/>
                <w:bCs/>
              </w:rPr>
            </w:pPr>
            <w:r>
              <w:rPr>
                <w:b/>
                <w:bCs/>
              </w:rPr>
              <w:t>unobservable</w:t>
            </w:r>
          </w:p>
        </w:tc>
        <w:tc>
          <w:tcPr>
            <w:tcW w:w="1701" w:type="dxa"/>
          </w:tcPr>
          <w:p w14:paraId="17EA7DA7" w14:textId="77777777" w:rsidR="00A26794" w:rsidRPr="7821F417" w:rsidRDefault="00A26794">
            <w:pPr>
              <w:tabs>
                <w:tab w:val="decimal" w:pos="1624"/>
              </w:tabs>
              <w:ind w:right="-144"/>
              <w:jc w:val="both"/>
              <w:rPr>
                <w:b/>
                <w:bCs/>
              </w:rPr>
            </w:pPr>
          </w:p>
        </w:tc>
      </w:tr>
      <w:tr w:rsidR="00A26794" w:rsidRPr="001B7536" w14:paraId="0D1258CD" w14:textId="77777777">
        <w:trPr>
          <w:trHeight w:val="199"/>
        </w:trPr>
        <w:tc>
          <w:tcPr>
            <w:tcW w:w="455" w:type="dxa"/>
            <w:gridSpan w:val="2"/>
          </w:tcPr>
          <w:p w14:paraId="3A7D2BF7" w14:textId="77777777" w:rsidR="00A26794" w:rsidRPr="00A33586" w:rsidRDefault="00A26794">
            <w:pPr>
              <w:ind w:right="-144"/>
              <w:jc w:val="both"/>
            </w:pPr>
          </w:p>
        </w:tc>
        <w:tc>
          <w:tcPr>
            <w:tcW w:w="2522" w:type="dxa"/>
          </w:tcPr>
          <w:p w14:paraId="6F0C8509" w14:textId="77777777" w:rsidR="00A26794" w:rsidRPr="00A33586" w:rsidRDefault="00A26794">
            <w:pPr>
              <w:ind w:right="-144"/>
              <w:jc w:val="both"/>
            </w:pPr>
          </w:p>
        </w:tc>
        <w:tc>
          <w:tcPr>
            <w:tcW w:w="1843" w:type="dxa"/>
          </w:tcPr>
          <w:p w14:paraId="4E589019" w14:textId="77777777" w:rsidR="00A26794" w:rsidRDefault="00A26794">
            <w:pPr>
              <w:tabs>
                <w:tab w:val="decimal" w:pos="1663"/>
              </w:tabs>
              <w:ind w:right="-144"/>
              <w:jc w:val="both"/>
              <w:rPr>
                <w:b/>
                <w:bCs/>
              </w:rPr>
            </w:pPr>
            <w:r>
              <w:rPr>
                <w:b/>
                <w:bCs/>
              </w:rPr>
              <w:t>liabilities</w:t>
            </w:r>
          </w:p>
        </w:tc>
        <w:tc>
          <w:tcPr>
            <w:tcW w:w="1701" w:type="dxa"/>
          </w:tcPr>
          <w:p w14:paraId="369CE33A" w14:textId="77777777" w:rsidR="00A26794" w:rsidRPr="7821F417" w:rsidRDefault="00A26794">
            <w:pPr>
              <w:tabs>
                <w:tab w:val="decimal" w:pos="1624"/>
              </w:tabs>
              <w:ind w:right="-144"/>
              <w:jc w:val="both"/>
              <w:rPr>
                <w:b/>
                <w:bCs/>
              </w:rPr>
            </w:pPr>
            <w:r>
              <w:rPr>
                <w:b/>
                <w:bCs/>
              </w:rPr>
              <w:t>observable inputs</w:t>
            </w:r>
          </w:p>
        </w:tc>
        <w:tc>
          <w:tcPr>
            <w:tcW w:w="1713" w:type="dxa"/>
          </w:tcPr>
          <w:p w14:paraId="3BC6013C" w14:textId="77777777" w:rsidR="00A26794" w:rsidRPr="7821F417" w:rsidRDefault="00A26794">
            <w:pPr>
              <w:tabs>
                <w:tab w:val="decimal" w:pos="1624"/>
              </w:tabs>
              <w:ind w:right="-144"/>
              <w:jc w:val="both"/>
              <w:rPr>
                <w:b/>
                <w:bCs/>
              </w:rPr>
            </w:pPr>
            <w:r>
              <w:rPr>
                <w:b/>
                <w:bCs/>
              </w:rPr>
              <w:t>inputs</w:t>
            </w:r>
          </w:p>
        </w:tc>
        <w:tc>
          <w:tcPr>
            <w:tcW w:w="1701" w:type="dxa"/>
          </w:tcPr>
          <w:p w14:paraId="362A3A7B" w14:textId="77777777" w:rsidR="00A26794" w:rsidRPr="7821F417" w:rsidRDefault="00A26794">
            <w:pPr>
              <w:tabs>
                <w:tab w:val="decimal" w:pos="1624"/>
              </w:tabs>
              <w:ind w:right="-144"/>
              <w:jc w:val="both"/>
              <w:rPr>
                <w:b/>
                <w:bCs/>
              </w:rPr>
            </w:pPr>
            <w:r>
              <w:rPr>
                <w:b/>
                <w:bCs/>
              </w:rPr>
              <w:t>Total</w:t>
            </w:r>
          </w:p>
        </w:tc>
      </w:tr>
      <w:tr w:rsidR="00A26794" w:rsidRPr="001B7536" w14:paraId="10F86B52" w14:textId="77777777">
        <w:trPr>
          <w:trHeight w:val="199"/>
        </w:trPr>
        <w:tc>
          <w:tcPr>
            <w:tcW w:w="455" w:type="dxa"/>
            <w:gridSpan w:val="2"/>
          </w:tcPr>
          <w:p w14:paraId="13E57B54" w14:textId="77777777" w:rsidR="00A26794" w:rsidRPr="00A33586" w:rsidRDefault="00A26794">
            <w:pPr>
              <w:ind w:right="-144"/>
              <w:jc w:val="both"/>
            </w:pPr>
          </w:p>
        </w:tc>
        <w:tc>
          <w:tcPr>
            <w:tcW w:w="2522" w:type="dxa"/>
          </w:tcPr>
          <w:p w14:paraId="65B90A99" w14:textId="77777777" w:rsidR="00A26794" w:rsidRPr="00A33586" w:rsidRDefault="00A26794">
            <w:pPr>
              <w:ind w:right="-144"/>
              <w:jc w:val="both"/>
            </w:pPr>
          </w:p>
        </w:tc>
        <w:tc>
          <w:tcPr>
            <w:tcW w:w="1843" w:type="dxa"/>
          </w:tcPr>
          <w:p w14:paraId="06D87B8F" w14:textId="77777777" w:rsidR="00A26794" w:rsidRDefault="00A26794">
            <w:pPr>
              <w:tabs>
                <w:tab w:val="decimal" w:pos="1663"/>
              </w:tabs>
              <w:ind w:right="-144"/>
              <w:jc w:val="both"/>
              <w:rPr>
                <w:b/>
                <w:bCs/>
              </w:rPr>
            </w:pPr>
            <w:r w:rsidRPr="7821F417">
              <w:rPr>
                <w:b/>
                <w:bCs/>
              </w:rPr>
              <w:t>€’000</w:t>
            </w:r>
          </w:p>
        </w:tc>
        <w:tc>
          <w:tcPr>
            <w:tcW w:w="1701" w:type="dxa"/>
          </w:tcPr>
          <w:p w14:paraId="3A08C69C" w14:textId="77777777" w:rsidR="00A26794" w:rsidRPr="7821F417" w:rsidRDefault="00A26794">
            <w:pPr>
              <w:tabs>
                <w:tab w:val="decimal" w:pos="1624"/>
              </w:tabs>
              <w:ind w:right="-144"/>
              <w:jc w:val="both"/>
              <w:rPr>
                <w:b/>
                <w:bCs/>
              </w:rPr>
            </w:pPr>
            <w:r w:rsidRPr="7821F417">
              <w:rPr>
                <w:b/>
                <w:bCs/>
              </w:rPr>
              <w:t>€’000</w:t>
            </w:r>
          </w:p>
        </w:tc>
        <w:tc>
          <w:tcPr>
            <w:tcW w:w="1713" w:type="dxa"/>
          </w:tcPr>
          <w:p w14:paraId="7DB82835" w14:textId="77777777" w:rsidR="00A26794" w:rsidRPr="7821F417" w:rsidRDefault="00A26794">
            <w:pPr>
              <w:tabs>
                <w:tab w:val="decimal" w:pos="1624"/>
              </w:tabs>
              <w:ind w:right="-144"/>
              <w:jc w:val="both"/>
              <w:rPr>
                <w:b/>
                <w:bCs/>
              </w:rPr>
            </w:pPr>
            <w:r w:rsidRPr="7821F417">
              <w:rPr>
                <w:b/>
                <w:bCs/>
              </w:rPr>
              <w:t>€’000</w:t>
            </w:r>
          </w:p>
        </w:tc>
        <w:tc>
          <w:tcPr>
            <w:tcW w:w="1701" w:type="dxa"/>
          </w:tcPr>
          <w:p w14:paraId="1CEB7BC8" w14:textId="77777777" w:rsidR="00A26794" w:rsidRPr="7821F417" w:rsidRDefault="00A26794">
            <w:pPr>
              <w:tabs>
                <w:tab w:val="decimal" w:pos="1624"/>
              </w:tabs>
              <w:ind w:right="-144"/>
              <w:jc w:val="both"/>
              <w:rPr>
                <w:b/>
                <w:bCs/>
              </w:rPr>
            </w:pPr>
            <w:r w:rsidRPr="7821F417">
              <w:rPr>
                <w:b/>
                <w:bCs/>
              </w:rPr>
              <w:t>€’000</w:t>
            </w:r>
          </w:p>
        </w:tc>
      </w:tr>
      <w:tr w:rsidR="00A26794" w14:paraId="5DBED9BC" w14:textId="77777777">
        <w:trPr>
          <w:trHeight w:val="199"/>
        </w:trPr>
        <w:tc>
          <w:tcPr>
            <w:tcW w:w="455" w:type="dxa"/>
            <w:gridSpan w:val="2"/>
          </w:tcPr>
          <w:p w14:paraId="348FEE00" w14:textId="77777777" w:rsidR="00A26794" w:rsidRPr="00A33586" w:rsidRDefault="00A26794">
            <w:pPr>
              <w:ind w:right="-144"/>
              <w:jc w:val="both"/>
            </w:pPr>
          </w:p>
        </w:tc>
        <w:tc>
          <w:tcPr>
            <w:tcW w:w="2522" w:type="dxa"/>
          </w:tcPr>
          <w:p w14:paraId="10AA4FEB" w14:textId="77777777" w:rsidR="00A26794" w:rsidRDefault="00A26794">
            <w:pPr>
              <w:ind w:right="-144"/>
              <w:jc w:val="both"/>
            </w:pPr>
            <w:r w:rsidRPr="00CC29A9">
              <w:rPr>
                <w:b/>
                <w:bCs/>
              </w:rPr>
              <w:t xml:space="preserve">Recurring Measurement </w:t>
            </w:r>
          </w:p>
        </w:tc>
        <w:tc>
          <w:tcPr>
            <w:tcW w:w="1843" w:type="dxa"/>
          </w:tcPr>
          <w:p w14:paraId="70C89CA5" w14:textId="77777777" w:rsidR="00A26794" w:rsidDel="00FC2240" w:rsidRDefault="00A26794">
            <w:pPr>
              <w:tabs>
                <w:tab w:val="decimal" w:pos="1663"/>
              </w:tabs>
              <w:ind w:right="-144"/>
              <w:jc w:val="both"/>
              <w:rPr>
                <w:b/>
                <w:bCs/>
              </w:rPr>
            </w:pPr>
          </w:p>
        </w:tc>
        <w:tc>
          <w:tcPr>
            <w:tcW w:w="1701" w:type="dxa"/>
          </w:tcPr>
          <w:p w14:paraId="5B2E6192" w14:textId="77777777" w:rsidR="00A26794" w:rsidRDefault="00A26794">
            <w:pPr>
              <w:tabs>
                <w:tab w:val="decimal" w:pos="1624"/>
              </w:tabs>
              <w:ind w:right="-144"/>
              <w:jc w:val="both"/>
            </w:pPr>
          </w:p>
        </w:tc>
        <w:tc>
          <w:tcPr>
            <w:tcW w:w="1713" w:type="dxa"/>
          </w:tcPr>
          <w:p w14:paraId="1D621328" w14:textId="77777777" w:rsidR="00A26794" w:rsidRDefault="00A26794">
            <w:pPr>
              <w:tabs>
                <w:tab w:val="decimal" w:pos="1624"/>
              </w:tabs>
              <w:ind w:right="-144"/>
              <w:jc w:val="both"/>
            </w:pPr>
          </w:p>
        </w:tc>
        <w:tc>
          <w:tcPr>
            <w:tcW w:w="1701" w:type="dxa"/>
          </w:tcPr>
          <w:p w14:paraId="56859556" w14:textId="77777777" w:rsidR="00A26794" w:rsidRDefault="00A26794">
            <w:pPr>
              <w:tabs>
                <w:tab w:val="decimal" w:pos="1624"/>
              </w:tabs>
              <w:ind w:right="-144"/>
              <w:jc w:val="both"/>
            </w:pPr>
          </w:p>
        </w:tc>
      </w:tr>
      <w:tr w:rsidR="00A26794" w14:paraId="6100DA29" w14:textId="77777777">
        <w:trPr>
          <w:trHeight w:val="199"/>
        </w:trPr>
        <w:tc>
          <w:tcPr>
            <w:tcW w:w="455" w:type="dxa"/>
            <w:gridSpan w:val="2"/>
          </w:tcPr>
          <w:p w14:paraId="7DB3E4CC" w14:textId="77777777" w:rsidR="00A26794" w:rsidRPr="00C07117" w:rsidRDefault="00A26794">
            <w:pPr>
              <w:ind w:right="-144"/>
              <w:jc w:val="both"/>
              <w:rPr>
                <w:highlight w:val="yellow"/>
              </w:rPr>
            </w:pPr>
          </w:p>
        </w:tc>
        <w:tc>
          <w:tcPr>
            <w:tcW w:w="2522" w:type="dxa"/>
          </w:tcPr>
          <w:p w14:paraId="795D6EB3" w14:textId="77777777" w:rsidR="00A26794" w:rsidRPr="00C07117" w:rsidRDefault="00A26794">
            <w:pPr>
              <w:ind w:right="-144"/>
              <w:jc w:val="both"/>
              <w:rPr>
                <w:highlight w:val="yellow"/>
              </w:rPr>
            </w:pPr>
            <w:r>
              <w:rPr>
                <w:b/>
                <w:bCs/>
              </w:rPr>
              <w:t>Liabilities</w:t>
            </w:r>
          </w:p>
        </w:tc>
        <w:tc>
          <w:tcPr>
            <w:tcW w:w="1843" w:type="dxa"/>
          </w:tcPr>
          <w:p w14:paraId="106CCE54" w14:textId="77777777" w:rsidR="00A26794" w:rsidRDefault="00A26794">
            <w:pPr>
              <w:tabs>
                <w:tab w:val="decimal" w:pos="1663"/>
              </w:tabs>
              <w:ind w:right="-144"/>
              <w:jc w:val="both"/>
              <w:rPr>
                <w:b/>
                <w:bCs/>
              </w:rPr>
            </w:pPr>
          </w:p>
        </w:tc>
        <w:tc>
          <w:tcPr>
            <w:tcW w:w="1701" w:type="dxa"/>
          </w:tcPr>
          <w:p w14:paraId="39342563" w14:textId="77777777" w:rsidR="00A26794" w:rsidRDefault="00A26794">
            <w:pPr>
              <w:tabs>
                <w:tab w:val="decimal" w:pos="1624"/>
              </w:tabs>
              <w:ind w:right="-144"/>
              <w:jc w:val="both"/>
            </w:pPr>
          </w:p>
        </w:tc>
        <w:tc>
          <w:tcPr>
            <w:tcW w:w="1713" w:type="dxa"/>
          </w:tcPr>
          <w:p w14:paraId="208B1BA3" w14:textId="77777777" w:rsidR="00A26794" w:rsidRDefault="00A26794">
            <w:pPr>
              <w:tabs>
                <w:tab w:val="decimal" w:pos="1624"/>
              </w:tabs>
              <w:ind w:right="-144"/>
              <w:jc w:val="both"/>
            </w:pPr>
          </w:p>
        </w:tc>
        <w:tc>
          <w:tcPr>
            <w:tcW w:w="1701" w:type="dxa"/>
          </w:tcPr>
          <w:p w14:paraId="13AFF96F" w14:textId="77777777" w:rsidR="00A26794" w:rsidRDefault="00A26794">
            <w:pPr>
              <w:tabs>
                <w:tab w:val="decimal" w:pos="1624"/>
              </w:tabs>
              <w:ind w:right="-144"/>
              <w:jc w:val="both"/>
            </w:pPr>
          </w:p>
        </w:tc>
      </w:tr>
      <w:tr w:rsidR="00461DC9" w14:paraId="0C4BD9DD" w14:textId="77777777">
        <w:trPr>
          <w:trHeight w:val="199"/>
        </w:trPr>
        <w:tc>
          <w:tcPr>
            <w:tcW w:w="455" w:type="dxa"/>
            <w:gridSpan w:val="2"/>
          </w:tcPr>
          <w:p w14:paraId="26FBA401" w14:textId="77777777" w:rsidR="00461DC9" w:rsidRPr="00C07117" w:rsidRDefault="00461DC9" w:rsidP="00461DC9">
            <w:pPr>
              <w:ind w:right="-144"/>
              <w:jc w:val="both"/>
              <w:rPr>
                <w:highlight w:val="yellow"/>
              </w:rPr>
            </w:pPr>
          </w:p>
        </w:tc>
        <w:tc>
          <w:tcPr>
            <w:tcW w:w="2522" w:type="dxa"/>
          </w:tcPr>
          <w:p w14:paraId="1ECF7C4D" w14:textId="771E6034" w:rsidR="00461DC9" w:rsidRDefault="00461DC9" w:rsidP="00461DC9">
            <w:pPr>
              <w:ind w:right="-144"/>
            </w:pPr>
            <w:r>
              <w:t xml:space="preserve">Derivative contracts </w:t>
            </w:r>
          </w:p>
        </w:tc>
        <w:tc>
          <w:tcPr>
            <w:tcW w:w="1843" w:type="dxa"/>
          </w:tcPr>
          <w:p w14:paraId="18E069D2" w14:textId="5726E999" w:rsidR="00461DC9" w:rsidRPr="009952C9" w:rsidRDefault="003E282B" w:rsidP="00461DC9">
            <w:pPr>
              <w:tabs>
                <w:tab w:val="decimal" w:pos="1663"/>
              </w:tabs>
              <w:ind w:right="-144"/>
              <w:jc w:val="both"/>
              <w:rPr>
                <w:b/>
                <w:bCs/>
              </w:rPr>
            </w:pPr>
            <w:r>
              <w:rPr>
                <w:b/>
                <w:bCs/>
              </w:rPr>
              <w:t>-</w:t>
            </w:r>
          </w:p>
        </w:tc>
        <w:tc>
          <w:tcPr>
            <w:tcW w:w="1701" w:type="dxa"/>
          </w:tcPr>
          <w:p w14:paraId="74485A94" w14:textId="20BBDBD7" w:rsidR="00461DC9" w:rsidRDefault="003E282B" w:rsidP="00461DC9">
            <w:pPr>
              <w:tabs>
                <w:tab w:val="decimal" w:pos="1624"/>
              </w:tabs>
              <w:ind w:right="-144"/>
              <w:jc w:val="both"/>
              <w:rPr>
                <w:b/>
                <w:bCs/>
              </w:rPr>
            </w:pPr>
            <w:r>
              <w:rPr>
                <w:b/>
                <w:bCs/>
              </w:rPr>
              <w:t>1,370</w:t>
            </w:r>
          </w:p>
        </w:tc>
        <w:tc>
          <w:tcPr>
            <w:tcW w:w="1713" w:type="dxa"/>
          </w:tcPr>
          <w:p w14:paraId="16C7CFF0" w14:textId="0ADC69A7" w:rsidR="00461DC9" w:rsidRDefault="003E282B" w:rsidP="00461DC9">
            <w:pPr>
              <w:tabs>
                <w:tab w:val="decimal" w:pos="1624"/>
              </w:tabs>
              <w:ind w:right="-144"/>
              <w:jc w:val="both"/>
              <w:rPr>
                <w:b/>
                <w:bCs/>
              </w:rPr>
            </w:pPr>
            <w:r>
              <w:rPr>
                <w:b/>
                <w:bCs/>
              </w:rPr>
              <w:t>-</w:t>
            </w:r>
          </w:p>
        </w:tc>
        <w:tc>
          <w:tcPr>
            <w:tcW w:w="1701" w:type="dxa"/>
          </w:tcPr>
          <w:p w14:paraId="0A80DA85" w14:textId="71ABF973" w:rsidR="00461DC9" w:rsidRDefault="003E282B" w:rsidP="00461DC9">
            <w:pPr>
              <w:tabs>
                <w:tab w:val="decimal" w:pos="1624"/>
              </w:tabs>
              <w:ind w:right="-144"/>
              <w:jc w:val="both"/>
              <w:rPr>
                <w:b/>
                <w:bCs/>
              </w:rPr>
            </w:pPr>
            <w:r>
              <w:rPr>
                <w:b/>
                <w:bCs/>
              </w:rPr>
              <w:t>1,370</w:t>
            </w:r>
          </w:p>
        </w:tc>
      </w:tr>
      <w:tr w:rsidR="00461DC9" w:rsidRPr="00860AEA" w14:paraId="37C0517E" w14:textId="77777777">
        <w:trPr>
          <w:trHeight w:val="106"/>
        </w:trPr>
        <w:tc>
          <w:tcPr>
            <w:tcW w:w="455" w:type="dxa"/>
            <w:gridSpan w:val="2"/>
          </w:tcPr>
          <w:p w14:paraId="021CD1B9" w14:textId="77777777" w:rsidR="00461DC9" w:rsidRPr="00A33586" w:rsidRDefault="00461DC9" w:rsidP="00461DC9">
            <w:pPr>
              <w:ind w:right="-144"/>
              <w:jc w:val="both"/>
            </w:pPr>
          </w:p>
        </w:tc>
        <w:tc>
          <w:tcPr>
            <w:tcW w:w="2522" w:type="dxa"/>
          </w:tcPr>
          <w:p w14:paraId="26A650B1" w14:textId="77777777" w:rsidR="00461DC9" w:rsidRPr="00A33586" w:rsidRDefault="00461DC9" w:rsidP="00461DC9">
            <w:pPr>
              <w:ind w:right="-144"/>
              <w:jc w:val="both"/>
            </w:pPr>
          </w:p>
        </w:tc>
        <w:tc>
          <w:tcPr>
            <w:tcW w:w="1843" w:type="dxa"/>
          </w:tcPr>
          <w:p w14:paraId="55726FC4" w14:textId="77777777" w:rsidR="00461DC9" w:rsidRPr="009952C9" w:rsidRDefault="00461DC9" w:rsidP="00461DC9">
            <w:pPr>
              <w:tabs>
                <w:tab w:val="decimal" w:pos="1663"/>
              </w:tabs>
              <w:ind w:right="-144"/>
              <w:jc w:val="both"/>
              <w:rPr>
                <w:b/>
                <w:bCs/>
                <w:u w:val="single"/>
              </w:rPr>
            </w:pPr>
            <w:r w:rsidRPr="009952C9">
              <w:rPr>
                <w:b/>
                <w:bCs/>
                <w:u w:val="single"/>
              </w:rPr>
              <w:t>                  </w:t>
            </w:r>
          </w:p>
        </w:tc>
        <w:tc>
          <w:tcPr>
            <w:tcW w:w="1701" w:type="dxa"/>
          </w:tcPr>
          <w:p w14:paraId="22369E67" w14:textId="77777777" w:rsidR="00461DC9" w:rsidRPr="009952C9" w:rsidRDefault="00461DC9" w:rsidP="00461DC9">
            <w:pPr>
              <w:tabs>
                <w:tab w:val="decimal" w:pos="1624"/>
              </w:tabs>
              <w:ind w:right="-144"/>
              <w:jc w:val="both"/>
              <w:rPr>
                <w:b/>
                <w:bCs/>
                <w:u w:val="single"/>
              </w:rPr>
            </w:pPr>
            <w:r w:rsidRPr="009952C9">
              <w:rPr>
                <w:b/>
                <w:bCs/>
                <w:u w:val="single"/>
              </w:rPr>
              <w:t>                  </w:t>
            </w:r>
          </w:p>
        </w:tc>
        <w:tc>
          <w:tcPr>
            <w:tcW w:w="1713" w:type="dxa"/>
          </w:tcPr>
          <w:p w14:paraId="246793FC" w14:textId="77777777" w:rsidR="00461DC9" w:rsidRPr="009952C9" w:rsidRDefault="00461DC9" w:rsidP="00461DC9">
            <w:pPr>
              <w:tabs>
                <w:tab w:val="decimal" w:pos="1624"/>
              </w:tabs>
              <w:ind w:right="-144"/>
              <w:jc w:val="both"/>
              <w:rPr>
                <w:b/>
                <w:bCs/>
                <w:u w:val="single"/>
              </w:rPr>
            </w:pPr>
            <w:r w:rsidRPr="009952C9">
              <w:rPr>
                <w:b/>
                <w:bCs/>
                <w:u w:val="single"/>
              </w:rPr>
              <w:t>                  </w:t>
            </w:r>
          </w:p>
        </w:tc>
        <w:tc>
          <w:tcPr>
            <w:tcW w:w="1701" w:type="dxa"/>
          </w:tcPr>
          <w:p w14:paraId="34A4F7B9" w14:textId="77777777" w:rsidR="00461DC9" w:rsidRPr="009952C9" w:rsidRDefault="00461DC9" w:rsidP="00461DC9">
            <w:pPr>
              <w:tabs>
                <w:tab w:val="decimal" w:pos="1624"/>
              </w:tabs>
              <w:ind w:right="-144"/>
              <w:jc w:val="both"/>
              <w:rPr>
                <w:b/>
                <w:bCs/>
                <w:u w:val="single"/>
              </w:rPr>
            </w:pPr>
            <w:r w:rsidRPr="009952C9">
              <w:rPr>
                <w:b/>
                <w:bCs/>
                <w:u w:val="single"/>
              </w:rPr>
              <w:t>                  </w:t>
            </w:r>
          </w:p>
        </w:tc>
      </w:tr>
      <w:tr w:rsidR="00461DC9" w:rsidRPr="00860AEA" w14:paraId="339D5ADB" w14:textId="77777777">
        <w:trPr>
          <w:trHeight w:val="199"/>
        </w:trPr>
        <w:tc>
          <w:tcPr>
            <w:tcW w:w="455" w:type="dxa"/>
            <w:gridSpan w:val="2"/>
          </w:tcPr>
          <w:p w14:paraId="68032E15" w14:textId="77777777" w:rsidR="00461DC9" w:rsidRPr="00A33586" w:rsidRDefault="00461DC9" w:rsidP="00461DC9">
            <w:pPr>
              <w:ind w:right="-144"/>
              <w:jc w:val="both"/>
            </w:pPr>
          </w:p>
        </w:tc>
        <w:tc>
          <w:tcPr>
            <w:tcW w:w="2522" w:type="dxa"/>
          </w:tcPr>
          <w:p w14:paraId="5D0BB744" w14:textId="77777777" w:rsidR="00461DC9" w:rsidRPr="00A33586" w:rsidRDefault="00461DC9" w:rsidP="00461DC9">
            <w:pPr>
              <w:ind w:right="-144"/>
              <w:jc w:val="both"/>
            </w:pPr>
          </w:p>
        </w:tc>
        <w:tc>
          <w:tcPr>
            <w:tcW w:w="1843" w:type="dxa"/>
          </w:tcPr>
          <w:p w14:paraId="25828B2A" w14:textId="77777777" w:rsidR="00461DC9" w:rsidRPr="009952C9" w:rsidRDefault="00461DC9" w:rsidP="00461DC9">
            <w:pPr>
              <w:tabs>
                <w:tab w:val="decimal" w:pos="1663"/>
              </w:tabs>
              <w:ind w:right="-144"/>
              <w:jc w:val="both"/>
              <w:rPr>
                <w:b/>
                <w:bCs/>
              </w:rPr>
            </w:pPr>
          </w:p>
        </w:tc>
        <w:tc>
          <w:tcPr>
            <w:tcW w:w="1701" w:type="dxa"/>
          </w:tcPr>
          <w:p w14:paraId="1C218D79" w14:textId="77777777" w:rsidR="00461DC9" w:rsidRPr="009952C9" w:rsidRDefault="00461DC9" w:rsidP="00461DC9">
            <w:pPr>
              <w:tabs>
                <w:tab w:val="decimal" w:pos="1624"/>
              </w:tabs>
              <w:ind w:right="-144"/>
              <w:jc w:val="both"/>
              <w:rPr>
                <w:b/>
                <w:bCs/>
              </w:rPr>
            </w:pPr>
          </w:p>
        </w:tc>
        <w:tc>
          <w:tcPr>
            <w:tcW w:w="1713" w:type="dxa"/>
          </w:tcPr>
          <w:p w14:paraId="4E3D0BCF" w14:textId="77777777" w:rsidR="00461DC9" w:rsidRPr="009952C9" w:rsidRDefault="00461DC9" w:rsidP="00461DC9">
            <w:pPr>
              <w:tabs>
                <w:tab w:val="decimal" w:pos="1624"/>
              </w:tabs>
              <w:ind w:right="-144"/>
              <w:jc w:val="both"/>
              <w:rPr>
                <w:b/>
                <w:bCs/>
              </w:rPr>
            </w:pPr>
          </w:p>
        </w:tc>
        <w:tc>
          <w:tcPr>
            <w:tcW w:w="1701" w:type="dxa"/>
          </w:tcPr>
          <w:p w14:paraId="16FAEE86" w14:textId="77777777" w:rsidR="00461DC9" w:rsidRPr="009952C9" w:rsidRDefault="00461DC9" w:rsidP="00461DC9">
            <w:pPr>
              <w:tabs>
                <w:tab w:val="decimal" w:pos="1624"/>
              </w:tabs>
              <w:ind w:right="-144"/>
              <w:jc w:val="both"/>
              <w:rPr>
                <w:b/>
                <w:bCs/>
              </w:rPr>
            </w:pPr>
          </w:p>
        </w:tc>
      </w:tr>
      <w:tr w:rsidR="00461DC9" w:rsidRPr="00860AEA" w14:paraId="6478543C" w14:textId="77777777">
        <w:trPr>
          <w:trHeight w:val="212"/>
        </w:trPr>
        <w:tc>
          <w:tcPr>
            <w:tcW w:w="455" w:type="dxa"/>
            <w:gridSpan w:val="2"/>
          </w:tcPr>
          <w:p w14:paraId="36B344AC" w14:textId="77777777" w:rsidR="00461DC9" w:rsidRPr="00A33586" w:rsidRDefault="00461DC9" w:rsidP="00461DC9">
            <w:pPr>
              <w:ind w:right="-144"/>
              <w:jc w:val="both"/>
            </w:pPr>
          </w:p>
        </w:tc>
        <w:tc>
          <w:tcPr>
            <w:tcW w:w="2522" w:type="dxa"/>
          </w:tcPr>
          <w:p w14:paraId="165E4E68" w14:textId="77777777" w:rsidR="00461DC9" w:rsidRPr="00BC106B" w:rsidRDefault="00461DC9" w:rsidP="00461DC9">
            <w:pPr>
              <w:ind w:right="-144"/>
              <w:jc w:val="both"/>
              <w:rPr>
                <w:b/>
                <w:bCs/>
              </w:rPr>
            </w:pPr>
            <w:r w:rsidRPr="7821F417">
              <w:rPr>
                <w:b/>
                <w:bCs/>
              </w:rPr>
              <w:t xml:space="preserve">Total </w:t>
            </w:r>
          </w:p>
        </w:tc>
        <w:tc>
          <w:tcPr>
            <w:tcW w:w="1843" w:type="dxa"/>
          </w:tcPr>
          <w:p w14:paraId="3AF2B00B" w14:textId="0E3460F4" w:rsidR="00461DC9" w:rsidRPr="009952C9" w:rsidRDefault="003E282B" w:rsidP="00461DC9">
            <w:pPr>
              <w:tabs>
                <w:tab w:val="decimal" w:pos="1663"/>
              </w:tabs>
              <w:ind w:right="-144"/>
              <w:jc w:val="both"/>
              <w:rPr>
                <w:rFonts w:eastAsia="Calibri" w:cs="Arial"/>
                <w:b/>
                <w:bCs/>
                <w:szCs w:val="20"/>
              </w:rPr>
            </w:pPr>
            <w:r>
              <w:rPr>
                <w:rFonts w:eastAsia="Calibri" w:cs="Arial"/>
                <w:b/>
                <w:bCs/>
                <w:szCs w:val="20"/>
              </w:rPr>
              <w:t>-</w:t>
            </w:r>
          </w:p>
        </w:tc>
        <w:tc>
          <w:tcPr>
            <w:tcW w:w="1701" w:type="dxa"/>
          </w:tcPr>
          <w:p w14:paraId="0B585BAF" w14:textId="27D951E1" w:rsidR="00461DC9" w:rsidRPr="009952C9" w:rsidRDefault="003E282B" w:rsidP="00461DC9">
            <w:pPr>
              <w:tabs>
                <w:tab w:val="decimal" w:pos="1624"/>
              </w:tabs>
              <w:ind w:right="-144"/>
              <w:jc w:val="both"/>
              <w:rPr>
                <w:b/>
                <w:bCs/>
              </w:rPr>
            </w:pPr>
            <w:r>
              <w:rPr>
                <w:b/>
                <w:bCs/>
              </w:rPr>
              <w:t>1,370</w:t>
            </w:r>
          </w:p>
        </w:tc>
        <w:tc>
          <w:tcPr>
            <w:tcW w:w="1713" w:type="dxa"/>
          </w:tcPr>
          <w:p w14:paraId="57C1F934" w14:textId="17435C30" w:rsidR="00461DC9" w:rsidRPr="009952C9" w:rsidRDefault="003E282B" w:rsidP="00461DC9">
            <w:pPr>
              <w:tabs>
                <w:tab w:val="decimal" w:pos="1624"/>
              </w:tabs>
              <w:ind w:right="-144"/>
              <w:jc w:val="both"/>
              <w:rPr>
                <w:b/>
                <w:bCs/>
              </w:rPr>
            </w:pPr>
            <w:r>
              <w:rPr>
                <w:b/>
                <w:bCs/>
              </w:rPr>
              <w:t>-</w:t>
            </w:r>
          </w:p>
        </w:tc>
        <w:tc>
          <w:tcPr>
            <w:tcW w:w="1701" w:type="dxa"/>
          </w:tcPr>
          <w:p w14:paraId="4782154F" w14:textId="63F3B3BE" w:rsidR="00461DC9" w:rsidRPr="009952C9" w:rsidRDefault="003E282B" w:rsidP="00461DC9">
            <w:pPr>
              <w:tabs>
                <w:tab w:val="decimal" w:pos="1624"/>
              </w:tabs>
              <w:ind w:right="-144"/>
              <w:jc w:val="both"/>
              <w:rPr>
                <w:rFonts w:eastAsia="Calibri" w:cs="Arial"/>
                <w:b/>
                <w:bCs/>
                <w:szCs w:val="20"/>
              </w:rPr>
            </w:pPr>
            <w:r>
              <w:rPr>
                <w:rFonts w:eastAsia="Calibri" w:cs="Arial"/>
                <w:b/>
                <w:bCs/>
                <w:szCs w:val="20"/>
              </w:rPr>
              <w:t>1,370</w:t>
            </w:r>
          </w:p>
        </w:tc>
      </w:tr>
      <w:tr w:rsidR="00461DC9" w:rsidRPr="00860AEA" w14:paraId="2CCD9C54" w14:textId="77777777">
        <w:trPr>
          <w:trHeight w:val="357"/>
        </w:trPr>
        <w:tc>
          <w:tcPr>
            <w:tcW w:w="446" w:type="dxa"/>
          </w:tcPr>
          <w:p w14:paraId="77446825" w14:textId="77777777" w:rsidR="00461DC9" w:rsidRPr="005B4003" w:rsidRDefault="00461DC9" w:rsidP="00461DC9">
            <w:pPr>
              <w:ind w:right="-144"/>
              <w:jc w:val="both"/>
            </w:pPr>
          </w:p>
        </w:tc>
        <w:tc>
          <w:tcPr>
            <w:tcW w:w="2531" w:type="dxa"/>
            <w:gridSpan w:val="2"/>
          </w:tcPr>
          <w:p w14:paraId="165C584B" w14:textId="77777777" w:rsidR="00461DC9" w:rsidRPr="00670755" w:rsidRDefault="00461DC9" w:rsidP="00461DC9">
            <w:pPr>
              <w:ind w:right="-144"/>
              <w:jc w:val="both"/>
              <w:rPr>
                <w:rFonts w:cs="Arial"/>
              </w:rPr>
            </w:pPr>
          </w:p>
        </w:tc>
        <w:tc>
          <w:tcPr>
            <w:tcW w:w="1843" w:type="dxa"/>
          </w:tcPr>
          <w:p w14:paraId="6FB3EAAB" w14:textId="77777777" w:rsidR="00461DC9" w:rsidRPr="009F5006" w:rsidRDefault="00461DC9" w:rsidP="00461DC9">
            <w:pPr>
              <w:tabs>
                <w:tab w:val="decimal" w:pos="1805"/>
              </w:tabs>
              <w:ind w:right="-144"/>
              <w:jc w:val="both"/>
              <w:rPr>
                <w:rFonts w:cs="Arial"/>
                <w:b/>
                <w:bCs/>
                <w:u w:val="thick"/>
              </w:rPr>
            </w:pPr>
            <w:r w:rsidRPr="7821F417">
              <w:rPr>
                <w:rFonts w:cs="Arial"/>
                <w:u w:val="double"/>
              </w:rPr>
              <w:t>                  </w:t>
            </w:r>
            <w:r>
              <w:rPr>
                <w:rFonts w:cs="Arial"/>
                <w:u w:val="double"/>
              </w:rPr>
              <w:t xml:space="preserve">  </w:t>
            </w:r>
          </w:p>
        </w:tc>
        <w:tc>
          <w:tcPr>
            <w:tcW w:w="1701" w:type="dxa"/>
          </w:tcPr>
          <w:p w14:paraId="643E8F84" w14:textId="77777777" w:rsidR="00461DC9" w:rsidRPr="7821F417" w:rsidRDefault="00461DC9" w:rsidP="00461DC9">
            <w:pPr>
              <w:tabs>
                <w:tab w:val="decimal" w:pos="1699"/>
              </w:tabs>
              <w:ind w:right="-144"/>
              <w:jc w:val="both"/>
              <w:rPr>
                <w:rFonts w:cs="Arial"/>
                <w:u w:val="double"/>
              </w:rPr>
            </w:pPr>
            <w:r w:rsidRPr="7821F417">
              <w:rPr>
                <w:rFonts w:cs="Arial"/>
                <w:u w:val="double"/>
              </w:rPr>
              <w:t>                  </w:t>
            </w:r>
            <w:r>
              <w:rPr>
                <w:rFonts w:cs="Arial"/>
                <w:u w:val="double"/>
              </w:rPr>
              <w:t xml:space="preserve">  </w:t>
            </w:r>
          </w:p>
        </w:tc>
        <w:tc>
          <w:tcPr>
            <w:tcW w:w="1713" w:type="dxa"/>
          </w:tcPr>
          <w:p w14:paraId="4F149C49" w14:textId="77777777" w:rsidR="00461DC9" w:rsidRPr="7821F417" w:rsidRDefault="00461DC9" w:rsidP="00461DC9">
            <w:pPr>
              <w:tabs>
                <w:tab w:val="decimal" w:pos="1699"/>
              </w:tabs>
              <w:ind w:right="-144"/>
              <w:jc w:val="both"/>
              <w:rPr>
                <w:rFonts w:cs="Arial"/>
                <w:u w:val="double"/>
              </w:rPr>
            </w:pPr>
            <w:r w:rsidRPr="7821F417">
              <w:rPr>
                <w:rFonts w:cs="Arial"/>
                <w:u w:val="double"/>
              </w:rPr>
              <w:t>                  </w:t>
            </w:r>
            <w:r>
              <w:rPr>
                <w:rFonts w:cs="Arial"/>
                <w:u w:val="double"/>
              </w:rPr>
              <w:t xml:space="preserve">  </w:t>
            </w:r>
          </w:p>
        </w:tc>
        <w:tc>
          <w:tcPr>
            <w:tcW w:w="1701" w:type="dxa"/>
          </w:tcPr>
          <w:p w14:paraId="64BC747C" w14:textId="77777777" w:rsidR="00461DC9" w:rsidRPr="00860AEA" w:rsidRDefault="00461DC9" w:rsidP="00461DC9">
            <w:pPr>
              <w:tabs>
                <w:tab w:val="decimal" w:pos="1699"/>
              </w:tabs>
              <w:ind w:right="-144"/>
              <w:jc w:val="both"/>
              <w:rPr>
                <w:rFonts w:cs="Arial"/>
                <w:u w:val="double"/>
              </w:rPr>
            </w:pPr>
            <w:r w:rsidRPr="7821F417">
              <w:rPr>
                <w:rFonts w:cs="Arial"/>
                <w:u w:val="double"/>
              </w:rPr>
              <w:t xml:space="preserve">                   </w:t>
            </w:r>
          </w:p>
        </w:tc>
      </w:tr>
    </w:tbl>
    <w:p w14:paraId="4CCD31CE" w14:textId="77777777" w:rsidR="00A26794" w:rsidRDefault="00A26794" w:rsidP="00C1524B">
      <w:pPr>
        <w:pStyle w:val="NotesBody"/>
        <w:ind w:left="0"/>
      </w:pPr>
    </w:p>
    <w:p w14:paraId="23945E24" w14:textId="77777777" w:rsidR="00C501F0" w:rsidRDefault="00C501F0" w:rsidP="00C1524B">
      <w:pPr>
        <w:pStyle w:val="NotesBody"/>
        <w:ind w:left="0"/>
      </w:pPr>
    </w:p>
    <w:tbl>
      <w:tblPr>
        <w:tblW w:w="9935" w:type="dxa"/>
        <w:tblLayout w:type="fixed"/>
        <w:tblCellMar>
          <w:left w:w="0" w:type="dxa"/>
          <w:right w:w="115" w:type="dxa"/>
        </w:tblCellMar>
        <w:tblLook w:val="04A0" w:firstRow="1" w:lastRow="0" w:firstColumn="1" w:lastColumn="0" w:noHBand="0" w:noVBand="1"/>
      </w:tblPr>
      <w:tblGrid>
        <w:gridCol w:w="446"/>
        <w:gridCol w:w="9"/>
        <w:gridCol w:w="2522"/>
        <w:gridCol w:w="1843"/>
        <w:gridCol w:w="1701"/>
        <w:gridCol w:w="1713"/>
        <w:gridCol w:w="1701"/>
      </w:tblGrid>
      <w:tr w:rsidR="006462F1" w:rsidRPr="001B7536" w14:paraId="132941D5" w14:textId="77777777" w:rsidTr="005E7D8E">
        <w:trPr>
          <w:trHeight w:val="199"/>
        </w:trPr>
        <w:tc>
          <w:tcPr>
            <w:tcW w:w="455" w:type="dxa"/>
            <w:gridSpan w:val="2"/>
          </w:tcPr>
          <w:p w14:paraId="6F54D1EE" w14:textId="77777777" w:rsidR="006462F1" w:rsidRPr="00A33586" w:rsidRDefault="006462F1" w:rsidP="008A08F9">
            <w:pPr>
              <w:jc w:val="both"/>
            </w:pPr>
          </w:p>
        </w:tc>
        <w:tc>
          <w:tcPr>
            <w:tcW w:w="2522" w:type="dxa"/>
          </w:tcPr>
          <w:p w14:paraId="24067A12" w14:textId="19EF0572" w:rsidR="006462F1" w:rsidRPr="000575B2" w:rsidRDefault="003B7EAD" w:rsidP="008A08F9">
            <w:pPr>
              <w:jc w:val="both"/>
              <w:rPr>
                <w:b/>
                <w:bCs/>
              </w:rPr>
            </w:pPr>
            <w:r>
              <w:rPr>
                <w:b/>
                <w:bCs/>
              </w:rPr>
              <w:t>3</w:t>
            </w:r>
            <w:r w:rsidR="000D0089">
              <w:rPr>
                <w:b/>
                <w:bCs/>
              </w:rPr>
              <w:t>1 December</w:t>
            </w:r>
            <w:r>
              <w:rPr>
                <w:b/>
                <w:bCs/>
              </w:rPr>
              <w:t xml:space="preserve"> 202</w:t>
            </w:r>
            <w:r w:rsidR="00B9429B">
              <w:rPr>
                <w:b/>
                <w:bCs/>
              </w:rPr>
              <w:t>4</w:t>
            </w:r>
          </w:p>
        </w:tc>
        <w:tc>
          <w:tcPr>
            <w:tcW w:w="1843" w:type="dxa"/>
          </w:tcPr>
          <w:p w14:paraId="2785B984" w14:textId="574C7798" w:rsidR="006462F1" w:rsidRDefault="003B7EAD" w:rsidP="00A26889">
            <w:pPr>
              <w:tabs>
                <w:tab w:val="decimal" w:pos="1424"/>
              </w:tabs>
              <w:ind w:right="43"/>
              <w:jc w:val="right"/>
              <w:rPr>
                <w:b/>
                <w:bCs/>
              </w:rPr>
            </w:pPr>
            <w:r>
              <w:rPr>
                <w:b/>
                <w:bCs/>
              </w:rPr>
              <w:t>Level 1</w:t>
            </w:r>
          </w:p>
        </w:tc>
        <w:tc>
          <w:tcPr>
            <w:tcW w:w="1701" w:type="dxa"/>
          </w:tcPr>
          <w:p w14:paraId="63D4FD8B" w14:textId="0917D8EA" w:rsidR="006462F1" w:rsidRPr="7821F417" w:rsidRDefault="007C0E04" w:rsidP="00A26889">
            <w:pPr>
              <w:tabs>
                <w:tab w:val="decimal" w:pos="1424"/>
              </w:tabs>
              <w:ind w:right="43"/>
              <w:jc w:val="right"/>
              <w:rPr>
                <w:b/>
                <w:bCs/>
              </w:rPr>
            </w:pPr>
            <w:r>
              <w:rPr>
                <w:b/>
                <w:bCs/>
              </w:rPr>
              <w:t>Level 2</w:t>
            </w:r>
          </w:p>
        </w:tc>
        <w:tc>
          <w:tcPr>
            <w:tcW w:w="1713" w:type="dxa"/>
          </w:tcPr>
          <w:p w14:paraId="44AF89D4" w14:textId="24213A5A" w:rsidR="006462F1" w:rsidRPr="7821F417" w:rsidRDefault="008E48A0" w:rsidP="00A26889">
            <w:pPr>
              <w:tabs>
                <w:tab w:val="decimal" w:pos="1424"/>
              </w:tabs>
              <w:ind w:right="43"/>
              <w:jc w:val="right"/>
              <w:rPr>
                <w:b/>
                <w:bCs/>
              </w:rPr>
            </w:pPr>
            <w:r>
              <w:rPr>
                <w:b/>
                <w:bCs/>
              </w:rPr>
              <w:t>Level 3</w:t>
            </w:r>
          </w:p>
        </w:tc>
        <w:tc>
          <w:tcPr>
            <w:tcW w:w="1701" w:type="dxa"/>
          </w:tcPr>
          <w:p w14:paraId="502AC08A" w14:textId="2F524952" w:rsidR="006462F1" w:rsidRPr="001B7536" w:rsidRDefault="006462F1" w:rsidP="008A08F9">
            <w:pPr>
              <w:tabs>
                <w:tab w:val="decimal" w:pos="1424"/>
              </w:tabs>
              <w:ind w:right="43"/>
              <w:jc w:val="both"/>
              <w:rPr>
                <w:b/>
                <w:bCs/>
              </w:rPr>
            </w:pPr>
          </w:p>
        </w:tc>
      </w:tr>
      <w:tr w:rsidR="006462F1" w:rsidRPr="001B7536" w14:paraId="5EEB0432" w14:textId="77777777" w:rsidTr="005E7D8E">
        <w:trPr>
          <w:trHeight w:val="212"/>
        </w:trPr>
        <w:tc>
          <w:tcPr>
            <w:tcW w:w="455" w:type="dxa"/>
            <w:gridSpan w:val="2"/>
          </w:tcPr>
          <w:p w14:paraId="30CF37BC" w14:textId="77777777" w:rsidR="006462F1" w:rsidRPr="00A33586" w:rsidRDefault="006462F1" w:rsidP="008A08F9">
            <w:pPr>
              <w:ind w:right="-144"/>
              <w:jc w:val="both"/>
            </w:pPr>
          </w:p>
        </w:tc>
        <w:tc>
          <w:tcPr>
            <w:tcW w:w="2522" w:type="dxa"/>
          </w:tcPr>
          <w:p w14:paraId="1899F959" w14:textId="77777777" w:rsidR="006462F1" w:rsidRPr="00A33586" w:rsidRDefault="006462F1" w:rsidP="008A08F9">
            <w:pPr>
              <w:ind w:right="-144"/>
              <w:jc w:val="both"/>
            </w:pPr>
          </w:p>
        </w:tc>
        <w:tc>
          <w:tcPr>
            <w:tcW w:w="1843" w:type="dxa"/>
          </w:tcPr>
          <w:p w14:paraId="65FF7AD6" w14:textId="71521ED5" w:rsidR="006462F1" w:rsidRPr="00A33586" w:rsidRDefault="00B5376D" w:rsidP="008A08F9">
            <w:pPr>
              <w:tabs>
                <w:tab w:val="decimal" w:pos="1663"/>
              </w:tabs>
              <w:ind w:right="-144"/>
              <w:jc w:val="both"/>
              <w:rPr>
                <w:b/>
                <w:bCs/>
              </w:rPr>
            </w:pPr>
            <w:r>
              <w:rPr>
                <w:b/>
                <w:bCs/>
              </w:rPr>
              <w:t>Quoted prices in</w:t>
            </w:r>
          </w:p>
        </w:tc>
        <w:tc>
          <w:tcPr>
            <w:tcW w:w="1701" w:type="dxa"/>
          </w:tcPr>
          <w:p w14:paraId="1E671918" w14:textId="77777777" w:rsidR="006462F1" w:rsidRDefault="006462F1" w:rsidP="008A08F9">
            <w:pPr>
              <w:tabs>
                <w:tab w:val="decimal" w:pos="1624"/>
              </w:tabs>
              <w:ind w:right="-144"/>
              <w:jc w:val="both"/>
              <w:rPr>
                <w:b/>
                <w:bCs/>
              </w:rPr>
            </w:pPr>
          </w:p>
        </w:tc>
        <w:tc>
          <w:tcPr>
            <w:tcW w:w="1713" w:type="dxa"/>
          </w:tcPr>
          <w:p w14:paraId="18ADBD1C" w14:textId="5639D17D" w:rsidR="006462F1" w:rsidRDefault="006462F1" w:rsidP="008A08F9">
            <w:pPr>
              <w:tabs>
                <w:tab w:val="decimal" w:pos="1624"/>
              </w:tabs>
              <w:ind w:right="-144"/>
              <w:jc w:val="both"/>
              <w:rPr>
                <w:b/>
                <w:bCs/>
              </w:rPr>
            </w:pPr>
          </w:p>
        </w:tc>
        <w:tc>
          <w:tcPr>
            <w:tcW w:w="1701" w:type="dxa"/>
          </w:tcPr>
          <w:p w14:paraId="151843BA" w14:textId="67066412" w:rsidR="006462F1" w:rsidRPr="001B7536" w:rsidRDefault="006462F1" w:rsidP="008A08F9">
            <w:pPr>
              <w:tabs>
                <w:tab w:val="decimal" w:pos="1624"/>
              </w:tabs>
              <w:ind w:right="-144"/>
              <w:jc w:val="both"/>
              <w:rPr>
                <w:b/>
                <w:bCs/>
              </w:rPr>
            </w:pPr>
          </w:p>
        </w:tc>
      </w:tr>
      <w:tr w:rsidR="00B64C71" w:rsidRPr="001B7536" w14:paraId="70D85C1C" w14:textId="77777777" w:rsidTr="005E7D8E">
        <w:trPr>
          <w:trHeight w:val="199"/>
        </w:trPr>
        <w:tc>
          <w:tcPr>
            <w:tcW w:w="455" w:type="dxa"/>
            <w:gridSpan w:val="2"/>
          </w:tcPr>
          <w:p w14:paraId="790CD2E5" w14:textId="77777777" w:rsidR="00B64C71" w:rsidRPr="00A33586" w:rsidRDefault="00B64C71" w:rsidP="00B64C71">
            <w:pPr>
              <w:ind w:right="-144"/>
              <w:jc w:val="both"/>
            </w:pPr>
          </w:p>
        </w:tc>
        <w:tc>
          <w:tcPr>
            <w:tcW w:w="2522" w:type="dxa"/>
          </w:tcPr>
          <w:p w14:paraId="7C038822" w14:textId="77777777" w:rsidR="00B64C71" w:rsidRPr="00A33586" w:rsidRDefault="00B64C71" w:rsidP="00B64C71">
            <w:pPr>
              <w:ind w:right="-144"/>
              <w:jc w:val="both"/>
            </w:pPr>
          </w:p>
        </w:tc>
        <w:tc>
          <w:tcPr>
            <w:tcW w:w="1843" w:type="dxa"/>
          </w:tcPr>
          <w:p w14:paraId="2E8A84C0" w14:textId="13DC9D0C" w:rsidR="00B64C71" w:rsidRPr="00A33586" w:rsidRDefault="00B64C71" w:rsidP="00B64C71">
            <w:pPr>
              <w:tabs>
                <w:tab w:val="decimal" w:pos="1663"/>
              </w:tabs>
              <w:ind w:right="-144"/>
              <w:jc w:val="both"/>
              <w:rPr>
                <w:b/>
                <w:bCs/>
              </w:rPr>
            </w:pPr>
            <w:r>
              <w:rPr>
                <w:b/>
                <w:bCs/>
              </w:rPr>
              <w:t>active markets for</w:t>
            </w:r>
          </w:p>
        </w:tc>
        <w:tc>
          <w:tcPr>
            <w:tcW w:w="1701" w:type="dxa"/>
          </w:tcPr>
          <w:p w14:paraId="320ED20F" w14:textId="73E1E53A" w:rsidR="00B64C71" w:rsidRPr="7821F417" w:rsidRDefault="00B64C71" w:rsidP="00B64C71">
            <w:pPr>
              <w:tabs>
                <w:tab w:val="decimal" w:pos="1624"/>
              </w:tabs>
              <w:ind w:right="-144"/>
              <w:jc w:val="both"/>
              <w:rPr>
                <w:b/>
                <w:bCs/>
              </w:rPr>
            </w:pPr>
          </w:p>
        </w:tc>
        <w:tc>
          <w:tcPr>
            <w:tcW w:w="1713" w:type="dxa"/>
          </w:tcPr>
          <w:p w14:paraId="627ECD36" w14:textId="1C1B1500" w:rsidR="00B64C71" w:rsidRPr="7821F417" w:rsidRDefault="00B64C71" w:rsidP="00B64C71">
            <w:pPr>
              <w:tabs>
                <w:tab w:val="decimal" w:pos="1624"/>
              </w:tabs>
              <w:ind w:right="-144"/>
              <w:jc w:val="both"/>
              <w:rPr>
                <w:b/>
                <w:bCs/>
              </w:rPr>
            </w:pPr>
            <w:r>
              <w:rPr>
                <w:b/>
                <w:bCs/>
              </w:rPr>
              <w:t>Significant</w:t>
            </w:r>
          </w:p>
        </w:tc>
        <w:tc>
          <w:tcPr>
            <w:tcW w:w="1701" w:type="dxa"/>
          </w:tcPr>
          <w:p w14:paraId="13139218" w14:textId="160210B3" w:rsidR="00B64C71" w:rsidRPr="001B7536" w:rsidRDefault="00B64C71" w:rsidP="00B64C71">
            <w:pPr>
              <w:tabs>
                <w:tab w:val="decimal" w:pos="1624"/>
              </w:tabs>
              <w:ind w:right="-144"/>
              <w:jc w:val="both"/>
              <w:rPr>
                <w:b/>
                <w:bCs/>
              </w:rPr>
            </w:pPr>
          </w:p>
        </w:tc>
      </w:tr>
      <w:tr w:rsidR="00B64C71" w:rsidRPr="001B7536" w14:paraId="5DBCF347" w14:textId="77777777" w:rsidTr="005E7D8E">
        <w:trPr>
          <w:trHeight w:val="199"/>
        </w:trPr>
        <w:tc>
          <w:tcPr>
            <w:tcW w:w="455" w:type="dxa"/>
            <w:gridSpan w:val="2"/>
          </w:tcPr>
          <w:p w14:paraId="2D3B6E12" w14:textId="77777777" w:rsidR="00B64C71" w:rsidRPr="00A33586" w:rsidRDefault="00B64C71" w:rsidP="00B64C71">
            <w:pPr>
              <w:ind w:right="-144"/>
              <w:jc w:val="both"/>
            </w:pPr>
          </w:p>
        </w:tc>
        <w:tc>
          <w:tcPr>
            <w:tcW w:w="2522" w:type="dxa"/>
          </w:tcPr>
          <w:p w14:paraId="5BFA8466" w14:textId="77777777" w:rsidR="00B64C71" w:rsidRPr="00A33586" w:rsidRDefault="00B64C71" w:rsidP="00B64C71">
            <w:pPr>
              <w:ind w:right="-144"/>
              <w:jc w:val="both"/>
            </w:pPr>
          </w:p>
        </w:tc>
        <w:tc>
          <w:tcPr>
            <w:tcW w:w="1843" w:type="dxa"/>
          </w:tcPr>
          <w:p w14:paraId="34B6316B" w14:textId="33A9A22B" w:rsidR="00B64C71" w:rsidRDefault="00B64C71" w:rsidP="00B64C71">
            <w:pPr>
              <w:tabs>
                <w:tab w:val="decimal" w:pos="1663"/>
              </w:tabs>
              <w:ind w:right="-144"/>
              <w:jc w:val="both"/>
              <w:rPr>
                <w:b/>
                <w:bCs/>
              </w:rPr>
            </w:pPr>
            <w:r>
              <w:rPr>
                <w:b/>
                <w:bCs/>
              </w:rPr>
              <w:t>identical assets &amp;</w:t>
            </w:r>
          </w:p>
        </w:tc>
        <w:tc>
          <w:tcPr>
            <w:tcW w:w="1701" w:type="dxa"/>
          </w:tcPr>
          <w:p w14:paraId="4C92B315" w14:textId="3DBF3F4D" w:rsidR="00B64C71" w:rsidRPr="7821F417" w:rsidRDefault="00B64C71" w:rsidP="00B64C71">
            <w:pPr>
              <w:tabs>
                <w:tab w:val="decimal" w:pos="1624"/>
              </w:tabs>
              <w:ind w:right="-144"/>
              <w:jc w:val="both"/>
              <w:rPr>
                <w:b/>
                <w:bCs/>
              </w:rPr>
            </w:pPr>
            <w:r>
              <w:rPr>
                <w:b/>
                <w:bCs/>
              </w:rPr>
              <w:t xml:space="preserve">Significant other </w:t>
            </w:r>
          </w:p>
        </w:tc>
        <w:tc>
          <w:tcPr>
            <w:tcW w:w="1713" w:type="dxa"/>
          </w:tcPr>
          <w:p w14:paraId="32ED04F8" w14:textId="0DD5E9B1" w:rsidR="00B64C71" w:rsidRPr="7821F417" w:rsidRDefault="00B64C71" w:rsidP="00B64C71">
            <w:pPr>
              <w:tabs>
                <w:tab w:val="decimal" w:pos="1624"/>
              </w:tabs>
              <w:ind w:right="-144"/>
              <w:jc w:val="both"/>
              <w:rPr>
                <w:b/>
                <w:bCs/>
              </w:rPr>
            </w:pPr>
            <w:r>
              <w:rPr>
                <w:b/>
                <w:bCs/>
              </w:rPr>
              <w:t>unobservable</w:t>
            </w:r>
          </w:p>
        </w:tc>
        <w:tc>
          <w:tcPr>
            <w:tcW w:w="1701" w:type="dxa"/>
          </w:tcPr>
          <w:p w14:paraId="49E47DDA" w14:textId="77777777" w:rsidR="00B64C71" w:rsidRPr="7821F417" w:rsidRDefault="00B64C71" w:rsidP="00B64C71">
            <w:pPr>
              <w:tabs>
                <w:tab w:val="decimal" w:pos="1624"/>
              </w:tabs>
              <w:ind w:right="-144"/>
              <w:jc w:val="both"/>
              <w:rPr>
                <w:b/>
                <w:bCs/>
              </w:rPr>
            </w:pPr>
          </w:p>
        </w:tc>
      </w:tr>
      <w:tr w:rsidR="00B64C71" w:rsidRPr="001B7536" w14:paraId="65163BAA" w14:textId="77777777" w:rsidTr="005E7D8E">
        <w:trPr>
          <w:trHeight w:val="199"/>
        </w:trPr>
        <w:tc>
          <w:tcPr>
            <w:tcW w:w="455" w:type="dxa"/>
            <w:gridSpan w:val="2"/>
          </w:tcPr>
          <w:p w14:paraId="3ED5F103" w14:textId="77777777" w:rsidR="00B64C71" w:rsidRPr="00A33586" w:rsidRDefault="00B64C71" w:rsidP="00B64C71">
            <w:pPr>
              <w:ind w:right="-144"/>
              <w:jc w:val="both"/>
            </w:pPr>
          </w:p>
        </w:tc>
        <w:tc>
          <w:tcPr>
            <w:tcW w:w="2522" w:type="dxa"/>
          </w:tcPr>
          <w:p w14:paraId="308BD343" w14:textId="77777777" w:rsidR="00B64C71" w:rsidRPr="00A33586" w:rsidRDefault="00B64C71" w:rsidP="00B64C71">
            <w:pPr>
              <w:ind w:right="-144"/>
              <w:jc w:val="both"/>
            </w:pPr>
          </w:p>
        </w:tc>
        <w:tc>
          <w:tcPr>
            <w:tcW w:w="1843" w:type="dxa"/>
          </w:tcPr>
          <w:p w14:paraId="7F347CA4" w14:textId="1541AF71" w:rsidR="00B64C71" w:rsidRDefault="00B64C71" w:rsidP="00B64C71">
            <w:pPr>
              <w:tabs>
                <w:tab w:val="decimal" w:pos="1663"/>
              </w:tabs>
              <w:ind w:right="-144"/>
              <w:jc w:val="both"/>
              <w:rPr>
                <w:b/>
                <w:bCs/>
              </w:rPr>
            </w:pPr>
            <w:r>
              <w:rPr>
                <w:b/>
                <w:bCs/>
              </w:rPr>
              <w:t>liabilities</w:t>
            </w:r>
          </w:p>
        </w:tc>
        <w:tc>
          <w:tcPr>
            <w:tcW w:w="1701" w:type="dxa"/>
          </w:tcPr>
          <w:p w14:paraId="1B9E8E79" w14:textId="6CEC48D5" w:rsidR="00B64C71" w:rsidRPr="7821F417" w:rsidRDefault="00B64C71" w:rsidP="00B64C71">
            <w:pPr>
              <w:tabs>
                <w:tab w:val="decimal" w:pos="1624"/>
              </w:tabs>
              <w:ind w:right="-144"/>
              <w:jc w:val="both"/>
              <w:rPr>
                <w:b/>
                <w:bCs/>
              </w:rPr>
            </w:pPr>
            <w:r>
              <w:rPr>
                <w:b/>
                <w:bCs/>
              </w:rPr>
              <w:t>observable inputs</w:t>
            </w:r>
          </w:p>
        </w:tc>
        <w:tc>
          <w:tcPr>
            <w:tcW w:w="1713" w:type="dxa"/>
          </w:tcPr>
          <w:p w14:paraId="2CCC8B34" w14:textId="6272E37F" w:rsidR="00B64C71" w:rsidRPr="7821F417" w:rsidRDefault="00B64C71" w:rsidP="00B64C71">
            <w:pPr>
              <w:tabs>
                <w:tab w:val="decimal" w:pos="1624"/>
              </w:tabs>
              <w:ind w:right="-144"/>
              <w:jc w:val="both"/>
              <w:rPr>
                <w:b/>
                <w:bCs/>
              </w:rPr>
            </w:pPr>
            <w:r>
              <w:rPr>
                <w:b/>
                <w:bCs/>
              </w:rPr>
              <w:t>inputs</w:t>
            </w:r>
          </w:p>
        </w:tc>
        <w:tc>
          <w:tcPr>
            <w:tcW w:w="1701" w:type="dxa"/>
          </w:tcPr>
          <w:p w14:paraId="3E051C2A" w14:textId="5978FA26" w:rsidR="00B64C71" w:rsidRPr="7821F417" w:rsidRDefault="005E7D8E" w:rsidP="00B64C71">
            <w:pPr>
              <w:tabs>
                <w:tab w:val="decimal" w:pos="1624"/>
              </w:tabs>
              <w:ind w:right="-144"/>
              <w:jc w:val="both"/>
              <w:rPr>
                <w:b/>
                <w:bCs/>
              </w:rPr>
            </w:pPr>
            <w:r>
              <w:rPr>
                <w:b/>
                <w:bCs/>
              </w:rPr>
              <w:t>Total</w:t>
            </w:r>
          </w:p>
        </w:tc>
      </w:tr>
      <w:tr w:rsidR="00B64C71" w:rsidRPr="001B7536" w14:paraId="51A5DA26" w14:textId="77777777" w:rsidTr="005E7D8E">
        <w:trPr>
          <w:trHeight w:val="199"/>
        </w:trPr>
        <w:tc>
          <w:tcPr>
            <w:tcW w:w="455" w:type="dxa"/>
            <w:gridSpan w:val="2"/>
          </w:tcPr>
          <w:p w14:paraId="1961B4A8" w14:textId="77777777" w:rsidR="00B64C71" w:rsidRPr="00A33586" w:rsidRDefault="00B64C71" w:rsidP="00B64C71">
            <w:pPr>
              <w:ind w:right="-144"/>
              <w:jc w:val="both"/>
            </w:pPr>
          </w:p>
        </w:tc>
        <w:tc>
          <w:tcPr>
            <w:tcW w:w="2522" w:type="dxa"/>
          </w:tcPr>
          <w:p w14:paraId="545C4EFF" w14:textId="77777777" w:rsidR="00B64C71" w:rsidRPr="00A33586" w:rsidRDefault="00B64C71" w:rsidP="00B64C71">
            <w:pPr>
              <w:ind w:right="-144"/>
              <w:jc w:val="both"/>
            </w:pPr>
          </w:p>
        </w:tc>
        <w:tc>
          <w:tcPr>
            <w:tcW w:w="1843" w:type="dxa"/>
          </w:tcPr>
          <w:p w14:paraId="744F6ECA" w14:textId="62EAEC57" w:rsidR="00B64C71" w:rsidRDefault="005E7D8E" w:rsidP="00B64C71">
            <w:pPr>
              <w:tabs>
                <w:tab w:val="decimal" w:pos="1663"/>
              </w:tabs>
              <w:ind w:right="-144"/>
              <w:jc w:val="both"/>
              <w:rPr>
                <w:b/>
                <w:bCs/>
              </w:rPr>
            </w:pPr>
            <w:r w:rsidRPr="7821F417">
              <w:rPr>
                <w:b/>
                <w:bCs/>
              </w:rPr>
              <w:t>€’000</w:t>
            </w:r>
          </w:p>
        </w:tc>
        <w:tc>
          <w:tcPr>
            <w:tcW w:w="1701" w:type="dxa"/>
          </w:tcPr>
          <w:p w14:paraId="265A39A4" w14:textId="20CFE758" w:rsidR="00B64C71" w:rsidRPr="7821F417" w:rsidRDefault="005E7D8E" w:rsidP="00B64C71">
            <w:pPr>
              <w:tabs>
                <w:tab w:val="decimal" w:pos="1624"/>
              </w:tabs>
              <w:ind w:right="-144"/>
              <w:jc w:val="both"/>
              <w:rPr>
                <w:b/>
                <w:bCs/>
              </w:rPr>
            </w:pPr>
            <w:r w:rsidRPr="7821F417">
              <w:rPr>
                <w:b/>
                <w:bCs/>
              </w:rPr>
              <w:t>€’000</w:t>
            </w:r>
          </w:p>
        </w:tc>
        <w:tc>
          <w:tcPr>
            <w:tcW w:w="1713" w:type="dxa"/>
          </w:tcPr>
          <w:p w14:paraId="6E61FE99" w14:textId="0B0D85BA" w:rsidR="00B64C71" w:rsidRPr="7821F417" w:rsidRDefault="005E7D8E" w:rsidP="00B64C71">
            <w:pPr>
              <w:tabs>
                <w:tab w:val="decimal" w:pos="1624"/>
              </w:tabs>
              <w:ind w:right="-144"/>
              <w:jc w:val="both"/>
              <w:rPr>
                <w:b/>
                <w:bCs/>
              </w:rPr>
            </w:pPr>
            <w:r w:rsidRPr="7821F417">
              <w:rPr>
                <w:b/>
                <w:bCs/>
              </w:rPr>
              <w:t>€’000</w:t>
            </w:r>
          </w:p>
        </w:tc>
        <w:tc>
          <w:tcPr>
            <w:tcW w:w="1701" w:type="dxa"/>
          </w:tcPr>
          <w:p w14:paraId="4071325C" w14:textId="760C722E" w:rsidR="00B64C71" w:rsidRPr="7821F417" w:rsidRDefault="00B64C71" w:rsidP="00B64C71">
            <w:pPr>
              <w:tabs>
                <w:tab w:val="decimal" w:pos="1624"/>
              </w:tabs>
              <w:ind w:right="-144"/>
              <w:jc w:val="both"/>
              <w:rPr>
                <w:b/>
                <w:bCs/>
              </w:rPr>
            </w:pPr>
            <w:r w:rsidRPr="7821F417">
              <w:rPr>
                <w:b/>
                <w:bCs/>
              </w:rPr>
              <w:t>€’000</w:t>
            </w:r>
          </w:p>
        </w:tc>
      </w:tr>
      <w:tr w:rsidR="00013340" w14:paraId="1D5BCAA3" w14:textId="77777777" w:rsidTr="005E7D8E">
        <w:trPr>
          <w:trHeight w:val="199"/>
        </w:trPr>
        <w:tc>
          <w:tcPr>
            <w:tcW w:w="455" w:type="dxa"/>
            <w:gridSpan w:val="2"/>
          </w:tcPr>
          <w:p w14:paraId="1945B071" w14:textId="77777777" w:rsidR="00013340" w:rsidRPr="00A33586" w:rsidRDefault="00013340" w:rsidP="00013340">
            <w:pPr>
              <w:ind w:right="-144"/>
              <w:jc w:val="both"/>
            </w:pPr>
          </w:p>
        </w:tc>
        <w:tc>
          <w:tcPr>
            <w:tcW w:w="2522" w:type="dxa"/>
          </w:tcPr>
          <w:p w14:paraId="218E906E" w14:textId="04B3A6C8" w:rsidR="00013340" w:rsidRDefault="00013340" w:rsidP="00013340">
            <w:pPr>
              <w:ind w:right="-144"/>
              <w:jc w:val="both"/>
            </w:pPr>
            <w:r w:rsidRPr="00CC29A9">
              <w:rPr>
                <w:b/>
                <w:bCs/>
              </w:rPr>
              <w:t xml:space="preserve">Recurring Measurement </w:t>
            </w:r>
          </w:p>
        </w:tc>
        <w:tc>
          <w:tcPr>
            <w:tcW w:w="1843" w:type="dxa"/>
          </w:tcPr>
          <w:p w14:paraId="75479A55" w14:textId="5A176399" w:rsidR="00013340" w:rsidDel="00FC2240" w:rsidRDefault="00013340" w:rsidP="00013340">
            <w:pPr>
              <w:tabs>
                <w:tab w:val="decimal" w:pos="1663"/>
              </w:tabs>
              <w:ind w:right="-144"/>
              <w:jc w:val="both"/>
              <w:rPr>
                <w:b/>
                <w:bCs/>
              </w:rPr>
            </w:pPr>
          </w:p>
        </w:tc>
        <w:tc>
          <w:tcPr>
            <w:tcW w:w="1701" w:type="dxa"/>
          </w:tcPr>
          <w:p w14:paraId="392C9FBC" w14:textId="77777777" w:rsidR="00013340" w:rsidRDefault="00013340" w:rsidP="00013340">
            <w:pPr>
              <w:tabs>
                <w:tab w:val="decimal" w:pos="1624"/>
              </w:tabs>
              <w:ind w:right="-144"/>
              <w:jc w:val="both"/>
            </w:pPr>
          </w:p>
        </w:tc>
        <w:tc>
          <w:tcPr>
            <w:tcW w:w="1713" w:type="dxa"/>
          </w:tcPr>
          <w:p w14:paraId="79201AE0" w14:textId="754D7FCC" w:rsidR="00013340" w:rsidRDefault="00013340" w:rsidP="00013340">
            <w:pPr>
              <w:tabs>
                <w:tab w:val="decimal" w:pos="1624"/>
              </w:tabs>
              <w:ind w:right="-144"/>
              <w:jc w:val="both"/>
            </w:pPr>
          </w:p>
        </w:tc>
        <w:tc>
          <w:tcPr>
            <w:tcW w:w="1701" w:type="dxa"/>
          </w:tcPr>
          <w:p w14:paraId="56F8AEEE" w14:textId="59AD25C0" w:rsidR="00013340" w:rsidRDefault="00013340" w:rsidP="00013340">
            <w:pPr>
              <w:tabs>
                <w:tab w:val="decimal" w:pos="1624"/>
              </w:tabs>
              <w:ind w:right="-144"/>
              <w:jc w:val="both"/>
            </w:pPr>
          </w:p>
        </w:tc>
      </w:tr>
      <w:tr w:rsidR="00013340" w14:paraId="3C82F3E5" w14:textId="77777777" w:rsidTr="005E7D8E">
        <w:trPr>
          <w:trHeight w:val="199"/>
        </w:trPr>
        <w:tc>
          <w:tcPr>
            <w:tcW w:w="455" w:type="dxa"/>
            <w:gridSpan w:val="2"/>
          </w:tcPr>
          <w:p w14:paraId="65799173" w14:textId="77777777" w:rsidR="00013340" w:rsidRPr="00C07117" w:rsidRDefault="00013340" w:rsidP="00013340">
            <w:pPr>
              <w:ind w:right="-144"/>
              <w:jc w:val="both"/>
              <w:rPr>
                <w:highlight w:val="yellow"/>
              </w:rPr>
            </w:pPr>
          </w:p>
        </w:tc>
        <w:tc>
          <w:tcPr>
            <w:tcW w:w="2522" w:type="dxa"/>
          </w:tcPr>
          <w:p w14:paraId="03CDD880" w14:textId="735070C8" w:rsidR="00013340" w:rsidRPr="00C07117" w:rsidRDefault="00013340" w:rsidP="00013340">
            <w:pPr>
              <w:ind w:right="-144"/>
              <w:jc w:val="both"/>
              <w:rPr>
                <w:highlight w:val="yellow"/>
              </w:rPr>
            </w:pPr>
            <w:r>
              <w:rPr>
                <w:b/>
                <w:bCs/>
              </w:rPr>
              <w:t>Liabilities</w:t>
            </w:r>
          </w:p>
        </w:tc>
        <w:tc>
          <w:tcPr>
            <w:tcW w:w="1843" w:type="dxa"/>
          </w:tcPr>
          <w:p w14:paraId="0AF75350" w14:textId="4101FE15" w:rsidR="00013340" w:rsidRDefault="00013340" w:rsidP="00013340">
            <w:pPr>
              <w:tabs>
                <w:tab w:val="decimal" w:pos="1663"/>
              </w:tabs>
              <w:ind w:right="-144"/>
              <w:jc w:val="both"/>
              <w:rPr>
                <w:b/>
                <w:bCs/>
              </w:rPr>
            </w:pPr>
          </w:p>
        </w:tc>
        <w:tc>
          <w:tcPr>
            <w:tcW w:w="1701" w:type="dxa"/>
          </w:tcPr>
          <w:p w14:paraId="2B274AB0" w14:textId="77777777" w:rsidR="00013340" w:rsidRDefault="00013340" w:rsidP="00013340">
            <w:pPr>
              <w:tabs>
                <w:tab w:val="decimal" w:pos="1624"/>
              </w:tabs>
              <w:ind w:right="-144"/>
              <w:jc w:val="both"/>
            </w:pPr>
          </w:p>
        </w:tc>
        <w:tc>
          <w:tcPr>
            <w:tcW w:w="1713" w:type="dxa"/>
          </w:tcPr>
          <w:p w14:paraId="47693D29" w14:textId="4B0F75CE" w:rsidR="00013340" w:rsidRDefault="00013340" w:rsidP="00013340">
            <w:pPr>
              <w:tabs>
                <w:tab w:val="decimal" w:pos="1624"/>
              </w:tabs>
              <w:ind w:right="-144"/>
              <w:jc w:val="both"/>
            </w:pPr>
          </w:p>
        </w:tc>
        <w:tc>
          <w:tcPr>
            <w:tcW w:w="1701" w:type="dxa"/>
          </w:tcPr>
          <w:p w14:paraId="4D43C900" w14:textId="237B03D6" w:rsidR="00013340" w:rsidRDefault="00013340" w:rsidP="00013340">
            <w:pPr>
              <w:tabs>
                <w:tab w:val="decimal" w:pos="1624"/>
              </w:tabs>
              <w:ind w:right="-144"/>
              <w:jc w:val="both"/>
            </w:pPr>
          </w:p>
        </w:tc>
      </w:tr>
      <w:tr w:rsidR="004545A3" w14:paraId="625E728A" w14:textId="77777777" w:rsidTr="005E7D8E">
        <w:trPr>
          <w:trHeight w:val="199"/>
        </w:trPr>
        <w:tc>
          <w:tcPr>
            <w:tcW w:w="455" w:type="dxa"/>
            <w:gridSpan w:val="2"/>
          </w:tcPr>
          <w:p w14:paraId="7885BA70" w14:textId="77777777" w:rsidR="004545A3" w:rsidRPr="00C07117" w:rsidRDefault="004545A3" w:rsidP="00013340">
            <w:pPr>
              <w:ind w:right="-144"/>
              <w:jc w:val="both"/>
              <w:rPr>
                <w:highlight w:val="yellow"/>
              </w:rPr>
            </w:pPr>
          </w:p>
        </w:tc>
        <w:tc>
          <w:tcPr>
            <w:tcW w:w="2522" w:type="dxa"/>
          </w:tcPr>
          <w:p w14:paraId="3D4E653B" w14:textId="76F4D585" w:rsidR="004545A3" w:rsidRDefault="004545A3" w:rsidP="00013340">
            <w:pPr>
              <w:ind w:right="-144"/>
            </w:pPr>
            <w:r>
              <w:t>Derivative contracts</w:t>
            </w:r>
          </w:p>
        </w:tc>
        <w:tc>
          <w:tcPr>
            <w:tcW w:w="1843" w:type="dxa"/>
          </w:tcPr>
          <w:p w14:paraId="038E5CBB" w14:textId="6EFEDD63" w:rsidR="004545A3" w:rsidRPr="009952C9" w:rsidRDefault="00210B98" w:rsidP="00013340">
            <w:pPr>
              <w:tabs>
                <w:tab w:val="decimal" w:pos="1663"/>
              </w:tabs>
              <w:ind w:right="-144"/>
              <w:jc w:val="both"/>
              <w:rPr>
                <w:b/>
                <w:bCs/>
              </w:rPr>
            </w:pPr>
            <w:r>
              <w:rPr>
                <w:b/>
                <w:bCs/>
              </w:rPr>
              <w:t>-</w:t>
            </w:r>
          </w:p>
        </w:tc>
        <w:tc>
          <w:tcPr>
            <w:tcW w:w="1701" w:type="dxa"/>
          </w:tcPr>
          <w:p w14:paraId="078832AD" w14:textId="134C9CE0" w:rsidR="004545A3" w:rsidRDefault="00210B98" w:rsidP="00013340">
            <w:pPr>
              <w:tabs>
                <w:tab w:val="decimal" w:pos="1624"/>
              </w:tabs>
              <w:ind w:right="-144"/>
              <w:jc w:val="both"/>
              <w:rPr>
                <w:b/>
                <w:bCs/>
              </w:rPr>
            </w:pPr>
            <w:r>
              <w:rPr>
                <w:b/>
                <w:bCs/>
              </w:rPr>
              <w:t>1,</w:t>
            </w:r>
            <w:r w:rsidR="003460E1">
              <w:rPr>
                <w:b/>
                <w:bCs/>
              </w:rPr>
              <w:t>576</w:t>
            </w:r>
          </w:p>
        </w:tc>
        <w:tc>
          <w:tcPr>
            <w:tcW w:w="1713" w:type="dxa"/>
          </w:tcPr>
          <w:p w14:paraId="0F0CC7EE" w14:textId="44345E87" w:rsidR="004545A3" w:rsidRDefault="00210B98" w:rsidP="00013340">
            <w:pPr>
              <w:tabs>
                <w:tab w:val="decimal" w:pos="1624"/>
              </w:tabs>
              <w:ind w:right="-144"/>
              <w:jc w:val="both"/>
              <w:rPr>
                <w:b/>
                <w:bCs/>
              </w:rPr>
            </w:pPr>
            <w:r>
              <w:rPr>
                <w:b/>
                <w:bCs/>
              </w:rPr>
              <w:t>-</w:t>
            </w:r>
          </w:p>
        </w:tc>
        <w:tc>
          <w:tcPr>
            <w:tcW w:w="1701" w:type="dxa"/>
          </w:tcPr>
          <w:p w14:paraId="785EA7F6" w14:textId="1F25182B" w:rsidR="004545A3" w:rsidRDefault="00210B98" w:rsidP="00013340">
            <w:pPr>
              <w:tabs>
                <w:tab w:val="decimal" w:pos="1624"/>
              </w:tabs>
              <w:ind w:right="-144"/>
              <w:jc w:val="both"/>
              <w:rPr>
                <w:b/>
                <w:bCs/>
              </w:rPr>
            </w:pPr>
            <w:r>
              <w:rPr>
                <w:b/>
                <w:bCs/>
              </w:rPr>
              <w:t>1,</w:t>
            </w:r>
            <w:r w:rsidR="003460E1">
              <w:rPr>
                <w:b/>
                <w:bCs/>
              </w:rPr>
              <w:t>576</w:t>
            </w:r>
          </w:p>
        </w:tc>
      </w:tr>
      <w:tr w:rsidR="00013340" w:rsidRPr="00860AEA" w14:paraId="038E76A2" w14:textId="77777777" w:rsidTr="005E7D8E">
        <w:trPr>
          <w:trHeight w:val="106"/>
        </w:trPr>
        <w:tc>
          <w:tcPr>
            <w:tcW w:w="455" w:type="dxa"/>
            <w:gridSpan w:val="2"/>
          </w:tcPr>
          <w:p w14:paraId="06D36B71" w14:textId="77777777" w:rsidR="00013340" w:rsidRPr="00A33586" w:rsidRDefault="00013340" w:rsidP="00013340">
            <w:pPr>
              <w:ind w:right="-144"/>
              <w:jc w:val="both"/>
            </w:pPr>
          </w:p>
        </w:tc>
        <w:tc>
          <w:tcPr>
            <w:tcW w:w="2522" w:type="dxa"/>
          </w:tcPr>
          <w:p w14:paraId="77CD79F5" w14:textId="77777777" w:rsidR="00013340" w:rsidRPr="00A33586" w:rsidRDefault="00013340" w:rsidP="00013340">
            <w:pPr>
              <w:ind w:right="-144"/>
              <w:jc w:val="both"/>
            </w:pPr>
          </w:p>
        </w:tc>
        <w:tc>
          <w:tcPr>
            <w:tcW w:w="1843" w:type="dxa"/>
          </w:tcPr>
          <w:p w14:paraId="20CC96C7" w14:textId="77777777" w:rsidR="00013340" w:rsidRPr="009952C9" w:rsidRDefault="00013340" w:rsidP="00013340">
            <w:pPr>
              <w:tabs>
                <w:tab w:val="decimal" w:pos="1663"/>
              </w:tabs>
              <w:ind w:right="-144"/>
              <w:jc w:val="both"/>
              <w:rPr>
                <w:b/>
                <w:bCs/>
                <w:u w:val="single"/>
              </w:rPr>
            </w:pPr>
            <w:r w:rsidRPr="009952C9">
              <w:rPr>
                <w:b/>
                <w:bCs/>
                <w:u w:val="single"/>
              </w:rPr>
              <w:t>                  </w:t>
            </w:r>
          </w:p>
        </w:tc>
        <w:tc>
          <w:tcPr>
            <w:tcW w:w="1701" w:type="dxa"/>
          </w:tcPr>
          <w:p w14:paraId="3CD226F3" w14:textId="27B30296" w:rsidR="00013340" w:rsidRPr="009952C9" w:rsidRDefault="00013340" w:rsidP="00013340">
            <w:pPr>
              <w:tabs>
                <w:tab w:val="decimal" w:pos="1624"/>
              </w:tabs>
              <w:ind w:right="-144"/>
              <w:jc w:val="both"/>
              <w:rPr>
                <w:b/>
                <w:bCs/>
                <w:u w:val="single"/>
              </w:rPr>
            </w:pPr>
            <w:r w:rsidRPr="009952C9">
              <w:rPr>
                <w:b/>
                <w:bCs/>
                <w:u w:val="single"/>
              </w:rPr>
              <w:t>                  </w:t>
            </w:r>
          </w:p>
        </w:tc>
        <w:tc>
          <w:tcPr>
            <w:tcW w:w="1713" w:type="dxa"/>
          </w:tcPr>
          <w:p w14:paraId="5A3C0B9E" w14:textId="6F54F5C7" w:rsidR="00013340" w:rsidRPr="009952C9" w:rsidRDefault="00013340" w:rsidP="00013340">
            <w:pPr>
              <w:tabs>
                <w:tab w:val="decimal" w:pos="1624"/>
              </w:tabs>
              <w:ind w:right="-144"/>
              <w:jc w:val="both"/>
              <w:rPr>
                <w:b/>
                <w:bCs/>
                <w:u w:val="single"/>
              </w:rPr>
            </w:pPr>
            <w:r w:rsidRPr="009952C9">
              <w:rPr>
                <w:b/>
                <w:bCs/>
                <w:u w:val="single"/>
              </w:rPr>
              <w:t>                  </w:t>
            </w:r>
          </w:p>
        </w:tc>
        <w:tc>
          <w:tcPr>
            <w:tcW w:w="1701" w:type="dxa"/>
          </w:tcPr>
          <w:p w14:paraId="63C123FC" w14:textId="142B3FD2" w:rsidR="00013340" w:rsidRPr="009952C9" w:rsidRDefault="00013340" w:rsidP="00013340">
            <w:pPr>
              <w:tabs>
                <w:tab w:val="decimal" w:pos="1624"/>
              </w:tabs>
              <w:ind w:right="-144"/>
              <w:jc w:val="both"/>
              <w:rPr>
                <w:b/>
                <w:bCs/>
                <w:u w:val="single"/>
              </w:rPr>
            </w:pPr>
            <w:r w:rsidRPr="009952C9">
              <w:rPr>
                <w:b/>
                <w:bCs/>
                <w:u w:val="single"/>
              </w:rPr>
              <w:t>                  </w:t>
            </w:r>
          </w:p>
        </w:tc>
      </w:tr>
      <w:tr w:rsidR="00013340" w:rsidRPr="00860AEA" w14:paraId="6AF318C5" w14:textId="77777777" w:rsidTr="005E7D8E">
        <w:trPr>
          <w:trHeight w:val="199"/>
        </w:trPr>
        <w:tc>
          <w:tcPr>
            <w:tcW w:w="455" w:type="dxa"/>
            <w:gridSpan w:val="2"/>
          </w:tcPr>
          <w:p w14:paraId="0B69D08A" w14:textId="77777777" w:rsidR="00013340" w:rsidRPr="00A33586" w:rsidRDefault="00013340" w:rsidP="00013340">
            <w:pPr>
              <w:ind w:right="-144"/>
              <w:jc w:val="both"/>
            </w:pPr>
          </w:p>
        </w:tc>
        <w:tc>
          <w:tcPr>
            <w:tcW w:w="2522" w:type="dxa"/>
          </w:tcPr>
          <w:p w14:paraId="7571EDA2" w14:textId="77777777" w:rsidR="00013340" w:rsidRPr="00A33586" w:rsidRDefault="00013340" w:rsidP="00013340">
            <w:pPr>
              <w:ind w:right="-144"/>
              <w:jc w:val="both"/>
            </w:pPr>
          </w:p>
        </w:tc>
        <w:tc>
          <w:tcPr>
            <w:tcW w:w="1843" w:type="dxa"/>
          </w:tcPr>
          <w:p w14:paraId="2EB66633" w14:textId="77777777" w:rsidR="00013340" w:rsidRPr="009952C9" w:rsidRDefault="00013340" w:rsidP="00013340">
            <w:pPr>
              <w:tabs>
                <w:tab w:val="decimal" w:pos="1663"/>
              </w:tabs>
              <w:ind w:right="-144"/>
              <w:jc w:val="both"/>
              <w:rPr>
                <w:b/>
                <w:bCs/>
              </w:rPr>
            </w:pPr>
          </w:p>
        </w:tc>
        <w:tc>
          <w:tcPr>
            <w:tcW w:w="1701" w:type="dxa"/>
          </w:tcPr>
          <w:p w14:paraId="48B125BA" w14:textId="77777777" w:rsidR="00013340" w:rsidRPr="009952C9" w:rsidRDefault="00013340" w:rsidP="00013340">
            <w:pPr>
              <w:tabs>
                <w:tab w:val="decimal" w:pos="1624"/>
              </w:tabs>
              <w:ind w:right="-144"/>
              <w:jc w:val="both"/>
              <w:rPr>
                <w:b/>
                <w:bCs/>
              </w:rPr>
            </w:pPr>
          </w:p>
        </w:tc>
        <w:tc>
          <w:tcPr>
            <w:tcW w:w="1713" w:type="dxa"/>
          </w:tcPr>
          <w:p w14:paraId="7969E336" w14:textId="333D1090" w:rsidR="00013340" w:rsidRPr="009952C9" w:rsidRDefault="00013340" w:rsidP="00013340">
            <w:pPr>
              <w:tabs>
                <w:tab w:val="decimal" w:pos="1624"/>
              </w:tabs>
              <w:ind w:right="-144"/>
              <w:jc w:val="both"/>
              <w:rPr>
                <w:b/>
                <w:bCs/>
              </w:rPr>
            </w:pPr>
          </w:p>
        </w:tc>
        <w:tc>
          <w:tcPr>
            <w:tcW w:w="1701" w:type="dxa"/>
          </w:tcPr>
          <w:p w14:paraId="267B803B" w14:textId="55E97CE9" w:rsidR="00013340" w:rsidRPr="009952C9" w:rsidRDefault="00013340" w:rsidP="00013340">
            <w:pPr>
              <w:tabs>
                <w:tab w:val="decimal" w:pos="1624"/>
              </w:tabs>
              <w:ind w:right="-144"/>
              <w:jc w:val="both"/>
              <w:rPr>
                <w:b/>
                <w:bCs/>
              </w:rPr>
            </w:pPr>
          </w:p>
        </w:tc>
      </w:tr>
      <w:tr w:rsidR="00013340" w:rsidRPr="00860AEA" w14:paraId="44F0D49B" w14:textId="77777777" w:rsidTr="005E7D8E">
        <w:trPr>
          <w:trHeight w:val="212"/>
        </w:trPr>
        <w:tc>
          <w:tcPr>
            <w:tcW w:w="455" w:type="dxa"/>
            <w:gridSpan w:val="2"/>
          </w:tcPr>
          <w:p w14:paraId="0B0A2665" w14:textId="77777777" w:rsidR="00013340" w:rsidRPr="00A33586" w:rsidRDefault="00013340" w:rsidP="00013340">
            <w:pPr>
              <w:ind w:right="-144"/>
              <w:jc w:val="both"/>
            </w:pPr>
          </w:p>
        </w:tc>
        <w:tc>
          <w:tcPr>
            <w:tcW w:w="2522" w:type="dxa"/>
          </w:tcPr>
          <w:p w14:paraId="1F6FA8AA" w14:textId="1ED107EE" w:rsidR="00013340" w:rsidRPr="00BC106B" w:rsidRDefault="00013340" w:rsidP="00013340">
            <w:pPr>
              <w:ind w:right="-144"/>
              <w:jc w:val="both"/>
              <w:rPr>
                <w:b/>
                <w:bCs/>
              </w:rPr>
            </w:pPr>
            <w:r w:rsidRPr="7821F417">
              <w:rPr>
                <w:b/>
                <w:bCs/>
              </w:rPr>
              <w:t xml:space="preserve">Total </w:t>
            </w:r>
          </w:p>
        </w:tc>
        <w:tc>
          <w:tcPr>
            <w:tcW w:w="1843" w:type="dxa"/>
          </w:tcPr>
          <w:p w14:paraId="19A64F89" w14:textId="59DFB7BB" w:rsidR="00013340" w:rsidRPr="009952C9" w:rsidRDefault="00013340" w:rsidP="00013340">
            <w:pPr>
              <w:tabs>
                <w:tab w:val="decimal" w:pos="1663"/>
              </w:tabs>
              <w:ind w:right="-144"/>
              <w:jc w:val="both"/>
              <w:rPr>
                <w:rFonts w:eastAsia="Calibri" w:cs="Arial"/>
                <w:b/>
                <w:bCs/>
                <w:szCs w:val="20"/>
              </w:rPr>
            </w:pPr>
            <w:r w:rsidRPr="009952C9">
              <w:rPr>
                <w:b/>
                <w:bCs/>
              </w:rPr>
              <w:t>-</w:t>
            </w:r>
          </w:p>
        </w:tc>
        <w:tc>
          <w:tcPr>
            <w:tcW w:w="1701" w:type="dxa"/>
          </w:tcPr>
          <w:p w14:paraId="58977B65" w14:textId="3A5319A3" w:rsidR="00013340" w:rsidRPr="009952C9" w:rsidRDefault="00210B98" w:rsidP="00013340">
            <w:pPr>
              <w:tabs>
                <w:tab w:val="decimal" w:pos="1624"/>
              </w:tabs>
              <w:ind w:right="-144"/>
              <w:jc w:val="both"/>
              <w:rPr>
                <w:b/>
                <w:bCs/>
              </w:rPr>
            </w:pPr>
            <w:r>
              <w:rPr>
                <w:b/>
                <w:bCs/>
              </w:rPr>
              <w:t>1,</w:t>
            </w:r>
            <w:r w:rsidR="003460E1">
              <w:rPr>
                <w:b/>
                <w:bCs/>
              </w:rPr>
              <w:t>576</w:t>
            </w:r>
          </w:p>
        </w:tc>
        <w:tc>
          <w:tcPr>
            <w:tcW w:w="1713" w:type="dxa"/>
          </w:tcPr>
          <w:p w14:paraId="392E9A21" w14:textId="082130D6" w:rsidR="00013340" w:rsidRPr="009952C9" w:rsidRDefault="003460E1" w:rsidP="00013340">
            <w:pPr>
              <w:tabs>
                <w:tab w:val="decimal" w:pos="1624"/>
              </w:tabs>
              <w:ind w:right="-144"/>
              <w:jc w:val="both"/>
              <w:rPr>
                <w:b/>
                <w:bCs/>
              </w:rPr>
            </w:pPr>
            <w:r>
              <w:rPr>
                <w:b/>
                <w:bCs/>
              </w:rPr>
              <w:t>-</w:t>
            </w:r>
          </w:p>
        </w:tc>
        <w:tc>
          <w:tcPr>
            <w:tcW w:w="1701" w:type="dxa"/>
          </w:tcPr>
          <w:p w14:paraId="1C460314" w14:textId="0E53642F" w:rsidR="00013340" w:rsidRPr="009952C9" w:rsidRDefault="003460E1" w:rsidP="00013340">
            <w:pPr>
              <w:tabs>
                <w:tab w:val="decimal" w:pos="1624"/>
              </w:tabs>
              <w:ind w:right="-144"/>
              <w:jc w:val="both"/>
              <w:rPr>
                <w:rFonts w:eastAsia="Calibri" w:cs="Arial"/>
                <w:b/>
                <w:bCs/>
                <w:szCs w:val="20"/>
              </w:rPr>
            </w:pPr>
            <w:r>
              <w:rPr>
                <w:b/>
                <w:bCs/>
              </w:rPr>
              <w:t>1,576</w:t>
            </w:r>
          </w:p>
        </w:tc>
      </w:tr>
      <w:tr w:rsidR="00013340" w:rsidRPr="00860AEA" w14:paraId="63810735" w14:textId="77777777" w:rsidTr="005E7D8E">
        <w:trPr>
          <w:trHeight w:val="357"/>
        </w:trPr>
        <w:tc>
          <w:tcPr>
            <w:tcW w:w="446" w:type="dxa"/>
          </w:tcPr>
          <w:p w14:paraId="66191CF1" w14:textId="77777777" w:rsidR="00013340" w:rsidRPr="005B4003" w:rsidRDefault="00013340" w:rsidP="00013340">
            <w:pPr>
              <w:ind w:right="-144"/>
              <w:jc w:val="both"/>
            </w:pPr>
          </w:p>
        </w:tc>
        <w:tc>
          <w:tcPr>
            <w:tcW w:w="2531" w:type="dxa"/>
            <w:gridSpan w:val="2"/>
          </w:tcPr>
          <w:p w14:paraId="6C783333" w14:textId="77777777" w:rsidR="00013340" w:rsidRPr="00670755" w:rsidRDefault="00013340" w:rsidP="00013340">
            <w:pPr>
              <w:ind w:right="-144"/>
              <w:jc w:val="both"/>
              <w:rPr>
                <w:rFonts w:cs="Arial"/>
              </w:rPr>
            </w:pPr>
          </w:p>
        </w:tc>
        <w:tc>
          <w:tcPr>
            <w:tcW w:w="1843" w:type="dxa"/>
          </w:tcPr>
          <w:p w14:paraId="5A5109B6" w14:textId="77777777" w:rsidR="00013340" w:rsidRPr="009F5006" w:rsidRDefault="00013340" w:rsidP="00013340">
            <w:pPr>
              <w:tabs>
                <w:tab w:val="decimal" w:pos="1805"/>
              </w:tabs>
              <w:ind w:right="-144"/>
              <w:jc w:val="both"/>
              <w:rPr>
                <w:rFonts w:cs="Arial"/>
                <w:b/>
                <w:bCs/>
                <w:u w:val="thick"/>
              </w:rPr>
            </w:pPr>
            <w:r w:rsidRPr="7821F417">
              <w:rPr>
                <w:rFonts w:cs="Arial"/>
                <w:u w:val="double"/>
              </w:rPr>
              <w:t>                  </w:t>
            </w:r>
            <w:r>
              <w:rPr>
                <w:rFonts w:cs="Arial"/>
                <w:u w:val="double"/>
              </w:rPr>
              <w:t xml:space="preserve">  </w:t>
            </w:r>
          </w:p>
        </w:tc>
        <w:tc>
          <w:tcPr>
            <w:tcW w:w="1701" w:type="dxa"/>
          </w:tcPr>
          <w:p w14:paraId="0D77CF9A" w14:textId="04CD02D1" w:rsidR="00013340" w:rsidRPr="7821F417" w:rsidRDefault="00013340" w:rsidP="00013340">
            <w:pPr>
              <w:tabs>
                <w:tab w:val="decimal" w:pos="1699"/>
              </w:tabs>
              <w:ind w:right="-144"/>
              <w:jc w:val="both"/>
              <w:rPr>
                <w:rFonts w:cs="Arial"/>
                <w:u w:val="double"/>
              </w:rPr>
            </w:pPr>
            <w:r w:rsidRPr="7821F417">
              <w:rPr>
                <w:rFonts w:cs="Arial"/>
                <w:u w:val="double"/>
              </w:rPr>
              <w:t>                  </w:t>
            </w:r>
            <w:r>
              <w:rPr>
                <w:rFonts w:cs="Arial"/>
                <w:u w:val="double"/>
              </w:rPr>
              <w:t xml:space="preserve">  </w:t>
            </w:r>
          </w:p>
        </w:tc>
        <w:tc>
          <w:tcPr>
            <w:tcW w:w="1713" w:type="dxa"/>
          </w:tcPr>
          <w:p w14:paraId="2A5B0625" w14:textId="3FBD9FEC" w:rsidR="00013340" w:rsidRPr="7821F417" w:rsidRDefault="00013340" w:rsidP="00013340">
            <w:pPr>
              <w:tabs>
                <w:tab w:val="decimal" w:pos="1699"/>
              </w:tabs>
              <w:ind w:right="-144"/>
              <w:jc w:val="both"/>
              <w:rPr>
                <w:rFonts w:cs="Arial"/>
                <w:u w:val="double"/>
              </w:rPr>
            </w:pPr>
            <w:r w:rsidRPr="7821F417">
              <w:rPr>
                <w:rFonts w:cs="Arial"/>
                <w:u w:val="double"/>
              </w:rPr>
              <w:t>                  </w:t>
            </w:r>
            <w:r>
              <w:rPr>
                <w:rFonts w:cs="Arial"/>
                <w:u w:val="double"/>
              </w:rPr>
              <w:t xml:space="preserve">  </w:t>
            </w:r>
          </w:p>
        </w:tc>
        <w:tc>
          <w:tcPr>
            <w:tcW w:w="1701" w:type="dxa"/>
          </w:tcPr>
          <w:p w14:paraId="71EE7164" w14:textId="683091EC" w:rsidR="00013340" w:rsidRPr="00860AEA" w:rsidRDefault="00013340" w:rsidP="00013340">
            <w:pPr>
              <w:tabs>
                <w:tab w:val="decimal" w:pos="1699"/>
              </w:tabs>
              <w:ind w:right="-144"/>
              <w:jc w:val="both"/>
              <w:rPr>
                <w:rFonts w:cs="Arial"/>
                <w:u w:val="double"/>
              </w:rPr>
            </w:pPr>
            <w:r w:rsidRPr="7821F417">
              <w:rPr>
                <w:rFonts w:cs="Arial"/>
                <w:u w:val="double"/>
              </w:rPr>
              <w:t xml:space="preserve">                   </w:t>
            </w:r>
          </w:p>
        </w:tc>
      </w:tr>
    </w:tbl>
    <w:p w14:paraId="3EE11E6E" w14:textId="0A741932" w:rsidR="00A26889" w:rsidRPr="007F4A46" w:rsidRDefault="00A26889" w:rsidP="009934FC">
      <w:pPr>
        <w:pStyle w:val="NotesHeading"/>
        <w:ind w:left="0" w:firstLine="0"/>
        <w:jc w:val="both"/>
        <w:rPr>
          <w:b w:val="0"/>
          <w:bCs/>
          <w:i/>
          <w:iCs/>
          <w:sz w:val="18"/>
          <w:szCs w:val="18"/>
        </w:rPr>
      </w:pPr>
    </w:p>
    <w:p w14:paraId="502C32BB" w14:textId="77777777" w:rsidR="00F06068" w:rsidRDefault="00F06068" w:rsidP="005C02FC">
      <w:pPr>
        <w:pStyle w:val="NotesBody"/>
        <w:jc w:val="both"/>
      </w:pPr>
    </w:p>
    <w:p w14:paraId="6A2854B4" w14:textId="77777777" w:rsidR="00F06068" w:rsidRDefault="00F06068" w:rsidP="005C02FC">
      <w:pPr>
        <w:pStyle w:val="NotesBody"/>
        <w:jc w:val="both"/>
      </w:pPr>
    </w:p>
    <w:p w14:paraId="33754015" w14:textId="77777777" w:rsidR="00F06068" w:rsidRDefault="00F06068" w:rsidP="005C02FC">
      <w:pPr>
        <w:pStyle w:val="NotesBody"/>
        <w:jc w:val="both"/>
      </w:pPr>
    </w:p>
    <w:p w14:paraId="0420D269" w14:textId="77777777" w:rsidR="00F06068" w:rsidRDefault="00F06068" w:rsidP="005C02FC">
      <w:pPr>
        <w:pStyle w:val="NotesBody"/>
        <w:jc w:val="both"/>
      </w:pPr>
    </w:p>
    <w:p w14:paraId="55C1836A" w14:textId="77777777" w:rsidR="00F06068" w:rsidRDefault="00F06068" w:rsidP="005C02FC">
      <w:pPr>
        <w:pStyle w:val="NotesBody"/>
        <w:jc w:val="both"/>
      </w:pPr>
    </w:p>
    <w:p w14:paraId="2755D7CD" w14:textId="77777777" w:rsidR="00F06068" w:rsidRDefault="00F06068" w:rsidP="005C02FC">
      <w:pPr>
        <w:pStyle w:val="NotesBody"/>
        <w:jc w:val="both"/>
      </w:pPr>
    </w:p>
    <w:p w14:paraId="4E30AFE5" w14:textId="77777777" w:rsidR="00A26DC4" w:rsidRPr="008F1392" w:rsidRDefault="00A26DC4" w:rsidP="00A26DC4">
      <w:pPr>
        <w:pStyle w:val="NotesHeading"/>
        <w:jc w:val="both"/>
        <w:rPr>
          <w:b w:val="0"/>
          <w:bCs/>
          <w:i/>
          <w:iCs/>
        </w:rPr>
      </w:pPr>
      <w:r>
        <w:t xml:space="preserve">15    Financial instruments and financial risk management </w:t>
      </w:r>
      <w:r>
        <w:rPr>
          <w:b w:val="0"/>
          <w:bCs/>
          <w:i/>
          <w:iCs/>
        </w:rPr>
        <w:t>(continued)</w:t>
      </w:r>
    </w:p>
    <w:p w14:paraId="3CD8BB7C" w14:textId="77777777" w:rsidR="00A26DC4" w:rsidRPr="00E73C39" w:rsidRDefault="00A26DC4" w:rsidP="00A26DC4">
      <w:pPr>
        <w:pStyle w:val="NotesBody"/>
        <w:jc w:val="both"/>
        <w:rPr>
          <w:b/>
          <w:bCs/>
        </w:rPr>
      </w:pPr>
    </w:p>
    <w:p w14:paraId="619D4EF9" w14:textId="77777777" w:rsidR="00A26DC4" w:rsidRDefault="00A26DC4" w:rsidP="00A26DC4">
      <w:pPr>
        <w:pStyle w:val="NotesBody"/>
        <w:numPr>
          <w:ilvl w:val="0"/>
          <w:numId w:val="22"/>
        </w:numPr>
        <w:jc w:val="both"/>
        <w:rPr>
          <w:b/>
          <w:bCs/>
        </w:rPr>
      </w:pPr>
      <w:r w:rsidRPr="7821F417">
        <w:rPr>
          <w:b/>
          <w:bCs/>
        </w:rPr>
        <w:t>Accounting classification and fair value</w:t>
      </w:r>
      <w:r>
        <w:rPr>
          <w:b/>
          <w:bCs/>
        </w:rPr>
        <w:t xml:space="preserve"> </w:t>
      </w:r>
      <w:r>
        <w:rPr>
          <w:i/>
          <w:iCs/>
        </w:rPr>
        <w:t>(continued)</w:t>
      </w:r>
    </w:p>
    <w:p w14:paraId="5AAD8769" w14:textId="77777777" w:rsidR="00A26DC4" w:rsidRDefault="00A26DC4" w:rsidP="005C02FC">
      <w:pPr>
        <w:pStyle w:val="NotesBody"/>
        <w:jc w:val="both"/>
      </w:pPr>
    </w:p>
    <w:p w14:paraId="65B40685" w14:textId="4C65063F" w:rsidR="00E73C39" w:rsidRPr="00A33586" w:rsidRDefault="00E73C39" w:rsidP="005C02FC">
      <w:pPr>
        <w:pStyle w:val="NotesBody"/>
        <w:jc w:val="both"/>
      </w:pPr>
      <w:r>
        <w:t xml:space="preserve">The following table shows the carrying amounts and fair values of financial assets and financial liabilities. </w:t>
      </w:r>
    </w:p>
    <w:tbl>
      <w:tblPr>
        <w:tblW w:w="0" w:type="auto"/>
        <w:tblLayout w:type="fixed"/>
        <w:tblCellMar>
          <w:left w:w="0" w:type="dxa"/>
          <w:right w:w="115" w:type="dxa"/>
        </w:tblCellMar>
        <w:tblLook w:val="04A0" w:firstRow="1" w:lastRow="0" w:firstColumn="1" w:lastColumn="0" w:noHBand="0" w:noVBand="1"/>
      </w:tblPr>
      <w:tblGrid>
        <w:gridCol w:w="446"/>
        <w:gridCol w:w="5400"/>
        <w:gridCol w:w="1667"/>
        <w:gridCol w:w="1701"/>
      </w:tblGrid>
      <w:tr w:rsidR="0037720D" w:rsidRPr="00A33586" w14:paraId="706A7506" w14:textId="77777777" w:rsidTr="7821F417">
        <w:tc>
          <w:tcPr>
            <w:tcW w:w="446" w:type="dxa"/>
          </w:tcPr>
          <w:p w14:paraId="785DD88B" w14:textId="77777777" w:rsidR="0037720D" w:rsidRPr="00A33586" w:rsidRDefault="0037720D" w:rsidP="005C02FC">
            <w:pPr>
              <w:jc w:val="both"/>
            </w:pPr>
          </w:p>
        </w:tc>
        <w:tc>
          <w:tcPr>
            <w:tcW w:w="5400" w:type="dxa"/>
          </w:tcPr>
          <w:p w14:paraId="434949B4" w14:textId="7C9F99C7" w:rsidR="0037720D" w:rsidRPr="000575B2" w:rsidRDefault="0037720D" w:rsidP="7821F417">
            <w:pPr>
              <w:jc w:val="both"/>
              <w:rPr>
                <w:b/>
                <w:bCs/>
              </w:rPr>
            </w:pPr>
          </w:p>
        </w:tc>
        <w:tc>
          <w:tcPr>
            <w:tcW w:w="3368" w:type="dxa"/>
            <w:gridSpan w:val="2"/>
          </w:tcPr>
          <w:p w14:paraId="459140A9" w14:textId="4C386E39" w:rsidR="0037720D" w:rsidRPr="00FD2A5E" w:rsidRDefault="414A9092" w:rsidP="7821F417">
            <w:pPr>
              <w:tabs>
                <w:tab w:val="decimal" w:pos="1424"/>
              </w:tabs>
              <w:ind w:right="43"/>
              <w:jc w:val="center"/>
              <w:rPr>
                <w:b/>
                <w:bCs/>
              </w:rPr>
            </w:pPr>
            <w:r w:rsidRPr="7821F417">
              <w:rPr>
                <w:b/>
                <w:bCs/>
              </w:rPr>
              <w:t>Carrying Amount</w:t>
            </w:r>
          </w:p>
        </w:tc>
      </w:tr>
      <w:tr w:rsidR="0037720D" w:rsidRPr="00A33586" w14:paraId="0306F43B" w14:textId="77777777" w:rsidTr="7821F417">
        <w:tc>
          <w:tcPr>
            <w:tcW w:w="446" w:type="dxa"/>
          </w:tcPr>
          <w:p w14:paraId="3F185B05" w14:textId="77777777" w:rsidR="0037720D" w:rsidRPr="00A33586" w:rsidRDefault="0037720D" w:rsidP="005C02FC">
            <w:pPr>
              <w:ind w:right="-144"/>
              <w:jc w:val="both"/>
            </w:pPr>
          </w:p>
        </w:tc>
        <w:tc>
          <w:tcPr>
            <w:tcW w:w="5400" w:type="dxa"/>
          </w:tcPr>
          <w:p w14:paraId="2468A1C4" w14:textId="77777777" w:rsidR="0037720D" w:rsidRPr="00A33586" w:rsidRDefault="0037720D" w:rsidP="005C02FC">
            <w:pPr>
              <w:ind w:right="-144"/>
              <w:jc w:val="both"/>
            </w:pPr>
          </w:p>
        </w:tc>
        <w:tc>
          <w:tcPr>
            <w:tcW w:w="3368" w:type="dxa"/>
            <w:gridSpan w:val="2"/>
          </w:tcPr>
          <w:p w14:paraId="2C8EF2D7" w14:textId="305D1E67" w:rsidR="0037720D" w:rsidRPr="00FD2A5E" w:rsidRDefault="414A9092" w:rsidP="7821F417">
            <w:pPr>
              <w:tabs>
                <w:tab w:val="decimal" w:pos="1424"/>
              </w:tabs>
              <w:ind w:right="-144"/>
              <w:jc w:val="center"/>
              <w:rPr>
                <w:b/>
                <w:bCs/>
              </w:rPr>
            </w:pPr>
            <w:r w:rsidRPr="7821F417">
              <w:rPr>
                <w:b/>
                <w:bCs/>
              </w:rPr>
              <w:t>Financial assets at amortised cost</w:t>
            </w:r>
          </w:p>
        </w:tc>
      </w:tr>
      <w:tr w:rsidR="0037720D" w:rsidRPr="00A33586" w14:paraId="1471ABB5" w14:textId="77777777" w:rsidTr="7821F417">
        <w:tc>
          <w:tcPr>
            <w:tcW w:w="446" w:type="dxa"/>
          </w:tcPr>
          <w:p w14:paraId="20B53E35" w14:textId="77777777" w:rsidR="0037720D" w:rsidRPr="00A33586" w:rsidRDefault="0037720D" w:rsidP="005C02FC">
            <w:pPr>
              <w:ind w:right="-144"/>
              <w:jc w:val="both"/>
            </w:pPr>
          </w:p>
        </w:tc>
        <w:tc>
          <w:tcPr>
            <w:tcW w:w="5400" w:type="dxa"/>
          </w:tcPr>
          <w:p w14:paraId="6420318C" w14:textId="77777777" w:rsidR="0037720D" w:rsidRPr="00A33586" w:rsidRDefault="0037720D" w:rsidP="005C02FC">
            <w:pPr>
              <w:ind w:right="-144"/>
              <w:jc w:val="both"/>
            </w:pPr>
          </w:p>
        </w:tc>
        <w:tc>
          <w:tcPr>
            <w:tcW w:w="1667" w:type="dxa"/>
          </w:tcPr>
          <w:p w14:paraId="4219ADD6" w14:textId="33CC8571" w:rsidR="0037720D" w:rsidRPr="00A33586" w:rsidRDefault="414A9092" w:rsidP="7821F417">
            <w:pPr>
              <w:tabs>
                <w:tab w:val="decimal" w:pos="1424"/>
              </w:tabs>
              <w:jc w:val="right"/>
              <w:rPr>
                <w:b/>
                <w:bCs/>
              </w:rPr>
            </w:pPr>
            <w:r w:rsidRPr="7821F417">
              <w:rPr>
                <w:b/>
                <w:bCs/>
              </w:rPr>
              <w:t>30 June</w:t>
            </w:r>
          </w:p>
        </w:tc>
        <w:tc>
          <w:tcPr>
            <w:tcW w:w="1701" w:type="dxa"/>
          </w:tcPr>
          <w:p w14:paraId="6E2ECCBF" w14:textId="37F38D14" w:rsidR="0037720D" w:rsidRPr="00FD2A5E" w:rsidRDefault="414A9092" w:rsidP="7821F417">
            <w:pPr>
              <w:tabs>
                <w:tab w:val="decimal" w:pos="1271"/>
              </w:tabs>
              <w:ind w:right="20"/>
              <w:jc w:val="both"/>
              <w:rPr>
                <w:b/>
                <w:bCs/>
              </w:rPr>
            </w:pPr>
            <w:r w:rsidRPr="7821F417">
              <w:rPr>
                <w:b/>
                <w:bCs/>
              </w:rPr>
              <w:t>31 December</w:t>
            </w:r>
          </w:p>
        </w:tc>
      </w:tr>
      <w:tr w:rsidR="0037720D" w:rsidRPr="00A33586" w14:paraId="65B3DBE4" w14:textId="77777777" w:rsidTr="7821F417">
        <w:tc>
          <w:tcPr>
            <w:tcW w:w="446" w:type="dxa"/>
          </w:tcPr>
          <w:p w14:paraId="5402B8D8" w14:textId="77777777" w:rsidR="0037720D" w:rsidRPr="00A33586" w:rsidRDefault="0037720D" w:rsidP="005C02FC">
            <w:pPr>
              <w:ind w:right="-144"/>
              <w:jc w:val="both"/>
            </w:pPr>
          </w:p>
        </w:tc>
        <w:tc>
          <w:tcPr>
            <w:tcW w:w="5400" w:type="dxa"/>
          </w:tcPr>
          <w:p w14:paraId="077A0CDD" w14:textId="77777777" w:rsidR="0037720D" w:rsidRPr="00A33586" w:rsidRDefault="0037720D" w:rsidP="005C02FC">
            <w:pPr>
              <w:ind w:right="-144"/>
              <w:jc w:val="both"/>
            </w:pPr>
          </w:p>
        </w:tc>
        <w:tc>
          <w:tcPr>
            <w:tcW w:w="1667" w:type="dxa"/>
          </w:tcPr>
          <w:p w14:paraId="704C3E51" w14:textId="321C25F5" w:rsidR="0037720D" w:rsidRPr="00A33586" w:rsidRDefault="46686CEE" w:rsidP="7821F417">
            <w:pPr>
              <w:tabs>
                <w:tab w:val="decimal" w:pos="1527"/>
              </w:tabs>
              <w:ind w:right="-144"/>
              <w:jc w:val="both"/>
              <w:rPr>
                <w:b/>
                <w:bCs/>
              </w:rPr>
            </w:pPr>
            <w:r w:rsidRPr="7821F417">
              <w:rPr>
                <w:b/>
                <w:bCs/>
              </w:rPr>
              <w:t>202</w:t>
            </w:r>
            <w:r w:rsidR="009C677E">
              <w:rPr>
                <w:b/>
                <w:bCs/>
              </w:rPr>
              <w:t>5</w:t>
            </w:r>
          </w:p>
        </w:tc>
        <w:tc>
          <w:tcPr>
            <w:tcW w:w="1701" w:type="dxa"/>
          </w:tcPr>
          <w:p w14:paraId="37FFA6EE" w14:textId="0F0A4EE6" w:rsidR="0037720D" w:rsidRPr="00FD2A5E" w:rsidRDefault="00EF5DE2" w:rsidP="7821F417">
            <w:pPr>
              <w:tabs>
                <w:tab w:val="decimal" w:pos="1554"/>
              </w:tabs>
              <w:ind w:right="20"/>
              <w:jc w:val="both"/>
              <w:rPr>
                <w:b/>
                <w:bCs/>
              </w:rPr>
            </w:pPr>
            <w:r>
              <w:rPr>
                <w:b/>
                <w:bCs/>
              </w:rPr>
              <w:t>202</w:t>
            </w:r>
            <w:r w:rsidR="009C677E">
              <w:rPr>
                <w:b/>
                <w:bCs/>
              </w:rPr>
              <w:t>4</w:t>
            </w:r>
          </w:p>
        </w:tc>
      </w:tr>
      <w:tr w:rsidR="00D14288" w:rsidRPr="00A33586" w14:paraId="19A0FD1E" w14:textId="77777777" w:rsidTr="7821F417">
        <w:tc>
          <w:tcPr>
            <w:tcW w:w="446" w:type="dxa"/>
          </w:tcPr>
          <w:p w14:paraId="3CD431E8" w14:textId="77777777" w:rsidR="00D14288" w:rsidRPr="00A33586" w:rsidRDefault="00D14288" w:rsidP="00D14288">
            <w:pPr>
              <w:ind w:right="-144"/>
              <w:jc w:val="both"/>
            </w:pPr>
          </w:p>
        </w:tc>
        <w:tc>
          <w:tcPr>
            <w:tcW w:w="5400" w:type="dxa"/>
          </w:tcPr>
          <w:p w14:paraId="338B6D26" w14:textId="6710E0D7" w:rsidR="00D14288" w:rsidRPr="00A33586" w:rsidRDefault="00D14288" w:rsidP="00D14288">
            <w:pPr>
              <w:ind w:right="-144"/>
              <w:jc w:val="both"/>
            </w:pPr>
            <w:r w:rsidRPr="7821F417">
              <w:rPr>
                <w:b/>
                <w:bCs/>
              </w:rPr>
              <w:t>Financial assets not measured at fair value</w:t>
            </w:r>
          </w:p>
        </w:tc>
        <w:tc>
          <w:tcPr>
            <w:tcW w:w="1667" w:type="dxa"/>
          </w:tcPr>
          <w:p w14:paraId="06E70973" w14:textId="77777777" w:rsidR="00D14288" w:rsidRPr="00A33586" w:rsidRDefault="00D14288" w:rsidP="00D14288">
            <w:pPr>
              <w:tabs>
                <w:tab w:val="decimal" w:pos="1527"/>
              </w:tabs>
              <w:ind w:right="-144"/>
              <w:jc w:val="both"/>
              <w:rPr>
                <w:b/>
                <w:bCs/>
              </w:rPr>
            </w:pPr>
            <w:r w:rsidRPr="7821F417">
              <w:rPr>
                <w:b/>
                <w:bCs/>
              </w:rPr>
              <w:t>€’000</w:t>
            </w:r>
          </w:p>
        </w:tc>
        <w:tc>
          <w:tcPr>
            <w:tcW w:w="1701" w:type="dxa"/>
          </w:tcPr>
          <w:p w14:paraId="68622E8E" w14:textId="77777777" w:rsidR="00D14288" w:rsidRPr="00FD2A5E" w:rsidRDefault="00D14288" w:rsidP="00D14288">
            <w:pPr>
              <w:tabs>
                <w:tab w:val="decimal" w:pos="1554"/>
              </w:tabs>
              <w:ind w:right="20"/>
              <w:jc w:val="both"/>
              <w:rPr>
                <w:b/>
                <w:bCs/>
              </w:rPr>
            </w:pPr>
            <w:r w:rsidRPr="7821F417">
              <w:rPr>
                <w:b/>
                <w:bCs/>
              </w:rPr>
              <w:t>€’000</w:t>
            </w:r>
          </w:p>
        </w:tc>
      </w:tr>
      <w:tr w:rsidR="00D14288" w:rsidRPr="00A33586" w14:paraId="0F7AE6DC" w14:textId="77777777" w:rsidTr="7821F417">
        <w:tc>
          <w:tcPr>
            <w:tcW w:w="446" w:type="dxa"/>
          </w:tcPr>
          <w:p w14:paraId="501B2138" w14:textId="77777777" w:rsidR="00D14288" w:rsidRPr="00A33586" w:rsidRDefault="00D14288" w:rsidP="00D14288">
            <w:pPr>
              <w:ind w:right="-144"/>
              <w:jc w:val="both"/>
            </w:pPr>
          </w:p>
        </w:tc>
        <w:tc>
          <w:tcPr>
            <w:tcW w:w="5400" w:type="dxa"/>
          </w:tcPr>
          <w:p w14:paraId="3BD63976" w14:textId="2CEC39C4" w:rsidR="00D14288" w:rsidRPr="00A33586" w:rsidRDefault="00D14288" w:rsidP="00D14288">
            <w:pPr>
              <w:ind w:right="-144"/>
              <w:jc w:val="both"/>
              <w:rPr>
                <w:b/>
                <w:bCs/>
              </w:rPr>
            </w:pPr>
          </w:p>
        </w:tc>
        <w:tc>
          <w:tcPr>
            <w:tcW w:w="1667" w:type="dxa"/>
          </w:tcPr>
          <w:p w14:paraId="24672EB9" w14:textId="77777777" w:rsidR="00D14288" w:rsidRPr="00A33586" w:rsidRDefault="00D14288" w:rsidP="00D14288">
            <w:pPr>
              <w:tabs>
                <w:tab w:val="decimal" w:pos="1424"/>
              </w:tabs>
              <w:ind w:right="-144"/>
              <w:jc w:val="both"/>
              <w:rPr>
                <w:b/>
                <w:bCs/>
              </w:rPr>
            </w:pPr>
          </w:p>
        </w:tc>
        <w:tc>
          <w:tcPr>
            <w:tcW w:w="1701" w:type="dxa"/>
          </w:tcPr>
          <w:p w14:paraId="2578344B" w14:textId="77777777" w:rsidR="00D14288" w:rsidRPr="00860AEA" w:rsidRDefault="00D14288" w:rsidP="00D14288">
            <w:pPr>
              <w:tabs>
                <w:tab w:val="decimal" w:pos="1424"/>
              </w:tabs>
              <w:ind w:right="-144"/>
              <w:jc w:val="both"/>
            </w:pPr>
          </w:p>
        </w:tc>
      </w:tr>
      <w:tr w:rsidR="00D14288" w:rsidRPr="00A33586" w14:paraId="3467B5F1" w14:textId="77777777" w:rsidTr="7821F417">
        <w:tc>
          <w:tcPr>
            <w:tcW w:w="446" w:type="dxa"/>
          </w:tcPr>
          <w:p w14:paraId="48AF13E5" w14:textId="77777777" w:rsidR="00D14288" w:rsidRPr="00A33586" w:rsidRDefault="00D14288" w:rsidP="00D14288">
            <w:pPr>
              <w:ind w:right="-144"/>
              <w:jc w:val="both"/>
            </w:pPr>
          </w:p>
        </w:tc>
        <w:tc>
          <w:tcPr>
            <w:tcW w:w="5400" w:type="dxa"/>
          </w:tcPr>
          <w:p w14:paraId="0EC9BD1E" w14:textId="47661515" w:rsidR="00D14288" w:rsidRPr="00254E64" w:rsidRDefault="00D14288" w:rsidP="00D14288">
            <w:pPr>
              <w:ind w:right="-144"/>
              <w:jc w:val="both"/>
            </w:pPr>
            <w:r w:rsidRPr="00254E64">
              <w:t>Trade receivables</w:t>
            </w:r>
          </w:p>
          <w:p w14:paraId="7F9B0657" w14:textId="4512DF59" w:rsidR="00D14288" w:rsidRPr="00254E64" w:rsidRDefault="00D14288" w:rsidP="00D14288">
            <w:pPr>
              <w:ind w:right="-144"/>
              <w:jc w:val="both"/>
              <w:rPr>
                <w:rFonts w:eastAsia="Calibri" w:cs="Arial"/>
                <w:szCs w:val="20"/>
              </w:rPr>
            </w:pPr>
            <w:r w:rsidRPr="00254E64">
              <w:rPr>
                <w:rFonts w:eastAsia="Calibri" w:cs="Arial"/>
                <w:szCs w:val="20"/>
              </w:rPr>
              <w:t>Amounts recoverable on construction contracts</w:t>
            </w:r>
          </w:p>
        </w:tc>
        <w:tc>
          <w:tcPr>
            <w:tcW w:w="1667" w:type="dxa"/>
          </w:tcPr>
          <w:p w14:paraId="25A5ADC7" w14:textId="519C7A06" w:rsidR="00AA5A3A" w:rsidRDefault="00483720" w:rsidP="00AA5A3A">
            <w:pPr>
              <w:tabs>
                <w:tab w:val="decimal" w:pos="1545"/>
              </w:tabs>
              <w:ind w:right="-144"/>
              <w:jc w:val="both"/>
              <w:rPr>
                <w:rFonts w:eastAsia="Calibri" w:cs="Arial"/>
                <w:b/>
                <w:bCs/>
                <w:szCs w:val="20"/>
              </w:rPr>
            </w:pPr>
            <w:r>
              <w:rPr>
                <w:rFonts w:eastAsia="Calibri" w:cs="Arial"/>
                <w:b/>
                <w:bCs/>
                <w:szCs w:val="20"/>
              </w:rPr>
              <w:t>3,567</w:t>
            </w:r>
          </w:p>
          <w:p w14:paraId="794F22C0" w14:textId="6E37F038" w:rsidR="00D14288" w:rsidRDefault="00AA5A3A" w:rsidP="00D14288">
            <w:pPr>
              <w:tabs>
                <w:tab w:val="decimal" w:pos="1545"/>
              </w:tabs>
              <w:ind w:right="-144"/>
              <w:jc w:val="both"/>
              <w:rPr>
                <w:rFonts w:eastAsia="Calibri" w:cs="Arial"/>
                <w:b/>
                <w:bCs/>
                <w:szCs w:val="20"/>
              </w:rPr>
            </w:pPr>
            <w:r>
              <w:rPr>
                <w:rFonts w:eastAsia="Calibri" w:cs="Arial"/>
                <w:b/>
                <w:bCs/>
                <w:szCs w:val="20"/>
              </w:rPr>
              <w:t>1</w:t>
            </w:r>
            <w:r w:rsidR="00AD3C45">
              <w:rPr>
                <w:rFonts w:eastAsia="Calibri" w:cs="Arial"/>
                <w:b/>
                <w:bCs/>
                <w:szCs w:val="20"/>
              </w:rPr>
              <w:t>8,225</w:t>
            </w:r>
          </w:p>
        </w:tc>
        <w:tc>
          <w:tcPr>
            <w:tcW w:w="1701" w:type="dxa"/>
          </w:tcPr>
          <w:p w14:paraId="490A76C6" w14:textId="26D17C4B" w:rsidR="00D14288" w:rsidRPr="00860AEA" w:rsidRDefault="00D14288" w:rsidP="00D14288">
            <w:pPr>
              <w:tabs>
                <w:tab w:val="decimal" w:pos="1557"/>
              </w:tabs>
              <w:ind w:right="-144"/>
              <w:jc w:val="both"/>
            </w:pPr>
            <w:r>
              <w:t>20,617</w:t>
            </w:r>
          </w:p>
          <w:p w14:paraId="6BF5165C" w14:textId="64E023F7" w:rsidR="00D14288" w:rsidRPr="00860AEA" w:rsidRDefault="00D14288" w:rsidP="00D14288">
            <w:pPr>
              <w:tabs>
                <w:tab w:val="decimal" w:pos="1557"/>
              </w:tabs>
              <w:ind w:right="-144"/>
              <w:jc w:val="both"/>
              <w:rPr>
                <w:rFonts w:eastAsia="Calibri" w:cs="Arial"/>
                <w:szCs w:val="20"/>
              </w:rPr>
            </w:pPr>
            <w:r>
              <w:rPr>
                <w:rFonts w:eastAsia="Calibri" w:cs="Arial"/>
                <w:szCs w:val="20"/>
              </w:rPr>
              <w:t>38,522</w:t>
            </w:r>
          </w:p>
        </w:tc>
      </w:tr>
      <w:tr w:rsidR="00D14288" w:rsidRPr="00A33586" w14:paraId="081FCE90" w14:textId="77777777" w:rsidTr="7821F417">
        <w:tc>
          <w:tcPr>
            <w:tcW w:w="446" w:type="dxa"/>
          </w:tcPr>
          <w:p w14:paraId="7D0DE7E2" w14:textId="77777777" w:rsidR="00D14288" w:rsidRPr="00A33586" w:rsidRDefault="00D14288" w:rsidP="00D14288">
            <w:pPr>
              <w:ind w:right="-144"/>
              <w:jc w:val="both"/>
            </w:pPr>
          </w:p>
        </w:tc>
        <w:tc>
          <w:tcPr>
            <w:tcW w:w="5400" w:type="dxa"/>
          </w:tcPr>
          <w:p w14:paraId="1985CD34" w14:textId="4D3BEABD" w:rsidR="00D14288" w:rsidRPr="00254E64" w:rsidRDefault="00D14288" w:rsidP="00D14288">
            <w:pPr>
              <w:ind w:right="-144"/>
              <w:jc w:val="both"/>
            </w:pPr>
            <w:r w:rsidRPr="00254E64">
              <w:t>Contract assets</w:t>
            </w:r>
          </w:p>
        </w:tc>
        <w:tc>
          <w:tcPr>
            <w:tcW w:w="1667" w:type="dxa"/>
          </w:tcPr>
          <w:p w14:paraId="3D1E005C" w14:textId="0EAE471F" w:rsidR="00D14288" w:rsidRDefault="00AD3C45" w:rsidP="00D14288">
            <w:pPr>
              <w:tabs>
                <w:tab w:val="decimal" w:pos="1545"/>
              </w:tabs>
              <w:ind w:right="-144"/>
              <w:jc w:val="both"/>
              <w:rPr>
                <w:b/>
                <w:bCs/>
              </w:rPr>
            </w:pPr>
            <w:r>
              <w:rPr>
                <w:b/>
                <w:bCs/>
              </w:rPr>
              <w:t>114,153</w:t>
            </w:r>
          </w:p>
        </w:tc>
        <w:tc>
          <w:tcPr>
            <w:tcW w:w="1701" w:type="dxa"/>
          </w:tcPr>
          <w:p w14:paraId="4300934D" w14:textId="4CA21761" w:rsidR="00D14288" w:rsidRPr="006A34D9" w:rsidRDefault="00D14288" w:rsidP="00D14288">
            <w:pPr>
              <w:tabs>
                <w:tab w:val="decimal" w:pos="1557"/>
              </w:tabs>
              <w:ind w:right="-144"/>
              <w:jc w:val="both"/>
              <w:rPr>
                <w:bCs/>
              </w:rPr>
            </w:pPr>
            <w:r w:rsidRPr="006A34D9">
              <w:rPr>
                <w:bCs/>
              </w:rPr>
              <w:t>79,252</w:t>
            </w:r>
          </w:p>
        </w:tc>
      </w:tr>
      <w:tr w:rsidR="00D14288" w:rsidRPr="00A33586" w14:paraId="2F24790B" w14:textId="77777777" w:rsidTr="7821F417">
        <w:tc>
          <w:tcPr>
            <w:tcW w:w="446" w:type="dxa"/>
          </w:tcPr>
          <w:p w14:paraId="09BBB565" w14:textId="77777777" w:rsidR="00D14288" w:rsidRPr="00A33586" w:rsidRDefault="00D14288" w:rsidP="00D14288">
            <w:pPr>
              <w:ind w:right="-144"/>
              <w:jc w:val="both"/>
            </w:pPr>
          </w:p>
        </w:tc>
        <w:tc>
          <w:tcPr>
            <w:tcW w:w="5400" w:type="dxa"/>
          </w:tcPr>
          <w:p w14:paraId="012AAB2D" w14:textId="77777777" w:rsidR="00D14288" w:rsidRPr="00254E64" w:rsidRDefault="00D14288" w:rsidP="00D14288">
            <w:pPr>
              <w:ind w:right="-144"/>
              <w:jc w:val="both"/>
            </w:pPr>
            <w:r w:rsidRPr="00254E64">
              <w:t xml:space="preserve">Other receivables </w:t>
            </w:r>
          </w:p>
        </w:tc>
        <w:tc>
          <w:tcPr>
            <w:tcW w:w="1667" w:type="dxa"/>
          </w:tcPr>
          <w:p w14:paraId="5CF59BC3" w14:textId="3A1C5E44" w:rsidR="00D14288" w:rsidRDefault="00483720" w:rsidP="00D14288">
            <w:pPr>
              <w:tabs>
                <w:tab w:val="decimal" w:pos="1545"/>
              </w:tabs>
              <w:ind w:right="-144"/>
              <w:jc w:val="both"/>
              <w:rPr>
                <w:b/>
                <w:bCs/>
              </w:rPr>
            </w:pPr>
            <w:r>
              <w:rPr>
                <w:b/>
                <w:bCs/>
              </w:rPr>
              <w:t>7,795</w:t>
            </w:r>
          </w:p>
        </w:tc>
        <w:tc>
          <w:tcPr>
            <w:tcW w:w="1701" w:type="dxa"/>
          </w:tcPr>
          <w:p w14:paraId="55656D71" w14:textId="04A60EEC" w:rsidR="00D14288" w:rsidRPr="006A34D9" w:rsidRDefault="00D14288" w:rsidP="00D14288">
            <w:pPr>
              <w:tabs>
                <w:tab w:val="decimal" w:pos="1557"/>
              </w:tabs>
              <w:ind w:right="-144"/>
              <w:jc w:val="both"/>
              <w:rPr>
                <w:bCs/>
              </w:rPr>
            </w:pPr>
            <w:r w:rsidRPr="006A34D9">
              <w:rPr>
                <w:bCs/>
              </w:rPr>
              <w:t>5,915</w:t>
            </w:r>
          </w:p>
        </w:tc>
      </w:tr>
      <w:tr w:rsidR="00D14288" w:rsidRPr="00A33586" w14:paraId="750792D3" w14:textId="77777777" w:rsidTr="7821F417">
        <w:tc>
          <w:tcPr>
            <w:tcW w:w="446" w:type="dxa"/>
          </w:tcPr>
          <w:p w14:paraId="35613115" w14:textId="77777777" w:rsidR="00D14288" w:rsidRPr="00A33586" w:rsidRDefault="00D14288" w:rsidP="00D14288">
            <w:pPr>
              <w:ind w:right="-144"/>
              <w:jc w:val="both"/>
            </w:pPr>
          </w:p>
        </w:tc>
        <w:tc>
          <w:tcPr>
            <w:tcW w:w="5400" w:type="dxa"/>
          </w:tcPr>
          <w:p w14:paraId="6CA4D5C2" w14:textId="09328C82" w:rsidR="00D14288" w:rsidRPr="00254E64" w:rsidRDefault="00D14288" w:rsidP="00D14288">
            <w:pPr>
              <w:ind w:right="-144"/>
              <w:jc w:val="both"/>
            </w:pPr>
            <w:r w:rsidRPr="00254E64">
              <w:t>Construction bonds</w:t>
            </w:r>
          </w:p>
        </w:tc>
        <w:tc>
          <w:tcPr>
            <w:tcW w:w="1667" w:type="dxa"/>
          </w:tcPr>
          <w:p w14:paraId="0AA9593C" w14:textId="6792A574" w:rsidR="00D14288" w:rsidRDefault="00E95475" w:rsidP="00D14288">
            <w:pPr>
              <w:tabs>
                <w:tab w:val="decimal" w:pos="1545"/>
              </w:tabs>
              <w:ind w:right="-144"/>
              <w:jc w:val="both"/>
              <w:rPr>
                <w:b/>
                <w:bCs/>
              </w:rPr>
            </w:pPr>
            <w:r>
              <w:rPr>
                <w:b/>
                <w:bCs/>
              </w:rPr>
              <w:t>21,002</w:t>
            </w:r>
          </w:p>
        </w:tc>
        <w:tc>
          <w:tcPr>
            <w:tcW w:w="1701" w:type="dxa"/>
          </w:tcPr>
          <w:p w14:paraId="1DD0F9B0" w14:textId="50AB0A0F" w:rsidR="00D14288" w:rsidRPr="006A34D9" w:rsidRDefault="00D14288" w:rsidP="00D14288">
            <w:pPr>
              <w:tabs>
                <w:tab w:val="decimal" w:pos="1557"/>
              </w:tabs>
              <w:ind w:right="-144"/>
              <w:jc w:val="both"/>
              <w:rPr>
                <w:bCs/>
              </w:rPr>
            </w:pPr>
            <w:r w:rsidRPr="006A34D9">
              <w:rPr>
                <w:bCs/>
              </w:rPr>
              <w:t>21,086</w:t>
            </w:r>
          </w:p>
        </w:tc>
      </w:tr>
      <w:tr w:rsidR="00D14288" w:rsidRPr="00A33586" w14:paraId="169F74CA" w14:textId="77777777" w:rsidTr="7821F417">
        <w:tc>
          <w:tcPr>
            <w:tcW w:w="446" w:type="dxa"/>
          </w:tcPr>
          <w:p w14:paraId="0F4627D6" w14:textId="77777777" w:rsidR="00D14288" w:rsidRPr="00A33586" w:rsidRDefault="00D14288" w:rsidP="00D14288">
            <w:pPr>
              <w:ind w:right="-144"/>
              <w:jc w:val="both"/>
            </w:pPr>
          </w:p>
        </w:tc>
        <w:tc>
          <w:tcPr>
            <w:tcW w:w="5400" w:type="dxa"/>
          </w:tcPr>
          <w:p w14:paraId="1172ED4D" w14:textId="3043C57A" w:rsidR="00D14288" w:rsidRPr="00254E64" w:rsidRDefault="00D14288" w:rsidP="00D14288">
            <w:pPr>
              <w:ind w:right="-144"/>
              <w:jc w:val="both"/>
            </w:pPr>
            <w:r w:rsidRPr="00254E64">
              <w:t>Deposits for sites</w:t>
            </w:r>
          </w:p>
        </w:tc>
        <w:tc>
          <w:tcPr>
            <w:tcW w:w="1667" w:type="dxa"/>
          </w:tcPr>
          <w:p w14:paraId="01064B10" w14:textId="35E1C101" w:rsidR="00D14288" w:rsidRDefault="00E95475" w:rsidP="00D14288">
            <w:pPr>
              <w:tabs>
                <w:tab w:val="decimal" w:pos="1545"/>
              </w:tabs>
              <w:ind w:right="-144"/>
              <w:jc w:val="both"/>
              <w:rPr>
                <w:b/>
                <w:bCs/>
              </w:rPr>
            </w:pPr>
            <w:r>
              <w:rPr>
                <w:b/>
                <w:bCs/>
              </w:rPr>
              <w:t>5,651</w:t>
            </w:r>
          </w:p>
        </w:tc>
        <w:tc>
          <w:tcPr>
            <w:tcW w:w="1701" w:type="dxa"/>
          </w:tcPr>
          <w:p w14:paraId="697A5F1B" w14:textId="40AECF47" w:rsidR="00D14288" w:rsidRPr="006A34D9" w:rsidRDefault="00D14288" w:rsidP="00D14288">
            <w:pPr>
              <w:tabs>
                <w:tab w:val="decimal" w:pos="1557"/>
              </w:tabs>
              <w:ind w:right="-144"/>
              <w:jc w:val="both"/>
              <w:rPr>
                <w:bCs/>
              </w:rPr>
            </w:pPr>
            <w:r w:rsidRPr="006A34D9">
              <w:rPr>
                <w:bCs/>
              </w:rPr>
              <w:t>6,542</w:t>
            </w:r>
          </w:p>
        </w:tc>
      </w:tr>
      <w:tr w:rsidR="00D14288" w:rsidRPr="00A33586" w14:paraId="0A54C72D" w14:textId="77777777" w:rsidTr="7821F417">
        <w:tc>
          <w:tcPr>
            <w:tcW w:w="446" w:type="dxa"/>
          </w:tcPr>
          <w:p w14:paraId="2544718A" w14:textId="77777777" w:rsidR="00D14288" w:rsidRPr="00A33586" w:rsidRDefault="00D14288" w:rsidP="00D14288">
            <w:pPr>
              <w:ind w:right="-144"/>
              <w:jc w:val="both"/>
            </w:pPr>
          </w:p>
        </w:tc>
        <w:tc>
          <w:tcPr>
            <w:tcW w:w="5400" w:type="dxa"/>
          </w:tcPr>
          <w:p w14:paraId="4DC48D1B" w14:textId="77777777" w:rsidR="00D14288" w:rsidRPr="00254E64" w:rsidRDefault="00D14288" w:rsidP="00D14288">
            <w:pPr>
              <w:ind w:right="-144"/>
              <w:jc w:val="both"/>
            </w:pPr>
            <w:r w:rsidRPr="00254E64">
              <w:t>Cash and cash equivalents</w:t>
            </w:r>
          </w:p>
        </w:tc>
        <w:tc>
          <w:tcPr>
            <w:tcW w:w="1667" w:type="dxa"/>
          </w:tcPr>
          <w:p w14:paraId="086613B6" w14:textId="2AAA7F4E" w:rsidR="00D14288" w:rsidRDefault="00BC093A" w:rsidP="00D14288">
            <w:pPr>
              <w:tabs>
                <w:tab w:val="decimal" w:pos="1545"/>
              </w:tabs>
              <w:ind w:right="-144"/>
              <w:jc w:val="both"/>
              <w:rPr>
                <w:b/>
                <w:bCs/>
              </w:rPr>
            </w:pPr>
            <w:r>
              <w:rPr>
                <w:b/>
                <w:bCs/>
              </w:rPr>
              <w:t>92,766</w:t>
            </w:r>
          </w:p>
        </w:tc>
        <w:tc>
          <w:tcPr>
            <w:tcW w:w="1701" w:type="dxa"/>
          </w:tcPr>
          <w:p w14:paraId="4F0EEADC" w14:textId="38F5C106" w:rsidR="00D14288" w:rsidRPr="006A34D9" w:rsidRDefault="00D14288" w:rsidP="00D14288">
            <w:pPr>
              <w:tabs>
                <w:tab w:val="decimal" w:pos="1557"/>
              </w:tabs>
              <w:ind w:right="-144"/>
              <w:jc w:val="both"/>
              <w:rPr>
                <w:bCs/>
              </w:rPr>
            </w:pPr>
            <w:r w:rsidRPr="006A34D9">
              <w:rPr>
                <w:bCs/>
              </w:rPr>
              <w:t>63,165</w:t>
            </w:r>
          </w:p>
        </w:tc>
      </w:tr>
      <w:tr w:rsidR="00D14288" w:rsidRPr="00A33586" w14:paraId="4053E1C0" w14:textId="77777777" w:rsidTr="7821F417">
        <w:tc>
          <w:tcPr>
            <w:tcW w:w="446" w:type="dxa"/>
          </w:tcPr>
          <w:p w14:paraId="6C9BE382" w14:textId="77777777" w:rsidR="00D14288" w:rsidRPr="00A33586" w:rsidRDefault="00D14288" w:rsidP="00D14288">
            <w:pPr>
              <w:ind w:right="-144"/>
              <w:jc w:val="both"/>
            </w:pPr>
          </w:p>
        </w:tc>
        <w:tc>
          <w:tcPr>
            <w:tcW w:w="5400" w:type="dxa"/>
          </w:tcPr>
          <w:p w14:paraId="3373D4E9" w14:textId="4B34AF4D" w:rsidR="00D14288" w:rsidRPr="00254E64" w:rsidRDefault="00D14288" w:rsidP="00D14288">
            <w:pPr>
              <w:ind w:right="-144"/>
              <w:jc w:val="both"/>
            </w:pPr>
            <w:r w:rsidRPr="00254E64">
              <w:t>Restricted cash (current)</w:t>
            </w:r>
          </w:p>
        </w:tc>
        <w:tc>
          <w:tcPr>
            <w:tcW w:w="1667" w:type="dxa"/>
          </w:tcPr>
          <w:p w14:paraId="7DBBAAA9" w14:textId="0D167F49" w:rsidR="00D14288" w:rsidRDefault="0059313C" w:rsidP="00D14288">
            <w:pPr>
              <w:tabs>
                <w:tab w:val="decimal" w:pos="1545"/>
              </w:tabs>
              <w:ind w:right="-144"/>
              <w:jc w:val="both"/>
              <w:rPr>
                <w:b/>
                <w:bCs/>
              </w:rPr>
            </w:pPr>
            <w:r>
              <w:rPr>
                <w:b/>
                <w:bCs/>
              </w:rPr>
              <w:t>458</w:t>
            </w:r>
          </w:p>
        </w:tc>
        <w:tc>
          <w:tcPr>
            <w:tcW w:w="1701" w:type="dxa"/>
          </w:tcPr>
          <w:p w14:paraId="238F0231" w14:textId="1F996A87" w:rsidR="00D14288" w:rsidRPr="006A34D9" w:rsidRDefault="00D14288" w:rsidP="00D14288">
            <w:pPr>
              <w:tabs>
                <w:tab w:val="decimal" w:pos="1557"/>
              </w:tabs>
              <w:ind w:right="-144"/>
              <w:jc w:val="both"/>
              <w:rPr>
                <w:bCs/>
              </w:rPr>
            </w:pPr>
            <w:r w:rsidRPr="006A34D9">
              <w:rPr>
                <w:bCs/>
              </w:rPr>
              <w:t>458</w:t>
            </w:r>
          </w:p>
        </w:tc>
      </w:tr>
      <w:tr w:rsidR="00D14288" w:rsidRPr="00A33586" w14:paraId="307C4D98" w14:textId="77777777" w:rsidTr="7821F417">
        <w:tc>
          <w:tcPr>
            <w:tcW w:w="446" w:type="dxa"/>
          </w:tcPr>
          <w:p w14:paraId="4399D4FD" w14:textId="77777777" w:rsidR="00D14288" w:rsidRPr="00A33586" w:rsidRDefault="00D14288" w:rsidP="00D14288">
            <w:pPr>
              <w:ind w:right="-144"/>
              <w:jc w:val="both"/>
            </w:pPr>
          </w:p>
        </w:tc>
        <w:tc>
          <w:tcPr>
            <w:tcW w:w="5400" w:type="dxa"/>
          </w:tcPr>
          <w:p w14:paraId="7F8CD1DC" w14:textId="77777777" w:rsidR="00D14288" w:rsidRPr="00A33586" w:rsidRDefault="00D14288" w:rsidP="00D14288">
            <w:pPr>
              <w:ind w:right="-144"/>
              <w:jc w:val="both"/>
            </w:pPr>
          </w:p>
        </w:tc>
        <w:tc>
          <w:tcPr>
            <w:tcW w:w="1667" w:type="dxa"/>
          </w:tcPr>
          <w:p w14:paraId="585BF0F6" w14:textId="77777777" w:rsidR="00D14288" w:rsidRPr="00A33586" w:rsidRDefault="00D14288" w:rsidP="00D14288">
            <w:pPr>
              <w:tabs>
                <w:tab w:val="decimal" w:pos="1545"/>
              </w:tabs>
              <w:ind w:right="-144"/>
              <w:jc w:val="both"/>
              <w:rPr>
                <w:u w:val="single"/>
              </w:rPr>
            </w:pPr>
            <w:r w:rsidRPr="7821F417">
              <w:rPr>
                <w:u w:val="single"/>
              </w:rPr>
              <w:t>                  </w:t>
            </w:r>
          </w:p>
        </w:tc>
        <w:tc>
          <w:tcPr>
            <w:tcW w:w="1701" w:type="dxa"/>
          </w:tcPr>
          <w:p w14:paraId="5A37F9F0" w14:textId="77777777" w:rsidR="00D14288" w:rsidRPr="00860AEA" w:rsidRDefault="00D14288" w:rsidP="00D14288">
            <w:pPr>
              <w:tabs>
                <w:tab w:val="decimal" w:pos="1557"/>
              </w:tabs>
              <w:ind w:right="-144"/>
              <w:jc w:val="both"/>
              <w:rPr>
                <w:u w:val="single"/>
              </w:rPr>
            </w:pPr>
            <w:r w:rsidRPr="7821F417">
              <w:rPr>
                <w:u w:val="single"/>
              </w:rPr>
              <w:t>                  </w:t>
            </w:r>
          </w:p>
        </w:tc>
      </w:tr>
      <w:tr w:rsidR="00D14288" w:rsidRPr="00A33586" w14:paraId="73F05308" w14:textId="77777777" w:rsidTr="7821F417">
        <w:tc>
          <w:tcPr>
            <w:tcW w:w="446" w:type="dxa"/>
          </w:tcPr>
          <w:p w14:paraId="2BB99F28" w14:textId="77777777" w:rsidR="00D14288" w:rsidRPr="00A33586" w:rsidRDefault="00D14288" w:rsidP="00D14288">
            <w:pPr>
              <w:ind w:right="-144"/>
              <w:jc w:val="both"/>
            </w:pPr>
          </w:p>
        </w:tc>
        <w:tc>
          <w:tcPr>
            <w:tcW w:w="5400" w:type="dxa"/>
          </w:tcPr>
          <w:p w14:paraId="0B1B7A55" w14:textId="77777777" w:rsidR="00D14288" w:rsidRPr="00A33586" w:rsidRDefault="00D14288" w:rsidP="00D14288">
            <w:pPr>
              <w:ind w:right="-144"/>
              <w:jc w:val="both"/>
            </w:pPr>
          </w:p>
        </w:tc>
        <w:tc>
          <w:tcPr>
            <w:tcW w:w="1667" w:type="dxa"/>
          </w:tcPr>
          <w:p w14:paraId="3830B638" w14:textId="77777777" w:rsidR="00D14288" w:rsidRPr="00A33586" w:rsidRDefault="00D14288" w:rsidP="00D14288">
            <w:pPr>
              <w:tabs>
                <w:tab w:val="decimal" w:pos="1545"/>
              </w:tabs>
              <w:ind w:right="-144"/>
              <w:jc w:val="both"/>
              <w:rPr>
                <w:b/>
                <w:bCs/>
              </w:rPr>
            </w:pPr>
          </w:p>
        </w:tc>
        <w:tc>
          <w:tcPr>
            <w:tcW w:w="1701" w:type="dxa"/>
          </w:tcPr>
          <w:p w14:paraId="3FCB43AE" w14:textId="77777777" w:rsidR="00D14288" w:rsidRPr="00860AEA" w:rsidRDefault="00D14288" w:rsidP="00D14288">
            <w:pPr>
              <w:tabs>
                <w:tab w:val="decimal" w:pos="1557"/>
              </w:tabs>
              <w:ind w:right="-144"/>
              <w:jc w:val="both"/>
            </w:pPr>
          </w:p>
        </w:tc>
      </w:tr>
      <w:tr w:rsidR="00D14288" w:rsidRPr="00A33586" w14:paraId="491D2679" w14:textId="77777777" w:rsidTr="7821F417">
        <w:tc>
          <w:tcPr>
            <w:tcW w:w="446" w:type="dxa"/>
          </w:tcPr>
          <w:p w14:paraId="65AE5E87" w14:textId="77777777" w:rsidR="00D14288" w:rsidRPr="00A33586" w:rsidRDefault="00D14288" w:rsidP="00D14288">
            <w:pPr>
              <w:ind w:right="-144"/>
              <w:jc w:val="both"/>
            </w:pPr>
          </w:p>
        </w:tc>
        <w:tc>
          <w:tcPr>
            <w:tcW w:w="5400" w:type="dxa"/>
          </w:tcPr>
          <w:p w14:paraId="6D6D4E5C" w14:textId="77777777" w:rsidR="00D14288" w:rsidRPr="00A33586" w:rsidRDefault="00D14288" w:rsidP="00D14288">
            <w:pPr>
              <w:ind w:right="-144"/>
              <w:jc w:val="both"/>
              <w:rPr>
                <w:b/>
                <w:bCs/>
              </w:rPr>
            </w:pPr>
            <w:r w:rsidRPr="7821F417">
              <w:rPr>
                <w:b/>
                <w:bCs/>
              </w:rPr>
              <w:t>Total financial assets</w:t>
            </w:r>
          </w:p>
        </w:tc>
        <w:tc>
          <w:tcPr>
            <w:tcW w:w="1667" w:type="dxa"/>
          </w:tcPr>
          <w:p w14:paraId="15642027" w14:textId="681FED25" w:rsidR="00D14288" w:rsidRDefault="007A572B" w:rsidP="00D14288">
            <w:pPr>
              <w:tabs>
                <w:tab w:val="decimal" w:pos="1545"/>
              </w:tabs>
              <w:ind w:right="-144"/>
              <w:jc w:val="both"/>
              <w:rPr>
                <w:b/>
                <w:bCs/>
              </w:rPr>
            </w:pPr>
            <w:r>
              <w:rPr>
                <w:b/>
                <w:bCs/>
              </w:rPr>
              <w:t>263,617</w:t>
            </w:r>
          </w:p>
        </w:tc>
        <w:tc>
          <w:tcPr>
            <w:tcW w:w="1701" w:type="dxa"/>
          </w:tcPr>
          <w:p w14:paraId="3D322E0B" w14:textId="3CE48ACB" w:rsidR="00D14288" w:rsidRPr="00A4242B" w:rsidRDefault="00D14288" w:rsidP="00D14288">
            <w:pPr>
              <w:tabs>
                <w:tab w:val="decimal" w:pos="1557"/>
              </w:tabs>
              <w:ind w:right="-144"/>
              <w:jc w:val="both"/>
              <w:rPr>
                <w:bCs/>
              </w:rPr>
            </w:pPr>
            <w:r w:rsidRPr="00A4242B">
              <w:rPr>
                <w:bCs/>
              </w:rPr>
              <w:t>235,557</w:t>
            </w:r>
          </w:p>
        </w:tc>
      </w:tr>
      <w:tr w:rsidR="00D14288" w:rsidRPr="00A33586" w14:paraId="7480604C" w14:textId="77777777" w:rsidTr="7821F417">
        <w:trPr>
          <w:trHeight w:val="344"/>
        </w:trPr>
        <w:tc>
          <w:tcPr>
            <w:tcW w:w="446" w:type="dxa"/>
          </w:tcPr>
          <w:p w14:paraId="7E59DEEC" w14:textId="77777777" w:rsidR="00D14288" w:rsidRPr="00A33586" w:rsidRDefault="00D14288" w:rsidP="00D14288">
            <w:pPr>
              <w:ind w:right="-144"/>
              <w:jc w:val="both"/>
            </w:pPr>
          </w:p>
        </w:tc>
        <w:tc>
          <w:tcPr>
            <w:tcW w:w="5400" w:type="dxa"/>
          </w:tcPr>
          <w:p w14:paraId="58CA044F" w14:textId="77777777" w:rsidR="00D14288" w:rsidRPr="00A33586" w:rsidRDefault="00D14288" w:rsidP="00D14288">
            <w:pPr>
              <w:ind w:right="-144"/>
              <w:jc w:val="both"/>
            </w:pPr>
          </w:p>
        </w:tc>
        <w:tc>
          <w:tcPr>
            <w:tcW w:w="1667" w:type="dxa"/>
          </w:tcPr>
          <w:p w14:paraId="59143F36" w14:textId="6724697C" w:rsidR="00D14288" w:rsidRPr="00A33586" w:rsidRDefault="00D14288" w:rsidP="00D14288">
            <w:pPr>
              <w:tabs>
                <w:tab w:val="decimal" w:pos="1545"/>
              </w:tabs>
              <w:ind w:right="-144"/>
              <w:jc w:val="both"/>
              <w:rPr>
                <w:u w:val="double"/>
              </w:rPr>
            </w:pPr>
            <w:r w:rsidRPr="7821F417">
              <w:rPr>
                <w:u w:val="double"/>
              </w:rPr>
              <w:t>                  </w:t>
            </w:r>
          </w:p>
        </w:tc>
        <w:tc>
          <w:tcPr>
            <w:tcW w:w="1701" w:type="dxa"/>
          </w:tcPr>
          <w:p w14:paraId="78C9E5C3" w14:textId="77777777" w:rsidR="00D14288" w:rsidRPr="00860AEA" w:rsidRDefault="00D14288" w:rsidP="00D14288">
            <w:pPr>
              <w:tabs>
                <w:tab w:val="decimal" w:pos="1557"/>
              </w:tabs>
              <w:ind w:right="-144"/>
              <w:jc w:val="both"/>
              <w:rPr>
                <w:u w:val="double"/>
              </w:rPr>
            </w:pPr>
            <w:r w:rsidRPr="7821F417">
              <w:rPr>
                <w:u w:val="double"/>
              </w:rPr>
              <w:t>                  </w:t>
            </w:r>
          </w:p>
        </w:tc>
      </w:tr>
    </w:tbl>
    <w:p w14:paraId="2E904569" w14:textId="77777777" w:rsidR="001674F4" w:rsidRDefault="001674F4" w:rsidP="00F6208D">
      <w:pPr>
        <w:pStyle w:val="NotesBody"/>
        <w:ind w:left="0"/>
        <w:jc w:val="both"/>
      </w:pPr>
    </w:p>
    <w:p w14:paraId="726808AB" w14:textId="6221EBE1" w:rsidR="002A2F62" w:rsidRDefault="002A2F62" w:rsidP="005C02FC">
      <w:pPr>
        <w:pStyle w:val="NotesBody"/>
        <w:jc w:val="both"/>
      </w:pPr>
      <w:r>
        <w:t>Cash and cash equivalents are short-term deposits</w:t>
      </w:r>
      <w:r w:rsidR="008557BC">
        <w:t xml:space="preserve"> held at variable rates</w:t>
      </w:r>
      <w:r>
        <w:t>.</w:t>
      </w:r>
    </w:p>
    <w:p w14:paraId="082FE9B9" w14:textId="77777777" w:rsidR="008F1392" w:rsidRDefault="008F1392" w:rsidP="005C02FC">
      <w:pPr>
        <w:pStyle w:val="NotesBody"/>
        <w:ind w:left="0"/>
        <w:jc w:val="both"/>
      </w:pPr>
    </w:p>
    <w:tbl>
      <w:tblPr>
        <w:tblW w:w="0" w:type="auto"/>
        <w:tblLayout w:type="fixed"/>
        <w:tblCellMar>
          <w:left w:w="0" w:type="dxa"/>
          <w:right w:w="115" w:type="dxa"/>
        </w:tblCellMar>
        <w:tblLook w:val="04A0" w:firstRow="1" w:lastRow="0" w:firstColumn="1" w:lastColumn="0" w:noHBand="0" w:noVBand="1"/>
      </w:tblPr>
      <w:tblGrid>
        <w:gridCol w:w="446"/>
        <w:gridCol w:w="5400"/>
        <w:gridCol w:w="1667"/>
        <w:gridCol w:w="1701"/>
      </w:tblGrid>
      <w:tr w:rsidR="00E73C39" w:rsidRPr="00A33586" w14:paraId="37F41344" w14:textId="77777777" w:rsidTr="7821F417">
        <w:tc>
          <w:tcPr>
            <w:tcW w:w="446" w:type="dxa"/>
          </w:tcPr>
          <w:p w14:paraId="0FC8837F" w14:textId="77777777" w:rsidR="00E73C39" w:rsidRPr="00A33586" w:rsidRDefault="00E73C39" w:rsidP="005C02FC">
            <w:pPr>
              <w:jc w:val="both"/>
            </w:pPr>
          </w:p>
        </w:tc>
        <w:tc>
          <w:tcPr>
            <w:tcW w:w="5400" w:type="dxa"/>
          </w:tcPr>
          <w:p w14:paraId="1A6947C0" w14:textId="77777777" w:rsidR="00E73C39" w:rsidRPr="00A33586" w:rsidRDefault="00E73C39" w:rsidP="005C02FC">
            <w:pPr>
              <w:jc w:val="both"/>
            </w:pPr>
          </w:p>
        </w:tc>
        <w:tc>
          <w:tcPr>
            <w:tcW w:w="3368" w:type="dxa"/>
            <w:gridSpan w:val="2"/>
          </w:tcPr>
          <w:p w14:paraId="12C55900" w14:textId="45AB0AA3" w:rsidR="00E73C39" w:rsidRPr="00FD2A5E" w:rsidRDefault="00E73C39" w:rsidP="7821F417">
            <w:pPr>
              <w:tabs>
                <w:tab w:val="decimal" w:pos="1424"/>
              </w:tabs>
              <w:ind w:right="43"/>
              <w:jc w:val="center"/>
              <w:rPr>
                <w:b/>
                <w:bCs/>
              </w:rPr>
            </w:pPr>
            <w:r w:rsidRPr="7821F417">
              <w:rPr>
                <w:b/>
                <w:bCs/>
              </w:rPr>
              <w:t>Carrying amount</w:t>
            </w:r>
          </w:p>
        </w:tc>
      </w:tr>
      <w:tr w:rsidR="00E73C39" w:rsidRPr="00A33586" w14:paraId="5D420478" w14:textId="77777777" w:rsidTr="7821F417">
        <w:tc>
          <w:tcPr>
            <w:tcW w:w="446" w:type="dxa"/>
          </w:tcPr>
          <w:p w14:paraId="661EF755" w14:textId="77777777" w:rsidR="00E73C39" w:rsidRPr="00A33586" w:rsidRDefault="00E73C39" w:rsidP="005C02FC">
            <w:pPr>
              <w:jc w:val="both"/>
            </w:pPr>
          </w:p>
        </w:tc>
        <w:tc>
          <w:tcPr>
            <w:tcW w:w="5400" w:type="dxa"/>
          </w:tcPr>
          <w:p w14:paraId="4D0377C8" w14:textId="77777777" w:rsidR="00E73C39" w:rsidRPr="00A33586" w:rsidRDefault="00E73C39" w:rsidP="008970C8">
            <w:pPr>
              <w:jc w:val="right"/>
            </w:pPr>
          </w:p>
        </w:tc>
        <w:tc>
          <w:tcPr>
            <w:tcW w:w="3368" w:type="dxa"/>
            <w:gridSpan w:val="2"/>
          </w:tcPr>
          <w:p w14:paraId="267E7B04" w14:textId="5B550CDF" w:rsidR="00E73C39" w:rsidRPr="00FD2A5E" w:rsidRDefault="00E73C39" w:rsidP="7821F417">
            <w:pPr>
              <w:tabs>
                <w:tab w:val="decimal" w:pos="1424"/>
              </w:tabs>
              <w:ind w:right="43"/>
              <w:jc w:val="center"/>
              <w:rPr>
                <w:b/>
                <w:bCs/>
              </w:rPr>
            </w:pPr>
            <w:r w:rsidRPr="7821F417">
              <w:rPr>
                <w:b/>
                <w:bCs/>
              </w:rPr>
              <w:t>Other financial liabilities</w:t>
            </w:r>
          </w:p>
        </w:tc>
      </w:tr>
      <w:tr w:rsidR="006472ED" w:rsidRPr="00A33586" w14:paraId="75189320" w14:textId="77777777" w:rsidTr="7821F417">
        <w:tc>
          <w:tcPr>
            <w:tcW w:w="446" w:type="dxa"/>
          </w:tcPr>
          <w:p w14:paraId="4A9D8ABF" w14:textId="77777777" w:rsidR="006472ED" w:rsidRPr="00A33586" w:rsidRDefault="006472ED" w:rsidP="005C02FC">
            <w:pPr>
              <w:jc w:val="both"/>
            </w:pPr>
          </w:p>
        </w:tc>
        <w:tc>
          <w:tcPr>
            <w:tcW w:w="5400" w:type="dxa"/>
          </w:tcPr>
          <w:p w14:paraId="18E0ACB0" w14:textId="5DD7AFFA" w:rsidR="006472ED" w:rsidRPr="00A33586" w:rsidRDefault="006472ED" w:rsidP="005C02FC">
            <w:pPr>
              <w:jc w:val="both"/>
            </w:pPr>
          </w:p>
        </w:tc>
        <w:tc>
          <w:tcPr>
            <w:tcW w:w="1667" w:type="dxa"/>
          </w:tcPr>
          <w:p w14:paraId="7E4D939B" w14:textId="77777777" w:rsidR="006472ED" w:rsidRDefault="00EB2864" w:rsidP="7821F417">
            <w:pPr>
              <w:tabs>
                <w:tab w:val="decimal" w:pos="1514"/>
              </w:tabs>
              <w:ind w:right="43"/>
              <w:jc w:val="both"/>
              <w:rPr>
                <w:b/>
                <w:bCs/>
              </w:rPr>
            </w:pPr>
            <w:r w:rsidRPr="7821F417">
              <w:rPr>
                <w:b/>
                <w:bCs/>
              </w:rPr>
              <w:t>30 June</w:t>
            </w:r>
          </w:p>
        </w:tc>
        <w:tc>
          <w:tcPr>
            <w:tcW w:w="1701" w:type="dxa"/>
          </w:tcPr>
          <w:p w14:paraId="01249FF1" w14:textId="77777777" w:rsidR="006472ED" w:rsidRPr="00FD2A5E" w:rsidRDefault="006472ED" w:rsidP="7821F417">
            <w:pPr>
              <w:tabs>
                <w:tab w:val="decimal" w:pos="1129"/>
              </w:tabs>
              <w:ind w:right="20"/>
              <w:jc w:val="both"/>
              <w:rPr>
                <w:b/>
                <w:bCs/>
              </w:rPr>
            </w:pPr>
            <w:r w:rsidRPr="7821F417">
              <w:rPr>
                <w:b/>
                <w:bCs/>
              </w:rPr>
              <w:t>31 December</w:t>
            </w:r>
          </w:p>
        </w:tc>
      </w:tr>
      <w:tr w:rsidR="006472ED" w:rsidRPr="00A33586" w14:paraId="4CB13FD6" w14:textId="77777777" w:rsidTr="7821F417">
        <w:tc>
          <w:tcPr>
            <w:tcW w:w="446" w:type="dxa"/>
          </w:tcPr>
          <w:p w14:paraId="4AD123C4" w14:textId="77777777" w:rsidR="006472ED" w:rsidRPr="00A33586" w:rsidRDefault="006472ED" w:rsidP="005C02FC">
            <w:pPr>
              <w:ind w:right="-144"/>
              <w:jc w:val="both"/>
            </w:pPr>
          </w:p>
        </w:tc>
        <w:tc>
          <w:tcPr>
            <w:tcW w:w="5400" w:type="dxa"/>
          </w:tcPr>
          <w:p w14:paraId="54560638" w14:textId="77777777" w:rsidR="006472ED" w:rsidRPr="00A33586" w:rsidRDefault="006472ED" w:rsidP="005C02FC">
            <w:pPr>
              <w:ind w:right="-144"/>
              <w:jc w:val="both"/>
            </w:pPr>
          </w:p>
        </w:tc>
        <w:tc>
          <w:tcPr>
            <w:tcW w:w="1667" w:type="dxa"/>
          </w:tcPr>
          <w:p w14:paraId="03398164" w14:textId="402E41AF" w:rsidR="006472ED" w:rsidRPr="00A33586" w:rsidRDefault="373CB027" w:rsidP="7821F417">
            <w:pPr>
              <w:tabs>
                <w:tab w:val="decimal" w:pos="1557"/>
              </w:tabs>
              <w:ind w:right="-144"/>
              <w:jc w:val="both"/>
              <w:rPr>
                <w:b/>
                <w:bCs/>
              </w:rPr>
            </w:pPr>
            <w:r w:rsidRPr="7821F417">
              <w:rPr>
                <w:b/>
                <w:bCs/>
              </w:rPr>
              <w:t>202</w:t>
            </w:r>
            <w:r w:rsidR="00351A08">
              <w:rPr>
                <w:b/>
                <w:bCs/>
              </w:rPr>
              <w:t>5</w:t>
            </w:r>
          </w:p>
        </w:tc>
        <w:tc>
          <w:tcPr>
            <w:tcW w:w="1701" w:type="dxa"/>
          </w:tcPr>
          <w:p w14:paraId="50259425" w14:textId="784597F2" w:rsidR="0037272D" w:rsidRPr="00FD2A5E" w:rsidRDefault="007379F2" w:rsidP="7821F417">
            <w:pPr>
              <w:tabs>
                <w:tab w:val="decimal" w:pos="1554"/>
              </w:tabs>
              <w:ind w:right="-144"/>
              <w:jc w:val="both"/>
              <w:rPr>
                <w:b/>
                <w:bCs/>
              </w:rPr>
            </w:pPr>
            <w:r>
              <w:rPr>
                <w:b/>
                <w:bCs/>
              </w:rPr>
              <w:t>202</w:t>
            </w:r>
            <w:r w:rsidR="00351A08">
              <w:rPr>
                <w:b/>
                <w:bCs/>
              </w:rPr>
              <w:t>4</w:t>
            </w:r>
          </w:p>
        </w:tc>
      </w:tr>
      <w:tr w:rsidR="006472ED" w:rsidRPr="00A33586" w14:paraId="61BEFDC8" w14:textId="77777777" w:rsidTr="7821F417">
        <w:tc>
          <w:tcPr>
            <w:tcW w:w="446" w:type="dxa"/>
          </w:tcPr>
          <w:p w14:paraId="46EAD0E7" w14:textId="77777777" w:rsidR="006472ED" w:rsidRPr="00A33586" w:rsidRDefault="006472ED" w:rsidP="005C02FC">
            <w:pPr>
              <w:ind w:right="-144"/>
              <w:jc w:val="both"/>
            </w:pPr>
          </w:p>
        </w:tc>
        <w:tc>
          <w:tcPr>
            <w:tcW w:w="5400" w:type="dxa"/>
          </w:tcPr>
          <w:p w14:paraId="395D17CB" w14:textId="6F1B5E76" w:rsidR="006472ED" w:rsidRPr="00A33586" w:rsidRDefault="00E40A9A" w:rsidP="005C02FC">
            <w:pPr>
              <w:ind w:right="-144"/>
              <w:jc w:val="both"/>
            </w:pPr>
            <w:r w:rsidRPr="7821F417">
              <w:rPr>
                <w:b/>
                <w:bCs/>
              </w:rPr>
              <w:t>Financial liabilities not measured at fair value</w:t>
            </w:r>
          </w:p>
        </w:tc>
        <w:tc>
          <w:tcPr>
            <w:tcW w:w="1667" w:type="dxa"/>
          </w:tcPr>
          <w:p w14:paraId="43669379" w14:textId="77777777" w:rsidR="006472ED" w:rsidRPr="00A33586" w:rsidRDefault="006472ED" w:rsidP="7821F417">
            <w:pPr>
              <w:tabs>
                <w:tab w:val="decimal" w:pos="1557"/>
              </w:tabs>
              <w:ind w:right="-144"/>
              <w:jc w:val="both"/>
              <w:rPr>
                <w:b/>
                <w:bCs/>
              </w:rPr>
            </w:pPr>
            <w:r w:rsidRPr="7821F417">
              <w:rPr>
                <w:b/>
                <w:bCs/>
              </w:rPr>
              <w:t>€’000</w:t>
            </w:r>
          </w:p>
        </w:tc>
        <w:tc>
          <w:tcPr>
            <w:tcW w:w="1701" w:type="dxa"/>
          </w:tcPr>
          <w:p w14:paraId="513462CC" w14:textId="77777777" w:rsidR="006472ED" w:rsidRPr="00FD2A5E" w:rsidRDefault="006472ED" w:rsidP="7821F417">
            <w:pPr>
              <w:tabs>
                <w:tab w:val="decimal" w:pos="1554"/>
              </w:tabs>
              <w:ind w:right="-144"/>
              <w:jc w:val="both"/>
              <w:rPr>
                <w:b/>
                <w:bCs/>
              </w:rPr>
            </w:pPr>
            <w:r w:rsidRPr="7821F417">
              <w:rPr>
                <w:b/>
                <w:bCs/>
              </w:rPr>
              <w:t>€’000</w:t>
            </w:r>
          </w:p>
        </w:tc>
      </w:tr>
      <w:tr w:rsidR="00E73C39" w:rsidRPr="00A33586" w14:paraId="5B02BDD4" w14:textId="77777777" w:rsidTr="7821F417">
        <w:tc>
          <w:tcPr>
            <w:tcW w:w="446" w:type="dxa"/>
          </w:tcPr>
          <w:p w14:paraId="426FFF00" w14:textId="77777777" w:rsidR="00E73C39" w:rsidRPr="00A33586" w:rsidRDefault="00E73C39" w:rsidP="005C02FC">
            <w:pPr>
              <w:ind w:right="-144"/>
              <w:jc w:val="both"/>
            </w:pPr>
          </w:p>
        </w:tc>
        <w:tc>
          <w:tcPr>
            <w:tcW w:w="5400" w:type="dxa"/>
          </w:tcPr>
          <w:p w14:paraId="5D96866E" w14:textId="77777777" w:rsidR="00E73C39" w:rsidRPr="00A33586" w:rsidRDefault="00E73C39" w:rsidP="005C02FC">
            <w:pPr>
              <w:ind w:right="-144"/>
              <w:jc w:val="both"/>
            </w:pPr>
          </w:p>
        </w:tc>
        <w:tc>
          <w:tcPr>
            <w:tcW w:w="1667" w:type="dxa"/>
          </w:tcPr>
          <w:p w14:paraId="72B00539" w14:textId="77777777" w:rsidR="00E73C39" w:rsidRPr="00A33586" w:rsidRDefault="00E73C39" w:rsidP="7821F417">
            <w:pPr>
              <w:tabs>
                <w:tab w:val="decimal" w:pos="1545"/>
              </w:tabs>
              <w:ind w:right="-144"/>
              <w:jc w:val="both"/>
              <w:rPr>
                <w:b/>
                <w:bCs/>
              </w:rPr>
            </w:pPr>
          </w:p>
        </w:tc>
        <w:tc>
          <w:tcPr>
            <w:tcW w:w="1701" w:type="dxa"/>
          </w:tcPr>
          <w:p w14:paraId="65C53EAF" w14:textId="77777777" w:rsidR="00E73C39" w:rsidRPr="00EB7DCD" w:rsidRDefault="00E73C39" w:rsidP="005C02FC">
            <w:pPr>
              <w:tabs>
                <w:tab w:val="decimal" w:pos="1424"/>
              </w:tabs>
              <w:ind w:right="-144"/>
              <w:jc w:val="both"/>
            </w:pPr>
          </w:p>
        </w:tc>
      </w:tr>
      <w:tr w:rsidR="00351A08" w:rsidRPr="00A33586" w14:paraId="59AE5634" w14:textId="77777777" w:rsidTr="7821F417">
        <w:tc>
          <w:tcPr>
            <w:tcW w:w="446" w:type="dxa"/>
          </w:tcPr>
          <w:p w14:paraId="3FB93C37" w14:textId="77777777" w:rsidR="00351A08" w:rsidRPr="00A33586" w:rsidRDefault="00351A08" w:rsidP="00351A08">
            <w:pPr>
              <w:ind w:right="-144"/>
              <w:jc w:val="both"/>
            </w:pPr>
          </w:p>
        </w:tc>
        <w:tc>
          <w:tcPr>
            <w:tcW w:w="5400" w:type="dxa"/>
          </w:tcPr>
          <w:p w14:paraId="4047E698" w14:textId="77777777" w:rsidR="00351A08" w:rsidRPr="00844E36" w:rsidRDefault="00351A08" w:rsidP="00351A08">
            <w:pPr>
              <w:ind w:right="-144"/>
              <w:jc w:val="both"/>
            </w:pPr>
            <w:r w:rsidRPr="00844E36">
              <w:t>Trade payables</w:t>
            </w:r>
          </w:p>
        </w:tc>
        <w:tc>
          <w:tcPr>
            <w:tcW w:w="1667" w:type="dxa"/>
          </w:tcPr>
          <w:p w14:paraId="21661C2E" w14:textId="21C81A4F" w:rsidR="00351A08" w:rsidRDefault="002F4E9D" w:rsidP="00351A08">
            <w:pPr>
              <w:tabs>
                <w:tab w:val="decimal" w:pos="1545"/>
              </w:tabs>
              <w:ind w:right="-144"/>
              <w:jc w:val="both"/>
              <w:rPr>
                <w:b/>
                <w:bCs/>
              </w:rPr>
            </w:pPr>
            <w:r>
              <w:rPr>
                <w:b/>
                <w:bCs/>
              </w:rPr>
              <w:t>31,210</w:t>
            </w:r>
          </w:p>
        </w:tc>
        <w:tc>
          <w:tcPr>
            <w:tcW w:w="1701" w:type="dxa"/>
          </w:tcPr>
          <w:p w14:paraId="6553C4B6" w14:textId="2823A35B" w:rsidR="00351A08" w:rsidRPr="00351A08" w:rsidRDefault="00351A08" w:rsidP="00351A08">
            <w:pPr>
              <w:tabs>
                <w:tab w:val="decimal" w:pos="1554"/>
              </w:tabs>
              <w:ind w:right="-144"/>
              <w:jc w:val="both"/>
              <w:rPr>
                <w:bCs/>
              </w:rPr>
            </w:pPr>
            <w:r w:rsidRPr="00351A08">
              <w:rPr>
                <w:bCs/>
              </w:rPr>
              <w:t>11,339</w:t>
            </w:r>
          </w:p>
        </w:tc>
      </w:tr>
      <w:tr w:rsidR="00351A08" w:rsidRPr="00A33586" w14:paraId="742E374E" w14:textId="77777777" w:rsidTr="7821F417">
        <w:tc>
          <w:tcPr>
            <w:tcW w:w="446" w:type="dxa"/>
          </w:tcPr>
          <w:p w14:paraId="2F401E70" w14:textId="77777777" w:rsidR="00351A08" w:rsidRPr="00A33586" w:rsidRDefault="00351A08" w:rsidP="00351A08">
            <w:pPr>
              <w:ind w:right="-144"/>
              <w:jc w:val="both"/>
            </w:pPr>
          </w:p>
        </w:tc>
        <w:tc>
          <w:tcPr>
            <w:tcW w:w="5400" w:type="dxa"/>
          </w:tcPr>
          <w:p w14:paraId="49DC7A24" w14:textId="56AE98E8" w:rsidR="00351A08" w:rsidRPr="00844E36" w:rsidRDefault="00351A08" w:rsidP="00351A08">
            <w:pPr>
              <w:ind w:right="-144"/>
              <w:jc w:val="both"/>
            </w:pPr>
            <w:r w:rsidRPr="00844E36">
              <w:t>Lease liabilities</w:t>
            </w:r>
          </w:p>
        </w:tc>
        <w:tc>
          <w:tcPr>
            <w:tcW w:w="1667" w:type="dxa"/>
          </w:tcPr>
          <w:p w14:paraId="2A468D8C" w14:textId="402E56FA" w:rsidR="00351A08" w:rsidRPr="7821F417" w:rsidRDefault="00A5335B" w:rsidP="00351A08">
            <w:pPr>
              <w:tabs>
                <w:tab w:val="decimal" w:pos="1545"/>
              </w:tabs>
              <w:ind w:right="-144"/>
              <w:jc w:val="both"/>
              <w:rPr>
                <w:b/>
                <w:bCs/>
              </w:rPr>
            </w:pPr>
            <w:r>
              <w:rPr>
                <w:b/>
                <w:bCs/>
              </w:rPr>
              <w:t>4,738</w:t>
            </w:r>
          </w:p>
        </w:tc>
        <w:tc>
          <w:tcPr>
            <w:tcW w:w="1701" w:type="dxa"/>
          </w:tcPr>
          <w:p w14:paraId="6FB0FEDC" w14:textId="4DC2A731" w:rsidR="00351A08" w:rsidRPr="00351A08" w:rsidRDefault="00351A08" w:rsidP="00351A08">
            <w:pPr>
              <w:tabs>
                <w:tab w:val="decimal" w:pos="1554"/>
              </w:tabs>
              <w:ind w:right="-144"/>
              <w:jc w:val="both"/>
              <w:rPr>
                <w:bCs/>
              </w:rPr>
            </w:pPr>
            <w:r w:rsidRPr="00351A08">
              <w:rPr>
                <w:bCs/>
              </w:rPr>
              <w:t>4,415</w:t>
            </w:r>
          </w:p>
        </w:tc>
      </w:tr>
      <w:tr w:rsidR="00351A08" w:rsidRPr="00A33586" w14:paraId="2A0724BA" w14:textId="77777777" w:rsidTr="7821F417">
        <w:tc>
          <w:tcPr>
            <w:tcW w:w="446" w:type="dxa"/>
          </w:tcPr>
          <w:p w14:paraId="60F9DC47" w14:textId="77777777" w:rsidR="00351A08" w:rsidRPr="00A33586" w:rsidRDefault="00351A08" w:rsidP="00351A08">
            <w:pPr>
              <w:ind w:right="-144"/>
              <w:jc w:val="both"/>
            </w:pPr>
          </w:p>
        </w:tc>
        <w:tc>
          <w:tcPr>
            <w:tcW w:w="5400" w:type="dxa"/>
          </w:tcPr>
          <w:p w14:paraId="6C8478C4" w14:textId="6E0C3690" w:rsidR="00351A08" w:rsidRPr="00844E36" w:rsidRDefault="00351A08" w:rsidP="00351A08">
            <w:pPr>
              <w:ind w:right="-144"/>
              <w:jc w:val="both"/>
            </w:pPr>
            <w:r w:rsidRPr="00844E36">
              <w:t>Inventory accruals</w:t>
            </w:r>
          </w:p>
        </w:tc>
        <w:tc>
          <w:tcPr>
            <w:tcW w:w="1667" w:type="dxa"/>
          </w:tcPr>
          <w:p w14:paraId="3119E367" w14:textId="6A3F1457" w:rsidR="00351A08" w:rsidRDefault="002F4E9D" w:rsidP="00351A08">
            <w:pPr>
              <w:tabs>
                <w:tab w:val="decimal" w:pos="1545"/>
              </w:tabs>
              <w:ind w:right="-144"/>
              <w:jc w:val="both"/>
              <w:rPr>
                <w:b/>
                <w:bCs/>
              </w:rPr>
            </w:pPr>
            <w:r>
              <w:rPr>
                <w:b/>
                <w:bCs/>
              </w:rPr>
              <w:t>77,997</w:t>
            </w:r>
          </w:p>
        </w:tc>
        <w:tc>
          <w:tcPr>
            <w:tcW w:w="1701" w:type="dxa"/>
          </w:tcPr>
          <w:p w14:paraId="4935A4FC" w14:textId="4AD628C9" w:rsidR="00351A08" w:rsidRPr="00351A08" w:rsidRDefault="00351A08" w:rsidP="00351A08">
            <w:pPr>
              <w:tabs>
                <w:tab w:val="decimal" w:pos="1554"/>
              </w:tabs>
              <w:ind w:right="-144"/>
              <w:jc w:val="both"/>
              <w:rPr>
                <w:bCs/>
              </w:rPr>
            </w:pPr>
            <w:r w:rsidRPr="00351A08">
              <w:rPr>
                <w:bCs/>
              </w:rPr>
              <w:t>66,135</w:t>
            </w:r>
          </w:p>
        </w:tc>
      </w:tr>
      <w:tr w:rsidR="00351A08" w:rsidRPr="00A33586" w14:paraId="596319FE" w14:textId="77777777" w:rsidTr="7821F417">
        <w:tc>
          <w:tcPr>
            <w:tcW w:w="446" w:type="dxa"/>
          </w:tcPr>
          <w:p w14:paraId="5B09CB4A" w14:textId="77777777" w:rsidR="00351A08" w:rsidRPr="00A33586" w:rsidRDefault="00351A08" w:rsidP="00351A08">
            <w:pPr>
              <w:ind w:right="-144"/>
              <w:jc w:val="both"/>
            </w:pPr>
          </w:p>
        </w:tc>
        <w:tc>
          <w:tcPr>
            <w:tcW w:w="5400" w:type="dxa"/>
          </w:tcPr>
          <w:p w14:paraId="21C8CA40" w14:textId="42D00549" w:rsidR="00351A08" w:rsidRPr="00844E36" w:rsidRDefault="00351A08" w:rsidP="00351A08">
            <w:pPr>
              <w:ind w:right="-144"/>
              <w:jc w:val="both"/>
            </w:pPr>
            <w:r w:rsidRPr="00844E36">
              <w:t>Other accruals</w:t>
            </w:r>
          </w:p>
        </w:tc>
        <w:tc>
          <w:tcPr>
            <w:tcW w:w="1667" w:type="dxa"/>
          </w:tcPr>
          <w:p w14:paraId="2F03B019" w14:textId="2A247DA4" w:rsidR="00351A08" w:rsidRPr="00384399" w:rsidRDefault="002F4E9D" w:rsidP="00351A08">
            <w:pPr>
              <w:tabs>
                <w:tab w:val="decimal" w:pos="1545"/>
              </w:tabs>
              <w:ind w:right="-144"/>
              <w:jc w:val="both"/>
              <w:rPr>
                <w:b/>
                <w:bCs/>
              </w:rPr>
            </w:pPr>
            <w:r>
              <w:rPr>
                <w:b/>
                <w:bCs/>
              </w:rPr>
              <w:t>61,59</w:t>
            </w:r>
            <w:r w:rsidR="00621623">
              <w:rPr>
                <w:b/>
                <w:bCs/>
              </w:rPr>
              <w:t>8</w:t>
            </w:r>
          </w:p>
        </w:tc>
        <w:tc>
          <w:tcPr>
            <w:tcW w:w="1701" w:type="dxa"/>
          </w:tcPr>
          <w:p w14:paraId="3B87876C" w14:textId="1360A5E7" w:rsidR="00351A08" w:rsidRPr="00351A08" w:rsidRDefault="00351A08" w:rsidP="00351A08">
            <w:pPr>
              <w:tabs>
                <w:tab w:val="decimal" w:pos="1554"/>
              </w:tabs>
              <w:ind w:right="-144"/>
              <w:jc w:val="both"/>
              <w:rPr>
                <w:bCs/>
              </w:rPr>
            </w:pPr>
            <w:r w:rsidRPr="00351A08">
              <w:rPr>
                <w:bCs/>
              </w:rPr>
              <w:t>61,061</w:t>
            </w:r>
          </w:p>
        </w:tc>
      </w:tr>
      <w:tr w:rsidR="00351A08" w:rsidRPr="00A33586" w14:paraId="06C6C92C" w14:textId="77777777" w:rsidTr="7821F417">
        <w:tc>
          <w:tcPr>
            <w:tcW w:w="446" w:type="dxa"/>
          </w:tcPr>
          <w:p w14:paraId="44DB4736" w14:textId="77777777" w:rsidR="00351A08" w:rsidRPr="00A33586" w:rsidRDefault="00351A08" w:rsidP="00351A08">
            <w:pPr>
              <w:ind w:right="-144"/>
              <w:jc w:val="both"/>
            </w:pPr>
          </w:p>
        </w:tc>
        <w:tc>
          <w:tcPr>
            <w:tcW w:w="5400" w:type="dxa"/>
          </w:tcPr>
          <w:p w14:paraId="2B47CAEB" w14:textId="4FDCECA7" w:rsidR="00351A08" w:rsidRPr="00844E36" w:rsidRDefault="00351A08" w:rsidP="00351A08">
            <w:pPr>
              <w:ind w:right="-144"/>
              <w:jc w:val="both"/>
            </w:pPr>
            <w:r w:rsidRPr="00844E36">
              <w:t>Loans and borrowings*</w:t>
            </w:r>
          </w:p>
        </w:tc>
        <w:tc>
          <w:tcPr>
            <w:tcW w:w="1667" w:type="dxa"/>
          </w:tcPr>
          <w:p w14:paraId="7C406D36" w14:textId="5D3A87C8" w:rsidR="00351A08" w:rsidRPr="000130A5" w:rsidRDefault="008960EC" w:rsidP="00351A08">
            <w:pPr>
              <w:tabs>
                <w:tab w:val="decimal" w:pos="1545"/>
              </w:tabs>
              <w:ind w:right="-144"/>
              <w:jc w:val="both"/>
              <w:rPr>
                <w:b/>
                <w:bCs/>
              </w:rPr>
            </w:pPr>
            <w:r>
              <w:rPr>
                <w:b/>
                <w:bCs/>
              </w:rPr>
              <w:t>318,36</w:t>
            </w:r>
            <w:r w:rsidR="00A6480F">
              <w:rPr>
                <w:b/>
                <w:bCs/>
              </w:rPr>
              <w:t>7</w:t>
            </w:r>
          </w:p>
        </w:tc>
        <w:tc>
          <w:tcPr>
            <w:tcW w:w="1701" w:type="dxa"/>
          </w:tcPr>
          <w:p w14:paraId="4EAABAA2" w14:textId="3A17F2DB" w:rsidR="00351A08" w:rsidRPr="00351A08" w:rsidRDefault="00351A08" w:rsidP="00351A08">
            <w:pPr>
              <w:tabs>
                <w:tab w:val="decimal" w:pos="1554"/>
              </w:tabs>
              <w:ind w:right="-144"/>
              <w:jc w:val="both"/>
              <w:rPr>
                <w:bCs/>
              </w:rPr>
            </w:pPr>
            <w:r w:rsidRPr="00351A08">
              <w:rPr>
                <w:bCs/>
              </w:rPr>
              <w:t>238,168</w:t>
            </w:r>
          </w:p>
        </w:tc>
      </w:tr>
      <w:tr w:rsidR="006472ED" w:rsidRPr="00A33586" w14:paraId="7711369E" w14:textId="77777777" w:rsidTr="7821F417">
        <w:tc>
          <w:tcPr>
            <w:tcW w:w="446" w:type="dxa"/>
          </w:tcPr>
          <w:p w14:paraId="6F18AA7D" w14:textId="77777777" w:rsidR="006472ED" w:rsidRPr="00A33586" w:rsidRDefault="006472ED" w:rsidP="005C02FC">
            <w:pPr>
              <w:ind w:right="-144"/>
              <w:jc w:val="both"/>
            </w:pPr>
          </w:p>
        </w:tc>
        <w:tc>
          <w:tcPr>
            <w:tcW w:w="5400" w:type="dxa"/>
          </w:tcPr>
          <w:p w14:paraId="20518316" w14:textId="77777777" w:rsidR="006472ED" w:rsidRPr="00A33586" w:rsidRDefault="006472ED" w:rsidP="005C02FC">
            <w:pPr>
              <w:ind w:right="-144"/>
              <w:jc w:val="both"/>
            </w:pPr>
          </w:p>
        </w:tc>
        <w:tc>
          <w:tcPr>
            <w:tcW w:w="1667" w:type="dxa"/>
          </w:tcPr>
          <w:p w14:paraId="721E9843" w14:textId="77777777" w:rsidR="006472ED" w:rsidRPr="00A33586" w:rsidRDefault="006472ED" w:rsidP="006307D1">
            <w:pPr>
              <w:tabs>
                <w:tab w:val="decimal" w:pos="1545"/>
              </w:tabs>
              <w:ind w:right="-144"/>
              <w:jc w:val="both"/>
              <w:rPr>
                <w:u w:val="single"/>
              </w:rPr>
            </w:pPr>
            <w:r w:rsidRPr="7821F417">
              <w:rPr>
                <w:u w:val="single"/>
              </w:rPr>
              <w:t>                  </w:t>
            </w:r>
          </w:p>
        </w:tc>
        <w:tc>
          <w:tcPr>
            <w:tcW w:w="1701" w:type="dxa"/>
          </w:tcPr>
          <w:p w14:paraId="1AC4482A" w14:textId="77777777" w:rsidR="006472ED" w:rsidRPr="00EB7DCD" w:rsidRDefault="006472ED" w:rsidP="00E73C39">
            <w:pPr>
              <w:tabs>
                <w:tab w:val="decimal" w:pos="1554"/>
              </w:tabs>
              <w:ind w:right="-144"/>
              <w:jc w:val="both"/>
              <w:rPr>
                <w:u w:val="single"/>
              </w:rPr>
            </w:pPr>
            <w:r w:rsidRPr="7821F417">
              <w:rPr>
                <w:u w:val="single"/>
              </w:rPr>
              <w:t>                  </w:t>
            </w:r>
          </w:p>
        </w:tc>
      </w:tr>
      <w:tr w:rsidR="006472ED" w:rsidRPr="00A33586" w14:paraId="3BBEE9A0" w14:textId="77777777" w:rsidTr="7821F417">
        <w:tc>
          <w:tcPr>
            <w:tcW w:w="446" w:type="dxa"/>
          </w:tcPr>
          <w:p w14:paraId="6A69308D" w14:textId="77777777" w:rsidR="006472ED" w:rsidRPr="00A33586" w:rsidRDefault="006472ED" w:rsidP="005C02FC">
            <w:pPr>
              <w:ind w:right="-144"/>
              <w:jc w:val="both"/>
            </w:pPr>
          </w:p>
        </w:tc>
        <w:tc>
          <w:tcPr>
            <w:tcW w:w="5400" w:type="dxa"/>
          </w:tcPr>
          <w:p w14:paraId="60787374" w14:textId="77777777" w:rsidR="006472ED" w:rsidRPr="00A33586" w:rsidRDefault="006472ED" w:rsidP="005C02FC">
            <w:pPr>
              <w:ind w:right="-144"/>
              <w:jc w:val="both"/>
            </w:pPr>
          </w:p>
        </w:tc>
        <w:tc>
          <w:tcPr>
            <w:tcW w:w="1667" w:type="dxa"/>
          </w:tcPr>
          <w:p w14:paraId="07F20801" w14:textId="77777777" w:rsidR="006472ED" w:rsidRPr="00A33586" w:rsidRDefault="006472ED" w:rsidP="7821F417">
            <w:pPr>
              <w:tabs>
                <w:tab w:val="decimal" w:pos="1545"/>
              </w:tabs>
              <w:ind w:right="-144"/>
              <w:jc w:val="both"/>
              <w:rPr>
                <w:b/>
                <w:bCs/>
              </w:rPr>
            </w:pPr>
          </w:p>
        </w:tc>
        <w:tc>
          <w:tcPr>
            <w:tcW w:w="1701" w:type="dxa"/>
          </w:tcPr>
          <w:p w14:paraId="6B29C030" w14:textId="77777777" w:rsidR="006472ED" w:rsidRPr="00EB7DCD" w:rsidRDefault="006472ED" w:rsidP="00E73C39">
            <w:pPr>
              <w:tabs>
                <w:tab w:val="decimal" w:pos="1554"/>
              </w:tabs>
              <w:ind w:right="-144"/>
              <w:jc w:val="both"/>
            </w:pPr>
          </w:p>
        </w:tc>
      </w:tr>
      <w:tr w:rsidR="006472ED" w:rsidRPr="00A33586" w14:paraId="055022D9" w14:textId="77777777" w:rsidTr="7821F417">
        <w:tc>
          <w:tcPr>
            <w:tcW w:w="446" w:type="dxa"/>
          </w:tcPr>
          <w:p w14:paraId="26156017" w14:textId="77777777" w:rsidR="006472ED" w:rsidRPr="00A33586" w:rsidRDefault="006472ED" w:rsidP="005C02FC">
            <w:pPr>
              <w:ind w:right="-144"/>
              <w:jc w:val="both"/>
            </w:pPr>
          </w:p>
        </w:tc>
        <w:tc>
          <w:tcPr>
            <w:tcW w:w="5400" w:type="dxa"/>
          </w:tcPr>
          <w:p w14:paraId="1D141857" w14:textId="77777777" w:rsidR="006472ED" w:rsidRPr="003C2696" w:rsidRDefault="006472ED" w:rsidP="7821F417">
            <w:pPr>
              <w:ind w:right="-144"/>
              <w:jc w:val="both"/>
              <w:rPr>
                <w:b/>
                <w:bCs/>
              </w:rPr>
            </w:pPr>
            <w:r w:rsidRPr="7821F417">
              <w:rPr>
                <w:b/>
                <w:bCs/>
              </w:rPr>
              <w:t>Total financial liabilities</w:t>
            </w:r>
          </w:p>
        </w:tc>
        <w:tc>
          <w:tcPr>
            <w:tcW w:w="1667" w:type="dxa"/>
          </w:tcPr>
          <w:p w14:paraId="26F68E1C" w14:textId="5426908B" w:rsidR="006472ED" w:rsidRDefault="009C0E6A" w:rsidP="7821F417">
            <w:pPr>
              <w:tabs>
                <w:tab w:val="decimal" w:pos="1545"/>
              </w:tabs>
              <w:ind w:right="-144"/>
              <w:jc w:val="both"/>
              <w:rPr>
                <w:b/>
                <w:bCs/>
              </w:rPr>
            </w:pPr>
            <w:r>
              <w:rPr>
                <w:b/>
                <w:bCs/>
              </w:rPr>
              <w:t>493,</w:t>
            </w:r>
            <w:r w:rsidR="00081943">
              <w:rPr>
                <w:b/>
                <w:bCs/>
              </w:rPr>
              <w:t>9</w:t>
            </w:r>
            <w:r w:rsidR="00AD18C1">
              <w:rPr>
                <w:b/>
                <w:bCs/>
              </w:rPr>
              <w:t>10</w:t>
            </w:r>
          </w:p>
        </w:tc>
        <w:tc>
          <w:tcPr>
            <w:tcW w:w="1701" w:type="dxa"/>
          </w:tcPr>
          <w:p w14:paraId="5BB68D1B" w14:textId="2EE660F1" w:rsidR="006472ED" w:rsidRPr="005C4851" w:rsidRDefault="005C4851" w:rsidP="00E73C39">
            <w:pPr>
              <w:tabs>
                <w:tab w:val="decimal" w:pos="1554"/>
              </w:tabs>
              <w:ind w:right="-144"/>
              <w:jc w:val="both"/>
              <w:rPr>
                <w:bCs/>
              </w:rPr>
            </w:pPr>
            <w:r w:rsidRPr="005C4851">
              <w:rPr>
                <w:bCs/>
              </w:rPr>
              <w:t>381,118</w:t>
            </w:r>
          </w:p>
        </w:tc>
      </w:tr>
      <w:tr w:rsidR="006472ED" w:rsidRPr="00A33586" w14:paraId="5E834956" w14:textId="77777777" w:rsidTr="7821F417">
        <w:trPr>
          <w:trHeight w:val="297"/>
        </w:trPr>
        <w:tc>
          <w:tcPr>
            <w:tcW w:w="446" w:type="dxa"/>
          </w:tcPr>
          <w:p w14:paraId="6E5590BB" w14:textId="77777777" w:rsidR="006472ED" w:rsidRPr="00A33586" w:rsidRDefault="006472ED" w:rsidP="005C02FC">
            <w:pPr>
              <w:ind w:right="-144"/>
              <w:jc w:val="both"/>
            </w:pPr>
          </w:p>
        </w:tc>
        <w:tc>
          <w:tcPr>
            <w:tcW w:w="5400" w:type="dxa"/>
          </w:tcPr>
          <w:p w14:paraId="639E5516" w14:textId="77777777" w:rsidR="006472ED" w:rsidRPr="00A33586" w:rsidRDefault="006472ED" w:rsidP="7821F417">
            <w:pPr>
              <w:ind w:right="-144"/>
              <w:jc w:val="both"/>
              <w:rPr>
                <w:b/>
                <w:bCs/>
              </w:rPr>
            </w:pPr>
          </w:p>
        </w:tc>
        <w:tc>
          <w:tcPr>
            <w:tcW w:w="1667" w:type="dxa"/>
          </w:tcPr>
          <w:p w14:paraId="4C331046" w14:textId="77777777" w:rsidR="006472ED" w:rsidRPr="00A33586" w:rsidRDefault="006472ED" w:rsidP="006307D1">
            <w:pPr>
              <w:tabs>
                <w:tab w:val="decimal" w:pos="1545"/>
              </w:tabs>
              <w:ind w:right="-144"/>
              <w:jc w:val="both"/>
              <w:rPr>
                <w:u w:val="double"/>
              </w:rPr>
            </w:pPr>
            <w:r w:rsidRPr="7821F417">
              <w:rPr>
                <w:u w:val="double"/>
              </w:rPr>
              <w:t>                  </w:t>
            </w:r>
          </w:p>
        </w:tc>
        <w:tc>
          <w:tcPr>
            <w:tcW w:w="1701" w:type="dxa"/>
          </w:tcPr>
          <w:p w14:paraId="5E041AC1" w14:textId="77777777" w:rsidR="006472ED" w:rsidRPr="00EB7DCD" w:rsidRDefault="006472ED" w:rsidP="00E73C39">
            <w:pPr>
              <w:tabs>
                <w:tab w:val="decimal" w:pos="1554"/>
              </w:tabs>
              <w:ind w:right="-144"/>
              <w:jc w:val="both"/>
              <w:rPr>
                <w:u w:val="double"/>
              </w:rPr>
            </w:pPr>
            <w:r w:rsidRPr="7821F417">
              <w:rPr>
                <w:u w:val="double"/>
              </w:rPr>
              <w:t>                  </w:t>
            </w:r>
          </w:p>
        </w:tc>
      </w:tr>
      <w:bookmarkEnd w:id="24"/>
    </w:tbl>
    <w:p w14:paraId="66CE2EA1" w14:textId="77777777" w:rsidR="00C501F0" w:rsidRDefault="00C501F0" w:rsidP="00A26DC4">
      <w:pPr>
        <w:pStyle w:val="NotesBody"/>
        <w:ind w:left="0"/>
        <w:jc w:val="both"/>
      </w:pPr>
    </w:p>
    <w:p w14:paraId="451F1F07" w14:textId="60FD0C4F" w:rsidR="00D7149B" w:rsidRDefault="006472ED" w:rsidP="008A124B">
      <w:pPr>
        <w:pStyle w:val="NotesBody"/>
        <w:jc w:val="both"/>
      </w:pPr>
      <w:r>
        <w:t>Trade payables and other current liabilities are non-interest bearing.</w:t>
      </w:r>
    </w:p>
    <w:p w14:paraId="342D2AA8" w14:textId="77777777" w:rsidR="00756890" w:rsidRDefault="00756890" w:rsidP="008A124B">
      <w:pPr>
        <w:pStyle w:val="NotesBody"/>
        <w:jc w:val="both"/>
      </w:pPr>
    </w:p>
    <w:p w14:paraId="0928EA74" w14:textId="0D69BE28" w:rsidR="00756890" w:rsidRPr="00C23946" w:rsidRDefault="00756890" w:rsidP="00756890">
      <w:pPr>
        <w:pStyle w:val="NotesBody"/>
        <w:jc w:val="both"/>
        <w:rPr>
          <w:i/>
          <w:sz w:val="18"/>
          <w:szCs w:val="18"/>
        </w:rPr>
      </w:pPr>
      <w:r w:rsidRPr="00840222">
        <w:rPr>
          <w:sz w:val="18"/>
          <w:szCs w:val="18"/>
        </w:rPr>
        <w:t>*</w:t>
      </w:r>
      <w:r w:rsidR="00E93D33" w:rsidRPr="00E93D33">
        <w:t xml:space="preserve"> </w:t>
      </w:r>
      <w:r w:rsidR="00E93D33" w:rsidRPr="00E93D33">
        <w:rPr>
          <w:i/>
          <w:iCs/>
          <w:sz w:val="18"/>
          <w:szCs w:val="18"/>
        </w:rPr>
        <w:t xml:space="preserve">The fair value of the group’s loans and borrowings (Level 2 fair value) is €322.8m </w:t>
      </w:r>
      <w:proofErr w:type="gramStart"/>
      <w:r w:rsidR="00E93D33" w:rsidRPr="00E93D33">
        <w:rPr>
          <w:i/>
          <w:iCs/>
          <w:sz w:val="18"/>
          <w:szCs w:val="18"/>
        </w:rPr>
        <w:t>at</w:t>
      </w:r>
      <w:proofErr w:type="gramEnd"/>
      <w:r w:rsidR="00E93D33" w:rsidRPr="00E93D33">
        <w:rPr>
          <w:i/>
          <w:iCs/>
          <w:sz w:val="18"/>
          <w:szCs w:val="18"/>
        </w:rPr>
        <w:t xml:space="preserve"> 30 June 2025 (31 December 2024: </w:t>
      </w:r>
      <w:r w:rsidR="00585ADF">
        <w:rPr>
          <w:i/>
          <w:iCs/>
          <w:sz w:val="18"/>
          <w:szCs w:val="18"/>
        </w:rPr>
        <w:t>€</w:t>
      </w:r>
      <w:r w:rsidR="00E93D33" w:rsidRPr="00E93D33">
        <w:rPr>
          <w:i/>
          <w:iCs/>
          <w:sz w:val="18"/>
          <w:szCs w:val="18"/>
        </w:rPr>
        <w:t>235</w:t>
      </w:r>
      <w:r w:rsidR="00585ADF">
        <w:rPr>
          <w:i/>
          <w:iCs/>
          <w:sz w:val="18"/>
          <w:szCs w:val="18"/>
        </w:rPr>
        <w:t>.0 million)</w:t>
      </w:r>
      <w:r w:rsidR="00E93D33" w:rsidRPr="00E93D33">
        <w:rPr>
          <w:i/>
          <w:iCs/>
          <w:sz w:val="18"/>
          <w:szCs w:val="18"/>
        </w:rPr>
        <w:t>. The valuation is based on future repayment and interest cashflows discounted at a period-end market interest rate.</w:t>
      </w:r>
    </w:p>
    <w:p w14:paraId="65C868B1" w14:textId="77777777" w:rsidR="008A124B" w:rsidRDefault="008A124B" w:rsidP="00220E34">
      <w:pPr>
        <w:pStyle w:val="NotesBody"/>
        <w:ind w:left="0"/>
        <w:jc w:val="both"/>
      </w:pPr>
    </w:p>
    <w:p w14:paraId="5CC83A39" w14:textId="77777777" w:rsidR="009E07DE" w:rsidRDefault="009E07DE" w:rsidP="00220E34">
      <w:pPr>
        <w:pStyle w:val="NotesBody"/>
        <w:ind w:left="0"/>
        <w:jc w:val="both"/>
      </w:pPr>
    </w:p>
    <w:p w14:paraId="15B771A1" w14:textId="77777777" w:rsidR="009E07DE" w:rsidRDefault="009E07DE" w:rsidP="00220E34">
      <w:pPr>
        <w:pStyle w:val="NotesBody"/>
        <w:ind w:left="0"/>
        <w:jc w:val="both"/>
      </w:pPr>
    </w:p>
    <w:p w14:paraId="3D80C58D" w14:textId="77777777" w:rsidR="009E07DE" w:rsidRDefault="009E07DE" w:rsidP="00220E34">
      <w:pPr>
        <w:pStyle w:val="NotesBody"/>
        <w:ind w:left="0"/>
        <w:jc w:val="both"/>
      </w:pPr>
    </w:p>
    <w:p w14:paraId="59998372" w14:textId="77777777" w:rsidR="009E07DE" w:rsidRDefault="009E07DE" w:rsidP="00220E34">
      <w:pPr>
        <w:pStyle w:val="NotesBody"/>
        <w:ind w:left="0"/>
        <w:jc w:val="both"/>
      </w:pPr>
    </w:p>
    <w:p w14:paraId="09E75F63" w14:textId="77777777" w:rsidR="008E1417" w:rsidRDefault="008E1417" w:rsidP="00220E34">
      <w:pPr>
        <w:pStyle w:val="NotesBody"/>
        <w:ind w:left="0"/>
        <w:jc w:val="both"/>
      </w:pPr>
    </w:p>
    <w:p w14:paraId="00D9F867" w14:textId="77777777" w:rsidR="008E1417" w:rsidRDefault="008E1417" w:rsidP="00220E34">
      <w:pPr>
        <w:pStyle w:val="NotesBody"/>
        <w:ind w:left="0"/>
        <w:jc w:val="both"/>
      </w:pPr>
    </w:p>
    <w:p w14:paraId="5686510E" w14:textId="77777777" w:rsidR="009E07DE" w:rsidRDefault="009E07DE" w:rsidP="00220E34">
      <w:pPr>
        <w:pStyle w:val="NotesBody"/>
        <w:ind w:left="0"/>
        <w:jc w:val="both"/>
      </w:pPr>
    </w:p>
    <w:p w14:paraId="1256E3D9" w14:textId="77777777" w:rsidR="009E07DE" w:rsidRDefault="009E07DE" w:rsidP="00220E34">
      <w:pPr>
        <w:pStyle w:val="NotesBody"/>
        <w:ind w:left="0"/>
        <w:jc w:val="both"/>
      </w:pPr>
    </w:p>
    <w:p w14:paraId="43967A19" w14:textId="77777777" w:rsidR="009E07DE" w:rsidRDefault="009E07DE" w:rsidP="00220E34">
      <w:pPr>
        <w:pStyle w:val="NotesBody"/>
        <w:ind w:left="0"/>
        <w:jc w:val="both"/>
      </w:pPr>
    </w:p>
    <w:p w14:paraId="21966AE2" w14:textId="451B39FF" w:rsidR="009E07DE" w:rsidRDefault="008E1417" w:rsidP="008E1417">
      <w:pPr>
        <w:pStyle w:val="NotesHeading"/>
        <w:jc w:val="both"/>
        <w:rPr>
          <w:b w:val="0"/>
          <w:bCs/>
          <w:i/>
          <w:iCs/>
        </w:rPr>
      </w:pPr>
      <w:r>
        <w:t xml:space="preserve">15 </w:t>
      </w:r>
      <w:r w:rsidR="009E07DE">
        <w:t xml:space="preserve">  </w:t>
      </w:r>
      <w:r>
        <w:t xml:space="preserve"> </w:t>
      </w:r>
      <w:r w:rsidR="009E07DE">
        <w:t xml:space="preserve">Financial instruments and financial risk management </w:t>
      </w:r>
      <w:r w:rsidR="009E07DE">
        <w:rPr>
          <w:b w:val="0"/>
          <w:bCs/>
          <w:i/>
          <w:iCs/>
        </w:rPr>
        <w:t>(continued)</w:t>
      </w:r>
    </w:p>
    <w:p w14:paraId="1552B92B" w14:textId="77777777" w:rsidR="009E07DE" w:rsidRDefault="009E07DE" w:rsidP="00220E34">
      <w:pPr>
        <w:pStyle w:val="NotesBody"/>
        <w:ind w:left="0"/>
        <w:jc w:val="both"/>
      </w:pPr>
    </w:p>
    <w:p w14:paraId="4F57CF68" w14:textId="79F9D213" w:rsidR="00614E3D" w:rsidRDefault="00614E3D" w:rsidP="009E07DE">
      <w:pPr>
        <w:pStyle w:val="NotesBody"/>
        <w:numPr>
          <w:ilvl w:val="0"/>
          <w:numId w:val="22"/>
        </w:numPr>
        <w:rPr>
          <w:b/>
        </w:rPr>
      </w:pPr>
      <w:r w:rsidRPr="008E47EA">
        <w:rPr>
          <w:b/>
        </w:rPr>
        <w:t>Financial risk management objectives and policies</w:t>
      </w:r>
    </w:p>
    <w:p w14:paraId="76BCBA38" w14:textId="77777777" w:rsidR="00614E3D" w:rsidRDefault="00614E3D" w:rsidP="00614E3D">
      <w:pPr>
        <w:pStyle w:val="NotesBody"/>
        <w:rPr>
          <w:b/>
        </w:rPr>
      </w:pPr>
    </w:p>
    <w:p w14:paraId="4140F6B2" w14:textId="77777777" w:rsidR="00614E3D" w:rsidRPr="00A33586" w:rsidRDefault="00614E3D" w:rsidP="00614E3D">
      <w:pPr>
        <w:pStyle w:val="NotesBody"/>
      </w:pPr>
      <w:r w:rsidRPr="00A33586">
        <w:t xml:space="preserve">As </w:t>
      </w:r>
      <w:proofErr w:type="gramStart"/>
      <w:r w:rsidRPr="00A33586">
        <w:t>all of</w:t>
      </w:r>
      <w:proofErr w:type="gramEnd"/>
      <w:r w:rsidRPr="00A33586">
        <w:t xml:space="preserve"> the operations carried out by </w:t>
      </w:r>
      <w:r>
        <w:t>the Group</w:t>
      </w:r>
      <w:r w:rsidRPr="00A33586">
        <w:t xml:space="preserve"> are in </w:t>
      </w:r>
      <w:r>
        <w:t>Euro</w:t>
      </w:r>
      <w:r w:rsidRPr="00A33586">
        <w:t xml:space="preserve"> there is no direct currency risk, and therefore </w:t>
      </w:r>
      <w:r>
        <w:t>the Group’s</w:t>
      </w:r>
      <w:r w:rsidRPr="00A33586">
        <w:t xml:space="preserve"> main financial risks are primarily:</w:t>
      </w:r>
    </w:p>
    <w:p w14:paraId="7444EA58" w14:textId="77777777" w:rsidR="00614E3D" w:rsidRPr="00A33586" w:rsidRDefault="00614E3D" w:rsidP="00614E3D">
      <w:pPr>
        <w:pStyle w:val="NotesBody"/>
      </w:pPr>
    </w:p>
    <w:p w14:paraId="72D0DD04" w14:textId="28A80C75" w:rsidR="0026140B" w:rsidRPr="00A33586" w:rsidRDefault="00614E3D" w:rsidP="00FF49F4">
      <w:pPr>
        <w:pStyle w:val="NotesBody"/>
        <w:numPr>
          <w:ilvl w:val="0"/>
          <w:numId w:val="26"/>
        </w:numPr>
        <w:ind w:left="896" w:hanging="448"/>
      </w:pPr>
      <w:r w:rsidRPr="00A33586">
        <w:t xml:space="preserve">liquidity risk – the risk that suitable funding for </w:t>
      </w:r>
      <w:r>
        <w:t>the Group’s</w:t>
      </w:r>
      <w:r w:rsidRPr="00A33586">
        <w:t xml:space="preserve"> activities may not be </w:t>
      </w:r>
      <w:proofErr w:type="gramStart"/>
      <w:r w:rsidRPr="00A33586">
        <w:t>available;</w:t>
      </w:r>
      <w:proofErr w:type="gramEnd"/>
    </w:p>
    <w:p w14:paraId="5D6DCC74" w14:textId="6C5B20C1" w:rsidR="00AE0D65" w:rsidRDefault="00614E3D" w:rsidP="00AE0D65">
      <w:pPr>
        <w:pStyle w:val="NotesBody"/>
        <w:numPr>
          <w:ilvl w:val="0"/>
          <w:numId w:val="26"/>
        </w:numPr>
        <w:ind w:left="896" w:hanging="448"/>
      </w:pPr>
      <w:r>
        <w:t>market risk – the risk that changes in market prices, such as interest rates will affect the Group’s income or the value of its holdings of financial instruments</w:t>
      </w:r>
      <w:r w:rsidR="00AF3318">
        <w:t>; and</w:t>
      </w:r>
    </w:p>
    <w:p w14:paraId="33B1CCD2" w14:textId="5871A3AE" w:rsidR="00614E3D" w:rsidRDefault="00AE0D65" w:rsidP="00AE0D65">
      <w:pPr>
        <w:pStyle w:val="NotesBody"/>
        <w:numPr>
          <w:ilvl w:val="0"/>
          <w:numId w:val="26"/>
        </w:numPr>
        <w:ind w:left="896" w:hanging="448"/>
      </w:pPr>
      <w:r>
        <w:t xml:space="preserve">credit risk – the risk that a </w:t>
      </w:r>
      <w:proofErr w:type="gramStart"/>
      <w:r>
        <w:t>counter-party</w:t>
      </w:r>
      <w:proofErr w:type="gramEnd"/>
      <w:r>
        <w:t xml:space="preserve"> will default on their contractual obligations resulting in a financial loss to the Group</w:t>
      </w:r>
      <w:r w:rsidR="00AF3318">
        <w:t>.</w:t>
      </w:r>
      <w:r w:rsidR="00614E3D">
        <w:t xml:space="preserve"> </w:t>
      </w:r>
    </w:p>
    <w:p w14:paraId="4251D2F9" w14:textId="77777777" w:rsidR="00A26889" w:rsidRDefault="00A26889" w:rsidP="004A68EE">
      <w:pPr>
        <w:pStyle w:val="NotesBody"/>
        <w:ind w:left="0"/>
      </w:pPr>
    </w:p>
    <w:p w14:paraId="1D980DA3" w14:textId="4C826B0E" w:rsidR="00614E3D" w:rsidRPr="006C2F97" w:rsidRDefault="00614E3D" w:rsidP="00614E3D">
      <w:pPr>
        <w:pStyle w:val="NotesBody"/>
      </w:pPr>
      <w:r w:rsidRPr="006C2F97">
        <w:t xml:space="preserve">This note presents information and quantitative disclosures about </w:t>
      </w:r>
      <w:r>
        <w:t>the Group’s</w:t>
      </w:r>
      <w:r w:rsidRPr="006C2F97">
        <w:t xml:space="preserve"> exposure to each of the above risks, its objectives, policies and processes for measuring and managing risk, and </w:t>
      </w:r>
      <w:r>
        <w:t>the Group’s</w:t>
      </w:r>
      <w:r w:rsidRPr="006C2F97">
        <w:t xml:space="preserve"> management of capital.</w:t>
      </w:r>
    </w:p>
    <w:p w14:paraId="6D4FD99D" w14:textId="77777777" w:rsidR="00614E3D" w:rsidRDefault="00614E3D" w:rsidP="00614E3D">
      <w:pPr>
        <w:pStyle w:val="H1Notes"/>
      </w:pPr>
    </w:p>
    <w:p w14:paraId="2B5C4D1B" w14:textId="77777777" w:rsidR="00614E3D" w:rsidRPr="00A33586" w:rsidRDefault="00614E3D" w:rsidP="00614E3D">
      <w:pPr>
        <w:pStyle w:val="H1Notes"/>
      </w:pPr>
      <w:r w:rsidRPr="00A33586">
        <w:t>Liquidity risk</w:t>
      </w:r>
    </w:p>
    <w:p w14:paraId="0F06BC09" w14:textId="77777777" w:rsidR="00614E3D" w:rsidRPr="00A33586" w:rsidRDefault="00614E3D" w:rsidP="00614E3D">
      <w:pPr>
        <w:pStyle w:val="NotesBody"/>
      </w:pPr>
    </w:p>
    <w:p w14:paraId="106853BA" w14:textId="77777777" w:rsidR="00614E3D" w:rsidRDefault="00614E3D" w:rsidP="00B23D8E">
      <w:pPr>
        <w:pStyle w:val="NotesBody"/>
        <w:jc w:val="both"/>
      </w:pPr>
      <w:r w:rsidRPr="00A33586">
        <w:t xml:space="preserve">Liquidity risk is the risk that </w:t>
      </w:r>
      <w:r>
        <w:t>the Group</w:t>
      </w:r>
      <w:r w:rsidRPr="00A33586">
        <w:t xml:space="preserve"> may not be able to generate sufficient cash reserves to settle its obligations in full as they fall due or can only do so on terms that are materially disadvantageous.</w:t>
      </w:r>
      <w:r>
        <w:t xml:space="preserve"> The Group’s</w:t>
      </w:r>
      <w:r w:rsidRPr="00A33586">
        <w:t xml:space="preserve"> approach to managing liquidity is to ensure, as far as possible, that it will always have sufficient liquidity to meet its liabilities when due, under both normal and stressed conditions, without incurring, unacceptable losses or risking damage to </w:t>
      </w:r>
      <w:r>
        <w:t>the Group’s</w:t>
      </w:r>
      <w:r w:rsidRPr="00A33586">
        <w:t xml:space="preserve"> reputation. </w:t>
      </w:r>
      <w:r>
        <w:t>The Group’s liquidity forecasts consider all planned development expenditure.</w:t>
      </w:r>
    </w:p>
    <w:p w14:paraId="4C3DFF20" w14:textId="77777777" w:rsidR="008C3685" w:rsidRDefault="008C3685" w:rsidP="0099255C">
      <w:pPr>
        <w:pStyle w:val="NotesBody"/>
        <w:ind w:left="0"/>
        <w:jc w:val="both"/>
        <w:rPr>
          <w:rFonts w:cs="Arial"/>
          <w:color w:val="000000" w:themeColor="text1"/>
        </w:rPr>
      </w:pPr>
    </w:p>
    <w:p w14:paraId="73F86337" w14:textId="715945BD" w:rsidR="008C3685" w:rsidRDefault="008C3685" w:rsidP="003F238A">
      <w:pPr>
        <w:pStyle w:val="NotesBody"/>
        <w:jc w:val="both"/>
        <w:rPr>
          <w:rFonts w:cs="Arial"/>
          <w:color w:val="000000" w:themeColor="text1"/>
        </w:rPr>
      </w:pPr>
      <w:r w:rsidRPr="008C3685">
        <w:rPr>
          <w:rFonts w:cs="Arial"/>
          <w:color w:val="000000" w:themeColor="text1"/>
        </w:rPr>
        <w:t>The Group is party to a five-year sustainability linked finance facility of €</w:t>
      </w:r>
      <w:r w:rsidR="00AD3300">
        <w:rPr>
          <w:rFonts w:cs="Arial"/>
          <w:color w:val="000000" w:themeColor="text1"/>
        </w:rPr>
        <w:t>4</w:t>
      </w:r>
      <w:r w:rsidRPr="008C3685">
        <w:rPr>
          <w:rFonts w:cs="Arial"/>
          <w:color w:val="000000" w:themeColor="text1"/>
        </w:rPr>
        <w:t>50.0 million with a syndicate of domestic and international financial institutions, at an interest rate of one-month EURIBOR (subject to a floor of 0 per cent) plus a margin of 2.</w:t>
      </w:r>
      <w:r w:rsidR="00AD3300">
        <w:rPr>
          <w:rFonts w:cs="Arial"/>
          <w:color w:val="000000" w:themeColor="text1"/>
        </w:rPr>
        <w:t>65</w:t>
      </w:r>
      <w:r w:rsidRPr="008C3685">
        <w:rPr>
          <w:rFonts w:cs="Arial"/>
          <w:color w:val="000000" w:themeColor="text1"/>
        </w:rPr>
        <w:t>-2.</w:t>
      </w:r>
      <w:r w:rsidR="00AD3300">
        <w:rPr>
          <w:rFonts w:cs="Arial"/>
          <w:color w:val="000000" w:themeColor="text1"/>
        </w:rPr>
        <w:t>75</w:t>
      </w:r>
      <w:r w:rsidRPr="008C3685">
        <w:rPr>
          <w:rFonts w:cs="Arial"/>
          <w:color w:val="000000" w:themeColor="text1"/>
        </w:rPr>
        <w:t>%</w:t>
      </w:r>
      <w:r w:rsidR="008552EC">
        <w:rPr>
          <w:rFonts w:cs="Arial"/>
          <w:color w:val="000000" w:themeColor="text1"/>
        </w:rPr>
        <w:t xml:space="preserve"> </w:t>
      </w:r>
      <w:r w:rsidR="008552EC" w:rsidRPr="000B2A24">
        <w:rPr>
          <w:i/>
          <w:iCs/>
        </w:rPr>
        <w:t>(</w:t>
      </w:r>
      <w:r w:rsidR="008552EC">
        <w:rPr>
          <w:i/>
          <w:iCs/>
        </w:rPr>
        <w:t>30 June</w:t>
      </w:r>
      <w:r w:rsidR="008552EC" w:rsidRPr="000B2A24">
        <w:rPr>
          <w:i/>
          <w:iCs/>
        </w:rPr>
        <w:t xml:space="preserve"> 202</w:t>
      </w:r>
      <w:r w:rsidR="008552EC">
        <w:rPr>
          <w:i/>
          <w:iCs/>
        </w:rPr>
        <w:t>4</w:t>
      </w:r>
      <w:r w:rsidR="008552EC" w:rsidRPr="000B2A24">
        <w:rPr>
          <w:i/>
          <w:iCs/>
        </w:rPr>
        <w:t>:</w:t>
      </w:r>
      <w:r w:rsidR="008552EC">
        <w:rPr>
          <w:i/>
          <w:iCs/>
        </w:rPr>
        <w:t xml:space="preserve"> 2.7-2.8%)</w:t>
      </w:r>
      <w:r w:rsidRPr="008C3685">
        <w:rPr>
          <w:rFonts w:cs="Arial"/>
          <w:color w:val="000000" w:themeColor="text1"/>
        </w:rPr>
        <w:t>. The debt facility interest rates are linked to the Group meeting certain sustainability performance targets aligned to its sustainability strategy. The sustainability performance targets are in respect of decarbonisation and the Group’s Equity, Diversity and Inclusion strategy. €</w:t>
      </w:r>
      <w:r w:rsidR="003E3153">
        <w:rPr>
          <w:rFonts w:cs="Arial"/>
          <w:color w:val="000000" w:themeColor="text1"/>
        </w:rPr>
        <w:t xml:space="preserve">320.0 </w:t>
      </w:r>
      <w:r w:rsidRPr="008C3685">
        <w:rPr>
          <w:rFonts w:cs="Arial"/>
          <w:color w:val="000000" w:themeColor="text1"/>
        </w:rPr>
        <w:t xml:space="preserve">million has been drawn on the debt facility </w:t>
      </w:r>
      <w:r w:rsidRPr="00686EEF">
        <w:rPr>
          <w:rFonts w:cs="Arial"/>
          <w:i/>
          <w:iCs/>
          <w:color w:val="000000" w:themeColor="text1"/>
        </w:rPr>
        <w:t>(31 December 202</w:t>
      </w:r>
      <w:r w:rsidR="004B3687">
        <w:rPr>
          <w:rFonts w:cs="Arial"/>
          <w:i/>
          <w:iCs/>
          <w:color w:val="000000" w:themeColor="text1"/>
        </w:rPr>
        <w:t>4</w:t>
      </w:r>
      <w:r w:rsidRPr="00686EEF">
        <w:rPr>
          <w:rFonts w:cs="Arial"/>
          <w:i/>
          <w:iCs/>
          <w:color w:val="000000" w:themeColor="text1"/>
        </w:rPr>
        <w:t>: €</w:t>
      </w:r>
      <w:r w:rsidR="004B3687">
        <w:rPr>
          <w:rFonts w:cs="Arial"/>
          <w:i/>
          <w:iCs/>
          <w:color w:val="000000" w:themeColor="text1"/>
        </w:rPr>
        <w:t>240.0</w:t>
      </w:r>
      <w:r w:rsidRPr="00686EEF">
        <w:rPr>
          <w:rFonts w:cs="Arial"/>
          <w:i/>
          <w:iCs/>
          <w:color w:val="000000" w:themeColor="text1"/>
        </w:rPr>
        <w:t xml:space="preserve"> million)</w:t>
      </w:r>
      <w:r w:rsidRPr="008C3685">
        <w:rPr>
          <w:rFonts w:cs="Arial"/>
          <w:color w:val="000000" w:themeColor="text1"/>
        </w:rPr>
        <w:t xml:space="preserve">. </w:t>
      </w:r>
      <w:r w:rsidR="0099255C" w:rsidRPr="00CD7DA0">
        <w:rPr>
          <w:rFonts w:cs="Arial"/>
          <w:color w:val="000000" w:themeColor="text1"/>
        </w:rPr>
        <w:t>The Group has an exposure to cash flow interest rate risk where there are changes in the EURIBOR rates.</w:t>
      </w:r>
    </w:p>
    <w:p w14:paraId="71E418DA" w14:textId="77777777" w:rsidR="003F238A" w:rsidRPr="003F238A" w:rsidRDefault="003F238A" w:rsidP="00F579C8">
      <w:pPr>
        <w:pStyle w:val="NotesBody"/>
        <w:ind w:left="0"/>
        <w:jc w:val="both"/>
        <w:rPr>
          <w:rFonts w:cs="Arial"/>
          <w:color w:val="000000" w:themeColor="text1"/>
        </w:rPr>
      </w:pPr>
    </w:p>
    <w:p w14:paraId="227554B8" w14:textId="325C2E91" w:rsidR="00C540F7" w:rsidRPr="00F9671B" w:rsidRDefault="00614E3D" w:rsidP="00B23D8E">
      <w:pPr>
        <w:spacing w:after="160" w:line="259" w:lineRule="auto"/>
        <w:ind w:left="448"/>
        <w:jc w:val="both"/>
      </w:pPr>
      <w:r w:rsidRPr="00BF39F1">
        <w:t xml:space="preserve">Management monitors the adequacy of </w:t>
      </w:r>
      <w:r>
        <w:t>the Group</w:t>
      </w:r>
      <w:r w:rsidRPr="00BF39F1">
        <w:t>’s liquidity reserves against rolling cash flow forecasts.</w:t>
      </w:r>
      <w:r>
        <w:t xml:space="preserve"> </w:t>
      </w:r>
      <w:r w:rsidRPr="00BF39F1">
        <w:t xml:space="preserve">In addition, </w:t>
      </w:r>
      <w:r>
        <w:t>the Group</w:t>
      </w:r>
      <w:r w:rsidRPr="00BF39F1">
        <w:t>’s liquidity risk management policy involves monitoring short</w:t>
      </w:r>
      <w:r>
        <w:t>-</w:t>
      </w:r>
      <w:r w:rsidRPr="00BF39F1">
        <w:t xml:space="preserve">term and </w:t>
      </w:r>
      <w:r w:rsidRPr="0021203B">
        <w:t>long-term</w:t>
      </w:r>
      <w:r w:rsidRPr="00BF39F1">
        <w:t xml:space="preserve"> cash flow forecasts.</w:t>
      </w:r>
      <w:r>
        <w:t xml:space="preserve"> Set out below are details of the Group’s contractual cash flows arising from its financial liabilities and funds available to meet these liabilities. </w:t>
      </w:r>
    </w:p>
    <w:tbl>
      <w:tblPr>
        <w:tblW w:w="9264" w:type="dxa"/>
        <w:tblLayout w:type="fixed"/>
        <w:tblCellMar>
          <w:left w:w="0" w:type="dxa"/>
          <w:right w:w="115" w:type="dxa"/>
        </w:tblCellMar>
        <w:tblLook w:val="04A0" w:firstRow="1" w:lastRow="0" w:firstColumn="1" w:lastColumn="0" w:noHBand="0" w:noVBand="1"/>
      </w:tblPr>
      <w:tblGrid>
        <w:gridCol w:w="5936"/>
        <w:gridCol w:w="1664"/>
        <w:gridCol w:w="1664"/>
      </w:tblGrid>
      <w:tr w:rsidR="00C540F7" w:rsidRPr="00A33586" w14:paraId="65BD5D3A" w14:textId="77777777" w:rsidTr="008A08F9">
        <w:tc>
          <w:tcPr>
            <w:tcW w:w="5936" w:type="dxa"/>
          </w:tcPr>
          <w:p w14:paraId="0A3FDB55" w14:textId="77777777" w:rsidR="00C540F7" w:rsidRPr="00A33586" w:rsidRDefault="00C540F7" w:rsidP="008A08F9">
            <w:pPr>
              <w:ind w:left="142" w:right="-144"/>
            </w:pPr>
            <w:r>
              <w:rPr>
                <w:b/>
              </w:rPr>
              <w:t xml:space="preserve">      </w:t>
            </w:r>
            <w:r w:rsidRPr="00A33586">
              <w:rPr>
                <w:b/>
              </w:rPr>
              <w:t>F</w:t>
            </w:r>
            <w:r>
              <w:rPr>
                <w:b/>
              </w:rPr>
              <w:t>unds available</w:t>
            </w:r>
          </w:p>
        </w:tc>
        <w:tc>
          <w:tcPr>
            <w:tcW w:w="1664" w:type="dxa"/>
          </w:tcPr>
          <w:p w14:paraId="4ECE001A" w14:textId="1876C453" w:rsidR="00C540F7" w:rsidRDefault="0098485C" w:rsidP="008A08F9">
            <w:pPr>
              <w:tabs>
                <w:tab w:val="decimal" w:pos="1424"/>
              </w:tabs>
              <w:ind w:right="43"/>
              <w:rPr>
                <w:b/>
              </w:rPr>
            </w:pPr>
            <w:r>
              <w:rPr>
                <w:b/>
              </w:rPr>
              <w:t>30 June</w:t>
            </w:r>
          </w:p>
        </w:tc>
        <w:tc>
          <w:tcPr>
            <w:tcW w:w="1664" w:type="dxa"/>
          </w:tcPr>
          <w:p w14:paraId="4FE6D670" w14:textId="78580642" w:rsidR="00C540F7" w:rsidRPr="00A33586" w:rsidRDefault="0098485C" w:rsidP="008A08F9">
            <w:pPr>
              <w:tabs>
                <w:tab w:val="decimal" w:pos="1424"/>
              </w:tabs>
              <w:ind w:right="43"/>
              <w:rPr>
                <w:b/>
              </w:rPr>
            </w:pPr>
            <w:r>
              <w:rPr>
                <w:b/>
              </w:rPr>
              <w:t>31 December</w:t>
            </w:r>
          </w:p>
        </w:tc>
      </w:tr>
      <w:tr w:rsidR="00C540F7" w:rsidRPr="00A33586" w14:paraId="3A8169AD" w14:textId="77777777" w:rsidTr="008A08F9">
        <w:tc>
          <w:tcPr>
            <w:tcW w:w="5936" w:type="dxa"/>
          </w:tcPr>
          <w:p w14:paraId="2CAE7268" w14:textId="77777777" w:rsidR="00C540F7" w:rsidRPr="00A33586" w:rsidRDefault="00C540F7" w:rsidP="008A08F9">
            <w:pPr>
              <w:ind w:right="-144"/>
            </w:pPr>
          </w:p>
        </w:tc>
        <w:tc>
          <w:tcPr>
            <w:tcW w:w="1664" w:type="dxa"/>
          </w:tcPr>
          <w:p w14:paraId="3B67CEAE" w14:textId="5556C7A9" w:rsidR="00C540F7" w:rsidRPr="00A33586" w:rsidRDefault="00C540F7" w:rsidP="008A08F9">
            <w:pPr>
              <w:tabs>
                <w:tab w:val="decimal" w:pos="1424"/>
              </w:tabs>
              <w:ind w:right="-144"/>
              <w:rPr>
                <w:b/>
              </w:rPr>
            </w:pPr>
            <w:r>
              <w:rPr>
                <w:b/>
              </w:rPr>
              <w:t>202</w:t>
            </w:r>
            <w:r w:rsidR="00614EFB">
              <w:rPr>
                <w:b/>
              </w:rPr>
              <w:t>5</w:t>
            </w:r>
          </w:p>
        </w:tc>
        <w:tc>
          <w:tcPr>
            <w:tcW w:w="1664" w:type="dxa"/>
          </w:tcPr>
          <w:p w14:paraId="1870CD51" w14:textId="2E0B6355" w:rsidR="00C540F7" w:rsidRPr="00A33586" w:rsidRDefault="00C540F7" w:rsidP="008A08F9">
            <w:pPr>
              <w:tabs>
                <w:tab w:val="decimal" w:pos="1424"/>
              </w:tabs>
              <w:ind w:right="-144"/>
              <w:rPr>
                <w:b/>
              </w:rPr>
            </w:pPr>
            <w:r>
              <w:rPr>
                <w:b/>
              </w:rPr>
              <w:t>202</w:t>
            </w:r>
            <w:r w:rsidR="00614EFB">
              <w:rPr>
                <w:b/>
              </w:rPr>
              <w:t>4</w:t>
            </w:r>
          </w:p>
        </w:tc>
      </w:tr>
      <w:tr w:rsidR="00C540F7" w:rsidRPr="00A33586" w14:paraId="6B8DE238" w14:textId="77777777" w:rsidTr="008A08F9">
        <w:tc>
          <w:tcPr>
            <w:tcW w:w="5936" w:type="dxa"/>
          </w:tcPr>
          <w:p w14:paraId="11BFF61B" w14:textId="77777777" w:rsidR="00C540F7" w:rsidRPr="00A33586" w:rsidRDefault="00C540F7" w:rsidP="008A08F9">
            <w:pPr>
              <w:ind w:right="-144"/>
            </w:pPr>
          </w:p>
        </w:tc>
        <w:tc>
          <w:tcPr>
            <w:tcW w:w="1664" w:type="dxa"/>
          </w:tcPr>
          <w:p w14:paraId="0C511EA3" w14:textId="77777777" w:rsidR="00C540F7" w:rsidRPr="00A33586" w:rsidRDefault="00C540F7" w:rsidP="008A08F9">
            <w:pPr>
              <w:tabs>
                <w:tab w:val="decimal" w:pos="1424"/>
              </w:tabs>
              <w:ind w:right="-144"/>
              <w:rPr>
                <w:b/>
              </w:rPr>
            </w:pPr>
            <w:r w:rsidRPr="00A33586">
              <w:rPr>
                <w:b/>
              </w:rPr>
              <w:t>€’000</w:t>
            </w:r>
          </w:p>
        </w:tc>
        <w:tc>
          <w:tcPr>
            <w:tcW w:w="1664" w:type="dxa"/>
          </w:tcPr>
          <w:p w14:paraId="1F1108DE" w14:textId="77777777" w:rsidR="00C540F7" w:rsidRPr="00A33586" w:rsidRDefault="00C540F7" w:rsidP="008A08F9">
            <w:pPr>
              <w:tabs>
                <w:tab w:val="decimal" w:pos="1424"/>
              </w:tabs>
              <w:ind w:right="-144"/>
              <w:rPr>
                <w:b/>
              </w:rPr>
            </w:pPr>
            <w:r w:rsidRPr="00A33586">
              <w:rPr>
                <w:b/>
              </w:rPr>
              <w:t>€’000</w:t>
            </w:r>
          </w:p>
        </w:tc>
      </w:tr>
      <w:tr w:rsidR="00C540F7" w:rsidRPr="00A33586" w14:paraId="2E798B16" w14:textId="77777777" w:rsidTr="008A08F9">
        <w:tc>
          <w:tcPr>
            <w:tcW w:w="5936" w:type="dxa"/>
          </w:tcPr>
          <w:p w14:paraId="3D2C79AD" w14:textId="77777777" w:rsidR="00C540F7" w:rsidRPr="00A33586" w:rsidRDefault="00C540F7" w:rsidP="008A08F9">
            <w:pPr>
              <w:ind w:right="-144"/>
            </w:pPr>
          </w:p>
        </w:tc>
        <w:tc>
          <w:tcPr>
            <w:tcW w:w="1664" w:type="dxa"/>
          </w:tcPr>
          <w:p w14:paraId="6E44BB16" w14:textId="77777777" w:rsidR="00C540F7" w:rsidRPr="00A33586" w:rsidRDefault="00C540F7" w:rsidP="008A08F9">
            <w:pPr>
              <w:tabs>
                <w:tab w:val="decimal" w:pos="1424"/>
              </w:tabs>
              <w:ind w:right="-144"/>
              <w:rPr>
                <w:b/>
              </w:rPr>
            </w:pPr>
          </w:p>
        </w:tc>
        <w:tc>
          <w:tcPr>
            <w:tcW w:w="1664" w:type="dxa"/>
          </w:tcPr>
          <w:p w14:paraId="5DCA21A4" w14:textId="77777777" w:rsidR="00C540F7" w:rsidRPr="00A33586" w:rsidRDefault="00C540F7" w:rsidP="008A08F9">
            <w:pPr>
              <w:tabs>
                <w:tab w:val="decimal" w:pos="1424"/>
              </w:tabs>
              <w:ind w:right="-144"/>
              <w:rPr>
                <w:b/>
              </w:rPr>
            </w:pPr>
          </w:p>
        </w:tc>
      </w:tr>
      <w:tr w:rsidR="00534C07" w:rsidRPr="00C97A82" w14:paraId="401409F0" w14:textId="77777777" w:rsidTr="008A08F9">
        <w:tc>
          <w:tcPr>
            <w:tcW w:w="5936" w:type="dxa"/>
          </w:tcPr>
          <w:p w14:paraId="07D9A429" w14:textId="75F2C4E5" w:rsidR="00534C07" w:rsidRPr="00A33586" w:rsidRDefault="00534C07" w:rsidP="00534C07">
            <w:pPr>
              <w:ind w:left="284" w:right="-144"/>
            </w:pPr>
            <w:r>
              <w:t xml:space="preserve">    Debt facilities (undrawn committed)</w:t>
            </w:r>
          </w:p>
        </w:tc>
        <w:tc>
          <w:tcPr>
            <w:tcW w:w="1664" w:type="dxa"/>
          </w:tcPr>
          <w:p w14:paraId="437B7237" w14:textId="7DB418D7" w:rsidR="00534C07" w:rsidRDefault="00D65F2C" w:rsidP="00534C07">
            <w:pPr>
              <w:tabs>
                <w:tab w:val="decimal" w:pos="1424"/>
              </w:tabs>
              <w:ind w:right="-144"/>
              <w:rPr>
                <w:b/>
              </w:rPr>
            </w:pPr>
            <w:r>
              <w:rPr>
                <w:b/>
              </w:rPr>
              <w:t>130,000</w:t>
            </w:r>
          </w:p>
        </w:tc>
        <w:tc>
          <w:tcPr>
            <w:tcW w:w="1664" w:type="dxa"/>
          </w:tcPr>
          <w:p w14:paraId="71D98018" w14:textId="4FEF541C" w:rsidR="00534C07" w:rsidRPr="00614EFB" w:rsidRDefault="00534C07" w:rsidP="00534C07">
            <w:pPr>
              <w:tabs>
                <w:tab w:val="decimal" w:pos="1424"/>
              </w:tabs>
              <w:ind w:right="-144"/>
              <w:rPr>
                <w:bCs/>
              </w:rPr>
            </w:pPr>
            <w:r w:rsidRPr="00614EFB">
              <w:rPr>
                <w:bCs/>
              </w:rPr>
              <w:t>210,000</w:t>
            </w:r>
          </w:p>
        </w:tc>
      </w:tr>
      <w:tr w:rsidR="00534C07" w:rsidRPr="00C97A82" w14:paraId="0FE7A9C7" w14:textId="77777777" w:rsidTr="008A08F9">
        <w:tc>
          <w:tcPr>
            <w:tcW w:w="5936" w:type="dxa"/>
          </w:tcPr>
          <w:p w14:paraId="5BCE0158" w14:textId="7D788AA3" w:rsidR="00534C07" w:rsidRPr="00A33586" w:rsidRDefault="00534C07" w:rsidP="00534C07">
            <w:pPr>
              <w:tabs>
                <w:tab w:val="left" w:pos="426"/>
              </w:tabs>
              <w:ind w:left="284" w:right="-144"/>
            </w:pPr>
            <w:r>
              <w:t xml:space="preserve">    Cash and cash equivalents*</w:t>
            </w:r>
          </w:p>
        </w:tc>
        <w:tc>
          <w:tcPr>
            <w:tcW w:w="1664" w:type="dxa"/>
          </w:tcPr>
          <w:p w14:paraId="09167FEA" w14:textId="73ED6DD5" w:rsidR="00534C07" w:rsidRDefault="0099139C" w:rsidP="00534C07">
            <w:pPr>
              <w:tabs>
                <w:tab w:val="decimal" w:pos="1424"/>
              </w:tabs>
              <w:ind w:right="-144"/>
              <w:rPr>
                <w:b/>
              </w:rPr>
            </w:pPr>
            <w:r>
              <w:rPr>
                <w:b/>
              </w:rPr>
              <w:t>92,766</w:t>
            </w:r>
          </w:p>
        </w:tc>
        <w:tc>
          <w:tcPr>
            <w:tcW w:w="1664" w:type="dxa"/>
          </w:tcPr>
          <w:p w14:paraId="3F35D98C" w14:textId="19B40097" w:rsidR="00534C07" w:rsidRPr="00614EFB" w:rsidRDefault="00534C07" w:rsidP="00534C07">
            <w:pPr>
              <w:tabs>
                <w:tab w:val="decimal" w:pos="1424"/>
              </w:tabs>
              <w:ind w:right="-144"/>
              <w:rPr>
                <w:bCs/>
              </w:rPr>
            </w:pPr>
            <w:r w:rsidRPr="00614EFB">
              <w:rPr>
                <w:bCs/>
              </w:rPr>
              <w:t>63,165</w:t>
            </w:r>
          </w:p>
        </w:tc>
      </w:tr>
      <w:tr w:rsidR="00534C07" w:rsidRPr="00C97A82" w14:paraId="02CE8192" w14:textId="77777777" w:rsidTr="008A08F9">
        <w:tc>
          <w:tcPr>
            <w:tcW w:w="5936" w:type="dxa"/>
          </w:tcPr>
          <w:p w14:paraId="69E47038" w14:textId="4A8D6CB2" w:rsidR="00534C07" w:rsidRDefault="00534C07" w:rsidP="00534C07">
            <w:pPr>
              <w:tabs>
                <w:tab w:val="left" w:pos="426"/>
              </w:tabs>
              <w:ind w:left="284" w:right="-144"/>
            </w:pPr>
            <w:r>
              <w:t xml:space="preserve">    Restricted cash</w:t>
            </w:r>
          </w:p>
        </w:tc>
        <w:tc>
          <w:tcPr>
            <w:tcW w:w="1664" w:type="dxa"/>
          </w:tcPr>
          <w:p w14:paraId="7BB1FCB7" w14:textId="18E6A544" w:rsidR="00534C07" w:rsidRDefault="00733C7D" w:rsidP="00534C07">
            <w:pPr>
              <w:tabs>
                <w:tab w:val="decimal" w:pos="1424"/>
              </w:tabs>
              <w:ind w:right="-144"/>
              <w:rPr>
                <w:b/>
              </w:rPr>
            </w:pPr>
            <w:r>
              <w:rPr>
                <w:b/>
              </w:rPr>
              <w:t>458</w:t>
            </w:r>
          </w:p>
        </w:tc>
        <w:tc>
          <w:tcPr>
            <w:tcW w:w="1664" w:type="dxa"/>
          </w:tcPr>
          <w:p w14:paraId="7638F9A7" w14:textId="490E434A" w:rsidR="00534C07" w:rsidRPr="00614EFB" w:rsidRDefault="00534C07" w:rsidP="00534C07">
            <w:pPr>
              <w:tabs>
                <w:tab w:val="decimal" w:pos="1424"/>
              </w:tabs>
              <w:ind w:right="-144"/>
              <w:rPr>
                <w:bCs/>
              </w:rPr>
            </w:pPr>
            <w:r w:rsidRPr="00614EFB">
              <w:rPr>
                <w:bCs/>
              </w:rPr>
              <w:t>458</w:t>
            </w:r>
          </w:p>
        </w:tc>
      </w:tr>
      <w:tr w:rsidR="00C540F7" w:rsidRPr="00646997" w14:paraId="303DB634" w14:textId="77777777" w:rsidTr="008A08F9">
        <w:tc>
          <w:tcPr>
            <w:tcW w:w="5936" w:type="dxa"/>
          </w:tcPr>
          <w:p w14:paraId="4568E992" w14:textId="77777777" w:rsidR="00C540F7" w:rsidRPr="00A33586" w:rsidRDefault="00C540F7" w:rsidP="008A08F9">
            <w:pPr>
              <w:ind w:right="-144"/>
            </w:pPr>
          </w:p>
        </w:tc>
        <w:tc>
          <w:tcPr>
            <w:tcW w:w="1664" w:type="dxa"/>
          </w:tcPr>
          <w:p w14:paraId="64D55B4E" w14:textId="77777777" w:rsidR="00C540F7" w:rsidRPr="00A33586" w:rsidRDefault="00C540F7" w:rsidP="008A08F9">
            <w:pPr>
              <w:tabs>
                <w:tab w:val="decimal" w:pos="1424"/>
              </w:tabs>
              <w:ind w:right="-144"/>
              <w:rPr>
                <w:u w:val="single"/>
              </w:rPr>
            </w:pPr>
            <w:r w:rsidRPr="00A33586">
              <w:rPr>
                <w:u w:val="single"/>
              </w:rPr>
              <w:t>                  </w:t>
            </w:r>
          </w:p>
        </w:tc>
        <w:tc>
          <w:tcPr>
            <w:tcW w:w="1664" w:type="dxa"/>
          </w:tcPr>
          <w:p w14:paraId="681CB44C" w14:textId="77777777" w:rsidR="00C540F7" w:rsidRPr="00D7569D" w:rsidRDefault="00C540F7" w:rsidP="008A08F9">
            <w:pPr>
              <w:tabs>
                <w:tab w:val="decimal" w:pos="1424"/>
              </w:tabs>
              <w:ind w:right="-144"/>
              <w:rPr>
                <w:bCs/>
                <w:u w:val="single"/>
              </w:rPr>
            </w:pPr>
            <w:r w:rsidRPr="00D7569D">
              <w:rPr>
                <w:bCs/>
                <w:u w:val="single"/>
              </w:rPr>
              <w:t>                  </w:t>
            </w:r>
          </w:p>
        </w:tc>
      </w:tr>
      <w:tr w:rsidR="00C540F7" w:rsidRPr="00C97A82" w14:paraId="2A836BCC" w14:textId="77777777" w:rsidTr="008A08F9">
        <w:tc>
          <w:tcPr>
            <w:tcW w:w="5936" w:type="dxa"/>
          </w:tcPr>
          <w:p w14:paraId="4A83C6A0" w14:textId="77777777" w:rsidR="00C540F7" w:rsidRPr="00A33586" w:rsidRDefault="00C540F7" w:rsidP="008A08F9">
            <w:pPr>
              <w:ind w:right="-144"/>
            </w:pPr>
          </w:p>
        </w:tc>
        <w:tc>
          <w:tcPr>
            <w:tcW w:w="1664" w:type="dxa"/>
          </w:tcPr>
          <w:p w14:paraId="3C67CAE2" w14:textId="77777777" w:rsidR="00C540F7" w:rsidRPr="00A33586" w:rsidRDefault="00C540F7" w:rsidP="008A08F9">
            <w:pPr>
              <w:tabs>
                <w:tab w:val="decimal" w:pos="1424"/>
              </w:tabs>
              <w:ind w:right="-144"/>
              <w:rPr>
                <w:b/>
              </w:rPr>
            </w:pPr>
          </w:p>
        </w:tc>
        <w:tc>
          <w:tcPr>
            <w:tcW w:w="1664" w:type="dxa"/>
          </w:tcPr>
          <w:p w14:paraId="74DF0302" w14:textId="77777777" w:rsidR="00C540F7" w:rsidRPr="00D7569D" w:rsidRDefault="00C540F7" w:rsidP="008A08F9">
            <w:pPr>
              <w:tabs>
                <w:tab w:val="decimal" w:pos="1424"/>
              </w:tabs>
              <w:ind w:right="-144"/>
              <w:rPr>
                <w:bCs/>
              </w:rPr>
            </w:pPr>
          </w:p>
        </w:tc>
      </w:tr>
      <w:tr w:rsidR="00C540F7" w:rsidRPr="00C97A82" w14:paraId="2F85FBC0" w14:textId="77777777" w:rsidTr="008A08F9">
        <w:tc>
          <w:tcPr>
            <w:tcW w:w="5936" w:type="dxa"/>
          </w:tcPr>
          <w:p w14:paraId="0ECB458F" w14:textId="77777777" w:rsidR="00C540F7" w:rsidRPr="003C2696" w:rsidRDefault="00C540F7" w:rsidP="008A08F9">
            <w:pPr>
              <w:ind w:right="-144"/>
              <w:rPr>
                <w:b/>
              </w:rPr>
            </w:pPr>
          </w:p>
        </w:tc>
        <w:tc>
          <w:tcPr>
            <w:tcW w:w="1664" w:type="dxa"/>
          </w:tcPr>
          <w:p w14:paraId="27382743" w14:textId="1639F5C1" w:rsidR="00C540F7" w:rsidRDefault="00D65F2C" w:rsidP="008A08F9">
            <w:pPr>
              <w:tabs>
                <w:tab w:val="decimal" w:pos="1424"/>
              </w:tabs>
              <w:ind w:right="-144"/>
              <w:rPr>
                <w:b/>
              </w:rPr>
            </w:pPr>
            <w:r>
              <w:rPr>
                <w:b/>
              </w:rPr>
              <w:t>223,224</w:t>
            </w:r>
          </w:p>
        </w:tc>
        <w:tc>
          <w:tcPr>
            <w:tcW w:w="1664" w:type="dxa"/>
          </w:tcPr>
          <w:p w14:paraId="3047048A" w14:textId="16DB737B" w:rsidR="00C540F7" w:rsidRPr="00614EFB" w:rsidRDefault="00614EFB" w:rsidP="008A08F9">
            <w:pPr>
              <w:tabs>
                <w:tab w:val="decimal" w:pos="1424"/>
              </w:tabs>
              <w:ind w:right="-144"/>
              <w:rPr>
                <w:bCs/>
              </w:rPr>
            </w:pPr>
            <w:r w:rsidRPr="00614EFB">
              <w:rPr>
                <w:bCs/>
              </w:rPr>
              <w:t>273,623</w:t>
            </w:r>
          </w:p>
        </w:tc>
      </w:tr>
      <w:tr w:rsidR="00C540F7" w:rsidRPr="00A33586" w14:paraId="14D5ADE1" w14:textId="77777777" w:rsidTr="008A08F9">
        <w:trPr>
          <w:trHeight w:val="359"/>
        </w:trPr>
        <w:tc>
          <w:tcPr>
            <w:tcW w:w="5936" w:type="dxa"/>
          </w:tcPr>
          <w:p w14:paraId="4217B184" w14:textId="77777777" w:rsidR="00C540F7" w:rsidRPr="00A33586" w:rsidRDefault="00C540F7" w:rsidP="008A08F9">
            <w:pPr>
              <w:ind w:right="-144"/>
              <w:rPr>
                <w:b/>
              </w:rPr>
            </w:pPr>
          </w:p>
        </w:tc>
        <w:tc>
          <w:tcPr>
            <w:tcW w:w="1664" w:type="dxa"/>
          </w:tcPr>
          <w:p w14:paraId="2201FAB5" w14:textId="77777777" w:rsidR="00C540F7" w:rsidRPr="00A33586" w:rsidRDefault="00C540F7" w:rsidP="008A08F9">
            <w:pPr>
              <w:tabs>
                <w:tab w:val="decimal" w:pos="1424"/>
              </w:tabs>
              <w:ind w:right="-144"/>
              <w:rPr>
                <w:u w:val="double"/>
              </w:rPr>
            </w:pPr>
            <w:r w:rsidRPr="003B329D">
              <w:rPr>
                <w:u w:val="double"/>
              </w:rPr>
              <w:t>                  </w:t>
            </w:r>
          </w:p>
        </w:tc>
        <w:tc>
          <w:tcPr>
            <w:tcW w:w="1664" w:type="dxa"/>
          </w:tcPr>
          <w:p w14:paraId="40FBBEDB" w14:textId="77777777" w:rsidR="00C540F7" w:rsidRPr="00D7569D" w:rsidRDefault="00C540F7" w:rsidP="008A08F9">
            <w:pPr>
              <w:tabs>
                <w:tab w:val="decimal" w:pos="1424"/>
              </w:tabs>
              <w:ind w:right="-144"/>
              <w:rPr>
                <w:bCs/>
                <w:u w:val="double"/>
              </w:rPr>
            </w:pPr>
            <w:r w:rsidRPr="00D7569D">
              <w:rPr>
                <w:bCs/>
                <w:u w:val="double"/>
              </w:rPr>
              <w:t>                  </w:t>
            </w:r>
          </w:p>
        </w:tc>
      </w:tr>
    </w:tbl>
    <w:p w14:paraId="369899E4" w14:textId="2E71F4E1" w:rsidR="004563EA" w:rsidRPr="004563EA" w:rsidRDefault="00C540F7" w:rsidP="00962B5A">
      <w:pPr>
        <w:spacing w:after="160" w:line="259" w:lineRule="auto"/>
        <w:ind w:left="448"/>
      </w:pPr>
      <w:r w:rsidRPr="0074030F">
        <w:rPr>
          <w:i/>
          <w:iCs/>
          <w:sz w:val="18"/>
          <w:szCs w:val="18"/>
        </w:rPr>
        <w:t>*</w:t>
      </w:r>
      <w:r w:rsidR="00E746E3">
        <w:rPr>
          <w:i/>
          <w:iCs/>
          <w:sz w:val="18"/>
          <w:szCs w:val="18"/>
        </w:rPr>
        <w:t>In</w:t>
      </w:r>
      <w:r w:rsidR="00433CDB">
        <w:rPr>
          <w:i/>
          <w:iCs/>
          <w:sz w:val="18"/>
          <w:szCs w:val="18"/>
        </w:rPr>
        <w:t>cludes €25.0</w:t>
      </w:r>
      <w:r w:rsidR="00615685">
        <w:rPr>
          <w:i/>
          <w:iCs/>
          <w:sz w:val="18"/>
          <w:szCs w:val="18"/>
        </w:rPr>
        <w:t xml:space="preserve"> million (</w:t>
      </w:r>
      <w:r w:rsidR="003C6D6D">
        <w:rPr>
          <w:i/>
          <w:iCs/>
          <w:sz w:val="18"/>
          <w:szCs w:val="18"/>
        </w:rPr>
        <w:t xml:space="preserve">31 December </w:t>
      </w:r>
      <w:r w:rsidR="00615685">
        <w:rPr>
          <w:i/>
          <w:iCs/>
          <w:sz w:val="18"/>
          <w:szCs w:val="18"/>
        </w:rPr>
        <w:t>202</w:t>
      </w:r>
      <w:r w:rsidR="009D7977">
        <w:rPr>
          <w:i/>
          <w:iCs/>
          <w:sz w:val="18"/>
          <w:szCs w:val="18"/>
        </w:rPr>
        <w:t>4</w:t>
      </w:r>
      <w:r w:rsidR="00615685">
        <w:rPr>
          <w:i/>
          <w:iCs/>
          <w:sz w:val="18"/>
          <w:szCs w:val="18"/>
        </w:rPr>
        <w:t>: €25.0 million) of restricted cash</w:t>
      </w:r>
      <w:r w:rsidRPr="0074030F">
        <w:rPr>
          <w:i/>
          <w:iCs/>
          <w:sz w:val="18"/>
          <w:szCs w:val="18"/>
        </w:rPr>
        <w:t>.</w:t>
      </w:r>
      <w:r w:rsidRPr="00840CA8">
        <w:rPr>
          <w:i/>
          <w:iCs/>
          <w:sz w:val="18"/>
          <w:szCs w:val="18"/>
        </w:rPr>
        <w:t xml:space="preserve">  </w:t>
      </w:r>
    </w:p>
    <w:p w14:paraId="5D459FAD" w14:textId="77777777" w:rsidR="00F579C8" w:rsidRDefault="00F579C8" w:rsidP="00A046ED">
      <w:pPr>
        <w:ind w:left="426"/>
        <w:rPr>
          <w:rFonts w:cs="Arial"/>
        </w:rPr>
      </w:pPr>
    </w:p>
    <w:p w14:paraId="1AF3E38D" w14:textId="77777777" w:rsidR="009E07DE" w:rsidRDefault="009E07DE" w:rsidP="00A046ED">
      <w:pPr>
        <w:ind w:left="426"/>
        <w:rPr>
          <w:rFonts w:cs="Arial"/>
        </w:rPr>
      </w:pPr>
    </w:p>
    <w:p w14:paraId="1076C9C8" w14:textId="77777777" w:rsidR="009E07DE" w:rsidRDefault="009E07DE" w:rsidP="00A046ED">
      <w:pPr>
        <w:ind w:left="426"/>
        <w:rPr>
          <w:rFonts w:cs="Arial"/>
        </w:rPr>
      </w:pPr>
    </w:p>
    <w:p w14:paraId="65F9D490" w14:textId="77777777" w:rsidR="009E07DE" w:rsidRDefault="009E07DE" w:rsidP="00A046ED">
      <w:pPr>
        <w:ind w:left="426"/>
        <w:rPr>
          <w:rFonts w:cs="Arial"/>
        </w:rPr>
      </w:pPr>
    </w:p>
    <w:p w14:paraId="4706351E" w14:textId="77777777" w:rsidR="009E07DE" w:rsidRDefault="009E07DE" w:rsidP="00A046ED">
      <w:pPr>
        <w:ind w:left="426"/>
        <w:rPr>
          <w:rFonts w:cs="Arial"/>
        </w:rPr>
      </w:pPr>
    </w:p>
    <w:p w14:paraId="66E2E0B4" w14:textId="77777777" w:rsidR="009E07DE" w:rsidRDefault="009E07DE" w:rsidP="00A046ED">
      <w:pPr>
        <w:ind w:left="426"/>
        <w:rPr>
          <w:rFonts w:cs="Arial"/>
        </w:rPr>
      </w:pPr>
    </w:p>
    <w:p w14:paraId="13233076" w14:textId="77777777" w:rsidR="00F579C8" w:rsidRDefault="00F579C8" w:rsidP="00F579C8">
      <w:pPr>
        <w:pStyle w:val="NotesHeading"/>
        <w:jc w:val="both"/>
      </w:pPr>
      <w:r>
        <w:t xml:space="preserve">15    Financial instruments and financial risk management </w:t>
      </w:r>
      <w:r w:rsidRPr="007B2EA1">
        <w:rPr>
          <w:b w:val="0"/>
          <w:bCs/>
          <w:i/>
          <w:iCs/>
        </w:rPr>
        <w:t>(continued)</w:t>
      </w:r>
    </w:p>
    <w:p w14:paraId="4806DCD5" w14:textId="77777777" w:rsidR="00F579C8" w:rsidRDefault="00F579C8" w:rsidP="00F579C8">
      <w:pPr>
        <w:pStyle w:val="NotesBody"/>
      </w:pPr>
    </w:p>
    <w:p w14:paraId="4A52B989" w14:textId="77777777" w:rsidR="00F579C8" w:rsidRDefault="00F579C8" w:rsidP="00F579C8">
      <w:pPr>
        <w:pStyle w:val="NotesBody"/>
        <w:numPr>
          <w:ilvl w:val="0"/>
          <w:numId w:val="30"/>
        </w:numPr>
        <w:rPr>
          <w:b/>
        </w:rPr>
      </w:pPr>
      <w:r w:rsidRPr="008E47EA">
        <w:rPr>
          <w:b/>
        </w:rPr>
        <w:t>Financial risk management objectives and policies</w:t>
      </w:r>
      <w:r>
        <w:rPr>
          <w:b/>
        </w:rPr>
        <w:t xml:space="preserve"> </w:t>
      </w:r>
      <w:r w:rsidRPr="007B2EA1">
        <w:rPr>
          <w:bCs/>
          <w:i/>
          <w:iCs/>
        </w:rPr>
        <w:t>(continued)</w:t>
      </w:r>
    </w:p>
    <w:p w14:paraId="62A494A9" w14:textId="77777777" w:rsidR="00F579C8" w:rsidRPr="007B2EA1" w:rsidRDefault="00F579C8" w:rsidP="00F579C8">
      <w:pPr>
        <w:pStyle w:val="NotesBody"/>
      </w:pPr>
    </w:p>
    <w:p w14:paraId="5EE7F3B4" w14:textId="77777777" w:rsidR="00F579C8" w:rsidRDefault="00F579C8" w:rsidP="00F579C8">
      <w:pPr>
        <w:pStyle w:val="H1Notes"/>
        <w:rPr>
          <w:b w:val="0"/>
          <w:bCs/>
          <w:i/>
          <w:iCs/>
        </w:rPr>
      </w:pPr>
      <w:r w:rsidRPr="00A33586">
        <w:t>Liquidity risk</w:t>
      </w:r>
      <w:r>
        <w:t xml:space="preserve"> </w:t>
      </w:r>
      <w:r w:rsidRPr="00B23D8E">
        <w:rPr>
          <w:b w:val="0"/>
          <w:bCs/>
          <w:i/>
          <w:iCs/>
        </w:rPr>
        <w:t>(continued)</w:t>
      </w:r>
    </w:p>
    <w:p w14:paraId="4BC45D3E" w14:textId="77777777" w:rsidR="00A16151" w:rsidRDefault="00A16151" w:rsidP="00F6080F">
      <w:pPr>
        <w:pStyle w:val="NotesBody"/>
        <w:ind w:left="0"/>
        <w:rPr>
          <w:rFonts w:cs="Arial"/>
          <w:color w:val="000000" w:themeColor="text1"/>
        </w:rPr>
      </w:pPr>
    </w:p>
    <w:tbl>
      <w:tblPr>
        <w:tblW w:w="9734" w:type="dxa"/>
        <w:tblLayout w:type="fixed"/>
        <w:tblCellMar>
          <w:left w:w="0" w:type="dxa"/>
          <w:right w:w="115" w:type="dxa"/>
        </w:tblCellMar>
        <w:tblLook w:val="04A0" w:firstRow="1" w:lastRow="0" w:firstColumn="1" w:lastColumn="0" w:noHBand="0" w:noVBand="1"/>
      </w:tblPr>
      <w:tblGrid>
        <w:gridCol w:w="2944"/>
        <w:gridCol w:w="1358"/>
        <w:gridCol w:w="1358"/>
        <w:gridCol w:w="1358"/>
        <w:gridCol w:w="1358"/>
        <w:gridCol w:w="1358"/>
      </w:tblGrid>
      <w:tr w:rsidR="004235F9" w14:paraId="7A6CEBF9" w14:textId="77777777" w:rsidTr="00EC10B5">
        <w:tc>
          <w:tcPr>
            <w:tcW w:w="2944" w:type="dxa"/>
          </w:tcPr>
          <w:p w14:paraId="730E80F8" w14:textId="77777777" w:rsidR="004235F9" w:rsidRPr="009C52C7" w:rsidRDefault="004235F9"/>
        </w:tc>
        <w:tc>
          <w:tcPr>
            <w:tcW w:w="6790" w:type="dxa"/>
            <w:gridSpan w:val="5"/>
          </w:tcPr>
          <w:p w14:paraId="0E76B0E5" w14:textId="6747CE97" w:rsidR="004235F9" w:rsidRDefault="004235F9">
            <w:pPr>
              <w:ind w:right="43"/>
              <w:jc w:val="center"/>
              <w:rPr>
                <w:b/>
              </w:rPr>
            </w:pPr>
            <w:r>
              <w:rPr>
                <w:b/>
              </w:rPr>
              <w:t>3</w:t>
            </w:r>
            <w:r w:rsidR="00676CF6">
              <w:rPr>
                <w:b/>
              </w:rPr>
              <w:t>0 June</w:t>
            </w:r>
            <w:r>
              <w:rPr>
                <w:b/>
              </w:rPr>
              <w:t xml:space="preserve"> 202</w:t>
            </w:r>
            <w:r w:rsidR="00AD1CF3">
              <w:rPr>
                <w:b/>
              </w:rPr>
              <w:t>5</w:t>
            </w:r>
          </w:p>
        </w:tc>
      </w:tr>
      <w:tr w:rsidR="004235F9" w:rsidRPr="00F47F3F" w14:paraId="4A932F2A" w14:textId="77777777" w:rsidTr="00EC10B5">
        <w:tc>
          <w:tcPr>
            <w:tcW w:w="2944" w:type="dxa"/>
          </w:tcPr>
          <w:p w14:paraId="3FA5A4CC" w14:textId="77777777" w:rsidR="004235F9" w:rsidRPr="009C52C7" w:rsidRDefault="004235F9"/>
        </w:tc>
        <w:tc>
          <w:tcPr>
            <w:tcW w:w="1358" w:type="dxa"/>
          </w:tcPr>
          <w:p w14:paraId="50AFEAF8" w14:textId="77777777" w:rsidR="004235F9" w:rsidRPr="00F47F3F" w:rsidRDefault="004235F9">
            <w:pPr>
              <w:tabs>
                <w:tab w:val="decimal" w:pos="1136"/>
              </w:tabs>
              <w:ind w:right="-144"/>
              <w:rPr>
                <w:b/>
              </w:rPr>
            </w:pPr>
            <w:r>
              <w:rPr>
                <w:b/>
              </w:rPr>
              <w:t>Carrying</w:t>
            </w:r>
          </w:p>
        </w:tc>
        <w:tc>
          <w:tcPr>
            <w:tcW w:w="1358" w:type="dxa"/>
          </w:tcPr>
          <w:p w14:paraId="07D6032A" w14:textId="77777777" w:rsidR="004235F9" w:rsidRPr="00F47F3F" w:rsidRDefault="004235F9">
            <w:pPr>
              <w:tabs>
                <w:tab w:val="decimal" w:pos="1136"/>
              </w:tabs>
              <w:ind w:right="-144"/>
              <w:rPr>
                <w:b/>
              </w:rPr>
            </w:pPr>
            <w:r>
              <w:rPr>
                <w:b/>
              </w:rPr>
              <w:t>Contractual</w:t>
            </w:r>
          </w:p>
        </w:tc>
        <w:tc>
          <w:tcPr>
            <w:tcW w:w="1358" w:type="dxa"/>
          </w:tcPr>
          <w:p w14:paraId="38441848" w14:textId="77777777" w:rsidR="004235F9" w:rsidRPr="00F47F3F" w:rsidRDefault="004235F9">
            <w:pPr>
              <w:tabs>
                <w:tab w:val="decimal" w:pos="1136"/>
              </w:tabs>
              <w:ind w:right="-144"/>
              <w:rPr>
                <w:b/>
              </w:rPr>
            </w:pPr>
            <w:r>
              <w:rPr>
                <w:b/>
              </w:rPr>
              <w:t>Less than</w:t>
            </w:r>
          </w:p>
        </w:tc>
        <w:tc>
          <w:tcPr>
            <w:tcW w:w="1358" w:type="dxa"/>
          </w:tcPr>
          <w:p w14:paraId="27645A93" w14:textId="77777777" w:rsidR="004235F9" w:rsidRPr="00F47F3F" w:rsidRDefault="004235F9">
            <w:pPr>
              <w:tabs>
                <w:tab w:val="decimal" w:pos="1136"/>
              </w:tabs>
              <w:ind w:right="43"/>
              <w:jc w:val="right"/>
              <w:rPr>
                <w:b/>
              </w:rPr>
            </w:pPr>
            <w:r>
              <w:rPr>
                <w:b/>
              </w:rPr>
              <w:t>1 year</w:t>
            </w:r>
          </w:p>
        </w:tc>
        <w:tc>
          <w:tcPr>
            <w:tcW w:w="1358" w:type="dxa"/>
          </w:tcPr>
          <w:p w14:paraId="4FF379C4" w14:textId="77777777" w:rsidR="004235F9" w:rsidRPr="00F47F3F" w:rsidRDefault="004235F9">
            <w:pPr>
              <w:tabs>
                <w:tab w:val="decimal" w:pos="1136"/>
              </w:tabs>
              <w:ind w:right="43"/>
              <w:jc w:val="right"/>
              <w:rPr>
                <w:b/>
              </w:rPr>
            </w:pPr>
            <w:r>
              <w:rPr>
                <w:b/>
              </w:rPr>
              <w:t>More than</w:t>
            </w:r>
          </w:p>
        </w:tc>
      </w:tr>
      <w:tr w:rsidR="004235F9" w:rsidRPr="00F47F3F" w14:paraId="6E332ECE" w14:textId="77777777" w:rsidTr="00EC10B5">
        <w:tc>
          <w:tcPr>
            <w:tcW w:w="2944" w:type="dxa"/>
          </w:tcPr>
          <w:p w14:paraId="0B854BBB" w14:textId="77777777" w:rsidR="004235F9" w:rsidRPr="009C52C7" w:rsidRDefault="004235F9">
            <w:pPr>
              <w:ind w:right="-144"/>
            </w:pPr>
          </w:p>
        </w:tc>
        <w:tc>
          <w:tcPr>
            <w:tcW w:w="1358" w:type="dxa"/>
          </w:tcPr>
          <w:p w14:paraId="13B706E0" w14:textId="77777777" w:rsidR="004235F9" w:rsidRPr="00F47F3F" w:rsidRDefault="004235F9">
            <w:pPr>
              <w:tabs>
                <w:tab w:val="decimal" w:pos="1136"/>
              </w:tabs>
              <w:ind w:right="-144"/>
              <w:rPr>
                <w:b/>
              </w:rPr>
            </w:pPr>
            <w:r>
              <w:rPr>
                <w:b/>
              </w:rPr>
              <w:t>amount</w:t>
            </w:r>
          </w:p>
        </w:tc>
        <w:tc>
          <w:tcPr>
            <w:tcW w:w="1358" w:type="dxa"/>
          </w:tcPr>
          <w:p w14:paraId="6F8F6CDB" w14:textId="77777777" w:rsidR="004235F9" w:rsidRPr="00F47F3F" w:rsidRDefault="004235F9">
            <w:pPr>
              <w:tabs>
                <w:tab w:val="decimal" w:pos="1136"/>
              </w:tabs>
              <w:ind w:right="-144"/>
              <w:rPr>
                <w:b/>
              </w:rPr>
            </w:pPr>
            <w:r>
              <w:rPr>
                <w:b/>
              </w:rPr>
              <w:t>cash flows</w:t>
            </w:r>
          </w:p>
        </w:tc>
        <w:tc>
          <w:tcPr>
            <w:tcW w:w="1358" w:type="dxa"/>
          </w:tcPr>
          <w:p w14:paraId="6C4FF136" w14:textId="77777777" w:rsidR="004235F9" w:rsidRPr="00F47F3F" w:rsidRDefault="004235F9">
            <w:pPr>
              <w:tabs>
                <w:tab w:val="decimal" w:pos="1136"/>
              </w:tabs>
              <w:ind w:right="43"/>
              <w:jc w:val="right"/>
              <w:rPr>
                <w:b/>
              </w:rPr>
            </w:pPr>
            <w:r>
              <w:rPr>
                <w:b/>
              </w:rPr>
              <w:t>1 year</w:t>
            </w:r>
          </w:p>
        </w:tc>
        <w:tc>
          <w:tcPr>
            <w:tcW w:w="1358" w:type="dxa"/>
          </w:tcPr>
          <w:p w14:paraId="51E594EF" w14:textId="77777777" w:rsidR="004235F9" w:rsidRPr="00F47F3F" w:rsidRDefault="004235F9">
            <w:pPr>
              <w:tabs>
                <w:tab w:val="decimal" w:pos="1136"/>
              </w:tabs>
              <w:ind w:right="43"/>
              <w:jc w:val="right"/>
              <w:rPr>
                <w:b/>
              </w:rPr>
            </w:pPr>
            <w:r>
              <w:rPr>
                <w:b/>
              </w:rPr>
              <w:t>to 2 years</w:t>
            </w:r>
          </w:p>
        </w:tc>
        <w:tc>
          <w:tcPr>
            <w:tcW w:w="1358" w:type="dxa"/>
          </w:tcPr>
          <w:p w14:paraId="6F8F7973" w14:textId="77777777" w:rsidR="004235F9" w:rsidRPr="00F47F3F" w:rsidRDefault="004235F9">
            <w:pPr>
              <w:tabs>
                <w:tab w:val="decimal" w:pos="1136"/>
              </w:tabs>
              <w:ind w:right="43"/>
              <w:jc w:val="right"/>
              <w:rPr>
                <w:b/>
              </w:rPr>
            </w:pPr>
            <w:r>
              <w:rPr>
                <w:b/>
              </w:rPr>
              <w:t>2 years</w:t>
            </w:r>
          </w:p>
        </w:tc>
      </w:tr>
      <w:tr w:rsidR="004235F9" w14:paraId="1E89D372" w14:textId="77777777" w:rsidTr="00EC10B5">
        <w:tc>
          <w:tcPr>
            <w:tcW w:w="2944" w:type="dxa"/>
          </w:tcPr>
          <w:p w14:paraId="3C9782C2" w14:textId="77777777" w:rsidR="004235F9" w:rsidRPr="009C52C7" w:rsidRDefault="004235F9">
            <w:pPr>
              <w:ind w:right="-144"/>
            </w:pPr>
          </w:p>
        </w:tc>
        <w:tc>
          <w:tcPr>
            <w:tcW w:w="1358" w:type="dxa"/>
          </w:tcPr>
          <w:p w14:paraId="1B8011F0" w14:textId="77777777" w:rsidR="004235F9" w:rsidRPr="00F47F3F" w:rsidRDefault="004235F9">
            <w:pPr>
              <w:tabs>
                <w:tab w:val="decimal" w:pos="1136"/>
              </w:tabs>
              <w:ind w:right="-144"/>
              <w:rPr>
                <w:b/>
              </w:rPr>
            </w:pPr>
            <w:r>
              <w:rPr>
                <w:b/>
              </w:rPr>
              <w:t>€’000</w:t>
            </w:r>
          </w:p>
        </w:tc>
        <w:tc>
          <w:tcPr>
            <w:tcW w:w="1358" w:type="dxa"/>
          </w:tcPr>
          <w:p w14:paraId="1B3CE647" w14:textId="77777777" w:rsidR="004235F9" w:rsidRDefault="004235F9">
            <w:pPr>
              <w:tabs>
                <w:tab w:val="decimal" w:pos="1136"/>
              </w:tabs>
              <w:ind w:right="-144"/>
            </w:pPr>
            <w:r w:rsidRPr="00060402">
              <w:rPr>
                <w:b/>
              </w:rPr>
              <w:t>€’000</w:t>
            </w:r>
          </w:p>
        </w:tc>
        <w:tc>
          <w:tcPr>
            <w:tcW w:w="1358" w:type="dxa"/>
          </w:tcPr>
          <w:p w14:paraId="0A5AED37" w14:textId="77777777" w:rsidR="004235F9" w:rsidRDefault="004235F9">
            <w:pPr>
              <w:tabs>
                <w:tab w:val="decimal" w:pos="1136"/>
              </w:tabs>
              <w:ind w:right="-144"/>
            </w:pPr>
            <w:r w:rsidRPr="00060402">
              <w:rPr>
                <w:b/>
              </w:rPr>
              <w:t>€’000</w:t>
            </w:r>
          </w:p>
        </w:tc>
        <w:tc>
          <w:tcPr>
            <w:tcW w:w="1358" w:type="dxa"/>
          </w:tcPr>
          <w:p w14:paraId="5D4B0C07" w14:textId="77777777" w:rsidR="004235F9" w:rsidRDefault="004235F9">
            <w:pPr>
              <w:tabs>
                <w:tab w:val="decimal" w:pos="1136"/>
              </w:tabs>
              <w:ind w:right="-144"/>
            </w:pPr>
            <w:r w:rsidRPr="00060402">
              <w:rPr>
                <w:b/>
              </w:rPr>
              <w:t>€’000</w:t>
            </w:r>
          </w:p>
        </w:tc>
        <w:tc>
          <w:tcPr>
            <w:tcW w:w="1358" w:type="dxa"/>
          </w:tcPr>
          <w:p w14:paraId="23195976" w14:textId="77777777" w:rsidR="004235F9" w:rsidRDefault="004235F9">
            <w:pPr>
              <w:tabs>
                <w:tab w:val="decimal" w:pos="1136"/>
              </w:tabs>
              <w:ind w:right="-144"/>
            </w:pPr>
            <w:r w:rsidRPr="00060402">
              <w:rPr>
                <w:b/>
              </w:rPr>
              <w:t>€’000</w:t>
            </w:r>
          </w:p>
        </w:tc>
      </w:tr>
      <w:tr w:rsidR="004235F9" w:rsidRPr="009C52C7" w14:paraId="12C6ADCB" w14:textId="77777777" w:rsidTr="00EC10B5">
        <w:tc>
          <w:tcPr>
            <w:tcW w:w="2944" w:type="dxa"/>
          </w:tcPr>
          <w:p w14:paraId="28816C25" w14:textId="77777777" w:rsidR="004235F9" w:rsidRPr="009C52C7" w:rsidRDefault="004235F9">
            <w:pPr>
              <w:ind w:right="-144"/>
            </w:pPr>
          </w:p>
        </w:tc>
        <w:tc>
          <w:tcPr>
            <w:tcW w:w="1358" w:type="dxa"/>
          </w:tcPr>
          <w:p w14:paraId="081E95F8" w14:textId="77777777" w:rsidR="004235F9" w:rsidRPr="009C52C7" w:rsidRDefault="004235F9">
            <w:pPr>
              <w:tabs>
                <w:tab w:val="decimal" w:pos="1136"/>
              </w:tabs>
              <w:ind w:right="-144"/>
            </w:pPr>
          </w:p>
        </w:tc>
        <w:tc>
          <w:tcPr>
            <w:tcW w:w="1358" w:type="dxa"/>
          </w:tcPr>
          <w:p w14:paraId="186C0C5C" w14:textId="77777777" w:rsidR="004235F9" w:rsidRPr="009C52C7" w:rsidRDefault="004235F9">
            <w:pPr>
              <w:tabs>
                <w:tab w:val="decimal" w:pos="1136"/>
              </w:tabs>
              <w:ind w:right="-144"/>
            </w:pPr>
          </w:p>
        </w:tc>
        <w:tc>
          <w:tcPr>
            <w:tcW w:w="1358" w:type="dxa"/>
          </w:tcPr>
          <w:p w14:paraId="0422E0EB" w14:textId="77777777" w:rsidR="004235F9" w:rsidRPr="009C52C7" w:rsidRDefault="004235F9">
            <w:pPr>
              <w:tabs>
                <w:tab w:val="decimal" w:pos="1136"/>
              </w:tabs>
              <w:ind w:right="-144"/>
            </w:pPr>
          </w:p>
        </w:tc>
        <w:tc>
          <w:tcPr>
            <w:tcW w:w="1358" w:type="dxa"/>
          </w:tcPr>
          <w:p w14:paraId="491B5363" w14:textId="77777777" w:rsidR="004235F9" w:rsidRPr="009C52C7" w:rsidRDefault="004235F9">
            <w:pPr>
              <w:tabs>
                <w:tab w:val="decimal" w:pos="1136"/>
              </w:tabs>
              <w:ind w:right="-144"/>
            </w:pPr>
          </w:p>
        </w:tc>
        <w:tc>
          <w:tcPr>
            <w:tcW w:w="1358" w:type="dxa"/>
          </w:tcPr>
          <w:p w14:paraId="385AE9C3" w14:textId="77777777" w:rsidR="004235F9" w:rsidRPr="009C52C7" w:rsidRDefault="004235F9">
            <w:pPr>
              <w:tabs>
                <w:tab w:val="decimal" w:pos="1136"/>
              </w:tabs>
              <w:ind w:right="-144"/>
            </w:pPr>
          </w:p>
        </w:tc>
      </w:tr>
      <w:tr w:rsidR="004235F9" w:rsidRPr="0058613B" w14:paraId="3E779E33" w14:textId="77777777" w:rsidTr="00EC10B5">
        <w:tc>
          <w:tcPr>
            <w:tcW w:w="2944" w:type="dxa"/>
          </w:tcPr>
          <w:p w14:paraId="6B05F0F4" w14:textId="77777777" w:rsidR="004235F9" w:rsidRPr="00BD23A2" w:rsidRDefault="004235F9">
            <w:pPr>
              <w:ind w:right="-144"/>
            </w:pPr>
            <w:r w:rsidRPr="00BD23A2">
              <w:t>Lease liabilities</w:t>
            </w:r>
          </w:p>
        </w:tc>
        <w:tc>
          <w:tcPr>
            <w:tcW w:w="1358" w:type="dxa"/>
          </w:tcPr>
          <w:p w14:paraId="5DF9A0EC" w14:textId="0FA90123" w:rsidR="004235F9" w:rsidRPr="00F47F3F" w:rsidRDefault="004356C6">
            <w:pPr>
              <w:tabs>
                <w:tab w:val="decimal" w:pos="1136"/>
              </w:tabs>
              <w:ind w:right="-144"/>
              <w:rPr>
                <w:b/>
              </w:rPr>
            </w:pPr>
            <w:r>
              <w:rPr>
                <w:b/>
              </w:rPr>
              <w:t>4,</w:t>
            </w:r>
            <w:r w:rsidR="00022345">
              <w:rPr>
                <w:b/>
              </w:rPr>
              <w:t>738</w:t>
            </w:r>
          </w:p>
        </w:tc>
        <w:tc>
          <w:tcPr>
            <w:tcW w:w="1358" w:type="dxa"/>
          </w:tcPr>
          <w:p w14:paraId="4C9F674F" w14:textId="3E3A377D" w:rsidR="004235F9" w:rsidRPr="00713996" w:rsidRDefault="00022345">
            <w:pPr>
              <w:tabs>
                <w:tab w:val="decimal" w:pos="1136"/>
              </w:tabs>
              <w:ind w:right="-144"/>
              <w:rPr>
                <w:b/>
              </w:rPr>
            </w:pPr>
            <w:r>
              <w:rPr>
                <w:b/>
              </w:rPr>
              <w:t>5,168</w:t>
            </w:r>
          </w:p>
        </w:tc>
        <w:tc>
          <w:tcPr>
            <w:tcW w:w="1358" w:type="dxa"/>
          </w:tcPr>
          <w:p w14:paraId="1A4B18EB" w14:textId="0F06E3E5" w:rsidR="004235F9" w:rsidRPr="00713996" w:rsidRDefault="00022345">
            <w:pPr>
              <w:tabs>
                <w:tab w:val="decimal" w:pos="1136"/>
              </w:tabs>
              <w:ind w:right="-144"/>
              <w:rPr>
                <w:b/>
              </w:rPr>
            </w:pPr>
            <w:r>
              <w:rPr>
                <w:b/>
              </w:rPr>
              <w:t>1,746</w:t>
            </w:r>
          </w:p>
        </w:tc>
        <w:tc>
          <w:tcPr>
            <w:tcW w:w="1358" w:type="dxa"/>
          </w:tcPr>
          <w:p w14:paraId="4E07B355" w14:textId="64BB2EF7" w:rsidR="004235F9" w:rsidRPr="00713996" w:rsidRDefault="00022345">
            <w:pPr>
              <w:tabs>
                <w:tab w:val="decimal" w:pos="1136"/>
              </w:tabs>
              <w:ind w:right="-144"/>
              <w:rPr>
                <w:b/>
              </w:rPr>
            </w:pPr>
            <w:r>
              <w:rPr>
                <w:b/>
              </w:rPr>
              <w:t>1,320</w:t>
            </w:r>
          </w:p>
        </w:tc>
        <w:tc>
          <w:tcPr>
            <w:tcW w:w="1358" w:type="dxa"/>
          </w:tcPr>
          <w:p w14:paraId="1877940E" w14:textId="67197212" w:rsidR="004235F9" w:rsidRPr="00713996" w:rsidRDefault="00022345">
            <w:pPr>
              <w:tabs>
                <w:tab w:val="decimal" w:pos="1136"/>
              </w:tabs>
              <w:ind w:right="-144"/>
              <w:rPr>
                <w:b/>
              </w:rPr>
            </w:pPr>
            <w:r>
              <w:rPr>
                <w:b/>
              </w:rPr>
              <w:t>2,102</w:t>
            </w:r>
          </w:p>
        </w:tc>
      </w:tr>
      <w:tr w:rsidR="004235F9" w:rsidRPr="0073552B" w14:paraId="1480693A" w14:textId="77777777" w:rsidTr="00EC10B5">
        <w:tc>
          <w:tcPr>
            <w:tcW w:w="2944" w:type="dxa"/>
          </w:tcPr>
          <w:p w14:paraId="0DFCDE73" w14:textId="77777777" w:rsidR="004235F9" w:rsidRPr="00BD23A2" w:rsidRDefault="004235F9">
            <w:pPr>
              <w:ind w:right="-144"/>
            </w:pPr>
            <w:r w:rsidRPr="00BD23A2">
              <w:t>Trade payables</w:t>
            </w:r>
          </w:p>
        </w:tc>
        <w:tc>
          <w:tcPr>
            <w:tcW w:w="1358" w:type="dxa"/>
          </w:tcPr>
          <w:p w14:paraId="38EEA60A" w14:textId="2381517A" w:rsidR="004235F9" w:rsidRDefault="00BD23A2">
            <w:pPr>
              <w:tabs>
                <w:tab w:val="decimal" w:pos="1136"/>
              </w:tabs>
              <w:ind w:right="-144"/>
              <w:rPr>
                <w:b/>
              </w:rPr>
            </w:pPr>
            <w:r>
              <w:rPr>
                <w:b/>
              </w:rPr>
              <w:t>31,210</w:t>
            </w:r>
          </w:p>
        </w:tc>
        <w:tc>
          <w:tcPr>
            <w:tcW w:w="1358" w:type="dxa"/>
          </w:tcPr>
          <w:p w14:paraId="36649351" w14:textId="7612D1B5" w:rsidR="004235F9" w:rsidRPr="0073552B" w:rsidRDefault="00BD23A2">
            <w:pPr>
              <w:tabs>
                <w:tab w:val="decimal" w:pos="1136"/>
              </w:tabs>
              <w:ind w:right="-144"/>
              <w:rPr>
                <w:b/>
              </w:rPr>
            </w:pPr>
            <w:r>
              <w:rPr>
                <w:b/>
              </w:rPr>
              <w:t>31,210</w:t>
            </w:r>
          </w:p>
        </w:tc>
        <w:tc>
          <w:tcPr>
            <w:tcW w:w="1358" w:type="dxa"/>
          </w:tcPr>
          <w:p w14:paraId="4B74616B" w14:textId="1D1BE602" w:rsidR="004235F9" w:rsidRPr="0073552B" w:rsidRDefault="00BD23A2">
            <w:pPr>
              <w:tabs>
                <w:tab w:val="decimal" w:pos="1136"/>
              </w:tabs>
              <w:ind w:right="-144"/>
              <w:rPr>
                <w:b/>
              </w:rPr>
            </w:pPr>
            <w:r>
              <w:rPr>
                <w:b/>
              </w:rPr>
              <w:t>31,210</w:t>
            </w:r>
          </w:p>
        </w:tc>
        <w:tc>
          <w:tcPr>
            <w:tcW w:w="1358" w:type="dxa"/>
          </w:tcPr>
          <w:p w14:paraId="4ACA1B4A" w14:textId="5253965E" w:rsidR="004235F9" w:rsidRPr="0073552B" w:rsidRDefault="00BD23A2">
            <w:pPr>
              <w:tabs>
                <w:tab w:val="decimal" w:pos="1136"/>
              </w:tabs>
              <w:ind w:right="-144"/>
              <w:rPr>
                <w:b/>
              </w:rPr>
            </w:pPr>
            <w:r>
              <w:rPr>
                <w:b/>
              </w:rPr>
              <w:t>-</w:t>
            </w:r>
          </w:p>
        </w:tc>
        <w:tc>
          <w:tcPr>
            <w:tcW w:w="1358" w:type="dxa"/>
          </w:tcPr>
          <w:p w14:paraId="4685C26B" w14:textId="6BBC8477" w:rsidR="004235F9" w:rsidRPr="0073552B" w:rsidRDefault="00BD23A2">
            <w:pPr>
              <w:tabs>
                <w:tab w:val="decimal" w:pos="1136"/>
              </w:tabs>
              <w:ind w:right="-144"/>
              <w:rPr>
                <w:b/>
              </w:rPr>
            </w:pPr>
            <w:r>
              <w:rPr>
                <w:b/>
              </w:rPr>
              <w:t>-</w:t>
            </w:r>
          </w:p>
        </w:tc>
      </w:tr>
      <w:tr w:rsidR="004235F9" w14:paraId="1D4DC07F" w14:textId="77777777" w:rsidTr="00EC10B5">
        <w:trPr>
          <w:trHeight w:val="95"/>
        </w:trPr>
        <w:tc>
          <w:tcPr>
            <w:tcW w:w="2944" w:type="dxa"/>
          </w:tcPr>
          <w:p w14:paraId="1D518E32" w14:textId="77777777" w:rsidR="004235F9" w:rsidRPr="00BD23A2" w:rsidRDefault="004235F9">
            <w:pPr>
              <w:ind w:right="-144"/>
            </w:pPr>
            <w:r w:rsidRPr="00BD23A2">
              <w:t>Inventory accruals</w:t>
            </w:r>
          </w:p>
        </w:tc>
        <w:tc>
          <w:tcPr>
            <w:tcW w:w="1358" w:type="dxa"/>
          </w:tcPr>
          <w:p w14:paraId="5CC8C983" w14:textId="31FC6BDA" w:rsidR="004235F9" w:rsidRDefault="007F7CE9">
            <w:pPr>
              <w:tabs>
                <w:tab w:val="decimal" w:pos="1136"/>
              </w:tabs>
              <w:ind w:right="-144"/>
              <w:rPr>
                <w:b/>
              </w:rPr>
            </w:pPr>
            <w:r>
              <w:rPr>
                <w:b/>
              </w:rPr>
              <w:t>77,997</w:t>
            </w:r>
          </w:p>
        </w:tc>
        <w:tc>
          <w:tcPr>
            <w:tcW w:w="1358" w:type="dxa"/>
          </w:tcPr>
          <w:p w14:paraId="1DE78D05" w14:textId="3A438E46" w:rsidR="004235F9" w:rsidRDefault="007F7CE9">
            <w:pPr>
              <w:tabs>
                <w:tab w:val="decimal" w:pos="1136"/>
              </w:tabs>
              <w:ind w:right="-144"/>
              <w:rPr>
                <w:b/>
              </w:rPr>
            </w:pPr>
            <w:r>
              <w:rPr>
                <w:b/>
              </w:rPr>
              <w:t>77,997</w:t>
            </w:r>
          </w:p>
        </w:tc>
        <w:tc>
          <w:tcPr>
            <w:tcW w:w="1358" w:type="dxa"/>
          </w:tcPr>
          <w:p w14:paraId="5719B7E8" w14:textId="471D4CBB" w:rsidR="004235F9" w:rsidRDefault="007F7CE9">
            <w:pPr>
              <w:tabs>
                <w:tab w:val="decimal" w:pos="1136"/>
              </w:tabs>
              <w:ind w:right="-144"/>
              <w:rPr>
                <w:b/>
              </w:rPr>
            </w:pPr>
            <w:r>
              <w:rPr>
                <w:b/>
              </w:rPr>
              <w:t>77,997</w:t>
            </w:r>
          </w:p>
        </w:tc>
        <w:tc>
          <w:tcPr>
            <w:tcW w:w="1358" w:type="dxa"/>
          </w:tcPr>
          <w:p w14:paraId="10B116E0" w14:textId="4A158789" w:rsidR="004235F9" w:rsidRDefault="007F7CE9">
            <w:pPr>
              <w:tabs>
                <w:tab w:val="decimal" w:pos="1136"/>
              </w:tabs>
              <w:ind w:right="-144"/>
              <w:rPr>
                <w:b/>
              </w:rPr>
            </w:pPr>
            <w:r>
              <w:rPr>
                <w:b/>
              </w:rPr>
              <w:t>-</w:t>
            </w:r>
          </w:p>
        </w:tc>
        <w:tc>
          <w:tcPr>
            <w:tcW w:w="1358" w:type="dxa"/>
          </w:tcPr>
          <w:p w14:paraId="74C74FCF" w14:textId="36FD784C" w:rsidR="004235F9" w:rsidRDefault="007F7CE9">
            <w:pPr>
              <w:tabs>
                <w:tab w:val="decimal" w:pos="1136"/>
              </w:tabs>
              <w:ind w:right="-144"/>
              <w:rPr>
                <w:b/>
              </w:rPr>
            </w:pPr>
            <w:r>
              <w:rPr>
                <w:b/>
              </w:rPr>
              <w:t>-</w:t>
            </w:r>
          </w:p>
        </w:tc>
      </w:tr>
      <w:tr w:rsidR="004235F9" w14:paraId="1569CAB5" w14:textId="77777777" w:rsidTr="00EC10B5">
        <w:trPr>
          <w:trHeight w:val="95"/>
        </w:trPr>
        <w:tc>
          <w:tcPr>
            <w:tcW w:w="2944" w:type="dxa"/>
          </w:tcPr>
          <w:p w14:paraId="4ADE8B32" w14:textId="77777777" w:rsidR="004235F9" w:rsidRPr="00BD23A2" w:rsidRDefault="004235F9">
            <w:pPr>
              <w:ind w:right="-144"/>
            </w:pPr>
            <w:r w:rsidRPr="00BD23A2">
              <w:t>Other accruals</w:t>
            </w:r>
          </w:p>
        </w:tc>
        <w:tc>
          <w:tcPr>
            <w:tcW w:w="1358" w:type="dxa"/>
          </w:tcPr>
          <w:p w14:paraId="568EECCE" w14:textId="740B1769" w:rsidR="004235F9" w:rsidRDefault="00833D6F">
            <w:pPr>
              <w:tabs>
                <w:tab w:val="decimal" w:pos="1136"/>
              </w:tabs>
              <w:ind w:right="-144"/>
              <w:rPr>
                <w:b/>
              </w:rPr>
            </w:pPr>
            <w:r>
              <w:rPr>
                <w:b/>
              </w:rPr>
              <w:t>61,59</w:t>
            </w:r>
            <w:r w:rsidR="00042449">
              <w:rPr>
                <w:b/>
              </w:rPr>
              <w:t>8</w:t>
            </w:r>
          </w:p>
        </w:tc>
        <w:tc>
          <w:tcPr>
            <w:tcW w:w="1358" w:type="dxa"/>
          </w:tcPr>
          <w:p w14:paraId="441F8D67" w14:textId="2B008716" w:rsidR="004235F9" w:rsidRDefault="00833D6F">
            <w:pPr>
              <w:tabs>
                <w:tab w:val="decimal" w:pos="1136"/>
              </w:tabs>
              <w:ind w:right="-144"/>
              <w:rPr>
                <w:b/>
              </w:rPr>
            </w:pPr>
            <w:r>
              <w:rPr>
                <w:b/>
              </w:rPr>
              <w:t>61,59</w:t>
            </w:r>
            <w:r w:rsidR="00042449">
              <w:rPr>
                <w:b/>
              </w:rPr>
              <w:t>8</w:t>
            </w:r>
          </w:p>
        </w:tc>
        <w:tc>
          <w:tcPr>
            <w:tcW w:w="1358" w:type="dxa"/>
          </w:tcPr>
          <w:p w14:paraId="098077D8" w14:textId="3560CFC4" w:rsidR="004235F9" w:rsidRDefault="00833D6F">
            <w:pPr>
              <w:tabs>
                <w:tab w:val="decimal" w:pos="1136"/>
              </w:tabs>
              <w:ind w:right="-144"/>
              <w:rPr>
                <w:b/>
              </w:rPr>
            </w:pPr>
            <w:r>
              <w:rPr>
                <w:b/>
              </w:rPr>
              <w:t>61,59</w:t>
            </w:r>
            <w:r w:rsidR="00042449">
              <w:rPr>
                <w:b/>
              </w:rPr>
              <w:t>8</w:t>
            </w:r>
          </w:p>
        </w:tc>
        <w:tc>
          <w:tcPr>
            <w:tcW w:w="1358" w:type="dxa"/>
          </w:tcPr>
          <w:p w14:paraId="208261A0" w14:textId="09C35A90" w:rsidR="004235F9" w:rsidRDefault="00833D6F">
            <w:pPr>
              <w:tabs>
                <w:tab w:val="decimal" w:pos="1136"/>
              </w:tabs>
              <w:ind w:right="-144"/>
              <w:rPr>
                <w:b/>
              </w:rPr>
            </w:pPr>
            <w:r>
              <w:rPr>
                <w:b/>
              </w:rPr>
              <w:t>-</w:t>
            </w:r>
          </w:p>
        </w:tc>
        <w:tc>
          <w:tcPr>
            <w:tcW w:w="1358" w:type="dxa"/>
          </w:tcPr>
          <w:p w14:paraId="44E80DE4" w14:textId="26760AE0" w:rsidR="004235F9" w:rsidRDefault="00833D6F">
            <w:pPr>
              <w:tabs>
                <w:tab w:val="decimal" w:pos="1136"/>
              </w:tabs>
              <w:ind w:right="-144"/>
              <w:rPr>
                <w:b/>
              </w:rPr>
            </w:pPr>
            <w:r>
              <w:rPr>
                <w:b/>
              </w:rPr>
              <w:t>-</w:t>
            </w:r>
          </w:p>
        </w:tc>
      </w:tr>
      <w:tr w:rsidR="005F0298" w14:paraId="2EECD240" w14:textId="77777777" w:rsidTr="00EC10B5">
        <w:trPr>
          <w:trHeight w:val="95"/>
        </w:trPr>
        <w:tc>
          <w:tcPr>
            <w:tcW w:w="2944" w:type="dxa"/>
          </w:tcPr>
          <w:p w14:paraId="6F657542" w14:textId="66BB5AC3" w:rsidR="005F0298" w:rsidRPr="00BD23A2" w:rsidRDefault="005F0298">
            <w:pPr>
              <w:ind w:right="-144"/>
            </w:pPr>
            <w:r w:rsidRPr="008C24BD">
              <w:t>Derivative contracts</w:t>
            </w:r>
          </w:p>
        </w:tc>
        <w:tc>
          <w:tcPr>
            <w:tcW w:w="1358" w:type="dxa"/>
          </w:tcPr>
          <w:p w14:paraId="225051D9" w14:textId="40485E13" w:rsidR="005F0298" w:rsidRDefault="001F78BF">
            <w:pPr>
              <w:tabs>
                <w:tab w:val="decimal" w:pos="1136"/>
              </w:tabs>
              <w:ind w:right="-144"/>
              <w:rPr>
                <w:b/>
              </w:rPr>
            </w:pPr>
            <w:r>
              <w:rPr>
                <w:b/>
              </w:rPr>
              <w:t>1,370</w:t>
            </w:r>
          </w:p>
        </w:tc>
        <w:tc>
          <w:tcPr>
            <w:tcW w:w="1358" w:type="dxa"/>
          </w:tcPr>
          <w:p w14:paraId="7E60C8D2" w14:textId="124441A8" w:rsidR="005F0298" w:rsidRDefault="001F78BF">
            <w:pPr>
              <w:tabs>
                <w:tab w:val="decimal" w:pos="1136"/>
              </w:tabs>
              <w:ind w:right="-144"/>
              <w:rPr>
                <w:b/>
              </w:rPr>
            </w:pPr>
            <w:r>
              <w:rPr>
                <w:b/>
              </w:rPr>
              <w:t>1,436</w:t>
            </w:r>
          </w:p>
        </w:tc>
        <w:tc>
          <w:tcPr>
            <w:tcW w:w="1358" w:type="dxa"/>
          </w:tcPr>
          <w:p w14:paraId="62051C12" w14:textId="7333483B" w:rsidR="005F0298" w:rsidRDefault="00721D29">
            <w:pPr>
              <w:tabs>
                <w:tab w:val="decimal" w:pos="1136"/>
              </w:tabs>
              <w:ind w:right="-144"/>
              <w:rPr>
                <w:b/>
              </w:rPr>
            </w:pPr>
            <w:r>
              <w:rPr>
                <w:b/>
              </w:rPr>
              <w:t>570</w:t>
            </w:r>
          </w:p>
        </w:tc>
        <w:tc>
          <w:tcPr>
            <w:tcW w:w="1358" w:type="dxa"/>
          </w:tcPr>
          <w:p w14:paraId="7912BB13" w14:textId="58B35330" w:rsidR="005F0298" w:rsidRDefault="00721D29">
            <w:pPr>
              <w:tabs>
                <w:tab w:val="decimal" w:pos="1136"/>
              </w:tabs>
              <w:ind w:right="-144"/>
              <w:rPr>
                <w:b/>
              </w:rPr>
            </w:pPr>
            <w:r>
              <w:rPr>
                <w:b/>
              </w:rPr>
              <w:t>567</w:t>
            </w:r>
          </w:p>
        </w:tc>
        <w:tc>
          <w:tcPr>
            <w:tcW w:w="1358" w:type="dxa"/>
          </w:tcPr>
          <w:p w14:paraId="5E9FAE41" w14:textId="0A535F18" w:rsidR="005F0298" w:rsidRDefault="00721D29">
            <w:pPr>
              <w:tabs>
                <w:tab w:val="decimal" w:pos="1136"/>
              </w:tabs>
              <w:ind w:right="-144"/>
              <w:rPr>
                <w:b/>
              </w:rPr>
            </w:pPr>
            <w:r>
              <w:rPr>
                <w:b/>
              </w:rPr>
              <w:t>299</w:t>
            </w:r>
          </w:p>
        </w:tc>
      </w:tr>
      <w:tr w:rsidR="004235F9" w:rsidRPr="0073552B" w14:paraId="0B9F1069" w14:textId="77777777" w:rsidTr="00EC10B5">
        <w:trPr>
          <w:trHeight w:val="95"/>
        </w:trPr>
        <w:tc>
          <w:tcPr>
            <w:tcW w:w="2944" w:type="dxa"/>
          </w:tcPr>
          <w:p w14:paraId="5576D5FE" w14:textId="77777777" w:rsidR="004235F9" w:rsidRPr="00BD23A2" w:rsidRDefault="004235F9">
            <w:pPr>
              <w:ind w:right="-144"/>
            </w:pPr>
            <w:r w:rsidRPr="00BD23A2">
              <w:t>Loans and borrowings</w:t>
            </w:r>
          </w:p>
        </w:tc>
        <w:tc>
          <w:tcPr>
            <w:tcW w:w="1358" w:type="dxa"/>
          </w:tcPr>
          <w:p w14:paraId="4AFC4B43" w14:textId="5C08EA17" w:rsidR="004235F9" w:rsidRDefault="007C732C">
            <w:pPr>
              <w:tabs>
                <w:tab w:val="decimal" w:pos="1136"/>
              </w:tabs>
              <w:ind w:right="-144"/>
              <w:rPr>
                <w:b/>
              </w:rPr>
            </w:pPr>
            <w:r>
              <w:rPr>
                <w:b/>
              </w:rPr>
              <w:t>318,36</w:t>
            </w:r>
            <w:r w:rsidR="00050150">
              <w:rPr>
                <w:b/>
              </w:rPr>
              <w:t>7</w:t>
            </w:r>
          </w:p>
        </w:tc>
        <w:tc>
          <w:tcPr>
            <w:tcW w:w="1358" w:type="dxa"/>
          </w:tcPr>
          <w:p w14:paraId="4BE028F3" w14:textId="1AD5817E" w:rsidR="004235F9" w:rsidRPr="00A72745" w:rsidRDefault="007C732C">
            <w:pPr>
              <w:tabs>
                <w:tab w:val="decimal" w:pos="1136"/>
              </w:tabs>
              <w:ind w:right="-144"/>
              <w:rPr>
                <w:b/>
              </w:rPr>
            </w:pPr>
            <w:r>
              <w:rPr>
                <w:b/>
              </w:rPr>
              <w:t>335,059</w:t>
            </w:r>
          </w:p>
        </w:tc>
        <w:tc>
          <w:tcPr>
            <w:tcW w:w="1358" w:type="dxa"/>
          </w:tcPr>
          <w:p w14:paraId="718FC36C" w14:textId="079DDC70" w:rsidR="004235F9" w:rsidRPr="00A72745" w:rsidRDefault="007C732C">
            <w:pPr>
              <w:tabs>
                <w:tab w:val="decimal" w:pos="1136"/>
              </w:tabs>
              <w:ind w:right="-144"/>
              <w:rPr>
                <w:b/>
              </w:rPr>
            </w:pPr>
            <w:r>
              <w:rPr>
                <w:b/>
              </w:rPr>
              <w:t>15,059</w:t>
            </w:r>
          </w:p>
        </w:tc>
        <w:tc>
          <w:tcPr>
            <w:tcW w:w="1358" w:type="dxa"/>
          </w:tcPr>
          <w:p w14:paraId="3348FB93" w14:textId="33522C0F" w:rsidR="004235F9" w:rsidRPr="00A72745" w:rsidRDefault="007C732C">
            <w:pPr>
              <w:tabs>
                <w:tab w:val="decimal" w:pos="1136"/>
              </w:tabs>
              <w:ind w:right="-144"/>
              <w:rPr>
                <w:b/>
              </w:rPr>
            </w:pPr>
            <w:r>
              <w:rPr>
                <w:b/>
              </w:rPr>
              <w:t>15,059</w:t>
            </w:r>
          </w:p>
        </w:tc>
        <w:tc>
          <w:tcPr>
            <w:tcW w:w="1358" w:type="dxa"/>
          </w:tcPr>
          <w:p w14:paraId="11E7FB44" w14:textId="7BCF2F1C" w:rsidR="004235F9" w:rsidRPr="00A72745" w:rsidRDefault="001A0552">
            <w:pPr>
              <w:tabs>
                <w:tab w:val="decimal" w:pos="1136"/>
              </w:tabs>
              <w:ind w:right="-144"/>
              <w:rPr>
                <w:b/>
              </w:rPr>
            </w:pPr>
            <w:r>
              <w:rPr>
                <w:b/>
              </w:rPr>
              <w:t>304,941</w:t>
            </w:r>
          </w:p>
        </w:tc>
      </w:tr>
      <w:tr w:rsidR="004235F9" w:rsidRPr="003B329D" w14:paraId="00A6D3E6" w14:textId="77777777" w:rsidTr="00EC10B5">
        <w:tc>
          <w:tcPr>
            <w:tcW w:w="2944" w:type="dxa"/>
          </w:tcPr>
          <w:p w14:paraId="7045422A" w14:textId="77777777" w:rsidR="004235F9" w:rsidRPr="009C52C7" w:rsidRDefault="004235F9">
            <w:pPr>
              <w:ind w:right="-144"/>
            </w:pPr>
          </w:p>
        </w:tc>
        <w:tc>
          <w:tcPr>
            <w:tcW w:w="1358" w:type="dxa"/>
          </w:tcPr>
          <w:p w14:paraId="2C08440A" w14:textId="77777777" w:rsidR="004235F9" w:rsidRPr="003B329D" w:rsidRDefault="004235F9">
            <w:pPr>
              <w:tabs>
                <w:tab w:val="decimal" w:pos="1136"/>
              </w:tabs>
              <w:ind w:right="-144"/>
              <w:rPr>
                <w:u w:val="single"/>
              </w:rPr>
            </w:pPr>
            <w:r w:rsidRPr="003B329D">
              <w:rPr>
                <w:u w:val="single"/>
              </w:rPr>
              <w:t>                  </w:t>
            </w:r>
          </w:p>
        </w:tc>
        <w:tc>
          <w:tcPr>
            <w:tcW w:w="1358" w:type="dxa"/>
          </w:tcPr>
          <w:p w14:paraId="5426F3FF" w14:textId="77777777" w:rsidR="004235F9" w:rsidRPr="00A72745" w:rsidRDefault="004235F9">
            <w:pPr>
              <w:tabs>
                <w:tab w:val="decimal" w:pos="1136"/>
              </w:tabs>
              <w:ind w:right="-144"/>
              <w:rPr>
                <w:u w:val="single"/>
              </w:rPr>
            </w:pPr>
            <w:r w:rsidRPr="00A72745">
              <w:rPr>
                <w:u w:val="single"/>
              </w:rPr>
              <w:t>                  </w:t>
            </w:r>
          </w:p>
        </w:tc>
        <w:tc>
          <w:tcPr>
            <w:tcW w:w="1358" w:type="dxa"/>
          </w:tcPr>
          <w:p w14:paraId="756B5899" w14:textId="401EE060" w:rsidR="004235F9" w:rsidRPr="00A72745" w:rsidRDefault="004235F9">
            <w:pPr>
              <w:tabs>
                <w:tab w:val="decimal" w:pos="1136"/>
              </w:tabs>
              <w:ind w:right="-144"/>
              <w:rPr>
                <w:u w:val="single"/>
              </w:rPr>
            </w:pPr>
            <w:r w:rsidRPr="00A72745">
              <w:rPr>
                <w:u w:val="single"/>
              </w:rPr>
              <w:t>                </w:t>
            </w:r>
          </w:p>
        </w:tc>
        <w:tc>
          <w:tcPr>
            <w:tcW w:w="1358" w:type="dxa"/>
          </w:tcPr>
          <w:p w14:paraId="3232D30E" w14:textId="77777777" w:rsidR="004235F9" w:rsidRPr="00A72745" w:rsidRDefault="004235F9">
            <w:pPr>
              <w:tabs>
                <w:tab w:val="decimal" w:pos="1136"/>
              </w:tabs>
              <w:ind w:right="-144"/>
              <w:rPr>
                <w:u w:val="single"/>
              </w:rPr>
            </w:pPr>
            <w:r w:rsidRPr="00A72745">
              <w:rPr>
                <w:u w:val="single"/>
              </w:rPr>
              <w:t>                  </w:t>
            </w:r>
          </w:p>
        </w:tc>
        <w:tc>
          <w:tcPr>
            <w:tcW w:w="1358" w:type="dxa"/>
          </w:tcPr>
          <w:p w14:paraId="62D78219" w14:textId="77777777" w:rsidR="004235F9" w:rsidRPr="00A72745" w:rsidRDefault="004235F9">
            <w:pPr>
              <w:tabs>
                <w:tab w:val="decimal" w:pos="1136"/>
              </w:tabs>
              <w:ind w:right="-144"/>
              <w:rPr>
                <w:u w:val="single"/>
              </w:rPr>
            </w:pPr>
            <w:r w:rsidRPr="00A72745">
              <w:rPr>
                <w:u w:val="single"/>
              </w:rPr>
              <w:t>                  </w:t>
            </w:r>
          </w:p>
        </w:tc>
      </w:tr>
      <w:tr w:rsidR="004235F9" w:rsidRPr="00EC59A5" w14:paraId="36D004F6" w14:textId="77777777" w:rsidTr="00EC10B5">
        <w:tc>
          <w:tcPr>
            <w:tcW w:w="2944" w:type="dxa"/>
          </w:tcPr>
          <w:p w14:paraId="1B1BD7BA" w14:textId="77777777" w:rsidR="004235F9" w:rsidRPr="009C52C7" w:rsidRDefault="004235F9">
            <w:pPr>
              <w:ind w:right="-144"/>
            </w:pPr>
          </w:p>
        </w:tc>
        <w:tc>
          <w:tcPr>
            <w:tcW w:w="1358" w:type="dxa"/>
          </w:tcPr>
          <w:p w14:paraId="162FC4C1" w14:textId="09049FA5" w:rsidR="004235F9" w:rsidRPr="00F47F3F" w:rsidRDefault="00721D29">
            <w:pPr>
              <w:tabs>
                <w:tab w:val="decimal" w:pos="1136"/>
              </w:tabs>
              <w:ind w:right="-144"/>
              <w:rPr>
                <w:b/>
              </w:rPr>
            </w:pPr>
            <w:r>
              <w:rPr>
                <w:b/>
              </w:rPr>
              <w:t>495,28</w:t>
            </w:r>
            <w:r w:rsidR="00AB75FA">
              <w:rPr>
                <w:b/>
              </w:rPr>
              <w:t>0</w:t>
            </w:r>
          </w:p>
        </w:tc>
        <w:tc>
          <w:tcPr>
            <w:tcW w:w="1358" w:type="dxa"/>
          </w:tcPr>
          <w:p w14:paraId="419BD859" w14:textId="047B4A60" w:rsidR="004235F9" w:rsidRPr="00A72745" w:rsidRDefault="00721D29">
            <w:pPr>
              <w:tabs>
                <w:tab w:val="decimal" w:pos="1136"/>
              </w:tabs>
              <w:ind w:right="-144"/>
              <w:rPr>
                <w:b/>
              </w:rPr>
            </w:pPr>
            <w:r>
              <w:rPr>
                <w:b/>
              </w:rPr>
              <w:t>512,4</w:t>
            </w:r>
            <w:r w:rsidR="00F72FF4">
              <w:rPr>
                <w:b/>
              </w:rPr>
              <w:t>6</w:t>
            </w:r>
            <w:r>
              <w:rPr>
                <w:b/>
              </w:rPr>
              <w:t>8</w:t>
            </w:r>
          </w:p>
        </w:tc>
        <w:tc>
          <w:tcPr>
            <w:tcW w:w="1358" w:type="dxa"/>
          </w:tcPr>
          <w:p w14:paraId="12C7A151" w14:textId="08F1A27A" w:rsidR="004235F9" w:rsidRPr="00A72745" w:rsidRDefault="00721D29">
            <w:pPr>
              <w:tabs>
                <w:tab w:val="decimal" w:pos="1136"/>
              </w:tabs>
              <w:ind w:right="-144"/>
              <w:rPr>
                <w:b/>
              </w:rPr>
            </w:pPr>
            <w:r>
              <w:rPr>
                <w:b/>
              </w:rPr>
              <w:t>188,1</w:t>
            </w:r>
            <w:r w:rsidR="00056194">
              <w:rPr>
                <w:b/>
              </w:rPr>
              <w:t>80</w:t>
            </w:r>
          </w:p>
        </w:tc>
        <w:tc>
          <w:tcPr>
            <w:tcW w:w="1358" w:type="dxa"/>
          </w:tcPr>
          <w:p w14:paraId="0F846D75" w14:textId="5C33A825" w:rsidR="004235F9" w:rsidRPr="00A72745" w:rsidRDefault="00721D29">
            <w:pPr>
              <w:tabs>
                <w:tab w:val="decimal" w:pos="1136"/>
              </w:tabs>
              <w:ind w:right="-144"/>
              <w:rPr>
                <w:b/>
              </w:rPr>
            </w:pPr>
            <w:r>
              <w:rPr>
                <w:b/>
              </w:rPr>
              <w:t>16,9</w:t>
            </w:r>
            <w:r w:rsidR="001C4CA5">
              <w:rPr>
                <w:b/>
              </w:rPr>
              <w:t>46</w:t>
            </w:r>
          </w:p>
        </w:tc>
        <w:tc>
          <w:tcPr>
            <w:tcW w:w="1358" w:type="dxa"/>
          </w:tcPr>
          <w:p w14:paraId="6667CA7D" w14:textId="62991A1B" w:rsidR="004235F9" w:rsidRPr="00A72745" w:rsidRDefault="008C24BD">
            <w:pPr>
              <w:tabs>
                <w:tab w:val="decimal" w:pos="1136"/>
              </w:tabs>
              <w:ind w:right="-144"/>
              <w:rPr>
                <w:b/>
              </w:rPr>
            </w:pPr>
            <w:r>
              <w:rPr>
                <w:b/>
              </w:rPr>
              <w:t>307,3</w:t>
            </w:r>
            <w:r w:rsidR="00A001C2">
              <w:rPr>
                <w:b/>
              </w:rPr>
              <w:t>4</w:t>
            </w:r>
            <w:r>
              <w:rPr>
                <w:b/>
              </w:rPr>
              <w:t>2</w:t>
            </w:r>
          </w:p>
        </w:tc>
      </w:tr>
      <w:tr w:rsidR="004235F9" w:rsidRPr="003B329D" w14:paraId="11CD22CA" w14:textId="77777777" w:rsidTr="00EC10B5">
        <w:trPr>
          <w:trHeight w:val="288"/>
        </w:trPr>
        <w:tc>
          <w:tcPr>
            <w:tcW w:w="2944" w:type="dxa"/>
          </w:tcPr>
          <w:p w14:paraId="655B2C41" w14:textId="77777777" w:rsidR="004235F9" w:rsidRPr="009C52C7" w:rsidRDefault="004235F9">
            <w:pPr>
              <w:ind w:right="-144"/>
            </w:pPr>
          </w:p>
        </w:tc>
        <w:tc>
          <w:tcPr>
            <w:tcW w:w="1358" w:type="dxa"/>
          </w:tcPr>
          <w:p w14:paraId="75BDA01D" w14:textId="77777777" w:rsidR="004235F9" w:rsidRPr="003B329D" w:rsidRDefault="004235F9">
            <w:pPr>
              <w:tabs>
                <w:tab w:val="decimal" w:pos="1136"/>
              </w:tabs>
              <w:ind w:right="-144"/>
              <w:rPr>
                <w:u w:val="double"/>
              </w:rPr>
            </w:pPr>
            <w:r w:rsidRPr="003B329D">
              <w:rPr>
                <w:u w:val="double"/>
              </w:rPr>
              <w:t>                  </w:t>
            </w:r>
          </w:p>
        </w:tc>
        <w:tc>
          <w:tcPr>
            <w:tcW w:w="1358" w:type="dxa"/>
          </w:tcPr>
          <w:p w14:paraId="06B464F6" w14:textId="77777777" w:rsidR="004235F9" w:rsidRPr="003B329D" w:rsidRDefault="004235F9">
            <w:pPr>
              <w:tabs>
                <w:tab w:val="decimal" w:pos="1136"/>
              </w:tabs>
              <w:ind w:right="-144"/>
              <w:rPr>
                <w:u w:val="double"/>
              </w:rPr>
            </w:pPr>
            <w:r w:rsidRPr="003B329D">
              <w:rPr>
                <w:u w:val="double"/>
              </w:rPr>
              <w:t>                  </w:t>
            </w:r>
          </w:p>
        </w:tc>
        <w:tc>
          <w:tcPr>
            <w:tcW w:w="1358" w:type="dxa"/>
          </w:tcPr>
          <w:p w14:paraId="5191DE8C" w14:textId="77777777" w:rsidR="004235F9" w:rsidRPr="003B329D" w:rsidRDefault="004235F9">
            <w:pPr>
              <w:tabs>
                <w:tab w:val="decimal" w:pos="1136"/>
              </w:tabs>
              <w:ind w:right="-144"/>
              <w:rPr>
                <w:u w:val="double"/>
              </w:rPr>
            </w:pPr>
            <w:r w:rsidRPr="003B329D">
              <w:rPr>
                <w:u w:val="double"/>
              </w:rPr>
              <w:t>                  </w:t>
            </w:r>
          </w:p>
        </w:tc>
        <w:tc>
          <w:tcPr>
            <w:tcW w:w="1358" w:type="dxa"/>
          </w:tcPr>
          <w:p w14:paraId="64138F01" w14:textId="77777777" w:rsidR="004235F9" w:rsidRPr="003B329D" w:rsidRDefault="004235F9">
            <w:pPr>
              <w:tabs>
                <w:tab w:val="decimal" w:pos="1136"/>
              </w:tabs>
              <w:ind w:right="-144"/>
              <w:rPr>
                <w:u w:val="double"/>
              </w:rPr>
            </w:pPr>
            <w:r w:rsidRPr="003B329D">
              <w:rPr>
                <w:u w:val="double"/>
              </w:rPr>
              <w:t>                  </w:t>
            </w:r>
          </w:p>
        </w:tc>
        <w:tc>
          <w:tcPr>
            <w:tcW w:w="1358" w:type="dxa"/>
          </w:tcPr>
          <w:p w14:paraId="5D61F3A7" w14:textId="77777777" w:rsidR="004235F9" w:rsidRPr="003B329D" w:rsidRDefault="004235F9">
            <w:pPr>
              <w:tabs>
                <w:tab w:val="decimal" w:pos="1136"/>
              </w:tabs>
              <w:ind w:right="-144"/>
              <w:rPr>
                <w:u w:val="double"/>
              </w:rPr>
            </w:pPr>
            <w:r w:rsidRPr="003B329D">
              <w:rPr>
                <w:u w:val="double"/>
              </w:rPr>
              <w:t>                  </w:t>
            </w:r>
          </w:p>
        </w:tc>
      </w:tr>
    </w:tbl>
    <w:p w14:paraId="72E1E3BC" w14:textId="77777777" w:rsidR="00DB0CC2" w:rsidRDefault="00DB0CC2" w:rsidP="00AE31D3">
      <w:pPr>
        <w:pStyle w:val="NotesBody"/>
        <w:ind w:left="0"/>
        <w:rPr>
          <w:rFonts w:cs="Arial"/>
          <w:b/>
          <w:color w:val="000000" w:themeColor="text1"/>
        </w:rPr>
      </w:pPr>
    </w:p>
    <w:tbl>
      <w:tblPr>
        <w:tblW w:w="9734" w:type="dxa"/>
        <w:tblLayout w:type="fixed"/>
        <w:tblCellMar>
          <w:left w:w="0" w:type="dxa"/>
          <w:right w:w="115" w:type="dxa"/>
        </w:tblCellMar>
        <w:tblLook w:val="04A0" w:firstRow="1" w:lastRow="0" w:firstColumn="1" w:lastColumn="0" w:noHBand="0" w:noVBand="1"/>
      </w:tblPr>
      <w:tblGrid>
        <w:gridCol w:w="2944"/>
        <w:gridCol w:w="1358"/>
        <w:gridCol w:w="1358"/>
        <w:gridCol w:w="1358"/>
        <w:gridCol w:w="1358"/>
        <w:gridCol w:w="1358"/>
      </w:tblGrid>
      <w:tr w:rsidR="00DB0CC2" w14:paraId="50BC55C0" w14:textId="77777777" w:rsidTr="00DB0CC2">
        <w:tc>
          <w:tcPr>
            <w:tcW w:w="2944" w:type="dxa"/>
          </w:tcPr>
          <w:p w14:paraId="5CEF9F97" w14:textId="77777777" w:rsidR="00DB0CC2" w:rsidRPr="009C52C7" w:rsidRDefault="00DB0CC2"/>
        </w:tc>
        <w:tc>
          <w:tcPr>
            <w:tcW w:w="6790" w:type="dxa"/>
            <w:gridSpan w:val="5"/>
            <w:vAlign w:val="bottom"/>
          </w:tcPr>
          <w:p w14:paraId="17C08BB5" w14:textId="53DB7042" w:rsidR="00DB0CC2" w:rsidRDefault="00DB0CC2" w:rsidP="00DB0CC2">
            <w:pPr>
              <w:ind w:right="43"/>
              <w:jc w:val="center"/>
              <w:rPr>
                <w:b/>
              </w:rPr>
            </w:pPr>
            <w:r>
              <w:rPr>
                <w:b/>
              </w:rPr>
              <w:t>31 December 202</w:t>
            </w:r>
            <w:r w:rsidR="00AD1CF3">
              <w:rPr>
                <w:b/>
              </w:rPr>
              <w:t>4</w:t>
            </w:r>
          </w:p>
        </w:tc>
      </w:tr>
      <w:tr w:rsidR="00DB0CC2" w:rsidRPr="00F47F3F" w14:paraId="2D94DD11" w14:textId="77777777" w:rsidTr="00DB0CC2">
        <w:tc>
          <w:tcPr>
            <w:tcW w:w="2944" w:type="dxa"/>
          </w:tcPr>
          <w:p w14:paraId="64328D06" w14:textId="77777777" w:rsidR="00DB0CC2" w:rsidRPr="009C52C7" w:rsidRDefault="00DB0CC2"/>
        </w:tc>
        <w:tc>
          <w:tcPr>
            <w:tcW w:w="1358" w:type="dxa"/>
          </w:tcPr>
          <w:p w14:paraId="02591D10" w14:textId="77777777" w:rsidR="00DB0CC2" w:rsidRPr="00F47F3F" w:rsidRDefault="00DB0CC2">
            <w:pPr>
              <w:tabs>
                <w:tab w:val="decimal" w:pos="1136"/>
              </w:tabs>
              <w:ind w:right="-144"/>
              <w:rPr>
                <w:b/>
              </w:rPr>
            </w:pPr>
            <w:r>
              <w:rPr>
                <w:b/>
              </w:rPr>
              <w:t>Carrying</w:t>
            </w:r>
          </w:p>
        </w:tc>
        <w:tc>
          <w:tcPr>
            <w:tcW w:w="1358" w:type="dxa"/>
          </w:tcPr>
          <w:p w14:paraId="2FBCA849" w14:textId="77777777" w:rsidR="00DB0CC2" w:rsidRPr="00F47F3F" w:rsidRDefault="00DB0CC2">
            <w:pPr>
              <w:tabs>
                <w:tab w:val="decimal" w:pos="1136"/>
              </w:tabs>
              <w:ind w:right="-144"/>
              <w:rPr>
                <w:b/>
              </w:rPr>
            </w:pPr>
            <w:r>
              <w:rPr>
                <w:b/>
              </w:rPr>
              <w:t>Contractual</w:t>
            </w:r>
          </w:p>
        </w:tc>
        <w:tc>
          <w:tcPr>
            <w:tcW w:w="1358" w:type="dxa"/>
          </w:tcPr>
          <w:p w14:paraId="7390B835" w14:textId="77777777" w:rsidR="00DB0CC2" w:rsidRPr="00F47F3F" w:rsidRDefault="00DB0CC2">
            <w:pPr>
              <w:tabs>
                <w:tab w:val="decimal" w:pos="1136"/>
              </w:tabs>
              <w:ind w:right="-144"/>
              <w:rPr>
                <w:b/>
              </w:rPr>
            </w:pPr>
            <w:r>
              <w:rPr>
                <w:b/>
              </w:rPr>
              <w:t>Less than</w:t>
            </w:r>
          </w:p>
        </w:tc>
        <w:tc>
          <w:tcPr>
            <w:tcW w:w="1358" w:type="dxa"/>
          </w:tcPr>
          <w:p w14:paraId="11F7C93C" w14:textId="77777777" w:rsidR="00DB0CC2" w:rsidRPr="00F47F3F" w:rsidRDefault="00DB0CC2">
            <w:pPr>
              <w:tabs>
                <w:tab w:val="decimal" w:pos="1136"/>
              </w:tabs>
              <w:ind w:right="43"/>
              <w:jc w:val="right"/>
              <w:rPr>
                <w:b/>
              </w:rPr>
            </w:pPr>
            <w:r>
              <w:rPr>
                <w:b/>
              </w:rPr>
              <w:t>1 year</w:t>
            </w:r>
          </w:p>
        </w:tc>
        <w:tc>
          <w:tcPr>
            <w:tcW w:w="1358" w:type="dxa"/>
          </w:tcPr>
          <w:p w14:paraId="69EFBF90" w14:textId="77777777" w:rsidR="00DB0CC2" w:rsidRPr="00F47F3F" w:rsidRDefault="00DB0CC2">
            <w:pPr>
              <w:tabs>
                <w:tab w:val="decimal" w:pos="1136"/>
              </w:tabs>
              <w:ind w:right="43"/>
              <w:jc w:val="right"/>
              <w:rPr>
                <w:b/>
              </w:rPr>
            </w:pPr>
            <w:r>
              <w:rPr>
                <w:b/>
              </w:rPr>
              <w:t>More than</w:t>
            </w:r>
          </w:p>
        </w:tc>
      </w:tr>
      <w:tr w:rsidR="00DB0CC2" w:rsidRPr="00F47F3F" w14:paraId="74ECC560" w14:textId="77777777" w:rsidTr="00DB0CC2">
        <w:tc>
          <w:tcPr>
            <w:tcW w:w="2944" w:type="dxa"/>
          </w:tcPr>
          <w:p w14:paraId="42F1A247" w14:textId="77777777" w:rsidR="00DB0CC2" w:rsidRPr="009C52C7" w:rsidRDefault="00DB0CC2">
            <w:pPr>
              <w:ind w:right="-144"/>
            </w:pPr>
          </w:p>
        </w:tc>
        <w:tc>
          <w:tcPr>
            <w:tcW w:w="1358" w:type="dxa"/>
          </w:tcPr>
          <w:p w14:paraId="4AEB541C" w14:textId="77777777" w:rsidR="00DB0CC2" w:rsidRPr="00F47F3F" w:rsidRDefault="00DB0CC2">
            <w:pPr>
              <w:tabs>
                <w:tab w:val="decimal" w:pos="1136"/>
              </w:tabs>
              <w:ind w:right="-144"/>
              <w:rPr>
                <w:b/>
              </w:rPr>
            </w:pPr>
            <w:r>
              <w:rPr>
                <w:b/>
              </w:rPr>
              <w:t>amount</w:t>
            </w:r>
          </w:p>
        </w:tc>
        <w:tc>
          <w:tcPr>
            <w:tcW w:w="1358" w:type="dxa"/>
          </w:tcPr>
          <w:p w14:paraId="4106999A" w14:textId="77777777" w:rsidR="00DB0CC2" w:rsidRPr="00F47F3F" w:rsidRDefault="00DB0CC2">
            <w:pPr>
              <w:tabs>
                <w:tab w:val="decimal" w:pos="1136"/>
              </w:tabs>
              <w:ind w:right="-144"/>
              <w:rPr>
                <w:b/>
              </w:rPr>
            </w:pPr>
            <w:r>
              <w:rPr>
                <w:b/>
              </w:rPr>
              <w:t>cash flows</w:t>
            </w:r>
          </w:p>
        </w:tc>
        <w:tc>
          <w:tcPr>
            <w:tcW w:w="1358" w:type="dxa"/>
          </w:tcPr>
          <w:p w14:paraId="353F8435" w14:textId="77777777" w:rsidR="00DB0CC2" w:rsidRPr="00F47F3F" w:rsidRDefault="00DB0CC2">
            <w:pPr>
              <w:tabs>
                <w:tab w:val="decimal" w:pos="1136"/>
              </w:tabs>
              <w:ind w:right="43"/>
              <w:jc w:val="right"/>
              <w:rPr>
                <w:b/>
              </w:rPr>
            </w:pPr>
            <w:r>
              <w:rPr>
                <w:b/>
              </w:rPr>
              <w:t>1 year</w:t>
            </w:r>
          </w:p>
        </w:tc>
        <w:tc>
          <w:tcPr>
            <w:tcW w:w="1358" w:type="dxa"/>
          </w:tcPr>
          <w:p w14:paraId="60BFC83C" w14:textId="77777777" w:rsidR="00DB0CC2" w:rsidRPr="00F47F3F" w:rsidRDefault="00DB0CC2">
            <w:pPr>
              <w:tabs>
                <w:tab w:val="decimal" w:pos="1136"/>
              </w:tabs>
              <w:ind w:right="43"/>
              <w:jc w:val="right"/>
              <w:rPr>
                <w:b/>
              </w:rPr>
            </w:pPr>
            <w:r>
              <w:rPr>
                <w:b/>
              </w:rPr>
              <w:t>to 2 years</w:t>
            </w:r>
          </w:p>
        </w:tc>
        <w:tc>
          <w:tcPr>
            <w:tcW w:w="1358" w:type="dxa"/>
          </w:tcPr>
          <w:p w14:paraId="38717D9D" w14:textId="77777777" w:rsidR="00DB0CC2" w:rsidRPr="00F47F3F" w:rsidRDefault="00DB0CC2">
            <w:pPr>
              <w:tabs>
                <w:tab w:val="decimal" w:pos="1136"/>
              </w:tabs>
              <w:ind w:right="43"/>
              <w:jc w:val="right"/>
              <w:rPr>
                <w:b/>
              </w:rPr>
            </w:pPr>
            <w:r>
              <w:rPr>
                <w:b/>
              </w:rPr>
              <w:t>2 years</w:t>
            </w:r>
          </w:p>
        </w:tc>
      </w:tr>
      <w:tr w:rsidR="00DB0CC2" w14:paraId="4CC8DB35" w14:textId="77777777" w:rsidTr="00DB0CC2">
        <w:tc>
          <w:tcPr>
            <w:tcW w:w="2944" w:type="dxa"/>
          </w:tcPr>
          <w:p w14:paraId="3A5CEFCF" w14:textId="77777777" w:rsidR="00DB0CC2" w:rsidRPr="009C52C7" w:rsidRDefault="00DB0CC2">
            <w:pPr>
              <w:ind w:right="-144"/>
            </w:pPr>
          </w:p>
        </w:tc>
        <w:tc>
          <w:tcPr>
            <w:tcW w:w="1358" w:type="dxa"/>
          </w:tcPr>
          <w:p w14:paraId="1A689C76" w14:textId="77777777" w:rsidR="00DB0CC2" w:rsidRPr="00F47F3F" w:rsidRDefault="00DB0CC2">
            <w:pPr>
              <w:tabs>
                <w:tab w:val="decimal" w:pos="1136"/>
              </w:tabs>
              <w:ind w:right="-144"/>
              <w:rPr>
                <w:b/>
              </w:rPr>
            </w:pPr>
            <w:r>
              <w:rPr>
                <w:b/>
              </w:rPr>
              <w:t>€’000</w:t>
            </w:r>
          </w:p>
        </w:tc>
        <w:tc>
          <w:tcPr>
            <w:tcW w:w="1358" w:type="dxa"/>
          </w:tcPr>
          <w:p w14:paraId="3A47208D" w14:textId="77777777" w:rsidR="00DB0CC2" w:rsidRDefault="00DB0CC2">
            <w:pPr>
              <w:tabs>
                <w:tab w:val="decimal" w:pos="1136"/>
              </w:tabs>
              <w:ind w:right="-144"/>
            </w:pPr>
            <w:r w:rsidRPr="00060402">
              <w:rPr>
                <w:b/>
              </w:rPr>
              <w:t>€’000</w:t>
            </w:r>
          </w:p>
        </w:tc>
        <w:tc>
          <w:tcPr>
            <w:tcW w:w="1358" w:type="dxa"/>
          </w:tcPr>
          <w:p w14:paraId="55B89837" w14:textId="77777777" w:rsidR="00DB0CC2" w:rsidRDefault="00DB0CC2">
            <w:pPr>
              <w:tabs>
                <w:tab w:val="decimal" w:pos="1136"/>
              </w:tabs>
              <w:ind w:right="-144"/>
            </w:pPr>
            <w:r w:rsidRPr="00060402">
              <w:rPr>
                <w:b/>
              </w:rPr>
              <w:t>€’000</w:t>
            </w:r>
          </w:p>
        </w:tc>
        <w:tc>
          <w:tcPr>
            <w:tcW w:w="1358" w:type="dxa"/>
          </w:tcPr>
          <w:p w14:paraId="25B44B67" w14:textId="77777777" w:rsidR="00DB0CC2" w:rsidRDefault="00DB0CC2">
            <w:pPr>
              <w:tabs>
                <w:tab w:val="decimal" w:pos="1136"/>
              </w:tabs>
              <w:ind w:right="-144"/>
            </w:pPr>
            <w:r w:rsidRPr="00060402">
              <w:rPr>
                <w:b/>
              </w:rPr>
              <w:t>€’000</w:t>
            </w:r>
          </w:p>
        </w:tc>
        <w:tc>
          <w:tcPr>
            <w:tcW w:w="1358" w:type="dxa"/>
          </w:tcPr>
          <w:p w14:paraId="10BD6498" w14:textId="77777777" w:rsidR="00DB0CC2" w:rsidRDefault="00DB0CC2">
            <w:pPr>
              <w:tabs>
                <w:tab w:val="decimal" w:pos="1136"/>
              </w:tabs>
              <w:ind w:right="-144"/>
            </w:pPr>
            <w:r w:rsidRPr="00060402">
              <w:rPr>
                <w:b/>
              </w:rPr>
              <w:t>€’000</w:t>
            </w:r>
          </w:p>
        </w:tc>
      </w:tr>
      <w:tr w:rsidR="00DB0CC2" w:rsidRPr="009C52C7" w14:paraId="0FA5CC52" w14:textId="77777777" w:rsidTr="00DB0CC2">
        <w:tc>
          <w:tcPr>
            <w:tcW w:w="2944" w:type="dxa"/>
          </w:tcPr>
          <w:p w14:paraId="508E5EBD" w14:textId="77777777" w:rsidR="00DB0CC2" w:rsidRPr="009C52C7" w:rsidRDefault="00DB0CC2">
            <w:pPr>
              <w:ind w:right="-144"/>
            </w:pPr>
          </w:p>
        </w:tc>
        <w:tc>
          <w:tcPr>
            <w:tcW w:w="1358" w:type="dxa"/>
          </w:tcPr>
          <w:p w14:paraId="00D55460" w14:textId="77777777" w:rsidR="00DB0CC2" w:rsidRPr="009C52C7" w:rsidRDefault="00DB0CC2">
            <w:pPr>
              <w:tabs>
                <w:tab w:val="decimal" w:pos="1136"/>
              </w:tabs>
              <w:ind w:right="-144"/>
            </w:pPr>
          </w:p>
        </w:tc>
        <w:tc>
          <w:tcPr>
            <w:tcW w:w="1358" w:type="dxa"/>
          </w:tcPr>
          <w:p w14:paraId="1312A6F1" w14:textId="77777777" w:rsidR="00DB0CC2" w:rsidRPr="009C52C7" w:rsidRDefault="00DB0CC2">
            <w:pPr>
              <w:tabs>
                <w:tab w:val="decimal" w:pos="1136"/>
              </w:tabs>
              <w:ind w:right="-144"/>
            </w:pPr>
          </w:p>
        </w:tc>
        <w:tc>
          <w:tcPr>
            <w:tcW w:w="1358" w:type="dxa"/>
          </w:tcPr>
          <w:p w14:paraId="4D9B2AA4" w14:textId="77777777" w:rsidR="00DB0CC2" w:rsidRPr="009C52C7" w:rsidRDefault="00DB0CC2">
            <w:pPr>
              <w:tabs>
                <w:tab w:val="decimal" w:pos="1136"/>
              </w:tabs>
              <w:ind w:right="-144"/>
            </w:pPr>
          </w:p>
        </w:tc>
        <w:tc>
          <w:tcPr>
            <w:tcW w:w="1358" w:type="dxa"/>
          </w:tcPr>
          <w:p w14:paraId="54BFB8AB" w14:textId="77777777" w:rsidR="00DB0CC2" w:rsidRPr="009C52C7" w:rsidRDefault="00DB0CC2">
            <w:pPr>
              <w:tabs>
                <w:tab w:val="decimal" w:pos="1136"/>
              </w:tabs>
              <w:ind w:right="-144"/>
            </w:pPr>
          </w:p>
        </w:tc>
        <w:tc>
          <w:tcPr>
            <w:tcW w:w="1358" w:type="dxa"/>
          </w:tcPr>
          <w:p w14:paraId="5A1C6D9B" w14:textId="77777777" w:rsidR="00DB0CC2" w:rsidRPr="009C52C7" w:rsidRDefault="00DB0CC2">
            <w:pPr>
              <w:tabs>
                <w:tab w:val="decimal" w:pos="1136"/>
              </w:tabs>
              <w:ind w:right="-144"/>
            </w:pPr>
          </w:p>
        </w:tc>
      </w:tr>
      <w:tr w:rsidR="00AD1CF3" w:rsidRPr="00E34DB8" w14:paraId="53B5856D" w14:textId="77777777" w:rsidTr="00DB0CC2">
        <w:tc>
          <w:tcPr>
            <w:tcW w:w="2944" w:type="dxa"/>
          </w:tcPr>
          <w:p w14:paraId="669C26AD" w14:textId="77777777" w:rsidR="00AD1CF3" w:rsidRPr="009C52C7" w:rsidRDefault="00AD1CF3" w:rsidP="00AD1CF3">
            <w:pPr>
              <w:ind w:right="-144"/>
            </w:pPr>
            <w:r>
              <w:t>Lease liabilities</w:t>
            </w:r>
          </w:p>
        </w:tc>
        <w:tc>
          <w:tcPr>
            <w:tcW w:w="1358" w:type="dxa"/>
          </w:tcPr>
          <w:p w14:paraId="0F84A03B" w14:textId="27DE583E" w:rsidR="00AD1CF3" w:rsidRPr="00182741" w:rsidRDefault="00AD1CF3" w:rsidP="00AD1CF3">
            <w:pPr>
              <w:tabs>
                <w:tab w:val="decimal" w:pos="1136"/>
              </w:tabs>
              <w:ind w:right="-144"/>
              <w:rPr>
                <w:bCs/>
              </w:rPr>
            </w:pPr>
            <w:r w:rsidRPr="00182741">
              <w:rPr>
                <w:bCs/>
              </w:rPr>
              <w:t>4,415</w:t>
            </w:r>
          </w:p>
        </w:tc>
        <w:tc>
          <w:tcPr>
            <w:tcW w:w="1358" w:type="dxa"/>
          </w:tcPr>
          <w:p w14:paraId="6E03A1B1" w14:textId="55D866AD" w:rsidR="00AD1CF3" w:rsidRPr="00182741" w:rsidRDefault="00AD1CF3" w:rsidP="00AD1CF3">
            <w:pPr>
              <w:tabs>
                <w:tab w:val="decimal" w:pos="1136"/>
              </w:tabs>
              <w:ind w:right="-144"/>
              <w:rPr>
                <w:bCs/>
              </w:rPr>
            </w:pPr>
            <w:r w:rsidRPr="00182741">
              <w:rPr>
                <w:bCs/>
              </w:rPr>
              <w:t>4,885</w:t>
            </w:r>
          </w:p>
        </w:tc>
        <w:tc>
          <w:tcPr>
            <w:tcW w:w="1358" w:type="dxa"/>
          </w:tcPr>
          <w:p w14:paraId="1C5EEE3A" w14:textId="7D7859E0" w:rsidR="00AD1CF3" w:rsidRPr="00182741" w:rsidRDefault="00AD1CF3" w:rsidP="00AD1CF3">
            <w:pPr>
              <w:tabs>
                <w:tab w:val="decimal" w:pos="1136"/>
              </w:tabs>
              <w:ind w:right="-144"/>
              <w:rPr>
                <w:bCs/>
              </w:rPr>
            </w:pPr>
            <w:r w:rsidRPr="00182741">
              <w:rPr>
                <w:bCs/>
              </w:rPr>
              <w:t>1,375</w:t>
            </w:r>
          </w:p>
        </w:tc>
        <w:tc>
          <w:tcPr>
            <w:tcW w:w="1358" w:type="dxa"/>
          </w:tcPr>
          <w:p w14:paraId="00E5E258" w14:textId="26178C59" w:rsidR="00AD1CF3" w:rsidRPr="00182741" w:rsidRDefault="00AD1CF3" w:rsidP="00AD1CF3">
            <w:pPr>
              <w:tabs>
                <w:tab w:val="decimal" w:pos="1136"/>
              </w:tabs>
              <w:ind w:right="-144"/>
              <w:rPr>
                <w:bCs/>
              </w:rPr>
            </w:pPr>
            <w:r w:rsidRPr="00182741">
              <w:rPr>
                <w:bCs/>
              </w:rPr>
              <w:t>1,219</w:t>
            </w:r>
          </w:p>
        </w:tc>
        <w:tc>
          <w:tcPr>
            <w:tcW w:w="1358" w:type="dxa"/>
          </w:tcPr>
          <w:p w14:paraId="0E28F116" w14:textId="139E7C08" w:rsidR="00AD1CF3" w:rsidRPr="00182741" w:rsidRDefault="00AD1CF3" w:rsidP="00AD1CF3">
            <w:pPr>
              <w:tabs>
                <w:tab w:val="decimal" w:pos="1136"/>
              </w:tabs>
              <w:ind w:right="-144"/>
              <w:rPr>
                <w:bCs/>
              </w:rPr>
            </w:pPr>
            <w:r w:rsidRPr="00182741">
              <w:rPr>
                <w:bCs/>
              </w:rPr>
              <w:t>2,291</w:t>
            </w:r>
          </w:p>
        </w:tc>
      </w:tr>
      <w:tr w:rsidR="00AD1CF3" w:rsidRPr="00E34DB8" w14:paraId="586C0178" w14:textId="77777777" w:rsidTr="00DB0CC2">
        <w:tc>
          <w:tcPr>
            <w:tcW w:w="2944" w:type="dxa"/>
          </w:tcPr>
          <w:p w14:paraId="75CC80EC" w14:textId="77777777" w:rsidR="00AD1CF3" w:rsidRDefault="00AD1CF3" w:rsidP="00AD1CF3">
            <w:pPr>
              <w:ind w:right="-144"/>
            </w:pPr>
            <w:r>
              <w:t>Trade payables</w:t>
            </w:r>
          </w:p>
        </w:tc>
        <w:tc>
          <w:tcPr>
            <w:tcW w:w="1358" w:type="dxa"/>
          </w:tcPr>
          <w:p w14:paraId="417AC97B" w14:textId="6F948540" w:rsidR="00AD1CF3" w:rsidRPr="00182741" w:rsidRDefault="00AD1CF3" w:rsidP="00AD1CF3">
            <w:pPr>
              <w:tabs>
                <w:tab w:val="decimal" w:pos="1136"/>
              </w:tabs>
              <w:ind w:right="-144"/>
              <w:rPr>
                <w:bCs/>
              </w:rPr>
            </w:pPr>
            <w:r w:rsidRPr="00182741">
              <w:rPr>
                <w:bCs/>
              </w:rPr>
              <w:t>11,339</w:t>
            </w:r>
          </w:p>
        </w:tc>
        <w:tc>
          <w:tcPr>
            <w:tcW w:w="1358" w:type="dxa"/>
          </w:tcPr>
          <w:p w14:paraId="1E905551" w14:textId="4620A334" w:rsidR="00AD1CF3" w:rsidRPr="00182741" w:rsidRDefault="00AD1CF3" w:rsidP="00AD1CF3">
            <w:pPr>
              <w:tabs>
                <w:tab w:val="decimal" w:pos="1136"/>
              </w:tabs>
              <w:ind w:right="-144"/>
              <w:rPr>
                <w:bCs/>
              </w:rPr>
            </w:pPr>
            <w:r w:rsidRPr="00182741">
              <w:rPr>
                <w:bCs/>
              </w:rPr>
              <w:t>11,339</w:t>
            </w:r>
          </w:p>
        </w:tc>
        <w:tc>
          <w:tcPr>
            <w:tcW w:w="1358" w:type="dxa"/>
          </w:tcPr>
          <w:p w14:paraId="2225D1E7" w14:textId="45F7921E" w:rsidR="00AD1CF3" w:rsidRPr="00182741" w:rsidRDefault="00AD1CF3" w:rsidP="00AD1CF3">
            <w:pPr>
              <w:tabs>
                <w:tab w:val="decimal" w:pos="1136"/>
              </w:tabs>
              <w:ind w:right="-144"/>
              <w:rPr>
                <w:bCs/>
              </w:rPr>
            </w:pPr>
            <w:r w:rsidRPr="00182741">
              <w:rPr>
                <w:bCs/>
              </w:rPr>
              <w:t>11,339</w:t>
            </w:r>
          </w:p>
        </w:tc>
        <w:tc>
          <w:tcPr>
            <w:tcW w:w="1358" w:type="dxa"/>
          </w:tcPr>
          <w:p w14:paraId="1FF25DB7" w14:textId="251C9C14" w:rsidR="00AD1CF3" w:rsidRPr="00182741" w:rsidRDefault="00AD1CF3" w:rsidP="00AD1CF3">
            <w:pPr>
              <w:tabs>
                <w:tab w:val="decimal" w:pos="1136"/>
              </w:tabs>
              <w:ind w:right="-144"/>
              <w:rPr>
                <w:bCs/>
              </w:rPr>
            </w:pPr>
            <w:r w:rsidRPr="00182741">
              <w:rPr>
                <w:bCs/>
              </w:rPr>
              <w:t>-</w:t>
            </w:r>
          </w:p>
        </w:tc>
        <w:tc>
          <w:tcPr>
            <w:tcW w:w="1358" w:type="dxa"/>
          </w:tcPr>
          <w:p w14:paraId="3002044E" w14:textId="6EEAC2A7" w:rsidR="00AD1CF3" w:rsidRPr="00182741" w:rsidRDefault="00AD1CF3" w:rsidP="00AD1CF3">
            <w:pPr>
              <w:tabs>
                <w:tab w:val="decimal" w:pos="1136"/>
              </w:tabs>
              <w:ind w:right="-144"/>
              <w:rPr>
                <w:bCs/>
              </w:rPr>
            </w:pPr>
            <w:r w:rsidRPr="00182741">
              <w:rPr>
                <w:bCs/>
              </w:rPr>
              <w:t>-</w:t>
            </w:r>
          </w:p>
        </w:tc>
      </w:tr>
      <w:tr w:rsidR="00AD1CF3" w:rsidRPr="00E34DB8" w14:paraId="20736275" w14:textId="77777777" w:rsidTr="00DB0CC2">
        <w:trPr>
          <w:trHeight w:val="95"/>
        </w:trPr>
        <w:tc>
          <w:tcPr>
            <w:tcW w:w="2944" w:type="dxa"/>
          </w:tcPr>
          <w:p w14:paraId="42815054" w14:textId="77777777" w:rsidR="00AD1CF3" w:rsidRDefault="00AD1CF3" w:rsidP="00AD1CF3">
            <w:pPr>
              <w:ind w:right="-144"/>
            </w:pPr>
            <w:r>
              <w:t>Inventory accruals</w:t>
            </w:r>
          </w:p>
        </w:tc>
        <w:tc>
          <w:tcPr>
            <w:tcW w:w="1358" w:type="dxa"/>
          </w:tcPr>
          <w:p w14:paraId="75F38A64" w14:textId="40F90D92" w:rsidR="00AD1CF3" w:rsidRPr="00182741" w:rsidRDefault="00AD1CF3" w:rsidP="00AD1CF3">
            <w:pPr>
              <w:tabs>
                <w:tab w:val="decimal" w:pos="1136"/>
              </w:tabs>
              <w:ind w:right="-144"/>
              <w:rPr>
                <w:bCs/>
              </w:rPr>
            </w:pPr>
            <w:r w:rsidRPr="00182741">
              <w:rPr>
                <w:bCs/>
              </w:rPr>
              <w:t>66,135</w:t>
            </w:r>
          </w:p>
        </w:tc>
        <w:tc>
          <w:tcPr>
            <w:tcW w:w="1358" w:type="dxa"/>
          </w:tcPr>
          <w:p w14:paraId="1B112367" w14:textId="3452A77D" w:rsidR="00AD1CF3" w:rsidRPr="00182741" w:rsidRDefault="00AD1CF3" w:rsidP="00AD1CF3">
            <w:pPr>
              <w:tabs>
                <w:tab w:val="decimal" w:pos="1136"/>
              </w:tabs>
              <w:ind w:right="-144"/>
              <w:rPr>
                <w:bCs/>
              </w:rPr>
            </w:pPr>
            <w:r w:rsidRPr="00182741">
              <w:rPr>
                <w:bCs/>
              </w:rPr>
              <w:t>66,135</w:t>
            </w:r>
          </w:p>
        </w:tc>
        <w:tc>
          <w:tcPr>
            <w:tcW w:w="1358" w:type="dxa"/>
          </w:tcPr>
          <w:p w14:paraId="7B87F0AB" w14:textId="566DE4FC" w:rsidR="00AD1CF3" w:rsidRPr="00182741" w:rsidRDefault="00AD1CF3" w:rsidP="00AD1CF3">
            <w:pPr>
              <w:tabs>
                <w:tab w:val="decimal" w:pos="1136"/>
              </w:tabs>
              <w:ind w:right="-144"/>
              <w:rPr>
                <w:bCs/>
              </w:rPr>
            </w:pPr>
            <w:r w:rsidRPr="00182741">
              <w:rPr>
                <w:bCs/>
              </w:rPr>
              <w:t>66,135</w:t>
            </w:r>
          </w:p>
        </w:tc>
        <w:tc>
          <w:tcPr>
            <w:tcW w:w="1358" w:type="dxa"/>
          </w:tcPr>
          <w:p w14:paraId="2928D08D" w14:textId="1B2080DA" w:rsidR="00AD1CF3" w:rsidRPr="00182741" w:rsidRDefault="00AD1CF3" w:rsidP="00AD1CF3">
            <w:pPr>
              <w:tabs>
                <w:tab w:val="decimal" w:pos="1136"/>
              </w:tabs>
              <w:ind w:right="-144"/>
              <w:rPr>
                <w:bCs/>
              </w:rPr>
            </w:pPr>
            <w:r w:rsidRPr="00182741">
              <w:rPr>
                <w:bCs/>
              </w:rPr>
              <w:t>-</w:t>
            </w:r>
          </w:p>
        </w:tc>
        <w:tc>
          <w:tcPr>
            <w:tcW w:w="1358" w:type="dxa"/>
          </w:tcPr>
          <w:p w14:paraId="1DD57197" w14:textId="04C7B990" w:rsidR="00AD1CF3" w:rsidRPr="00182741" w:rsidRDefault="00AD1CF3" w:rsidP="00AD1CF3">
            <w:pPr>
              <w:tabs>
                <w:tab w:val="decimal" w:pos="1136"/>
              </w:tabs>
              <w:ind w:right="-144"/>
              <w:rPr>
                <w:bCs/>
              </w:rPr>
            </w:pPr>
            <w:r w:rsidRPr="00182741">
              <w:rPr>
                <w:bCs/>
              </w:rPr>
              <w:t>-</w:t>
            </w:r>
          </w:p>
        </w:tc>
      </w:tr>
      <w:tr w:rsidR="00AD1CF3" w:rsidRPr="00E34DB8" w14:paraId="4F4DFE85" w14:textId="77777777" w:rsidTr="00DB0CC2">
        <w:trPr>
          <w:trHeight w:val="95"/>
        </w:trPr>
        <w:tc>
          <w:tcPr>
            <w:tcW w:w="2944" w:type="dxa"/>
          </w:tcPr>
          <w:p w14:paraId="0594E99D" w14:textId="77777777" w:rsidR="00AD1CF3" w:rsidRDefault="00AD1CF3" w:rsidP="00AD1CF3">
            <w:pPr>
              <w:ind w:right="-144"/>
            </w:pPr>
            <w:r>
              <w:t>Other accruals</w:t>
            </w:r>
          </w:p>
        </w:tc>
        <w:tc>
          <w:tcPr>
            <w:tcW w:w="1358" w:type="dxa"/>
          </w:tcPr>
          <w:p w14:paraId="3CD2EDF9" w14:textId="462F9E58" w:rsidR="00AD1CF3" w:rsidRPr="00182741" w:rsidRDefault="00AD1CF3" w:rsidP="00AD1CF3">
            <w:pPr>
              <w:tabs>
                <w:tab w:val="decimal" w:pos="1136"/>
              </w:tabs>
              <w:ind w:right="-144"/>
              <w:rPr>
                <w:bCs/>
              </w:rPr>
            </w:pPr>
            <w:r w:rsidRPr="00182741">
              <w:rPr>
                <w:bCs/>
              </w:rPr>
              <w:t>61,061</w:t>
            </w:r>
          </w:p>
        </w:tc>
        <w:tc>
          <w:tcPr>
            <w:tcW w:w="1358" w:type="dxa"/>
          </w:tcPr>
          <w:p w14:paraId="03003D4E" w14:textId="740640A1" w:rsidR="00AD1CF3" w:rsidRPr="00182741" w:rsidRDefault="00AD1CF3" w:rsidP="00AD1CF3">
            <w:pPr>
              <w:tabs>
                <w:tab w:val="decimal" w:pos="1136"/>
              </w:tabs>
              <w:ind w:right="-144"/>
              <w:rPr>
                <w:bCs/>
              </w:rPr>
            </w:pPr>
            <w:r w:rsidRPr="00182741">
              <w:rPr>
                <w:bCs/>
              </w:rPr>
              <w:t>61,061</w:t>
            </w:r>
          </w:p>
        </w:tc>
        <w:tc>
          <w:tcPr>
            <w:tcW w:w="1358" w:type="dxa"/>
          </w:tcPr>
          <w:p w14:paraId="3B3C96A1" w14:textId="6FF0FF07" w:rsidR="00AD1CF3" w:rsidRPr="00182741" w:rsidRDefault="00AD1CF3" w:rsidP="00AD1CF3">
            <w:pPr>
              <w:tabs>
                <w:tab w:val="decimal" w:pos="1136"/>
              </w:tabs>
              <w:ind w:right="-144"/>
              <w:rPr>
                <w:bCs/>
              </w:rPr>
            </w:pPr>
            <w:r w:rsidRPr="00182741">
              <w:rPr>
                <w:bCs/>
              </w:rPr>
              <w:t>61,061</w:t>
            </w:r>
          </w:p>
        </w:tc>
        <w:tc>
          <w:tcPr>
            <w:tcW w:w="1358" w:type="dxa"/>
          </w:tcPr>
          <w:p w14:paraId="1E6B684C" w14:textId="165BE600" w:rsidR="00AD1CF3" w:rsidRPr="00182741" w:rsidRDefault="00AD1CF3" w:rsidP="00AD1CF3">
            <w:pPr>
              <w:tabs>
                <w:tab w:val="decimal" w:pos="1136"/>
              </w:tabs>
              <w:ind w:right="-144"/>
              <w:rPr>
                <w:bCs/>
              </w:rPr>
            </w:pPr>
            <w:r w:rsidRPr="00182741">
              <w:rPr>
                <w:bCs/>
              </w:rPr>
              <w:t>-</w:t>
            </w:r>
          </w:p>
        </w:tc>
        <w:tc>
          <w:tcPr>
            <w:tcW w:w="1358" w:type="dxa"/>
          </w:tcPr>
          <w:p w14:paraId="198CF2DE" w14:textId="55B62F4A" w:rsidR="00AD1CF3" w:rsidRPr="00182741" w:rsidRDefault="00AD1CF3" w:rsidP="00AD1CF3">
            <w:pPr>
              <w:tabs>
                <w:tab w:val="decimal" w:pos="1136"/>
              </w:tabs>
              <w:ind w:right="-144"/>
              <w:rPr>
                <w:bCs/>
              </w:rPr>
            </w:pPr>
            <w:r w:rsidRPr="00182741">
              <w:rPr>
                <w:bCs/>
              </w:rPr>
              <w:t>-</w:t>
            </w:r>
          </w:p>
        </w:tc>
      </w:tr>
      <w:tr w:rsidR="00AD1CF3" w:rsidRPr="00E34DB8" w14:paraId="0B090DA0" w14:textId="77777777" w:rsidTr="00DB0CC2">
        <w:trPr>
          <w:trHeight w:val="95"/>
        </w:trPr>
        <w:tc>
          <w:tcPr>
            <w:tcW w:w="2944" w:type="dxa"/>
          </w:tcPr>
          <w:p w14:paraId="41AD0F30" w14:textId="536DDA12" w:rsidR="00AD1CF3" w:rsidRDefault="00AD1CF3" w:rsidP="00AD1CF3">
            <w:pPr>
              <w:ind w:right="-144"/>
            </w:pPr>
            <w:r>
              <w:t>Contingent consideration</w:t>
            </w:r>
          </w:p>
        </w:tc>
        <w:tc>
          <w:tcPr>
            <w:tcW w:w="1358" w:type="dxa"/>
          </w:tcPr>
          <w:p w14:paraId="272C7BE1" w14:textId="5E47013B" w:rsidR="00AD1CF3" w:rsidRPr="00182741" w:rsidRDefault="00AD1CF3" w:rsidP="00AD1CF3">
            <w:pPr>
              <w:tabs>
                <w:tab w:val="decimal" w:pos="1136"/>
              </w:tabs>
              <w:ind w:right="-144"/>
              <w:rPr>
                <w:bCs/>
              </w:rPr>
            </w:pPr>
            <w:r w:rsidRPr="00182741">
              <w:rPr>
                <w:bCs/>
              </w:rPr>
              <w:t>-</w:t>
            </w:r>
          </w:p>
        </w:tc>
        <w:tc>
          <w:tcPr>
            <w:tcW w:w="1358" w:type="dxa"/>
          </w:tcPr>
          <w:p w14:paraId="70993F9A" w14:textId="5D53673A" w:rsidR="00AD1CF3" w:rsidRPr="00182741" w:rsidRDefault="00AD1CF3" w:rsidP="00AD1CF3">
            <w:pPr>
              <w:tabs>
                <w:tab w:val="decimal" w:pos="1136"/>
              </w:tabs>
              <w:ind w:right="-144"/>
              <w:rPr>
                <w:bCs/>
              </w:rPr>
            </w:pPr>
            <w:r w:rsidRPr="00182741">
              <w:rPr>
                <w:bCs/>
              </w:rPr>
              <w:t>-</w:t>
            </w:r>
          </w:p>
        </w:tc>
        <w:tc>
          <w:tcPr>
            <w:tcW w:w="1358" w:type="dxa"/>
          </w:tcPr>
          <w:p w14:paraId="4229E11E" w14:textId="580591CE" w:rsidR="00AD1CF3" w:rsidRPr="00182741" w:rsidRDefault="00AD1CF3" w:rsidP="00AD1CF3">
            <w:pPr>
              <w:tabs>
                <w:tab w:val="decimal" w:pos="1136"/>
              </w:tabs>
              <w:ind w:right="-144"/>
              <w:rPr>
                <w:bCs/>
              </w:rPr>
            </w:pPr>
            <w:r w:rsidRPr="00182741">
              <w:rPr>
                <w:bCs/>
              </w:rPr>
              <w:t>-</w:t>
            </w:r>
          </w:p>
        </w:tc>
        <w:tc>
          <w:tcPr>
            <w:tcW w:w="1358" w:type="dxa"/>
          </w:tcPr>
          <w:p w14:paraId="5BAE2492" w14:textId="6139F332" w:rsidR="00AD1CF3" w:rsidRPr="00182741" w:rsidRDefault="00AD1CF3" w:rsidP="00AD1CF3">
            <w:pPr>
              <w:tabs>
                <w:tab w:val="decimal" w:pos="1136"/>
              </w:tabs>
              <w:ind w:right="-144"/>
              <w:rPr>
                <w:bCs/>
              </w:rPr>
            </w:pPr>
            <w:r w:rsidRPr="00182741">
              <w:rPr>
                <w:bCs/>
              </w:rPr>
              <w:t>-</w:t>
            </w:r>
          </w:p>
        </w:tc>
        <w:tc>
          <w:tcPr>
            <w:tcW w:w="1358" w:type="dxa"/>
          </w:tcPr>
          <w:p w14:paraId="42BDEBBA" w14:textId="6510FC62" w:rsidR="00AD1CF3" w:rsidRPr="00182741" w:rsidRDefault="00AD1CF3" w:rsidP="00AD1CF3">
            <w:pPr>
              <w:tabs>
                <w:tab w:val="decimal" w:pos="1136"/>
              </w:tabs>
              <w:ind w:right="-144"/>
              <w:rPr>
                <w:bCs/>
              </w:rPr>
            </w:pPr>
            <w:r w:rsidRPr="00182741">
              <w:rPr>
                <w:bCs/>
              </w:rPr>
              <w:t>-</w:t>
            </w:r>
          </w:p>
        </w:tc>
      </w:tr>
      <w:tr w:rsidR="00AD1CF3" w:rsidRPr="00E34DB8" w14:paraId="2A91B796" w14:textId="77777777" w:rsidTr="00DB0CC2">
        <w:trPr>
          <w:trHeight w:val="95"/>
        </w:trPr>
        <w:tc>
          <w:tcPr>
            <w:tcW w:w="2944" w:type="dxa"/>
          </w:tcPr>
          <w:p w14:paraId="66D377A9" w14:textId="7FC3F489" w:rsidR="00AD1CF3" w:rsidRDefault="00AD1CF3" w:rsidP="00AD1CF3">
            <w:pPr>
              <w:ind w:right="-144"/>
            </w:pPr>
            <w:r>
              <w:t>Derivative contracts</w:t>
            </w:r>
          </w:p>
        </w:tc>
        <w:tc>
          <w:tcPr>
            <w:tcW w:w="1358" w:type="dxa"/>
          </w:tcPr>
          <w:p w14:paraId="59A28DD9" w14:textId="75E15EAC" w:rsidR="00AD1CF3" w:rsidRPr="00182741" w:rsidRDefault="00AD1CF3" w:rsidP="00AD1CF3">
            <w:pPr>
              <w:tabs>
                <w:tab w:val="decimal" w:pos="1136"/>
              </w:tabs>
              <w:ind w:right="-144"/>
              <w:rPr>
                <w:bCs/>
              </w:rPr>
            </w:pPr>
            <w:r w:rsidRPr="00182741">
              <w:rPr>
                <w:bCs/>
              </w:rPr>
              <w:t>1,576</w:t>
            </w:r>
          </w:p>
        </w:tc>
        <w:tc>
          <w:tcPr>
            <w:tcW w:w="1358" w:type="dxa"/>
          </w:tcPr>
          <w:p w14:paraId="4C28968C" w14:textId="4B44D5C2" w:rsidR="00AD1CF3" w:rsidRPr="00182741" w:rsidRDefault="00AD1CF3" w:rsidP="00AD1CF3">
            <w:pPr>
              <w:tabs>
                <w:tab w:val="decimal" w:pos="1136"/>
              </w:tabs>
              <w:ind w:right="-144"/>
              <w:rPr>
                <w:bCs/>
              </w:rPr>
            </w:pPr>
            <w:r w:rsidRPr="00182741">
              <w:rPr>
                <w:bCs/>
              </w:rPr>
              <w:t>1,653</w:t>
            </w:r>
          </w:p>
        </w:tc>
        <w:tc>
          <w:tcPr>
            <w:tcW w:w="1358" w:type="dxa"/>
          </w:tcPr>
          <w:p w14:paraId="4C245518" w14:textId="06409E44" w:rsidR="00AD1CF3" w:rsidRPr="00182741" w:rsidRDefault="00AD1CF3" w:rsidP="00AD1CF3">
            <w:pPr>
              <w:tabs>
                <w:tab w:val="decimal" w:pos="1136"/>
              </w:tabs>
              <w:ind w:right="-144"/>
              <w:rPr>
                <w:bCs/>
              </w:rPr>
            </w:pPr>
            <w:r w:rsidRPr="00182741">
              <w:rPr>
                <w:bCs/>
              </w:rPr>
              <w:t>185</w:t>
            </w:r>
          </w:p>
        </w:tc>
        <w:tc>
          <w:tcPr>
            <w:tcW w:w="1358" w:type="dxa"/>
          </w:tcPr>
          <w:p w14:paraId="28E16A90" w14:textId="5A02DCD6" w:rsidR="00AD1CF3" w:rsidRPr="00182741" w:rsidRDefault="00AD1CF3" w:rsidP="00AD1CF3">
            <w:pPr>
              <w:tabs>
                <w:tab w:val="decimal" w:pos="1136"/>
              </w:tabs>
              <w:ind w:right="-144"/>
              <w:rPr>
                <w:bCs/>
              </w:rPr>
            </w:pPr>
            <w:r w:rsidRPr="00182741">
              <w:rPr>
                <w:bCs/>
              </w:rPr>
              <w:t>211</w:t>
            </w:r>
          </w:p>
        </w:tc>
        <w:tc>
          <w:tcPr>
            <w:tcW w:w="1358" w:type="dxa"/>
          </w:tcPr>
          <w:p w14:paraId="6AC1DEEA" w14:textId="12A23990" w:rsidR="00AD1CF3" w:rsidRPr="00182741" w:rsidRDefault="00AD1CF3" w:rsidP="00AD1CF3">
            <w:pPr>
              <w:tabs>
                <w:tab w:val="decimal" w:pos="1136"/>
              </w:tabs>
              <w:ind w:right="-144"/>
              <w:rPr>
                <w:bCs/>
              </w:rPr>
            </w:pPr>
            <w:r w:rsidRPr="00182741">
              <w:rPr>
                <w:bCs/>
              </w:rPr>
              <w:t>1,257</w:t>
            </w:r>
          </w:p>
        </w:tc>
      </w:tr>
      <w:tr w:rsidR="00AD1CF3" w:rsidRPr="00E34DB8" w14:paraId="10DD6FD2" w14:textId="77777777" w:rsidTr="00DB0CC2">
        <w:trPr>
          <w:trHeight w:val="95"/>
        </w:trPr>
        <w:tc>
          <w:tcPr>
            <w:tcW w:w="2944" w:type="dxa"/>
          </w:tcPr>
          <w:p w14:paraId="7E2A2647" w14:textId="77777777" w:rsidR="00AD1CF3" w:rsidRDefault="00AD1CF3" w:rsidP="00AD1CF3">
            <w:pPr>
              <w:ind w:right="-144"/>
            </w:pPr>
            <w:r>
              <w:t>Loans and borrowings</w:t>
            </w:r>
          </w:p>
        </w:tc>
        <w:tc>
          <w:tcPr>
            <w:tcW w:w="1358" w:type="dxa"/>
          </w:tcPr>
          <w:p w14:paraId="320B7C90" w14:textId="797464DD" w:rsidR="00AD1CF3" w:rsidRPr="00182741" w:rsidRDefault="00AD1CF3" w:rsidP="00AD1CF3">
            <w:pPr>
              <w:tabs>
                <w:tab w:val="decimal" w:pos="1136"/>
              </w:tabs>
              <w:ind w:right="-144"/>
              <w:rPr>
                <w:bCs/>
              </w:rPr>
            </w:pPr>
            <w:r w:rsidRPr="00182741">
              <w:rPr>
                <w:bCs/>
              </w:rPr>
              <w:t>238,168</w:t>
            </w:r>
          </w:p>
        </w:tc>
        <w:tc>
          <w:tcPr>
            <w:tcW w:w="1358" w:type="dxa"/>
          </w:tcPr>
          <w:p w14:paraId="7DB66312" w14:textId="369F98C8" w:rsidR="00AD1CF3" w:rsidRPr="00182741" w:rsidRDefault="00AD1CF3" w:rsidP="00AD1CF3">
            <w:pPr>
              <w:tabs>
                <w:tab w:val="decimal" w:pos="1136"/>
              </w:tabs>
              <w:ind w:right="-144"/>
              <w:rPr>
                <w:bCs/>
              </w:rPr>
            </w:pPr>
            <w:r w:rsidRPr="00182741">
              <w:rPr>
                <w:bCs/>
              </w:rPr>
              <w:t>264,444</w:t>
            </w:r>
          </w:p>
        </w:tc>
        <w:tc>
          <w:tcPr>
            <w:tcW w:w="1358" w:type="dxa"/>
          </w:tcPr>
          <w:p w14:paraId="5903A3AC" w14:textId="73F320AD" w:rsidR="00AD1CF3" w:rsidRPr="00182741" w:rsidRDefault="00AD1CF3" w:rsidP="00AD1CF3">
            <w:pPr>
              <w:tabs>
                <w:tab w:val="decimal" w:pos="1136"/>
              </w:tabs>
              <w:ind w:right="-144"/>
              <w:rPr>
                <w:bCs/>
              </w:rPr>
            </w:pPr>
            <w:r w:rsidRPr="00182741">
              <w:rPr>
                <w:bCs/>
              </w:rPr>
              <w:t>18,504</w:t>
            </w:r>
          </w:p>
        </w:tc>
        <w:tc>
          <w:tcPr>
            <w:tcW w:w="1358" w:type="dxa"/>
          </w:tcPr>
          <w:p w14:paraId="7BAADA51" w14:textId="23DFEBC5" w:rsidR="00AD1CF3" w:rsidRPr="00182741" w:rsidRDefault="00AD1CF3" w:rsidP="00AD1CF3">
            <w:pPr>
              <w:tabs>
                <w:tab w:val="decimal" w:pos="1136"/>
              </w:tabs>
              <w:ind w:right="-144"/>
              <w:rPr>
                <w:bCs/>
              </w:rPr>
            </w:pPr>
            <w:r w:rsidRPr="00182741">
              <w:rPr>
                <w:bCs/>
              </w:rPr>
              <w:t>16,565</w:t>
            </w:r>
          </w:p>
        </w:tc>
        <w:tc>
          <w:tcPr>
            <w:tcW w:w="1358" w:type="dxa"/>
          </w:tcPr>
          <w:p w14:paraId="648657A6" w14:textId="11C46628" w:rsidR="00AD1CF3" w:rsidRPr="00182741" w:rsidRDefault="00AD1CF3" w:rsidP="00AD1CF3">
            <w:pPr>
              <w:tabs>
                <w:tab w:val="decimal" w:pos="1136"/>
              </w:tabs>
              <w:ind w:right="-144"/>
              <w:rPr>
                <w:bCs/>
              </w:rPr>
            </w:pPr>
            <w:r w:rsidRPr="00182741">
              <w:rPr>
                <w:bCs/>
              </w:rPr>
              <w:t>229,374</w:t>
            </w:r>
          </w:p>
        </w:tc>
      </w:tr>
      <w:tr w:rsidR="00DB0CC2" w:rsidRPr="00D95549" w14:paraId="6AAB0D23" w14:textId="77777777" w:rsidTr="00DB0CC2">
        <w:tc>
          <w:tcPr>
            <w:tcW w:w="2944" w:type="dxa"/>
          </w:tcPr>
          <w:p w14:paraId="1A179013" w14:textId="77777777" w:rsidR="00DB0CC2" w:rsidRPr="009C52C7" w:rsidRDefault="00DB0CC2">
            <w:pPr>
              <w:ind w:right="-144"/>
            </w:pPr>
          </w:p>
        </w:tc>
        <w:tc>
          <w:tcPr>
            <w:tcW w:w="1358" w:type="dxa"/>
          </w:tcPr>
          <w:p w14:paraId="14FEF901" w14:textId="77777777" w:rsidR="00DB0CC2" w:rsidRPr="00182741" w:rsidRDefault="00DB0CC2">
            <w:pPr>
              <w:tabs>
                <w:tab w:val="decimal" w:pos="1136"/>
              </w:tabs>
              <w:ind w:right="-144"/>
              <w:rPr>
                <w:bCs/>
                <w:u w:val="single"/>
              </w:rPr>
            </w:pPr>
            <w:r w:rsidRPr="00182741">
              <w:rPr>
                <w:bCs/>
                <w:u w:val="single"/>
              </w:rPr>
              <w:t>                  </w:t>
            </w:r>
          </w:p>
        </w:tc>
        <w:tc>
          <w:tcPr>
            <w:tcW w:w="1358" w:type="dxa"/>
          </w:tcPr>
          <w:p w14:paraId="14A35583" w14:textId="77777777" w:rsidR="00DB0CC2" w:rsidRPr="00182741" w:rsidRDefault="00DB0CC2">
            <w:pPr>
              <w:tabs>
                <w:tab w:val="decimal" w:pos="1136"/>
              </w:tabs>
              <w:ind w:right="-144"/>
              <w:rPr>
                <w:bCs/>
                <w:u w:val="single"/>
              </w:rPr>
            </w:pPr>
            <w:r w:rsidRPr="00182741">
              <w:rPr>
                <w:bCs/>
                <w:u w:val="single"/>
              </w:rPr>
              <w:t>                  </w:t>
            </w:r>
          </w:p>
        </w:tc>
        <w:tc>
          <w:tcPr>
            <w:tcW w:w="1358" w:type="dxa"/>
          </w:tcPr>
          <w:p w14:paraId="59143444" w14:textId="77777777" w:rsidR="00DB0CC2" w:rsidRPr="00182741" w:rsidRDefault="00DB0CC2">
            <w:pPr>
              <w:tabs>
                <w:tab w:val="decimal" w:pos="1136"/>
              </w:tabs>
              <w:ind w:right="-144"/>
              <w:rPr>
                <w:bCs/>
                <w:u w:val="single"/>
              </w:rPr>
            </w:pPr>
            <w:r w:rsidRPr="00182741">
              <w:rPr>
                <w:bCs/>
                <w:u w:val="single"/>
              </w:rPr>
              <w:t>                  </w:t>
            </w:r>
          </w:p>
        </w:tc>
        <w:tc>
          <w:tcPr>
            <w:tcW w:w="1358" w:type="dxa"/>
          </w:tcPr>
          <w:p w14:paraId="7725FEF3" w14:textId="77777777" w:rsidR="00DB0CC2" w:rsidRPr="00182741" w:rsidRDefault="00DB0CC2">
            <w:pPr>
              <w:tabs>
                <w:tab w:val="decimal" w:pos="1136"/>
              </w:tabs>
              <w:ind w:right="-144"/>
              <w:rPr>
                <w:bCs/>
                <w:u w:val="single"/>
              </w:rPr>
            </w:pPr>
            <w:r w:rsidRPr="00182741">
              <w:rPr>
                <w:bCs/>
                <w:u w:val="single"/>
              </w:rPr>
              <w:t>                  </w:t>
            </w:r>
          </w:p>
        </w:tc>
        <w:tc>
          <w:tcPr>
            <w:tcW w:w="1358" w:type="dxa"/>
          </w:tcPr>
          <w:p w14:paraId="07B29FD9" w14:textId="77777777" w:rsidR="00DB0CC2" w:rsidRPr="00182741" w:rsidRDefault="00DB0CC2">
            <w:pPr>
              <w:tabs>
                <w:tab w:val="decimal" w:pos="1136"/>
              </w:tabs>
              <w:ind w:right="-144"/>
              <w:rPr>
                <w:bCs/>
                <w:u w:val="single"/>
              </w:rPr>
            </w:pPr>
            <w:r w:rsidRPr="00182741">
              <w:rPr>
                <w:bCs/>
                <w:u w:val="single"/>
              </w:rPr>
              <w:t>                  </w:t>
            </w:r>
          </w:p>
        </w:tc>
      </w:tr>
      <w:tr w:rsidR="00182741" w:rsidRPr="00E34DB8" w14:paraId="7496EF95" w14:textId="77777777" w:rsidTr="00DB0CC2">
        <w:tc>
          <w:tcPr>
            <w:tcW w:w="2944" w:type="dxa"/>
          </w:tcPr>
          <w:p w14:paraId="3F23F898" w14:textId="77777777" w:rsidR="00182741" w:rsidRPr="009C52C7" w:rsidRDefault="00182741" w:rsidP="00182741">
            <w:pPr>
              <w:ind w:right="-144"/>
            </w:pPr>
          </w:p>
        </w:tc>
        <w:tc>
          <w:tcPr>
            <w:tcW w:w="1358" w:type="dxa"/>
          </w:tcPr>
          <w:p w14:paraId="6204A2E1" w14:textId="2BBD759E" w:rsidR="00182741" w:rsidRPr="00182741" w:rsidRDefault="00182741" w:rsidP="00182741">
            <w:pPr>
              <w:tabs>
                <w:tab w:val="decimal" w:pos="1136"/>
              </w:tabs>
              <w:ind w:right="-144"/>
              <w:rPr>
                <w:bCs/>
              </w:rPr>
            </w:pPr>
            <w:r w:rsidRPr="00182741">
              <w:rPr>
                <w:bCs/>
              </w:rPr>
              <w:t>382,694</w:t>
            </w:r>
          </w:p>
        </w:tc>
        <w:tc>
          <w:tcPr>
            <w:tcW w:w="1358" w:type="dxa"/>
          </w:tcPr>
          <w:p w14:paraId="66E96C66" w14:textId="62146589" w:rsidR="00182741" w:rsidRPr="00182741" w:rsidRDefault="00182741" w:rsidP="00182741">
            <w:pPr>
              <w:tabs>
                <w:tab w:val="decimal" w:pos="1136"/>
              </w:tabs>
              <w:ind w:right="-144"/>
              <w:rPr>
                <w:bCs/>
              </w:rPr>
            </w:pPr>
            <w:r w:rsidRPr="00182741">
              <w:rPr>
                <w:bCs/>
              </w:rPr>
              <w:t>409,517</w:t>
            </w:r>
          </w:p>
        </w:tc>
        <w:tc>
          <w:tcPr>
            <w:tcW w:w="1358" w:type="dxa"/>
          </w:tcPr>
          <w:p w14:paraId="23F07D04" w14:textId="560DDE8B" w:rsidR="00182741" w:rsidRPr="00182741" w:rsidRDefault="00182741" w:rsidP="00182741">
            <w:pPr>
              <w:tabs>
                <w:tab w:val="decimal" w:pos="1136"/>
              </w:tabs>
              <w:ind w:right="-144"/>
              <w:rPr>
                <w:bCs/>
              </w:rPr>
            </w:pPr>
            <w:r w:rsidRPr="00182741">
              <w:rPr>
                <w:bCs/>
              </w:rPr>
              <w:t>158,599</w:t>
            </w:r>
          </w:p>
        </w:tc>
        <w:tc>
          <w:tcPr>
            <w:tcW w:w="1358" w:type="dxa"/>
          </w:tcPr>
          <w:p w14:paraId="5BF8D4DF" w14:textId="64E22533" w:rsidR="00182741" w:rsidRPr="00182741" w:rsidRDefault="00182741" w:rsidP="00182741">
            <w:pPr>
              <w:tabs>
                <w:tab w:val="decimal" w:pos="1136"/>
              </w:tabs>
              <w:ind w:right="-144"/>
              <w:rPr>
                <w:bCs/>
              </w:rPr>
            </w:pPr>
            <w:r w:rsidRPr="00182741">
              <w:rPr>
                <w:bCs/>
              </w:rPr>
              <w:t>17,995</w:t>
            </w:r>
          </w:p>
        </w:tc>
        <w:tc>
          <w:tcPr>
            <w:tcW w:w="1358" w:type="dxa"/>
          </w:tcPr>
          <w:p w14:paraId="740B67B8" w14:textId="43402DE3" w:rsidR="00182741" w:rsidRPr="00182741" w:rsidRDefault="00182741" w:rsidP="00182741">
            <w:pPr>
              <w:tabs>
                <w:tab w:val="decimal" w:pos="1136"/>
              </w:tabs>
              <w:ind w:right="-144"/>
              <w:rPr>
                <w:bCs/>
              </w:rPr>
            </w:pPr>
            <w:r w:rsidRPr="00182741">
              <w:rPr>
                <w:bCs/>
              </w:rPr>
              <w:t>232,922</w:t>
            </w:r>
          </w:p>
        </w:tc>
      </w:tr>
      <w:tr w:rsidR="00DB0CC2" w:rsidRPr="00D95549" w14:paraId="23157D98" w14:textId="77777777" w:rsidTr="00DB0CC2">
        <w:trPr>
          <w:trHeight w:val="284"/>
        </w:trPr>
        <w:tc>
          <w:tcPr>
            <w:tcW w:w="2944" w:type="dxa"/>
          </w:tcPr>
          <w:p w14:paraId="5D721D24" w14:textId="77777777" w:rsidR="00DB0CC2" w:rsidRPr="009C52C7" w:rsidRDefault="00DB0CC2">
            <w:pPr>
              <w:ind w:right="-144"/>
            </w:pPr>
          </w:p>
        </w:tc>
        <w:tc>
          <w:tcPr>
            <w:tcW w:w="1358" w:type="dxa"/>
          </w:tcPr>
          <w:p w14:paraId="7DD4CB36" w14:textId="77777777" w:rsidR="00DB0CC2" w:rsidRPr="00D95549" w:rsidRDefault="00DB0CC2">
            <w:pPr>
              <w:tabs>
                <w:tab w:val="decimal" w:pos="1136"/>
              </w:tabs>
              <w:ind w:right="-144"/>
              <w:rPr>
                <w:bCs/>
                <w:u w:val="double"/>
              </w:rPr>
            </w:pPr>
            <w:r w:rsidRPr="00D95549">
              <w:rPr>
                <w:bCs/>
                <w:u w:val="double"/>
              </w:rPr>
              <w:t>                  </w:t>
            </w:r>
          </w:p>
        </w:tc>
        <w:tc>
          <w:tcPr>
            <w:tcW w:w="1358" w:type="dxa"/>
          </w:tcPr>
          <w:p w14:paraId="6784CE5A" w14:textId="77777777" w:rsidR="00DB0CC2" w:rsidRPr="00D95549" w:rsidRDefault="00DB0CC2">
            <w:pPr>
              <w:tabs>
                <w:tab w:val="decimal" w:pos="1136"/>
              </w:tabs>
              <w:ind w:right="-144"/>
              <w:rPr>
                <w:bCs/>
                <w:u w:val="double"/>
              </w:rPr>
            </w:pPr>
            <w:r w:rsidRPr="00D95549">
              <w:rPr>
                <w:bCs/>
                <w:u w:val="double"/>
              </w:rPr>
              <w:t>                  </w:t>
            </w:r>
          </w:p>
        </w:tc>
        <w:tc>
          <w:tcPr>
            <w:tcW w:w="1358" w:type="dxa"/>
          </w:tcPr>
          <w:p w14:paraId="6CED36B9" w14:textId="77777777" w:rsidR="00DB0CC2" w:rsidRPr="00D95549" w:rsidRDefault="00DB0CC2">
            <w:pPr>
              <w:tabs>
                <w:tab w:val="decimal" w:pos="1136"/>
              </w:tabs>
              <w:ind w:right="-144"/>
              <w:rPr>
                <w:bCs/>
                <w:u w:val="double"/>
              </w:rPr>
            </w:pPr>
            <w:r w:rsidRPr="00D95549">
              <w:rPr>
                <w:bCs/>
                <w:u w:val="double"/>
              </w:rPr>
              <w:t>                  </w:t>
            </w:r>
          </w:p>
        </w:tc>
        <w:tc>
          <w:tcPr>
            <w:tcW w:w="1358" w:type="dxa"/>
          </w:tcPr>
          <w:p w14:paraId="635943DA" w14:textId="77777777" w:rsidR="00DB0CC2" w:rsidRPr="00D95549" w:rsidRDefault="00DB0CC2">
            <w:pPr>
              <w:tabs>
                <w:tab w:val="decimal" w:pos="1136"/>
              </w:tabs>
              <w:ind w:right="-144"/>
              <w:rPr>
                <w:bCs/>
                <w:u w:val="double"/>
              </w:rPr>
            </w:pPr>
            <w:r w:rsidRPr="00D95549">
              <w:rPr>
                <w:bCs/>
                <w:u w:val="double"/>
              </w:rPr>
              <w:t>                  </w:t>
            </w:r>
          </w:p>
        </w:tc>
        <w:tc>
          <w:tcPr>
            <w:tcW w:w="1358" w:type="dxa"/>
          </w:tcPr>
          <w:p w14:paraId="728CEAB8" w14:textId="77777777" w:rsidR="00DB0CC2" w:rsidRPr="00D95549" w:rsidRDefault="00DB0CC2">
            <w:pPr>
              <w:tabs>
                <w:tab w:val="decimal" w:pos="1136"/>
              </w:tabs>
              <w:ind w:right="-144"/>
              <w:rPr>
                <w:bCs/>
                <w:u w:val="double"/>
              </w:rPr>
            </w:pPr>
            <w:r w:rsidRPr="00D95549">
              <w:rPr>
                <w:bCs/>
                <w:u w:val="double"/>
              </w:rPr>
              <w:t>                  </w:t>
            </w:r>
          </w:p>
        </w:tc>
      </w:tr>
    </w:tbl>
    <w:p w14:paraId="58251BF9" w14:textId="77777777" w:rsidR="00F579C8" w:rsidRDefault="00F579C8" w:rsidP="00F6080F">
      <w:pPr>
        <w:pStyle w:val="NotesBody"/>
        <w:ind w:left="0"/>
        <w:rPr>
          <w:rFonts w:cs="Arial"/>
          <w:b/>
          <w:color w:val="000000" w:themeColor="text1"/>
        </w:rPr>
      </w:pPr>
    </w:p>
    <w:p w14:paraId="338A7DD9" w14:textId="022B749B" w:rsidR="00F9671B" w:rsidRPr="00F9671B" w:rsidRDefault="00BD794C" w:rsidP="00F9671B">
      <w:pPr>
        <w:pStyle w:val="NotesBody"/>
        <w:rPr>
          <w:rFonts w:cs="Arial"/>
          <w:bCs/>
          <w:i/>
          <w:iCs/>
          <w:color w:val="000000" w:themeColor="text1"/>
        </w:rPr>
      </w:pPr>
      <w:r>
        <w:rPr>
          <w:rFonts w:cs="Arial"/>
          <w:b/>
          <w:color w:val="000000" w:themeColor="text1"/>
        </w:rPr>
        <w:t>Market</w:t>
      </w:r>
      <w:r w:rsidR="00F9671B">
        <w:rPr>
          <w:rFonts w:cs="Arial"/>
          <w:b/>
          <w:color w:val="000000" w:themeColor="text1"/>
        </w:rPr>
        <w:t xml:space="preserve"> risk</w:t>
      </w:r>
    </w:p>
    <w:p w14:paraId="515135D1" w14:textId="77777777" w:rsidR="00F9671B" w:rsidRDefault="00F9671B" w:rsidP="00CD7DA0">
      <w:pPr>
        <w:pStyle w:val="NotesBody"/>
        <w:rPr>
          <w:rFonts w:cs="Arial"/>
          <w:color w:val="000000" w:themeColor="text1"/>
        </w:rPr>
      </w:pPr>
    </w:p>
    <w:p w14:paraId="53EFF4F7" w14:textId="123A40C8" w:rsidR="004E23F7" w:rsidRDefault="006F2C28" w:rsidP="00B9683B">
      <w:pPr>
        <w:pStyle w:val="NotesBody"/>
        <w:jc w:val="both"/>
        <w:rPr>
          <w:rFonts w:cs="Arial"/>
          <w:color w:val="000000" w:themeColor="text1"/>
        </w:rPr>
      </w:pPr>
      <w:r>
        <w:rPr>
          <w:rFonts w:cs="Arial"/>
          <w:color w:val="000000" w:themeColor="text1"/>
        </w:rPr>
        <w:t>I</w:t>
      </w:r>
      <w:r w:rsidRPr="00314C9F">
        <w:rPr>
          <w:rFonts w:cs="Arial"/>
          <w:color w:val="000000" w:themeColor="text1"/>
        </w:rPr>
        <w:t xml:space="preserve">nterest rate risk reflects the Group’s exposure to </w:t>
      </w:r>
      <w:r w:rsidR="004F1594">
        <w:rPr>
          <w:rFonts w:cs="Arial"/>
          <w:color w:val="000000" w:themeColor="text1"/>
        </w:rPr>
        <w:t>changes</w:t>
      </w:r>
      <w:r w:rsidRPr="00314C9F">
        <w:rPr>
          <w:rFonts w:cs="Arial"/>
          <w:color w:val="000000" w:themeColor="text1"/>
        </w:rPr>
        <w:t xml:space="preserve"> in interest rates </w:t>
      </w:r>
      <w:r w:rsidR="00DB475C">
        <w:rPr>
          <w:rFonts w:cs="Arial"/>
          <w:color w:val="000000" w:themeColor="text1"/>
        </w:rPr>
        <w:t>and stems predominantly from its debt obligations.</w:t>
      </w:r>
      <w:r w:rsidR="005D5A53">
        <w:rPr>
          <w:rFonts w:cs="Arial"/>
          <w:color w:val="000000" w:themeColor="text1"/>
        </w:rPr>
        <w:t xml:space="preserve"> </w:t>
      </w:r>
      <w:r w:rsidR="00B9683B" w:rsidRPr="00B9683B">
        <w:rPr>
          <w:rFonts w:cs="Arial"/>
          <w:color w:val="000000" w:themeColor="text1"/>
        </w:rPr>
        <w:t>Interest rate risk reflects the Group’s exposure to fluctuations in interest rates in the market.</w:t>
      </w:r>
      <w:r w:rsidRPr="00314C9F">
        <w:rPr>
          <w:rFonts w:cs="Arial"/>
          <w:color w:val="000000" w:themeColor="text1"/>
        </w:rPr>
        <w:t xml:space="preserve"> This risk arises from bank loans that are drawn under the</w:t>
      </w:r>
      <w:r>
        <w:rPr>
          <w:rFonts w:cs="Arial"/>
          <w:color w:val="000000" w:themeColor="text1"/>
        </w:rPr>
        <w:t xml:space="preserve"> </w:t>
      </w:r>
      <w:r w:rsidRPr="00314C9F">
        <w:rPr>
          <w:rFonts w:cs="Arial"/>
          <w:color w:val="000000" w:themeColor="text1"/>
        </w:rPr>
        <w:t xml:space="preserve">Group’s </w:t>
      </w:r>
      <w:r>
        <w:rPr>
          <w:rFonts w:cs="Arial"/>
          <w:color w:val="000000" w:themeColor="text1"/>
        </w:rPr>
        <w:t xml:space="preserve">debt facilities </w:t>
      </w:r>
      <w:r w:rsidRPr="00314C9F">
        <w:rPr>
          <w:rFonts w:cs="Arial"/>
          <w:color w:val="000000" w:themeColor="text1"/>
        </w:rPr>
        <w:t xml:space="preserve">with variable interest rates based upon </w:t>
      </w:r>
      <w:r>
        <w:rPr>
          <w:rFonts w:cs="Arial"/>
          <w:color w:val="000000" w:themeColor="text1"/>
        </w:rPr>
        <w:t>EUR</w:t>
      </w:r>
      <w:r w:rsidRPr="00314C9F">
        <w:rPr>
          <w:rFonts w:cs="Arial"/>
          <w:color w:val="000000" w:themeColor="text1"/>
        </w:rPr>
        <w:t xml:space="preserve">IBOR. </w:t>
      </w:r>
      <w:r w:rsidRPr="008C24BD">
        <w:rPr>
          <w:rFonts w:cs="Arial"/>
          <w:color w:val="000000" w:themeColor="text1"/>
        </w:rPr>
        <w:t xml:space="preserve">At the </w:t>
      </w:r>
      <w:r w:rsidR="00210E56" w:rsidRPr="008C24BD">
        <w:rPr>
          <w:rFonts w:cs="Arial"/>
          <w:color w:val="000000" w:themeColor="text1"/>
        </w:rPr>
        <w:t xml:space="preserve">period </w:t>
      </w:r>
      <w:r w:rsidRPr="008C24BD">
        <w:rPr>
          <w:rFonts w:cs="Arial"/>
          <w:color w:val="000000" w:themeColor="text1"/>
        </w:rPr>
        <w:t>ended 3</w:t>
      </w:r>
      <w:r w:rsidR="00210E56" w:rsidRPr="008C24BD">
        <w:rPr>
          <w:rFonts w:cs="Arial"/>
          <w:color w:val="000000" w:themeColor="text1"/>
        </w:rPr>
        <w:t>0</w:t>
      </w:r>
      <w:r w:rsidRPr="008C24BD">
        <w:rPr>
          <w:rFonts w:cs="Arial"/>
          <w:color w:val="000000" w:themeColor="text1"/>
        </w:rPr>
        <w:t xml:space="preserve"> </w:t>
      </w:r>
      <w:r w:rsidR="00210E56" w:rsidRPr="008C24BD">
        <w:rPr>
          <w:rFonts w:cs="Arial"/>
          <w:color w:val="000000" w:themeColor="text1"/>
        </w:rPr>
        <w:t>June</w:t>
      </w:r>
      <w:r w:rsidRPr="008C24BD">
        <w:rPr>
          <w:rFonts w:cs="Arial"/>
          <w:color w:val="000000" w:themeColor="text1"/>
        </w:rPr>
        <w:t xml:space="preserve"> 202</w:t>
      </w:r>
      <w:r w:rsidR="00182741" w:rsidRPr="008C24BD">
        <w:rPr>
          <w:rFonts w:cs="Arial"/>
          <w:color w:val="000000" w:themeColor="text1"/>
        </w:rPr>
        <w:t>5</w:t>
      </w:r>
      <w:r w:rsidRPr="008C24BD">
        <w:rPr>
          <w:rFonts w:cs="Arial"/>
          <w:color w:val="000000" w:themeColor="text1"/>
        </w:rPr>
        <w:t xml:space="preserve"> it is estimated that a </w:t>
      </w:r>
      <w:r w:rsidR="00544495" w:rsidRPr="008C24BD">
        <w:rPr>
          <w:rFonts w:cs="Arial"/>
          <w:color w:val="000000" w:themeColor="text1"/>
        </w:rPr>
        <w:t>de</w:t>
      </w:r>
      <w:r w:rsidRPr="008C24BD">
        <w:rPr>
          <w:rFonts w:cs="Arial"/>
          <w:color w:val="000000" w:themeColor="text1"/>
        </w:rPr>
        <w:t>crease of</w:t>
      </w:r>
      <w:r w:rsidR="00B9683B" w:rsidRPr="008C24BD">
        <w:rPr>
          <w:rFonts w:cs="Arial"/>
          <w:color w:val="000000" w:themeColor="text1"/>
        </w:rPr>
        <w:t xml:space="preserve"> </w:t>
      </w:r>
      <w:r w:rsidRPr="008C24BD">
        <w:rPr>
          <w:rFonts w:cs="Arial"/>
          <w:color w:val="000000" w:themeColor="text1"/>
        </w:rPr>
        <w:t xml:space="preserve">100 basis points to EURIBOR would have </w:t>
      </w:r>
      <w:r w:rsidR="00544495" w:rsidRPr="008C24BD">
        <w:rPr>
          <w:rFonts w:cs="Arial"/>
          <w:color w:val="000000" w:themeColor="text1"/>
        </w:rPr>
        <w:t>in</w:t>
      </w:r>
      <w:r w:rsidRPr="008C24BD">
        <w:rPr>
          <w:rFonts w:cs="Arial"/>
          <w:color w:val="000000" w:themeColor="text1"/>
        </w:rPr>
        <w:t>creased the Group’s profit before tax by €</w:t>
      </w:r>
      <w:r w:rsidR="00354AC5" w:rsidRPr="008C24BD">
        <w:rPr>
          <w:rFonts w:cs="Arial"/>
          <w:color w:val="000000" w:themeColor="text1"/>
        </w:rPr>
        <w:t>1.2m</w:t>
      </w:r>
      <w:r w:rsidR="00353FA9">
        <w:rPr>
          <w:rFonts w:cs="Arial"/>
          <w:color w:val="000000" w:themeColor="text1"/>
        </w:rPr>
        <w:t xml:space="preserve">     </w:t>
      </w:r>
      <w:r w:rsidR="00D81ECD" w:rsidRPr="00D81ECD">
        <w:rPr>
          <w:rFonts w:cs="Arial"/>
          <w:color w:val="000000" w:themeColor="text1"/>
        </w:rPr>
        <w:t xml:space="preserve"> </w:t>
      </w:r>
      <w:r w:rsidRPr="00D81ECD">
        <w:rPr>
          <w:rFonts w:cs="Arial"/>
          <w:color w:val="000000" w:themeColor="text1"/>
        </w:rPr>
        <w:t>million</w:t>
      </w:r>
      <w:r w:rsidR="00B910A5" w:rsidRPr="00D81ECD">
        <w:rPr>
          <w:rFonts w:cs="Arial"/>
          <w:color w:val="000000" w:themeColor="text1"/>
        </w:rPr>
        <w:t xml:space="preserve"> </w:t>
      </w:r>
      <w:r w:rsidR="00B910A5" w:rsidRPr="00D81ECD">
        <w:rPr>
          <w:rFonts w:cs="Arial"/>
          <w:i/>
          <w:iCs/>
          <w:color w:val="000000" w:themeColor="text1"/>
        </w:rPr>
        <w:t>(202</w:t>
      </w:r>
      <w:r w:rsidR="00182741">
        <w:rPr>
          <w:rFonts w:cs="Arial"/>
          <w:i/>
          <w:iCs/>
          <w:color w:val="000000" w:themeColor="text1"/>
        </w:rPr>
        <w:t>4</w:t>
      </w:r>
      <w:r w:rsidR="00B910A5" w:rsidRPr="00D81ECD">
        <w:rPr>
          <w:rFonts w:cs="Arial"/>
          <w:i/>
          <w:iCs/>
          <w:color w:val="000000" w:themeColor="text1"/>
        </w:rPr>
        <w:t xml:space="preserve">: </w:t>
      </w:r>
      <w:r w:rsidR="00182741">
        <w:rPr>
          <w:rFonts w:cs="Arial"/>
          <w:i/>
          <w:iCs/>
          <w:color w:val="000000" w:themeColor="text1"/>
        </w:rPr>
        <w:t>in</w:t>
      </w:r>
      <w:r w:rsidR="00544495">
        <w:rPr>
          <w:rFonts w:cs="Arial"/>
          <w:i/>
          <w:iCs/>
          <w:color w:val="000000" w:themeColor="text1"/>
        </w:rPr>
        <w:t xml:space="preserve">crease of </w:t>
      </w:r>
      <w:r w:rsidR="00B910A5" w:rsidRPr="00D81ECD">
        <w:rPr>
          <w:rFonts w:cs="Arial"/>
          <w:i/>
          <w:iCs/>
          <w:color w:val="000000" w:themeColor="text1"/>
        </w:rPr>
        <w:t>€</w:t>
      </w:r>
      <w:r w:rsidR="003A3B9E" w:rsidRPr="00D81ECD">
        <w:rPr>
          <w:rFonts w:cs="Arial"/>
          <w:i/>
          <w:iCs/>
          <w:color w:val="000000" w:themeColor="text1"/>
        </w:rPr>
        <w:t>1.1</w:t>
      </w:r>
      <w:r w:rsidR="00B910A5" w:rsidRPr="00D81ECD">
        <w:rPr>
          <w:rFonts w:cs="Arial"/>
          <w:i/>
          <w:iCs/>
          <w:color w:val="000000" w:themeColor="text1"/>
        </w:rPr>
        <w:t xml:space="preserve"> million)</w:t>
      </w:r>
      <w:r w:rsidRPr="00653CB0">
        <w:rPr>
          <w:rFonts w:cs="Arial"/>
          <w:color w:val="000000" w:themeColor="text1"/>
        </w:rPr>
        <w:t xml:space="preserve"> assuming all other variables remain </w:t>
      </w:r>
      <w:r w:rsidR="00C06B7C" w:rsidRPr="00653CB0">
        <w:rPr>
          <w:rFonts w:cs="Arial"/>
          <w:color w:val="000000" w:themeColor="text1"/>
        </w:rPr>
        <w:t>constant,</w:t>
      </w:r>
      <w:r w:rsidRPr="00653CB0">
        <w:rPr>
          <w:rFonts w:cs="Arial"/>
          <w:color w:val="000000" w:themeColor="text1"/>
        </w:rPr>
        <w:t xml:space="preserve"> and the rate change is only applied to the loans that are exposed to movements in EURIBOR.</w:t>
      </w:r>
      <w:r>
        <w:rPr>
          <w:rFonts w:cs="Arial"/>
          <w:color w:val="000000" w:themeColor="text1"/>
        </w:rPr>
        <w:t xml:space="preserve"> </w:t>
      </w:r>
    </w:p>
    <w:p w14:paraId="4A03CAC4" w14:textId="77777777" w:rsidR="005A2165" w:rsidRDefault="005A2165" w:rsidP="00182741">
      <w:pPr>
        <w:pStyle w:val="NotesBody"/>
        <w:ind w:left="0"/>
        <w:jc w:val="both"/>
        <w:rPr>
          <w:rFonts w:cs="Arial"/>
          <w:color w:val="000000" w:themeColor="text1"/>
        </w:rPr>
      </w:pPr>
    </w:p>
    <w:p w14:paraId="1FB22FD4" w14:textId="061C1C56" w:rsidR="006F2C28" w:rsidRPr="00B61C36" w:rsidRDefault="004E23F7" w:rsidP="003A3B9E">
      <w:pPr>
        <w:pStyle w:val="NotesBody"/>
        <w:jc w:val="both"/>
        <w:rPr>
          <w:rFonts w:cs="Arial"/>
          <w:color w:val="000000" w:themeColor="text1"/>
        </w:rPr>
      </w:pPr>
      <w:r>
        <w:rPr>
          <w:rFonts w:cs="Arial"/>
          <w:color w:val="000000" w:themeColor="text1"/>
        </w:rPr>
        <w:t xml:space="preserve">As part of the Group’s strategy to manage our </w:t>
      </w:r>
      <w:r w:rsidR="00C75BC2">
        <w:rPr>
          <w:rFonts w:cs="Arial"/>
          <w:color w:val="000000" w:themeColor="text1"/>
        </w:rPr>
        <w:t>interest rate risk</w:t>
      </w:r>
      <w:r>
        <w:rPr>
          <w:rFonts w:cs="Arial"/>
          <w:color w:val="000000" w:themeColor="text1"/>
        </w:rPr>
        <w:t xml:space="preserve">, </w:t>
      </w:r>
      <w:r w:rsidR="00DD0788">
        <w:rPr>
          <w:rFonts w:cs="Arial"/>
          <w:color w:val="000000" w:themeColor="text1"/>
        </w:rPr>
        <w:t>t</w:t>
      </w:r>
      <w:r w:rsidR="00824FDB">
        <w:rPr>
          <w:rFonts w:cs="Arial"/>
          <w:color w:val="000000" w:themeColor="text1"/>
        </w:rPr>
        <w:t xml:space="preserve">he Group </w:t>
      </w:r>
      <w:proofErr w:type="gramStart"/>
      <w:r w:rsidR="00824FDB">
        <w:rPr>
          <w:rFonts w:cs="Arial"/>
          <w:color w:val="000000" w:themeColor="text1"/>
        </w:rPr>
        <w:t>entered into</w:t>
      </w:r>
      <w:proofErr w:type="gramEnd"/>
      <w:r w:rsidR="00824FDB">
        <w:rPr>
          <w:rFonts w:cs="Arial"/>
          <w:color w:val="000000" w:themeColor="text1"/>
        </w:rPr>
        <w:t xml:space="preserve"> </w:t>
      </w:r>
      <w:r w:rsidR="00540DF5">
        <w:rPr>
          <w:rFonts w:cs="Arial"/>
          <w:color w:val="000000" w:themeColor="text1"/>
        </w:rPr>
        <w:t xml:space="preserve">an </w:t>
      </w:r>
      <w:r w:rsidR="00AA66E4">
        <w:rPr>
          <w:rFonts w:cs="Arial"/>
          <w:color w:val="000000" w:themeColor="text1"/>
        </w:rPr>
        <w:t>interest rate swap on 28 February 2023 to hedge the interest rate risk associated with the €100</w:t>
      </w:r>
      <w:r w:rsidR="00540DF5">
        <w:rPr>
          <w:rFonts w:cs="Arial"/>
          <w:color w:val="000000" w:themeColor="text1"/>
        </w:rPr>
        <w:t>.0</w:t>
      </w:r>
      <w:r w:rsidR="00AA66E4">
        <w:rPr>
          <w:rFonts w:cs="Arial"/>
          <w:color w:val="000000" w:themeColor="text1"/>
        </w:rPr>
        <w:t xml:space="preserve"> million term loan element of our new debt facilities</w:t>
      </w:r>
      <w:r w:rsidR="00661837">
        <w:rPr>
          <w:rFonts w:cs="Arial"/>
          <w:color w:val="000000" w:themeColor="text1"/>
        </w:rPr>
        <w:t xml:space="preserve">. </w:t>
      </w:r>
      <w:r w:rsidR="00EB5EB3">
        <w:rPr>
          <w:rFonts w:cs="Arial"/>
          <w:color w:val="000000" w:themeColor="text1"/>
        </w:rPr>
        <w:t xml:space="preserve">The interest rate swap is in place for the 5-year period </w:t>
      </w:r>
      <w:r w:rsidR="00C4110D">
        <w:rPr>
          <w:rFonts w:cs="Arial"/>
          <w:color w:val="000000" w:themeColor="text1"/>
        </w:rPr>
        <w:t xml:space="preserve">of the facility agreement. </w:t>
      </w:r>
      <w:r w:rsidR="00893425" w:rsidRPr="00893425">
        <w:rPr>
          <w:rFonts w:cs="Arial"/>
          <w:color w:val="000000" w:themeColor="text1"/>
        </w:rPr>
        <w:t xml:space="preserve">The nominal amount hedged </w:t>
      </w:r>
      <w:r w:rsidR="00DC44C9">
        <w:rPr>
          <w:rFonts w:cs="Arial"/>
          <w:color w:val="000000" w:themeColor="text1"/>
        </w:rPr>
        <w:t xml:space="preserve">for </w:t>
      </w:r>
      <w:r w:rsidR="00B378C0">
        <w:rPr>
          <w:rFonts w:cs="Arial"/>
          <w:color w:val="000000" w:themeColor="text1"/>
        </w:rPr>
        <w:t>years one and two is</w:t>
      </w:r>
      <w:r w:rsidR="006F35F6">
        <w:rPr>
          <w:rFonts w:cs="Arial"/>
          <w:color w:val="000000" w:themeColor="text1"/>
        </w:rPr>
        <w:t xml:space="preserve"> €100.0 million</w:t>
      </w:r>
      <w:r w:rsidR="003B3659">
        <w:rPr>
          <w:rFonts w:cs="Arial"/>
          <w:color w:val="000000" w:themeColor="text1"/>
        </w:rPr>
        <w:t xml:space="preserve"> </w:t>
      </w:r>
      <w:r w:rsidR="007A7FE4">
        <w:rPr>
          <w:rFonts w:cs="Arial"/>
          <w:color w:val="000000" w:themeColor="text1"/>
        </w:rPr>
        <w:t>with this</w:t>
      </w:r>
      <w:r w:rsidR="00893425" w:rsidRPr="00893425">
        <w:rPr>
          <w:rFonts w:cs="Arial"/>
          <w:color w:val="000000" w:themeColor="text1"/>
        </w:rPr>
        <w:t xml:space="preserve"> step</w:t>
      </w:r>
      <w:r w:rsidR="007A7FE4">
        <w:rPr>
          <w:rFonts w:cs="Arial"/>
          <w:color w:val="000000" w:themeColor="text1"/>
        </w:rPr>
        <w:t>ping</w:t>
      </w:r>
      <w:r w:rsidR="00893425" w:rsidRPr="00893425">
        <w:rPr>
          <w:rFonts w:cs="Arial"/>
          <w:color w:val="000000" w:themeColor="text1"/>
        </w:rPr>
        <w:t xml:space="preserve"> down to €50.0 million for the remaining three years of the facility agreement.</w:t>
      </w:r>
      <w:r w:rsidR="00514643">
        <w:rPr>
          <w:rFonts w:cs="Arial"/>
          <w:color w:val="000000" w:themeColor="text1"/>
        </w:rPr>
        <w:t xml:space="preserve"> </w:t>
      </w:r>
      <w:r w:rsidR="000D24ED">
        <w:rPr>
          <w:rFonts w:cs="Arial"/>
          <w:color w:val="000000" w:themeColor="text1"/>
        </w:rPr>
        <w:t xml:space="preserve">During the period, the nominal hedged amount </w:t>
      </w:r>
      <w:r w:rsidR="00A53EA6">
        <w:rPr>
          <w:rFonts w:cs="Arial"/>
          <w:color w:val="000000" w:themeColor="text1"/>
        </w:rPr>
        <w:t xml:space="preserve">reduced to €50.0 million. </w:t>
      </w:r>
    </w:p>
    <w:p w14:paraId="11E1978F" w14:textId="77777777" w:rsidR="006F2C28" w:rsidRDefault="006F2C28" w:rsidP="003A3B9E">
      <w:pPr>
        <w:pStyle w:val="NotesBody"/>
        <w:jc w:val="both"/>
        <w:rPr>
          <w:rFonts w:cs="Arial"/>
          <w:color w:val="000000" w:themeColor="text1"/>
        </w:rPr>
      </w:pPr>
    </w:p>
    <w:p w14:paraId="1B218DE8" w14:textId="6E8C7191" w:rsidR="00F22B7B" w:rsidRDefault="006F2C28" w:rsidP="00F579C8">
      <w:pPr>
        <w:pStyle w:val="NotesBody"/>
        <w:jc w:val="both"/>
        <w:rPr>
          <w:rFonts w:cs="Arial"/>
          <w:color w:val="000000" w:themeColor="text1"/>
        </w:rPr>
      </w:pPr>
      <w:r>
        <w:rPr>
          <w:rFonts w:cs="Arial"/>
          <w:color w:val="000000" w:themeColor="text1"/>
        </w:rPr>
        <w:t xml:space="preserve">The Group is also exposed to interest rate risk on its cash and cash equivalents. These balances attract low interest rates and therefore a relative increase or decrease in their interest rates would not have a material effect on the Group’s profit. </w:t>
      </w:r>
    </w:p>
    <w:p w14:paraId="6EC2C2FF" w14:textId="77777777" w:rsidR="00F6080F" w:rsidRDefault="00F6080F" w:rsidP="00F6080F">
      <w:pPr>
        <w:pStyle w:val="NotesHeading"/>
        <w:jc w:val="both"/>
      </w:pPr>
    </w:p>
    <w:p w14:paraId="623CBB36" w14:textId="2E3CD4F7" w:rsidR="00F6080F" w:rsidRDefault="00F6080F" w:rsidP="00F6080F">
      <w:pPr>
        <w:pStyle w:val="NotesHeading"/>
        <w:jc w:val="both"/>
      </w:pPr>
      <w:r>
        <w:t xml:space="preserve">15    Financial instruments and financial risk management </w:t>
      </w:r>
      <w:r w:rsidRPr="007B2EA1">
        <w:rPr>
          <w:b w:val="0"/>
          <w:bCs/>
          <w:i/>
          <w:iCs/>
        </w:rPr>
        <w:t>(continued)</w:t>
      </w:r>
    </w:p>
    <w:p w14:paraId="4EE6FF2D" w14:textId="77777777" w:rsidR="00F6080F" w:rsidRDefault="00F6080F" w:rsidP="00F6080F">
      <w:pPr>
        <w:pStyle w:val="NotesBody"/>
      </w:pPr>
    </w:p>
    <w:p w14:paraId="0ED84528" w14:textId="77777777" w:rsidR="00F6080F" w:rsidRPr="00F22B7B" w:rsidRDefault="00F6080F" w:rsidP="00F6080F">
      <w:pPr>
        <w:pStyle w:val="NotesBody"/>
        <w:numPr>
          <w:ilvl w:val="0"/>
          <w:numId w:val="31"/>
        </w:numPr>
        <w:rPr>
          <w:b/>
        </w:rPr>
      </w:pPr>
      <w:r w:rsidRPr="008E47EA">
        <w:rPr>
          <w:b/>
        </w:rPr>
        <w:t>Financial risk management objectives and policies</w:t>
      </w:r>
      <w:r>
        <w:rPr>
          <w:b/>
        </w:rPr>
        <w:t xml:space="preserve"> </w:t>
      </w:r>
      <w:r w:rsidRPr="007B2EA1">
        <w:rPr>
          <w:bCs/>
          <w:i/>
          <w:iCs/>
        </w:rPr>
        <w:t>(continued)</w:t>
      </w:r>
    </w:p>
    <w:p w14:paraId="3333201B" w14:textId="77777777" w:rsidR="00E0539C" w:rsidRDefault="00E0539C" w:rsidP="003A3B9E">
      <w:pPr>
        <w:pStyle w:val="NotesBody"/>
        <w:ind w:left="0"/>
        <w:jc w:val="both"/>
        <w:rPr>
          <w:rFonts w:cs="Arial"/>
          <w:color w:val="000000" w:themeColor="text1"/>
        </w:rPr>
      </w:pPr>
    </w:p>
    <w:p w14:paraId="612B269F" w14:textId="3F8BA204" w:rsidR="00E34DB8" w:rsidRPr="00EC10B5" w:rsidRDefault="00E34DB8" w:rsidP="00E34DB8">
      <w:pPr>
        <w:pStyle w:val="H1Notes"/>
        <w:rPr>
          <w:b w:val="0"/>
          <w:bCs/>
          <w:i/>
          <w:iCs/>
        </w:rPr>
      </w:pPr>
      <w:r w:rsidRPr="004D2978">
        <w:rPr>
          <w:rFonts w:cs="Arial"/>
          <w:bCs/>
          <w:color w:val="000000" w:themeColor="text1"/>
        </w:rPr>
        <w:t>Interest rate</w:t>
      </w:r>
      <w:r>
        <w:rPr>
          <w:rFonts w:cs="Arial"/>
          <w:color w:val="000000" w:themeColor="text1"/>
        </w:rPr>
        <w:t xml:space="preserve"> risk</w:t>
      </w:r>
    </w:p>
    <w:p w14:paraId="5867D5B5" w14:textId="545DB174" w:rsidR="006F2C28" w:rsidRDefault="006F2C28" w:rsidP="00661837">
      <w:pPr>
        <w:pStyle w:val="NotesBody"/>
        <w:rPr>
          <w:rFonts w:cs="Arial"/>
          <w:color w:val="000000" w:themeColor="text1"/>
        </w:rPr>
      </w:pPr>
      <w:r>
        <w:rPr>
          <w:rFonts w:cs="Arial"/>
          <w:color w:val="000000" w:themeColor="text1"/>
        </w:rPr>
        <w:t xml:space="preserve"> </w:t>
      </w:r>
    </w:p>
    <w:p w14:paraId="7B80DE01" w14:textId="230CB33F" w:rsidR="004D2978" w:rsidRDefault="004D2978" w:rsidP="00661837">
      <w:pPr>
        <w:pStyle w:val="NotesBody"/>
        <w:rPr>
          <w:rFonts w:cs="Arial"/>
          <w:color w:val="000000" w:themeColor="text1"/>
        </w:rPr>
      </w:pPr>
      <w:r>
        <w:rPr>
          <w:rFonts w:cs="Arial"/>
          <w:color w:val="000000" w:themeColor="text1"/>
        </w:rPr>
        <w:t>The amounts relating to items designated as hedging instruments and hedge ineffectiveness were as follows:</w:t>
      </w:r>
    </w:p>
    <w:p w14:paraId="487A5490" w14:textId="77777777" w:rsidR="006B3B6D" w:rsidRDefault="006B3B6D" w:rsidP="00661837">
      <w:pPr>
        <w:pStyle w:val="NotesBody"/>
        <w:rPr>
          <w:rFonts w:cs="Arial"/>
          <w:color w:val="000000" w:themeColor="text1"/>
        </w:rPr>
      </w:pPr>
    </w:p>
    <w:tbl>
      <w:tblPr>
        <w:tblStyle w:val="TableGrid"/>
        <w:tblW w:w="10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1005"/>
        <w:gridCol w:w="872"/>
        <w:gridCol w:w="972"/>
        <w:gridCol w:w="1361"/>
        <w:gridCol w:w="1662"/>
        <w:gridCol w:w="1662"/>
        <w:gridCol w:w="1139"/>
        <w:gridCol w:w="1084"/>
      </w:tblGrid>
      <w:tr w:rsidR="008C38C5" w14:paraId="2E5BF3C7" w14:textId="77777777" w:rsidTr="00E251E7">
        <w:tc>
          <w:tcPr>
            <w:tcW w:w="883" w:type="dxa"/>
            <w:vMerge w:val="restart"/>
          </w:tcPr>
          <w:p w14:paraId="1BB73DE0" w14:textId="77777777" w:rsidR="008C38C5" w:rsidRDefault="008C38C5" w:rsidP="00661837">
            <w:pPr>
              <w:pStyle w:val="NotesBody"/>
              <w:ind w:left="0"/>
              <w:rPr>
                <w:rFonts w:cs="Arial"/>
                <w:color w:val="000000" w:themeColor="text1"/>
              </w:rPr>
            </w:pPr>
          </w:p>
        </w:tc>
        <w:tc>
          <w:tcPr>
            <w:tcW w:w="2849" w:type="dxa"/>
            <w:gridSpan w:val="3"/>
            <w:tcBorders>
              <w:right w:val="single" w:sz="4" w:space="0" w:color="auto"/>
            </w:tcBorders>
          </w:tcPr>
          <w:p w14:paraId="79562CCA" w14:textId="710D3E3F" w:rsidR="008C38C5" w:rsidRPr="002B49C1" w:rsidRDefault="008C38C5" w:rsidP="002B49C1">
            <w:pPr>
              <w:pStyle w:val="NotesBody"/>
              <w:ind w:left="0"/>
              <w:jc w:val="center"/>
              <w:rPr>
                <w:rFonts w:cs="Arial"/>
                <w:b/>
                <w:bCs/>
                <w:color w:val="000000" w:themeColor="text1"/>
                <w:u w:val="single"/>
              </w:rPr>
            </w:pPr>
            <w:r w:rsidRPr="002B49C1">
              <w:rPr>
                <w:rFonts w:cs="Arial"/>
                <w:b/>
                <w:bCs/>
                <w:color w:val="000000" w:themeColor="text1"/>
                <w:u w:val="single"/>
              </w:rPr>
              <w:t xml:space="preserve">As </w:t>
            </w:r>
            <w:proofErr w:type="gramStart"/>
            <w:r w:rsidRPr="002B49C1">
              <w:rPr>
                <w:rFonts w:cs="Arial"/>
                <w:b/>
                <w:bCs/>
                <w:color w:val="000000" w:themeColor="text1"/>
                <w:u w:val="single"/>
              </w:rPr>
              <w:t>at</w:t>
            </w:r>
            <w:proofErr w:type="gramEnd"/>
            <w:r w:rsidRPr="002B49C1">
              <w:rPr>
                <w:rFonts w:cs="Arial"/>
                <w:b/>
                <w:bCs/>
                <w:color w:val="000000" w:themeColor="text1"/>
                <w:u w:val="single"/>
              </w:rPr>
              <w:t xml:space="preserve"> 30 June 202</w:t>
            </w:r>
            <w:r w:rsidR="004330BB">
              <w:rPr>
                <w:rFonts w:cs="Arial"/>
                <w:b/>
                <w:bCs/>
                <w:color w:val="000000" w:themeColor="text1"/>
                <w:u w:val="single"/>
              </w:rPr>
              <w:t>5</w:t>
            </w:r>
          </w:p>
        </w:tc>
        <w:tc>
          <w:tcPr>
            <w:tcW w:w="6908" w:type="dxa"/>
            <w:gridSpan w:val="5"/>
            <w:tcBorders>
              <w:left w:val="single" w:sz="4" w:space="0" w:color="auto"/>
            </w:tcBorders>
          </w:tcPr>
          <w:p w14:paraId="51A8C2F0" w14:textId="0E85D498" w:rsidR="008C38C5" w:rsidRPr="002B49C1" w:rsidRDefault="008C38C5" w:rsidP="002B49C1">
            <w:pPr>
              <w:pStyle w:val="NotesBody"/>
              <w:ind w:left="0"/>
              <w:jc w:val="center"/>
              <w:rPr>
                <w:rFonts w:cs="Arial"/>
                <w:b/>
                <w:bCs/>
                <w:color w:val="000000" w:themeColor="text1"/>
                <w:u w:val="single"/>
              </w:rPr>
            </w:pPr>
            <w:r w:rsidRPr="002B49C1">
              <w:rPr>
                <w:rFonts w:cs="Arial"/>
                <w:b/>
                <w:bCs/>
                <w:color w:val="000000" w:themeColor="text1"/>
                <w:u w:val="single"/>
              </w:rPr>
              <w:t>For the six months ended 30 June 202</w:t>
            </w:r>
            <w:r w:rsidR="004330BB">
              <w:rPr>
                <w:rFonts w:cs="Arial"/>
                <w:b/>
                <w:bCs/>
                <w:color w:val="000000" w:themeColor="text1"/>
                <w:u w:val="single"/>
              </w:rPr>
              <w:t>5</w:t>
            </w:r>
          </w:p>
        </w:tc>
      </w:tr>
      <w:tr w:rsidR="008C38C5" w:rsidRPr="002E69E4" w14:paraId="0860251B" w14:textId="77777777" w:rsidTr="00E251E7">
        <w:tc>
          <w:tcPr>
            <w:tcW w:w="883" w:type="dxa"/>
            <w:vMerge/>
          </w:tcPr>
          <w:p w14:paraId="7F6A68CD" w14:textId="77777777" w:rsidR="008C38C5" w:rsidRDefault="008C38C5" w:rsidP="00661837">
            <w:pPr>
              <w:pStyle w:val="NotesBody"/>
              <w:ind w:left="0"/>
              <w:rPr>
                <w:rFonts w:cs="Arial"/>
                <w:color w:val="000000" w:themeColor="text1"/>
              </w:rPr>
            </w:pPr>
          </w:p>
        </w:tc>
        <w:tc>
          <w:tcPr>
            <w:tcW w:w="1005" w:type="dxa"/>
            <w:vMerge w:val="restart"/>
          </w:tcPr>
          <w:p w14:paraId="58BC8828" w14:textId="4C0F3B80" w:rsidR="008C38C5" w:rsidRPr="002E69E4" w:rsidRDefault="008C38C5" w:rsidP="00661837">
            <w:pPr>
              <w:pStyle w:val="NotesBody"/>
              <w:ind w:left="0"/>
              <w:rPr>
                <w:rFonts w:cs="Arial"/>
                <w:b/>
                <w:bCs/>
                <w:color w:val="000000" w:themeColor="text1"/>
              </w:rPr>
            </w:pPr>
          </w:p>
          <w:p w14:paraId="14BC884B" w14:textId="77777777" w:rsidR="008C38C5" w:rsidRPr="002E69E4" w:rsidRDefault="008C38C5" w:rsidP="00661837">
            <w:pPr>
              <w:pStyle w:val="NotesBody"/>
              <w:ind w:left="0"/>
              <w:rPr>
                <w:rFonts w:cs="Arial"/>
                <w:b/>
                <w:bCs/>
                <w:color w:val="000000" w:themeColor="text1"/>
              </w:rPr>
            </w:pPr>
          </w:p>
          <w:p w14:paraId="73DD80DD" w14:textId="77777777" w:rsidR="008C38C5" w:rsidRPr="002E69E4" w:rsidRDefault="008C38C5" w:rsidP="00661837">
            <w:pPr>
              <w:pStyle w:val="NotesBody"/>
              <w:ind w:left="0"/>
              <w:rPr>
                <w:rFonts w:cs="Arial"/>
                <w:b/>
                <w:bCs/>
                <w:color w:val="000000" w:themeColor="text1"/>
              </w:rPr>
            </w:pPr>
          </w:p>
          <w:p w14:paraId="5239E48A" w14:textId="77777777" w:rsidR="008C38C5" w:rsidRPr="002E69E4" w:rsidRDefault="008C38C5" w:rsidP="00661837">
            <w:pPr>
              <w:pStyle w:val="NotesBody"/>
              <w:ind w:left="0"/>
              <w:rPr>
                <w:rFonts w:cs="Arial"/>
                <w:b/>
                <w:bCs/>
                <w:color w:val="000000" w:themeColor="text1"/>
              </w:rPr>
            </w:pPr>
          </w:p>
          <w:p w14:paraId="24156975" w14:textId="77777777" w:rsidR="00EB070B" w:rsidRDefault="00EB070B" w:rsidP="00661837">
            <w:pPr>
              <w:pStyle w:val="NotesBody"/>
              <w:ind w:left="0"/>
              <w:rPr>
                <w:rFonts w:cs="Arial"/>
                <w:b/>
                <w:bCs/>
                <w:color w:val="000000" w:themeColor="text1"/>
              </w:rPr>
            </w:pPr>
          </w:p>
          <w:p w14:paraId="00BAF46A" w14:textId="316252F6" w:rsidR="008C38C5" w:rsidRPr="002E69E4" w:rsidRDefault="008C38C5" w:rsidP="00661837">
            <w:pPr>
              <w:pStyle w:val="NotesBody"/>
              <w:ind w:left="0"/>
              <w:rPr>
                <w:rFonts w:cs="Arial"/>
                <w:b/>
                <w:bCs/>
                <w:color w:val="000000" w:themeColor="text1"/>
              </w:rPr>
            </w:pPr>
            <w:r w:rsidRPr="002E69E4">
              <w:rPr>
                <w:rFonts w:cs="Arial"/>
                <w:b/>
                <w:bCs/>
                <w:color w:val="000000" w:themeColor="text1"/>
              </w:rPr>
              <w:t>Nominal amount</w:t>
            </w:r>
          </w:p>
        </w:tc>
        <w:tc>
          <w:tcPr>
            <w:tcW w:w="1844" w:type="dxa"/>
            <w:gridSpan w:val="2"/>
            <w:tcBorders>
              <w:right w:val="single" w:sz="4" w:space="0" w:color="auto"/>
            </w:tcBorders>
          </w:tcPr>
          <w:p w14:paraId="5A048EAC" w14:textId="1AF65156" w:rsidR="008C38C5" w:rsidRPr="002E69E4" w:rsidRDefault="008C38C5" w:rsidP="00661837">
            <w:pPr>
              <w:pStyle w:val="NotesBody"/>
              <w:ind w:left="0"/>
              <w:rPr>
                <w:rFonts w:cs="Arial"/>
                <w:b/>
                <w:bCs/>
                <w:color w:val="000000" w:themeColor="text1"/>
              </w:rPr>
            </w:pPr>
            <w:r w:rsidRPr="002E69E4">
              <w:rPr>
                <w:rFonts w:cs="Arial"/>
                <w:b/>
                <w:bCs/>
                <w:color w:val="000000" w:themeColor="text1"/>
              </w:rPr>
              <w:t>Carrying amount</w:t>
            </w:r>
          </w:p>
        </w:tc>
        <w:tc>
          <w:tcPr>
            <w:tcW w:w="1361" w:type="dxa"/>
            <w:vMerge w:val="restart"/>
            <w:tcBorders>
              <w:left w:val="single" w:sz="4" w:space="0" w:color="auto"/>
            </w:tcBorders>
          </w:tcPr>
          <w:p w14:paraId="0D052F5A" w14:textId="77777777" w:rsidR="00EB070B" w:rsidRDefault="00EB070B" w:rsidP="00661837">
            <w:pPr>
              <w:pStyle w:val="NotesBody"/>
              <w:ind w:left="0"/>
              <w:rPr>
                <w:rFonts w:cs="Arial"/>
                <w:b/>
                <w:bCs/>
                <w:color w:val="000000" w:themeColor="text1"/>
              </w:rPr>
            </w:pPr>
          </w:p>
          <w:p w14:paraId="7BE245F1" w14:textId="308F859A" w:rsidR="008C38C5" w:rsidRPr="002E69E4" w:rsidRDefault="008C38C5" w:rsidP="00661837">
            <w:pPr>
              <w:pStyle w:val="NotesBody"/>
              <w:ind w:left="0"/>
              <w:rPr>
                <w:rFonts w:cs="Arial"/>
                <w:b/>
                <w:bCs/>
                <w:color w:val="000000" w:themeColor="text1"/>
              </w:rPr>
            </w:pPr>
            <w:r w:rsidRPr="002E69E4">
              <w:rPr>
                <w:rFonts w:cs="Arial"/>
                <w:b/>
                <w:bCs/>
                <w:color w:val="000000" w:themeColor="text1"/>
              </w:rPr>
              <w:t>Changes in the value of hedging instruments recognised in OCI</w:t>
            </w:r>
          </w:p>
        </w:tc>
        <w:tc>
          <w:tcPr>
            <w:tcW w:w="1662" w:type="dxa"/>
            <w:vMerge w:val="restart"/>
          </w:tcPr>
          <w:p w14:paraId="049C865F" w14:textId="77777777" w:rsidR="008C38C5" w:rsidRPr="002E69E4" w:rsidRDefault="008C38C5" w:rsidP="00661837">
            <w:pPr>
              <w:pStyle w:val="NotesBody"/>
              <w:ind w:left="0"/>
              <w:rPr>
                <w:rFonts w:cs="Arial"/>
                <w:b/>
                <w:bCs/>
                <w:color w:val="000000" w:themeColor="text1"/>
              </w:rPr>
            </w:pPr>
          </w:p>
          <w:p w14:paraId="1D84CAD9" w14:textId="77777777" w:rsidR="008C38C5" w:rsidRPr="002E69E4" w:rsidRDefault="008C38C5" w:rsidP="00661837">
            <w:pPr>
              <w:pStyle w:val="NotesBody"/>
              <w:ind w:left="0"/>
              <w:rPr>
                <w:rFonts w:cs="Arial"/>
                <w:b/>
                <w:bCs/>
                <w:color w:val="000000" w:themeColor="text1"/>
              </w:rPr>
            </w:pPr>
          </w:p>
          <w:p w14:paraId="290F6437" w14:textId="77777777" w:rsidR="008C38C5" w:rsidRPr="002E69E4" w:rsidRDefault="008C38C5" w:rsidP="00661837">
            <w:pPr>
              <w:pStyle w:val="NotesBody"/>
              <w:ind w:left="0"/>
              <w:rPr>
                <w:rFonts w:cs="Arial"/>
                <w:b/>
                <w:bCs/>
                <w:color w:val="000000" w:themeColor="text1"/>
              </w:rPr>
            </w:pPr>
          </w:p>
          <w:p w14:paraId="32A234D3" w14:textId="10946C67" w:rsidR="008C38C5" w:rsidRPr="002E69E4" w:rsidRDefault="008C38C5" w:rsidP="00661837">
            <w:pPr>
              <w:pStyle w:val="NotesBody"/>
              <w:ind w:left="0"/>
              <w:rPr>
                <w:rFonts w:cs="Arial"/>
                <w:b/>
                <w:bCs/>
                <w:color w:val="000000" w:themeColor="text1"/>
              </w:rPr>
            </w:pPr>
            <w:r w:rsidRPr="002E69E4">
              <w:rPr>
                <w:rFonts w:cs="Arial"/>
                <w:b/>
                <w:bCs/>
                <w:color w:val="000000" w:themeColor="text1"/>
              </w:rPr>
              <w:t>Hedge ineffectiveness recognised in profit or loss</w:t>
            </w:r>
          </w:p>
        </w:tc>
        <w:tc>
          <w:tcPr>
            <w:tcW w:w="1662" w:type="dxa"/>
            <w:vMerge w:val="restart"/>
          </w:tcPr>
          <w:p w14:paraId="61B58869" w14:textId="77777777" w:rsidR="008C38C5" w:rsidRPr="002E69E4" w:rsidRDefault="008C38C5" w:rsidP="00661837">
            <w:pPr>
              <w:pStyle w:val="NotesBody"/>
              <w:ind w:left="0"/>
              <w:rPr>
                <w:rFonts w:cs="Arial"/>
                <w:b/>
                <w:bCs/>
                <w:color w:val="000000" w:themeColor="text1"/>
              </w:rPr>
            </w:pPr>
          </w:p>
          <w:p w14:paraId="6A711DE3" w14:textId="77777777" w:rsidR="008C38C5" w:rsidRPr="002E69E4" w:rsidRDefault="008C38C5" w:rsidP="00661837">
            <w:pPr>
              <w:pStyle w:val="NotesBody"/>
              <w:ind w:left="0"/>
              <w:rPr>
                <w:rFonts w:cs="Arial"/>
                <w:b/>
                <w:bCs/>
                <w:color w:val="000000" w:themeColor="text1"/>
              </w:rPr>
            </w:pPr>
          </w:p>
          <w:p w14:paraId="13D14950" w14:textId="0C3F10B8" w:rsidR="008C38C5" w:rsidRPr="002E69E4" w:rsidRDefault="008C38C5" w:rsidP="00661837">
            <w:pPr>
              <w:pStyle w:val="NotesBody"/>
              <w:ind w:left="0"/>
              <w:rPr>
                <w:rFonts w:cs="Arial"/>
                <w:b/>
                <w:bCs/>
                <w:color w:val="000000" w:themeColor="text1"/>
              </w:rPr>
            </w:pPr>
            <w:r w:rsidRPr="002E69E4">
              <w:rPr>
                <w:rFonts w:cs="Arial"/>
                <w:b/>
                <w:bCs/>
                <w:color w:val="000000" w:themeColor="text1"/>
              </w:rPr>
              <w:t>Line items in profit or loss that includes hedge ineffectiveness</w:t>
            </w:r>
          </w:p>
        </w:tc>
        <w:tc>
          <w:tcPr>
            <w:tcW w:w="1139" w:type="dxa"/>
            <w:vMerge w:val="restart"/>
          </w:tcPr>
          <w:p w14:paraId="5EF6408D" w14:textId="1D7379A1" w:rsidR="008C38C5" w:rsidRPr="002E69E4" w:rsidRDefault="008C38C5" w:rsidP="00661837">
            <w:pPr>
              <w:pStyle w:val="NotesBody"/>
              <w:ind w:left="0"/>
              <w:rPr>
                <w:rFonts w:cs="Arial"/>
                <w:b/>
                <w:bCs/>
                <w:color w:val="000000" w:themeColor="text1"/>
              </w:rPr>
            </w:pPr>
            <w:r w:rsidRPr="002E69E4">
              <w:rPr>
                <w:rFonts w:cs="Arial"/>
                <w:b/>
                <w:bCs/>
                <w:color w:val="000000" w:themeColor="text1"/>
              </w:rPr>
              <w:t>Amount r</w:t>
            </w:r>
            <w:r>
              <w:rPr>
                <w:rFonts w:cs="Arial"/>
                <w:b/>
                <w:bCs/>
                <w:color w:val="000000" w:themeColor="text1"/>
              </w:rPr>
              <w:t>e</w:t>
            </w:r>
            <w:r w:rsidRPr="002E69E4">
              <w:rPr>
                <w:rFonts w:cs="Arial"/>
                <w:b/>
                <w:bCs/>
                <w:color w:val="000000" w:themeColor="text1"/>
              </w:rPr>
              <w:t>classed from hedging reserve to profit or loss</w:t>
            </w:r>
          </w:p>
        </w:tc>
        <w:tc>
          <w:tcPr>
            <w:tcW w:w="1084" w:type="dxa"/>
            <w:vMerge w:val="restart"/>
          </w:tcPr>
          <w:p w14:paraId="28174DCC" w14:textId="77777777" w:rsidR="008C38C5" w:rsidRPr="002E69E4" w:rsidRDefault="008C38C5" w:rsidP="00661837">
            <w:pPr>
              <w:pStyle w:val="NotesBody"/>
              <w:ind w:left="0"/>
              <w:rPr>
                <w:rFonts w:cs="Arial"/>
                <w:b/>
                <w:bCs/>
                <w:color w:val="000000" w:themeColor="text1"/>
              </w:rPr>
            </w:pPr>
          </w:p>
        </w:tc>
      </w:tr>
      <w:tr w:rsidR="008C38C5" w:rsidRPr="002E69E4" w14:paraId="263213F1" w14:textId="77777777" w:rsidTr="00C03EE2">
        <w:tc>
          <w:tcPr>
            <w:tcW w:w="883" w:type="dxa"/>
            <w:vMerge/>
          </w:tcPr>
          <w:p w14:paraId="34C08824" w14:textId="77777777" w:rsidR="008C38C5" w:rsidRDefault="008C38C5" w:rsidP="00661837">
            <w:pPr>
              <w:pStyle w:val="NotesBody"/>
              <w:ind w:left="0"/>
              <w:rPr>
                <w:rFonts w:cs="Arial"/>
                <w:color w:val="000000" w:themeColor="text1"/>
              </w:rPr>
            </w:pPr>
          </w:p>
        </w:tc>
        <w:tc>
          <w:tcPr>
            <w:tcW w:w="1005" w:type="dxa"/>
            <w:vMerge/>
          </w:tcPr>
          <w:p w14:paraId="23B5BE0B" w14:textId="715DC0F6" w:rsidR="008C38C5" w:rsidRPr="002E69E4" w:rsidRDefault="008C38C5" w:rsidP="00661837">
            <w:pPr>
              <w:pStyle w:val="NotesBody"/>
              <w:ind w:left="0"/>
              <w:rPr>
                <w:rFonts w:cs="Arial"/>
                <w:b/>
                <w:bCs/>
                <w:color w:val="000000" w:themeColor="text1"/>
              </w:rPr>
            </w:pPr>
          </w:p>
        </w:tc>
        <w:tc>
          <w:tcPr>
            <w:tcW w:w="872" w:type="dxa"/>
          </w:tcPr>
          <w:p w14:paraId="668EAD4E" w14:textId="77777777" w:rsidR="008C38C5" w:rsidRPr="002E69E4" w:rsidRDefault="008C38C5" w:rsidP="00661837">
            <w:pPr>
              <w:pStyle w:val="NotesBody"/>
              <w:ind w:left="0"/>
              <w:rPr>
                <w:rFonts w:cs="Arial"/>
                <w:b/>
                <w:bCs/>
                <w:color w:val="000000" w:themeColor="text1"/>
              </w:rPr>
            </w:pPr>
          </w:p>
          <w:p w14:paraId="0B34CD9A" w14:textId="77777777" w:rsidR="008C38C5" w:rsidRPr="002E69E4" w:rsidRDefault="008C38C5" w:rsidP="00661837">
            <w:pPr>
              <w:pStyle w:val="NotesBody"/>
              <w:ind w:left="0"/>
              <w:rPr>
                <w:rFonts w:cs="Arial"/>
                <w:b/>
                <w:bCs/>
                <w:color w:val="000000" w:themeColor="text1"/>
              </w:rPr>
            </w:pPr>
          </w:p>
          <w:p w14:paraId="03236D83" w14:textId="77777777" w:rsidR="008C38C5" w:rsidRPr="002E69E4" w:rsidRDefault="008C38C5" w:rsidP="00661837">
            <w:pPr>
              <w:pStyle w:val="NotesBody"/>
              <w:ind w:left="0"/>
              <w:rPr>
                <w:rFonts w:cs="Arial"/>
                <w:b/>
                <w:bCs/>
                <w:color w:val="000000" w:themeColor="text1"/>
              </w:rPr>
            </w:pPr>
          </w:p>
          <w:p w14:paraId="32FDDC21" w14:textId="77777777" w:rsidR="008C38C5" w:rsidRPr="002E69E4" w:rsidRDefault="008C38C5" w:rsidP="00661837">
            <w:pPr>
              <w:pStyle w:val="NotesBody"/>
              <w:ind w:left="0"/>
              <w:rPr>
                <w:rFonts w:cs="Arial"/>
                <w:b/>
                <w:bCs/>
                <w:color w:val="000000" w:themeColor="text1"/>
              </w:rPr>
            </w:pPr>
          </w:p>
          <w:p w14:paraId="6D750125" w14:textId="77777777" w:rsidR="00EB070B" w:rsidRDefault="00EB070B" w:rsidP="00661837">
            <w:pPr>
              <w:pStyle w:val="NotesBody"/>
              <w:ind w:left="0"/>
              <w:rPr>
                <w:rFonts w:cs="Arial"/>
                <w:b/>
                <w:bCs/>
                <w:color w:val="000000" w:themeColor="text1"/>
              </w:rPr>
            </w:pPr>
          </w:p>
          <w:p w14:paraId="0E486731" w14:textId="647B68EC" w:rsidR="008C38C5" w:rsidRPr="002E69E4" w:rsidRDefault="008C38C5" w:rsidP="00661837">
            <w:pPr>
              <w:pStyle w:val="NotesBody"/>
              <w:ind w:left="0"/>
              <w:rPr>
                <w:rFonts w:cs="Arial"/>
                <w:b/>
                <w:bCs/>
                <w:color w:val="000000" w:themeColor="text1"/>
              </w:rPr>
            </w:pPr>
            <w:r w:rsidRPr="002E69E4">
              <w:rPr>
                <w:rFonts w:cs="Arial"/>
                <w:b/>
                <w:bCs/>
                <w:color w:val="000000" w:themeColor="text1"/>
              </w:rPr>
              <w:t>Assets</w:t>
            </w:r>
          </w:p>
        </w:tc>
        <w:tc>
          <w:tcPr>
            <w:tcW w:w="972" w:type="dxa"/>
            <w:tcBorders>
              <w:right w:val="single" w:sz="4" w:space="0" w:color="auto"/>
            </w:tcBorders>
          </w:tcPr>
          <w:p w14:paraId="2A6C5BBF" w14:textId="77777777" w:rsidR="008C38C5" w:rsidRPr="002E69E4" w:rsidRDefault="008C38C5" w:rsidP="00661837">
            <w:pPr>
              <w:pStyle w:val="NotesBody"/>
              <w:ind w:left="0"/>
              <w:rPr>
                <w:rFonts w:cs="Arial"/>
                <w:b/>
                <w:bCs/>
                <w:color w:val="000000" w:themeColor="text1"/>
              </w:rPr>
            </w:pPr>
          </w:p>
          <w:p w14:paraId="522E63F6" w14:textId="77777777" w:rsidR="008C38C5" w:rsidRPr="002E69E4" w:rsidRDefault="008C38C5" w:rsidP="00661837">
            <w:pPr>
              <w:pStyle w:val="NotesBody"/>
              <w:ind w:left="0"/>
              <w:rPr>
                <w:rFonts w:cs="Arial"/>
                <w:b/>
                <w:bCs/>
                <w:color w:val="000000" w:themeColor="text1"/>
              </w:rPr>
            </w:pPr>
          </w:p>
          <w:p w14:paraId="7F721D31" w14:textId="77777777" w:rsidR="008C38C5" w:rsidRPr="002E69E4" w:rsidRDefault="008C38C5" w:rsidP="00661837">
            <w:pPr>
              <w:pStyle w:val="NotesBody"/>
              <w:ind w:left="0"/>
              <w:rPr>
                <w:rFonts w:cs="Arial"/>
                <w:b/>
                <w:bCs/>
                <w:color w:val="000000" w:themeColor="text1"/>
              </w:rPr>
            </w:pPr>
          </w:p>
          <w:p w14:paraId="66D3B3F1" w14:textId="77777777" w:rsidR="008C38C5" w:rsidRPr="002E69E4" w:rsidRDefault="008C38C5" w:rsidP="00661837">
            <w:pPr>
              <w:pStyle w:val="NotesBody"/>
              <w:ind w:left="0"/>
              <w:rPr>
                <w:rFonts w:cs="Arial"/>
                <w:b/>
                <w:bCs/>
                <w:color w:val="000000" w:themeColor="text1"/>
              </w:rPr>
            </w:pPr>
          </w:p>
          <w:p w14:paraId="40D46E12" w14:textId="77777777" w:rsidR="00EB070B" w:rsidRDefault="00EB070B" w:rsidP="00661837">
            <w:pPr>
              <w:pStyle w:val="NotesBody"/>
              <w:ind w:left="0"/>
              <w:rPr>
                <w:rFonts w:cs="Arial"/>
                <w:b/>
                <w:bCs/>
                <w:color w:val="000000" w:themeColor="text1"/>
              </w:rPr>
            </w:pPr>
          </w:p>
          <w:p w14:paraId="0AAB8950" w14:textId="3CB9D95C" w:rsidR="008C38C5" w:rsidRPr="002E69E4" w:rsidRDefault="008C38C5" w:rsidP="00661837">
            <w:pPr>
              <w:pStyle w:val="NotesBody"/>
              <w:ind w:left="0"/>
              <w:rPr>
                <w:rFonts w:cs="Arial"/>
                <w:b/>
                <w:bCs/>
                <w:color w:val="000000" w:themeColor="text1"/>
              </w:rPr>
            </w:pPr>
            <w:r w:rsidRPr="002E69E4">
              <w:rPr>
                <w:rFonts w:cs="Arial"/>
                <w:b/>
                <w:bCs/>
                <w:color w:val="000000" w:themeColor="text1"/>
              </w:rPr>
              <w:t>Liability</w:t>
            </w:r>
          </w:p>
        </w:tc>
        <w:tc>
          <w:tcPr>
            <w:tcW w:w="1361" w:type="dxa"/>
            <w:vMerge/>
            <w:tcBorders>
              <w:left w:val="single" w:sz="4" w:space="0" w:color="auto"/>
            </w:tcBorders>
          </w:tcPr>
          <w:p w14:paraId="71BF729D" w14:textId="77777777" w:rsidR="008C38C5" w:rsidRPr="002E69E4" w:rsidRDefault="008C38C5" w:rsidP="00661837">
            <w:pPr>
              <w:pStyle w:val="NotesBody"/>
              <w:ind w:left="0"/>
              <w:rPr>
                <w:rFonts w:cs="Arial"/>
                <w:b/>
                <w:bCs/>
                <w:color w:val="000000" w:themeColor="text1"/>
              </w:rPr>
            </w:pPr>
          </w:p>
        </w:tc>
        <w:tc>
          <w:tcPr>
            <w:tcW w:w="1662" w:type="dxa"/>
            <w:vMerge/>
          </w:tcPr>
          <w:p w14:paraId="589CE5D9" w14:textId="77777777" w:rsidR="008C38C5" w:rsidRPr="002E69E4" w:rsidRDefault="008C38C5" w:rsidP="00661837">
            <w:pPr>
              <w:pStyle w:val="NotesBody"/>
              <w:ind w:left="0"/>
              <w:rPr>
                <w:rFonts w:cs="Arial"/>
                <w:b/>
                <w:bCs/>
                <w:color w:val="000000" w:themeColor="text1"/>
              </w:rPr>
            </w:pPr>
          </w:p>
        </w:tc>
        <w:tc>
          <w:tcPr>
            <w:tcW w:w="1662" w:type="dxa"/>
            <w:vMerge/>
          </w:tcPr>
          <w:p w14:paraId="162A9691" w14:textId="77777777" w:rsidR="008C38C5" w:rsidRPr="002E69E4" w:rsidRDefault="008C38C5" w:rsidP="00661837">
            <w:pPr>
              <w:pStyle w:val="NotesBody"/>
              <w:ind w:left="0"/>
              <w:rPr>
                <w:rFonts w:cs="Arial"/>
                <w:b/>
                <w:bCs/>
                <w:color w:val="000000" w:themeColor="text1"/>
              </w:rPr>
            </w:pPr>
          </w:p>
        </w:tc>
        <w:tc>
          <w:tcPr>
            <w:tcW w:w="1139" w:type="dxa"/>
            <w:vMerge/>
          </w:tcPr>
          <w:p w14:paraId="7ADEFF41" w14:textId="77777777" w:rsidR="008C38C5" w:rsidRPr="002E69E4" w:rsidRDefault="008C38C5" w:rsidP="00661837">
            <w:pPr>
              <w:pStyle w:val="NotesBody"/>
              <w:ind w:left="0"/>
              <w:rPr>
                <w:rFonts w:cs="Arial"/>
                <w:b/>
                <w:bCs/>
                <w:color w:val="000000" w:themeColor="text1"/>
              </w:rPr>
            </w:pPr>
          </w:p>
        </w:tc>
        <w:tc>
          <w:tcPr>
            <w:tcW w:w="1084" w:type="dxa"/>
            <w:vMerge/>
          </w:tcPr>
          <w:p w14:paraId="57F364DC" w14:textId="77777777" w:rsidR="008C38C5" w:rsidRPr="002E69E4" w:rsidRDefault="008C38C5" w:rsidP="00661837">
            <w:pPr>
              <w:pStyle w:val="NotesBody"/>
              <w:ind w:left="0"/>
              <w:rPr>
                <w:rFonts w:cs="Arial"/>
                <w:b/>
                <w:bCs/>
                <w:color w:val="000000" w:themeColor="text1"/>
              </w:rPr>
            </w:pPr>
          </w:p>
        </w:tc>
      </w:tr>
      <w:tr w:rsidR="008C38C5" w:rsidRPr="002E69E4" w14:paraId="5E057A44" w14:textId="77777777" w:rsidTr="00C03EE2">
        <w:tc>
          <w:tcPr>
            <w:tcW w:w="883" w:type="dxa"/>
            <w:vMerge/>
          </w:tcPr>
          <w:p w14:paraId="77D6658F" w14:textId="77777777" w:rsidR="008C38C5" w:rsidRDefault="008C38C5" w:rsidP="009079A2">
            <w:pPr>
              <w:pStyle w:val="NotesBody"/>
              <w:ind w:left="0"/>
              <w:rPr>
                <w:rFonts w:cs="Arial"/>
                <w:color w:val="000000" w:themeColor="text1"/>
              </w:rPr>
            </w:pPr>
          </w:p>
        </w:tc>
        <w:tc>
          <w:tcPr>
            <w:tcW w:w="1005" w:type="dxa"/>
            <w:tcBorders>
              <w:bottom w:val="single" w:sz="4" w:space="0" w:color="auto"/>
            </w:tcBorders>
          </w:tcPr>
          <w:p w14:paraId="731CB018" w14:textId="4F652F5A" w:rsidR="008C38C5" w:rsidRPr="002E69E4" w:rsidRDefault="008C38C5" w:rsidP="009079A2">
            <w:pPr>
              <w:pStyle w:val="NotesBody"/>
              <w:ind w:left="0"/>
              <w:rPr>
                <w:rFonts w:cs="Arial"/>
                <w:b/>
                <w:bCs/>
                <w:color w:val="000000" w:themeColor="text1"/>
              </w:rPr>
            </w:pPr>
            <w:r w:rsidRPr="002E69E4">
              <w:rPr>
                <w:rFonts w:cs="Arial"/>
                <w:b/>
                <w:bCs/>
                <w:color w:val="000000" w:themeColor="text1"/>
              </w:rPr>
              <w:t>(€’000)</w:t>
            </w:r>
          </w:p>
        </w:tc>
        <w:tc>
          <w:tcPr>
            <w:tcW w:w="872" w:type="dxa"/>
            <w:tcBorders>
              <w:bottom w:val="single" w:sz="4" w:space="0" w:color="auto"/>
            </w:tcBorders>
          </w:tcPr>
          <w:p w14:paraId="2E9C7511" w14:textId="16730EA3" w:rsidR="008C38C5" w:rsidRPr="002E69E4" w:rsidRDefault="008C38C5" w:rsidP="009079A2">
            <w:pPr>
              <w:pStyle w:val="NotesBody"/>
              <w:ind w:left="0"/>
              <w:rPr>
                <w:rFonts w:cs="Arial"/>
                <w:b/>
                <w:bCs/>
                <w:color w:val="000000" w:themeColor="text1"/>
              </w:rPr>
            </w:pPr>
            <w:r w:rsidRPr="002E69E4">
              <w:rPr>
                <w:rFonts w:cs="Arial"/>
                <w:b/>
                <w:bCs/>
                <w:color w:val="000000" w:themeColor="text1"/>
              </w:rPr>
              <w:t>(€’000)</w:t>
            </w:r>
          </w:p>
        </w:tc>
        <w:tc>
          <w:tcPr>
            <w:tcW w:w="972" w:type="dxa"/>
            <w:tcBorders>
              <w:bottom w:val="single" w:sz="4" w:space="0" w:color="auto"/>
              <w:right w:val="single" w:sz="4" w:space="0" w:color="auto"/>
            </w:tcBorders>
          </w:tcPr>
          <w:p w14:paraId="4343D9D4" w14:textId="570530FF" w:rsidR="008C38C5" w:rsidRPr="002E69E4" w:rsidRDefault="008C38C5" w:rsidP="009079A2">
            <w:pPr>
              <w:pStyle w:val="NotesBody"/>
              <w:ind w:left="0"/>
              <w:rPr>
                <w:rFonts w:cs="Arial"/>
                <w:b/>
                <w:bCs/>
                <w:color w:val="000000" w:themeColor="text1"/>
              </w:rPr>
            </w:pPr>
            <w:r w:rsidRPr="002E69E4">
              <w:rPr>
                <w:rFonts w:cs="Arial"/>
                <w:b/>
                <w:bCs/>
                <w:color w:val="000000" w:themeColor="text1"/>
              </w:rPr>
              <w:t>(€’000)</w:t>
            </w:r>
          </w:p>
        </w:tc>
        <w:tc>
          <w:tcPr>
            <w:tcW w:w="1361" w:type="dxa"/>
            <w:tcBorders>
              <w:left w:val="single" w:sz="4" w:space="0" w:color="auto"/>
              <w:bottom w:val="single" w:sz="4" w:space="0" w:color="auto"/>
            </w:tcBorders>
          </w:tcPr>
          <w:p w14:paraId="1D086CE4" w14:textId="7D357FCC" w:rsidR="008C38C5" w:rsidRPr="002E69E4" w:rsidRDefault="008C38C5" w:rsidP="009079A2">
            <w:pPr>
              <w:pStyle w:val="NotesBody"/>
              <w:ind w:left="0"/>
              <w:rPr>
                <w:rFonts w:cs="Arial"/>
                <w:b/>
                <w:bCs/>
                <w:color w:val="000000" w:themeColor="text1"/>
              </w:rPr>
            </w:pPr>
            <w:r w:rsidRPr="002E69E4">
              <w:rPr>
                <w:rFonts w:cs="Arial"/>
                <w:b/>
                <w:bCs/>
                <w:color w:val="000000" w:themeColor="text1"/>
              </w:rPr>
              <w:t>(€’000)</w:t>
            </w:r>
          </w:p>
        </w:tc>
        <w:tc>
          <w:tcPr>
            <w:tcW w:w="1662" w:type="dxa"/>
            <w:tcBorders>
              <w:bottom w:val="single" w:sz="4" w:space="0" w:color="auto"/>
            </w:tcBorders>
          </w:tcPr>
          <w:p w14:paraId="67461641" w14:textId="0874BB29" w:rsidR="008C38C5" w:rsidRPr="002E69E4" w:rsidRDefault="008C38C5" w:rsidP="009079A2">
            <w:pPr>
              <w:pStyle w:val="NotesBody"/>
              <w:ind w:left="0"/>
              <w:rPr>
                <w:rFonts w:cs="Arial"/>
                <w:b/>
                <w:bCs/>
                <w:color w:val="000000" w:themeColor="text1"/>
              </w:rPr>
            </w:pPr>
            <w:r w:rsidRPr="002E69E4">
              <w:rPr>
                <w:rFonts w:cs="Arial"/>
                <w:b/>
                <w:bCs/>
                <w:color w:val="000000" w:themeColor="text1"/>
              </w:rPr>
              <w:t>(€’000)</w:t>
            </w:r>
          </w:p>
        </w:tc>
        <w:tc>
          <w:tcPr>
            <w:tcW w:w="1662" w:type="dxa"/>
            <w:tcBorders>
              <w:bottom w:val="single" w:sz="4" w:space="0" w:color="auto"/>
            </w:tcBorders>
          </w:tcPr>
          <w:p w14:paraId="06D0BAFF" w14:textId="013CC5BA" w:rsidR="008C38C5" w:rsidRPr="002E69E4" w:rsidRDefault="008C38C5" w:rsidP="009079A2">
            <w:pPr>
              <w:pStyle w:val="NotesBody"/>
              <w:ind w:left="0"/>
              <w:rPr>
                <w:rFonts w:cs="Arial"/>
                <w:b/>
                <w:bCs/>
                <w:color w:val="000000" w:themeColor="text1"/>
              </w:rPr>
            </w:pPr>
            <w:r w:rsidRPr="002E69E4">
              <w:rPr>
                <w:rFonts w:cs="Arial"/>
                <w:b/>
                <w:bCs/>
                <w:color w:val="000000" w:themeColor="text1"/>
              </w:rPr>
              <w:t>(€’000)</w:t>
            </w:r>
          </w:p>
        </w:tc>
        <w:tc>
          <w:tcPr>
            <w:tcW w:w="1139" w:type="dxa"/>
            <w:tcBorders>
              <w:bottom w:val="single" w:sz="4" w:space="0" w:color="auto"/>
            </w:tcBorders>
          </w:tcPr>
          <w:p w14:paraId="10A27406" w14:textId="137A1C08" w:rsidR="008C38C5" w:rsidRPr="002E69E4" w:rsidRDefault="008C38C5" w:rsidP="009079A2">
            <w:pPr>
              <w:pStyle w:val="NotesBody"/>
              <w:ind w:left="0"/>
              <w:rPr>
                <w:rFonts w:cs="Arial"/>
                <w:b/>
                <w:bCs/>
                <w:color w:val="000000" w:themeColor="text1"/>
              </w:rPr>
            </w:pPr>
            <w:r w:rsidRPr="002E69E4">
              <w:rPr>
                <w:rFonts w:cs="Arial"/>
                <w:b/>
                <w:bCs/>
                <w:color w:val="000000" w:themeColor="text1"/>
              </w:rPr>
              <w:t>(€’000)</w:t>
            </w:r>
          </w:p>
        </w:tc>
        <w:tc>
          <w:tcPr>
            <w:tcW w:w="1084" w:type="dxa"/>
            <w:tcBorders>
              <w:bottom w:val="single" w:sz="4" w:space="0" w:color="auto"/>
            </w:tcBorders>
          </w:tcPr>
          <w:p w14:paraId="4349C42D" w14:textId="4E921FDF" w:rsidR="008C38C5" w:rsidRPr="002E69E4" w:rsidRDefault="008C38C5" w:rsidP="009079A2">
            <w:pPr>
              <w:pStyle w:val="NotesBody"/>
              <w:ind w:left="0"/>
              <w:rPr>
                <w:rFonts w:cs="Arial"/>
                <w:b/>
                <w:bCs/>
                <w:color w:val="000000" w:themeColor="text1"/>
              </w:rPr>
            </w:pPr>
            <w:r w:rsidRPr="002E69E4">
              <w:rPr>
                <w:rFonts w:cs="Arial"/>
                <w:b/>
                <w:bCs/>
                <w:color w:val="000000" w:themeColor="text1"/>
              </w:rPr>
              <w:t>(€’000)</w:t>
            </w:r>
          </w:p>
        </w:tc>
      </w:tr>
      <w:tr w:rsidR="00F67C10" w14:paraId="10FAAE83" w14:textId="77777777" w:rsidTr="00C03EE2">
        <w:tc>
          <w:tcPr>
            <w:tcW w:w="883" w:type="dxa"/>
          </w:tcPr>
          <w:p w14:paraId="177349C1" w14:textId="2C70BA26" w:rsidR="002C75EA" w:rsidRDefault="002C75EA" w:rsidP="002C75EA">
            <w:pPr>
              <w:pStyle w:val="NotesBody"/>
              <w:ind w:left="0"/>
              <w:rPr>
                <w:rFonts w:cs="Arial"/>
                <w:color w:val="000000" w:themeColor="text1"/>
              </w:rPr>
            </w:pPr>
            <w:r>
              <w:rPr>
                <w:rFonts w:cs="Arial"/>
                <w:color w:val="000000" w:themeColor="text1"/>
              </w:rPr>
              <w:t>Interest rate swap</w:t>
            </w:r>
          </w:p>
        </w:tc>
        <w:tc>
          <w:tcPr>
            <w:tcW w:w="1005" w:type="dxa"/>
            <w:tcBorders>
              <w:top w:val="single" w:sz="4" w:space="0" w:color="auto"/>
            </w:tcBorders>
          </w:tcPr>
          <w:p w14:paraId="6A33BC85" w14:textId="48ACC214" w:rsidR="002C75EA" w:rsidRPr="0042556C" w:rsidRDefault="001F33FC" w:rsidP="002C75EA">
            <w:pPr>
              <w:pStyle w:val="NotesBody"/>
              <w:ind w:left="0"/>
              <w:rPr>
                <w:rFonts w:cs="Arial"/>
                <w:b/>
                <w:color w:val="000000" w:themeColor="text1"/>
              </w:rPr>
            </w:pPr>
            <w:r w:rsidRPr="0042556C">
              <w:rPr>
                <w:rFonts w:cs="Arial"/>
                <w:b/>
                <w:color w:val="000000" w:themeColor="text1"/>
              </w:rPr>
              <w:t>50,000</w:t>
            </w:r>
          </w:p>
        </w:tc>
        <w:tc>
          <w:tcPr>
            <w:tcW w:w="872" w:type="dxa"/>
            <w:tcBorders>
              <w:top w:val="single" w:sz="4" w:space="0" w:color="auto"/>
            </w:tcBorders>
          </w:tcPr>
          <w:p w14:paraId="5DD42E74" w14:textId="62A67188" w:rsidR="002C75EA" w:rsidRPr="0042556C" w:rsidRDefault="000C0901" w:rsidP="002C75EA">
            <w:pPr>
              <w:pStyle w:val="NotesBody"/>
              <w:ind w:left="0"/>
              <w:rPr>
                <w:rFonts w:cs="Arial"/>
                <w:b/>
                <w:color w:val="000000" w:themeColor="text1"/>
              </w:rPr>
            </w:pPr>
            <w:r w:rsidRPr="0042556C">
              <w:rPr>
                <w:rFonts w:cs="Arial"/>
                <w:b/>
                <w:color w:val="000000" w:themeColor="text1"/>
              </w:rPr>
              <w:t>-</w:t>
            </w:r>
          </w:p>
        </w:tc>
        <w:tc>
          <w:tcPr>
            <w:tcW w:w="972" w:type="dxa"/>
            <w:tcBorders>
              <w:top w:val="single" w:sz="4" w:space="0" w:color="auto"/>
              <w:right w:val="single" w:sz="4" w:space="0" w:color="auto"/>
            </w:tcBorders>
          </w:tcPr>
          <w:p w14:paraId="300706D0" w14:textId="1F4CB096" w:rsidR="002C75EA" w:rsidRPr="0042556C" w:rsidRDefault="000C0901" w:rsidP="002C75EA">
            <w:pPr>
              <w:pStyle w:val="NotesBody"/>
              <w:ind w:left="0"/>
              <w:rPr>
                <w:rFonts w:cs="Arial"/>
                <w:b/>
                <w:color w:val="000000" w:themeColor="text1"/>
              </w:rPr>
            </w:pPr>
            <w:r w:rsidRPr="0042556C">
              <w:rPr>
                <w:rFonts w:cs="Arial"/>
                <w:b/>
                <w:color w:val="000000" w:themeColor="text1"/>
              </w:rPr>
              <w:t>(</w:t>
            </w:r>
            <w:r w:rsidR="00C44B4C">
              <w:rPr>
                <w:rFonts w:cs="Arial"/>
                <w:b/>
                <w:bCs/>
                <w:color w:val="000000" w:themeColor="text1"/>
              </w:rPr>
              <w:t>1,370</w:t>
            </w:r>
            <w:r w:rsidR="00324A9D">
              <w:rPr>
                <w:rFonts w:cs="Arial"/>
                <w:b/>
                <w:bCs/>
                <w:color w:val="000000" w:themeColor="text1"/>
              </w:rPr>
              <w:t>)</w:t>
            </w:r>
          </w:p>
        </w:tc>
        <w:tc>
          <w:tcPr>
            <w:tcW w:w="1361" w:type="dxa"/>
            <w:tcBorders>
              <w:top w:val="single" w:sz="4" w:space="0" w:color="auto"/>
              <w:left w:val="single" w:sz="4" w:space="0" w:color="auto"/>
            </w:tcBorders>
          </w:tcPr>
          <w:p w14:paraId="189D17E8" w14:textId="5E5F864D" w:rsidR="002C75EA" w:rsidRPr="0042556C" w:rsidRDefault="006D324A" w:rsidP="002C75EA">
            <w:pPr>
              <w:pStyle w:val="NotesBody"/>
              <w:ind w:left="0"/>
              <w:rPr>
                <w:rFonts w:cs="Arial"/>
                <w:b/>
                <w:color w:val="000000" w:themeColor="text1"/>
              </w:rPr>
            </w:pPr>
            <w:r>
              <w:rPr>
                <w:rFonts w:cs="Arial"/>
                <w:b/>
                <w:bCs/>
                <w:color w:val="000000" w:themeColor="text1"/>
              </w:rPr>
              <w:t>33</w:t>
            </w:r>
          </w:p>
        </w:tc>
        <w:tc>
          <w:tcPr>
            <w:tcW w:w="1662" w:type="dxa"/>
            <w:tcBorders>
              <w:top w:val="single" w:sz="4" w:space="0" w:color="auto"/>
            </w:tcBorders>
          </w:tcPr>
          <w:p w14:paraId="5DAAD78D" w14:textId="574B5822" w:rsidR="002C75EA" w:rsidRPr="0042556C" w:rsidRDefault="00967E24" w:rsidP="002C75EA">
            <w:pPr>
              <w:pStyle w:val="NotesBody"/>
              <w:ind w:left="0"/>
              <w:rPr>
                <w:rFonts w:cs="Arial"/>
                <w:b/>
                <w:color w:val="000000" w:themeColor="text1"/>
              </w:rPr>
            </w:pPr>
            <w:r w:rsidRPr="0042556C">
              <w:rPr>
                <w:rFonts w:cs="Arial"/>
                <w:b/>
                <w:color w:val="000000" w:themeColor="text1"/>
              </w:rPr>
              <w:t>-</w:t>
            </w:r>
          </w:p>
        </w:tc>
        <w:tc>
          <w:tcPr>
            <w:tcW w:w="1662" w:type="dxa"/>
            <w:tcBorders>
              <w:top w:val="single" w:sz="4" w:space="0" w:color="auto"/>
            </w:tcBorders>
          </w:tcPr>
          <w:p w14:paraId="7E1C25DE" w14:textId="2936487D" w:rsidR="002C75EA" w:rsidRDefault="0028781B" w:rsidP="002C75EA">
            <w:pPr>
              <w:pStyle w:val="NotesBody"/>
              <w:ind w:left="0"/>
              <w:rPr>
                <w:rFonts w:cs="Arial"/>
                <w:color w:val="000000" w:themeColor="text1"/>
              </w:rPr>
            </w:pPr>
            <w:r>
              <w:rPr>
                <w:rFonts w:cs="Arial"/>
                <w:color w:val="000000" w:themeColor="text1"/>
              </w:rPr>
              <w:t>Loss</w:t>
            </w:r>
            <w:r w:rsidR="002C75EA">
              <w:rPr>
                <w:rFonts w:cs="Arial"/>
                <w:color w:val="000000" w:themeColor="text1"/>
              </w:rPr>
              <w:t xml:space="preserve"> on derivative financial instruments</w:t>
            </w:r>
          </w:p>
        </w:tc>
        <w:tc>
          <w:tcPr>
            <w:tcW w:w="1139" w:type="dxa"/>
            <w:tcBorders>
              <w:top w:val="single" w:sz="4" w:space="0" w:color="auto"/>
            </w:tcBorders>
          </w:tcPr>
          <w:p w14:paraId="18E5BA33" w14:textId="42F21171" w:rsidR="002C75EA" w:rsidRPr="0042556C" w:rsidRDefault="000F3238" w:rsidP="002C75EA">
            <w:pPr>
              <w:pStyle w:val="NotesBody"/>
              <w:ind w:left="0"/>
              <w:rPr>
                <w:rFonts w:cs="Arial"/>
                <w:b/>
                <w:color w:val="000000" w:themeColor="text1"/>
              </w:rPr>
            </w:pPr>
            <w:r>
              <w:rPr>
                <w:rFonts w:cs="Arial"/>
                <w:b/>
                <w:bCs/>
                <w:color w:val="000000" w:themeColor="text1"/>
              </w:rPr>
              <w:t>174</w:t>
            </w:r>
          </w:p>
        </w:tc>
        <w:tc>
          <w:tcPr>
            <w:tcW w:w="1084" w:type="dxa"/>
            <w:tcBorders>
              <w:top w:val="single" w:sz="4" w:space="0" w:color="auto"/>
            </w:tcBorders>
          </w:tcPr>
          <w:p w14:paraId="4024F671" w14:textId="3917639C" w:rsidR="002C75EA" w:rsidRDefault="002C75EA" w:rsidP="002C75EA">
            <w:pPr>
              <w:pStyle w:val="NotesBody"/>
              <w:ind w:left="0"/>
              <w:rPr>
                <w:rFonts w:cs="Arial"/>
                <w:color w:val="000000" w:themeColor="text1"/>
              </w:rPr>
            </w:pPr>
            <w:r>
              <w:rPr>
                <w:rFonts w:cs="Arial"/>
                <w:color w:val="000000" w:themeColor="text1"/>
              </w:rPr>
              <w:t>Financing costs</w:t>
            </w:r>
          </w:p>
        </w:tc>
      </w:tr>
    </w:tbl>
    <w:p w14:paraId="7623DD68" w14:textId="77777777" w:rsidR="006B3B6D" w:rsidRDefault="006B3B6D" w:rsidP="00661837">
      <w:pPr>
        <w:pStyle w:val="NotesBody"/>
        <w:rPr>
          <w:rFonts w:cs="Arial"/>
          <w:color w:val="000000" w:themeColor="text1"/>
        </w:rPr>
      </w:pPr>
    </w:p>
    <w:p w14:paraId="4F3AD207" w14:textId="77777777" w:rsidR="009566D0" w:rsidRDefault="009566D0" w:rsidP="00661837">
      <w:pPr>
        <w:pStyle w:val="NotesBody"/>
        <w:rPr>
          <w:rFonts w:cs="Arial"/>
          <w:color w:val="000000" w:themeColor="text1"/>
        </w:rPr>
      </w:pPr>
    </w:p>
    <w:tbl>
      <w:tblPr>
        <w:tblStyle w:val="TableGrid"/>
        <w:tblW w:w="10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1005"/>
        <w:gridCol w:w="872"/>
        <w:gridCol w:w="972"/>
        <w:gridCol w:w="1361"/>
        <w:gridCol w:w="1662"/>
        <w:gridCol w:w="1662"/>
        <w:gridCol w:w="1139"/>
        <w:gridCol w:w="1084"/>
      </w:tblGrid>
      <w:tr w:rsidR="002B69A4" w:rsidRPr="002B49C1" w14:paraId="468DE538" w14:textId="77777777">
        <w:tc>
          <w:tcPr>
            <w:tcW w:w="883" w:type="dxa"/>
            <w:vMerge w:val="restart"/>
          </w:tcPr>
          <w:p w14:paraId="06ADB283" w14:textId="77777777" w:rsidR="002B69A4" w:rsidRDefault="002B69A4">
            <w:pPr>
              <w:pStyle w:val="NotesBody"/>
              <w:ind w:left="0"/>
              <w:rPr>
                <w:rFonts w:cs="Arial"/>
                <w:color w:val="000000" w:themeColor="text1"/>
              </w:rPr>
            </w:pPr>
          </w:p>
        </w:tc>
        <w:tc>
          <w:tcPr>
            <w:tcW w:w="2849" w:type="dxa"/>
            <w:gridSpan w:val="3"/>
            <w:tcBorders>
              <w:right w:val="single" w:sz="4" w:space="0" w:color="auto"/>
            </w:tcBorders>
          </w:tcPr>
          <w:p w14:paraId="50A5FA45" w14:textId="60BABDC8" w:rsidR="002B69A4" w:rsidRPr="002B49C1" w:rsidRDefault="002B69A4">
            <w:pPr>
              <w:pStyle w:val="NotesBody"/>
              <w:ind w:left="0"/>
              <w:jc w:val="center"/>
              <w:rPr>
                <w:rFonts w:cs="Arial"/>
                <w:b/>
                <w:bCs/>
                <w:color w:val="000000" w:themeColor="text1"/>
                <w:u w:val="single"/>
              </w:rPr>
            </w:pPr>
            <w:r w:rsidRPr="002B49C1">
              <w:rPr>
                <w:rFonts w:cs="Arial"/>
                <w:b/>
                <w:bCs/>
                <w:color w:val="000000" w:themeColor="text1"/>
                <w:u w:val="single"/>
              </w:rPr>
              <w:t xml:space="preserve">As </w:t>
            </w:r>
            <w:proofErr w:type="gramStart"/>
            <w:r w:rsidRPr="002B49C1">
              <w:rPr>
                <w:rFonts w:cs="Arial"/>
                <w:b/>
                <w:bCs/>
                <w:color w:val="000000" w:themeColor="text1"/>
                <w:u w:val="single"/>
              </w:rPr>
              <w:t>at</w:t>
            </w:r>
            <w:proofErr w:type="gramEnd"/>
            <w:r w:rsidRPr="002B49C1">
              <w:rPr>
                <w:rFonts w:cs="Arial"/>
                <w:b/>
                <w:bCs/>
                <w:color w:val="000000" w:themeColor="text1"/>
                <w:u w:val="single"/>
              </w:rPr>
              <w:t xml:space="preserve"> 3</w:t>
            </w:r>
            <w:r w:rsidR="008128AD">
              <w:rPr>
                <w:rFonts w:cs="Arial"/>
                <w:b/>
                <w:bCs/>
                <w:color w:val="000000" w:themeColor="text1"/>
                <w:u w:val="single"/>
              </w:rPr>
              <w:t>1 December</w:t>
            </w:r>
            <w:r w:rsidRPr="002B49C1">
              <w:rPr>
                <w:rFonts w:cs="Arial"/>
                <w:b/>
                <w:bCs/>
                <w:color w:val="000000" w:themeColor="text1"/>
                <w:u w:val="single"/>
              </w:rPr>
              <w:t xml:space="preserve"> 202</w:t>
            </w:r>
            <w:r w:rsidR="00E30E80">
              <w:rPr>
                <w:rFonts w:cs="Arial"/>
                <w:b/>
                <w:bCs/>
                <w:color w:val="000000" w:themeColor="text1"/>
                <w:u w:val="single"/>
              </w:rPr>
              <w:t>4</w:t>
            </w:r>
          </w:p>
        </w:tc>
        <w:tc>
          <w:tcPr>
            <w:tcW w:w="6908" w:type="dxa"/>
            <w:gridSpan w:val="5"/>
            <w:tcBorders>
              <w:left w:val="single" w:sz="4" w:space="0" w:color="auto"/>
            </w:tcBorders>
          </w:tcPr>
          <w:p w14:paraId="0A7F0921" w14:textId="287483A3" w:rsidR="002B69A4" w:rsidRPr="002B49C1" w:rsidRDefault="002B69A4">
            <w:pPr>
              <w:pStyle w:val="NotesBody"/>
              <w:ind w:left="0"/>
              <w:jc w:val="center"/>
              <w:rPr>
                <w:rFonts w:cs="Arial"/>
                <w:b/>
                <w:bCs/>
                <w:color w:val="000000" w:themeColor="text1"/>
                <w:u w:val="single"/>
              </w:rPr>
            </w:pPr>
            <w:r w:rsidRPr="002B49C1">
              <w:rPr>
                <w:rFonts w:cs="Arial"/>
                <w:b/>
                <w:bCs/>
                <w:color w:val="000000" w:themeColor="text1"/>
                <w:u w:val="single"/>
              </w:rPr>
              <w:t xml:space="preserve">For the </w:t>
            </w:r>
            <w:r w:rsidR="008128AD">
              <w:rPr>
                <w:rFonts w:cs="Arial"/>
                <w:b/>
                <w:bCs/>
                <w:color w:val="000000" w:themeColor="text1"/>
                <w:u w:val="single"/>
              </w:rPr>
              <w:t>year</w:t>
            </w:r>
            <w:r w:rsidRPr="002B49C1">
              <w:rPr>
                <w:rFonts w:cs="Arial"/>
                <w:b/>
                <w:bCs/>
                <w:color w:val="000000" w:themeColor="text1"/>
                <w:u w:val="single"/>
              </w:rPr>
              <w:t xml:space="preserve"> ended 3</w:t>
            </w:r>
            <w:r w:rsidR="008128AD">
              <w:rPr>
                <w:rFonts w:cs="Arial"/>
                <w:b/>
                <w:bCs/>
                <w:color w:val="000000" w:themeColor="text1"/>
                <w:u w:val="single"/>
              </w:rPr>
              <w:t>1</w:t>
            </w:r>
            <w:r w:rsidRPr="002B49C1">
              <w:rPr>
                <w:rFonts w:cs="Arial"/>
                <w:b/>
                <w:bCs/>
                <w:color w:val="000000" w:themeColor="text1"/>
                <w:u w:val="single"/>
              </w:rPr>
              <w:t xml:space="preserve"> </w:t>
            </w:r>
            <w:r w:rsidR="008128AD">
              <w:rPr>
                <w:rFonts w:cs="Arial"/>
                <w:b/>
                <w:bCs/>
                <w:color w:val="000000" w:themeColor="text1"/>
                <w:u w:val="single"/>
              </w:rPr>
              <w:t>December</w:t>
            </w:r>
            <w:r w:rsidRPr="002B49C1">
              <w:rPr>
                <w:rFonts w:cs="Arial"/>
                <w:b/>
                <w:bCs/>
                <w:color w:val="000000" w:themeColor="text1"/>
                <w:u w:val="single"/>
              </w:rPr>
              <w:t xml:space="preserve"> 202</w:t>
            </w:r>
            <w:r w:rsidR="00E30E80">
              <w:rPr>
                <w:rFonts w:cs="Arial"/>
                <w:b/>
                <w:bCs/>
                <w:color w:val="000000" w:themeColor="text1"/>
                <w:u w:val="single"/>
              </w:rPr>
              <w:t>4</w:t>
            </w:r>
          </w:p>
        </w:tc>
      </w:tr>
      <w:tr w:rsidR="002B69A4" w:rsidRPr="002E69E4" w14:paraId="6E1C89F4" w14:textId="77777777">
        <w:tc>
          <w:tcPr>
            <w:tcW w:w="883" w:type="dxa"/>
            <w:vMerge/>
          </w:tcPr>
          <w:p w14:paraId="4C9F71F4" w14:textId="77777777" w:rsidR="002B69A4" w:rsidRDefault="002B69A4">
            <w:pPr>
              <w:pStyle w:val="NotesBody"/>
              <w:ind w:left="0"/>
              <w:rPr>
                <w:rFonts w:cs="Arial"/>
                <w:color w:val="000000" w:themeColor="text1"/>
              </w:rPr>
            </w:pPr>
          </w:p>
        </w:tc>
        <w:tc>
          <w:tcPr>
            <w:tcW w:w="1005" w:type="dxa"/>
            <w:vMerge w:val="restart"/>
          </w:tcPr>
          <w:p w14:paraId="1BE38AF7" w14:textId="77777777" w:rsidR="002B69A4" w:rsidRPr="002E69E4" w:rsidRDefault="002B69A4">
            <w:pPr>
              <w:pStyle w:val="NotesBody"/>
              <w:ind w:left="0"/>
              <w:rPr>
                <w:rFonts w:cs="Arial"/>
                <w:b/>
                <w:bCs/>
                <w:color w:val="000000" w:themeColor="text1"/>
              </w:rPr>
            </w:pPr>
          </w:p>
          <w:p w14:paraId="0356D9BC" w14:textId="77777777" w:rsidR="002B69A4" w:rsidRPr="002E69E4" w:rsidRDefault="002B69A4">
            <w:pPr>
              <w:pStyle w:val="NotesBody"/>
              <w:ind w:left="0"/>
              <w:rPr>
                <w:rFonts w:cs="Arial"/>
                <w:b/>
                <w:bCs/>
                <w:color w:val="000000" w:themeColor="text1"/>
              </w:rPr>
            </w:pPr>
          </w:p>
          <w:p w14:paraId="35EBB705" w14:textId="77777777" w:rsidR="002B69A4" w:rsidRPr="002E69E4" w:rsidRDefault="002B69A4">
            <w:pPr>
              <w:pStyle w:val="NotesBody"/>
              <w:ind w:left="0"/>
              <w:rPr>
                <w:rFonts w:cs="Arial"/>
                <w:b/>
                <w:bCs/>
                <w:color w:val="000000" w:themeColor="text1"/>
              </w:rPr>
            </w:pPr>
          </w:p>
          <w:p w14:paraId="2ED91DB9" w14:textId="77777777" w:rsidR="002B69A4" w:rsidRPr="002E69E4" w:rsidRDefault="002B69A4">
            <w:pPr>
              <w:pStyle w:val="NotesBody"/>
              <w:ind w:left="0"/>
              <w:rPr>
                <w:rFonts w:cs="Arial"/>
                <w:b/>
                <w:bCs/>
                <w:color w:val="000000" w:themeColor="text1"/>
              </w:rPr>
            </w:pPr>
          </w:p>
          <w:p w14:paraId="5A56130E" w14:textId="77777777" w:rsidR="002B69A4" w:rsidRDefault="002B69A4">
            <w:pPr>
              <w:pStyle w:val="NotesBody"/>
              <w:ind w:left="0"/>
              <w:rPr>
                <w:rFonts w:cs="Arial"/>
                <w:b/>
                <w:bCs/>
                <w:color w:val="000000" w:themeColor="text1"/>
              </w:rPr>
            </w:pPr>
          </w:p>
          <w:p w14:paraId="3325D98D" w14:textId="77777777" w:rsidR="002B69A4" w:rsidRPr="002E69E4" w:rsidRDefault="002B69A4">
            <w:pPr>
              <w:pStyle w:val="NotesBody"/>
              <w:ind w:left="0"/>
              <w:rPr>
                <w:rFonts w:cs="Arial"/>
                <w:b/>
                <w:bCs/>
                <w:color w:val="000000" w:themeColor="text1"/>
              </w:rPr>
            </w:pPr>
            <w:r w:rsidRPr="002E69E4">
              <w:rPr>
                <w:rFonts w:cs="Arial"/>
                <w:b/>
                <w:bCs/>
                <w:color w:val="000000" w:themeColor="text1"/>
              </w:rPr>
              <w:t>Nominal amount</w:t>
            </w:r>
          </w:p>
        </w:tc>
        <w:tc>
          <w:tcPr>
            <w:tcW w:w="1844" w:type="dxa"/>
            <w:gridSpan w:val="2"/>
            <w:tcBorders>
              <w:right w:val="single" w:sz="4" w:space="0" w:color="auto"/>
            </w:tcBorders>
          </w:tcPr>
          <w:p w14:paraId="4E17CB6A" w14:textId="77777777" w:rsidR="002B69A4" w:rsidRPr="002E69E4" w:rsidRDefault="002B69A4">
            <w:pPr>
              <w:pStyle w:val="NotesBody"/>
              <w:ind w:left="0"/>
              <w:rPr>
                <w:rFonts w:cs="Arial"/>
                <w:b/>
                <w:bCs/>
                <w:color w:val="000000" w:themeColor="text1"/>
              </w:rPr>
            </w:pPr>
            <w:r w:rsidRPr="002E69E4">
              <w:rPr>
                <w:rFonts w:cs="Arial"/>
                <w:b/>
                <w:bCs/>
                <w:color w:val="000000" w:themeColor="text1"/>
              </w:rPr>
              <w:t>Carrying amount</w:t>
            </w:r>
          </w:p>
        </w:tc>
        <w:tc>
          <w:tcPr>
            <w:tcW w:w="1361" w:type="dxa"/>
            <w:vMerge w:val="restart"/>
            <w:tcBorders>
              <w:left w:val="single" w:sz="4" w:space="0" w:color="auto"/>
            </w:tcBorders>
          </w:tcPr>
          <w:p w14:paraId="01E38F82" w14:textId="77777777" w:rsidR="002B69A4" w:rsidRDefault="002B69A4">
            <w:pPr>
              <w:pStyle w:val="NotesBody"/>
              <w:ind w:left="0"/>
              <w:rPr>
                <w:rFonts w:cs="Arial"/>
                <w:b/>
                <w:bCs/>
                <w:color w:val="000000" w:themeColor="text1"/>
              </w:rPr>
            </w:pPr>
          </w:p>
          <w:p w14:paraId="12051438" w14:textId="77777777" w:rsidR="002B69A4" w:rsidRPr="002E69E4" w:rsidRDefault="002B69A4">
            <w:pPr>
              <w:pStyle w:val="NotesBody"/>
              <w:ind w:left="0"/>
              <w:rPr>
                <w:rFonts w:cs="Arial"/>
                <w:b/>
                <w:bCs/>
                <w:color w:val="000000" w:themeColor="text1"/>
              </w:rPr>
            </w:pPr>
            <w:r w:rsidRPr="002E69E4">
              <w:rPr>
                <w:rFonts w:cs="Arial"/>
                <w:b/>
                <w:bCs/>
                <w:color w:val="000000" w:themeColor="text1"/>
              </w:rPr>
              <w:t>Changes in the value of hedging instruments recognised in OCI</w:t>
            </w:r>
          </w:p>
        </w:tc>
        <w:tc>
          <w:tcPr>
            <w:tcW w:w="1662" w:type="dxa"/>
            <w:vMerge w:val="restart"/>
          </w:tcPr>
          <w:p w14:paraId="67E55F57" w14:textId="77777777" w:rsidR="002B69A4" w:rsidRPr="002E69E4" w:rsidRDefault="002B69A4">
            <w:pPr>
              <w:pStyle w:val="NotesBody"/>
              <w:ind w:left="0"/>
              <w:rPr>
                <w:rFonts w:cs="Arial"/>
                <w:b/>
                <w:bCs/>
                <w:color w:val="000000" w:themeColor="text1"/>
              </w:rPr>
            </w:pPr>
          </w:p>
          <w:p w14:paraId="658789E2" w14:textId="77777777" w:rsidR="002B69A4" w:rsidRPr="002E69E4" w:rsidRDefault="002B69A4">
            <w:pPr>
              <w:pStyle w:val="NotesBody"/>
              <w:ind w:left="0"/>
              <w:rPr>
                <w:rFonts w:cs="Arial"/>
                <w:b/>
                <w:bCs/>
                <w:color w:val="000000" w:themeColor="text1"/>
              </w:rPr>
            </w:pPr>
          </w:p>
          <w:p w14:paraId="1BC197EB" w14:textId="77777777" w:rsidR="002B69A4" w:rsidRPr="002E69E4" w:rsidRDefault="002B69A4">
            <w:pPr>
              <w:pStyle w:val="NotesBody"/>
              <w:ind w:left="0"/>
              <w:rPr>
                <w:rFonts w:cs="Arial"/>
                <w:b/>
                <w:bCs/>
                <w:color w:val="000000" w:themeColor="text1"/>
              </w:rPr>
            </w:pPr>
          </w:p>
          <w:p w14:paraId="6CEDCCAA" w14:textId="77777777" w:rsidR="002B69A4" w:rsidRPr="002E69E4" w:rsidRDefault="002B69A4">
            <w:pPr>
              <w:pStyle w:val="NotesBody"/>
              <w:ind w:left="0"/>
              <w:rPr>
                <w:rFonts w:cs="Arial"/>
                <w:b/>
                <w:bCs/>
                <w:color w:val="000000" w:themeColor="text1"/>
              </w:rPr>
            </w:pPr>
            <w:r w:rsidRPr="002E69E4">
              <w:rPr>
                <w:rFonts w:cs="Arial"/>
                <w:b/>
                <w:bCs/>
                <w:color w:val="000000" w:themeColor="text1"/>
              </w:rPr>
              <w:t>Hedge ineffectiveness recognised in profit or loss</w:t>
            </w:r>
          </w:p>
        </w:tc>
        <w:tc>
          <w:tcPr>
            <w:tcW w:w="1662" w:type="dxa"/>
            <w:vMerge w:val="restart"/>
          </w:tcPr>
          <w:p w14:paraId="79D17BBB" w14:textId="77777777" w:rsidR="002B69A4" w:rsidRPr="002E69E4" w:rsidRDefault="002B69A4">
            <w:pPr>
              <w:pStyle w:val="NotesBody"/>
              <w:ind w:left="0"/>
              <w:rPr>
                <w:rFonts w:cs="Arial"/>
                <w:b/>
                <w:bCs/>
                <w:color w:val="000000" w:themeColor="text1"/>
              </w:rPr>
            </w:pPr>
          </w:p>
          <w:p w14:paraId="7484BD60" w14:textId="77777777" w:rsidR="002B69A4" w:rsidRPr="002E69E4" w:rsidRDefault="002B69A4">
            <w:pPr>
              <w:pStyle w:val="NotesBody"/>
              <w:ind w:left="0"/>
              <w:rPr>
                <w:rFonts w:cs="Arial"/>
                <w:b/>
                <w:bCs/>
                <w:color w:val="000000" w:themeColor="text1"/>
              </w:rPr>
            </w:pPr>
          </w:p>
          <w:p w14:paraId="2362033D" w14:textId="77777777" w:rsidR="002B69A4" w:rsidRPr="002E69E4" w:rsidRDefault="002B69A4">
            <w:pPr>
              <w:pStyle w:val="NotesBody"/>
              <w:ind w:left="0"/>
              <w:rPr>
                <w:rFonts w:cs="Arial"/>
                <w:b/>
                <w:bCs/>
                <w:color w:val="000000" w:themeColor="text1"/>
              </w:rPr>
            </w:pPr>
            <w:r w:rsidRPr="002E69E4">
              <w:rPr>
                <w:rFonts w:cs="Arial"/>
                <w:b/>
                <w:bCs/>
                <w:color w:val="000000" w:themeColor="text1"/>
              </w:rPr>
              <w:t>Line items in profit or loss that includes hedge ineffectiveness</w:t>
            </w:r>
          </w:p>
        </w:tc>
        <w:tc>
          <w:tcPr>
            <w:tcW w:w="1139" w:type="dxa"/>
            <w:vMerge w:val="restart"/>
          </w:tcPr>
          <w:p w14:paraId="0222FC47" w14:textId="77777777" w:rsidR="002B69A4" w:rsidRPr="002E69E4" w:rsidRDefault="002B69A4">
            <w:pPr>
              <w:pStyle w:val="NotesBody"/>
              <w:ind w:left="0"/>
              <w:rPr>
                <w:rFonts w:cs="Arial"/>
                <w:b/>
                <w:bCs/>
                <w:color w:val="000000" w:themeColor="text1"/>
              </w:rPr>
            </w:pPr>
            <w:r w:rsidRPr="002E69E4">
              <w:rPr>
                <w:rFonts w:cs="Arial"/>
                <w:b/>
                <w:bCs/>
                <w:color w:val="000000" w:themeColor="text1"/>
              </w:rPr>
              <w:t>Amount r</w:t>
            </w:r>
            <w:r>
              <w:rPr>
                <w:rFonts w:cs="Arial"/>
                <w:b/>
                <w:bCs/>
                <w:color w:val="000000" w:themeColor="text1"/>
              </w:rPr>
              <w:t>e</w:t>
            </w:r>
            <w:r w:rsidRPr="002E69E4">
              <w:rPr>
                <w:rFonts w:cs="Arial"/>
                <w:b/>
                <w:bCs/>
                <w:color w:val="000000" w:themeColor="text1"/>
              </w:rPr>
              <w:t>classed from hedging reserve to profit or loss</w:t>
            </w:r>
          </w:p>
        </w:tc>
        <w:tc>
          <w:tcPr>
            <w:tcW w:w="1084" w:type="dxa"/>
            <w:vMerge w:val="restart"/>
          </w:tcPr>
          <w:p w14:paraId="1334DD5A" w14:textId="77777777" w:rsidR="002B69A4" w:rsidRPr="002E69E4" w:rsidRDefault="002B69A4">
            <w:pPr>
              <w:pStyle w:val="NotesBody"/>
              <w:ind w:left="0"/>
              <w:rPr>
                <w:rFonts w:cs="Arial"/>
                <w:b/>
                <w:bCs/>
                <w:color w:val="000000" w:themeColor="text1"/>
              </w:rPr>
            </w:pPr>
          </w:p>
        </w:tc>
      </w:tr>
      <w:tr w:rsidR="002B69A4" w:rsidRPr="002E69E4" w14:paraId="7D2BCDC0" w14:textId="77777777">
        <w:tc>
          <w:tcPr>
            <w:tcW w:w="883" w:type="dxa"/>
            <w:vMerge/>
          </w:tcPr>
          <w:p w14:paraId="57E558B0" w14:textId="77777777" w:rsidR="002B69A4" w:rsidRDefault="002B69A4">
            <w:pPr>
              <w:pStyle w:val="NotesBody"/>
              <w:ind w:left="0"/>
              <w:rPr>
                <w:rFonts w:cs="Arial"/>
                <w:color w:val="000000" w:themeColor="text1"/>
              </w:rPr>
            </w:pPr>
          </w:p>
        </w:tc>
        <w:tc>
          <w:tcPr>
            <w:tcW w:w="1005" w:type="dxa"/>
            <w:vMerge/>
          </w:tcPr>
          <w:p w14:paraId="14884C4E" w14:textId="77777777" w:rsidR="002B69A4" w:rsidRPr="002E69E4" w:rsidRDefault="002B69A4">
            <w:pPr>
              <w:pStyle w:val="NotesBody"/>
              <w:ind w:left="0"/>
              <w:rPr>
                <w:rFonts w:cs="Arial"/>
                <w:b/>
                <w:bCs/>
                <w:color w:val="000000" w:themeColor="text1"/>
              </w:rPr>
            </w:pPr>
          </w:p>
        </w:tc>
        <w:tc>
          <w:tcPr>
            <w:tcW w:w="872" w:type="dxa"/>
          </w:tcPr>
          <w:p w14:paraId="4BE4032F" w14:textId="77777777" w:rsidR="002B69A4" w:rsidRPr="002E69E4" w:rsidRDefault="002B69A4">
            <w:pPr>
              <w:pStyle w:val="NotesBody"/>
              <w:ind w:left="0"/>
              <w:rPr>
                <w:rFonts w:cs="Arial"/>
                <w:b/>
                <w:bCs/>
                <w:color w:val="000000" w:themeColor="text1"/>
              </w:rPr>
            </w:pPr>
          </w:p>
          <w:p w14:paraId="055AFA6B" w14:textId="77777777" w:rsidR="002B69A4" w:rsidRPr="002E69E4" w:rsidRDefault="002B69A4">
            <w:pPr>
              <w:pStyle w:val="NotesBody"/>
              <w:ind w:left="0"/>
              <w:rPr>
                <w:rFonts w:cs="Arial"/>
                <w:b/>
                <w:bCs/>
                <w:color w:val="000000" w:themeColor="text1"/>
              </w:rPr>
            </w:pPr>
          </w:p>
          <w:p w14:paraId="0E459445" w14:textId="77777777" w:rsidR="002B69A4" w:rsidRPr="002E69E4" w:rsidRDefault="002B69A4">
            <w:pPr>
              <w:pStyle w:val="NotesBody"/>
              <w:ind w:left="0"/>
              <w:rPr>
                <w:rFonts w:cs="Arial"/>
                <w:b/>
                <w:bCs/>
                <w:color w:val="000000" w:themeColor="text1"/>
              </w:rPr>
            </w:pPr>
          </w:p>
          <w:p w14:paraId="1E55D3CA" w14:textId="77777777" w:rsidR="002B69A4" w:rsidRPr="002E69E4" w:rsidRDefault="002B69A4">
            <w:pPr>
              <w:pStyle w:val="NotesBody"/>
              <w:ind w:left="0"/>
              <w:rPr>
                <w:rFonts w:cs="Arial"/>
                <w:b/>
                <w:bCs/>
                <w:color w:val="000000" w:themeColor="text1"/>
              </w:rPr>
            </w:pPr>
          </w:p>
          <w:p w14:paraId="5DAAB31D" w14:textId="77777777" w:rsidR="002B69A4" w:rsidRDefault="002B69A4">
            <w:pPr>
              <w:pStyle w:val="NotesBody"/>
              <w:ind w:left="0"/>
              <w:rPr>
                <w:rFonts w:cs="Arial"/>
                <w:b/>
                <w:bCs/>
                <w:color w:val="000000" w:themeColor="text1"/>
              </w:rPr>
            </w:pPr>
          </w:p>
          <w:p w14:paraId="78A64B5B" w14:textId="77777777" w:rsidR="002B69A4" w:rsidRPr="002E69E4" w:rsidRDefault="002B69A4">
            <w:pPr>
              <w:pStyle w:val="NotesBody"/>
              <w:ind w:left="0"/>
              <w:rPr>
                <w:rFonts w:cs="Arial"/>
                <w:b/>
                <w:bCs/>
                <w:color w:val="000000" w:themeColor="text1"/>
              </w:rPr>
            </w:pPr>
            <w:r w:rsidRPr="002E69E4">
              <w:rPr>
                <w:rFonts w:cs="Arial"/>
                <w:b/>
                <w:bCs/>
                <w:color w:val="000000" w:themeColor="text1"/>
              </w:rPr>
              <w:t>Assets</w:t>
            </w:r>
          </w:p>
        </w:tc>
        <w:tc>
          <w:tcPr>
            <w:tcW w:w="972" w:type="dxa"/>
            <w:tcBorders>
              <w:right w:val="single" w:sz="4" w:space="0" w:color="auto"/>
            </w:tcBorders>
          </w:tcPr>
          <w:p w14:paraId="1EA5CA83" w14:textId="77777777" w:rsidR="002B69A4" w:rsidRPr="002E69E4" w:rsidRDefault="002B69A4">
            <w:pPr>
              <w:pStyle w:val="NotesBody"/>
              <w:ind w:left="0"/>
              <w:rPr>
                <w:rFonts w:cs="Arial"/>
                <w:b/>
                <w:bCs/>
                <w:color w:val="000000" w:themeColor="text1"/>
              </w:rPr>
            </w:pPr>
          </w:p>
          <w:p w14:paraId="5956BF28" w14:textId="77777777" w:rsidR="002B69A4" w:rsidRPr="002E69E4" w:rsidRDefault="002B69A4">
            <w:pPr>
              <w:pStyle w:val="NotesBody"/>
              <w:ind w:left="0"/>
              <w:rPr>
                <w:rFonts w:cs="Arial"/>
                <w:b/>
                <w:bCs/>
                <w:color w:val="000000" w:themeColor="text1"/>
              </w:rPr>
            </w:pPr>
          </w:p>
          <w:p w14:paraId="6FF04AE1" w14:textId="77777777" w:rsidR="002B69A4" w:rsidRPr="002E69E4" w:rsidRDefault="002B69A4">
            <w:pPr>
              <w:pStyle w:val="NotesBody"/>
              <w:ind w:left="0"/>
              <w:rPr>
                <w:rFonts w:cs="Arial"/>
                <w:b/>
                <w:bCs/>
                <w:color w:val="000000" w:themeColor="text1"/>
              </w:rPr>
            </w:pPr>
          </w:p>
          <w:p w14:paraId="70758269" w14:textId="77777777" w:rsidR="002B69A4" w:rsidRPr="002E69E4" w:rsidRDefault="002B69A4">
            <w:pPr>
              <w:pStyle w:val="NotesBody"/>
              <w:ind w:left="0"/>
              <w:rPr>
                <w:rFonts w:cs="Arial"/>
                <w:b/>
                <w:bCs/>
                <w:color w:val="000000" w:themeColor="text1"/>
              </w:rPr>
            </w:pPr>
          </w:p>
          <w:p w14:paraId="6718ECE7" w14:textId="77777777" w:rsidR="002B69A4" w:rsidRDefault="002B69A4">
            <w:pPr>
              <w:pStyle w:val="NotesBody"/>
              <w:ind w:left="0"/>
              <w:rPr>
                <w:rFonts w:cs="Arial"/>
                <w:b/>
                <w:bCs/>
                <w:color w:val="000000" w:themeColor="text1"/>
              </w:rPr>
            </w:pPr>
          </w:p>
          <w:p w14:paraId="42455660" w14:textId="77777777" w:rsidR="002B69A4" w:rsidRPr="002E69E4" w:rsidRDefault="002B69A4">
            <w:pPr>
              <w:pStyle w:val="NotesBody"/>
              <w:ind w:left="0"/>
              <w:rPr>
                <w:rFonts w:cs="Arial"/>
                <w:b/>
                <w:bCs/>
                <w:color w:val="000000" w:themeColor="text1"/>
              </w:rPr>
            </w:pPr>
            <w:r w:rsidRPr="002E69E4">
              <w:rPr>
                <w:rFonts w:cs="Arial"/>
                <w:b/>
                <w:bCs/>
                <w:color w:val="000000" w:themeColor="text1"/>
              </w:rPr>
              <w:t>Liability</w:t>
            </w:r>
          </w:p>
        </w:tc>
        <w:tc>
          <w:tcPr>
            <w:tcW w:w="1361" w:type="dxa"/>
            <w:vMerge/>
            <w:tcBorders>
              <w:left w:val="single" w:sz="4" w:space="0" w:color="auto"/>
            </w:tcBorders>
          </w:tcPr>
          <w:p w14:paraId="790F6F66" w14:textId="77777777" w:rsidR="002B69A4" w:rsidRPr="002E69E4" w:rsidRDefault="002B69A4">
            <w:pPr>
              <w:pStyle w:val="NotesBody"/>
              <w:ind w:left="0"/>
              <w:rPr>
                <w:rFonts w:cs="Arial"/>
                <w:b/>
                <w:bCs/>
                <w:color w:val="000000" w:themeColor="text1"/>
              </w:rPr>
            </w:pPr>
          </w:p>
        </w:tc>
        <w:tc>
          <w:tcPr>
            <w:tcW w:w="1662" w:type="dxa"/>
            <w:vMerge/>
          </w:tcPr>
          <w:p w14:paraId="603183AE" w14:textId="77777777" w:rsidR="002B69A4" w:rsidRPr="002E69E4" w:rsidRDefault="002B69A4">
            <w:pPr>
              <w:pStyle w:val="NotesBody"/>
              <w:ind w:left="0"/>
              <w:rPr>
                <w:rFonts w:cs="Arial"/>
                <w:b/>
                <w:bCs/>
                <w:color w:val="000000" w:themeColor="text1"/>
              </w:rPr>
            </w:pPr>
          </w:p>
        </w:tc>
        <w:tc>
          <w:tcPr>
            <w:tcW w:w="1662" w:type="dxa"/>
            <w:vMerge/>
          </w:tcPr>
          <w:p w14:paraId="66958C24" w14:textId="77777777" w:rsidR="002B69A4" w:rsidRPr="002E69E4" w:rsidRDefault="002B69A4">
            <w:pPr>
              <w:pStyle w:val="NotesBody"/>
              <w:ind w:left="0"/>
              <w:rPr>
                <w:rFonts w:cs="Arial"/>
                <w:b/>
                <w:bCs/>
                <w:color w:val="000000" w:themeColor="text1"/>
              </w:rPr>
            </w:pPr>
          </w:p>
        </w:tc>
        <w:tc>
          <w:tcPr>
            <w:tcW w:w="1139" w:type="dxa"/>
            <w:vMerge/>
          </w:tcPr>
          <w:p w14:paraId="122E2A6E" w14:textId="77777777" w:rsidR="002B69A4" w:rsidRPr="002E69E4" w:rsidRDefault="002B69A4">
            <w:pPr>
              <w:pStyle w:val="NotesBody"/>
              <w:ind w:left="0"/>
              <w:rPr>
                <w:rFonts w:cs="Arial"/>
                <w:b/>
                <w:bCs/>
                <w:color w:val="000000" w:themeColor="text1"/>
              </w:rPr>
            </w:pPr>
          </w:p>
        </w:tc>
        <w:tc>
          <w:tcPr>
            <w:tcW w:w="1084" w:type="dxa"/>
            <w:vMerge/>
          </w:tcPr>
          <w:p w14:paraId="101E8047" w14:textId="77777777" w:rsidR="002B69A4" w:rsidRPr="002E69E4" w:rsidRDefault="002B69A4">
            <w:pPr>
              <w:pStyle w:val="NotesBody"/>
              <w:ind w:left="0"/>
              <w:rPr>
                <w:rFonts w:cs="Arial"/>
                <w:b/>
                <w:bCs/>
                <w:color w:val="000000" w:themeColor="text1"/>
              </w:rPr>
            </w:pPr>
          </w:p>
        </w:tc>
      </w:tr>
      <w:tr w:rsidR="002B69A4" w:rsidRPr="002E69E4" w14:paraId="1AD0D328" w14:textId="77777777">
        <w:tc>
          <w:tcPr>
            <w:tcW w:w="883" w:type="dxa"/>
            <w:vMerge/>
          </w:tcPr>
          <w:p w14:paraId="1481342A" w14:textId="77777777" w:rsidR="002B69A4" w:rsidRDefault="002B69A4">
            <w:pPr>
              <w:pStyle w:val="NotesBody"/>
              <w:ind w:left="0"/>
              <w:rPr>
                <w:rFonts w:cs="Arial"/>
                <w:color w:val="000000" w:themeColor="text1"/>
              </w:rPr>
            </w:pPr>
          </w:p>
        </w:tc>
        <w:tc>
          <w:tcPr>
            <w:tcW w:w="1005" w:type="dxa"/>
            <w:tcBorders>
              <w:bottom w:val="single" w:sz="4" w:space="0" w:color="auto"/>
            </w:tcBorders>
          </w:tcPr>
          <w:p w14:paraId="3BBAFB03" w14:textId="77777777" w:rsidR="002B69A4" w:rsidRPr="002E69E4" w:rsidRDefault="002B69A4">
            <w:pPr>
              <w:pStyle w:val="NotesBody"/>
              <w:ind w:left="0"/>
              <w:rPr>
                <w:rFonts w:cs="Arial"/>
                <w:b/>
                <w:bCs/>
                <w:color w:val="000000" w:themeColor="text1"/>
              </w:rPr>
            </w:pPr>
            <w:r w:rsidRPr="002E69E4">
              <w:rPr>
                <w:rFonts w:cs="Arial"/>
                <w:b/>
                <w:bCs/>
                <w:color w:val="000000" w:themeColor="text1"/>
              </w:rPr>
              <w:t>(€’000)</w:t>
            </w:r>
          </w:p>
        </w:tc>
        <w:tc>
          <w:tcPr>
            <w:tcW w:w="872" w:type="dxa"/>
            <w:tcBorders>
              <w:bottom w:val="single" w:sz="4" w:space="0" w:color="auto"/>
            </w:tcBorders>
          </w:tcPr>
          <w:p w14:paraId="0F3C6E12" w14:textId="77777777" w:rsidR="002B69A4" w:rsidRPr="002E69E4" w:rsidRDefault="002B69A4">
            <w:pPr>
              <w:pStyle w:val="NotesBody"/>
              <w:ind w:left="0"/>
              <w:rPr>
                <w:rFonts w:cs="Arial"/>
                <w:b/>
                <w:bCs/>
                <w:color w:val="000000" w:themeColor="text1"/>
              </w:rPr>
            </w:pPr>
            <w:r w:rsidRPr="002E69E4">
              <w:rPr>
                <w:rFonts w:cs="Arial"/>
                <w:b/>
                <w:bCs/>
                <w:color w:val="000000" w:themeColor="text1"/>
              </w:rPr>
              <w:t>(€’000)</w:t>
            </w:r>
          </w:p>
        </w:tc>
        <w:tc>
          <w:tcPr>
            <w:tcW w:w="972" w:type="dxa"/>
            <w:tcBorders>
              <w:bottom w:val="single" w:sz="4" w:space="0" w:color="auto"/>
              <w:right w:val="single" w:sz="4" w:space="0" w:color="auto"/>
            </w:tcBorders>
          </w:tcPr>
          <w:p w14:paraId="1C576310" w14:textId="77777777" w:rsidR="002B69A4" w:rsidRPr="002E69E4" w:rsidRDefault="002B69A4">
            <w:pPr>
              <w:pStyle w:val="NotesBody"/>
              <w:ind w:left="0"/>
              <w:rPr>
                <w:rFonts w:cs="Arial"/>
                <w:b/>
                <w:bCs/>
                <w:color w:val="000000" w:themeColor="text1"/>
              </w:rPr>
            </w:pPr>
            <w:r w:rsidRPr="002E69E4">
              <w:rPr>
                <w:rFonts w:cs="Arial"/>
                <w:b/>
                <w:bCs/>
                <w:color w:val="000000" w:themeColor="text1"/>
              </w:rPr>
              <w:t>(€’000)</w:t>
            </w:r>
          </w:p>
        </w:tc>
        <w:tc>
          <w:tcPr>
            <w:tcW w:w="1361" w:type="dxa"/>
            <w:tcBorders>
              <w:left w:val="single" w:sz="4" w:space="0" w:color="auto"/>
              <w:bottom w:val="single" w:sz="4" w:space="0" w:color="auto"/>
            </w:tcBorders>
          </w:tcPr>
          <w:p w14:paraId="5F800AF7" w14:textId="77777777" w:rsidR="002B69A4" w:rsidRPr="002E69E4" w:rsidRDefault="002B69A4">
            <w:pPr>
              <w:pStyle w:val="NotesBody"/>
              <w:ind w:left="0"/>
              <w:rPr>
                <w:rFonts w:cs="Arial"/>
                <w:b/>
                <w:bCs/>
                <w:color w:val="000000" w:themeColor="text1"/>
              </w:rPr>
            </w:pPr>
            <w:r w:rsidRPr="002E69E4">
              <w:rPr>
                <w:rFonts w:cs="Arial"/>
                <w:b/>
                <w:bCs/>
                <w:color w:val="000000" w:themeColor="text1"/>
              </w:rPr>
              <w:t>(€’000)</w:t>
            </w:r>
          </w:p>
        </w:tc>
        <w:tc>
          <w:tcPr>
            <w:tcW w:w="1662" w:type="dxa"/>
            <w:tcBorders>
              <w:bottom w:val="single" w:sz="4" w:space="0" w:color="auto"/>
            </w:tcBorders>
          </w:tcPr>
          <w:p w14:paraId="4E31A1BC" w14:textId="77777777" w:rsidR="002B69A4" w:rsidRPr="002E69E4" w:rsidRDefault="002B69A4">
            <w:pPr>
              <w:pStyle w:val="NotesBody"/>
              <w:ind w:left="0"/>
              <w:rPr>
                <w:rFonts w:cs="Arial"/>
                <w:b/>
                <w:bCs/>
                <w:color w:val="000000" w:themeColor="text1"/>
              </w:rPr>
            </w:pPr>
            <w:r w:rsidRPr="002E69E4">
              <w:rPr>
                <w:rFonts w:cs="Arial"/>
                <w:b/>
                <w:bCs/>
                <w:color w:val="000000" w:themeColor="text1"/>
              </w:rPr>
              <w:t>(€’000)</w:t>
            </w:r>
          </w:p>
        </w:tc>
        <w:tc>
          <w:tcPr>
            <w:tcW w:w="1662" w:type="dxa"/>
            <w:tcBorders>
              <w:bottom w:val="single" w:sz="4" w:space="0" w:color="auto"/>
            </w:tcBorders>
          </w:tcPr>
          <w:p w14:paraId="61169ABD" w14:textId="77777777" w:rsidR="002B69A4" w:rsidRPr="002E69E4" w:rsidRDefault="002B69A4">
            <w:pPr>
              <w:pStyle w:val="NotesBody"/>
              <w:ind w:left="0"/>
              <w:rPr>
                <w:rFonts w:cs="Arial"/>
                <w:b/>
                <w:bCs/>
                <w:color w:val="000000" w:themeColor="text1"/>
              </w:rPr>
            </w:pPr>
            <w:r w:rsidRPr="002E69E4">
              <w:rPr>
                <w:rFonts w:cs="Arial"/>
                <w:b/>
                <w:bCs/>
                <w:color w:val="000000" w:themeColor="text1"/>
              </w:rPr>
              <w:t>(€’000)</w:t>
            </w:r>
          </w:p>
        </w:tc>
        <w:tc>
          <w:tcPr>
            <w:tcW w:w="1139" w:type="dxa"/>
            <w:tcBorders>
              <w:bottom w:val="single" w:sz="4" w:space="0" w:color="auto"/>
            </w:tcBorders>
          </w:tcPr>
          <w:p w14:paraId="3B3B1EA6" w14:textId="77777777" w:rsidR="002B69A4" w:rsidRPr="002E69E4" w:rsidRDefault="002B69A4">
            <w:pPr>
              <w:pStyle w:val="NotesBody"/>
              <w:ind w:left="0"/>
              <w:rPr>
                <w:rFonts w:cs="Arial"/>
                <w:b/>
                <w:bCs/>
                <w:color w:val="000000" w:themeColor="text1"/>
              </w:rPr>
            </w:pPr>
            <w:r w:rsidRPr="002E69E4">
              <w:rPr>
                <w:rFonts w:cs="Arial"/>
                <w:b/>
                <w:bCs/>
                <w:color w:val="000000" w:themeColor="text1"/>
              </w:rPr>
              <w:t>(€’000)</w:t>
            </w:r>
          </w:p>
        </w:tc>
        <w:tc>
          <w:tcPr>
            <w:tcW w:w="1084" w:type="dxa"/>
            <w:tcBorders>
              <w:bottom w:val="single" w:sz="4" w:space="0" w:color="auto"/>
            </w:tcBorders>
          </w:tcPr>
          <w:p w14:paraId="6613A5E9" w14:textId="77777777" w:rsidR="002B69A4" w:rsidRPr="002E69E4" w:rsidRDefault="002B69A4">
            <w:pPr>
              <w:pStyle w:val="NotesBody"/>
              <w:ind w:left="0"/>
              <w:rPr>
                <w:rFonts w:cs="Arial"/>
                <w:b/>
                <w:bCs/>
                <w:color w:val="000000" w:themeColor="text1"/>
              </w:rPr>
            </w:pPr>
            <w:r w:rsidRPr="002E69E4">
              <w:rPr>
                <w:rFonts w:cs="Arial"/>
                <w:b/>
                <w:bCs/>
                <w:color w:val="000000" w:themeColor="text1"/>
              </w:rPr>
              <w:t>(€’000)</w:t>
            </w:r>
          </w:p>
        </w:tc>
      </w:tr>
      <w:tr w:rsidR="002B69A4" w14:paraId="01901D22" w14:textId="77777777">
        <w:tc>
          <w:tcPr>
            <w:tcW w:w="883" w:type="dxa"/>
          </w:tcPr>
          <w:p w14:paraId="58417481" w14:textId="77777777" w:rsidR="002B69A4" w:rsidRDefault="002B69A4">
            <w:pPr>
              <w:pStyle w:val="NotesBody"/>
              <w:ind w:left="0"/>
              <w:rPr>
                <w:rFonts w:cs="Arial"/>
                <w:color w:val="000000" w:themeColor="text1"/>
              </w:rPr>
            </w:pPr>
            <w:r>
              <w:rPr>
                <w:rFonts w:cs="Arial"/>
                <w:color w:val="000000" w:themeColor="text1"/>
              </w:rPr>
              <w:t>Interest rate swap</w:t>
            </w:r>
          </w:p>
        </w:tc>
        <w:tc>
          <w:tcPr>
            <w:tcW w:w="1005" w:type="dxa"/>
            <w:tcBorders>
              <w:top w:val="single" w:sz="4" w:space="0" w:color="auto"/>
            </w:tcBorders>
          </w:tcPr>
          <w:p w14:paraId="621F63EF" w14:textId="77777777" w:rsidR="002B69A4" w:rsidRDefault="002B69A4">
            <w:pPr>
              <w:pStyle w:val="NotesBody"/>
              <w:ind w:left="0"/>
              <w:rPr>
                <w:rFonts w:cs="Arial"/>
                <w:color w:val="000000" w:themeColor="text1"/>
              </w:rPr>
            </w:pPr>
            <w:r>
              <w:rPr>
                <w:rFonts w:cs="Arial"/>
                <w:color w:val="000000" w:themeColor="text1"/>
              </w:rPr>
              <w:t>100,000</w:t>
            </w:r>
          </w:p>
        </w:tc>
        <w:tc>
          <w:tcPr>
            <w:tcW w:w="872" w:type="dxa"/>
            <w:tcBorders>
              <w:top w:val="single" w:sz="4" w:space="0" w:color="auto"/>
            </w:tcBorders>
          </w:tcPr>
          <w:p w14:paraId="6949B751" w14:textId="55C631E7" w:rsidR="002B69A4" w:rsidRDefault="00636163">
            <w:pPr>
              <w:pStyle w:val="NotesBody"/>
              <w:ind w:left="0"/>
              <w:rPr>
                <w:rFonts w:cs="Arial"/>
                <w:color w:val="000000" w:themeColor="text1"/>
              </w:rPr>
            </w:pPr>
            <w:r>
              <w:rPr>
                <w:rFonts w:cs="Arial"/>
                <w:color w:val="000000" w:themeColor="text1"/>
              </w:rPr>
              <w:t>-</w:t>
            </w:r>
          </w:p>
        </w:tc>
        <w:tc>
          <w:tcPr>
            <w:tcW w:w="972" w:type="dxa"/>
            <w:tcBorders>
              <w:top w:val="single" w:sz="4" w:space="0" w:color="auto"/>
              <w:right w:val="single" w:sz="4" w:space="0" w:color="auto"/>
            </w:tcBorders>
          </w:tcPr>
          <w:p w14:paraId="4C0A830E" w14:textId="7B47A23D" w:rsidR="002B69A4" w:rsidRDefault="00636163" w:rsidP="003E0AAF">
            <w:pPr>
              <w:pStyle w:val="NotesBody"/>
              <w:ind w:left="0"/>
              <w:jc w:val="center"/>
              <w:rPr>
                <w:rFonts w:cs="Arial"/>
                <w:color w:val="000000" w:themeColor="text1"/>
              </w:rPr>
            </w:pPr>
            <w:r>
              <w:rPr>
                <w:rFonts w:cs="Arial"/>
                <w:color w:val="000000" w:themeColor="text1"/>
              </w:rPr>
              <w:t>(1,</w:t>
            </w:r>
            <w:r w:rsidR="00E30E80">
              <w:rPr>
                <w:rFonts w:cs="Arial"/>
                <w:color w:val="000000" w:themeColor="text1"/>
              </w:rPr>
              <w:t>576</w:t>
            </w:r>
            <w:r>
              <w:rPr>
                <w:rFonts w:cs="Arial"/>
                <w:color w:val="000000" w:themeColor="text1"/>
              </w:rPr>
              <w:t>)</w:t>
            </w:r>
          </w:p>
        </w:tc>
        <w:tc>
          <w:tcPr>
            <w:tcW w:w="1361" w:type="dxa"/>
            <w:tcBorders>
              <w:top w:val="single" w:sz="4" w:space="0" w:color="auto"/>
              <w:left w:val="single" w:sz="4" w:space="0" w:color="auto"/>
            </w:tcBorders>
          </w:tcPr>
          <w:p w14:paraId="4A5287C0" w14:textId="54AA830B" w:rsidR="002B69A4" w:rsidRDefault="00E30E80" w:rsidP="003E0AAF">
            <w:pPr>
              <w:pStyle w:val="NotesBody"/>
              <w:ind w:left="0"/>
              <w:jc w:val="center"/>
              <w:rPr>
                <w:rFonts w:cs="Arial"/>
                <w:color w:val="000000" w:themeColor="text1"/>
              </w:rPr>
            </w:pPr>
            <w:r>
              <w:rPr>
                <w:rFonts w:cs="Arial"/>
                <w:color w:val="000000" w:themeColor="text1"/>
              </w:rPr>
              <w:t>741</w:t>
            </w:r>
          </w:p>
        </w:tc>
        <w:tc>
          <w:tcPr>
            <w:tcW w:w="1662" w:type="dxa"/>
            <w:tcBorders>
              <w:top w:val="single" w:sz="4" w:space="0" w:color="auto"/>
            </w:tcBorders>
          </w:tcPr>
          <w:p w14:paraId="5B2EBE85" w14:textId="77777777" w:rsidR="002B69A4" w:rsidRDefault="002B69A4">
            <w:pPr>
              <w:pStyle w:val="NotesBody"/>
              <w:ind w:left="0"/>
              <w:rPr>
                <w:rFonts w:cs="Arial"/>
                <w:color w:val="000000" w:themeColor="text1"/>
              </w:rPr>
            </w:pPr>
            <w:r>
              <w:rPr>
                <w:rFonts w:cs="Arial"/>
                <w:color w:val="000000" w:themeColor="text1"/>
              </w:rPr>
              <w:t>-</w:t>
            </w:r>
          </w:p>
        </w:tc>
        <w:tc>
          <w:tcPr>
            <w:tcW w:w="1662" w:type="dxa"/>
            <w:tcBorders>
              <w:top w:val="single" w:sz="4" w:space="0" w:color="auto"/>
            </w:tcBorders>
          </w:tcPr>
          <w:p w14:paraId="2B4FD221" w14:textId="77777777" w:rsidR="002B69A4" w:rsidRDefault="002B69A4">
            <w:pPr>
              <w:pStyle w:val="NotesBody"/>
              <w:ind w:left="0"/>
              <w:rPr>
                <w:rFonts w:cs="Arial"/>
                <w:color w:val="000000" w:themeColor="text1"/>
              </w:rPr>
            </w:pPr>
            <w:r>
              <w:rPr>
                <w:rFonts w:cs="Arial"/>
                <w:color w:val="000000" w:themeColor="text1"/>
              </w:rPr>
              <w:t>Loss on derivative financial instruments</w:t>
            </w:r>
          </w:p>
        </w:tc>
        <w:tc>
          <w:tcPr>
            <w:tcW w:w="1139" w:type="dxa"/>
            <w:tcBorders>
              <w:top w:val="single" w:sz="4" w:space="0" w:color="auto"/>
            </w:tcBorders>
          </w:tcPr>
          <w:p w14:paraId="303CFF5A" w14:textId="2C4F039F" w:rsidR="002B69A4" w:rsidRDefault="00636163" w:rsidP="003E0AAF">
            <w:pPr>
              <w:pStyle w:val="NotesBody"/>
              <w:ind w:left="0"/>
              <w:jc w:val="center"/>
              <w:rPr>
                <w:rFonts w:cs="Arial"/>
                <w:color w:val="000000" w:themeColor="text1"/>
              </w:rPr>
            </w:pPr>
            <w:r>
              <w:rPr>
                <w:rFonts w:cs="Arial"/>
                <w:color w:val="000000" w:themeColor="text1"/>
              </w:rPr>
              <w:t>(</w:t>
            </w:r>
            <w:r w:rsidR="003E0AAF">
              <w:rPr>
                <w:rFonts w:cs="Arial"/>
                <w:color w:val="000000" w:themeColor="text1"/>
              </w:rPr>
              <w:t>668</w:t>
            </w:r>
            <w:r>
              <w:rPr>
                <w:rFonts w:cs="Arial"/>
                <w:color w:val="000000" w:themeColor="text1"/>
              </w:rPr>
              <w:t>)</w:t>
            </w:r>
          </w:p>
        </w:tc>
        <w:tc>
          <w:tcPr>
            <w:tcW w:w="1084" w:type="dxa"/>
            <w:tcBorders>
              <w:top w:val="single" w:sz="4" w:space="0" w:color="auto"/>
            </w:tcBorders>
          </w:tcPr>
          <w:p w14:paraId="2F1CDE7D" w14:textId="77777777" w:rsidR="002B69A4" w:rsidRDefault="002B69A4">
            <w:pPr>
              <w:pStyle w:val="NotesBody"/>
              <w:ind w:left="0"/>
              <w:rPr>
                <w:rFonts w:cs="Arial"/>
                <w:color w:val="000000" w:themeColor="text1"/>
              </w:rPr>
            </w:pPr>
            <w:r>
              <w:rPr>
                <w:rFonts w:cs="Arial"/>
                <w:color w:val="000000" w:themeColor="text1"/>
              </w:rPr>
              <w:t>Financing costs</w:t>
            </w:r>
          </w:p>
        </w:tc>
      </w:tr>
    </w:tbl>
    <w:p w14:paraId="0A27ACD6" w14:textId="77777777" w:rsidR="00212103" w:rsidRDefault="00212103" w:rsidP="00212103">
      <w:pPr>
        <w:pStyle w:val="NotesBody"/>
        <w:ind w:left="0"/>
        <w:rPr>
          <w:rFonts w:cs="Arial"/>
          <w:color w:val="000000" w:themeColor="text1"/>
        </w:rPr>
      </w:pPr>
    </w:p>
    <w:p w14:paraId="2F0787C3" w14:textId="312F99AF" w:rsidR="00673555" w:rsidRDefault="007414E3" w:rsidP="00661837">
      <w:pPr>
        <w:pStyle w:val="NotesBody"/>
        <w:rPr>
          <w:rFonts w:cs="Arial"/>
          <w:color w:val="000000" w:themeColor="text1"/>
        </w:rPr>
      </w:pPr>
      <w:r>
        <w:rPr>
          <w:rFonts w:cs="Arial"/>
          <w:color w:val="000000" w:themeColor="text1"/>
        </w:rPr>
        <w:t xml:space="preserve">The Group held the following instruments to hedge exposures to </w:t>
      </w:r>
      <w:r w:rsidR="0030122A">
        <w:rPr>
          <w:rFonts w:cs="Arial"/>
          <w:color w:val="000000" w:themeColor="text1"/>
        </w:rPr>
        <w:t>changes</w:t>
      </w:r>
      <w:r>
        <w:rPr>
          <w:rFonts w:cs="Arial"/>
          <w:color w:val="000000" w:themeColor="text1"/>
        </w:rPr>
        <w:t xml:space="preserve"> in </w:t>
      </w:r>
      <w:r w:rsidR="0030122A">
        <w:rPr>
          <w:rFonts w:cs="Arial"/>
          <w:color w:val="000000" w:themeColor="text1"/>
        </w:rPr>
        <w:t xml:space="preserve">interest rates. </w:t>
      </w:r>
    </w:p>
    <w:p w14:paraId="0D286569" w14:textId="77777777" w:rsidR="00673555" w:rsidRDefault="00673555" w:rsidP="00661837">
      <w:pPr>
        <w:pStyle w:val="NotesBody"/>
        <w:rPr>
          <w:rFonts w:cs="Arial"/>
          <w:color w:val="000000" w:themeColor="text1"/>
        </w:rPr>
      </w:pPr>
    </w:p>
    <w:tbl>
      <w:tblPr>
        <w:tblW w:w="9264" w:type="dxa"/>
        <w:tblLayout w:type="fixed"/>
        <w:tblCellMar>
          <w:left w:w="0" w:type="dxa"/>
          <w:right w:w="115" w:type="dxa"/>
        </w:tblCellMar>
        <w:tblLook w:val="04A0" w:firstRow="1" w:lastRow="0" w:firstColumn="1" w:lastColumn="0" w:noHBand="0" w:noVBand="1"/>
      </w:tblPr>
      <w:tblGrid>
        <w:gridCol w:w="5936"/>
        <w:gridCol w:w="1664"/>
        <w:gridCol w:w="1664"/>
      </w:tblGrid>
      <w:tr w:rsidR="00802507" w:rsidRPr="00A33586" w14:paraId="1A8E4552" w14:textId="77777777">
        <w:tc>
          <w:tcPr>
            <w:tcW w:w="5936" w:type="dxa"/>
          </w:tcPr>
          <w:p w14:paraId="408CEDF1" w14:textId="77777777" w:rsidR="00802507" w:rsidRDefault="00802507">
            <w:pPr>
              <w:ind w:right="-144"/>
              <w:rPr>
                <w:b/>
                <w:bCs/>
              </w:rPr>
            </w:pPr>
          </w:p>
        </w:tc>
        <w:tc>
          <w:tcPr>
            <w:tcW w:w="1664" w:type="dxa"/>
          </w:tcPr>
          <w:p w14:paraId="79910586" w14:textId="58D4DB41" w:rsidR="00802507" w:rsidRDefault="00802507" w:rsidP="000A1D79">
            <w:pPr>
              <w:tabs>
                <w:tab w:val="decimal" w:pos="1136"/>
              </w:tabs>
              <w:ind w:right="43"/>
              <w:jc w:val="right"/>
              <w:rPr>
                <w:b/>
              </w:rPr>
            </w:pPr>
            <w:r>
              <w:rPr>
                <w:b/>
              </w:rPr>
              <w:t>30 June</w:t>
            </w:r>
          </w:p>
        </w:tc>
        <w:tc>
          <w:tcPr>
            <w:tcW w:w="1664" w:type="dxa"/>
          </w:tcPr>
          <w:p w14:paraId="4B8DD0C0" w14:textId="0ED8F092" w:rsidR="00802507" w:rsidRDefault="00152926" w:rsidP="000A1D79">
            <w:pPr>
              <w:tabs>
                <w:tab w:val="decimal" w:pos="1136"/>
              </w:tabs>
              <w:ind w:right="43"/>
              <w:jc w:val="right"/>
              <w:rPr>
                <w:b/>
              </w:rPr>
            </w:pPr>
            <w:r>
              <w:rPr>
                <w:b/>
              </w:rPr>
              <w:t xml:space="preserve">31 December </w:t>
            </w:r>
          </w:p>
        </w:tc>
      </w:tr>
      <w:tr w:rsidR="00C81219" w:rsidRPr="00A33586" w14:paraId="7BD8D532" w14:textId="77777777">
        <w:tc>
          <w:tcPr>
            <w:tcW w:w="5936" w:type="dxa"/>
          </w:tcPr>
          <w:p w14:paraId="24D65724" w14:textId="77777777" w:rsidR="00C81219" w:rsidRPr="00573C10" w:rsidRDefault="00C81219">
            <w:pPr>
              <w:ind w:right="-144"/>
              <w:rPr>
                <w:b/>
                <w:bCs/>
              </w:rPr>
            </w:pPr>
            <w:r>
              <w:rPr>
                <w:b/>
                <w:bCs/>
              </w:rPr>
              <w:t xml:space="preserve">         </w:t>
            </w:r>
            <w:r w:rsidRPr="00573C10">
              <w:rPr>
                <w:b/>
                <w:bCs/>
              </w:rPr>
              <w:t>Interest rate swaps</w:t>
            </w:r>
          </w:p>
        </w:tc>
        <w:tc>
          <w:tcPr>
            <w:tcW w:w="1664" w:type="dxa"/>
          </w:tcPr>
          <w:p w14:paraId="4DD9BA86" w14:textId="5C1710E1" w:rsidR="00C81219" w:rsidRPr="00A33586" w:rsidRDefault="00C81219" w:rsidP="000A1D79">
            <w:pPr>
              <w:tabs>
                <w:tab w:val="decimal" w:pos="1136"/>
              </w:tabs>
              <w:ind w:right="43"/>
              <w:jc w:val="right"/>
              <w:rPr>
                <w:b/>
              </w:rPr>
            </w:pPr>
            <w:r>
              <w:rPr>
                <w:b/>
              </w:rPr>
              <w:t>202</w:t>
            </w:r>
            <w:r w:rsidR="005B4A92">
              <w:rPr>
                <w:b/>
              </w:rPr>
              <w:t>5</w:t>
            </w:r>
          </w:p>
        </w:tc>
        <w:tc>
          <w:tcPr>
            <w:tcW w:w="1664" w:type="dxa"/>
          </w:tcPr>
          <w:p w14:paraId="34D5743B" w14:textId="359B8370" w:rsidR="00C81219" w:rsidRPr="00A33586" w:rsidRDefault="00C81219" w:rsidP="000A1D79">
            <w:pPr>
              <w:tabs>
                <w:tab w:val="decimal" w:pos="1136"/>
              </w:tabs>
              <w:ind w:right="43"/>
              <w:jc w:val="right"/>
              <w:rPr>
                <w:b/>
              </w:rPr>
            </w:pPr>
            <w:r>
              <w:rPr>
                <w:b/>
              </w:rPr>
              <w:t>202</w:t>
            </w:r>
            <w:r w:rsidR="005B4A92">
              <w:rPr>
                <w:b/>
              </w:rPr>
              <w:t>4</w:t>
            </w:r>
          </w:p>
        </w:tc>
      </w:tr>
      <w:tr w:rsidR="00C81219" w:rsidRPr="00A33586" w14:paraId="3D8F295E" w14:textId="77777777">
        <w:tc>
          <w:tcPr>
            <w:tcW w:w="5936" w:type="dxa"/>
          </w:tcPr>
          <w:p w14:paraId="4877D03B" w14:textId="77777777" w:rsidR="00C81219" w:rsidRPr="00A33586" w:rsidRDefault="00C81219">
            <w:pPr>
              <w:ind w:right="-144"/>
            </w:pPr>
          </w:p>
        </w:tc>
        <w:tc>
          <w:tcPr>
            <w:tcW w:w="1664" w:type="dxa"/>
          </w:tcPr>
          <w:p w14:paraId="377C4505" w14:textId="77777777" w:rsidR="00C81219" w:rsidRPr="00A33586" w:rsidRDefault="00C81219">
            <w:pPr>
              <w:tabs>
                <w:tab w:val="decimal" w:pos="1424"/>
              </w:tabs>
              <w:ind w:right="-144"/>
              <w:rPr>
                <w:b/>
              </w:rPr>
            </w:pPr>
          </w:p>
        </w:tc>
        <w:tc>
          <w:tcPr>
            <w:tcW w:w="1664" w:type="dxa"/>
          </w:tcPr>
          <w:p w14:paraId="3570A5A3" w14:textId="77777777" w:rsidR="00C81219" w:rsidRPr="00A33586" w:rsidRDefault="00C81219">
            <w:pPr>
              <w:tabs>
                <w:tab w:val="decimal" w:pos="1424"/>
              </w:tabs>
              <w:ind w:right="-144"/>
              <w:rPr>
                <w:b/>
              </w:rPr>
            </w:pPr>
          </w:p>
        </w:tc>
      </w:tr>
      <w:tr w:rsidR="005366DC" w:rsidRPr="008C2DB2" w14:paraId="4769CFCE" w14:textId="77777777">
        <w:tc>
          <w:tcPr>
            <w:tcW w:w="5936" w:type="dxa"/>
          </w:tcPr>
          <w:p w14:paraId="3832DC1B" w14:textId="77777777" w:rsidR="005366DC" w:rsidRPr="00A33586" w:rsidRDefault="005366DC" w:rsidP="005366DC">
            <w:pPr>
              <w:ind w:left="284" w:right="-144"/>
            </w:pPr>
            <w:r>
              <w:t xml:space="preserve">    Net exposure (€’000)</w:t>
            </w:r>
          </w:p>
        </w:tc>
        <w:tc>
          <w:tcPr>
            <w:tcW w:w="1664" w:type="dxa"/>
          </w:tcPr>
          <w:p w14:paraId="1232D34D" w14:textId="4467E177" w:rsidR="005366DC" w:rsidRDefault="00342A2F" w:rsidP="005366DC">
            <w:pPr>
              <w:tabs>
                <w:tab w:val="decimal" w:pos="1424"/>
              </w:tabs>
              <w:ind w:right="-144"/>
              <w:rPr>
                <w:b/>
              </w:rPr>
            </w:pPr>
            <w:r>
              <w:rPr>
                <w:b/>
              </w:rPr>
              <w:t>1,370</w:t>
            </w:r>
          </w:p>
        </w:tc>
        <w:tc>
          <w:tcPr>
            <w:tcW w:w="1664" w:type="dxa"/>
          </w:tcPr>
          <w:p w14:paraId="42E0DC22" w14:textId="539B8453" w:rsidR="005366DC" w:rsidRPr="005366DC" w:rsidRDefault="005366DC" w:rsidP="005366DC">
            <w:pPr>
              <w:tabs>
                <w:tab w:val="decimal" w:pos="1424"/>
              </w:tabs>
              <w:ind w:right="-144"/>
              <w:rPr>
                <w:bCs/>
              </w:rPr>
            </w:pPr>
            <w:r w:rsidRPr="005366DC">
              <w:rPr>
                <w:bCs/>
              </w:rPr>
              <w:t>1,576</w:t>
            </w:r>
          </w:p>
        </w:tc>
      </w:tr>
      <w:tr w:rsidR="005366DC" w:rsidRPr="008C2DB2" w14:paraId="0426E4DC" w14:textId="77777777">
        <w:tc>
          <w:tcPr>
            <w:tcW w:w="5936" w:type="dxa"/>
          </w:tcPr>
          <w:p w14:paraId="4155E84E" w14:textId="77777777" w:rsidR="005366DC" w:rsidRPr="00A33586" w:rsidRDefault="005366DC" w:rsidP="005366DC">
            <w:pPr>
              <w:tabs>
                <w:tab w:val="left" w:pos="426"/>
              </w:tabs>
              <w:ind w:left="284" w:right="-144"/>
            </w:pPr>
            <w:r>
              <w:t xml:space="preserve">    Average fixed interest rate</w:t>
            </w:r>
          </w:p>
        </w:tc>
        <w:tc>
          <w:tcPr>
            <w:tcW w:w="1664" w:type="dxa"/>
          </w:tcPr>
          <w:p w14:paraId="17BDC358" w14:textId="4EFE1508" w:rsidR="005366DC" w:rsidRDefault="003B6CEB" w:rsidP="005366DC">
            <w:pPr>
              <w:tabs>
                <w:tab w:val="decimal" w:pos="1290"/>
              </w:tabs>
              <w:ind w:right="114"/>
              <w:rPr>
                <w:b/>
              </w:rPr>
            </w:pPr>
            <w:r>
              <w:rPr>
                <w:b/>
              </w:rPr>
              <w:t>3.035%</w:t>
            </w:r>
          </w:p>
        </w:tc>
        <w:tc>
          <w:tcPr>
            <w:tcW w:w="1664" w:type="dxa"/>
          </w:tcPr>
          <w:p w14:paraId="65FBB3A0" w14:textId="247C90D3" w:rsidR="005366DC" w:rsidRPr="005366DC" w:rsidRDefault="005366DC" w:rsidP="005366DC">
            <w:pPr>
              <w:tabs>
                <w:tab w:val="decimal" w:pos="1290"/>
              </w:tabs>
              <w:ind w:right="114"/>
              <w:rPr>
                <w:bCs/>
              </w:rPr>
            </w:pPr>
            <w:r w:rsidRPr="005366DC">
              <w:rPr>
                <w:bCs/>
              </w:rPr>
              <w:t>3.035%</w:t>
            </w:r>
          </w:p>
        </w:tc>
      </w:tr>
      <w:tr w:rsidR="00A35B63" w:rsidRPr="008C2DB2" w14:paraId="5964AB36" w14:textId="77777777">
        <w:tc>
          <w:tcPr>
            <w:tcW w:w="5936" w:type="dxa"/>
          </w:tcPr>
          <w:p w14:paraId="00B1A03C" w14:textId="77777777" w:rsidR="00A35B63" w:rsidRDefault="00A35B63" w:rsidP="005366DC">
            <w:pPr>
              <w:tabs>
                <w:tab w:val="left" w:pos="426"/>
              </w:tabs>
              <w:ind w:left="284" w:right="-144"/>
            </w:pPr>
          </w:p>
        </w:tc>
        <w:tc>
          <w:tcPr>
            <w:tcW w:w="1664" w:type="dxa"/>
          </w:tcPr>
          <w:p w14:paraId="395CDB9D" w14:textId="77777777" w:rsidR="00A35B63" w:rsidRDefault="00A35B63" w:rsidP="005366DC">
            <w:pPr>
              <w:tabs>
                <w:tab w:val="decimal" w:pos="1290"/>
              </w:tabs>
              <w:ind w:right="114"/>
              <w:rPr>
                <w:b/>
              </w:rPr>
            </w:pPr>
          </w:p>
        </w:tc>
        <w:tc>
          <w:tcPr>
            <w:tcW w:w="1664" w:type="dxa"/>
          </w:tcPr>
          <w:p w14:paraId="3A61EA42" w14:textId="77777777" w:rsidR="00A35B63" w:rsidRPr="005366DC" w:rsidRDefault="00A35B63" w:rsidP="005366DC">
            <w:pPr>
              <w:tabs>
                <w:tab w:val="decimal" w:pos="1290"/>
              </w:tabs>
              <w:ind w:right="114"/>
              <w:rPr>
                <w:bCs/>
              </w:rPr>
            </w:pPr>
          </w:p>
        </w:tc>
      </w:tr>
    </w:tbl>
    <w:p w14:paraId="6DE3CB32" w14:textId="77777777" w:rsidR="00411873" w:rsidRPr="00411873" w:rsidRDefault="00411873" w:rsidP="003D0EA7">
      <w:pPr>
        <w:pStyle w:val="NotesBody"/>
        <w:ind w:left="0"/>
      </w:pPr>
    </w:p>
    <w:p w14:paraId="32C76C0A" w14:textId="77777777" w:rsidR="00F6080F" w:rsidRDefault="00F6080F" w:rsidP="00C81219">
      <w:pPr>
        <w:pStyle w:val="H1Notes"/>
        <w:rPr>
          <w:b w:val="0"/>
          <w:bCs/>
        </w:rPr>
      </w:pPr>
    </w:p>
    <w:p w14:paraId="3C4B869B" w14:textId="77777777" w:rsidR="00F6080F" w:rsidRDefault="00F6080F" w:rsidP="00C81219">
      <w:pPr>
        <w:pStyle w:val="H1Notes"/>
        <w:rPr>
          <w:b w:val="0"/>
          <w:bCs/>
        </w:rPr>
      </w:pPr>
    </w:p>
    <w:p w14:paraId="64EA22C7" w14:textId="77777777" w:rsidR="00F6080F" w:rsidRDefault="00F6080F" w:rsidP="00C81219">
      <w:pPr>
        <w:pStyle w:val="H1Notes"/>
        <w:rPr>
          <w:b w:val="0"/>
          <w:bCs/>
        </w:rPr>
      </w:pPr>
    </w:p>
    <w:p w14:paraId="464ADE07" w14:textId="77777777" w:rsidR="00F6080F" w:rsidRDefault="00F6080F" w:rsidP="00C81219">
      <w:pPr>
        <w:pStyle w:val="H1Notes"/>
        <w:rPr>
          <w:b w:val="0"/>
          <w:bCs/>
        </w:rPr>
      </w:pPr>
    </w:p>
    <w:p w14:paraId="1A41E306" w14:textId="77777777" w:rsidR="00F6080F" w:rsidRDefault="00F6080F" w:rsidP="00C81219">
      <w:pPr>
        <w:pStyle w:val="H1Notes"/>
        <w:rPr>
          <w:b w:val="0"/>
          <w:bCs/>
        </w:rPr>
      </w:pPr>
    </w:p>
    <w:p w14:paraId="142A22AE" w14:textId="77777777" w:rsidR="00F6080F" w:rsidRDefault="00F6080F" w:rsidP="00C81219">
      <w:pPr>
        <w:pStyle w:val="H1Notes"/>
        <w:rPr>
          <w:b w:val="0"/>
          <w:bCs/>
        </w:rPr>
      </w:pPr>
    </w:p>
    <w:p w14:paraId="07CFD19D" w14:textId="77777777" w:rsidR="00F6080F" w:rsidRDefault="00F6080F" w:rsidP="00C81219">
      <w:pPr>
        <w:pStyle w:val="H1Notes"/>
        <w:rPr>
          <w:b w:val="0"/>
          <w:bCs/>
        </w:rPr>
      </w:pPr>
    </w:p>
    <w:p w14:paraId="564C5F09" w14:textId="77777777" w:rsidR="00F6080F" w:rsidRDefault="00F6080F" w:rsidP="00C81219">
      <w:pPr>
        <w:pStyle w:val="H1Notes"/>
        <w:rPr>
          <w:b w:val="0"/>
          <w:bCs/>
        </w:rPr>
      </w:pPr>
    </w:p>
    <w:p w14:paraId="138877F2" w14:textId="77777777" w:rsidR="00F6080F" w:rsidRDefault="00F6080F" w:rsidP="00C81219">
      <w:pPr>
        <w:pStyle w:val="H1Notes"/>
        <w:rPr>
          <w:b w:val="0"/>
          <w:bCs/>
        </w:rPr>
      </w:pPr>
    </w:p>
    <w:p w14:paraId="209E2BD8" w14:textId="77777777" w:rsidR="00F6080F" w:rsidRDefault="00F6080F" w:rsidP="00C81219">
      <w:pPr>
        <w:pStyle w:val="H1Notes"/>
        <w:rPr>
          <w:b w:val="0"/>
          <w:bCs/>
        </w:rPr>
      </w:pPr>
    </w:p>
    <w:p w14:paraId="2723CA9D" w14:textId="77777777" w:rsidR="00F6080F" w:rsidRDefault="00F6080F" w:rsidP="00C81219">
      <w:pPr>
        <w:pStyle w:val="H1Notes"/>
        <w:rPr>
          <w:b w:val="0"/>
          <w:bCs/>
        </w:rPr>
      </w:pPr>
    </w:p>
    <w:p w14:paraId="3AEC5C88" w14:textId="77777777" w:rsidR="00F6080F" w:rsidRDefault="00F6080F" w:rsidP="00C81219">
      <w:pPr>
        <w:pStyle w:val="H1Notes"/>
        <w:rPr>
          <w:b w:val="0"/>
          <w:bCs/>
        </w:rPr>
      </w:pPr>
    </w:p>
    <w:p w14:paraId="62FEE50C" w14:textId="77777777" w:rsidR="00F6080F" w:rsidRDefault="00F6080F" w:rsidP="00F6080F">
      <w:pPr>
        <w:pStyle w:val="NotesHeading"/>
        <w:jc w:val="both"/>
      </w:pPr>
      <w:r>
        <w:t xml:space="preserve">15    Financial instruments and financial risk management </w:t>
      </w:r>
      <w:r w:rsidRPr="007B2EA1">
        <w:rPr>
          <w:b w:val="0"/>
          <w:bCs/>
          <w:i/>
          <w:iCs/>
        </w:rPr>
        <w:t>(continued)</w:t>
      </w:r>
    </w:p>
    <w:p w14:paraId="67A5EA01" w14:textId="77777777" w:rsidR="00F6080F" w:rsidRDefault="00F6080F" w:rsidP="00F6080F">
      <w:pPr>
        <w:pStyle w:val="NotesBody"/>
      </w:pPr>
    </w:p>
    <w:p w14:paraId="630F10BD" w14:textId="77777777" w:rsidR="00F6080F" w:rsidRPr="00212103" w:rsidRDefault="00F6080F" w:rsidP="00F6080F">
      <w:pPr>
        <w:pStyle w:val="NotesBody"/>
        <w:numPr>
          <w:ilvl w:val="0"/>
          <w:numId w:val="41"/>
        </w:numPr>
        <w:rPr>
          <w:b/>
        </w:rPr>
      </w:pPr>
      <w:r w:rsidRPr="008E47EA">
        <w:rPr>
          <w:b/>
        </w:rPr>
        <w:t>Financial risk management objectives and policies</w:t>
      </w:r>
      <w:r>
        <w:rPr>
          <w:b/>
        </w:rPr>
        <w:t xml:space="preserve"> </w:t>
      </w:r>
      <w:r w:rsidRPr="007B2EA1">
        <w:rPr>
          <w:bCs/>
          <w:i/>
          <w:iCs/>
        </w:rPr>
        <w:t>(continued)</w:t>
      </w:r>
    </w:p>
    <w:p w14:paraId="5401FD79" w14:textId="77777777" w:rsidR="00F6080F" w:rsidRDefault="00F6080F" w:rsidP="00F6080F">
      <w:pPr>
        <w:pStyle w:val="NotesBody"/>
        <w:rPr>
          <w:b/>
        </w:rPr>
      </w:pPr>
    </w:p>
    <w:p w14:paraId="6B65EA7D" w14:textId="77777777" w:rsidR="00F6080F" w:rsidRPr="00212103" w:rsidRDefault="00F6080F" w:rsidP="00F6080F">
      <w:pPr>
        <w:pStyle w:val="NotesBody"/>
        <w:ind w:left="808"/>
        <w:rPr>
          <w:bCs/>
          <w:i/>
          <w:iCs/>
        </w:rPr>
      </w:pPr>
      <w:r>
        <w:rPr>
          <w:b/>
        </w:rPr>
        <w:t xml:space="preserve">Interest rate risk </w:t>
      </w:r>
      <w:r>
        <w:rPr>
          <w:bCs/>
          <w:i/>
          <w:iCs/>
        </w:rPr>
        <w:t>(continued)</w:t>
      </w:r>
    </w:p>
    <w:p w14:paraId="49E14AC9" w14:textId="77777777" w:rsidR="00F6080F" w:rsidRDefault="00F6080F" w:rsidP="00C81219">
      <w:pPr>
        <w:pStyle w:val="H1Notes"/>
        <w:rPr>
          <w:b w:val="0"/>
          <w:bCs/>
        </w:rPr>
      </w:pPr>
    </w:p>
    <w:p w14:paraId="06EED531" w14:textId="18A69650" w:rsidR="00C81219" w:rsidRDefault="00C81219" w:rsidP="00C81219">
      <w:pPr>
        <w:pStyle w:val="H1Notes"/>
        <w:rPr>
          <w:b w:val="0"/>
          <w:bCs/>
        </w:rPr>
      </w:pPr>
      <w:r w:rsidRPr="00B57685">
        <w:rPr>
          <w:b w:val="0"/>
          <w:bCs/>
        </w:rPr>
        <w:t>The amounts at the reporting date relating to items designated as hedged items were as follows:</w:t>
      </w:r>
    </w:p>
    <w:p w14:paraId="6AF442F6" w14:textId="77777777" w:rsidR="003D0EA7" w:rsidRPr="003D0EA7" w:rsidRDefault="003D0EA7" w:rsidP="003D0EA7">
      <w:pPr>
        <w:pStyle w:val="NotesBody"/>
      </w:pPr>
    </w:p>
    <w:tbl>
      <w:tblPr>
        <w:tblW w:w="9264" w:type="dxa"/>
        <w:tblLayout w:type="fixed"/>
        <w:tblCellMar>
          <w:left w:w="0" w:type="dxa"/>
          <w:right w:w="115" w:type="dxa"/>
        </w:tblCellMar>
        <w:tblLook w:val="04A0" w:firstRow="1" w:lastRow="0" w:firstColumn="1" w:lastColumn="0" w:noHBand="0" w:noVBand="1"/>
      </w:tblPr>
      <w:tblGrid>
        <w:gridCol w:w="5936"/>
        <w:gridCol w:w="1664"/>
        <w:gridCol w:w="1664"/>
      </w:tblGrid>
      <w:tr w:rsidR="003D0EA7" w:rsidRPr="00A33586" w14:paraId="28C26C03" w14:textId="77777777">
        <w:tc>
          <w:tcPr>
            <w:tcW w:w="5936" w:type="dxa"/>
          </w:tcPr>
          <w:p w14:paraId="438EE220" w14:textId="456471BC" w:rsidR="003D0EA7" w:rsidRDefault="003D0EA7">
            <w:pPr>
              <w:ind w:right="-144"/>
              <w:rPr>
                <w:b/>
                <w:bCs/>
              </w:rPr>
            </w:pPr>
            <w:r>
              <w:rPr>
                <w:b/>
                <w:bCs/>
              </w:rPr>
              <w:t xml:space="preserve">         As </w:t>
            </w:r>
            <w:proofErr w:type="gramStart"/>
            <w:r>
              <w:rPr>
                <w:b/>
                <w:bCs/>
              </w:rPr>
              <w:t>at</w:t>
            </w:r>
            <w:proofErr w:type="gramEnd"/>
            <w:r>
              <w:rPr>
                <w:b/>
                <w:bCs/>
              </w:rPr>
              <w:t xml:space="preserve"> 30 June 202</w:t>
            </w:r>
            <w:r w:rsidR="005366DC">
              <w:rPr>
                <w:b/>
                <w:bCs/>
              </w:rPr>
              <w:t>5</w:t>
            </w:r>
          </w:p>
        </w:tc>
        <w:tc>
          <w:tcPr>
            <w:tcW w:w="1664" w:type="dxa"/>
          </w:tcPr>
          <w:p w14:paraId="5B85C109" w14:textId="77777777" w:rsidR="003D0EA7" w:rsidRDefault="003D0EA7">
            <w:pPr>
              <w:tabs>
                <w:tab w:val="decimal" w:pos="1424"/>
              </w:tabs>
              <w:ind w:right="-144"/>
              <w:rPr>
                <w:b/>
              </w:rPr>
            </w:pPr>
          </w:p>
        </w:tc>
        <w:tc>
          <w:tcPr>
            <w:tcW w:w="1664" w:type="dxa"/>
          </w:tcPr>
          <w:p w14:paraId="354B6730" w14:textId="77777777" w:rsidR="003D0EA7" w:rsidRPr="004B2DA1" w:rsidRDefault="003D0EA7">
            <w:pPr>
              <w:tabs>
                <w:tab w:val="decimal" w:pos="1424"/>
              </w:tabs>
              <w:ind w:right="-144"/>
              <w:rPr>
                <w:b/>
                <w:bCs/>
              </w:rPr>
            </w:pPr>
          </w:p>
        </w:tc>
      </w:tr>
      <w:tr w:rsidR="003D0EA7" w:rsidRPr="00A33586" w14:paraId="2CFA2E1D" w14:textId="77777777">
        <w:tc>
          <w:tcPr>
            <w:tcW w:w="5936" w:type="dxa"/>
          </w:tcPr>
          <w:p w14:paraId="45B6852F" w14:textId="77777777" w:rsidR="003D0EA7" w:rsidRPr="00A33586" w:rsidRDefault="003D0EA7">
            <w:pPr>
              <w:ind w:right="-144"/>
            </w:pPr>
          </w:p>
        </w:tc>
        <w:tc>
          <w:tcPr>
            <w:tcW w:w="1664" w:type="dxa"/>
          </w:tcPr>
          <w:p w14:paraId="06202A9A" w14:textId="77777777" w:rsidR="003D0EA7" w:rsidRDefault="003D0EA7">
            <w:pPr>
              <w:tabs>
                <w:tab w:val="decimal" w:pos="1431"/>
              </w:tabs>
              <w:ind w:right="-144"/>
              <w:rPr>
                <w:b/>
              </w:rPr>
            </w:pPr>
            <w:r>
              <w:rPr>
                <w:b/>
              </w:rPr>
              <w:t>Change in</w:t>
            </w:r>
          </w:p>
        </w:tc>
        <w:tc>
          <w:tcPr>
            <w:tcW w:w="1664" w:type="dxa"/>
          </w:tcPr>
          <w:p w14:paraId="1B0F1736" w14:textId="77777777" w:rsidR="003D0EA7" w:rsidRDefault="003D0EA7">
            <w:pPr>
              <w:tabs>
                <w:tab w:val="decimal" w:pos="1424"/>
              </w:tabs>
              <w:ind w:right="-144"/>
              <w:rPr>
                <w:b/>
                <w:bCs/>
              </w:rPr>
            </w:pPr>
          </w:p>
        </w:tc>
      </w:tr>
      <w:tr w:rsidR="003D0EA7" w:rsidRPr="00A33586" w14:paraId="521B14C6" w14:textId="77777777">
        <w:tc>
          <w:tcPr>
            <w:tcW w:w="5936" w:type="dxa"/>
          </w:tcPr>
          <w:p w14:paraId="14C7CA8E" w14:textId="77777777" w:rsidR="003D0EA7" w:rsidRPr="00A33586" w:rsidRDefault="003D0EA7">
            <w:pPr>
              <w:ind w:right="-144"/>
            </w:pPr>
          </w:p>
        </w:tc>
        <w:tc>
          <w:tcPr>
            <w:tcW w:w="1664" w:type="dxa"/>
          </w:tcPr>
          <w:p w14:paraId="4FB27005" w14:textId="77777777" w:rsidR="003D0EA7" w:rsidRDefault="003D0EA7">
            <w:pPr>
              <w:tabs>
                <w:tab w:val="decimal" w:pos="1424"/>
              </w:tabs>
              <w:ind w:right="-144"/>
              <w:rPr>
                <w:b/>
              </w:rPr>
            </w:pPr>
            <w:r>
              <w:rPr>
                <w:b/>
              </w:rPr>
              <w:t xml:space="preserve"> value used for</w:t>
            </w:r>
          </w:p>
        </w:tc>
        <w:tc>
          <w:tcPr>
            <w:tcW w:w="1664" w:type="dxa"/>
          </w:tcPr>
          <w:p w14:paraId="0B803FC5" w14:textId="77777777" w:rsidR="003D0EA7" w:rsidRDefault="003D0EA7">
            <w:pPr>
              <w:tabs>
                <w:tab w:val="decimal" w:pos="1424"/>
              </w:tabs>
              <w:ind w:right="-144"/>
              <w:rPr>
                <w:b/>
                <w:bCs/>
              </w:rPr>
            </w:pPr>
          </w:p>
        </w:tc>
      </w:tr>
      <w:tr w:rsidR="003D0EA7" w:rsidRPr="00A33586" w14:paraId="1CAD05E3" w14:textId="77777777">
        <w:tc>
          <w:tcPr>
            <w:tcW w:w="5936" w:type="dxa"/>
          </w:tcPr>
          <w:p w14:paraId="73F8D036" w14:textId="77777777" w:rsidR="003D0EA7" w:rsidRPr="00A33586" w:rsidRDefault="003D0EA7">
            <w:pPr>
              <w:ind w:right="-144"/>
            </w:pPr>
          </w:p>
        </w:tc>
        <w:tc>
          <w:tcPr>
            <w:tcW w:w="1664" w:type="dxa"/>
          </w:tcPr>
          <w:p w14:paraId="2B58911E" w14:textId="77777777" w:rsidR="003D0EA7" w:rsidRDefault="003D0EA7">
            <w:pPr>
              <w:tabs>
                <w:tab w:val="decimal" w:pos="1424"/>
              </w:tabs>
              <w:ind w:right="-144"/>
              <w:rPr>
                <w:b/>
              </w:rPr>
            </w:pPr>
            <w:r>
              <w:rPr>
                <w:b/>
              </w:rPr>
              <w:t>calculating</w:t>
            </w:r>
          </w:p>
        </w:tc>
        <w:tc>
          <w:tcPr>
            <w:tcW w:w="1664" w:type="dxa"/>
          </w:tcPr>
          <w:p w14:paraId="7FC3FC25" w14:textId="77777777" w:rsidR="003D0EA7" w:rsidRDefault="003D0EA7">
            <w:pPr>
              <w:tabs>
                <w:tab w:val="decimal" w:pos="1424"/>
              </w:tabs>
              <w:ind w:right="-144"/>
              <w:rPr>
                <w:b/>
                <w:bCs/>
              </w:rPr>
            </w:pPr>
            <w:r w:rsidRPr="004B2DA1">
              <w:rPr>
                <w:b/>
                <w:bCs/>
              </w:rPr>
              <w:t>Cashflow</w:t>
            </w:r>
          </w:p>
        </w:tc>
      </w:tr>
      <w:tr w:rsidR="003D0EA7" w:rsidRPr="00A33586" w14:paraId="50F93D5C" w14:textId="77777777">
        <w:tc>
          <w:tcPr>
            <w:tcW w:w="5936" w:type="dxa"/>
          </w:tcPr>
          <w:p w14:paraId="34C7A56A" w14:textId="77777777" w:rsidR="003D0EA7" w:rsidRPr="00A33586" w:rsidRDefault="003D0EA7">
            <w:pPr>
              <w:ind w:right="-144"/>
            </w:pPr>
          </w:p>
        </w:tc>
        <w:tc>
          <w:tcPr>
            <w:tcW w:w="1664" w:type="dxa"/>
          </w:tcPr>
          <w:p w14:paraId="6A21A614" w14:textId="77777777" w:rsidR="003D0EA7" w:rsidRDefault="003D0EA7">
            <w:pPr>
              <w:tabs>
                <w:tab w:val="decimal" w:pos="1424"/>
              </w:tabs>
              <w:ind w:right="-144"/>
              <w:rPr>
                <w:b/>
              </w:rPr>
            </w:pPr>
            <w:r>
              <w:rPr>
                <w:b/>
              </w:rPr>
              <w:t>hedge</w:t>
            </w:r>
          </w:p>
        </w:tc>
        <w:tc>
          <w:tcPr>
            <w:tcW w:w="1664" w:type="dxa"/>
          </w:tcPr>
          <w:p w14:paraId="27ED2D8D" w14:textId="77777777" w:rsidR="003D0EA7" w:rsidRPr="004B2DA1" w:rsidRDefault="003D0EA7">
            <w:pPr>
              <w:tabs>
                <w:tab w:val="decimal" w:pos="1424"/>
              </w:tabs>
              <w:ind w:right="-144"/>
              <w:rPr>
                <w:b/>
                <w:bCs/>
              </w:rPr>
            </w:pPr>
            <w:r>
              <w:rPr>
                <w:b/>
                <w:bCs/>
              </w:rPr>
              <w:t>hedge</w:t>
            </w:r>
          </w:p>
        </w:tc>
      </w:tr>
      <w:tr w:rsidR="003D0EA7" w:rsidRPr="00A33586" w14:paraId="3E557708" w14:textId="77777777">
        <w:tc>
          <w:tcPr>
            <w:tcW w:w="5936" w:type="dxa"/>
          </w:tcPr>
          <w:p w14:paraId="04B3C2AD" w14:textId="77777777" w:rsidR="003D0EA7" w:rsidRPr="00A33586" w:rsidRDefault="003D0EA7">
            <w:pPr>
              <w:ind w:right="-144"/>
            </w:pPr>
          </w:p>
        </w:tc>
        <w:tc>
          <w:tcPr>
            <w:tcW w:w="1664" w:type="dxa"/>
          </w:tcPr>
          <w:p w14:paraId="7F400890" w14:textId="77777777" w:rsidR="003D0EA7" w:rsidRPr="00A33586" w:rsidRDefault="003D0EA7">
            <w:pPr>
              <w:tabs>
                <w:tab w:val="decimal" w:pos="1424"/>
              </w:tabs>
              <w:ind w:right="-144"/>
              <w:rPr>
                <w:b/>
              </w:rPr>
            </w:pPr>
            <w:r>
              <w:rPr>
                <w:b/>
              </w:rPr>
              <w:t>ineffectiveness</w:t>
            </w:r>
          </w:p>
        </w:tc>
        <w:tc>
          <w:tcPr>
            <w:tcW w:w="1664" w:type="dxa"/>
          </w:tcPr>
          <w:p w14:paraId="56957279" w14:textId="77777777" w:rsidR="003D0EA7" w:rsidRPr="00A33586" w:rsidRDefault="003D0EA7">
            <w:pPr>
              <w:tabs>
                <w:tab w:val="decimal" w:pos="1424"/>
              </w:tabs>
              <w:ind w:right="-144"/>
              <w:rPr>
                <w:b/>
              </w:rPr>
            </w:pPr>
            <w:r w:rsidRPr="004B2DA1">
              <w:rPr>
                <w:b/>
                <w:bCs/>
              </w:rPr>
              <w:t>Reserve</w:t>
            </w:r>
          </w:p>
        </w:tc>
      </w:tr>
      <w:tr w:rsidR="003D0EA7" w:rsidRPr="00A33586" w14:paraId="1405DCFD" w14:textId="77777777">
        <w:tc>
          <w:tcPr>
            <w:tcW w:w="5936" w:type="dxa"/>
          </w:tcPr>
          <w:p w14:paraId="6FC43709" w14:textId="77777777" w:rsidR="003D0EA7" w:rsidRPr="00A33586" w:rsidRDefault="003D0EA7">
            <w:pPr>
              <w:ind w:right="-144"/>
            </w:pPr>
          </w:p>
        </w:tc>
        <w:tc>
          <w:tcPr>
            <w:tcW w:w="1664" w:type="dxa"/>
          </w:tcPr>
          <w:p w14:paraId="558038E6" w14:textId="77777777" w:rsidR="003D0EA7" w:rsidRPr="00A33586" w:rsidRDefault="003D0EA7">
            <w:pPr>
              <w:tabs>
                <w:tab w:val="decimal" w:pos="1424"/>
              </w:tabs>
              <w:ind w:right="-144"/>
              <w:rPr>
                <w:b/>
              </w:rPr>
            </w:pPr>
            <w:r w:rsidRPr="00A33586">
              <w:rPr>
                <w:b/>
              </w:rPr>
              <w:t>€’000</w:t>
            </w:r>
          </w:p>
        </w:tc>
        <w:tc>
          <w:tcPr>
            <w:tcW w:w="1664" w:type="dxa"/>
          </w:tcPr>
          <w:p w14:paraId="3313A74C" w14:textId="77777777" w:rsidR="003D0EA7" w:rsidRPr="00A33586" w:rsidRDefault="003D0EA7">
            <w:pPr>
              <w:tabs>
                <w:tab w:val="decimal" w:pos="1424"/>
              </w:tabs>
              <w:ind w:right="-144"/>
              <w:rPr>
                <w:b/>
              </w:rPr>
            </w:pPr>
            <w:r w:rsidRPr="00A33586">
              <w:rPr>
                <w:b/>
              </w:rPr>
              <w:t>€’000</w:t>
            </w:r>
          </w:p>
        </w:tc>
      </w:tr>
      <w:tr w:rsidR="003D0EA7" w:rsidRPr="008C2DB2" w14:paraId="736CA220" w14:textId="77777777">
        <w:tc>
          <w:tcPr>
            <w:tcW w:w="5936" w:type="dxa"/>
          </w:tcPr>
          <w:p w14:paraId="3FFB893D" w14:textId="77777777" w:rsidR="003D0EA7" w:rsidRDefault="003D0EA7">
            <w:pPr>
              <w:ind w:left="284" w:right="-144"/>
            </w:pPr>
          </w:p>
        </w:tc>
        <w:tc>
          <w:tcPr>
            <w:tcW w:w="1664" w:type="dxa"/>
          </w:tcPr>
          <w:p w14:paraId="2FCCACE6" w14:textId="77777777" w:rsidR="003D0EA7" w:rsidRDefault="003D0EA7">
            <w:pPr>
              <w:tabs>
                <w:tab w:val="decimal" w:pos="1424"/>
              </w:tabs>
              <w:ind w:right="-144"/>
              <w:rPr>
                <w:b/>
              </w:rPr>
            </w:pPr>
          </w:p>
        </w:tc>
        <w:tc>
          <w:tcPr>
            <w:tcW w:w="1664" w:type="dxa"/>
          </w:tcPr>
          <w:p w14:paraId="5A11AED2" w14:textId="77777777" w:rsidR="003D0EA7" w:rsidRDefault="003D0EA7">
            <w:pPr>
              <w:tabs>
                <w:tab w:val="decimal" w:pos="1424"/>
              </w:tabs>
              <w:ind w:right="-144"/>
              <w:rPr>
                <w:bCs/>
              </w:rPr>
            </w:pPr>
          </w:p>
        </w:tc>
      </w:tr>
      <w:tr w:rsidR="003D0EA7" w:rsidRPr="008C2DB2" w14:paraId="1D9F0F93" w14:textId="77777777">
        <w:tc>
          <w:tcPr>
            <w:tcW w:w="5936" w:type="dxa"/>
          </w:tcPr>
          <w:p w14:paraId="29949EC9" w14:textId="77777777" w:rsidR="003D0EA7" w:rsidRPr="00A33586" w:rsidRDefault="003D0EA7">
            <w:pPr>
              <w:ind w:left="284" w:right="-144"/>
            </w:pPr>
            <w:r>
              <w:t xml:space="preserve">    Interest rate swap</w:t>
            </w:r>
          </w:p>
        </w:tc>
        <w:tc>
          <w:tcPr>
            <w:tcW w:w="1664" w:type="dxa"/>
          </w:tcPr>
          <w:p w14:paraId="459C53EB" w14:textId="6930ABBA" w:rsidR="003D0EA7" w:rsidRDefault="004B1660">
            <w:pPr>
              <w:tabs>
                <w:tab w:val="decimal" w:pos="1424"/>
              </w:tabs>
              <w:ind w:right="-144"/>
              <w:rPr>
                <w:b/>
              </w:rPr>
            </w:pPr>
            <w:r>
              <w:rPr>
                <w:b/>
              </w:rPr>
              <w:t>-</w:t>
            </w:r>
          </w:p>
        </w:tc>
        <w:tc>
          <w:tcPr>
            <w:tcW w:w="1664" w:type="dxa"/>
          </w:tcPr>
          <w:p w14:paraId="194C427A" w14:textId="79B8795C" w:rsidR="003D0EA7" w:rsidRPr="003754D5" w:rsidRDefault="004B1660">
            <w:pPr>
              <w:tabs>
                <w:tab w:val="decimal" w:pos="1424"/>
              </w:tabs>
              <w:ind w:right="-144"/>
              <w:rPr>
                <w:b/>
              </w:rPr>
            </w:pPr>
            <w:r>
              <w:rPr>
                <w:b/>
              </w:rPr>
              <w:t>(1,370)</w:t>
            </w:r>
          </w:p>
        </w:tc>
      </w:tr>
      <w:tr w:rsidR="003D0EA7" w:rsidRPr="008C2DB2" w14:paraId="6BA4550C" w14:textId="77777777">
        <w:tc>
          <w:tcPr>
            <w:tcW w:w="5936" w:type="dxa"/>
          </w:tcPr>
          <w:p w14:paraId="7A25384A" w14:textId="77777777" w:rsidR="003D0EA7" w:rsidRPr="00A33586" w:rsidRDefault="003D0EA7">
            <w:pPr>
              <w:ind w:right="-144"/>
            </w:pPr>
          </w:p>
        </w:tc>
        <w:tc>
          <w:tcPr>
            <w:tcW w:w="1664" w:type="dxa"/>
          </w:tcPr>
          <w:p w14:paraId="00ED7070" w14:textId="77777777" w:rsidR="003D0EA7" w:rsidRPr="00A33586" w:rsidRDefault="003D0EA7">
            <w:pPr>
              <w:tabs>
                <w:tab w:val="decimal" w:pos="1424"/>
              </w:tabs>
              <w:ind w:right="-144"/>
              <w:rPr>
                <w:u w:val="single"/>
              </w:rPr>
            </w:pPr>
            <w:r w:rsidRPr="00A33586">
              <w:rPr>
                <w:u w:val="single"/>
              </w:rPr>
              <w:t>                  </w:t>
            </w:r>
          </w:p>
        </w:tc>
        <w:tc>
          <w:tcPr>
            <w:tcW w:w="1664" w:type="dxa"/>
          </w:tcPr>
          <w:p w14:paraId="2FFF2E6A" w14:textId="77777777" w:rsidR="003D0EA7" w:rsidRPr="008C2DB2" w:rsidRDefault="003D0EA7">
            <w:pPr>
              <w:tabs>
                <w:tab w:val="decimal" w:pos="1424"/>
              </w:tabs>
              <w:ind w:right="-144"/>
              <w:rPr>
                <w:bCs/>
                <w:u w:val="single"/>
              </w:rPr>
            </w:pPr>
            <w:r w:rsidRPr="008C2DB2">
              <w:rPr>
                <w:bCs/>
                <w:u w:val="single"/>
              </w:rPr>
              <w:t>                  </w:t>
            </w:r>
          </w:p>
        </w:tc>
      </w:tr>
      <w:tr w:rsidR="003D0EA7" w:rsidRPr="008C2DB2" w14:paraId="3B3A3D0B" w14:textId="77777777">
        <w:tc>
          <w:tcPr>
            <w:tcW w:w="5936" w:type="dxa"/>
          </w:tcPr>
          <w:p w14:paraId="1A5FB013" w14:textId="77777777" w:rsidR="003D0EA7" w:rsidRPr="00A33586" w:rsidRDefault="003D0EA7">
            <w:pPr>
              <w:ind w:right="-144"/>
            </w:pPr>
          </w:p>
        </w:tc>
        <w:tc>
          <w:tcPr>
            <w:tcW w:w="1664" w:type="dxa"/>
          </w:tcPr>
          <w:p w14:paraId="63F28AC3" w14:textId="77777777" w:rsidR="003D0EA7" w:rsidRPr="00A33586" w:rsidRDefault="003D0EA7">
            <w:pPr>
              <w:tabs>
                <w:tab w:val="decimal" w:pos="1424"/>
              </w:tabs>
              <w:ind w:right="-144"/>
              <w:rPr>
                <w:b/>
              </w:rPr>
            </w:pPr>
          </w:p>
        </w:tc>
        <w:tc>
          <w:tcPr>
            <w:tcW w:w="1664" w:type="dxa"/>
          </w:tcPr>
          <w:p w14:paraId="6AC24E14" w14:textId="77777777" w:rsidR="003D0EA7" w:rsidRPr="008C2DB2" w:rsidRDefault="003D0EA7">
            <w:pPr>
              <w:tabs>
                <w:tab w:val="decimal" w:pos="1424"/>
              </w:tabs>
              <w:ind w:right="-144"/>
              <w:rPr>
                <w:bCs/>
              </w:rPr>
            </w:pPr>
          </w:p>
        </w:tc>
      </w:tr>
      <w:tr w:rsidR="003D0EA7" w:rsidRPr="008C2DB2" w14:paraId="2D851B60" w14:textId="77777777">
        <w:tc>
          <w:tcPr>
            <w:tcW w:w="5936" w:type="dxa"/>
          </w:tcPr>
          <w:p w14:paraId="4444986D" w14:textId="77777777" w:rsidR="003D0EA7" w:rsidRPr="003C2696" w:rsidRDefault="003D0EA7">
            <w:pPr>
              <w:ind w:right="-144"/>
              <w:rPr>
                <w:b/>
              </w:rPr>
            </w:pPr>
          </w:p>
        </w:tc>
        <w:tc>
          <w:tcPr>
            <w:tcW w:w="1664" w:type="dxa"/>
          </w:tcPr>
          <w:p w14:paraId="169867BD" w14:textId="77777777" w:rsidR="003D0EA7" w:rsidRDefault="003D0EA7">
            <w:pPr>
              <w:tabs>
                <w:tab w:val="decimal" w:pos="1424"/>
              </w:tabs>
              <w:ind w:right="-144"/>
              <w:rPr>
                <w:b/>
              </w:rPr>
            </w:pPr>
            <w:r>
              <w:rPr>
                <w:b/>
              </w:rPr>
              <w:t>-</w:t>
            </w:r>
          </w:p>
        </w:tc>
        <w:tc>
          <w:tcPr>
            <w:tcW w:w="1664" w:type="dxa"/>
          </w:tcPr>
          <w:p w14:paraId="6FD084D7" w14:textId="2836D9DB" w:rsidR="003D0EA7" w:rsidRPr="003754D5" w:rsidRDefault="004B1660">
            <w:pPr>
              <w:tabs>
                <w:tab w:val="decimal" w:pos="1424"/>
              </w:tabs>
              <w:ind w:right="-144"/>
              <w:rPr>
                <w:b/>
              </w:rPr>
            </w:pPr>
            <w:r>
              <w:rPr>
                <w:b/>
              </w:rPr>
              <w:t>(1,370)</w:t>
            </w:r>
          </w:p>
        </w:tc>
      </w:tr>
      <w:tr w:rsidR="003D0EA7" w:rsidRPr="00D7569D" w14:paraId="218F7301" w14:textId="77777777">
        <w:trPr>
          <w:trHeight w:val="359"/>
        </w:trPr>
        <w:tc>
          <w:tcPr>
            <w:tcW w:w="5936" w:type="dxa"/>
          </w:tcPr>
          <w:p w14:paraId="667801AC" w14:textId="77777777" w:rsidR="003D0EA7" w:rsidRPr="00A33586" w:rsidRDefault="003D0EA7">
            <w:pPr>
              <w:ind w:right="-144"/>
              <w:rPr>
                <w:b/>
              </w:rPr>
            </w:pPr>
          </w:p>
        </w:tc>
        <w:tc>
          <w:tcPr>
            <w:tcW w:w="1664" w:type="dxa"/>
          </w:tcPr>
          <w:p w14:paraId="24E50E7C" w14:textId="77777777" w:rsidR="003D0EA7" w:rsidRPr="00A33586" w:rsidRDefault="003D0EA7">
            <w:pPr>
              <w:tabs>
                <w:tab w:val="decimal" w:pos="1424"/>
              </w:tabs>
              <w:ind w:right="-144"/>
              <w:rPr>
                <w:u w:val="double"/>
              </w:rPr>
            </w:pPr>
            <w:r w:rsidRPr="003B329D">
              <w:rPr>
                <w:u w:val="double"/>
              </w:rPr>
              <w:t>                  </w:t>
            </w:r>
          </w:p>
        </w:tc>
        <w:tc>
          <w:tcPr>
            <w:tcW w:w="1664" w:type="dxa"/>
          </w:tcPr>
          <w:p w14:paraId="02696D36" w14:textId="77777777" w:rsidR="003D0EA7" w:rsidRPr="00D7569D" w:rsidRDefault="003D0EA7">
            <w:pPr>
              <w:tabs>
                <w:tab w:val="decimal" w:pos="1424"/>
              </w:tabs>
              <w:ind w:right="-144"/>
              <w:rPr>
                <w:bCs/>
                <w:u w:val="double"/>
              </w:rPr>
            </w:pPr>
            <w:r w:rsidRPr="00D7569D">
              <w:rPr>
                <w:bCs/>
                <w:u w:val="double"/>
              </w:rPr>
              <w:t>                  </w:t>
            </w:r>
          </w:p>
        </w:tc>
      </w:tr>
    </w:tbl>
    <w:p w14:paraId="540E4C38" w14:textId="77777777" w:rsidR="003D0EA7" w:rsidRPr="003D0EA7" w:rsidRDefault="003D0EA7" w:rsidP="003D0EA7">
      <w:pPr>
        <w:pStyle w:val="NotesBody"/>
      </w:pPr>
    </w:p>
    <w:tbl>
      <w:tblPr>
        <w:tblW w:w="9264" w:type="dxa"/>
        <w:tblLayout w:type="fixed"/>
        <w:tblCellMar>
          <w:left w:w="0" w:type="dxa"/>
          <w:right w:w="115" w:type="dxa"/>
        </w:tblCellMar>
        <w:tblLook w:val="04A0" w:firstRow="1" w:lastRow="0" w:firstColumn="1" w:lastColumn="0" w:noHBand="0" w:noVBand="1"/>
      </w:tblPr>
      <w:tblGrid>
        <w:gridCol w:w="5936"/>
        <w:gridCol w:w="1664"/>
        <w:gridCol w:w="1664"/>
      </w:tblGrid>
      <w:tr w:rsidR="00C81219" w:rsidRPr="00A33586" w14:paraId="6C005F13" w14:textId="77777777">
        <w:tc>
          <w:tcPr>
            <w:tcW w:w="5936" w:type="dxa"/>
          </w:tcPr>
          <w:p w14:paraId="1DBE8F53" w14:textId="039F8673" w:rsidR="00C81219" w:rsidRDefault="00C81219">
            <w:pPr>
              <w:ind w:right="-144"/>
              <w:rPr>
                <w:b/>
                <w:bCs/>
              </w:rPr>
            </w:pPr>
            <w:r>
              <w:rPr>
                <w:b/>
                <w:bCs/>
              </w:rPr>
              <w:t xml:space="preserve">         As </w:t>
            </w:r>
            <w:proofErr w:type="gramStart"/>
            <w:r>
              <w:rPr>
                <w:b/>
                <w:bCs/>
              </w:rPr>
              <w:t>at</w:t>
            </w:r>
            <w:proofErr w:type="gramEnd"/>
            <w:r>
              <w:rPr>
                <w:b/>
                <w:bCs/>
              </w:rPr>
              <w:t xml:space="preserve"> 31 December 202</w:t>
            </w:r>
            <w:r w:rsidR="005366DC">
              <w:rPr>
                <w:b/>
                <w:bCs/>
              </w:rPr>
              <w:t>4</w:t>
            </w:r>
          </w:p>
        </w:tc>
        <w:tc>
          <w:tcPr>
            <w:tcW w:w="1664" w:type="dxa"/>
          </w:tcPr>
          <w:p w14:paraId="328D2EC2" w14:textId="77777777" w:rsidR="00C81219" w:rsidRDefault="00C81219">
            <w:pPr>
              <w:tabs>
                <w:tab w:val="decimal" w:pos="1424"/>
              </w:tabs>
              <w:ind w:right="-144"/>
              <w:rPr>
                <w:b/>
              </w:rPr>
            </w:pPr>
          </w:p>
        </w:tc>
        <w:tc>
          <w:tcPr>
            <w:tcW w:w="1664" w:type="dxa"/>
          </w:tcPr>
          <w:p w14:paraId="6D478684" w14:textId="77777777" w:rsidR="00C81219" w:rsidRPr="004B2DA1" w:rsidRDefault="00C81219">
            <w:pPr>
              <w:tabs>
                <w:tab w:val="decimal" w:pos="1424"/>
              </w:tabs>
              <w:ind w:right="-144"/>
              <w:rPr>
                <w:b/>
                <w:bCs/>
              </w:rPr>
            </w:pPr>
          </w:p>
        </w:tc>
      </w:tr>
      <w:tr w:rsidR="00C81219" w:rsidRPr="00A33586" w14:paraId="0D4E79CD" w14:textId="77777777">
        <w:tc>
          <w:tcPr>
            <w:tcW w:w="5936" w:type="dxa"/>
          </w:tcPr>
          <w:p w14:paraId="654C561C" w14:textId="77777777" w:rsidR="00C81219" w:rsidRPr="00A33586" w:rsidRDefault="00C81219">
            <w:pPr>
              <w:ind w:right="-144"/>
            </w:pPr>
          </w:p>
        </w:tc>
        <w:tc>
          <w:tcPr>
            <w:tcW w:w="1664" w:type="dxa"/>
          </w:tcPr>
          <w:p w14:paraId="3C9053E7" w14:textId="77777777" w:rsidR="00C81219" w:rsidRDefault="00C81219">
            <w:pPr>
              <w:tabs>
                <w:tab w:val="decimal" w:pos="1431"/>
              </w:tabs>
              <w:ind w:right="-144"/>
              <w:rPr>
                <w:b/>
              </w:rPr>
            </w:pPr>
            <w:r>
              <w:rPr>
                <w:b/>
              </w:rPr>
              <w:t>Change in</w:t>
            </w:r>
          </w:p>
        </w:tc>
        <w:tc>
          <w:tcPr>
            <w:tcW w:w="1664" w:type="dxa"/>
          </w:tcPr>
          <w:p w14:paraId="07EF95B2" w14:textId="77777777" w:rsidR="00C81219" w:rsidRDefault="00C81219">
            <w:pPr>
              <w:tabs>
                <w:tab w:val="decimal" w:pos="1424"/>
              </w:tabs>
              <w:ind w:right="-144"/>
              <w:rPr>
                <w:b/>
                <w:bCs/>
              </w:rPr>
            </w:pPr>
          </w:p>
        </w:tc>
      </w:tr>
      <w:tr w:rsidR="00C81219" w:rsidRPr="00A33586" w14:paraId="204EC6EE" w14:textId="77777777">
        <w:tc>
          <w:tcPr>
            <w:tcW w:w="5936" w:type="dxa"/>
          </w:tcPr>
          <w:p w14:paraId="16A3606D" w14:textId="77777777" w:rsidR="00C81219" w:rsidRPr="00A33586" w:rsidRDefault="00C81219">
            <w:pPr>
              <w:ind w:right="-144"/>
            </w:pPr>
          </w:p>
        </w:tc>
        <w:tc>
          <w:tcPr>
            <w:tcW w:w="1664" w:type="dxa"/>
          </w:tcPr>
          <w:p w14:paraId="14B6FCDC" w14:textId="77777777" w:rsidR="00C81219" w:rsidRDefault="00C81219">
            <w:pPr>
              <w:tabs>
                <w:tab w:val="decimal" w:pos="1424"/>
              </w:tabs>
              <w:ind w:right="-144"/>
              <w:rPr>
                <w:b/>
              </w:rPr>
            </w:pPr>
            <w:r>
              <w:rPr>
                <w:b/>
              </w:rPr>
              <w:t xml:space="preserve"> value used for</w:t>
            </w:r>
          </w:p>
        </w:tc>
        <w:tc>
          <w:tcPr>
            <w:tcW w:w="1664" w:type="dxa"/>
          </w:tcPr>
          <w:p w14:paraId="4B0F2D6F" w14:textId="77777777" w:rsidR="00C81219" w:rsidRDefault="00C81219">
            <w:pPr>
              <w:tabs>
                <w:tab w:val="decimal" w:pos="1424"/>
              </w:tabs>
              <w:ind w:right="-144"/>
              <w:rPr>
                <w:b/>
                <w:bCs/>
              </w:rPr>
            </w:pPr>
          </w:p>
        </w:tc>
      </w:tr>
      <w:tr w:rsidR="00C81219" w:rsidRPr="00A33586" w14:paraId="77546406" w14:textId="77777777">
        <w:tc>
          <w:tcPr>
            <w:tcW w:w="5936" w:type="dxa"/>
          </w:tcPr>
          <w:p w14:paraId="09325681" w14:textId="77777777" w:rsidR="00C81219" w:rsidRPr="00A33586" w:rsidRDefault="00C81219">
            <w:pPr>
              <w:ind w:right="-144"/>
            </w:pPr>
          </w:p>
        </w:tc>
        <w:tc>
          <w:tcPr>
            <w:tcW w:w="1664" w:type="dxa"/>
          </w:tcPr>
          <w:p w14:paraId="6B2D559F" w14:textId="77777777" w:rsidR="00C81219" w:rsidRDefault="00C81219">
            <w:pPr>
              <w:tabs>
                <w:tab w:val="decimal" w:pos="1424"/>
              </w:tabs>
              <w:ind w:right="-144"/>
              <w:rPr>
                <w:b/>
              </w:rPr>
            </w:pPr>
            <w:r>
              <w:rPr>
                <w:b/>
              </w:rPr>
              <w:t>calculating</w:t>
            </w:r>
          </w:p>
        </w:tc>
        <w:tc>
          <w:tcPr>
            <w:tcW w:w="1664" w:type="dxa"/>
          </w:tcPr>
          <w:p w14:paraId="453AAEE5" w14:textId="77777777" w:rsidR="00C81219" w:rsidRDefault="00C81219">
            <w:pPr>
              <w:tabs>
                <w:tab w:val="decimal" w:pos="1424"/>
              </w:tabs>
              <w:ind w:right="-144"/>
              <w:rPr>
                <w:b/>
                <w:bCs/>
              </w:rPr>
            </w:pPr>
            <w:r w:rsidRPr="004B2DA1">
              <w:rPr>
                <w:b/>
                <w:bCs/>
              </w:rPr>
              <w:t>Cashflow</w:t>
            </w:r>
          </w:p>
        </w:tc>
      </w:tr>
      <w:tr w:rsidR="00C81219" w:rsidRPr="00A33586" w14:paraId="49F318A4" w14:textId="77777777">
        <w:tc>
          <w:tcPr>
            <w:tcW w:w="5936" w:type="dxa"/>
          </w:tcPr>
          <w:p w14:paraId="7B8E3C67" w14:textId="77777777" w:rsidR="00C81219" w:rsidRPr="00A33586" w:rsidRDefault="00C81219">
            <w:pPr>
              <w:ind w:right="-144"/>
            </w:pPr>
          </w:p>
        </w:tc>
        <w:tc>
          <w:tcPr>
            <w:tcW w:w="1664" w:type="dxa"/>
          </w:tcPr>
          <w:p w14:paraId="1AB02FEF" w14:textId="77777777" w:rsidR="00C81219" w:rsidRDefault="00C81219">
            <w:pPr>
              <w:tabs>
                <w:tab w:val="decimal" w:pos="1424"/>
              </w:tabs>
              <w:ind w:right="-144"/>
              <w:rPr>
                <w:b/>
              </w:rPr>
            </w:pPr>
            <w:r>
              <w:rPr>
                <w:b/>
              </w:rPr>
              <w:t>hedge</w:t>
            </w:r>
          </w:p>
        </w:tc>
        <w:tc>
          <w:tcPr>
            <w:tcW w:w="1664" w:type="dxa"/>
          </w:tcPr>
          <w:p w14:paraId="742BA8AE" w14:textId="77777777" w:rsidR="00C81219" w:rsidRPr="004B2DA1" w:rsidRDefault="00C81219">
            <w:pPr>
              <w:tabs>
                <w:tab w:val="decimal" w:pos="1424"/>
              </w:tabs>
              <w:ind w:right="-144"/>
              <w:rPr>
                <w:b/>
                <w:bCs/>
              </w:rPr>
            </w:pPr>
            <w:r>
              <w:rPr>
                <w:b/>
                <w:bCs/>
              </w:rPr>
              <w:t>hedge</w:t>
            </w:r>
          </w:p>
        </w:tc>
      </w:tr>
      <w:tr w:rsidR="00C81219" w:rsidRPr="00A33586" w14:paraId="736ED610" w14:textId="77777777">
        <w:tc>
          <w:tcPr>
            <w:tcW w:w="5936" w:type="dxa"/>
          </w:tcPr>
          <w:p w14:paraId="0E05281E" w14:textId="77777777" w:rsidR="00C81219" w:rsidRPr="00A33586" w:rsidRDefault="00C81219">
            <w:pPr>
              <w:ind w:right="-144"/>
            </w:pPr>
          </w:p>
        </w:tc>
        <w:tc>
          <w:tcPr>
            <w:tcW w:w="1664" w:type="dxa"/>
          </w:tcPr>
          <w:p w14:paraId="76E0C6E2" w14:textId="77777777" w:rsidR="00C81219" w:rsidRPr="00A33586" w:rsidRDefault="00C81219">
            <w:pPr>
              <w:tabs>
                <w:tab w:val="decimal" w:pos="1424"/>
              </w:tabs>
              <w:ind w:right="-144"/>
              <w:rPr>
                <w:b/>
              </w:rPr>
            </w:pPr>
            <w:r>
              <w:rPr>
                <w:b/>
              </w:rPr>
              <w:t>ineffectiveness</w:t>
            </w:r>
          </w:p>
        </w:tc>
        <w:tc>
          <w:tcPr>
            <w:tcW w:w="1664" w:type="dxa"/>
          </w:tcPr>
          <w:p w14:paraId="283AD0F4" w14:textId="77777777" w:rsidR="00C81219" w:rsidRPr="00A33586" w:rsidRDefault="00C81219">
            <w:pPr>
              <w:tabs>
                <w:tab w:val="decimal" w:pos="1424"/>
              </w:tabs>
              <w:ind w:right="-144"/>
              <w:rPr>
                <w:b/>
              </w:rPr>
            </w:pPr>
            <w:r w:rsidRPr="004B2DA1">
              <w:rPr>
                <w:b/>
                <w:bCs/>
              </w:rPr>
              <w:t>Reserve</w:t>
            </w:r>
          </w:p>
        </w:tc>
      </w:tr>
      <w:tr w:rsidR="00C81219" w:rsidRPr="00A33586" w14:paraId="04404CA9" w14:textId="77777777">
        <w:tc>
          <w:tcPr>
            <w:tcW w:w="5936" w:type="dxa"/>
          </w:tcPr>
          <w:p w14:paraId="7E171134" w14:textId="77777777" w:rsidR="00C81219" w:rsidRPr="00A33586" w:rsidRDefault="00C81219">
            <w:pPr>
              <w:ind w:right="-144"/>
            </w:pPr>
          </w:p>
        </w:tc>
        <w:tc>
          <w:tcPr>
            <w:tcW w:w="1664" w:type="dxa"/>
          </w:tcPr>
          <w:p w14:paraId="55FBFF96" w14:textId="77777777" w:rsidR="00C81219" w:rsidRPr="00A33586" w:rsidRDefault="00C81219">
            <w:pPr>
              <w:tabs>
                <w:tab w:val="decimal" w:pos="1424"/>
              </w:tabs>
              <w:ind w:right="-144"/>
              <w:rPr>
                <w:b/>
              </w:rPr>
            </w:pPr>
            <w:r w:rsidRPr="00A33586">
              <w:rPr>
                <w:b/>
              </w:rPr>
              <w:t>€’000</w:t>
            </w:r>
          </w:p>
        </w:tc>
        <w:tc>
          <w:tcPr>
            <w:tcW w:w="1664" w:type="dxa"/>
          </w:tcPr>
          <w:p w14:paraId="3F88F589" w14:textId="77777777" w:rsidR="00C81219" w:rsidRPr="00A33586" w:rsidRDefault="00C81219">
            <w:pPr>
              <w:tabs>
                <w:tab w:val="decimal" w:pos="1424"/>
              </w:tabs>
              <w:ind w:right="-144"/>
              <w:rPr>
                <w:b/>
              </w:rPr>
            </w:pPr>
            <w:r w:rsidRPr="00A33586">
              <w:rPr>
                <w:b/>
              </w:rPr>
              <w:t>€’000</w:t>
            </w:r>
          </w:p>
        </w:tc>
      </w:tr>
      <w:tr w:rsidR="00C81219" w:rsidRPr="008C2DB2" w14:paraId="2BFB14F1" w14:textId="77777777">
        <w:tc>
          <w:tcPr>
            <w:tcW w:w="5936" w:type="dxa"/>
          </w:tcPr>
          <w:p w14:paraId="31C9923D" w14:textId="77777777" w:rsidR="00C81219" w:rsidRDefault="00C81219">
            <w:pPr>
              <w:ind w:left="284" w:right="-144"/>
            </w:pPr>
          </w:p>
        </w:tc>
        <w:tc>
          <w:tcPr>
            <w:tcW w:w="1664" w:type="dxa"/>
          </w:tcPr>
          <w:p w14:paraId="1CFBF365" w14:textId="77777777" w:rsidR="00C81219" w:rsidRDefault="00C81219">
            <w:pPr>
              <w:tabs>
                <w:tab w:val="decimal" w:pos="1424"/>
              </w:tabs>
              <w:ind w:right="-144"/>
              <w:rPr>
                <w:b/>
              </w:rPr>
            </w:pPr>
          </w:p>
        </w:tc>
        <w:tc>
          <w:tcPr>
            <w:tcW w:w="1664" w:type="dxa"/>
          </w:tcPr>
          <w:p w14:paraId="08B53D3D" w14:textId="77777777" w:rsidR="00C81219" w:rsidRDefault="00C81219">
            <w:pPr>
              <w:tabs>
                <w:tab w:val="decimal" w:pos="1424"/>
              </w:tabs>
              <w:ind w:right="-144"/>
              <w:rPr>
                <w:bCs/>
              </w:rPr>
            </w:pPr>
          </w:p>
        </w:tc>
      </w:tr>
      <w:tr w:rsidR="00C81219" w:rsidRPr="008C2DB2" w14:paraId="37A565C5" w14:textId="77777777">
        <w:tc>
          <w:tcPr>
            <w:tcW w:w="5936" w:type="dxa"/>
          </w:tcPr>
          <w:p w14:paraId="5A5F3BD7" w14:textId="77777777" w:rsidR="00C81219" w:rsidRPr="00A33586" w:rsidRDefault="00C81219">
            <w:pPr>
              <w:ind w:left="284" w:right="-144"/>
            </w:pPr>
            <w:r>
              <w:t xml:space="preserve">    Interest rate swap</w:t>
            </w:r>
          </w:p>
        </w:tc>
        <w:tc>
          <w:tcPr>
            <w:tcW w:w="1664" w:type="dxa"/>
          </w:tcPr>
          <w:p w14:paraId="12877C3A" w14:textId="604895D2" w:rsidR="00C81219" w:rsidRDefault="006E522B">
            <w:pPr>
              <w:tabs>
                <w:tab w:val="decimal" w:pos="1424"/>
              </w:tabs>
              <w:ind w:right="-144"/>
              <w:rPr>
                <w:b/>
              </w:rPr>
            </w:pPr>
            <w:r>
              <w:rPr>
                <w:b/>
              </w:rPr>
              <w:t>-</w:t>
            </w:r>
          </w:p>
        </w:tc>
        <w:tc>
          <w:tcPr>
            <w:tcW w:w="1664" w:type="dxa"/>
          </w:tcPr>
          <w:p w14:paraId="72B57DBB" w14:textId="55959D4D" w:rsidR="00C81219" w:rsidRPr="003754D5" w:rsidRDefault="00C81219">
            <w:pPr>
              <w:tabs>
                <w:tab w:val="decimal" w:pos="1424"/>
              </w:tabs>
              <w:ind w:right="-144"/>
              <w:rPr>
                <w:b/>
              </w:rPr>
            </w:pPr>
            <w:r w:rsidRPr="003754D5">
              <w:rPr>
                <w:b/>
              </w:rPr>
              <w:t>(1,</w:t>
            </w:r>
            <w:r w:rsidR="005366DC">
              <w:rPr>
                <w:b/>
              </w:rPr>
              <w:t>576</w:t>
            </w:r>
            <w:r w:rsidRPr="003754D5">
              <w:rPr>
                <w:b/>
              </w:rPr>
              <w:t>)</w:t>
            </w:r>
          </w:p>
        </w:tc>
      </w:tr>
      <w:tr w:rsidR="00C81219" w:rsidRPr="008C2DB2" w14:paraId="260A96A1" w14:textId="77777777">
        <w:tc>
          <w:tcPr>
            <w:tcW w:w="5936" w:type="dxa"/>
          </w:tcPr>
          <w:p w14:paraId="5F3E13B3" w14:textId="77777777" w:rsidR="00C81219" w:rsidRPr="00A33586" w:rsidRDefault="00C81219">
            <w:pPr>
              <w:ind w:right="-144"/>
            </w:pPr>
          </w:p>
        </w:tc>
        <w:tc>
          <w:tcPr>
            <w:tcW w:w="1664" w:type="dxa"/>
          </w:tcPr>
          <w:p w14:paraId="6B86B1C3" w14:textId="77777777" w:rsidR="00C81219" w:rsidRPr="00A33586" w:rsidRDefault="00C81219">
            <w:pPr>
              <w:tabs>
                <w:tab w:val="decimal" w:pos="1424"/>
              </w:tabs>
              <w:ind w:right="-144"/>
              <w:rPr>
                <w:u w:val="single"/>
              </w:rPr>
            </w:pPr>
            <w:r w:rsidRPr="00A33586">
              <w:rPr>
                <w:u w:val="single"/>
              </w:rPr>
              <w:t>                  </w:t>
            </w:r>
          </w:p>
        </w:tc>
        <w:tc>
          <w:tcPr>
            <w:tcW w:w="1664" w:type="dxa"/>
          </w:tcPr>
          <w:p w14:paraId="295E69B9" w14:textId="77777777" w:rsidR="00C81219" w:rsidRPr="008C2DB2" w:rsidRDefault="00C81219">
            <w:pPr>
              <w:tabs>
                <w:tab w:val="decimal" w:pos="1424"/>
              </w:tabs>
              <w:ind w:right="-144"/>
              <w:rPr>
                <w:bCs/>
                <w:u w:val="single"/>
              </w:rPr>
            </w:pPr>
            <w:r w:rsidRPr="008C2DB2">
              <w:rPr>
                <w:bCs/>
                <w:u w:val="single"/>
              </w:rPr>
              <w:t>                  </w:t>
            </w:r>
          </w:p>
        </w:tc>
      </w:tr>
      <w:tr w:rsidR="00C81219" w:rsidRPr="008C2DB2" w14:paraId="1A6D0DCC" w14:textId="77777777">
        <w:tc>
          <w:tcPr>
            <w:tcW w:w="5936" w:type="dxa"/>
          </w:tcPr>
          <w:p w14:paraId="7F416FB5" w14:textId="77777777" w:rsidR="00C81219" w:rsidRPr="00A33586" w:rsidRDefault="00C81219">
            <w:pPr>
              <w:ind w:right="-144"/>
            </w:pPr>
          </w:p>
        </w:tc>
        <w:tc>
          <w:tcPr>
            <w:tcW w:w="1664" w:type="dxa"/>
          </w:tcPr>
          <w:p w14:paraId="0C676F10" w14:textId="77777777" w:rsidR="00C81219" w:rsidRPr="00A33586" w:rsidRDefault="00C81219">
            <w:pPr>
              <w:tabs>
                <w:tab w:val="decimal" w:pos="1424"/>
              </w:tabs>
              <w:ind w:right="-144"/>
              <w:rPr>
                <w:b/>
              </w:rPr>
            </w:pPr>
          </w:p>
        </w:tc>
        <w:tc>
          <w:tcPr>
            <w:tcW w:w="1664" w:type="dxa"/>
          </w:tcPr>
          <w:p w14:paraId="771C7979" w14:textId="77777777" w:rsidR="00C81219" w:rsidRPr="008C2DB2" w:rsidRDefault="00C81219">
            <w:pPr>
              <w:tabs>
                <w:tab w:val="decimal" w:pos="1424"/>
              </w:tabs>
              <w:ind w:right="-144"/>
              <w:rPr>
                <w:bCs/>
              </w:rPr>
            </w:pPr>
          </w:p>
        </w:tc>
      </w:tr>
      <w:tr w:rsidR="00C81219" w:rsidRPr="008C2DB2" w14:paraId="33652D74" w14:textId="77777777">
        <w:tc>
          <w:tcPr>
            <w:tcW w:w="5936" w:type="dxa"/>
          </w:tcPr>
          <w:p w14:paraId="64B701E1" w14:textId="77777777" w:rsidR="00C81219" w:rsidRPr="003C2696" w:rsidRDefault="00C81219">
            <w:pPr>
              <w:ind w:right="-144"/>
              <w:rPr>
                <w:b/>
              </w:rPr>
            </w:pPr>
          </w:p>
        </w:tc>
        <w:tc>
          <w:tcPr>
            <w:tcW w:w="1664" w:type="dxa"/>
          </w:tcPr>
          <w:p w14:paraId="5BD00C79" w14:textId="648DBBA5" w:rsidR="00C81219" w:rsidRDefault="006E522B">
            <w:pPr>
              <w:tabs>
                <w:tab w:val="decimal" w:pos="1424"/>
              </w:tabs>
              <w:ind w:right="-144"/>
              <w:rPr>
                <w:b/>
              </w:rPr>
            </w:pPr>
            <w:r>
              <w:rPr>
                <w:b/>
              </w:rPr>
              <w:t>-</w:t>
            </w:r>
          </w:p>
        </w:tc>
        <w:tc>
          <w:tcPr>
            <w:tcW w:w="1664" w:type="dxa"/>
          </w:tcPr>
          <w:p w14:paraId="577B61D6" w14:textId="41BCC5C8" w:rsidR="00C81219" w:rsidRPr="003754D5" w:rsidRDefault="00C81219">
            <w:pPr>
              <w:tabs>
                <w:tab w:val="decimal" w:pos="1424"/>
              </w:tabs>
              <w:ind w:right="-144"/>
              <w:rPr>
                <w:b/>
              </w:rPr>
            </w:pPr>
            <w:r w:rsidRPr="003754D5">
              <w:rPr>
                <w:b/>
              </w:rPr>
              <w:t>(1,</w:t>
            </w:r>
            <w:r w:rsidR="005366DC">
              <w:rPr>
                <w:b/>
              </w:rPr>
              <w:t>576</w:t>
            </w:r>
            <w:r w:rsidRPr="003754D5">
              <w:rPr>
                <w:b/>
              </w:rPr>
              <w:t>)</w:t>
            </w:r>
          </w:p>
        </w:tc>
      </w:tr>
      <w:tr w:rsidR="00C81219" w:rsidRPr="00D7569D" w14:paraId="4D351254" w14:textId="77777777">
        <w:trPr>
          <w:trHeight w:val="359"/>
        </w:trPr>
        <w:tc>
          <w:tcPr>
            <w:tcW w:w="5936" w:type="dxa"/>
          </w:tcPr>
          <w:p w14:paraId="4B8D8565" w14:textId="77777777" w:rsidR="00C81219" w:rsidRPr="00A33586" w:rsidRDefault="00C81219">
            <w:pPr>
              <w:ind w:right="-144"/>
              <w:rPr>
                <w:b/>
              </w:rPr>
            </w:pPr>
          </w:p>
        </w:tc>
        <w:tc>
          <w:tcPr>
            <w:tcW w:w="1664" w:type="dxa"/>
          </w:tcPr>
          <w:p w14:paraId="0F434DC2" w14:textId="77777777" w:rsidR="00C81219" w:rsidRPr="00A33586" w:rsidRDefault="00C81219">
            <w:pPr>
              <w:tabs>
                <w:tab w:val="decimal" w:pos="1424"/>
              </w:tabs>
              <w:ind w:right="-144"/>
              <w:rPr>
                <w:u w:val="double"/>
              </w:rPr>
            </w:pPr>
            <w:r w:rsidRPr="003B329D">
              <w:rPr>
                <w:u w:val="double"/>
              </w:rPr>
              <w:t>                  </w:t>
            </w:r>
          </w:p>
        </w:tc>
        <w:tc>
          <w:tcPr>
            <w:tcW w:w="1664" w:type="dxa"/>
          </w:tcPr>
          <w:p w14:paraId="240ACBB1" w14:textId="77777777" w:rsidR="00C81219" w:rsidRPr="00D7569D" w:rsidRDefault="00C81219">
            <w:pPr>
              <w:tabs>
                <w:tab w:val="decimal" w:pos="1424"/>
              </w:tabs>
              <w:ind w:right="-144"/>
              <w:rPr>
                <w:bCs/>
                <w:u w:val="double"/>
              </w:rPr>
            </w:pPr>
            <w:r w:rsidRPr="00D7569D">
              <w:rPr>
                <w:bCs/>
                <w:u w:val="double"/>
              </w:rPr>
              <w:t>                  </w:t>
            </w:r>
          </w:p>
        </w:tc>
      </w:tr>
    </w:tbl>
    <w:p w14:paraId="3B7290AB" w14:textId="4422EBF7" w:rsidR="005A2165" w:rsidRDefault="00620A6D" w:rsidP="00F32236">
      <w:pPr>
        <w:pStyle w:val="NotesHeading"/>
        <w:ind w:firstLine="0"/>
        <w:jc w:val="both"/>
      </w:pPr>
      <w:r>
        <w:t>Credit</w:t>
      </w:r>
      <w:r w:rsidRPr="00A33586">
        <w:t xml:space="preserve"> risk</w:t>
      </w:r>
    </w:p>
    <w:p w14:paraId="5C3458C4" w14:textId="77777777" w:rsidR="005A2165" w:rsidRDefault="005A2165" w:rsidP="00F32236">
      <w:pPr>
        <w:pStyle w:val="NotesHeading"/>
        <w:ind w:firstLine="0"/>
        <w:jc w:val="both"/>
      </w:pPr>
    </w:p>
    <w:p w14:paraId="7EEA7431" w14:textId="77777777" w:rsidR="00C17172" w:rsidRPr="00C17172" w:rsidRDefault="00C17172" w:rsidP="00F32236">
      <w:pPr>
        <w:pStyle w:val="NotesHeading"/>
        <w:ind w:firstLine="0"/>
        <w:jc w:val="both"/>
        <w:rPr>
          <w:rFonts w:cs="Arial"/>
          <w:b w:val="0"/>
          <w:color w:val="000000" w:themeColor="text1"/>
        </w:rPr>
      </w:pPr>
      <w:r w:rsidRPr="00C17172">
        <w:rPr>
          <w:rFonts w:cs="Arial"/>
          <w:b w:val="0"/>
          <w:color w:val="000000" w:themeColor="text1"/>
        </w:rPr>
        <w:t xml:space="preserve">The Group’s exposure to credit risk encompasses the financial assets </w:t>
      </w:r>
      <w:proofErr w:type="gramStart"/>
      <w:r w:rsidRPr="00C17172">
        <w:rPr>
          <w:rFonts w:cs="Arial"/>
          <w:b w:val="0"/>
          <w:color w:val="000000" w:themeColor="text1"/>
        </w:rPr>
        <w:t>being:</w:t>
      </w:r>
      <w:proofErr w:type="gramEnd"/>
      <w:r w:rsidRPr="00C17172">
        <w:rPr>
          <w:rFonts w:cs="Arial"/>
          <w:b w:val="0"/>
          <w:color w:val="000000" w:themeColor="text1"/>
        </w:rPr>
        <w:t xml:space="preserve"> trade and receivables,</w:t>
      </w:r>
    </w:p>
    <w:p w14:paraId="068B65EA" w14:textId="41CA8DFF" w:rsidR="00C17172" w:rsidRPr="00C17172" w:rsidRDefault="00C17172" w:rsidP="00F32236">
      <w:pPr>
        <w:pStyle w:val="NotesHeading"/>
        <w:ind w:firstLine="0"/>
        <w:jc w:val="both"/>
        <w:rPr>
          <w:rFonts w:cs="Arial"/>
          <w:b w:val="0"/>
          <w:color w:val="000000" w:themeColor="text1"/>
        </w:rPr>
      </w:pPr>
      <w:r w:rsidRPr="00C17172">
        <w:rPr>
          <w:rFonts w:cs="Arial"/>
          <w:b w:val="0"/>
          <w:color w:val="000000" w:themeColor="text1"/>
        </w:rPr>
        <w:t>contract assets and cash and cash equivalents. Credit risk is managed by regularly monitoring the</w:t>
      </w:r>
      <w:r w:rsidR="00620A6D">
        <w:rPr>
          <w:rFonts w:cs="Arial"/>
          <w:b w:val="0"/>
          <w:color w:val="000000" w:themeColor="text1"/>
        </w:rPr>
        <w:t xml:space="preserve"> </w:t>
      </w:r>
      <w:r w:rsidRPr="00C17172">
        <w:rPr>
          <w:rFonts w:cs="Arial"/>
          <w:b w:val="0"/>
          <w:color w:val="000000" w:themeColor="text1"/>
        </w:rPr>
        <w:t>Group’s</w:t>
      </w:r>
      <w:r>
        <w:rPr>
          <w:rFonts w:cs="Arial"/>
          <w:b w:val="0"/>
          <w:color w:val="000000" w:themeColor="text1"/>
        </w:rPr>
        <w:t xml:space="preserve"> </w:t>
      </w:r>
      <w:r w:rsidRPr="00C17172">
        <w:rPr>
          <w:rFonts w:cs="Arial"/>
          <w:b w:val="0"/>
          <w:color w:val="000000" w:themeColor="text1"/>
        </w:rPr>
        <w:t xml:space="preserve">credit exposure to each </w:t>
      </w:r>
      <w:proofErr w:type="gramStart"/>
      <w:r w:rsidRPr="00C17172">
        <w:rPr>
          <w:rFonts w:cs="Arial"/>
          <w:b w:val="0"/>
          <w:color w:val="000000" w:themeColor="text1"/>
        </w:rPr>
        <w:t>counter-party</w:t>
      </w:r>
      <w:proofErr w:type="gramEnd"/>
      <w:r w:rsidRPr="00C17172">
        <w:rPr>
          <w:rFonts w:cs="Arial"/>
          <w:b w:val="0"/>
          <w:color w:val="000000" w:themeColor="text1"/>
        </w:rPr>
        <w:t xml:space="preserve"> to ensure credit quality of customers and financial institutions in line</w:t>
      </w:r>
      <w:r w:rsidR="00620A6D">
        <w:rPr>
          <w:rFonts w:cs="Arial"/>
          <w:b w:val="0"/>
          <w:color w:val="000000" w:themeColor="text1"/>
        </w:rPr>
        <w:t xml:space="preserve"> </w:t>
      </w:r>
      <w:r w:rsidRPr="00C17172">
        <w:rPr>
          <w:rFonts w:cs="Arial"/>
          <w:b w:val="0"/>
          <w:color w:val="000000" w:themeColor="text1"/>
        </w:rPr>
        <w:t>with internal limits approved by the Board.</w:t>
      </w:r>
    </w:p>
    <w:p w14:paraId="74F44D16" w14:textId="77777777" w:rsidR="00620A6D" w:rsidRDefault="00620A6D" w:rsidP="00F32236">
      <w:pPr>
        <w:pStyle w:val="NotesHeading"/>
        <w:ind w:firstLine="0"/>
        <w:jc w:val="both"/>
        <w:rPr>
          <w:rFonts w:cs="Arial"/>
          <w:b w:val="0"/>
          <w:color w:val="000000" w:themeColor="text1"/>
        </w:rPr>
      </w:pPr>
    </w:p>
    <w:p w14:paraId="5259959C" w14:textId="5417E10B" w:rsidR="00A35B63" w:rsidRPr="00212103" w:rsidRDefault="00C17172" w:rsidP="00212103">
      <w:pPr>
        <w:pStyle w:val="NotesHeading"/>
        <w:ind w:firstLine="0"/>
        <w:jc w:val="both"/>
        <w:rPr>
          <w:rFonts w:cs="Arial"/>
          <w:b w:val="0"/>
          <w:color w:val="000000" w:themeColor="text1"/>
        </w:rPr>
      </w:pPr>
      <w:r w:rsidRPr="00C17172">
        <w:rPr>
          <w:rFonts w:cs="Arial"/>
          <w:b w:val="0"/>
          <w:color w:val="000000" w:themeColor="text1"/>
        </w:rPr>
        <w:t>There has been no impairment of trade receivables in the year presented. The impairment loss allowance</w:t>
      </w:r>
      <w:r w:rsidR="00F579C8">
        <w:rPr>
          <w:rFonts w:cs="Arial"/>
          <w:b w:val="0"/>
          <w:color w:val="000000" w:themeColor="text1"/>
        </w:rPr>
        <w:t xml:space="preserve"> </w:t>
      </w:r>
      <w:r w:rsidRPr="00C17172">
        <w:rPr>
          <w:rFonts w:cs="Arial"/>
          <w:b w:val="0"/>
          <w:color w:val="000000" w:themeColor="text1"/>
        </w:rPr>
        <w:t>allocated against trade receivables, contract assets, cash and cash equivalents and restricted cash is</w:t>
      </w:r>
      <w:r w:rsidR="00F579C8">
        <w:rPr>
          <w:rFonts w:cs="Arial"/>
          <w:b w:val="0"/>
          <w:color w:val="000000" w:themeColor="text1"/>
        </w:rPr>
        <w:t xml:space="preserve"> </w:t>
      </w:r>
      <w:r w:rsidRPr="00C17172">
        <w:rPr>
          <w:rFonts w:cs="Arial"/>
          <w:b w:val="0"/>
          <w:color w:val="000000" w:themeColor="text1"/>
        </w:rPr>
        <w:t xml:space="preserve">not material. The credit risk on cash and cash equivalents is limited because </w:t>
      </w:r>
      <w:proofErr w:type="gramStart"/>
      <w:r w:rsidRPr="00C17172">
        <w:rPr>
          <w:rFonts w:cs="Arial"/>
          <w:b w:val="0"/>
          <w:color w:val="000000" w:themeColor="text1"/>
        </w:rPr>
        <w:t>counter-parties</w:t>
      </w:r>
      <w:proofErr w:type="gramEnd"/>
      <w:r w:rsidRPr="00C17172">
        <w:rPr>
          <w:rFonts w:cs="Arial"/>
          <w:b w:val="0"/>
          <w:color w:val="000000" w:themeColor="text1"/>
        </w:rPr>
        <w:t xml:space="preserve"> are leading</w:t>
      </w:r>
      <w:r w:rsidR="00F579C8">
        <w:rPr>
          <w:rFonts w:cs="Arial"/>
          <w:b w:val="0"/>
          <w:color w:val="000000" w:themeColor="text1"/>
        </w:rPr>
        <w:t xml:space="preserve"> </w:t>
      </w:r>
      <w:r w:rsidRPr="00C17172">
        <w:rPr>
          <w:rFonts w:cs="Arial"/>
          <w:b w:val="0"/>
          <w:color w:val="000000" w:themeColor="text1"/>
        </w:rPr>
        <w:t>international banks with minimum long-term BBB+ credit-ratings assigned by international credit agencies. The maximum amount of credit exposure is the financial assets in this note.</w:t>
      </w:r>
    </w:p>
    <w:p w14:paraId="4256A638" w14:textId="77777777" w:rsidR="00A35B63" w:rsidRDefault="00A35B63" w:rsidP="00F32236">
      <w:pPr>
        <w:pStyle w:val="NotesBody"/>
        <w:ind w:left="0"/>
      </w:pPr>
    </w:p>
    <w:p w14:paraId="065AC230" w14:textId="77777777" w:rsidR="00F6080F" w:rsidRDefault="00F6080F" w:rsidP="00F32236">
      <w:pPr>
        <w:pStyle w:val="NotesBody"/>
        <w:ind w:left="0"/>
      </w:pPr>
    </w:p>
    <w:p w14:paraId="22258407" w14:textId="77777777" w:rsidR="00F6080F" w:rsidRDefault="00F6080F" w:rsidP="00F32236">
      <w:pPr>
        <w:pStyle w:val="NotesBody"/>
        <w:ind w:left="0"/>
      </w:pPr>
    </w:p>
    <w:p w14:paraId="78272D78" w14:textId="77777777" w:rsidR="00F6080F" w:rsidRDefault="00F6080F" w:rsidP="00F32236">
      <w:pPr>
        <w:pStyle w:val="NotesBody"/>
        <w:ind w:left="0"/>
      </w:pPr>
    </w:p>
    <w:p w14:paraId="60CD1458" w14:textId="77777777" w:rsidR="00F6080F" w:rsidRDefault="00F6080F" w:rsidP="00F32236">
      <w:pPr>
        <w:pStyle w:val="NotesBody"/>
        <w:ind w:left="0"/>
      </w:pPr>
    </w:p>
    <w:p w14:paraId="2674E7BA" w14:textId="77777777" w:rsidR="00F6080F" w:rsidRDefault="00F6080F" w:rsidP="00F32236">
      <w:pPr>
        <w:pStyle w:val="NotesBody"/>
        <w:ind w:left="0"/>
      </w:pPr>
    </w:p>
    <w:p w14:paraId="5937356B" w14:textId="77777777" w:rsidR="00F6080F" w:rsidRDefault="00F6080F" w:rsidP="00F32236">
      <w:pPr>
        <w:pStyle w:val="NotesBody"/>
        <w:ind w:left="0"/>
      </w:pPr>
    </w:p>
    <w:p w14:paraId="16D1589F" w14:textId="77777777" w:rsidR="00F6080F" w:rsidRDefault="00F6080F" w:rsidP="00F32236">
      <w:pPr>
        <w:pStyle w:val="NotesBody"/>
        <w:ind w:left="0"/>
      </w:pPr>
    </w:p>
    <w:p w14:paraId="049B4EC0" w14:textId="77777777" w:rsidR="00F6080F" w:rsidRDefault="00F6080F" w:rsidP="00F32236">
      <w:pPr>
        <w:pStyle w:val="NotesBody"/>
        <w:ind w:left="0"/>
      </w:pPr>
    </w:p>
    <w:p w14:paraId="1763CF9C" w14:textId="77777777" w:rsidR="00F6080F" w:rsidRPr="00A35B63" w:rsidRDefault="00F6080F" w:rsidP="00F32236">
      <w:pPr>
        <w:pStyle w:val="NotesBody"/>
        <w:ind w:left="0"/>
      </w:pPr>
    </w:p>
    <w:p w14:paraId="2523E33A" w14:textId="5745BB34" w:rsidR="0003412A" w:rsidRPr="000A0D44" w:rsidRDefault="0065151D" w:rsidP="7821F417">
      <w:pPr>
        <w:pStyle w:val="NotesHeading"/>
        <w:jc w:val="both"/>
      </w:pPr>
      <w:r>
        <w:t>1</w:t>
      </w:r>
      <w:r w:rsidR="00400B82">
        <w:t>6</w:t>
      </w:r>
      <w:r w:rsidR="0003412A" w:rsidRPr="000A0D44">
        <w:tab/>
        <w:t>Commitments</w:t>
      </w:r>
      <w:r w:rsidR="0003412A" w:rsidRPr="000A0D44">
        <w:rPr>
          <w:spacing w:val="-12"/>
        </w:rPr>
        <w:t xml:space="preserve"> </w:t>
      </w:r>
      <w:r w:rsidR="0003412A" w:rsidRPr="000A0D44">
        <w:t>and</w:t>
      </w:r>
      <w:r w:rsidR="0003412A" w:rsidRPr="000A0D44">
        <w:rPr>
          <w:spacing w:val="-11"/>
        </w:rPr>
        <w:t xml:space="preserve"> </w:t>
      </w:r>
      <w:r w:rsidR="0003412A" w:rsidRPr="000A0D44">
        <w:t>contingent</w:t>
      </w:r>
      <w:r w:rsidR="0003412A" w:rsidRPr="000A0D44">
        <w:rPr>
          <w:spacing w:val="-10"/>
        </w:rPr>
        <w:t xml:space="preserve"> </w:t>
      </w:r>
      <w:r w:rsidR="0003412A" w:rsidRPr="000A0D44">
        <w:rPr>
          <w:spacing w:val="-1"/>
        </w:rPr>
        <w:t>liabilities</w:t>
      </w:r>
    </w:p>
    <w:p w14:paraId="35EC8604" w14:textId="77777777" w:rsidR="00B55B4C" w:rsidRDefault="00B55B4C" w:rsidP="00253405">
      <w:pPr>
        <w:pStyle w:val="NotesBody"/>
        <w:ind w:left="0"/>
        <w:jc w:val="both"/>
        <w:rPr>
          <w:i/>
          <w:iCs/>
        </w:rPr>
      </w:pPr>
    </w:p>
    <w:p w14:paraId="3695FC00" w14:textId="46897C56" w:rsidR="006B1448" w:rsidRDefault="006B1448" w:rsidP="7821F417">
      <w:pPr>
        <w:pStyle w:val="NotesBody"/>
        <w:jc w:val="both"/>
        <w:rPr>
          <w:i/>
          <w:iCs/>
        </w:rPr>
      </w:pPr>
      <w:proofErr w:type="spellStart"/>
      <w:r w:rsidRPr="7821F417">
        <w:rPr>
          <w:i/>
          <w:iCs/>
        </w:rPr>
        <w:t>Hollystown</w:t>
      </w:r>
      <w:proofErr w:type="spellEnd"/>
      <w:r w:rsidR="002F2F2D" w:rsidRPr="7821F417">
        <w:rPr>
          <w:i/>
          <w:iCs/>
        </w:rPr>
        <w:t xml:space="preserve"> Golf and Leisure Limited</w:t>
      </w:r>
      <w:r w:rsidR="007B6443" w:rsidRPr="7821F417">
        <w:rPr>
          <w:i/>
          <w:iCs/>
        </w:rPr>
        <w:t xml:space="preserve"> (“HGL”)</w:t>
      </w:r>
    </w:p>
    <w:p w14:paraId="6F8DB391" w14:textId="162E8CF3" w:rsidR="004C6EEF" w:rsidRDefault="004C6EEF" w:rsidP="005C02FC">
      <w:pPr>
        <w:pStyle w:val="NotesBody"/>
        <w:jc w:val="both"/>
      </w:pPr>
    </w:p>
    <w:p w14:paraId="12E200F3" w14:textId="3DBA3466" w:rsidR="002F2F2D" w:rsidRDefault="002F2F2D" w:rsidP="005C02FC">
      <w:pPr>
        <w:pStyle w:val="NotesBody"/>
        <w:jc w:val="both"/>
      </w:pPr>
      <w:r>
        <w:t xml:space="preserve">During 2018, the Group acquired 100 per cent of the share capital of </w:t>
      </w:r>
      <w:r w:rsidR="007B6443">
        <w:t>HGL</w:t>
      </w:r>
      <w:r>
        <w:t>. Under the terms of an overage covenant signed in connection with the acquisition, the Group has committed to paying the vendor an amount equal to an agreed percentage of the uplift in market value of the property should any lands owned by HGL, that are not currently zoned for residential development be awarded a residential zoning. This commitment has been treated as contingent consideration and the fair value of the contingent consideration at the acquisition date was initially recognised at €nil. At the reporting date, the fair value of this contingent consideration was considered insignificant.</w:t>
      </w:r>
    </w:p>
    <w:p w14:paraId="208ED609" w14:textId="77777777" w:rsidR="00961E8A" w:rsidRDefault="00961E8A" w:rsidP="00C91B2E">
      <w:pPr>
        <w:pStyle w:val="NotesBody"/>
        <w:ind w:left="0"/>
        <w:jc w:val="both"/>
        <w:rPr>
          <w:i/>
          <w:iCs/>
        </w:rPr>
      </w:pPr>
    </w:p>
    <w:p w14:paraId="348E41D6" w14:textId="65E7AADE" w:rsidR="00DD215E" w:rsidRDefault="00DD215E" w:rsidP="7821F417">
      <w:pPr>
        <w:pStyle w:val="NotesBody"/>
        <w:jc w:val="both"/>
        <w:rPr>
          <w:i/>
          <w:iCs/>
        </w:rPr>
      </w:pPr>
      <w:r w:rsidRPr="7821F417">
        <w:rPr>
          <w:i/>
          <w:iCs/>
        </w:rPr>
        <w:t>Contracted acquisitions</w:t>
      </w:r>
    </w:p>
    <w:p w14:paraId="0C6A80F9" w14:textId="77777777" w:rsidR="00011A46" w:rsidRDefault="00011A46" w:rsidP="7821F417">
      <w:pPr>
        <w:pStyle w:val="NotesBody"/>
        <w:jc w:val="both"/>
        <w:rPr>
          <w:i/>
          <w:iCs/>
        </w:rPr>
      </w:pPr>
    </w:p>
    <w:p w14:paraId="50825EED" w14:textId="2B3CF6A5" w:rsidR="00A413EF" w:rsidRDefault="00011A46" w:rsidP="00A37120">
      <w:pPr>
        <w:pStyle w:val="NotesBody"/>
        <w:jc w:val="both"/>
      </w:pPr>
      <w:proofErr w:type="gramStart"/>
      <w:r w:rsidRPr="00D25B1E">
        <w:t>At</w:t>
      </w:r>
      <w:proofErr w:type="gramEnd"/>
      <w:r w:rsidRPr="00D25B1E">
        <w:t xml:space="preserve"> 30 June 202</w:t>
      </w:r>
      <w:r w:rsidR="00D25B1E">
        <w:t>5</w:t>
      </w:r>
      <w:r w:rsidRPr="00D25B1E">
        <w:t xml:space="preserve">, the Group had contracted to </w:t>
      </w:r>
      <w:r w:rsidR="003604BE">
        <w:t xml:space="preserve">acquire </w:t>
      </w:r>
      <w:r w:rsidR="006A4A39">
        <w:t>f</w:t>
      </w:r>
      <w:r w:rsidR="00CC21FF">
        <w:t>ive</w:t>
      </w:r>
      <w:r w:rsidR="00180544">
        <w:t xml:space="preserve"> </w:t>
      </w:r>
      <w:r w:rsidRPr="00D25B1E">
        <w:t xml:space="preserve">development sites; </w:t>
      </w:r>
      <w:r w:rsidR="00022A38" w:rsidRPr="00D25B1E">
        <w:t>one</w:t>
      </w:r>
      <w:r w:rsidRPr="00D25B1E">
        <w:t xml:space="preserve"> in County </w:t>
      </w:r>
      <w:r w:rsidR="0004415C" w:rsidRPr="00D25B1E">
        <w:t>Galway</w:t>
      </w:r>
      <w:r w:rsidR="005D512D" w:rsidRPr="00D25B1E">
        <w:t xml:space="preserve">, </w:t>
      </w:r>
      <w:r w:rsidR="0004415C" w:rsidRPr="00D25B1E">
        <w:t>one in County Meath</w:t>
      </w:r>
      <w:r w:rsidR="006A4A39">
        <w:t xml:space="preserve">, </w:t>
      </w:r>
      <w:r w:rsidR="0004415C" w:rsidRPr="00D25B1E">
        <w:t>one</w:t>
      </w:r>
      <w:r w:rsidR="0017139E" w:rsidRPr="00D25B1E">
        <w:t xml:space="preserve"> </w:t>
      </w:r>
      <w:r w:rsidR="005F76C6" w:rsidRPr="00D25B1E">
        <w:t xml:space="preserve">in </w:t>
      </w:r>
      <w:r w:rsidRPr="00D25B1E">
        <w:t>Co</w:t>
      </w:r>
      <w:r w:rsidR="005D512D" w:rsidRPr="00D25B1E">
        <w:t>unty</w:t>
      </w:r>
      <w:r w:rsidRPr="00D25B1E">
        <w:t xml:space="preserve"> </w:t>
      </w:r>
      <w:r w:rsidR="0004415C" w:rsidRPr="00D25B1E">
        <w:t>Cork</w:t>
      </w:r>
      <w:r w:rsidR="00DC7BF0">
        <w:t xml:space="preserve">, </w:t>
      </w:r>
      <w:r w:rsidR="006A4A39">
        <w:t>one in County Dublin</w:t>
      </w:r>
      <w:r w:rsidR="00DC7BF0">
        <w:t xml:space="preserve"> and one in County Westmeath</w:t>
      </w:r>
      <w:r w:rsidR="0000232A">
        <w:t xml:space="preserve"> </w:t>
      </w:r>
      <w:r w:rsidRPr="00D25B1E">
        <w:t xml:space="preserve">for </w:t>
      </w:r>
      <w:r w:rsidR="005F76C6" w:rsidRPr="00D25B1E">
        <w:t xml:space="preserve">an </w:t>
      </w:r>
      <w:r w:rsidRPr="00D25B1E">
        <w:t xml:space="preserve">aggregate consideration of approximately </w:t>
      </w:r>
      <w:r w:rsidRPr="00AB42F7">
        <w:t>€</w:t>
      </w:r>
      <w:r w:rsidR="00733D17">
        <w:t>42.8</w:t>
      </w:r>
      <w:r w:rsidRPr="00AB42F7">
        <w:t xml:space="preserve"> million</w:t>
      </w:r>
      <w:r w:rsidRPr="00D25B1E">
        <w:t xml:space="preserve"> (excluding stamp duty and legal fees). Deposits totalling €</w:t>
      </w:r>
      <w:r w:rsidR="00DF364B">
        <w:t>5.7</w:t>
      </w:r>
      <w:r w:rsidRPr="00D25B1E">
        <w:t xml:space="preserve"> million were paid pre</w:t>
      </w:r>
      <w:r w:rsidR="008C1ADE" w:rsidRPr="00D25B1E">
        <w:t>-period</w:t>
      </w:r>
      <w:r w:rsidRPr="00D25B1E">
        <w:t xml:space="preserve"> end and are included within trade and other receivables </w:t>
      </w:r>
      <w:proofErr w:type="gramStart"/>
      <w:r w:rsidRPr="00D25B1E">
        <w:t>at</w:t>
      </w:r>
      <w:proofErr w:type="gramEnd"/>
      <w:r w:rsidRPr="00D25B1E">
        <w:t xml:space="preserve"> 3</w:t>
      </w:r>
      <w:r w:rsidR="008C1ADE" w:rsidRPr="00D25B1E">
        <w:t>0</w:t>
      </w:r>
      <w:r w:rsidR="007E3AEE" w:rsidRPr="00D25B1E">
        <w:t xml:space="preserve"> </w:t>
      </w:r>
      <w:r w:rsidR="008C1ADE" w:rsidRPr="00D25B1E">
        <w:t>June</w:t>
      </w:r>
      <w:r w:rsidRPr="00D25B1E">
        <w:t xml:space="preserve"> 202</w:t>
      </w:r>
      <w:r w:rsidR="00F54E33" w:rsidRPr="00D25B1E">
        <w:t>5</w:t>
      </w:r>
      <w:r w:rsidRPr="00D25B1E">
        <w:t>.</w:t>
      </w:r>
    </w:p>
    <w:p w14:paraId="28F09347" w14:textId="77777777" w:rsidR="00D03315" w:rsidRDefault="00D03315" w:rsidP="007B3EFE">
      <w:pPr>
        <w:spacing w:line="259" w:lineRule="auto"/>
        <w:rPr>
          <w:b/>
          <w:bCs/>
        </w:rPr>
      </w:pPr>
    </w:p>
    <w:p w14:paraId="2A7C6628" w14:textId="7208FBFD" w:rsidR="00160757" w:rsidRDefault="0065151D" w:rsidP="007B3EFE">
      <w:pPr>
        <w:spacing w:line="259" w:lineRule="auto"/>
        <w:rPr>
          <w:b/>
          <w:bCs/>
        </w:rPr>
      </w:pPr>
      <w:r w:rsidRPr="7821F417">
        <w:rPr>
          <w:b/>
          <w:bCs/>
        </w:rPr>
        <w:t>1</w:t>
      </w:r>
      <w:r w:rsidR="00400B82">
        <w:rPr>
          <w:b/>
          <w:bCs/>
        </w:rPr>
        <w:t>7</w:t>
      </w:r>
      <w:r w:rsidR="00775073">
        <w:t xml:space="preserve">   </w:t>
      </w:r>
      <w:r w:rsidR="00796EE2">
        <w:t xml:space="preserve"> </w:t>
      </w:r>
      <w:r w:rsidR="00BC106B" w:rsidRPr="7821F417">
        <w:rPr>
          <w:b/>
          <w:bCs/>
        </w:rPr>
        <w:t>Subsequent events</w:t>
      </w:r>
    </w:p>
    <w:p w14:paraId="269777F0" w14:textId="77777777" w:rsidR="000375F5" w:rsidRDefault="000375F5" w:rsidP="00460329">
      <w:pPr>
        <w:jc w:val="both"/>
      </w:pPr>
    </w:p>
    <w:p w14:paraId="1DF9FAE1" w14:textId="1F710A00" w:rsidR="000375F5" w:rsidRPr="00974182" w:rsidRDefault="00071D06" w:rsidP="00CB393B">
      <w:pPr>
        <w:ind w:left="448"/>
        <w:jc w:val="both"/>
      </w:pPr>
      <w:r w:rsidRPr="00974182">
        <w:t>On 2</w:t>
      </w:r>
      <w:r w:rsidR="00FF62BB" w:rsidRPr="00974182">
        <w:t>5</w:t>
      </w:r>
      <w:r w:rsidRPr="00974182">
        <w:t xml:space="preserve"> September 2025, the Group announced </w:t>
      </w:r>
      <w:r w:rsidR="009F2F10" w:rsidRPr="00974182">
        <w:t>its intention to amend the terms of this programme so that the maximum aggregate consideration of the current programme is €</w:t>
      </w:r>
      <w:r w:rsidR="00FF62BB" w:rsidRPr="00974182">
        <w:t>105</w:t>
      </w:r>
      <w:r w:rsidR="00BB5B82" w:rsidRPr="00974182">
        <w:t xml:space="preserve"> </w:t>
      </w:r>
      <w:r w:rsidR="009F2F10" w:rsidRPr="00974182">
        <w:t>million.</w:t>
      </w:r>
      <w:r w:rsidR="00BB5B82" w:rsidRPr="00974182">
        <w:t xml:space="preserve"> </w:t>
      </w:r>
      <w:r w:rsidR="00460329" w:rsidRPr="00974182">
        <w:t>On 2</w:t>
      </w:r>
      <w:r w:rsidR="00974182" w:rsidRPr="00974182">
        <w:t>3</w:t>
      </w:r>
      <w:r w:rsidR="00460329" w:rsidRPr="00974182">
        <w:t xml:space="preserve"> September 2025, the number of shares repurchased in the share buyback programme had reached </w:t>
      </w:r>
      <w:r w:rsidR="00BD7C55" w:rsidRPr="00974182">
        <w:t>50.</w:t>
      </w:r>
      <w:r w:rsidR="000A1816" w:rsidRPr="00974182">
        <w:t>7</w:t>
      </w:r>
      <w:r w:rsidR="00BD7C55" w:rsidRPr="00974182">
        <w:t xml:space="preserve"> million</w:t>
      </w:r>
      <w:r w:rsidR="00460329" w:rsidRPr="00974182">
        <w:t xml:space="preserve"> for a cost of €</w:t>
      </w:r>
      <w:r w:rsidR="000A1816" w:rsidRPr="00974182">
        <w:t>83.3</w:t>
      </w:r>
      <w:r w:rsidR="00460329" w:rsidRPr="00974182">
        <w:t xml:space="preserve"> million. All repurchased shares were cancelled.</w:t>
      </w:r>
    </w:p>
    <w:p w14:paraId="66EDBEB7" w14:textId="77777777" w:rsidR="00BB5B82" w:rsidRPr="000B7943" w:rsidRDefault="00BB5B82" w:rsidP="00CB393B">
      <w:pPr>
        <w:ind w:left="448"/>
        <w:jc w:val="both"/>
      </w:pPr>
    </w:p>
    <w:p w14:paraId="0DFFEC95" w14:textId="1EC8A0E0" w:rsidR="00BB5B82" w:rsidRDefault="000D2E4D" w:rsidP="00CB393B">
      <w:pPr>
        <w:ind w:left="448"/>
        <w:jc w:val="both"/>
      </w:pPr>
      <w:r w:rsidRPr="000B7943">
        <w:t xml:space="preserve">On </w:t>
      </w:r>
      <w:r w:rsidR="00DD737F" w:rsidRPr="000B7943">
        <w:t>14 July</w:t>
      </w:r>
      <w:r w:rsidRPr="000B7943">
        <w:t xml:space="preserve"> 2025, the Group </w:t>
      </w:r>
      <w:r w:rsidR="003A7901" w:rsidRPr="000B7943">
        <w:t xml:space="preserve">acquired </w:t>
      </w:r>
      <w:r w:rsidR="00B0227C" w:rsidRPr="000B7943">
        <w:t xml:space="preserve">a </w:t>
      </w:r>
      <w:r w:rsidR="003A7901" w:rsidRPr="000B7943">
        <w:t xml:space="preserve">development site </w:t>
      </w:r>
      <w:r w:rsidR="00B0227C" w:rsidRPr="000B7943">
        <w:t>in County Dublin for consideration of €</w:t>
      </w:r>
      <w:r w:rsidR="008B6A90" w:rsidRPr="000B7943">
        <w:t>26.0</w:t>
      </w:r>
      <w:r w:rsidR="00B0227C" w:rsidRPr="000B7943">
        <w:t xml:space="preserve"> million</w:t>
      </w:r>
      <w:r w:rsidR="00C323F2" w:rsidRPr="000B7943">
        <w:t xml:space="preserve"> (excluding stamp duty and legal fees)</w:t>
      </w:r>
      <w:r w:rsidR="00B0227C" w:rsidRPr="000B7943">
        <w:t>.</w:t>
      </w:r>
      <w:r w:rsidR="00B0227C">
        <w:t xml:space="preserve"> </w:t>
      </w:r>
    </w:p>
    <w:p w14:paraId="24C3B84D" w14:textId="77777777" w:rsidR="00F54E33" w:rsidRDefault="00F54E33" w:rsidP="00A422FE">
      <w:pPr>
        <w:ind w:left="448"/>
        <w:jc w:val="both"/>
      </w:pPr>
    </w:p>
    <w:p w14:paraId="6A448DF7" w14:textId="63AA73D3" w:rsidR="0003412A" w:rsidRPr="00670755" w:rsidRDefault="00EC5D1B" w:rsidP="7821F417">
      <w:pPr>
        <w:pStyle w:val="NotesHeading"/>
        <w:jc w:val="both"/>
      </w:pPr>
      <w:r>
        <w:t>1</w:t>
      </w:r>
      <w:r w:rsidR="00400B82">
        <w:t>8</w:t>
      </w:r>
      <w:r w:rsidR="0003412A">
        <w:tab/>
      </w:r>
      <w:r w:rsidR="00021254">
        <w:t>Goodwill</w:t>
      </w:r>
    </w:p>
    <w:p w14:paraId="63072135" w14:textId="77777777" w:rsidR="0003412A" w:rsidRPr="00670755" w:rsidRDefault="0003412A" w:rsidP="005C02FC">
      <w:pPr>
        <w:pStyle w:val="NotesBody"/>
        <w:jc w:val="both"/>
      </w:pPr>
    </w:p>
    <w:p w14:paraId="2391DE59" w14:textId="3CA7D696" w:rsidR="00B82A48" w:rsidRDefault="00021254" w:rsidP="005C02FC">
      <w:pPr>
        <w:pStyle w:val="NotesBody"/>
        <w:jc w:val="both"/>
      </w:pPr>
      <w:r w:rsidRPr="00021254">
        <w:t>No indicator of impairment existed at reporting date in respect of goodwill</w:t>
      </w:r>
      <w:r w:rsidR="00B33CF3">
        <w:t>.</w:t>
      </w:r>
    </w:p>
    <w:p w14:paraId="131615C0" w14:textId="77777777" w:rsidR="00433D21" w:rsidRDefault="00433D21" w:rsidP="005C02FC">
      <w:pPr>
        <w:pStyle w:val="NotesBody"/>
        <w:jc w:val="both"/>
      </w:pPr>
    </w:p>
    <w:p w14:paraId="4C4C48F1" w14:textId="050CFBE7" w:rsidR="00433D21" w:rsidRPr="00670755" w:rsidRDefault="00433D21" w:rsidP="00433D21">
      <w:pPr>
        <w:pStyle w:val="NotesHeading"/>
        <w:jc w:val="both"/>
      </w:pPr>
      <w:r>
        <w:t>19</w:t>
      </w:r>
      <w:r>
        <w:tab/>
      </w:r>
      <w:r w:rsidR="00021254">
        <w:t xml:space="preserve">Related </w:t>
      </w:r>
      <w:r w:rsidR="00BD75B7">
        <w:t>party transactions</w:t>
      </w:r>
    </w:p>
    <w:p w14:paraId="259727EF" w14:textId="77777777" w:rsidR="00433D21" w:rsidRPr="00670755" w:rsidRDefault="00433D21" w:rsidP="00433D21">
      <w:pPr>
        <w:pStyle w:val="NotesBody"/>
        <w:jc w:val="both"/>
      </w:pPr>
    </w:p>
    <w:p w14:paraId="1A01A60F" w14:textId="69D8B3FF" w:rsidR="00433D21" w:rsidRDefault="00433D21" w:rsidP="00BD75B7">
      <w:pPr>
        <w:pStyle w:val="NotesBody"/>
        <w:jc w:val="both"/>
      </w:pPr>
      <w:r>
        <w:t>The</w:t>
      </w:r>
      <w:r w:rsidR="00BD75B7">
        <w:t xml:space="preserve">re were no related party transactions in the </w:t>
      </w:r>
      <w:r w:rsidR="00344005">
        <w:t xml:space="preserve">current or prior </w:t>
      </w:r>
      <w:r w:rsidR="00BD75B7">
        <w:t xml:space="preserve">reporting period. </w:t>
      </w:r>
      <w:r>
        <w:t xml:space="preserve"> </w:t>
      </w:r>
    </w:p>
    <w:p w14:paraId="57658C99" w14:textId="77777777" w:rsidR="00BD75B7" w:rsidRDefault="00BD75B7" w:rsidP="00BD75B7">
      <w:pPr>
        <w:pStyle w:val="NotesBody"/>
        <w:jc w:val="both"/>
      </w:pPr>
    </w:p>
    <w:p w14:paraId="63BED671" w14:textId="4552F8F0" w:rsidR="00433D21" w:rsidRPr="00670755" w:rsidRDefault="00433D21" w:rsidP="00433D21">
      <w:pPr>
        <w:pStyle w:val="NotesHeading"/>
        <w:jc w:val="both"/>
      </w:pPr>
      <w:r>
        <w:t>20</w:t>
      </w:r>
      <w:r>
        <w:tab/>
        <w:t xml:space="preserve">Approved </w:t>
      </w:r>
      <w:r w:rsidR="00F5046F">
        <w:t xml:space="preserve">condensed consolidated interim </w:t>
      </w:r>
      <w:r>
        <w:t>financial statements</w:t>
      </w:r>
    </w:p>
    <w:p w14:paraId="2B358D7C" w14:textId="77777777" w:rsidR="00433D21" w:rsidRPr="00670755" w:rsidRDefault="00433D21" w:rsidP="00433D21">
      <w:pPr>
        <w:pStyle w:val="NotesBody"/>
        <w:jc w:val="both"/>
      </w:pPr>
    </w:p>
    <w:p w14:paraId="40819F1F" w14:textId="35C83AC5" w:rsidR="00433D21" w:rsidRDefault="00433D21" w:rsidP="00433D21">
      <w:pPr>
        <w:pStyle w:val="NotesBody"/>
        <w:jc w:val="both"/>
      </w:pPr>
      <w:r>
        <w:t xml:space="preserve">The Directors approved the condensed consolidated interim financial statements on </w:t>
      </w:r>
      <w:r w:rsidR="00002211">
        <w:t>24</w:t>
      </w:r>
      <w:r>
        <w:t xml:space="preserve"> September 202</w:t>
      </w:r>
      <w:r w:rsidR="00F54E33">
        <w:t>5</w:t>
      </w:r>
      <w:r>
        <w:t>.</w:t>
      </w:r>
    </w:p>
    <w:p w14:paraId="73B4376A" w14:textId="77777777" w:rsidR="00433D21" w:rsidRDefault="00433D21" w:rsidP="005C02FC">
      <w:pPr>
        <w:pStyle w:val="NotesBody"/>
        <w:jc w:val="both"/>
      </w:pPr>
    </w:p>
    <w:p w14:paraId="7990666F" w14:textId="77777777" w:rsidR="00920921" w:rsidRDefault="00920921" w:rsidP="005C02FC">
      <w:pPr>
        <w:pStyle w:val="NotesBody"/>
        <w:jc w:val="both"/>
      </w:pPr>
    </w:p>
    <w:p w14:paraId="4BEE9168" w14:textId="1A4D3127" w:rsidR="004E7061" w:rsidRDefault="004E7061" w:rsidP="005C02FC">
      <w:pPr>
        <w:pStyle w:val="NotesBody"/>
        <w:jc w:val="both"/>
      </w:pPr>
    </w:p>
    <w:p w14:paraId="1E636E00" w14:textId="280CC9FB" w:rsidR="004E7061" w:rsidRDefault="004E7061" w:rsidP="005C02FC">
      <w:pPr>
        <w:pStyle w:val="NotesBody"/>
        <w:jc w:val="both"/>
      </w:pPr>
    </w:p>
    <w:sectPr w:rsidR="004E7061" w:rsidSect="009D7977">
      <w:headerReference w:type="even" r:id="rId70"/>
      <w:headerReference w:type="default" r:id="rId71"/>
      <w:footerReference w:type="even" r:id="rId72"/>
      <w:footerReference w:type="default" r:id="rId73"/>
      <w:headerReference w:type="first" r:id="rId74"/>
      <w:footerReference w:type="first" r:id="rId75"/>
      <w:pgSz w:w="11909" w:h="16834" w:code="9"/>
      <w:pgMar w:top="1080" w:right="1077" w:bottom="1077" w:left="1440"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C8AF" w14:textId="77777777" w:rsidR="002D5142" w:rsidRDefault="002D5142" w:rsidP="005035CE">
      <w:r>
        <w:separator/>
      </w:r>
    </w:p>
  </w:endnote>
  <w:endnote w:type="continuationSeparator" w:id="0">
    <w:p w14:paraId="1441124D" w14:textId="77777777" w:rsidR="002D5142" w:rsidRDefault="002D5142" w:rsidP="005035CE">
      <w:r>
        <w:continuationSeparator/>
      </w:r>
    </w:p>
  </w:endnote>
  <w:endnote w:type="continuationNotice" w:id="1">
    <w:p w14:paraId="6AEB3D7E" w14:textId="77777777" w:rsidR="002D5142" w:rsidRDefault="002D5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36F0" w14:textId="77777777" w:rsidR="00ED4FB7" w:rsidRDefault="00ED4FB7">
    <w:pPr>
      <w:pStyle w:val="Footer"/>
    </w:pPr>
    <w:r>
      <w:rPr>
        <w:noProof/>
      </w:rPr>
      <mc:AlternateContent>
        <mc:Choice Requires="wps">
          <w:drawing>
            <wp:anchor distT="0" distB="0" distL="0" distR="0" simplePos="0" relativeHeight="251660308" behindDoc="0" locked="0" layoutInCell="1" allowOverlap="1" wp14:anchorId="1A54A7DB" wp14:editId="3CB82A0A">
              <wp:simplePos x="635" y="635"/>
              <wp:positionH relativeFrom="page">
                <wp:align>left</wp:align>
              </wp:positionH>
              <wp:positionV relativeFrom="page">
                <wp:align>bottom</wp:align>
              </wp:positionV>
              <wp:extent cx="1816100" cy="333375"/>
              <wp:effectExtent l="0" t="0" r="12700" b="0"/>
              <wp:wrapNone/>
              <wp:docPr id="1110520808" name="Text Box 2"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6100" cy="333375"/>
                      </a:xfrm>
                      <a:prstGeom prst="rect">
                        <a:avLst/>
                      </a:prstGeom>
                      <a:noFill/>
                      <a:ln>
                        <a:noFill/>
                      </a:ln>
                    </wps:spPr>
                    <wps:txbx>
                      <w:txbxContent>
                        <w:p w14:paraId="5B4449AD" w14:textId="77777777" w:rsidR="00ED4FB7" w:rsidRPr="00FD425F" w:rsidRDefault="00ED4FB7" w:rsidP="00FD425F">
                          <w:pPr>
                            <w:rPr>
                              <w:rFonts w:ascii="Aptos" w:eastAsia="Aptos" w:hAnsi="Aptos" w:cs="Aptos"/>
                              <w:noProof/>
                              <w:color w:val="000000"/>
                              <w:sz w:val="16"/>
                              <w:szCs w:val="16"/>
                            </w:rPr>
                          </w:pPr>
                          <w:r w:rsidRPr="00FD425F">
                            <w:rPr>
                              <w:rFonts w:ascii="Aptos" w:eastAsia="Aptos" w:hAnsi="Aptos" w:cs="Aptos"/>
                              <w:noProof/>
                              <w:color w:val="000000"/>
                              <w:sz w:val="16"/>
                              <w:szCs w:val="16"/>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54A7DB" id="_x0000_t202" coordsize="21600,21600" o:spt="202" path="m,l,21600r21600,l21600,xe">
              <v:stroke joinstyle="miter"/>
              <v:path gradientshapeok="t" o:connecttype="rect"/>
            </v:shapetype>
            <v:shape id="Text Box 2" o:spid="_x0000_s1026" type="#_x0000_t202" alt="This File is Classified: Confidential " style="position:absolute;margin-left:0;margin-top:0;width:143pt;height:26.25pt;z-index:2516603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" filled="f" stroked="f">
              <v:textbox style="mso-fit-shape-to-text:t" inset="20pt,0,0,15pt">
                <w:txbxContent>
                  <w:p w14:paraId="5B4449AD" w14:textId="77777777" w:rsidR="00ED4FB7" w:rsidRPr="00FD425F" w:rsidRDefault="00ED4FB7" w:rsidP="00FD425F">
                    <w:pPr>
                      <w:rPr>
                        <w:rFonts w:ascii="Aptos" w:eastAsia="Aptos" w:hAnsi="Aptos" w:cs="Aptos"/>
                        <w:noProof/>
                        <w:color w:val="000000"/>
                        <w:sz w:val="16"/>
                        <w:szCs w:val="16"/>
                      </w:rPr>
                    </w:pPr>
                    <w:r w:rsidRPr="00FD425F">
                      <w:rPr>
                        <w:rFonts w:ascii="Aptos" w:eastAsia="Aptos" w:hAnsi="Aptos" w:cs="Aptos"/>
                        <w:noProof/>
                        <w:color w:val="000000"/>
                        <w:sz w:val="16"/>
                        <w:szCs w:val="16"/>
                      </w:rPr>
                      <w:t xml:space="preserve">This File is Classified: Confidential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584815"/>
      <w:docPartObj>
        <w:docPartGallery w:val="Page Numbers (Bottom of Page)"/>
        <w:docPartUnique/>
      </w:docPartObj>
    </w:sdtPr>
    <w:sdtEndPr>
      <w:rPr>
        <w:noProof/>
      </w:rPr>
    </w:sdtEndPr>
    <w:sdtContent>
      <w:p w14:paraId="00FDF8D0" w14:textId="52C4EAB8" w:rsidR="00F728B5" w:rsidRDefault="00F728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1B6DEA" w14:textId="3196CB32" w:rsidR="000A1D5C" w:rsidRDefault="000A1D5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06BCB59D" w14:paraId="74E5E558" w14:textId="77777777" w:rsidTr="06BCB59D">
      <w:tc>
        <w:tcPr>
          <w:tcW w:w="3130" w:type="dxa"/>
        </w:tcPr>
        <w:p w14:paraId="4D5D9AAA" w14:textId="0196AA75" w:rsidR="06BCB59D" w:rsidRDefault="003D4C31" w:rsidP="06BCB59D">
          <w:pPr>
            <w:pStyle w:val="Header"/>
            <w:ind w:left="-115"/>
            <w:rPr>
              <w:rFonts w:eastAsia="Calibri" w:cs="Arial"/>
              <w:szCs w:val="20"/>
            </w:rPr>
          </w:pPr>
          <w:r>
            <w:rPr>
              <w:rFonts w:eastAsia="Calibri" w:cs="Arial"/>
              <w:noProof/>
              <w:szCs w:val="20"/>
            </w:rPr>
            <mc:AlternateContent>
              <mc:Choice Requires="wps">
                <w:drawing>
                  <wp:anchor distT="0" distB="0" distL="0" distR="0" simplePos="0" relativeHeight="251658245" behindDoc="0" locked="0" layoutInCell="1" allowOverlap="1" wp14:anchorId="0C160913" wp14:editId="16B0CD20">
                    <wp:simplePos x="635" y="635"/>
                    <wp:positionH relativeFrom="page">
                      <wp:align>left</wp:align>
                    </wp:positionH>
                    <wp:positionV relativeFrom="page">
                      <wp:align>bottom</wp:align>
                    </wp:positionV>
                    <wp:extent cx="1850390" cy="500380"/>
                    <wp:effectExtent l="0" t="0" r="16510" b="0"/>
                    <wp:wrapNone/>
                    <wp:docPr id="849315121" name="Text Box 7"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0390" cy="500380"/>
                            </a:xfrm>
                            <a:prstGeom prst="rect">
                              <a:avLst/>
                            </a:prstGeom>
                            <a:noFill/>
                            <a:ln>
                              <a:noFill/>
                            </a:ln>
                          </wps:spPr>
                          <wps:txbx>
                            <w:txbxContent>
                              <w:p w14:paraId="44BFE3B3" w14:textId="108F1662"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160913" id="_x0000_t202" coordsize="21600,21600" o:spt="202" path="m,l,21600r21600,l21600,xe">
                    <v:stroke joinstyle="miter"/>
                    <v:path gradientshapeok="t" o:connecttype="rect"/>
                  </v:shapetype>
                  <v:shape id="Text Box 7" o:spid="_x0000_s1032" type="#_x0000_t202" alt="This File is Classified: Confidential " style="position:absolute;left:0;text-align:left;margin-left:0;margin-top:0;width:145.7pt;height:39.4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" filled="f" stroked="f">
                    <v:textbox style="mso-fit-shape-to-text:t" inset="20pt,0,0,15pt">
                      <w:txbxContent>
                        <w:p w14:paraId="44BFE3B3" w14:textId="108F1662"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tc>
      <w:tc>
        <w:tcPr>
          <w:tcW w:w="3130" w:type="dxa"/>
        </w:tcPr>
        <w:p w14:paraId="751FDB61" w14:textId="5AA403D5" w:rsidR="06BCB59D" w:rsidRDefault="06BCB59D" w:rsidP="06BCB59D">
          <w:pPr>
            <w:pStyle w:val="Header"/>
            <w:jc w:val="center"/>
            <w:rPr>
              <w:rFonts w:eastAsia="Calibri" w:cs="Arial"/>
              <w:szCs w:val="20"/>
            </w:rPr>
          </w:pPr>
        </w:p>
      </w:tc>
      <w:tc>
        <w:tcPr>
          <w:tcW w:w="3130" w:type="dxa"/>
        </w:tcPr>
        <w:p w14:paraId="4F7622D4" w14:textId="5EBEA3DC" w:rsidR="06BCB59D" w:rsidRDefault="06BCB59D" w:rsidP="06BCB59D">
          <w:pPr>
            <w:pStyle w:val="Header"/>
            <w:ind w:right="-115"/>
            <w:jc w:val="right"/>
            <w:rPr>
              <w:rFonts w:eastAsia="Calibri" w:cs="Arial"/>
              <w:szCs w:val="20"/>
            </w:rPr>
          </w:pPr>
        </w:p>
      </w:tc>
    </w:tr>
  </w:tbl>
  <w:p w14:paraId="5C478CBE" w14:textId="07C3370F" w:rsidR="06BCB59D" w:rsidRDefault="06BCB59D" w:rsidP="06BCB59D">
    <w:pPr>
      <w:pStyle w:val="Footer"/>
      <w:rPr>
        <w:rFonts w:eastAsia="Calibri" w:cs="Arial"/>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CAF8" w14:textId="367655C6" w:rsidR="000A1D5C" w:rsidRDefault="003D4C31">
    <w:pPr>
      <w:pStyle w:val="Footer"/>
    </w:pPr>
    <w:r>
      <w:rPr>
        <w:noProof/>
      </w:rPr>
      <mc:AlternateContent>
        <mc:Choice Requires="wps">
          <w:drawing>
            <wp:anchor distT="0" distB="0" distL="0" distR="0" simplePos="0" relativeHeight="251658248" behindDoc="0" locked="0" layoutInCell="1" allowOverlap="1" wp14:anchorId="74C55502" wp14:editId="47F2F021">
              <wp:simplePos x="635" y="635"/>
              <wp:positionH relativeFrom="page">
                <wp:align>left</wp:align>
              </wp:positionH>
              <wp:positionV relativeFrom="page">
                <wp:align>bottom</wp:align>
              </wp:positionV>
              <wp:extent cx="1980565" cy="345440"/>
              <wp:effectExtent l="0" t="0" r="635" b="0"/>
              <wp:wrapNone/>
              <wp:docPr id="2024729929" name="Text Box 11"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0565" cy="345440"/>
                      </a:xfrm>
                      <a:prstGeom prst="rect">
                        <a:avLst/>
                      </a:prstGeom>
                      <a:noFill/>
                      <a:ln>
                        <a:noFill/>
                      </a:ln>
                    </wps:spPr>
                    <wps:txbx>
                      <w:txbxContent>
                        <w:p w14:paraId="390DC543" w14:textId="60557FF8"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C55502" id="_x0000_t202" coordsize="21600,21600" o:spt="202" path="m,l,21600r21600,l21600,xe">
              <v:stroke joinstyle="miter"/>
              <v:path gradientshapeok="t" o:connecttype="rect"/>
            </v:shapetype>
            <v:shape id="Text Box 11" o:spid="_x0000_s1033" type="#_x0000_t202" alt="This File is Classified: Confidential " style="position:absolute;margin-left:0;margin-top:0;width:155.95pt;height:27.2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" filled="f" stroked="f">
              <v:textbox style="mso-fit-shape-to-text:t" inset="20pt,0,0,15pt">
                <w:txbxContent>
                  <w:p w14:paraId="390DC543" w14:textId="60557FF8"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4208"/>
      <w:docPartObj>
        <w:docPartGallery w:val="Page Numbers (Bottom of Page)"/>
        <w:docPartUnique/>
      </w:docPartObj>
    </w:sdtPr>
    <w:sdtEndPr>
      <w:rPr>
        <w:noProof/>
      </w:rPr>
    </w:sdtEndPr>
    <w:sdtContent>
      <w:p w14:paraId="09A1B1EF" w14:textId="3168117C" w:rsidR="00F728B5" w:rsidRDefault="00F728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45D05" w14:textId="736520A1" w:rsidR="000A1D5C" w:rsidRDefault="000A1D5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06BCB59D" w14:paraId="23AFA191" w14:textId="77777777" w:rsidTr="06BCB59D">
      <w:tc>
        <w:tcPr>
          <w:tcW w:w="3130" w:type="dxa"/>
        </w:tcPr>
        <w:p w14:paraId="1052D0C0" w14:textId="7CFE52FF" w:rsidR="06BCB59D" w:rsidRDefault="003D4C31" w:rsidP="06BCB59D">
          <w:pPr>
            <w:pStyle w:val="Header"/>
            <w:ind w:left="-115"/>
            <w:rPr>
              <w:rFonts w:eastAsia="Calibri" w:cs="Arial"/>
              <w:szCs w:val="20"/>
            </w:rPr>
          </w:pPr>
          <w:r>
            <w:rPr>
              <w:rFonts w:eastAsia="Calibri" w:cs="Arial"/>
              <w:noProof/>
              <w:szCs w:val="20"/>
            </w:rPr>
            <mc:AlternateContent>
              <mc:Choice Requires="wps">
                <w:drawing>
                  <wp:anchor distT="0" distB="0" distL="0" distR="0" simplePos="0" relativeHeight="251658247" behindDoc="0" locked="0" layoutInCell="1" allowOverlap="1" wp14:anchorId="43C2FDEB" wp14:editId="7FD8D4AF">
                    <wp:simplePos x="635" y="635"/>
                    <wp:positionH relativeFrom="page">
                      <wp:align>left</wp:align>
                    </wp:positionH>
                    <wp:positionV relativeFrom="page">
                      <wp:align>bottom</wp:align>
                    </wp:positionV>
                    <wp:extent cx="1850390" cy="500380"/>
                    <wp:effectExtent l="0" t="0" r="16510" b="0"/>
                    <wp:wrapNone/>
                    <wp:docPr id="310836273" name="Text Box 10"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0390" cy="500380"/>
                            </a:xfrm>
                            <a:prstGeom prst="rect">
                              <a:avLst/>
                            </a:prstGeom>
                            <a:noFill/>
                            <a:ln>
                              <a:noFill/>
                            </a:ln>
                          </wps:spPr>
                          <wps:txbx>
                            <w:txbxContent>
                              <w:p w14:paraId="4638FFE4" w14:textId="13BDAFD6"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C2FDEB" id="_x0000_t202" coordsize="21600,21600" o:spt="202" path="m,l,21600r21600,l21600,xe">
                    <v:stroke joinstyle="miter"/>
                    <v:path gradientshapeok="t" o:connecttype="rect"/>
                  </v:shapetype>
                  <v:shape id="Text Box 10" o:spid="_x0000_s1034" type="#_x0000_t202" alt="This File is Classified: Confidential " style="position:absolute;left:0;text-align:left;margin-left:0;margin-top:0;width:145.7pt;height:39.4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" filled="f" stroked="f">
                    <v:textbox style="mso-fit-shape-to-text:t" inset="20pt,0,0,15pt">
                      <w:txbxContent>
                        <w:p w14:paraId="4638FFE4" w14:textId="13BDAFD6"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tc>
      <w:tc>
        <w:tcPr>
          <w:tcW w:w="3130" w:type="dxa"/>
        </w:tcPr>
        <w:p w14:paraId="0D57071B" w14:textId="6BD3729D" w:rsidR="06BCB59D" w:rsidRDefault="06BCB59D" w:rsidP="06BCB59D">
          <w:pPr>
            <w:pStyle w:val="Header"/>
            <w:jc w:val="center"/>
            <w:rPr>
              <w:rFonts w:eastAsia="Calibri" w:cs="Arial"/>
              <w:szCs w:val="20"/>
            </w:rPr>
          </w:pPr>
        </w:p>
      </w:tc>
      <w:tc>
        <w:tcPr>
          <w:tcW w:w="3130" w:type="dxa"/>
        </w:tcPr>
        <w:p w14:paraId="6CAD9B9B" w14:textId="2854541C" w:rsidR="06BCB59D" w:rsidRDefault="06BCB59D" w:rsidP="06BCB59D">
          <w:pPr>
            <w:pStyle w:val="Header"/>
            <w:ind w:right="-115"/>
            <w:jc w:val="right"/>
            <w:rPr>
              <w:rFonts w:eastAsia="Calibri" w:cs="Arial"/>
              <w:szCs w:val="20"/>
            </w:rPr>
          </w:pPr>
        </w:p>
      </w:tc>
    </w:tr>
  </w:tbl>
  <w:p w14:paraId="07AF59E9" w14:textId="79360F4A" w:rsidR="06BCB59D" w:rsidRDefault="06BCB59D" w:rsidP="06BCB59D">
    <w:pPr>
      <w:pStyle w:val="Footer"/>
      <w:rPr>
        <w:rFonts w:eastAsia="Calibri" w:cs="Arial"/>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2E54" w14:textId="7179DE25" w:rsidR="000A1D5C" w:rsidRDefault="003D4C31">
    <w:pPr>
      <w:pStyle w:val="Footer"/>
    </w:pPr>
    <w:r>
      <w:rPr>
        <w:noProof/>
      </w:rPr>
      <mc:AlternateContent>
        <mc:Choice Requires="wps">
          <w:drawing>
            <wp:anchor distT="0" distB="0" distL="0" distR="0" simplePos="0" relativeHeight="251658250" behindDoc="0" locked="0" layoutInCell="1" allowOverlap="1" wp14:anchorId="6B4C28A6" wp14:editId="31D1CCB8">
              <wp:simplePos x="635" y="635"/>
              <wp:positionH relativeFrom="page">
                <wp:align>left</wp:align>
              </wp:positionH>
              <wp:positionV relativeFrom="page">
                <wp:align>bottom</wp:align>
              </wp:positionV>
              <wp:extent cx="1980565" cy="345440"/>
              <wp:effectExtent l="0" t="0" r="635" b="0"/>
              <wp:wrapNone/>
              <wp:docPr id="1038534223" name="Text Box 14"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0565" cy="345440"/>
                      </a:xfrm>
                      <a:prstGeom prst="rect">
                        <a:avLst/>
                      </a:prstGeom>
                      <a:noFill/>
                      <a:ln>
                        <a:noFill/>
                      </a:ln>
                    </wps:spPr>
                    <wps:txbx>
                      <w:txbxContent>
                        <w:p w14:paraId="7EF5CD40" w14:textId="36CFFF38"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4C28A6" id="_x0000_t202" coordsize="21600,21600" o:spt="202" path="m,l,21600r21600,l21600,xe">
              <v:stroke joinstyle="miter"/>
              <v:path gradientshapeok="t" o:connecttype="rect"/>
            </v:shapetype>
            <v:shape id="Text Box 14" o:spid="_x0000_s1035" type="#_x0000_t202" alt="This File is Classified: Confidential " style="position:absolute;margin-left:0;margin-top:0;width:155.95pt;height:27.2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" filled="f" stroked="f">
              <v:textbox style="mso-fit-shape-to-text:t" inset="20pt,0,0,15pt">
                <w:txbxContent>
                  <w:p w14:paraId="7EF5CD40" w14:textId="36CFFF38"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747476"/>
      <w:docPartObj>
        <w:docPartGallery w:val="Page Numbers (Bottom of Page)"/>
        <w:docPartUnique/>
      </w:docPartObj>
    </w:sdtPr>
    <w:sdtEndPr>
      <w:rPr>
        <w:noProof/>
      </w:rPr>
    </w:sdtEndPr>
    <w:sdtContent>
      <w:p w14:paraId="49E045B4" w14:textId="1A1E3A73" w:rsidR="00F728B5" w:rsidRDefault="00F728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A15C60" w14:textId="568510BF" w:rsidR="000A1D5C" w:rsidRDefault="000A1D5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06BCB59D" w14:paraId="6801B375" w14:textId="77777777" w:rsidTr="06BCB59D">
      <w:tc>
        <w:tcPr>
          <w:tcW w:w="3130" w:type="dxa"/>
        </w:tcPr>
        <w:p w14:paraId="3667ECEB" w14:textId="0A5A32DC" w:rsidR="06BCB59D" w:rsidRDefault="003D4C31" w:rsidP="06BCB59D">
          <w:pPr>
            <w:pStyle w:val="Header"/>
            <w:ind w:left="-115"/>
            <w:rPr>
              <w:rFonts w:eastAsia="Calibri" w:cs="Arial"/>
              <w:szCs w:val="20"/>
            </w:rPr>
          </w:pPr>
          <w:r>
            <w:rPr>
              <w:rFonts w:eastAsia="Calibri" w:cs="Arial"/>
              <w:noProof/>
              <w:szCs w:val="20"/>
            </w:rPr>
            <mc:AlternateContent>
              <mc:Choice Requires="wps">
                <w:drawing>
                  <wp:anchor distT="0" distB="0" distL="0" distR="0" simplePos="0" relativeHeight="251658249" behindDoc="0" locked="0" layoutInCell="1" allowOverlap="1" wp14:anchorId="415DE116" wp14:editId="3F8CC080">
                    <wp:simplePos x="635" y="635"/>
                    <wp:positionH relativeFrom="page">
                      <wp:align>left</wp:align>
                    </wp:positionH>
                    <wp:positionV relativeFrom="page">
                      <wp:align>bottom</wp:align>
                    </wp:positionV>
                    <wp:extent cx="1850390" cy="500380"/>
                    <wp:effectExtent l="0" t="0" r="16510" b="0"/>
                    <wp:wrapNone/>
                    <wp:docPr id="327840455" name="Text Box 13"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0390" cy="500380"/>
                            </a:xfrm>
                            <a:prstGeom prst="rect">
                              <a:avLst/>
                            </a:prstGeom>
                            <a:noFill/>
                            <a:ln>
                              <a:noFill/>
                            </a:ln>
                          </wps:spPr>
                          <wps:txbx>
                            <w:txbxContent>
                              <w:p w14:paraId="194CF63A" w14:textId="388ECE89"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5DE116" id="_x0000_t202" coordsize="21600,21600" o:spt="202" path="m,l,21600r21600,l21600,xe">
                    <v:stroke joinstyle="miter"/>
                    <v:path gradientshapeok="t" o:connecttype="rect"/>
                  </v:shapetype>
                  <v:shape id="Text Box 13" o:spid="_x0000_s1036" type="#_x0000_t202" alt="This File is Classified: Confidential " style="position:absolute;left:0;text-align:left;margin-left:0;margin-top:0;width:145.7pt;height:39.4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" filled="f" stroked="f">
                    <v:textbox style="mso-fit-shape-to-text:t" inset="20pt,0,0,15pt">
                      <w:txbxContent>
                        <w:p w14:paraId="194CF63A" w14:textId="388ECE89"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tc>
      <w:tc>
        <w:tcPr>
          <w:tcW w:w="3130" w:type="dxa"/>
        </w:tcPr>
        <w:p w14:paraId="40F88329" w14:textId="41A6D401" w:rsidR="06BCB59D" w:rsidRDefault="06BCB59D" w:rsidP="06BCB59D">
          <w:pPr>
            <w:pStyle w:val="Header"/>
            <w:jc w:val="center"/>
            <w:rPr>
              <w:rFonts w:eastAsia="Calibri" w:cs="Arial"/>
              <w:szCs w:val="20"/>
            </w:rPr>
          </w:pPr>
        </w:p>
      </w:tc>
      <w:tc>
        <w:tcPr>
          <w:tcW w:w="3130" w:type="dxa"/>
        </w:tcPr>
        <w:p w14:paraId="1555FAC6" w14:textId="09360255" w:rsidR="06BCB59D" w:rsidRDefault="06BCB59D" w:rsidP="06BCB59D">
          <w:pPr>
            <w:pStyle w:val="Header"/>
            <w:ind w:right="-115"/>
            <w:jc w:val="right"/>
            <w:rPr>
              <w:rFonts w:eastAsia="Calibri" w:cs="Arial"/>
              <w:szCs w:val="20"/>
            </w:rPr>
          </w:pPr>
        </w:p>
      </w:tc>
    </w:tr>
  </w:tbl>
  <w:p w14:paraId="3D5BC53A" w14:textId="41A19BA9" w:rsidR="06BCB59D" w:rsidRDefault="06BCB59D" w:rsidP="06BCB59D">
    <w:pPr>
      <w:pStyle w:val="Footer"/>
      <w:rPr>
        <w:rFonts w:eastAsia="Calibri" w:cs="Arial"/>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49FE" w14:textId="379CA283" w:rsidR="000A1D5C" w:rsidRDefault="003D4C31">
    <w:pPr>
      <w:pStyle w:val="Footer"/>
    </w:pPr>
    <w:r>
      <w:rPr>
        <w:noProof/>
      </w:rPr>
      <mc:AlternateContent>
        <mc:Choice Requires="wps">
          <w:drawing>
            <wp:anchor distT="0" distB="0" distL="0" distR="0" simplePos="0" relativeHeight="251658252" behindDoc="0" locked="0" layoutInCell="1" allowOverlap="1" wp14:anchorId="0F133E21" wp14:editId="37B6F7E4">
              <wp:simplePos x="635" y="635"/>
              <wp:positionH relativeFrom="page">
                <wp:align>left</wp:align>
              </wp:positionH>
              <wp:positionV relativeFrom="page">
                <wp:align>bottom</wp:align>
              </wp:positionV>
              <wp:extent cx="1980565" cy="345440"/>
              <wp:effectExtent l="0" t="0" r="635" b="0"/>
              <wp:wrapNone/>
              <wp:docPr id="156637572" name="Text Box 17"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0565" cy="345440"/>
                      </a:xfrm>
                      <a:prstGeom prst="rect">
                        <a:avLst/>
                      </a:prstGeom>
                      <a:noFill/>
                      <a:ln>
                        <a:noFill/>
                      </a:ln>
                    </wps:spPr>
                    <wps:txbx>
                      <w:txbxContent>
                        <w:p w14:paraId="4C4067D6" w14:textId="5DDC6B7C"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133E21" id="_x0000_t202" coordsize="21600,21600" o:spt="202" path="m,l,21600r21600,l21600,xe">
              <v:stroke joinstyle="miter"/>
              <v:path gradientshapeok="t" o:connecttype="rect"/>
            </v:shapetype>
            <v:shape id="Text Box 17" o:spid="_x0000_s1037" type="#_x0000_t202" alt="This File is Classified: Confidential " style="position:absolute;margin-left:0;margin-top:0;width:155.95pt;height:27.2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" filled="f" stroked="f">
              <v:textbox style="mso-fit-shape-to-text:t" inset="20pt,0,0,15pt">
                <w:txbxContent>
                  <w:p w14:paraId="4C4067D6" w14:textId="5DDC6B7C"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468194"/>
      <w:docPartObj>
        <w:docPartGallery w:val="Page Numbers (Bottom of Page)"/>
        <w:docPartUnique/>
      </w:docPartObj>
    </w:sdtPr>
    <w:sdtEndPr>
      <w:rPr>
        <w:noProof/>
      </w:rPr>
    </w:sdtEndPr>
    <w:sdtContent>
      <w:p w14:paraId="0CA6E1E1" w14:textId="5083FC8C" w:rsidR="00F728B5" w:rsidRDefault="00F728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B661BB" w14:textId="2D9D7539" w:rsidR="000A1D5C" w:rsidRDefault="000A1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8EC3" w14:textId="77777777" w:rsidR="00ED4FB7" w:rsidRDefault="00ED4FB7" w:rsidP="001B33AD">
    <w:pPr>
      <w:pStyle w:val="ListParagraph"/>
      <w:ind w:left="0"/>
    </w:pPr>
  </w:p>
  <w:p w14:paraId="31F9A9CE" w14:textId="77777777" w:rsidR="00ED4FB7" w:rsidRPr="00B92163" w:rsidRDefault="00ED4FB7">
    <w:pPr>
      <w:pStyle w:val="Footer"/>
      <w:rPr>
        <w:rFonts w:cs="Arial"/>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A707" w14:textId="57D52716" w:rsidR="000A1D5C" w:rsidRDefault="003D4C31">
    <w:pPr>
      <w:pStyle w:val="Footer"/>
    </w:pPr>
    <w:r>
      <w:rPr>
        <w:noProof/>
      </w:rPr>
      <mc:AlternateContent>
        <mc:Choice Requires="wps">
          <w:drawing>
            <wp:anchor distT="0" distB="0" distL="0" distR="0" simplePos="0" relativeHeight="251658251" behindDoc="0" locked="0" layoutInCell="1" allowOverlap="1" wp14:anchorId="274961B1" wp14:editId="3B8D09D5">
              <wp:simplePos x="635" y="635"/>
              <wp:positionH relativeFrom="page">
                <wp:align>left</wp:align>
              </wp:positionH>
              <wp:positionV relativeFrom="page">
                <wp:align>bottom</wp:align>
              </wp:positionV>
              <wp:extent cx="1980565" cy="345440"/>
              <wp:effectExtent l="0" t="0" r="635" b="0"/>
              <wp:wrapNone/>
              <wp:docPr id="1480061612" name="Text Box 16"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0565" cy="345440"/>
                      </a:xfrm>
                      <a:prstGeom prst="rect">
                        <a:avLst/>
                      </a:prstGeom>
                      <a:noFill/>
                      <a:ln>
                        <a:noFill/>
                      </a:ln>
                    </wps:spPr>
                    <wps:txbx>
                      <w:txbxContent>
                        <w:p w14:paraId="6363B562" w14:textId="0332499F"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4961B1" id="_x0000_t202" coordsize="21600,21600" o:spt="202" path="m,l,21600r21600,l21600,xe">
              <v:stroke joinstyle="miter"/>
              <v:path gradientshapeok="t" o:connecttype="rect"/>
            </v:shapetype>
            <v:shape id="Text Box 16" o:spid="_x0000_s1038" type="#_x0000_t202" alt="This File is Classified: Confidential " style="position:absolute;margin-left:0;margin-top:0;width:155.95pt;height:27.2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" filled="f" stroked="f">
              <v:textbox style="mso-fit-shape-to-text:t" inset="20pt,0,0,15pt">
                <w:txbxContent>
                  <w:p w14:paraId="6363B562" w14:textId="0332499F"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5F06" w14:textId="44DC13F1" w:rsidR="000A1D5C" w:rsidRDefault="003D4C31">
    <w:pPr>
      <w:pStyle w:val="Footer"/>
    </w:pPr>
    <w:r>
      <w:rPr>
        <w:noProof/>
      </w:rPr>
      <mc:AlternateContent>
        <mc:Choice Requires="wps">
          <w:drawing>
            <wp:anchor distT="0" distB="0" distL="0" distR="0" simplePos="0" relativeHeight="251658254" behindDoc="0" locked="0" layoutInCell="1" allowOverlap="1" wp14:anchorId="49F5E189" wp14:editId="5570B508">
              <wp:simplePos x="635" y="635"/>
              <wp:positionH relativeFrom="page">
                <wp:align>left</wp:align>
              </wp:positionH>
              <wp:positionV relativeFrom="page">
                <wp:align>bottom</wp:align>
              </wp:positionV>
              <wp:extent cx="1980565" cy="345440"/>
              <wp:effectExtent l="0" t="0" r="635" b="0"/>
              <wp:wrapNone/>
              <wp:docPr id="533578021" name="Text Box 20"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0565" cy="345440"/>
                      </a:xfrm>
                      <a:prstGeom prst="rect">
                        <a:avLst/>
                      </a:prstGeom>
                      <a:noFill/>
                      <a:ln>
                        <a:noFill/>
                      </a:ln>
                    </wps:spPr>
                    <wps:txbx>
                      <w:txbxContent>
                        <w:p w14:paraId="64A9DC24" w14:textId="636F4FB5"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F5E189" id="_x0000_t202" coordsize="21600,21600" o:spt="202" path="m,l,21600r21600,l21600,xe">
              <v:stroke joinstyle="miter"/>
              <v:path gradientshapeok="t" o:connecttype="rect"/>
            </v:shapetype>
            <v:shape id="Text Box 20" o:spid="_x0000_s1039" type="#_x0000_t202" alt="This File is Classified: Confidential " style="position:absolute;margin-left:0;margin-top:0;width:155.9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" filled="f" stroked="f">
              <v:textbox style="mso-fit-shape-to-text:t" inset="20pt,0,0,15pt">
                <w:txbxContent>
                  <w:p w14:paraId="64A9DC24" w14:textId="636F4FB5"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4637"/>
      <w:docPartObj>
        <w:docPartGallery w:val="Page Numbers (Bottom of Page)"/>
        <w:docPartUnique/>
      </w:docPartObj>
    </w:sdtPr>
    <w:sdtEndPr>
      <w:rPr>
        <w:noProof/>
      </w:rPr>
    </w:sdtEndPr>
    <w:sdtContent>
      <w:p w14:paraId="68EA1CC9" w14:textId="1D6F0DBE" w:rsidR="00187E42" w:rsidRDefault="00187E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0AC8F3" w14:textId="04F5E8A1" w:rsidR="000A1D5C" w:rsidRDefault="000A1D5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47FF" w14:textId="43B1FBE0" w:rsidR="000A1D5C" w:rsidRDefault="003D4C31">
    <w:pPr>
      <w:pStyle w:val="Footer"/>
    </w:pPr>
    <w:r>
      <w:rPr>
        <w:noProof/>
      </w:rPr>
      <mc:AlternateContent>
        <mc:Choice Requires="wps">
          <w:drawing>
            <wp:anchor distT="0" distB="0" distL="0" distR="0" simplePos="0" relativeHeight="251658253" behindDoc="0" locked="0" layoutInCell="1" allowOverlap="1" wp14:anchorId="1E188DA1" wp14:editId="3712575D">
              <wp:simplePos x="635" y="635"/>
              <wp:positionH relativeFrom="page">
                <wp:align>left</wp:align>
              </wp:positionH>
              <wp:positionV relativeFrom="page">
                <wp:align>bottom</wp:align>
              </wp:positionV>
              <wp:extent cx="1980565" cy="345440"/>
              <wp:effectExtent l="0" t="0" r="635" b="0"/>
              <wp:wrapNone/>
              <wp:docPr id="1270924245" name="Text Box 19"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0565" cy="345440"/>
                      </a:xfrm>
                      <a:prstGeom prst="rect">
                        <a:avLst/>
                      </a:prstGeom>
                      <a:noFill/>
                      <a:ln>
                        <a:noFill/>
                      </a:ln>
                    </wps:spPr>
                    <wps:txbx>
                      <w:txbxContent>
                        <w:p w14:paraId="2A63949C" w14:textId="4949009C"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188DA1" id="_x0000_t202" coordsize="21600,21600" o:spt="202" path="m,l,21600r21600,l21600,xe">
              <v:stroke joinstyle="miter"/>
              <v:path gradientshapeok="t" o:connecttype="rect"/>
            </v:shapetype>
            <v:shape id="Text Box 19" o:spid="_x0000_s1040" type="#_x0000_t202" alt="This File is Classified: Confidential " style="position:absolute;margin-left:0;margin-top:0;width:155.9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" filled="f" stroked="f">
              <v:textbox style="mso-fit-shape-to-text:t" inset="20pt,0,0,15pt">
                <w:txbxContent>
                  <w:p w14:paraId="2A63949C" w14:textId="4949009C"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2B21" w14:textId="0F2FE7E5" w:rsidR="000A1D5C" w:rsidRDefault="003D4C31">
    <w:pPr>
      <w:pStyle w:val="Footer"/>
    </w:pPr>
    <w:r>
      <w:rPr>
        <w:noProof/>
      </w:rPr>
      <mc:AlternateContent>
        <mc:Choice Requires="wps">
          <w:drawing>
            <wp:anchor distT="0" distB="0" distL="0" distR="0" simplePos="0" relativeHeight="251658256" behindDoc="0" locked="0" layoutInCell="1" allowOverlap="1" wp14:anchorId="3BDFF73C" wp14:editId="7DC60697">
              <wp:simplePos x="635" y="635"/>
              <wp:positionH relativeFrom="page">
                <wp:align>left</wp:align>
              </wp:positionH>
              <wp:positionV relativeFrom="page">
                <wp:align>bottom</wp:align>
              </wp:positionV>
              <wp:extent cx="1980565" cy="345440"/>
              <wp:effectExtent l="0" t="0" r="635" b="0"/>
              <wp:wrapNone/>
              <wp:docPr id="1743242488" name="Text Box 23"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0565" cy="345440"/>
                      </a:xfrm>
                      <a:prstGeom prst="rect">
                        <a:avLst/>
                      </a:prstGeom>
                      <a:noFill/>
                      <a:ln>
                        <a:noFill/>
                      </a:ln>
                    </wps:spPr>
                    <wps:txbx>
                      <w:txbxContent>
                        <w:p w14:paraId="4FD7266B" w14:textId="0BE9BE93"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DFF73C" id="_x0000_t202" coordsize="21600,21600" o:spt="202" path="m,l,21600r21600,l21600,xe">
              <v:stroke joinstyle="miter"/>
              <v:path gradientshapeok="t" o:connecttype="rect"/>
            </v:shapetype>
            <v:shape id="Text Box 23" o:spid="_x0000_s1041" type="#_x0000_t202" alt="This File is Classified: Confidential " style="position:absolute;margin-left:0;margin-top:0;width:155.95pt;height:27.2pt;z-index:251658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" filled="f" stroked="f">
              <v:textbox style="mso-fit-shape-to-text:t" inset="20pt,0,0,15pt">
                <w:txbxContent>
                  <w:p w14:paraId="4FD7266B" w14:textId="0BE9BE93"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884767"/>
      <w:docPartObj>
        <w:docPartGallery w:val="Page Numbers (Bottom of Page)"/>
        <w:docPartUnique/>
      </w:docPartObj>
    </w:sdtPr>
    <w:sdtEndPr>
      <w:rPr>
        <w:noProof/>
      </w:rPr>
    </w:sdtEndPr>
    <w:sdtContent>
      <w:p w14:paraId="2DE64FF7" w14:textId="2F49B797" w:rsidR="00D53239" w:rsidRDefault="00D532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84878F" w14:textId="14F59F20" w:rsidR="000A1D5C" w:rsidRDefault="000A1D5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06BCB59D" w14:paraId="7101BC41" w14:textId="77777777" w:rsidTr="06BCB59D">
      <w:tc>
        <w:tcPr>
          <w:tcW w:w="3130" w:type="dxa"/>
        </w:tcPr>
        <w:p w14:paraId="740E3D73" w14:textId="4EDEBBBF" w:rsidR="06BCB59D" w:rsidRDefault="003D4C31" w:rsidP="06BCB59D">
          <w:pPr>
            <w:pStyle w:val="Header"/>
            <w:ind w:left="-115"/>
            <w:rPr>
              <w:rFonts w:eastAsia="Calibri" w:cs="Arial"/>
              <w:szCs w:val="20"/>
            </w:rPr>
          </w:pPr>
          <w:r>
            <w:rPr>
              <w:rFonts w:eastAsia="Calibri" w:cs="Arial"/>
              <w:noProof/>
              <w:szCs w:val="20"/>
            </w:rPr>
            <mc:AlternateContent>
              <mc:Choice Requires="wps">
                <w:drawing>
                  <wp:anchor distT="0" distB="0" distL="0" distR="0" simplePos="0" relativeHeight="251658255" behindDoc="0" locked="0" layoutInCell="1" allowOverlap="1" wp14:anchorId="51D575B6" wp14:editId="67A4ADBB">
                    <wp:simplePos x="635" y="635"/>
                    <wp:positionH relativeFrom="page">
                      <wp:align>left</wp:align>
                    </wp:positionH>
                    <wp:positionV relativeFrom="page">
                      <wp:align>bottom</wp:align>
                    </wp:positionV>
                    <wp:extent cx="1850390" cy="500380"/>
                    <wp:effectExtent l="0" t="0" r="16510" b="0"/>
                    <wp:wrapNone/>
                    <wp:docPr id="2095535269" name="Text Box 22"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0390" cy="500380"/>
                            </a:xfrm>
                            <a:prstGeom prst="rect">
                              <a:avLst/>
                            </a:prstGeom>
                            <a:noFill/>
                            <a:ln>
                              <a:noFill/>
                            </a:ln>
                          </wps:spPr>
                          <wps:txbx>
                            <w:txbxContent>
                              <w:p w14:paraId="1A3BF93C" w14:textId="09D52A79"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D575B6" id="_x0000_t202" coordsize="21600,21600" o:spt="202" path="m,l,21600r21600,l21600,xe">
                    <v:stroke joinstyle="miter"/>
                    <v:path gradientshapeok="t" o:connecttype="rect"/>
                  </v:shapetype>
                  <v:shape id="Text Box 22" o:spid="_x0000_s1042" type="#_x0000_t202" alt="This File is Classified: Confidential " style="position:absolute;left:0;text-align:left;margin-left:0;margin-top:0;width:145.7pt;height:39.4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" filled="f" stroked="f">
                    <v:textbox style="mso-fit-shape-to-text:t" inset="20pt,0,0,15pt">
                      <w:txbxContent>
                        <w:p w14:paraId="1A3BF93C" w14:textId="09D52A79"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tc>
      <w:tc>
        <w:tcPr>
          <w:tcW w:w="3130" w:type="dxa"/>
        </w:tcPr>
        <w:p w14:paraId="65A836A3" w14:textId="1C7B5960" w:rsidR="06BCB59D" w:rsidRDefault="06BCB59D" w:rsidP="06BCB59D">
          <w:pPr>
            <w:pStyle w:val="Header"/>
            <w:jc w:val="center"/>
            <w:rPr>
              <w:rFonts w:eastAsia="Calibri" w:cs="Arial"/>
              <w:szCs w:val="20"/>
            </w:rPr>
          </w:pPr>
        </w:p>
      </w:tc>
      <w:tc>
        <w:tcPr>
          <w:tcW w:w="3130" w:type="dxa"/>
        </w:tcPr>
        <w:p w14:paraId="7BC8A3DC" w14:textId="2F5D55BB" w:rsidR="06BCB59D" w:rsidRDefault="06BCB59D" w:rsidP="06BCB59D">
          <w:pPr>
            <w:pStyle w:val="Header"/>
            <w:ind w:right="-115"/>
            <w:jc w:val="right"/>
            <w:rPr>
              <w:rFonts w:eastAsia="Calibri" w:cs="Arial"/>
              <w:szCs w:val="20"/>
            </w:rPr>
          </w:pPr>
        </w:p>
      </w:tc>
    </w:tr>
  </w:tbl>
  <w:p w14:paraId="57584234" w14:textId="00CF4D6C" w:rsidR="06BCB59D" w:rsidRDefault="06BCB59D" w:rsidP="06BCB59D">
    <w:pPr>
      <w:pStyle w:val="Footer"/>
      <w:rPr>
        <w:rFonts w:eastAsia="Calibri" w:cs="Arial"/>
        <w:szCs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F35E" w14:textId="3B64EFFF" w:rsidR="000A1D5C" w:rsidRDefault="003D4C31">
    <w:pPr>
      <w:pStyle w:val="Footer"/>
    </w:pPr>
    <w:r>
      <w:rPr>
        <w:noProof/>
      </w:rPr>
      <mc:AlternateContent>
        <mc:Choice Requires="wps">
          <w:drawing>
            <wp:anchor distT="0" distB="0" distL="0" distR="0" simplePos="0" relativeHeight="251658258" behindDoc="0" locked="0" layoutInCell="1" allowOverlap="1" wp14:anchorId="2A57DE62" wp14:editId="75FB7B8C">
              <wp:simplePos x="635" y="635"/>
              <wp:positionH relativeFrom="page">
                <wp:align>left</wp:align>
              </wp:positionH>
              <wp:positionV relativeFrom="page">
                <wp:align>bottom</wp:align>
              </wp:positionV>
              <wp:extent cx="1980565" cy="345440"/>
              <wp:effectExtent l="0" t="0" r="635" b="0"/>
              <wp:wrapNone/>
              <wp:docPr id="604299653" name="Text Box 26"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0565" cy="345440"/>
                      </a:xfrm>
                      <a:prstGeom prst="rect">
                        <a:avLst/>
                      </a:prstGeom>
                      <a:noFill/>
                      <a:ln>
                        <a:noFill/>
                      </a:ln>
                    </wps:spPr>
                    <wps:txbx>
                      <w:txbxContent>
                        <w:p w14:paraId="28E4AF32" w14:textId="6821E635"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57DE62" id="_x0000_t202" coordsize="21600,21600" o:spt="202" path="m,l,21600r21600,l21600,xe">
              <v:stroke joinstyle="miter"/>
              <v:path gradientshapeok="t" o:connecttype="rect"/>
            </v:shapetype>
            <v:shape id="Text Box 26" o:spid="_x0000_s1043" type="#_x0000_t202" alt="This File is Classified: Confidential " style="position:absolute;margin-left:0;margin-top:0;width:155.95pt;height:27.2pt;z-index:25165825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" filled="f" stroked="f">
              <v:textbox style="mso-fit-shape-to-text:t" inset="20pt,0,0,15pt">
                <w:txbxContent>
                  <w:p w14:paraId="28E4AF32" w14:textId="6821E635"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955933"/>
      <w:docPartObj>
        <w:docPartGallery w:val="Page Numbers (Bottom of Page)"/>
        <w:docPartUnique/>
      </w:docPartObj>
    </w:sdtPr>
    <w:sdtEndPr>
      <w:rPr>
        <w:noProof/>
      </w:rPr>
    </w:sdtEndPr>
    <w:sdtContent>
      <w:p w14:paraId="562E2A08" w14:textId="2512C347" w:rsidR="00D53239" w:rsidRDefault="00D532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D1EF37" w14:textId="4A9BCDAC" w:rsidR="000A1D5C" w:rsidRDefault="000A1D5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06BCB59D" w14:paraId="2EF79636" w14:textId="77777777" w:rsidTr="06BCB59D">
      <w:tc>
        <w:tcPr>
          <w:tcW w:w="4890" w:type="dxa"/>
        </w:tcPr>
        <w:p w14:paraId="05E17040" w14:textId="5CD3E8FF" w:rsidR="06BCB59D" w:rsidRDefault="003D4C31" w:rsidP="06BCB59D">
          <w:pPr>
            <w:pStyle w:val="Header"/>
            <w:ind w:left="-115"/>
            <w:rPr>
              <w:rFonts w:eastAsia="Calibri" w:cs="Arial"/>
              <w:szCs w:val="20"/>
            </w:rPr>
          </w:pPr>
          <w:r>
            <w:rPr>
              <w:rFonts w:eastAsia="Calibri" w:cs="Arial"/>
              <w:noProof/>
              <w:szCs w:val="20"/>
            </w:rPr>
            <mc:AlternateContent>
              <mc:Choice Requires="wps">
                <w:drawing>
                  <wp:anchor distT="0" distB="0" distL="0" distR="0" simplePos="0" relativeHeight="251658257" behindDoc="0" locked="0" layoutInCell="1" allowOverlap="1" wp14:anchorId="489E78C5" wp14:editId="4B56ABF1">
                    <wp:simplePos x="635" y="635"/>
                    <wp:positionH relativeFrom="page">
                      <wp:align>left</wp:align>
                    </wp:positionH>
                    <wp:positionV relativeFrom="page">
                      <wp:align>bottom</wp:align>
                    </wp:positionV>
                    <wp:extent cx="1980565" cy="345440"/>
                    <wp:effectExtent l="0" t="0" r="635" b="0"/>
                    <wp:wrapNone/>
                    <wp:docPr id="1300819954" name="Text Box 25"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0565" cy="345440"/>
                            </a:xfrm>
                            <a:prstGeom prst="rect">
                              <a:avLst/>
                            </a:prstGeom>
                            <a:noFill/>
                            <a:ln>
                              <a:noFill/>
                            </a:ln>
                          </wps:spPr>
                          <wps:txbx>
                            <w:txbxContent>
                              <w:p w14:paraId="286D4D61" w14:textId="043E4F58"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9E78C5" id="_x0000_t202" coordsize="21600,21600" o:spt="202" path="m,l,21600r21600,l21600,xe">
                    <v:stroke joinstyle="miter"/>
                    <v:path gradientshapeok="t" o:connecttype="rect"/>
                  </v:shapetype>
                  <v:shape id="Text Box 25" o:spid="_x0000_s1044" type="#_x0000_t202" alt="This File is Classified: Confidential " style="position:absolute;left:0;text-align:left;margin-left:0;margin-top:0;width:155.95pt;height:27.2pt;z-index:25165825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" filled="f" stroked="f">
                    <v:textbox style="mso-fit-shape-to-text:t" inset="20pt,0,0,15pt">
                      <w:txbxContent>
                        <w:p w14:paraId="286D4D61" w14:textId="043E4F58"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tc>
      <w:tc>
        <w:tcPr>
          <w:tcW w:w="4890" w:type="dxa"/>
        </w:tcPr>
        <w:p w14:paraId="00B0E974" w14:textId="544ADA54" w:rsidR="06BCB59D" w:rsidRDefault="06BCB59D" w:rsidP="06BCB59D">
          <w:pPr>
            <w:pStyle w:val="Header"/>
            <w:jc w:val="center"/>
            <w:rPr>
              <w:rFonts w:eastAsia="Calibri" w:cs="Arial"/>
              <w:szCs w:val="20"/>
            </w:rPr>
          </w:pPr>
        </w:p>
      </w:tc>
      <w:tc>
        <w:tcPr>
          <w:tcW w:w="4890" w:type="dxa"/>
        </w:tcPr>
        <w:p w14:paraId="6D481D31" w14:textId="66588A55" w:rsidR="06BCB59D" w:rsidRDefault="06BCB59D" w:rsidP="06BCB59D">
          <w:pPr>
            <w:pStyle w:val="Header"/>
            <w:ind w:right="-115"/>
            <w:jc w:val="right"/>
            <w:rPr>
              <w:rFonts w:eastAsia="Calibri" w:cs="Arial"/>
              <w:szCs w:val="20"/>
            </w:rPr>
          </w:pPr>
        </w:p>
      </w:tc>
    </w:tr>
  </w:tbl>
  <w:p w14:paraId="5324542A" w14:textId="326C1682" w:rsidR="06BCB59D" w:rsidRDefault="06BCB59D" w:rsidP="06BCB59D">
    <w:pPr>
      <w:pStyle w:val="Footer"/>
      <w:rPr>
        <w:rFonts w:eastAsia="Calibri" w:cs="Arial"/>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CFE0" w14:textId="00C0FE7B" w:rsidR="000A1D5C" w:rsidRDefault="003D4C31">
    <w:pPr>
      <w:pStyle w:val="Footer"/>
    </w:pPr>
    <w:r>
      <w:rPr>
        <w:noProof/>
      </w:rPr>
      <mc:AlternateContent>
        <mc:Choice Requires="wps">
          <w:drawing>
            <wp:anchor distT="0" distB="0" distL="0" distR="0" simplePos="0" relativeHeight="251658241" behindDoc="0" locked="0" layoutInCell="1" allowOverlap="1" wp14:anchorId="06EF6218" wp14:editId="2C4D6DAC">
              <wp:simplePos x="635" y="635"/>
              <wp:positionH relativeFrom="page">
                <wp:align>left</wp:align>
              </wp:positionH>
              <wp:positionV relativeFrom="page">
                <wp:align>bottom</wp:align>
              </wp:positionV>
              <wp:extent cx="1980565" cy="345440"/>
              <wp:effectExtent l="0" t="0" r="635" b="0"/>
              <wp:wrapNone/>
              <wp:docPr id="968280238" name="Text Box 2"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0565" cy="345440"/>
                      </a:xfrm>
                      <a:prstGeom prst="rect">
                        <a:avLst/>
                      </a:prstGeom>
                      <a:noFill/>
                      <a:ln>
                        <a:noFill/>
                      </a:ln>
                    </wps:spPr>
                    <wps:txbx>
                      <w:txbxContent>
                        <w:p w14:paraId="3E992820" w14:textId="14A53080"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EF6218" id="_x0000_t202" coordsize="21600,21600" o:spt="202" path="m,l,21600r21600,l21600,xe">
              <v:stroke joinstyle="miter"/>
              <v:path gradientshapeok="t" o:connecttype="rect"/>
            </v:shapetype>
            <v:shape id="_x0000_s1027" type="#_x0000_t202" alt="This File is Classified: Confidential " style="position:absolute;margin-left:0;margin-top:0;width:155.9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" filled="f" stroked="f">
              <v:textbox style="mso-fit-shape-to-text:t" inset="20pt,0,0,15pt">
                <w:txbxContent>
                  <w:p w14:paraId="3E992820" w14:textId="14A53080"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3DD4" w14:textId="06CC18C4" w:rsidR="000A1D5C" w:rsidRDefault="003D4C31">
    <w:pPr>
      <w:pStyle w:val="Footer"/>
    </w:pPr>
    <w:r>
      <w:rPr>
        <w:noProof/>
      </w:rPr>
      <mc:AlternateContent>
        <mc:Choice Requires="wps">
          <w:drawing>
            <wp:anchor distT="0" distB="0" distL="0" distR="0" simplePos="0" relativeHeight="251658260" behindDoc="0" locked="0" layoutInCell="1" allowOverlap="1" wp14:anchorId="5EDED0AC" wp14:editId="0229A99B">
              <wp:simplePos x="635" y="635"/>
              <wp:positionH relativeFrom="page">
                <wp:align>left</wp:align>
              </wp:positionH>
              <wp:positionV relativeFrom="page">
                <wp:align>bottom</wp:align>
              </wp:positionV>
              <wp:extent cx="1980565" cy="345440"/>
              <wp:effectExtent l="0" t="0" r="635" b="0"/>
              <wp:wrapNone/>
              <wp:docPr id="1769310987" name="Text Box 29"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0565" cy="345440"/>
                      </a:xfrm>
                      <a:prstGeom prst="rect">
                        <a:avLst/>
                      </a:prstGeom>
                      <a:noFill/>
                      <a:ln>
                        <a:noFill/>
                      </a:ln>
                    </wps:spPr>
                    <wps:txbx>
                      <w:txbxContent>
                        <w:p w14:paraId="7C223137" w14:textId="46C71646"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DED0AC" id="_x0000_t202" coordsize="21600,21600" o:spt="202" path="m,l,21600r21600,l21600,xe">
              <v:stroke joinstyle="miter"/>
              <v:path gradientshapeok="t" o:connecttype="rect"/>
            </v:shapetype>
            <v:shape id="Text Box 29" o:spid="_x0000_s1045" type="#_x0000_t202" alt="This File is Classified: Confidential " style="position:absolute;margin-left:0;margin-top:0;width:155.95pt;height:27.2pt;z-index:2516582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" filled="f" stroked="f">
              <v:textbox style="mso-fit-shape-to-text:t" inset="20pt,0,0,15pt">
                <w:txbxContent>
                  <w:p w14:paraId="7C223137" w14:textId="46C71646"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404001"/>
      <w:docPartObj>
        <w:docPartGallery w:val="Page Numbers (Bottom of Page)"/>
        <w:docPartUnique/>
      </w:docPartObj>
    </w:sdtPr>
    <w:sdtEndPr>
      <w:rPr>
        <w:noProof/>
      </w:rPr>
    </w:sdtEndPr>
    <w:sdtContent>
      <w:p w14:paraId="24D7E9D1" w14:textId="53989142" w:rsidR="00D53239" w:rsidRDefault="00D532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C9BBBA" w14:textId="54ADA676" w:rsidR="000A1D5C" w:rsidRDefault="000A1D5C">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06BCB59D" w14:paraId="3059B653" w14:textId="77777777" w:rsidTr="06BCB59D">
      <w:tc>
        <w:tcPr>
          <w:tcW w:w="3130" w:type="dxa"/>
        </w:tcPr>
        <w:p w14:paraId="05E0933E" w14:textId="5F604A7F" w:rsidR="06BCB59D" w:rsidRDefault="003D4C31" w:rsidP="06BCB59D">
          <w:pPr>
            <w:pStyle w:val="Header"/>
            <w:ind w:left="-115"/>
            <w:rPr>
              <w:rFonts w:eastAsia="Calibri" w:cs="Arial"/>
              <w:szCs w:val="20"/>
            </w:rPr>
          </w:pPr>
          <w:r>
            <w:rPr>
              <w:rFonts w:eastAsia="Calibri" w:cs="Arial"/>
              <w:noProof/>
              <w:szCs w:val="20"/>
            </w:rPr>
            <mc:AlternateContent>
              <mc:Choice Requires="wps">
                <w:drawing>
                  <wp:anchor distT="0" distB="0" distL="0" distR="0" simplePos="0" relativeHeight="251658259" behindDoc="0" locked="0" layoutInCell="1" allowOverlap="1" wp14:anchorId="0C16C39B" wp14:editId="4312F496">
                    <wp:simplePos x="635" y="635"/>
                    <wp:positionH relativeFrom="page">
                      <wp:align>left</wp:align>
                    </wp:positionH>
                    <wp:positionV relativeFrom="page">
                      <wp:align>bottom</wp:align>
                    </wp:positionV>
                    <wp:extent cx="1850390" cy="500380"/>
                    <wp:effectExtent l="0" t="0" r="16510" b="0"/>
                    <wp:wrapNone/>
                    <wp:docPr id="849012729" name="Text Box 28"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0390" cy="500380"/>
                            </a:xfrm>
                            <a:prstGeom prst="rect">
                              <a:avLst/>
                            </a:prstGeom>
                            <a:noFill/>
                            <a:ln>
                              <a:noFill/>
                            </a:ln>
                          </wps:spPr>
                          <wps:txbx>
                            <w:txbxContent>
                              <w:p w14:paraId="0A4ACE79" w14:textId="72DFAEF4"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16C39B" id="_x0000_t202" coordsize="21600,21600" o:spt="202" path="m,l,21600r21600,l21600,xe">
                    <v:stroke joinstyle="miter"/>
                    <v:path gradientshapeok="t" o:connecttype="rect"/>
                  </v:shapetype>
                  <v:shape id="Text Box 28" o:spid="_x0000_s1046" type="#_x0000_t202" alt="This File is Classified: Confidential " style="position:absolute;left:0;text-align:left;margin-left:0;margin-top:0;width:145.7pt;height:39.4pt;z-index:25165825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" filled="f" stroked="f">
                    <v:textbox style="mso-fit-shape-to-text:t" inset="20pt,0,0,15pt">
                      <w:txbxContent>
                        <w:p w14:paraId="0A4ACE79" w14:textId="72DFAEF4"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tc>
      <w:tc>
        <w:tcPr>
          <w:tcW w:w="3130" w:type="dxa"/>
        </w:tcPr>
        <w:p w14:paraId="437A738A" w14:textId="13EFB50D" w:rsidR="06BCB59D" w:rsidRDefault="06BCB59D" w:rsidP="06BCB59D">
          <w:pPr>
            <w:pStyle w:val="Header"/>
            <w:jc w:val="center"/>
            <w:rPr>
              <w:rFonts w:eastAsia="Calibri" w:cs="Arial"/>
              <w:szCs w:val="20"/>
            </w:rPr>
          </w:pPr>
        </w:p>
      </w:tc>
      <w:tc>
        <w:tcPr>
          <w:tcW w:w="3130" w:type="dxa"/>
        </w:tcPr>
        <w:p w14:paraId="7AD54A11" w14:textId="02807C33" w:rsidR="06BCB59D" w:rsidRDefault="06BCB59D" w:rsidP="06BCB59D">
          <w:pPr>
            <w:pStyle w:val="Header"/>
            <w:ind w:right="-115"/>
            <w:jc w:val="right"/>
            <w:rPr>
              <w:rFonts w:eastAsia="Calibri" w:cs="Arial"/>
              <w:szCs w:val="20"/>
            </w:rPr>
          </w:pPr>
        </w:p>
      </w:tc>
    </w:tr>
  </w:tbl>
  <w:p w14:paraId="57E9D450" w14:textId="7B4781BC" w:rsidR="06BCB59D" w:rsidRDefault="06BCB59D" w:rsidP="06BCB59D">
    <w:pPr>
      <w:pStyle w:val="Footer"/>
      <w:rPr>
        <w:rFonts w:eastAsia="Calibri" w:cs="Arial"/>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93A5" w14:textId="77777777" w:rsidR="002122FC" w:rsidRPr="009A76DF" w:rsidRDefault="002122FC" w:rsidP="00D03CE1">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5"/>
      <w:gridCol w:w="3125"/>
      <w:gridCol w:w="3125"/>
    </w:tblGrid>
    <w:tr w:rsidR="06BCB59D" w14:paraId="0D9B3861" w14:textId="77777777" w:rsidTr="06BCB59D">
      <w:tc>
        <w:tcPr>
          <w:tcW w:w="3125" w:type="dxa"/>
        </w:tcPr>
        <w:p w14:paraId="5630C0F4" w14:textId="5B62F04E" w:rsidR="06BCB59D" w:rsidRDefault="003D4C31" w:rsidP="06BCB59D">
          <w:pPr>
            <w:pStyle w:val="Header"/>
            <w:ind w:left="-115"/>
            <w:rPr>
              <w:rFonts w:eastAsia="Calibri" w:cs="Arial"/>
              <w:szCs w:val="20"/>
            </w:rPr>
          </w:pPr>
          <w:r>
            <w:rPr>
              <w:rFonts w:eastAsia="Calibri" w:cs="Arial"/>
              <w:noProof/>
              <w:szCs w:val="20"/>
            </w:rPr>
            <mc:AlternateContent>
              <mc:Choice Requires="wps">
                <w:drawing>
                  <wp:anchor distT="0" distB="0" distL="0" distR="0" simplePos="0" relativeHeight="251658240" behindDoc="0" locked="0" layoutInCell="1" allowOverlap="1" wp14:anchorId="7DA9B7EC" wp14:editId="6BBC9D08">
                    <wp:simplePos x="981075" y="9953625"/>
                    <wp:positionH relativeFrom="page">
                      <wp:align>left</wp:align>
                    </wp:positionH>
                    <wp:positionV relativeFrom="page">
                      <wp:align>bottom</wp:align>
                    </wp:positionV>
                    <wp:extent cx="1847215" cy="500380"/>
                    <wp:effectExtent l="0" t="0" r="635" b="0"/>
                    <wp:wrapNone/>
                    <wp:docPr id="1609946198" name="Text Box 1"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7215" cy="500380"/>
                            </a:xfrm>
                            <a:prstGeom prst="rect">
                              <a:avLst/>
                            </a:prstGeom>
                            <a:noFill/>
                            <a:ln>
                              <a:noFill/>
                            </a:ln>
                          </wps:spPr>
                          <wps:txbx>
                            <w:txbxContent>
                              <w:p w14:paraId="1016A079" w14:textId="54AD61ED" w:rsidR="003D4C31" w:rsidRPr="003D4C31" w:rsidRDefault="003D4C31" w:rsidP="003D4C31">
                                <w:pPr>
                                  <w:rPr>
                                    <w:rFonts w:ascii="Calibri" w:eastAsia="Calibri" w:hAnsi="Calibri" w:cs="Calibri"/>
                                    <w:noProof/>
                                    <w:color w:val="00000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A9B7EC" id="_x0000_t202" coordsize="21600,21600" o:spt="202" path="m,l,21600r21600,l21600,xe">
                    <v:stroke joinstyle="miter"/>
                    <v:path gradientshapeok="t" o:connecttype="rect"/>
                  </v:shapetype>
                  <v:shape id="Text Box 1" o:spid="_x0000_s1028" type="#_x0000_t202" alt="This File is Classified: Confidential " style="position:absolute;left:0;text-align:left;margin-left:0;margin-top:0;width:145.45pt;height:39.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" filled="f" stroked="f">
                    <v:textbox style="mso-fit-shape-to-text:t" inset="20pt,0,0,15pt">
                      <w:txbxContent>
                        <w:p w14:paraId="1016A079" w14:textId="54AD61ED" w:rsidR="003D4C31" w:rsidRPr="003D4C31" w:rsidRDefault="003D4C31" w:rsidP="003D4C31">
                          <w:pPr>
                            <w:rPr>
                              <w:rFonts w:ascii="Calibri" w:eastAsia="Calibri" w:hAnsi="Calibri" w:cs="Calibri"/>
                              <w:noProof/>
                              <w:color w:val="000000"/>
                              <w:szCs w:val="20"/>
                            </w:rPr>
                          </w:pPr>
                        </w:p>
                      </w:txbxContent>
                    </v:textbox>
                    <w10:wrap anchorx="page" anchory="page"/>
                  </v:shape>
                </w:pict>
              </mc:Fallback>
            </mc:AlternateContent>
          </w:r>
        </w:p>
      </w:tc>
      <w:tc>
        <w:tcPr>
          <w:tcW w:w="3125" w:type="dxa"/>
        </w:tcPr>
        <w:p w14:paraId="0E7A4FC0" w14:textId="13C67BA4" w:rsidR="06BCB59D" w:rsidRDefault="06BCB59D" w:rsidP="06BCB59D">
          <w:pPr>
            <w:pStyle w:val="Header"/>
            <w:jc w:val="center"/>
            <w:rPr>
              <w:rFonts w:eastAsia="Calibri" w:cs="Arial"/>
              <w:szCs w:val="20"/>
            </w:rPr>
          </w:pPr>
        </w:p>
      </w:tc>
      <w:tc>
        <w:tcPr>
          <w:tcW w:w="3125" w:type="dxa"/>
        </w:tcPr>
        <w:p w14:paraId="64EF263D" w14:textId="03A2041E" w:rsidR="06BCB59D" w:rsidRDefault="06BCB59D" w:rsidP="06BCB59D">
          <w:pPr>
            <w:pStyle w:val="Header"/>
            <w:ind w:right="-115"/>
            <w:jc w:val="right"/>
            <w:rPr>
              <w:rFonts w:eastAsia="Calibri" w:cs="Arial"/>
              <w:szCs w:val="20"/>
            </w:rPr>
          </w:pPr>
        </w:p>
      </w:tc>
    </w:tr>
  </w:tbl>
  <w:p w14:paraId="48255ADF" w14:textId="537BBC7F" w:rsidR="06BCB59D" w:rsidRDefault="06BCB59D" w:rsidP="06BCB59D">
    <w:pPr>
      <w:pStyle w:val="Footer"/>
      <w:rPr>
        <w:rFonts w:eastAsia="Calibri" w:cs="Arial"/>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8D6" w14:textId="03D94A0D" w:rsidR="000A1D5C" w:rsidRDefault="003D4C31">
    <w:pPr>
      <w:pStyle w:val="Footer"/>
    </w:pPr>
    <w:r>
      <w:rPr>
        <w:noProof/>
      </w:rPr>
      <mc:AlternateContent>
        <mc:Choice Requires="wps">
          <w:drawing>
            <wp:anchor distT="0" distB="0" distL="0" distR="0" simplePos="0" relativeHeight="251658244" behindDoc="0" locked="0" layoutInCell="1" allowOverlap="1" wp14:anchorId="41FA9802" wp14:editId="5E47ED20">
              <wp:simplePos x="635" y="635"/>
              <wp:positionH relativeFrom="page">
                <wp:align>left</wp:align>
              </wp:positionH>
              <wp:positionV relativeFrom="page">
                <wp:align>bottom</wp:align>
              </wp:positionV>
              <wp:extent cx="1980565" cy="345440"/>
              <wp:effectExtent l="0" t="0" r="635" b="0"/>
              <wp:wrapNone/>
              <wp:docPr id="272204144" name="Text Box 5"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0565" cy="345440"/>
                      </a:xfrm>
                      <a:prstGeom prst="rect">
                        <a:avLst/>
                      </a:prstGeom>
                      <a:noFill/>
                      <a:ln>
                        <a:noFill/>
                      </a:ln>
                    </wps:spPr>
                    <wps:txbx>
                      <w:txbxContent>
                        <w:p w14:paraId="3868D761" w14:textId="291B8832"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FA9802" id="_x0000_t202" coordsize="21600,21600" o:spt="202" path="m,l,21600r21600,l21600,xe">
              <v:stroke joinstyle="miter"/>
              <v:path gradientshapeok="t" o:connecttype="rect"/>
            </v:shapetype>
            <v:shape id="Text Box 5" o:spid="_x0000_s1029" type="#_x0000_t202" alt="This File is Classified: Confidential " style="position:absolute;margin-left:0;margin-top:0;width:155.9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" filled="f" stroked="f">
              <v:textbox style="mso-fit-shape-to-text:t" inset="20pt,0,0,15pt">
                <w:txbxContent>
                  <w:p w14:paraId="3868D761" w14:textId="291B8832"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20931"/>
      <w:docPartObj>
        <w:docPartGallery w:val="Page Numbers (Bottom of Page)"/>
        <w:docPartUnique/>
      </w:docPartObj>
    </w:sdtPr>
    <w:sdtEndPr>
      <w:rPr>
        <w:noProof/>
      </w:rPr>
    </w:sdtEndPr>
    <w:sdtContent>
      <w:p w14:paraId="58283185" w14:textId="60AE0367" w:rsidR="008C5A8C" w:rsidRDefault="008C5A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ED879B" w14:textId="2B723A02" w:rsidR="000A1D5C" w:rsidRDefault="000A1D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5"/>
      <w:gridCol w:w="3125"/>
      <w:gridCol w:w="3125"/>
    </w:tblGrid>
    <w:tr w:rsidR="06BCB59D" w14:paraId="2F06D667" w14:textId="77777777" w:rsidTr="06BCB59D">
      <w:tc>
        <w:tcPr>
          <w:tcW w:w="3125" w:type="dxa"/>
        </w:tcPr>
        <w:p w14:paraId="53D6AC67" w14:textId="205215B9" w:rsidR="06BCB59D" w:rsidRDefault="003D4C31" w:rsidP="06BCB59D">
          <w:pPr>
            <w:pStyle w:val="Header"/>
            <w:ind w:left="-115"/>
            <w:rPr>
              <w:rFonts w:eastAsia="Calibri" w:cs="Arial"/>
              <w:szCs w:val="20"/>
            </w:rPr>
          </w:pPr>
          <w:r>
            <w:rPr>
              <w:rFonts w:eastAsia="Calibri" w:cs="Arial"/>
              <w:noProof/>
              <w:szCs w:val="20"/>
            </w:rPr>
            <mc:AlternateContent>
              <mc:Choice Requires="wps">
                <w:drawing>
                  <wp:anchor distT="0" distB="0" distL="0" distR="0" simplePos="0" relativeHeight="251658243" behindDoc="0" locked="0" layoutInCell="1" allowOverlap="1" wp14:anchorId="081828F6" wp14:editId="41CED5D5">
                    <wp:simplePos x="635" y="635"/>
                    <wp:positionH relativeFrom="page">
                      <wp:align>left</wp:align>
                    </wp:positionH>
                    <wp:positionV relativeFrom="page">
                      <wp:align>bottom</wp:align>
                    </wp:positionV>
                    <wp:extent cx="1847215" cy="500380"/>
                    <wp:effectExtent l="0" t="0" r="635" b="0"/>
                    <wp:wrapNone/>
                    <wp:docPr id="1341012119" name="Text Box 4"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7215" cy="500380"/>
                            </a:xfrm>
                            <a:prstGeom prst="rect">
                              <a:avLst/>
                            </a:prstGeom>
                            <a:noFill/>
                            <a:ln>
                              <a:noFill/>
                            </a:ln>
                          </wps:spPr>
                          <wps:txbx>
                            <w:txbxContent>
                              <w:p w14:paraId="751541D2" w14:textId="4B8B1DE2"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1828F6" id="_x0000_t202" coordsize="21600,21600" o:spt="202" path="m,l,21600r21600,l21600,xe">
                    <v:stroke joinstyle="miter"/>
                    <v:path gradientshapeok="t" o:connecttype="rect"/>
                  </v:shapetype>
                  <v:shape id="Text Box 4" o:spid="_x0000_s1030" type="#_x0000_t202" alt="This File is Classified: Confidential " style="position:absolute;left:0;text-align:left;margin-left:0;margin-top:0;width:145.45pt;height:39.4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" filled="f" stroked="f">
                    <v:textbox style="mso-fit-shape-to-text:t" inset="20pt,0,0,15pt">
                      <w:txbxContent>
                        <w:p w14:paraId="751541D2" w14:textId="4B8B1DE2"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tc>
      <w:tc>
        <w:tcPr>
          <w:tcW w:w="3125" w:type="dxa"/>
        </w:tcPr>
        <w:p w14:paraId="40164010" w14:textId="74B45BAE" w:rsidR="06BCB59D" w:rsidRDefault="06BCB59D" w:rsidP="06BCB59D">
          <w:pPr>
            <w:pStyle w:val="Header"/>
            <w:jc w:val="center"/>
            <w:rPr>
              <w:rFonts w:eastAsia="Calibri" w:cs="Arial"/>
              <w:szCs w:val="20"/>
            </w:rPr>
          </w:pPr>
        </w:p>
      </w:tc>
      <w:tc>
        <w:tcPr>
          <w:tcW w:w="3125" w:type="dxa"/>
        </w:tcPr>
        <w:p w14:paraId="33769131" w14:textId="03B737DF" w:rsidR="06BCB59D" w:rsidRDefault="06BCB59D" w:rsidP="06BCB59D">
          <w:pPr>
            <w:pStyle w:val="Header"/>
            <w:ind w:right="-115"/>
            <w:jc w:val="right"/>
            <w:rPr>
              <w:rFonts w:eastAsia="Calibri" w:cs="Arial"/>
              <w:szCs w:val="20"/>
            </w:rPr>
          </w:pPr>
        </w:p>
      </w:tc>
    </w:tr>
  </w:tbl>
  <w:p w14:paraId="68D016C6" w14:textId="71F43E22" w:rsidR="06BCB59D" w:rsidRDefault="06BCB59D" w:rsidP="06BCB59D">
    <w:pPr>
      <w:pStyle w:val="Footer"/>
      <w:rPr>
        <w:rFonts w:eastAsia="Calibri" w:cs="Arial"/>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0F6E" w14:textId="741A25C8" w:rsidR="000A1D5C" w:rsidRDefault="003D4C31">
    <w:pPr>
      <w:pStyle w:val="Footer"/>
    </w:pPr>
    <w:r>
      <w:rPr>
        <w:noProof/>
      </w:rPr>
      <mc:AlternateContent>
        <mc:Choice Requires="wps">
          <w:drawing>
            <wp:anchor distT="0" distB="0" distL="0" distR="0" simplePos="0" relativeHeight="251658246" behindDoc="0" locked="0" layoutInCell="1" allowOverlap="1" wp14:anchorId="2A286F54" wp14:editId="4AF9880A">
              <wp:simplePos x="635" y="635"/>
              <wp:positionH relativeFrom="page">
                <wp:align>left</wp:align>
              </wp:positionH>
              <wp:positionV relativeFrom="page">
                <wp:align>bottom</wp:align>
              </wp:positionV>
              <wp:extent cx="1980565" cy="345440"/>
              <wp:effectExtent l="0" t="0" r="635" b="0"/>
              <wp:wrapNone/>
              <wp:docPr id="1208328988" name="Text Box 8" descr="This File is Classifie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0565" cy="345440"/>
                      </a:xfrm>
                      <a:prstGeom prst="rect">
                        <a:avLst/>
                      </a:prstGeom>
                      <a:noFill/>
                      <a:ln>
                        <a:noFill/>
                      </a:ln>
                    </wps:spPr>
                    <wps:txbx>
                      <w:txbxContent>
                        <w:p w14:paraId="3CC20BD9" w14:textId="7B4D690F"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286F54" id="_x0000_t202" coordsize="21600,21600" o:spt="202" path="m,l,21600r21600,l21600,xe">
              <v:stroke joinstyle="miter"/>
              <v:path gradientshapeok="t" o:connecttype="rect"/>
            </v:shapetype>
            <v:shape id="Text Box 8" o:spid="_x0000_s1031" type="#_x0000_t202" alt="This File is Classified: Confidential " style="position:absolute;margin-left:0;margin-top:0;width:155.9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" filled="f" stroked="f">
              <v:textbox style="mso-fit-shape-to-text:t" inset="20pt,0,0,15pt">
                <w:txbxContent>
                  <w:p w14:paraId="3CC20BD9" w14:textId="7B4D690F" w:rsidR="003D4C31" w:rsidRPr="003D4C31" w:rsidRDefault="003D4C31" w:rsidP="003D4C31">
                    <w:pPr>
                      <w:rPr>
                        <w:rFonts w:ascii="Calibri" w:eastAsia="Calibri" w:hAnsi="Calibri" w:cs="Calibri"/>
                        <w:noProof/>
                        <w:color w:val="000000"/>
                        <w:szCs w:val="20"/>
                      </w:rPr>
                    </w:pPr>
                    <w:r w:rsidRPr="003D4C31">
                      <w:rPr>
                        <w:rFonts w:ascii="Calibri" w:eastAsia="Calibri" w:hAnsi="Calibri" w:cs="Calibri"/>
                        <w:noProof/>
                        <w:color w:val="000000"/>
                        <w:szCs w:val="20"/>
                      </w:rPr>
                      <w:t xml:space="preserve">This File is Classified: Confidential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C078" w14:textId="77777777" w:rsidR="002D5142" w:rsidRDefault="002D5142" w:rsidP="005035CE">
      <w:r>
        <w:separator/>
      </w:r>
    </w:p>
  </w:footnote>
  <w:footnote w:type="continuationSeparator" w:id="0">
    <w:p w14:paraId="601E54AE" w14:textId="77777777" w:rsidR="002D5142" w:rsidRDefault="002D5142" w:rsidP="005035CE">
      <w:r>
        <w:continuationSeparator/>
      </w:r>
    </w:p>
  </w:footnote>
  <w:footnote w:type="continuationNotice" w:id="1">
    <w:p w14:paraId="48F81D17" w14:textId="77777777" w:rsidR="002D5142" w:rsidRDefault="002D5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6995" w14:textId="77777777" w:rsidR="00ED4FB7" w:rsidRDefault="00ED4FB7">
    <w:pPr>
      <w:pStyle w:val="Header"/>
      <w:rPr>
        <w:noProof/>
        <w:lang w:eastAsia="en-GB"/>
      </w:rPr>
    </w:pPr>
  </w:p>
  <w:p w14:paraId="479E5D02" w14:textId="77777777" w:rsidR="00ED4FB7" w:rsidRDefault="00ED4FB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3679" w14:textId="18C73D39" w:rsidR="003314CD" w:rsidRDefault="003314C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7636" w14:textId="097F7925" w:rsidR="003314CD" w:rsidRDefault="003314C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0043" w14:textId="7A573005" w:rsidR="002122FC" w:rsidRDefault="002122FC" w:rsidP="009D74AF">
    <w:pPr>
      <w:pStyle w:val="CompanyName"/>
    </w:pPr>
    <w:r w:rsidRPr="009D74AF">
      <w:t>Glenveagh Properties PLC</w:t>
    </w:r>
  </w:p>
  <w:p w14:paraId="0E1D10C7" w14:textId="77777777" w:rsidR="002122FC" w:rsidRPr="00E50ED4" w:rsidRDefault="002122FC" w:rsidP="006619B4">
    <w:pPr>
      <w:pStyle w:val="ACSectionTOCHeading"/>
      <w:jc w:val="both"/>
      <w:rPr>
        <w:sz w:val="24"/>
      </w:rPr>
    </w:pPr>
    <w:r w:rsidRPr="00E50ED4">
      <w:rPr>
        <w:sz w:val="24"/>
      </w:rPr>
      <w:t>Condensed consolidated balance sheet</w:t>
    </w:r>
  </w:p>
  <w:p w14:paraId="5880EA79" w14:textId="6FDB1657" w:rsidR="002122FC" w:rsidRPr="008D3576" w:rsidRDefault="06BCB59D" w:rsidP="06BCB59D">
    <w:pPr>
      <w:pStyle w:val="SectionHeader"/>
      <w:rPr>
        <w:i/>
        <w:iCs/>
        <w:sz w:val="20"/>
        <w:szCs w:val="20"/>
      </w:rPr>
    </w:pPr>
    <w:r w:rsidRPr="06BCB59D">
      <w:rPr>
        <w:i/>
        <w:iCs/>
        <w:sz w:val="20"/>
        <w:szCs w:val="20"/>
      </w:rPr>
      <w:t xml:space="preserve">as </w:t>
    </w:r>
    <w:proofErr w:type="gramStart"/>
    <w:r w:rsidRPr="06BCB59D">
      <w:rPr>
        <w:i/>
        <w:iCs/>
        <w:sz w:val="20"/>
        <w:szCs w:val="20"/>
      </w:rPr>
      <w:t>at</w:t>
    </w:r>
    <w:proofErr w:type="gramEnd"/>
    <w:r w:rsidRPr="06BCB59D">
      <w:rPr>
        <w:i/>
        <w:iCs/>
        <w:sz w:val="20"/>
        <w:szCs w:val="20"/>
      </w:rPr>
      <w:t xml:space="preserve"> 30 June 202</w:t>
    </w:r>
    <w:r w:rsidR="00961636">
      <w:rPr>
        <w:i/>
        <w:iCs/>
        <w:sz w:val="20"/>
        <w:szCs w:val="20"/>
      </w:rPr>
      <w:t>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390B" w14:textId="753B92E6" w:rsidR="003314CD" w:rsidRDefault="003314C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6A77" w14:textId="7CF9131A" w:rsidR="00096515" w:rsidRPr="0050348A" w:rsidRDefault="00096515" w:rsidP="0050348A">
    <w:pPr>
      <w:pStyle w:val="CompanyName"/>
    </w:pPr>
    <w:r w:rsidRPr="00AB184D">
      <w:t>Glenveagh Properties PLC</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D979" w14:textId="77777777" w:rsidR="0050348A" w:rsidRDefault="0050348A" w:rsidP="0050348A">
    <w:pPr>
      <w:pStyle w:val="CompanyName"/>
    </w:pPr>
    <w:r w:rsidRPr="00AB184D">
      <w:t>Glenveagh Properties PLC</w:t>
    </w:r>
  </w:p>
  <w:p w14:paraId="27027C7B" w14:textId="77777777" w:rsidR="004C7BFF" w:rsidRPr="00670755" w:rsidRDefault="004C7BFF" w:rsidP="004C7BFF">
    <w:pPr>
      <w:pStyle w:val="ACSectionTOCHeading"/>
      <w:jc w:val="both"/>
    </w:pPr>
    <w:r>
      <w:t>Condensed consolidated statement of c</w:t>
    </w:r>
    <w:r w:rsidRPr="00670755">
      <w:t>ash flow</w:t>
    </w:r>
    <w:r>
      <w:t>s</w:t>
    </w:r>
  </w:p>
  <w:p w14:paraId="32BA57FF" w14:textId="1ED4CC53" w:rsidR="0050348A" w:rsidRPr="004C7BFF" w:rsidRDefault="004C7BFF" w:rsidP="0050348A">
    <w:pPr>
      <w:pStyle w:val="SectionHeader"/>
      <w:rPr>
        <w:i/>
        <w:iCs/>
        <w:sz w:val="20"/>
        <w:szCs w:val="16"/>
      </w:rPr>
    </w:pPr>
    <w:r w:rsidRPr="008D3576">
      <w:rPr>
        <w:i/>
        <w:iCs/>
        <w:sz w:val="20"/>
        <w:szCs w:val="16"/>
      </w:rPr>
      <w:t xml:space="preserve">for the six months ended 30 June </w:t>
    </w:r>
    <w:r>
      <w:rPr>
        <w:i/>
        <w:iCs/>
        <w:sz w:val="20"/>
        <w:szCs w:val="16"/>
      </w:rPr>
      <w:t>202</w:t>
    </w:r>
    <w:r w:rsidR="00F6791D">
      <w:rPr>
        <w:i/>
        <w:iCs/>
        <w:sz w:val="20"/>
        <w:szCs w:val="16"/>
      </w:rPr>
      <w:t>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8614" w14:textId="46AD695A" w:rsidR="002122FC" w:rsidRDefault="002122F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5B6E" w14:textId="05AF7671" w:rsidR="002122FC" w:rsidRPr="004C3382" w:rsidRDefault="002122FC" w:rsidP="00D03CE1">
    <w:pPr>
      <w:rPr>
        <w:sz w:val="32"/>
      </w:rPr>
    </w:pPr>
    <w:r w:rsidRPr="004C3382">
      <w:rPr>
        <w:sz w:val="32"/>
      </w:rPr>
      <w:t>Glenveagh Properties PLC</w:t>
    </w:r>
  </w:p>
  <w:p w14:paraId="73289726" w14:textId="77777777" w:rsidR="002122FC" w:rsidRDefault="002122FC" w:rsidP="00D03CE1"/>
  <w:p w14:paraId="773B92D9" w14:textId="243E88D6" w:rsidR="002122FC" w:rsidRDefault="002122FC" w:rsidP="00F36E18">
    <w:pPr>
      <w:pStyle w:val="SectionHeader"/>
      <w:rPr>
        <w:i/>
        <w:sz w:val="20"/>
      </w:rPr>
    </w:pPr>
    <w:r>
      <w:t>Notes to the condensed consolidated interim financial statements</w:t>
    </w:r>
    <w:r w:rsidRPr="0064073A">
      <w:rPr>
        <w:i/>
        <w:sz w:val="2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4637" w14:textId="196805A6" w:rsidR="002122FC" w:rsidRDefault="002122FC" w:rsidP="00D03CE1"/>
  <w:p w14:paraId="35829435" w14:textId="77777777" w:rsidR="002122FC" w:rsidRDefault="002122FC" w:rsidP="00D03CE1"/>
  <w:p w14:paraId="6D7C8234" w14:textId="77777777" w:rsidR="002122FC" w:rsidRPr="00E657A0" w:rsidRDefault="002122FC" w:rsidP="00D03CE1">
    <w:pPr>
      <w:pStyle w:val="SectionHeader"/>
      <w:rPr>
        <w:i/>
      </w:rPr>
    </w:pPr>
    <w:r>
      <w:t xml:space="preserve">Independent auditor’s report to the members of </w:t>
    </w:r>
    <w:proofErr w:type="spellStart"/>
    <w:r>
      <w:t>Bridgedale</w:t>
    </w:r>
    <w:proofErr w:type="spellEnd"/>
    <w:r>
      <w:t xml:space="preserve"> Group Limited </w:t>
    </w:r>
    <w:r w:rsidRPr="0064073A">
      <w:rPr>
        <w:i/>
        <w:sz w:val="20"/>
      </w:rPr>
      <w:t>(continued)</w:t>
    </w:r>
  </w:p>
  <w:p w14:paraId="5C9BF3A2" w14:textId="77777777" w:rsidR="002122FC" w:rsidRDefault="002122FC" w:rsidP="00D03CE1"/>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92C5" w14:textId="68538FDF" w:rsidR="002122FC" w:rsidRDefault="00212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5"/>
      <w:gridCol w:w="3125"/>
      <w:gridCol w:w="3125"/>
    </w:tblGrid>
    <w:tr w:rsidR="06BCB59D" w14:paraId="7CFAFBCE" w14:textId="77777777" w:rsidTr="06BCB59D">
      <w:tc>
        <w:tcPr>
          <w:tcW w:w="3125" w:type="dxa"/>
        </w:tcPr>
        <w:p w14:paraId="7BA5A67A" w14:textId="1646C323" w:rsidR="06BCB59D" w:rsidRDefault="06BCB59D" w:rsidP="06BCB59D">
          <w:pPr>
            <w:pStyle w:val="Header"/>
            <w:ind w:left="-115"/>
            <w:rPr>
              <w:rFonts w:eastAsia="Calibri" w:cs="Arial"/>
              <w:szCs w:val="20"/>
            </w:rPr>
          </w:pPr>
        </w:p>
      </w:tc>
      <w:tc>
        <w:tcPr>
          <w:tcW w:w="3125" w:type="dxa"/>
        </w:tcPr>
        <w:p w14:paraId="01D688AD" w14:textId="343167E8" w:rsidR="06BCB59D" w:rsidRDefault="06BCB59D" w:rsidP="06BCB59D">
          <w:pPr>
            <w:pStyle w:val="Header"/>
            <w:jc w:val="center"/>
            <w:rPr>
              <w:rFonts w:eastAsia="Calibri" w:cs="Arial"/>
              <w:szCs w:val="20"/>
            </w:rPr>
          </w:pPr>
        </w:p>
      </w:tc>
      <w:tc>
        <w:tcPr>
          <w:tcW w:w="3125" w:type="dxa"/>
        </w:tcPr>
        <w:p w14:paraId="44803E5A" w14:textId="63AAAAF6" w:rsidR="06BCB59D" w:rsidRDefault="06BCB59D" w:rsidP="06BCB59D">
          <w:pPr>
            <w:pStyle w:val="Header"/>
            <w:ind w:right="-115"/>
            <w:jc w:val="right"/>
            <w:rPr>
              <w:rFonts w:eastAsia="Calibri" w:cs="Arial"/>
              <w:szCs w:val="20"/>
            </w:rPr>
          </w:pPr>
        </w:p>
      </w:tc>
    </w:tr>
  </w:tbl>
  <w:p w14:paraId="6EA00CCF" w14:textId="2865FE58" w:rsidR="06BCB59D" w:rsidRDefault="06BCB59D" w:rsidP="06BCB59D">
    <w:pPr>
      <w:pStyle w:val="Header"/>
      <w:rPr>
        <w:rFonts w:eastAsia="Calibri" w:cs="Arial"/>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D92E" w14:textId="68C35F7C" w:rsidR="002122FC" w:rsidRPr="004C3382" w:rsidRDefault="002122FC" w:rsidP="00715EF2">
    <w:pPr>
      <w:rPr>
        <w:sz w:val="32"/>
      </w:rPr>
    </w:pPr>
    <w:r w:rsidRPr="004C3382">
      <w:rPr>
        <w:sz w:val="32"/>
      </w:rPr>
      <w:t>Glenveagh Properties PLC</w:t>
    </w:r>
  </w:p>
  <w:p w14:paraId="5509B93D" w14:textId="77777777" w:rsidR="002122FC" w:rsidRDefault="002122FC" w:rsidP="00715EF2"/>
  <w:p w14:paraId="711438D7" w14:textId="7375CECD" w:rsidR="002122FC" w:rsidRDefault="002122FC" w:rsidP="00715EF2">
    <w:pPr>
      <w:pStyle w:val="SectionHeader"/>
      <w:rPr>
        <w:i/>
        <w:sz w:val="20"/>
      </w:rPr>
    </w:pPr>
    <w:r>
      <w:t>Notes to the condensed consolidated interim financial statements</w:t>
    </w:r>
    <w:r w:rsidRPr="0064073A">
      <w:rPr>
        <w:i/>
        <w:sz w:val="2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AA6A" w14:textId="375F913D" w:rsidR="002122FC" w:rsidRDefault="002122FC" w:rsidP="00D03CE1"/>
  <w:p w14:paraId="7758907A" w14:textId="77777777" w:rsidR="002122FC" w:rsidRDefault="002122FC" w:rsidP="00D03CE1"/>
  <w:p w14:paraId="1BAB8EB6" w14:textId="77777777" w:rsidR="002122FC" w:rsidRPr="00E657A0" w:rsidRDefault="002122FC" w:rsidP="00D03CE1">
    <w:pPr>
      <w:pStyle w:val="SectionHeader"/>
      <w:rPr>
        <w:i/>
      </w:rPr>
    </w:pPr>
    <w:r>
      <w:t xml:space="preserve">Independent auditor’s report to the members of </w:t>
    </w:r>
    <w:proofErr w:type="spellStart"/>
    <w:r>
      <w:t>Bridgedale</w:t>
    </w:r>
    <w:proofErr w:type="spellEnd"/>
    <w:r>
      <w:t xml:space="preserve"> Group Limited </w:t>
    </w:r>
    <w:r w:rsidRPr="0064073A">
      <w:rPr>
        <w:i/>
        <w:sz w:val="20"/>
      </w:rPr>
      <w:t>(continued)</w:t>
    </w:r>
  </w:p>
  <w:p w14:paraId="1F8E8F4C" w14:textId="77777777" w:rsidR="002122FC" w:rsidRDefault="002122FC" w:rsidP="00D03CE1"/>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424F" w14:textId="30B1AF94" w:rsidR="003314CD" w:rsidRDefault="003314C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EFBA" w14:textId="2BA9919D" w:rsidR="002122FC" w:rsidRPr="00AB184D" w:rsidRDefault="002122FC" w:rsidP="00AB184D">
    <w:pPr>
      <w:pStyle w:val="CompanyName"/>
    </w:pPr>
    <w:r w:rsidRPr="00AB184D">
      <w:t>Glenveagh Properties PLC</w:t>
    </w:r>
  </w:p>
  <w:p w14:paraId="47F2F3C3" w14:textId="77777777" w:rsidR="002122FC" w:rsidRPr="00E73C39" w:rsidRDefault="002122FC" w:rsidP="00AB184D">
    <w:pPr>
      <w:pStyle w:val="SectionHeader"/>
      <w:rPr>
        <w:sz w:val="20"/>
      </w:rPr>
    </w:pPr>
  </w:p>
  <w:p w14:paraId="2083BDB7" w14:textId="6BE8402D" w:rsidR="002122FC" w:rsidRPr="00AB184D" w:rsidRDefault="002122FC" w:rsidP="00AB184D">
    <w:pPr>
      <w:pStyle w:val="SectionHeader"/>
      <w:rPr>
        <w:i/>
        <w:sz w:val="20"/>
        <w:szCs w:val="20"/>
      </w:rPr>
    </w:pPr>
    <w:r>
      <w:t xml:space="preserve">Notes to the condensed consolidated interim financial statements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E7B2" w14:textId="22945C9D" w:rsidR="003314CD" w:rsidRDefault="00331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5"/>
      <w:gridCol w:w="3125"/>
      <w:gridCol w:w="3125"/>
    </w:tblGrid>
    <w:tr w:rsidR="06BCB59D" w14:paraId="63E1BB6F" w14:textId="77777777" w:rsidTr="06BCB59D">
      <w:tc>
        <w:tcPr>
          <w:tcW w:w="3125" w:type="dxa"/>
        </w:tcPr>
        <w:p w14:paraId="31D02373" w14:textId="679C626B" w:rsidR="06BCB59D" w:rsidRDefault="06BCB59D" w:rsidP="06BCB59D">
          <w:pPr>
            <w:pStyle w:val="Header"/>
            <w:ind w:left="-115"/>
            <w:rPr>
              <w:rFonts w:eastAsia="Calibri" w:cs="Arial"/>
              <w:szCs w:val="20"/>
            </w:rPr>
          </w:pPr>
        </w:p>
      </w:tc>
      <w:tc>
        <w:tcPr>
          <w:tcW w:w="3125" w:type="dxa"/>
        </w:tcPr>
        <w:p w14:paraId="32DD7C04" w14:textId="5F1B4872" w:rsidR="06BCB59D" w:rsidRDefault="06BCB59D" w:rsidP="06BCB59D">
          <w:pPr>
            <w:pStyle w:val="Header"/>
            <w:jc w:val="center"/>
            <w:rPr>
              <w:rFonts w:eastAsia="Calibri" w:cs="Arial"/>
              <w:szCs w:val="20"/>
            </w:rPr>
          </w:pPr>
        </w:p>
      </w:tc>
      <w:tc>
        <w:tcPr>
          <w:tcW w:w="3125" w:type="dxa"/>
        </w:tcPr>
        <w:p w14:paraId="6D2D84E7" w14:textId="27DA2D18" w:rsidR="06BCB59D" w:rsidRDefault="06BCB59D" w:rsidP="06BCB59D">
          <w:pPr>
            <w:pStyle w:val="Header"/>
            <w:ind w:right="-115"/>
            <w:jc w:val="right"/>
            <w:rPr>
              <w:rFonts w:eastAsia="Calibri" w:cs="Arial"/>
              <w:szCs w:val="20"/>
            </w:rPr>
          </w:pPr>
        </w:p>
      </w:tc>
    </w:tr>
  </w:tbl>
  <w:p w14:paraId="703C4382" w14:textId="1C0301F6" w:rsidR="06BCB59D" w:rsidRDefault="06BCB59D" w:rsidP="06BCB59D">
    <w:pPr>
      <w:pStyle w:val="Header"/>
      <w:rPr>
        <w:rFonts w:eastAsia="Calibri" w:cs="Arial"/>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1371" w14:textId="1646278D" w:rsidR="003314CD" w:rsidRDefault="003314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6C91" w14:textId="1C67FAE8" w:rsidR="002122FC" w:rsidRDefault="002122FC" w:rsidP="009D74AF">
    <w:pPr>
      <w:pStyle w:val="CompanyName"/>
    </w:pPr>
    <w:r w:rsidRPr="009D74AF">
      <w:t>Glenveagh Properties PLC</w:t>
    </w:r>
  </w:p>
  <w:p w14:paraId="543DD2B0" w14:textId="77777777" w:rsidR="002122FC" w:rsidRPr="009D74AF" w:rsidRDefault="002122FC" w:rsidP="009D74AF">
    <w:pPr>
      <w:pStyle w:val="SectionHeader"/>
    </w:pPr>
  </w:p>
  <w:p w14:paraId="62C89CE0" w14:textId="77777777" w:rsidR="002122FC" w:rsidRDefault="002122FC" w:rsidP="009D74AF">
    <w:pPr>
      <w:pStyle w:val="SectionHeader"/>
    </w:pPr>
    <w:r>
      <w:t>Condensed consolidated interim financial statements</w:t>
    </w:r>
  </w:p>
  <w:p w14:paraId="45372FA4" w14:textId="77777777" w:rsidR="002122FC" w:rsidRPr="009D74AF" w:rsidRDefault="002122FC" w:rsidP="009D74A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175C" w14:textId="6C37084B" w:rsidR="003314CD" w:rsidRDefault="003314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1678" w14:textId="77777777" w:rsidR="00E5419A" w:rsidRPr="009D74AF" w:rsidRDefault="00E5419A" w:rsidP="009D74AF">
    <w:pPr>
      <w:pStyle w:val="Section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2D0F" w14:textId="2E8467C9" w:rsidR="003314CD" w:rsidRDefault="003314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AF00" w14:textId="288E46B7" w:rsidR="002122FC" w:rsidRDefault="002122FC" w:rsidP="009D74AF">
    <w:pPr>
      <w:pStyle w:val="CompanyName"/>
    </w:pPr>
    <w:r w:rsidRPr="009D74AF">
      <w:t>Glenveagh Properties PLC</w:t>
    </w:r>
  </w:p>
  <w:p w14:paraId="0BD7DB78" w14:textId="77777777" w:rsidR="002122FC" w:rsidRPr="00620AB7" w:rsidRDefault="002122FC" w:rsidP="005A35D7">
    <w:pPr>
      <w:pStyle w:val="ACSectionTOCHeading"/>
      <w:jc w:val="both"/>
      <w:rPr>
        <w:sz w:val="24"/>
        <w:szCs w:val="24"/>
      </w:rPr>
    </w:pPr>
    <w:r w:rsidRPr="00620AB7">
      <w:rPr>
        <w:sz w:val="24"/>
        <w:szCs w:val="24"/>
      </w:rPr>
      <w:t>Condensed consolidated statement of profit or loss and other comprehensive income</w:t>
    </w:r>
  </w:p>
  <w:p w14:paraId="6299F0CA" w14:textId="2110EE66" w:rsidR="00216033" w:rsidRPr="00216033" w:rsidRDefault="06BCB59D" w:rsidP="00216033">
    <w:pPr>
      <w:pStyle w:val="Sub-header"/>
      <w:jc w:val="both"/>
    </w:pPr>
    <w:r>
      <w:t>for the six months ended 30 June 202</w:t>
    </w:r>
    <w:r w:rsidR="00F5432F">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1811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B09B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6022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1A68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2E317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B033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103B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5687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0B7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B47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B6FE0"/>
    <w:multiLevelType w:val="hybridMultilevel"/>
    <w:tmpl w:val="C5468BAA"/>
    <w:lvl w:ilvl="0" w:tplc="FFFFFFFF">
      <w:start w:val="1"/>
      <w:numFmt w:val="decimal"/>
      <w:lvlText w:val="%1."/>
      <w:lvlJc w:val="left"/>
      <w:pPr>
        <w:ind w:left="360" w:hanging="360"/>
      </w:pPr>
      <w:rPr>
        <w:rFonts w:hint="default"/>
      </w:rPr>
    </w:lvl>
    <w:lvl w:ilvl="1" w:tplc="1809001B">
      <w:start w:val="1"/>
      <w:numFmt w:val="lowerRoman"/>
      <w:lvlText w:val="%2."/>
      <w:lvlJc w:val="right"/>
      <w:pPr>
        <w:ind w:left="1080" w:hanging="360"/>
      </w:pPr>
    </w:lvl>
    <w:lvl w:ilvl="2" w:tplc="FFFFFFFF">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41F4CB6"/>
    <w:multiLevelType w:val="hybridMultilevel"/>
    <w:tmpl w:val="C8A6038A"/>
    <w:lvl w:ilvl="0" w:tplc="FFFFFFFF">
      <w:start w:val="1"/>
      <w:numFmt w:val="lowerLetter"/>
      <w:lvlText w:val="(%1)"/>
      <w:lvlJc w:val="left"/>
      <w:pPr>
        <w:ind w:left="808" w:hanging="360"/>
      </w:pPr>
      <w:rPr>
        <w:rFonts w:hint="default"/>
      </w:rPr>
    </w:lvl>
    <w:lvl w:ilvl="1" w:tplc="FFFFFFFF" w:tentative="1">
      <w:start w:val="1"/>
      <w:numFmt w:val="lowerLetter"/>
      <w:lvlText w:val="%2."/>
      <w:lvlJc w:val="left"/>
      <w:pPr>
        <w:ind w:left="1528" w:hanging="360"/>
      </w:pPr>
    </w:lvl>
    <w:lvl w:ilvl="2" w:tplc="FFFFFFFF" w:tentative="1">
      <w:start w:val="1"/>
      <w:numFmt w:val="lowerRoman"/>
      <w:lvlText w:val="%3."/>
      <w:lvlJc w:val="right"/>
      <w:pPr>
        <w:ind w:left="2248" w:hanging="180"/>
      </w:pPr>
    </w:lvl>
    <w:lvl w:ilvl="3" w:tplc="FFFFFFFF" w:tentative="1">
      <w:start w:val="1"/>
      <w:numFmt w:val="decimal"/>
      <w:lvlText w:val="%4."/>
      <w:lvlJc w:val="left"/>
      <w:pPr>
        <w:ind w:left="2968" w:hanging="360"/>
      </w:pPr>
    </w:lvl>
    <w:lvl w:ilvl="4" w:tplc="FFFFFFFF" w:tentative="1">
      <w:start w:val="1"/>
      <w:numFmt w:val="lowerLetter"/>
      <w:lvlText w:val="%5."/>
      <w:lvlJc w:val="left"/>
      <w:pPr>
        <w:ind w:left="3688" w:hanging="360"/>
      </w:pPr>
    </w:lvl>
    <w:lvl w:ilvl="5" w:tplc="FFFFFFFF" w:tentative="1">
      <w:start w:val="1"/>
      <w:numFmt w:val="lowerRoman"/>
      <w:lvlText w:val="%6."/>
      <w:lvlJc w:val="right"/>
      <w:pPr>
        <w:ind w:left="4408" w:hanging="180"/>
      </w:pPr>
    </w:lvl>
    <w:lvl w:ilvl="6" w:tplc="FFFFFFFF" w:tentative="1">
      <w:start w:val="1"/>
      <w:numFmt w:val="decimal"/>
      <w:lvlText w:val="%7."/>
      <w:lvlJc w:val="left"/>
      <w:pPr>
        <w:ind w:left="5128" w:hanging="360"/>
      </w:pPr>
    </w:lvl>
    <w:lvl w:ilvl="7" w:tplc="FFFFFFFF" w:tentative="1">
      <w:start w:val="1"/>
      <w:numFmt w:val="lowerLetter"/>
      <w:lvlText w:val="%8."/>
      <w:lvlJc w:val="left"/>
      <w:pPr>
        <w:ind w:left="5848" w:hanging="360"/>
      </w:pPr>
    </w:lvl>
    <w:lvl w:ilvl="8" w:tplc="FFFFFFFF" w:tentative="1">
      <w:start w:val="1"/>
      <w:numFmt w:val="lowerRoman"/>
      <w:lvlText w:val="%9."/>
      <w:lvlJc w:val="right"/>
      <w:pPr>
        <w:ind w:left="6568" w:hanging="180"/>
      </w:pPr>
    </w:lvl>
  </w:abstractNum>
  <w:abstractNum w:abstractNumId="12" w15:restartNumberingAfterBreak="0">
    <w:nsid w:val="04804F34"/>
    <w:multiLevelType w:val="hybridMultilevel"/>
    <w:tmpl w:val="DD022FCA"/>
    <w:lvl w:ilvl="0" w:tplc="18E2DE46">
      <w:start w:val="15"/>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0C0540"/>
    <w:multiLevelType w:val="hybridMultilevel"/>
    <w:tmpl w:val="8B1C2FA6"/>
    <w:lvl w:ilvl="0" w:tplc="B18012AC">
      <w:start w:val="1"/>
      <w:numFmt w:val="lowerLetter"/>
      <w:lvlText w:val="(%1)"/>
      <w:lvlJc w:val="left"/>
      <w:pPr>
        <w:ind w:left="808" w:hanging="360"/>
      </w:pPr>
    </w:lvl>
    <w:lvl w:ilvl="1" w:tplc="08090019">
      <w:start w:val="1"/>
      <w:numFmt w:val="lowerLetter"/>
      <w:lvlText w:val="%2."/>
      <w:lvlJc w:val="left"/>
      <w:pPr>
        <w:ind w:left="1528" w:hanging="360"/>
      </w:pPr>
    </w:lvl>
    <w:lvl w:ilvl="2" w:tplc="0809001B">
      <w:start w:val="1"/>
      <w:numFmt w:val="lowerRoman"/>
      <w:lvlText w:val="%3."/>
      <w:lvlJc w:val="right"/>
      <w:pPr>
        <w:ind w:left="2248" w:hanging="180"/>
      </w:pPr>
    </w:lvl>
    <w:lvl w:ilvl="3" w:tplc="0809000F">
      <w:start w:val="1"/>
      <w:numFmt w:val="decimal"/>
      <w:lvlText w:val="%4."/>
      <w:lvlJc w:val="left"/>
      <w:pPr>
        <w:ind w:left="2968" w:hanging="360"/>
      </w:pPr>
    </w:lvl>
    <w:lvl w:ilvl="4" w:tplc="08090019">
      <w:start w:val="1"/>
      <w:numFmt w:val="lowerLetter"/>
      <w:lvlText w:val="%5."/>
      <w:lvlJc w:val="left"/>
      <w:pPr>
        <w:ind w:left="3688" w:hanging="360"/>
      </w:pPr>
    </w:lvl>
    <w:lvl w:ilvl="5" w:tplc="0809001B">
      <w:start w:val="1"/>
      <w:numFmt w:val="lowerRoman"/>
      <w:lvlText w:val="%6."/>
      <w:lvlJc w:val="right"/>
      <w:pPr>
        <w:ind w:left="4408" w:hanging="180"/>
      </w:pPr>
    </w:lvl>
    <w:lvl w:ilvl="6" w:tplc="0809000F">
      <w:start w:val="1"/>
      <w:numFmt w:val="decimal"/>
      <w:lvlText w:val="%7."/>
      <w:lvlJc w:val="left"/>
      <w:pPr>
        <w:ind w:left="5128" w:hanging="360"/>
      </w:pPr>
    </w:lvl>
    <w:lvl w:ilvl="7" w:tplc="08090019">
      <w:start w:val="1"/>
      <w:numFmt w:val="lowerLetter"/>
      <w:lvlText w:val="%8."/>
      <w:lvlJc w:val="left"/>
      <w:pPr>
        <w:ind w:left="5848" w:hanging="360"/>
      </w:pPr>
    </w:lvl>
    <w:lvl w:ilvl="8" w:tplc="0809001B">
      <w:start w:val="1"/>
      <w:numFmt w:val="lowerRoman"/>
      <w:lvlText w:val="%9."/>
      <w:lvlJc w:val="right"/>
      <w:pPr>
        <w:ind w:left="6568" w:hanging="180"/>
      </w:pPr>
    </w:lvl>
  </w:abstractNum>
  <w:abstractNum w:abstractNumId="14" w15:restartNumberingAfterBreak="0">
    <w:nsid w:val="0C053ACC"/>
    <w:multiLevelType w:val="hybridMultilevel"/>
    <w:tmpl w:val="6B10DC12"/>
    <w:lvl w:ilvl="0" w:tplc="590443CC">
      <w:start w:val="1"/>
      <w:numFmt w:val="bullet"/>
      <w:lvlText w:val=""/>
      <w:lvlJc w:val="left"/>
      <w:pPr>
        <w:ind w:left="720" w:hanging="360"/>
      </w:pPr>
      <w:rPr>
        <w:rFonts w:ascii="Symbol" w:hAnsi="Symbol" w:hint="default"/>
        <w:sz w:val="21"/>
        <w:szCs w:val="2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0F26563E"/>
    <w:multiLevelType w:val="hybridMultilevel"/>
    <w:tmpl w:val="6FF8E576"/>
    <w:lvl w:ilvl="0" w:tplc="FFFFFFFF">
      <w:start w:val="1"/>
      <w:numFmt w:val="lowerLetter"/>
      <w:lvlText w:val="(%1)"/>
      <w:lvlJc w:val="left"/>
      <w:pPr>
        <w:ind w:left="808" w:hanging="360"/>
      </w:pPr>
      <w:rPr>
        <w:rFonts w:hint="default"/>
      </w:rPr>
    </w:lvl>
    <w:lvl w:ilvl="1" w:tplc="FFFFFFFF" w:tentative="1">
      <w:start w:val="1"/>
      <w:numFmt w:val="lowerLetter"/>
      <w:lvlText w:val="%2."/>
      <w:lvlJc w:val="left"/>
      <w:pPr>
        <w:ind w:left="1528" w:hanging="360"/>
      </w:pPr>
    </w:lvl>
    <w:lvl w:ilvl="2" w:tplc="FFFFFFFF" w:tentative="1">
      <w:start w:val="1"/>
      <w:numFmt w:val="lowerRoman"/>
      <w:lvlText w:val="%3."/>
      <w:lvlJc w:val="right"/>
      <w:pPr>
        <w:ind w:left="2248" w:hanging="180"/>
      </w:pPr>
    </w:lvl>
    <w:lvl w:ilvl="3" w:tplc="FFFFFFFF" w:tentative="1">
      <w:start w:val="1"/>
      <w:numFmt w:val="decimal"/>
      <w:lvlText w:val="%4."/>
      <w:lvlJc w:val="left"/>
      <w:pPr>
        <w:ind w:left="2968" w:hanging="360"/>
      </w:pPr>
    </w:lvl>
    <w:lvl w:ilvl="4" w:tplc="FFFFFFFF" w:tentative="1">
      <w:start w:val="1"/>
      <w:numFmt w:val="lowerLetter"/>
      <w:lvlText w:val="%5."/>
      <w:lvlJc w:val="left"/>
      <w:pPr>
        <w:ind w:left="3688" w:hanging="360"/>
      </w:pPr>
    </w:lvl>
    <w:lvl w:ilvl="5" w:tplc="FFFFFFFF" w:tentative="1">
      <w:start w:val="1"/>
      <w:numFmt w:val="lowerRoman"/>
      <w:lvlText w:val="%6."/>
      <w:lvlJc w:val="right"/>
      <w:pPr>
        <w:ind w:left="4408" w:hanging="180"/>
      </w:pPr>
    </w:lvl>
    <w:lvl w:ilvl="6" w:tplc="FFFFFFFF" w:tentative="1">
      <w:start w:val="1"/>
      <w:numFmt w:val="decimal"/>
      <w:lvlText w:val="%7."/>
      <w:lvlJc w:val="left"/>
      <w:pPr>
        <w:ind w:left="5128" w:hanging="360"/>
      </w:pPr>
    </w:lvl>
    <w:lvl w:ilvl="7" w:tplc="FFFFFFFF" w:tentative="1">
      <w:start w:val="1"/>
      <w:numFmt w:val="lowerLetter"/>
      <w:lvlText w:val="%8."/>
      <w:lvlJc w:val="left"/>
      <w:pPr>
        <w:ind w:left="5848" w:hanging="360"/>
      </w:pPr>
    </w:lvl>
    <w:lvl w:ilvl="8" w:tplc="FFFFFFFF" w:tentative="1">
      <w:start w:val="1"/>
      <w:numFmt w:val="lowerRoman"/>
      <w:lvlText w:val="%9."/>
      <w:lvlJc w:val="right"/>
      <w:pPr>
        <w:ind w:left="6568" w:hanging="180"/>
      </w:pPr>
    </w:lvl>
  </w:abstractNum>
  <w:abstractNum w:abstractNumId="16" w15:restartNumberingAfterBreak="0">
    <w:nsid w:val="127C54A1"/>
    <w:multiLevelType w:val="hybridMultilevel"/>
    <w:tmpl w:val="6AD27446"/>
    <w:lvl w:ilvl="0" w:tplc="8D580CE8">
      <w:start w:val="1"/>
      <w:numFmt w:val="lowerLetter"/>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17" w15:restartNumberingAfterBreak="0">
    <w:nsid w:val="12DF1661"/>
    <w:multiLevelType w:val="hybridMultilevel"/>
    <w:tmpl w:val="1A78D0DA"/>
    <w:lvl w:ilvl="0" w:tplc="ACBC586C">
      <w:start w:val="1"/>
      <w:numFmt w:val="lowerLetter"/>
      <w:lvlText w:val="(%1)"/>
      <w:lvlJc w:val="left"/>
      <w:pPr>
        <w:ind w:left="808" w:hanging="360"/>
      </w:pPr>
      <w:rPr>
        <w:rFonts w:hint="default"/>
        <w:b/>
        <w:bCs/>
      </w:rPr>
    </w:lvl>
    <w:lvl w:ilvl="1" w:tplc="18090019" w:tentative="1">
      <w:start w:val="1"/>
      <w:numFmt w:val="lowerLetter"/>
      <w:lvlText w:val="%2."/>
      <w:lvlJc w:val="left"/>
      <w:pPr>
        <w:ind w:left="1528" w:hanging="360"/>
      </w:pPr>
    </w:lvl>
    <w:lvl w:ilvl="2" w:tplc="1809001B" w:tentative="1">
      <w:start w:val="1"/>
      <w:numFmt w:val="lowerRoman"/>
      <w:lvlText w:val="%3."/>
      <w:lvlJc w:val="right"/>
      <w:pPr>
        <w:ind w:left="2248" w:hanging="180"/>
      </w:pPr>
    </w:lvl>
    <w:lvl w:ilvl="3" w:tplc="1809000F" w:tentative="1">
      <w:start w:val="1"/>
      <w:numFmt w:val="decimal"/>
      <w:lvlText w:val="%4."/>
      <w:lvlJc w:val="left"/>
      <w:pPr>
        <w:ind w:left="2968" w:hanging="360"/>
      </w:pPr>
    </w:lvl>
    <w:lvl w:ilvl="4" w:tplc="18090019" w:tentative="1">
      <w:start w:val="1"/>
      <w:numFmt w:val="lowerLetter"/>
      <w:lvlText w:val="%5."/>
      <w:lvlJc w:val="left"/>
      <w:pPr>
        <w:ind w:left="3688" w:hanging="360"/>
      </w:pPr>
    </w:lvl>
    <w:lvl w:ilvl="5" w:tplc="1809001B" w:tentative="1">
      <w:start w:val="1"/>
      <w:numFmt w:val="lowerRoman"/>
      <w:lvlText w:val="%6."/>
      <w:lvlJc w:val="right"/>
      <w:pPr>
        <w:ind w:left="4408" w:hanging="180"/>
      </w:pPr>
    </w:lvl>
    <w:lvl w:ilvl="6" w:tplc="1809000F" w:tentative="1">
      <w:start w:val="1"/>
      <w:numFmt w:val="decimal"/>
      <w:lvlText w:val="%7."/>
      <w:lvlJc w:val="left"/>
      <w:pPr>
        <w:ind w:left="5128" w:hanging="360"/>
      </w:pPr>
    </w:lvl>
    <w:lvl w:ilvl="7" w:tplc="18090019" w:tentative="1">
      <w:start w:val="1"/>
      <w:numFmt w:val="lowerLetter"/>
      <w:lvlText w:val="%8."/>
      <w:lvlJc w:val="left"/>
      <w:pPr>
        <w:ind w:left="5848" w:hanging="360"/>
      </w:pPr>
    </w:lvl>
    <w:lvl w:ilvl="8" w:tplc="1809001B" w:tentative="1">
      <w:start w:val="1"/>
      <w:numFmt w:val="lowerRoman"/>
      <w:lvlText w:val="%9."/>
      <w:lvlJc w:val="right"/>
      <w:pPr>
        <w:ind w:left="6568" w:hanging="180"/>
      </w:pPr>
    </w:lvl>
  </w:abstractNum>
  <w:abstractNum w:abstractNumId="18" w15:restartNumberingAfterBreak="0">
    <w:nsid w:val="17FD7DE6"/>
    <w:multiLevelType w:val="hybridMultilevel"/>
    <w:tmpl w:val="66EE1BCA"/>
    <w:lvl w:ilvl="0" w:tplc="F8F67AE0">
      <w:start w:val="1"/>
      <w:numFmt w:val="lowerRoman"/>
      <w:lvlText w:val="(%1)"/>
      <w:lvlJc w:val="left"/>
      <w:pPr>
        <w:ind w:left="1168" w:hanging="72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19" w15:restartNumberingAfterBreak="0">
    <w:nsid w:val="189D00E2"/>
    <w:multiLevelType w:val="hybridMultilevel"/>
    <w:tmpl w:val="1A78D0DA"/>
    <w:lvl w:ilvl="0" w:tplc="FFFFFFFF">
      <w:start w:val="1"/>
      <w:numFmt w:val="lowerLetter"/>
      <w:lvlText w:val="(%1)"/>
      <w:lvlJc w:val="left"/>
      <w:pPr>
        <w:ind w:left="808" w:hanging="360"/>
      </w:pPr>
      <w:rPr>
        <w:rFonts w:hint="default"/>
        <w:b/>
        <w:bCs/>
      </w:rPr>
    </w:lvl>
    <w:lvl w:ilvl="1" w:tplc="FFFFFFFF" w:tentative="1">
      <w:start w:val="1"/>
      <w:numFmt w:val="lowerLetter"/>
      <w:lvlText w:val="%2."/>
      <w:lvlJc w:val="left"/>
      <w:pPr>
        <w:ind w:left="1528" w:hanging="360"/>
      </w:pPr>
    </w:lvl>
    <w:lvl w:ilvl="2" w:tplc="FFFFFFFF" w:tentative="1">
      <w:start w:val="1"/>
      <w:numFmt w:val="lowerRoman"/>
      <w:lvlText w:val="%3."/>
      <w:lvlJc w:val="right"/>
      <w:pPr>
        <w:ind w:left="2248" w:hanging="180"/>
      </w:pPr>
    </w:lvl>
    <w:lvl w:ilvl="3" w:tplc="FFFFFFFF" w:tentative="1">
      <w:start w:val="1"/>
      <w:numFmt w:val="decimal"/>
      <w:lvlText w:val="%4."/>
      <w:lvlJc w:val="left"/>
      <w:pPr>
        <w:ind w:left="2968" w:hanging="360"/>
      </w:pPr>
    </w:lvl>
    <w:lvl w:ilvl="4" w:tplc="FFFFFFFF" w:tentative="1">
      <w:start w:val="1"/>
      <w:numFmt w:val="lowerLetter"/>
      <w:lvlText w:val="%5."/>
      <w:lvlJc w:val="left"/>
      <w:pPr>
        <w:ind w:left="3688" w:hanging="360"/>
      </w:pPr>
    </w:lvl>
    <w:lvl w:ilvl="5" w:tplc="FFFFFFFF" w:tentative="1">
      <w:start w:val="1"/>
      <w:numFmt w:val="lowerRoman"/>
      <w:lvlText w:val="%6."/>
      <w:lvlJc w:val="right"/>
      <w:pPr>
        <w:ind w:left="4408" w:hanging="180"/>
      </w:pPr>
    </w:lvl>
    <w:lvl w:ilvl="6" w:tplc="FFFFFFFF" w:tentative="1">
      <w:start w:val="1"/>
      <w:numFmt w:val="decimal"/>
      <w:lvlText w:val="%7."/>
      <w:lvlJc w:val="left"/>
      <w:pPr>
        <w:ind w:left="5128" w:hanging="360"/>
      </w:pPr>
    </w:lvl>
    <w:lvl w:ilvl="7" w:tplc="FFFFFFFF" w:tentative="1">
      <w:start w:val="1"/>
      <w:numFmt w:val="lowerLetter"/>
      <w:lvlText w:val="%8."/>
      <w:lvlJc w:val="left"/>
      <w:pPr>
        <w:ind w:left="5848" w:hanging="360"/>
      </w:pPr>
    </w:lvl>
    <w:lvl w:ilvl="8" w:tplc="FFFFFFFF" w:tentative="1">
      <w:start w:val="1"/>
      <w:numFmt w:val="lowerRoman"/>
      <w:lvlText w:val="%9."/>
      <w:lvlJc w:val="right"/>
      <w:pPr>
        <w:ind w:left="6568" w:hanging="180"/>
      </w:pPr>
    </w:lvl>
  </w:abstractNum>
  <w:abstractNum w:abstractNumId="20" w15:restartNumberingAfterBreak="0">
    <w:nsid w:val="1CA760A0"/>
    <w:multiLevelType w:val="hybridMultilevel"/>
    <w:tmpl w:val="59A0C25C"/>
    <w:lvl w:ilvl="0" w:tplc="FFFFFFFF">
      <w:start w:val="1"/>
      <w:numFmt w:val="decimal"/>
      <w:lvlText w:val="%1."/>
      <w:lvlJc w:val="left"/>
      <w:pPr>
        <w:ind w:left="360" w:hanging="360"/>
      </w:pPr>
      <w:rPr>
        <w:rFonts w:hint="default"/>
      </w:rPr>
    </w:lvl>
    <w:lvl w:ilvl="1" w:tplc="3008031C">
      <w:start w:val="1"/>
      <w:numFmt w:val="lowerLetter"/>
      <w:lvlText w:val="%2."/>
      <w:lvlJc w:val="left"/>
      <w:pPr>
        <w:ind w:left="1080" w:hanging="360"/>
      </w:pPr>
      <w:rPr>
        <w:rFonts w:hint="default"/>
        <w:color w:val="auto"/>
      </w:rPr>
    </w:lvl>
    <w:lvl w:ilvl="2" w:tplc="FFFFFFFF">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F400DC2"/>
    <w:multiLevelType w:val="hybridMultilevel"/>
    <w:tmpl w:val="6FF8E576"/>
    <w:lvl w:ilvl="0" w:tplc="FFFFFFFF">
      <w:start w:val="1"/>
      <w:numFmt w:val="lowerLetter"/>
      <w:lvlText w:val="(%1)"/>
      <w:lvlJc w:val="left"/>
      <w:pPr>
        <w:ind w:left="808" w:hanging="360"/>
      </w:pPr>
      <w:rPr>
        <w:rFonts w:hint="default"/>
      </w:rPr>
    </w:lvl>
    <w:lvl w:ilvl="1" w:tplc="FFFFFFFF" w:tentative="1">
      <w:start w:val="1"/>
      <w:numFmt w:val="lowerLetter"/>
      <w:lvlText w:val="%2."/>
      <w:lvlJc w:val="left"/>
      <w:pPr>
        <w:ind w:left="1528" w:hanging="360"/>
      </w:pPr>
    </w:lvl>
    <w:lvl w:ilvl="2" w:tplc="FFFFFFFF" w:tentative="1">
      <w:start w:val="1"/>
      <w:numFmt w:val="lowerRoman"/>
      <w:lvlText w:val="%3."/>
      <w:lvlJc w:val="right"/>
      <w:pPr>
        <w:ind w:left="2248" w:hanging="180"/>
      </w:pPr>
    </w:lvl>
    <w:lvl w:ilvl="3" w:tplc="FFFFFFFF" w:tentative="1">
      <w:start w:val="1"/>
      <w:numFmt w:val="decimal"/>
      <w:lvlText w:val="%4."/>
      <w:lvlJc w:val="left"/>
      <w:pPr>
        <w:ind w:left="2968" w:hanging="360"/>
      </w:pPr>
    </w:lvl>
    <w:lvl w:ilvl="4" w:tplc="FFFFFFFF" w:tentative="1">
      <w:start w:val="1"/>
      <w:numFmt w:val="lowerLetter"/>
      <w:lvlText w:val="%5."/>
      <w:lvlJc w:val="left"/>
      <w:pPr>
        <w:ind w:left="3688" w:hanging="360"/>
      </w:pPr>
    </w:lvl>
    <w:lvl w:ilvl="5" w:tplc="FFFFFFFF" w:tentative="1">
      <w:start w:val="1"/>
      <w:numFmt w:val="lowerRoman"/>
      <w:lvlText w:val="%6."/>
      <w:lvlJc w:val="right"/>
      <w:pPr>
        <w:ind w:left="4408" w:hanging="180"/>
      </w:pPr>
    </w:lvl>
    <w:lvl w:ilvl="6" w:tplc="FFFFFFFF" w:tentative="1">
      <w:start w:val="1"/>
      <w:numFmt w:val="decimal"/>
      <w:lvlText w:val="%7."/>
      <w:lvlJc w:val="left"/>
      <w:pPr>
        <w:ind w:left="5128" w:hanging="360"/>
      </w:pPr>
    </w:lvl>
    <w:lvl w:ilvl="7" w:tplc="FFFFFFFF" w:tentative="1">
      <w:start w:val="1"/>
      <w:numFmt w:val="lowerLetter"/>
      <w:lvlText w:val="%8."/>
      <w:lvlJc w:val="left"/>
      <w:pPr>
        <w:ind w:left="5848" w:hanging="360"/>
      </w:pPr>
    </w:lvl>
    <w:lvl w:ilvl="8" w:tplc="FFFFFFFF" w:tentative="1">
      <w:start w:val="1"/>
      <w:numFmt w:val="lowerRoman"/>
      <w:lvlText w:val="%9."/>
      <w:lvlJc w:val="right"/>
      <w:pPr>
        <w:ind w:left="6568" w:hanging="180"/>
      </w:pPr>
    </w:lvl>
  </w:abstractNum>
  <w:abstractNum w:abstractNumId="22" w15:restartNumberingAfterBreak="0">
    <w:nsid w:val="1F720D9E"/>
    <w:multiLevelType w:val="hybridMultilevel"/>
    <w:tmpl w:val="52A0422C"/>
    <w:lvl w:ilvl="0" w:tplc="FFFFFFFF">
      <w:start w:val="2"/>
      <w:numFmt w:val="lowerLetter"/>
      <w:lvlText w:val="(%1)"/>
      <w:lvlJc w:val="left"/>
      <w:pPr>
        <w:ind w:left="80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8F0F79"/>
    <w:multiLevelType w:val="hybridMultilevel"/>
    <w:tmpl w:val="8B1C2FA6"/>
    <w:lvl w:ilvl="0" w:tplc="FFFFFFFF">
      <w:start w:val="1"/>
      <w:numFmt w:val="lowerLetter"/>
      <w:lvlText w:val="(%1)"/>
      <w:lvlJc w:val="left"/>
      <w:pPr>
        <w:ind w:left="808" w:hanging="360"/>
      </w:pPr>
    </w:lvl>
    <w:lvl w:ilvl="1" w:tplc="FFFFFFFF">
      <w:start w:val="1"/>
      <w:numFmt w:val="lowerLetter"/>
      <w:lvlText w:val="%2."/>
      <w:lvlJc w:val="left"/>
      <w:pPr>
        <w:ind w:left="1528" w:hanging="360"/>
      </w:pPr>
    </w:lvl>
    <w:lvl w:ilvl="2" w:tplc="FFFFFFFF">
      <w:start w:val="1"/>
      <w:numFmt w:val="lowerRoman"/>
      <w:lvlText w:val="%3."/>
      <w:lvlJc w:val="right"/>
      <w:pPr>
        <w:ind w:left="2248" w:hanging="180"/>
      </w:pPr>
    </w:lvl>
    <w:lvl w:ilvl="3" w:tplc="FFFFFFFF">
      <w:start w:val="1"/>
      <w:numFmt w:val="decimal"/>
      <w:lvlText w:val="%4."/>
      <w:lvlJc w:val="left"/>
      <w:pPr>
        <w:ind w:left="2968" w:hanging="360"/>
      </w:pPr>
    </w:lvl>
    <w:lvl w:ilvl="4" w:tplc="FFFFFFFF">
      <w:start w:val="1"/>
      <w:numFmt w:val="lowerLetter"/>
      <w:lvlText w:val="%5."/>
      <w:lvlJc w:val="left"/>
      <w:pPr>
        <w:ind w:left="3688" w:hanging="360"/>
      </w:pPr>
    </w:lvl>
    <w:lvl w:ilvl="5" w:tplc="FFFFFFFF">
      <w:start w:val="1"/>
      <w:numFmt w:val="lowerRoman"/>
      <w:lvlText w:val="%6."/>
      <w:lvlJc w:val="right"/>
      <w:pPr>
        <w:ind w:left="4408" w:hanging="180"/>
      </w:pPr>
    </w:lvl>
    <w:lvl w:ilvl="6" w:tplc="FFFFFFFF">
      <w:start w:val="1"/>
      <w:numFmt w:val="decimal"/>
      <w:lvlText w:val="%7."/>
      <w:lvlJc w:val="left"/>
      <w:pPr>
        <w:ind w:left="5128" w:hanging="360"/>
      </w:pPr>
    </w:lvl>
    <w:lvl w:ilvl="7" w:tplc="FFFFFFFF">
      <w:start w:val="1"/>
      <w:numFmt w:val="lowerLetter"/>
      <w:lvlText w:val="%8."/>
      <w:lvlJc w:val="left"/>
      <w:pPr>
        <w:ind w:left="5848" w:hanging="360"/>
      </w:pPr>
    </w:lvl>
    <w:lvl w:ilvl="8" w:tplc="FFFFFFFF">
      <w:start w:val="1"/>
      <w:numFmt w:val="lowerRoman"/>
      <w:lvlText w:val="%9."/>
      <w:lvlJc w:val="right"/>
      <w:pPr>
        <w:ind w:left="6568" w:hanging="180"/>
      </w:pPr>
    </w:lvl>
  </w:abstractNum>
  <w:abstractNum w:abstractNumId="24" w15:restartNumberingAfterBreak="0">
    <w:nsid w:val="2CF14D96"/>
    <w:multiLevelType w:val="hybridMultilevel"/>
    <w:tmpl w:val="6FF8E576"/>
    <w:lvl w:ilvl="0" w:tplc="56C4F7EA">
      <w:start w:val="1"/>
      <w:numFmt w:val="lowerLetter"/>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25" w15:restartNumberingAfterBreak="0">
    <w:nsid w:val="33422871"/>
    <w:multiLevelType w:val="hybridMultilevel"/>
    <w:tmpl w:val="1F845DCA"/>
    <w:lvl w:ilvl="0" w:tplc="73D2D6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8124B88"/>
    <w:multiLevelType w:val="multilevel"/>
    <w:tmpl w:val="9F027D4C"/>
    <w:lvl w:ilvl="0">
      <w:start w:val="1"/>
      <w:numFmt w:val="decimal"/>
      <w:pStyle w:val="ALGNo1"/>
      <w:lvlText w:val="%1"/>
      <w:lvlJc w:val="left"/>
      <w:pPr>
        <w:ind w:left="624" w:hanging="624"/>
      </w:pPr>
      <w:rPr>
        <w:rFonts w:ascii="Arial" w:hAnsi="Arial" w:hint="default"/>
        <w:b w:val="0"/>
        <w:i w:val="0"/>
        <w:caps w:val="0"/>
        <w:strike w:val="0"/>
        <w:dstrike w:val="0"/>
        <w:vanish w:val="0"/>
        <w:sz w:val="19"/>
        <w:vertAlign w:val="baseline"/>
      </w:rPr>
    </w:lvl>
    <w:lvl w:ilvl="1">
      <w:start w:val="1"/>
      <w:numFmt w:val="decimal"/>
      <w:pStyle w:val="ALGNo2"/>
      <w:lvlText w:val="%1.%2"/>
      <w:lvlJc w:val="left"/>
      <w:pPr>
        <w:ind w:left="624" w:hanging="624"/>
      </w:pPr>
      <w:rPr>
        <w:rFonts w:ascii="Arial" w:hAnsi="Arial" w:hint="default"/>
        <w:b w:val="0"/>
        <w:i w:val="0"/>
        <w:caps w:val="0"/>
        <w:strike w:val="0"/>
        <w:dstrike w:val="0"/>
        <w:vanish w:val="0"/>
        <w:sz w:val="19"/>
        <w:vertAlign w:val="baseline"/>
      </w:rPr>
    </w:lvl>
    <w:lvl w:ilvl="2">
      <w:start w:val="1"/>
      <w:numFmt w:val="decimal"/>
      <w:pStyle w:val="ALGNo3"/>
      <w:lvlText w:val="%1.%2.%3"/>
      <w:lvlJc w:val="left"/>
      <w:pPr>
        <w:ind w:left="1474" w:hanging="850"/>
      </w:pPr>
      <w:rPr>
        <w:rFonts w:ascii="Arial" w:hAnsi="Arial" w:hint="default"/>
        <w:b w:val="0"/>
        <w:i w:val="0"/>
        <w:caps w:val="0"/>
        <w:strike w:val="0"/>
        <w:dstrike w:val="0"/>
        <w:vanish w:val="0"/>
        <w:sz w:val="19"/>
        <w:vertAlign w:val="baseline"/>
      </w:rPr>
    </w:lvl>
    <w:lvl w:ilvl="3">
      <w:start w:val="1"/>
      <w:numFmt w:val="lowerLetter"/>
      <w:pStyle w:val="ALGNo4"/>
      <w:lvlText w:val="(%4)"/>
      <w:lvlJc w:val="left"/>
      <w:pPr>
        <w:ind w:left="1814" w:hanging="340"/>
      </w:pPr>
      <w:rPr>
        <w:rFonts w:ascii="Arial" w:hAnsi="Arial" w:hint="default"/>
        <w:b w:val="0"/>
        <w:i w:val="0"/>
        <w:caps w:val="0"/>
        <w:strike w:val="0"/>
        <w:dstrike w:val="0"/>
        <w:vanish w:val="0"/>
        <w:sz w:val="19"/>
        <w:vertAlign w:val="baseline"/>
      </w:rPr>
    </w:lvl>
    <w:lvl w:ilvl="4">
      <w:start w:val="1"/>
      <w:numFmt w:val="lowerRoman"/>
      <w:pStyle w:val="ALGNo5"/>
      <w:lvlText w:val="(%5)"/>
      <w:lvlJc w:val="left"/>
      <w:pPr>
        <w:ind w:left="2268" w:hanging="454"/>
      </w:pPr>
      <w:rPr>
        <w:rFonts w:ascii="Arial" w:hAnsi="Arial" w:hint="default"/>
        <w:b w:val="0"/>
        <w:i w:val="0"/>
        <w:caps w:val="0"/>
        <w:strike w:val="0"/>
        <w:dstrike w:val="0"/>
        <w:vanish w:val="0"/>
        <w:sz w:val="19"/>
        <w:vertAlign w:val="baseline"/>
      </w:rPr>
    </w:lvl>
    <w:lvl w:ilvl="5">
      <w:start w:val="1"/>
      <w:numFmt w:val="upperLetter"/>
      <w:pStyle w:val="ALGNo6"/>
      <w:lvlText w:val="(%6)"/>
      <w:lvlJc w:val="left"/>
      <w:pPr>
        <w:ind w:left="2552" w:hanging="341"/>
      </w:pPr>
      <w:rPr>
        <w:rFonts w:ascii="Arial" w:hAnsi="Arial" w:hint="default"/>
        <w:b w:val="0"/>
        <w:i w:val="0"/>
        <w:caps w:val="0"/>
        <w:strike w:val="0"/>
        <w:dstrike w:val="0"/>
        <w:vanish w:val="0"/>
        <w:sz w:val="19"/>
        <w:vertAlign w:val="baseline"/>
      </w:rPr>
    </w:lvl>
    <w:lvl w:ilvl="6">
      <w:start w:val="1"/>
      <w:numFmt w:val="decimal"/>
      <w:pStyle w:val="ALGNo7"/>
      <w:lvlText w:val="(%7)"/>
      <w:lvlJc w:val="left"/>
      <w:pPr>
        <w:ind w:left="2948" w:hanging="340"/>
      </w:pPr>
      <w:rPr>
        <w:rFonts w:ascii="Arial" w:hAnsi="Arial" w:hint="default"/>
        <w:b w:val="0"/>
        <w:i w:val="0"/>
        <w:caps w:val="0"/>
        <w:strike w:val="0"/>
        <w:dstrike w:val="0"/>
        <w:vanish w:val="0"/>
        <w:sz w:val="19"/>
        <w:vertAlign w:val="baseline"/>
      </w:rPr>
    </w:lvl>
    <w:lvl w:ilvl="7">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8">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abstractNum>
  <w:abstractNum w:abstractNumId="27" w15:restartNumberingAfterBreak="0">
    <w:nsid w:val="40B35672"/>
    <w:multiLevelType w:val="hybridMultilevel"/>
    <w:tmpl w:val="6FF8E576"/>
    <w:lvl w:ilvl="0" w:tplc="FFFFFFFF">
      <w:start w:val="1"/>
      <w:numFmt w:val="lowerLetter"/>
      <w:lvlText w:val="(%1)"/>
      <w:lvlJc w:val="left"/>
      <w:pPr>
        <w:ind w:left="808" w:hanging="360"/>
      </w:pPr>
      <w:rPr>
        <w:rFonts w:hint="default"/>
      </w:rPr>
    </w:lvl>
    <w:lvl w:ilvl="1" w:tplc="FFFFFFFF" w:tentative="1">
      <w:start w:val="1"/>
      <w:numFmt w:val="lowerLetter"/>
      <w:lvlText w:val="%2."/>
      <w:lvlJc w:val="left"/>
      <w:pPr>
        <w:ind w:left="1528" w:hanging="360"/>
      </w:pPr>
    </w:lvl>
    <w:lvl w:ilvl="2" w:tplc="FFFFFFFF" w:tentative="1">
      <w:start w:val="1"/>
      <w:numFmt w:val="lowerRoman"/>
      <w:lvlText w:val="%3."/>
      <w:lvlJc w:val="right"/>
      <w:pPr>
        <w:ind w:left="2248" w:hanging="180"/>
      </w:pPr>
    </w:lvl>
    <w:lvl w:ilvl="3" w:tplc="FFFFFFFF" w:tentative="1">
      <w:start w:val="1"/>
      <w:numFmt w:val="decimal"/>
      <w:lvlText w:val="%4."/>
      <w:lvlJc w:val="left"/>
      <w:pPr>
        <w:ind w:left="2968" w:hanging="360"/>
      </w:pPr>
    </w:lvl>
    <w:lvl w:ilvl="4" w:tplc="FFFFFFFF" w:tentative="1">
      <w:start w:val="1"/>
      <w:numFmt w:val="lowerLetter"/>
      <w:lvlText w:val="%5."/>
      <w:lvlJc w:val="left"/>
      <w:pPr>
        <w:ind w:left="3688" w:hanging="360"/>
      </w:pPr>
    </w:lvl>
    <w:lvl w:ilvl="5" w:tplc="FFFFFFFF" w:tentative="1">
      <w:start w:val="1"/>
      <w:numFmt w:val="lowerRoman"/>
      <w:lvlText w:val="%6."/>
      <w:lvlJc w:val="right"/>
      <w:pPr>
        <w:ind w:left="4408" w:hanging="180"/>
      </w:pPr>
    </w:lvl>
    <w:lvl w:ilvl="6" w:tplc="FFFFFFFF" w:tentative="1">
      <w:start w:val="1"/>
      <w:numFmt w:val="decimal"/>
      <w:lvlText w:val="%7."/>
      <w:lvlJc w:val="left"/>
      <w:pPr>
        <w:ind w:left="5128" w:hanging="360"/>
      </w:pPr>
    </w:lvl>
    <w:lvl w:ilvl="7" w:tplc="FFFFFFFF" w:tentative="1">
      <w:start w:val="1"/>
      <w:numFmt w:val="lowerLetter"/>
      <w:lvlText w:val="%8."/>
      <w:lvlJc w:val="left"/>
      <w:pPr>
        <w:ind w:left="5848" w:hanging="360"/>
      </w:pPr>
    </w:lvl>
    <w:lvl w:ilvl="8" w:tplc="FFFFFFFF" w:tentative="1">
      <w:start w:val="1"/>
      <w:numFmt w:val="lowerRoman"/>
      <w:lvlText w:val="%9."/>
      <w:lvlJc w:val="right"/>
      <w:pPr>
        <w:ind w:left="6568" w:hanging="180"/>
      </w:pPr>
    </w:lvl>
  </w:abstractNum>
  <w:abstractNum w:abstractNumId="28" w15:restartNumberingAfterBreak="0">
    <w:nsid w:val="414A0076"/>
    <w:multiLevelType w:val="hybridMultilevel"/>
    <w:tmpl w:val="17F80608"/>
    <w:lvl w:ilvl="0" w:tplc="F25E999A">
      <w:start w:val="1"/>
      <w:numFmt w:val="lowerLetter"/>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29" w15:restartNumberingAfterBreak="0">
    <w:nsid w:val="43B95294"/>
    <w:multiLevelType w:val="hybridMultilevel"/>
    <w:tmpl w:val="8B14E840"/>
    <w:lvl w:ilvl="0" w:tplc="8BDC12C6">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7873E61"/>
    <w:multiLevelType w:val="hybridMultilevel"/>
    <w:tmpl w:val="52A0422C"/>
    <w:lvl w:ilvl="0" w:tplc="FFFFFFFF">
      <w:start w:val="2"/>
      <w:numFmt w:val="lowerLetter"/>
      <w:lvlText w:val="(%1)"/>
      <w:lvlJc w:val="left"/>
      <w:pPr>
        <w:ind w:left="80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F64B4A"/>
    <w:multiLevelType w:val="hybridMultilevel"/>
    <w:tmpl w:val="CEB21CBA"/>
    <w:lvl w:ilvl="0" w:tplc="F470F6DA">
      <w:start w:val="2"/>
      <w:numFmt w:val="bullet"/>
      <w:lvlText w:val="-"/>
      <w:lvlJc w:val="left"/>
      <w:pPr>
        <w:ind w:left="808" w:hanging="360"/>
      </w:pPr>
      <w:rPr>
        <w:rFonts w:ascii="Arial" w:eastAsiaTheme="minorHAnsi" w:hAnsi="Arial" w:cs="Arial" w:hint="default"/>
      </w:rPr>
    </w:lvl>
    <w:lvl w:ilvl="1" w:tplc="08090003">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32" w15:restartNumberingAfterBreak="0">
    <w:nsid w:val="582C6B3C"/>
    <w:multiLevelType w:val="hybridMultilevel"/>
    <w:tmpl w:val="2812A9B8"/>
    <w:lvl w:ilvl="0" w:tplc="B18012AC">
      <w:start w:val="1"/>
      <w:numFmt w:val="lowerLetter"/>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33" w15:restartNumberingAfterBreak="0">
    <w:nsid w:val="583B25D0"/>
    <w:multiLevelType w:val="hybridMultilevel"/>
    <w:tmpl w:val="95AEAA0E"/>
    <w:lvl w:ilvl="0" w:tplc="4ACA854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D3B7A9C"/>
    <w:multiLevelType w:val="hybridMultilevel"/>
    <w:tmpl w:val="6FF8E576"/>
    <w:lvl w:ilvl="0" w:tplc="FFFFFFFF">
      <w:start w:val="1"/>
      <w:numFmt w:val="lowerLetter"/>
      <w:lvlText w:val="(%1)"/>
      <w:lvlJc w:val="left"/>
      <w:pPr>
        <w:ind w:left="808" w:hanging="360"/>
      </w:pPr>
      <w:rPr>
        <w:rFonts w:hint="default"/>
      </w:rPr>
    </w:lvl>
    <w:lvl w:ilvl="1" w:tplc="FFFFFFFF" w:tentative="1">
      <w:start w:val="1"/>
      <w:numFmt w:val="lowerLetter"/>
      <w:lvlText w:val="%2."/>
      <w:lvlJc w:val="left"/>
      <w:pPr>
        <w:ind w:left="1528" w:hanging="360"/>
      </w:pPr>
    </w:lvl>
    <w:lvl w:ilvl="2" w:tplc="FFFFFFFF" w:tentative="1">
      <w:start w:val="1"/>
      <w:numFmt w:val="lowerRoman"/>
      <w:lvlText w:val="%3."/>
      <w:lvlJc w:val="right"/>
      <w:pPr>
        <w:ind w:left="2248" w:hanging="180"/>
      </w:pPr>
    </w:lvl>
    <w:lvl w:ilvl="3" w:tplc="FFFFFFFF" w:tentative="1">
      <w:start w:val="1"/>
      <w:numFmt w:val="decimal"/>
      <w:lvlText w:val="%4."/>
      <w:lvlJc w:val="left"/>
      <w:pPr>
        <w:ind w:left="2968" w:hanging="360"/>
      </w:pPr>
    </w:lvl>
    <w:lvl w:ilvl="4" w:tplc="FFFFFFFF" w:tentative="1">
      <w:start w:val="1"/>
      <w:numFmt w:val="lowerLetter"/>
      <w:lvlText w:val="%5."/>
      <w:lvlJc w:val="left"/>
      <w:pPr>
        <w:ind w:left="3688" w:hanging="360"/>
      </w:pPr>
    </w:lvl>
    <w:lvl w:ilvl="5" w:tplc="FFFFFFFF" w:tentative="1">
      <w:start w:val="1"/>
      <w:numFmt w:val="lowerRoman"/>
      <w:lvlText w:val="%6."/>
      <w:lvlJc w:val="right"/>
      <w:pPr>
        <w:ind w:left="4408" w:hanging="180"/>
      </w:pPr>
    </w:lvl>
    <w:lvl w:ilvl="6" w:tplc="FFFFFFFF" w:tentative="1">
      <w:start w:val="1"/>
      <w:numFmt w:val="decimal"/>
      <w:lvlText w:val="%7."/>
      <w:lvlJc w:val="left"/>
      <w:pPr>
        <w:ind w:left="5128" w:hanging="360"/>
      </w:pPr>
    </w:lvl>
    <w:lvl w:ilvl="7" w:tplc="FFFFFFFF" w:tentative="1">
      <w:start w:val="1"/>
      <w:numFmt w:val="lowerLetter"/>
      <w:lvlText w:val="%8."/>
      <w:lvlJc w:val="left"/>
      <w:pPr>
        <w:ind w:left="5848" w:hanging="360"/>
      </w:pPr>
    </w:lvl>
    <w:lvl w:ilvl="8" w:tplc="FFFFFFFF" w:tentative="1">
      <w:start w:val="1"/>
      <w:numFmt w:val="lowerRoman"/>
      <w:lvlText w:val="%9."/>
      <w:lvlJc w:val="right"/>
      <w:pPr>
        <w:ind w:left="6568" w:hanging="180"/>
      </w:pPr>
    </w:lvl>
  </w:abstractNum>
  <w:abstractNum w:abstractNumId="35" w15:restartNumberingAfterBreak="0">
    <w:nsid w:val="5E1C2D36"/>
    <w:multiLevelType w:val="hybridMultilevel"/>
    <w:tmpl w:val="5D2E3B5C"/>
    <w:lvl w:ilvl="0" w:tplc="6BC86E62">
      <w:start w:val="2"/>
      <w:numFmt w:val="lowerLetter"/>
      <w:lvlText w:val="(%1)"/>
      <w:lvlJc w:val="lef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F1F0290"/>
    <w:multiLevelType w:val="hybridMultilevel"/>
    <w:tmpl w:val="A53EBFF8"/>
    <w:lvl w:ilvl="0" w:tplc="56C4F7EA">
      <w:start w:val="1"/>
      <w:numFmt w:val="lowerLetter"/>
      <w:lvlText w:val="(%1)"/>
      <w:lvlJc w:val="left"/>
      <w:pPr>
        <w:ind w:left="808" w:hanging="360"/>
      </w:pPr>
      <w:rPr>
        <w:rFonts w:hint="default"/>
      </w:rPr>
    </w:lvl>
    <w:lvl w:ilvl="1" w:tplc="18090019" w:tentative="1">
      <w:start w:val="1"/>
      <w:numFmt w:val="lowerLetter"/>
      <w:lvlText w:val="%2."/>
      <w:lvlJc w:val="left"/>
      <w:pPr>
        <w:ind w:left="1528" w:hanging="360"/>
      </w:pPr>
    </w:lvl>
    <w:lvl w:ilvl="2" w:tplc="1809001B" w:tentative="1">
      <w:start w:val="1"/>
      <w:numFmt w:val="lowerRoman"/>
      <w:lvlText w:val="%3."/>
      <w:lvlJc w:val="right"/>
      <w:pPr>
        <w:ind w:left="2248" w:hanging="180"/>
      </w:pPr>
    </w:lvl>
    <w:lvl w:ilvl="3" w:tplc="1809000F" w:tentative="1">
      <w:start w:val="1"/>
      <w:numFmt w:val="decimal"/>
      <w:lvlText w:val="%4."/>
      <w:lvlJc w:val="left"/>
      <w:pPr>
        <w:ind w:left="2968" w:hanging="360"/>
      </w:pPr>
    </w:lvl>
    <w:lvl w:ilvl="4" w:tplc="18090019" w:tentative="1">
      <w:start w:val="1"/>
      <w:numFmt w:val="lowerLetter"/>
      <w:lvlText w:val="%5."/>
      <w:lvlJc w:val="left"/>
      <w:pPr>
        <w:ind w:left="3688" w:hanging="360"/>
      </w:pPr>
    </w:lvl>
    <w:lvl w:ilvl="5" w:tplc="1809001B" w:tentative="1">
      <w:start w:val="1"/>
      <w:numFmt w:val="lowerRoman"/>
      <w:lvlText w:val="%6."/>
      <w:lvlJc w:val="right"/>
      <w:pPr>
        <w:ind w:left="4408" w:hanging="180"/>
      </w:pPr>
    </w:lvl>
    <w:lvl w:ilvl="6" w:tplc="1809000F" w:tentative="1">
      <w:start w:val="1"/>
      <w:numFmt w:val="decimal"/>
      <w:lvlText w:val="%7."/>
      <w:lvlJc w:val="left"/>
      <w:pPr>
        <w:ind w:left="5128" w:hanging="360"/>
      </w:pPr>
    </w:lvl>
    <w:lvl w:ilvl="7" w:tplc="18090019" w:tentative="1">
      <w:start w:val="1"/>
      <w:numFmt w:val="lowerLetter"/>
      <w:lvlText w:val="%8."/>
      <w:lvlJc w:val="left"/>
      <w:pPr>
        <w:ind w:left="5848" w:hanging="360"/>
      </w:pPr>
    </w:lvl>
    <w:lvl w:ilvl="8" w:tplc="1809001B" w:tentative="1">
      <w:start w:val="1"/>
      <w:numFmt w:val="lowerRoman"/>
      <w:lvlText w:val="%9."/>
      <w:lvlJc w:val="right"/>
      <w:pPr>
        <w:ind w:left="6568" w:hanging="180"/>
      </w:pPr>
    </w:lvl>
  </w:abstractNum>
  <w:abstractNum w:abstractNumId="37" w15:restartNumberingAfterBreak="0">
    <w:nsid w:val="615419FE"/>
    <w:multiLevelType w:val="hybridMultilevel"/>
    <w:tmpl w:val="67466194"/>
    <w:lvl w:ilvl="0" w:tplc="E6144F30">
      <w:start w:val="14"/>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36113D"/>
    <w:multiLevelType w:val="hybridMultilevel"/>
    <w:tmpl w:val="E54422C2"/>
    <w:lvl w:ilvl="0" w:tplc="1809000F">
      <w:start w:val="1"/>
      <w:numFmt w:val="decimal"/>
      <w:lvlText w:val="%1."/>
      <w:lvlJc w:val="left"/>
      <w:pPr>
        <w:ind w:left="360" w:hanging="360"/>
      </w:pPr>
      <w:rPr>
        <w:rFonts w:hint="default"/>
      </w:rPr>
    </w:lvl>
    <w:lvl w:ilvl="1" w:tplc="1809001B">
      <w:start w:val="1"/>
      <w:numFmt w:val="lowerRoman"/>
      <w:lvlText w:val="%2."/>
      <w:lvlJc w:val="right"/>
      <w:pPr>
        <w:ind w:left="1080" w:hanging="360"/>
      </w:pPr>
    </w:lvl>
    <w:lvl w:ilvl="2" w:tplc="18090019">
      <w:start w:val="1"/>
      <w:numFmt w:val="lowerLetter"/>
      <w:lvlText w:val="%3."/>
      <w:lvlJc w:val="left"/>
      <w:pPr>
        <w:ind w:left="1980" w:hanging="36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62E43C2"/>
    <w:multiLevelType w:val="hybridMultilevel"/>
    <w:tmpl w:val="6B401394"/>
    <w:lvl w:ilvl="0" w:tplc="3D3C94D6">
      <w:start w:val="2"/>
      <w:numFmt w:val="lowerLetter"/>
      <w:lvlText w:val="(%1)"/>
      <w:lvlJc w:val="lef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72D6F49"/>
    <w:multiLevelType w:val="multilevel"/>
    <w:tmpl w:val="41B6471E"/>
    <w:lvl w:ilvl="0">
      <w:start w:val="1"/>
      <w:numFmt w:val="bullet"/>
      <w:pStyle w:val="Bullet"/>
      <w:lvlText w:val="■"/>
      <w:lvlJc w:val="left"/>
      <w:pPr>
        <w:ind w:left="284" w:hanging="284"/>
      </w:pPr>
      <w:rPr>
        <w:rFonts w:ascii="Arial" w:hAnsi="Arial" w:hint="default"/>
        <w:color w:val="97989A"/>
        <w:sz w:val="24"/>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1985" w:hanging="284"/>
      </w:pPr>
      <w:rPr>
        <w:rFonts w:ascii="Arial" w:hAnsi="Arial" w:hint="default"/>
        <w:color w:val="97989A"/>
      </w:rPr>
    </w:lvl>
    <w:lvl w:ilvl="6">
      <w:start w:val="1"/>
      <w:numFmt w:val="bullet"/>
      <w:lvlText w:val="■"/>
      <w:lvlJc w:val="left"/>
      <w:pPr>
        <w:ind w:left="2268" w:hanging="283"/>
      </w:pPr>
      <w:rPr>
        <w:rFonts w:ascii="Arial" w:hAnsi="Arial" w:hint="default"/>
        <w:color w:val="97989A"/>
      </w:rPr>
    </w:lvl>
    <w:lvl w:ilvl="7">
      <w:start w:val="1"/>
      <w:numFmt w:val="bullet"/>
      <w:lvlText w:val="–"/>
      <w:lvlJc w:val="left"/>
      <w:pPr>
        <w:ind w:left="2552" w:hanging="284"/>
      </w:pPr>
      <w:rPr>
        <w:rFonts w:ascii="Arial" w:hAnsi="Arial" w:hint="default"/>
        <w:color w:val="97989A"/>
      </w:rPr>
    </w:lvl>
    <w:lvl w:ilvl="8">
      <w:start w:val="1"/>
      <w:numFmt w:val="bullet"/>
      <w:lvlText w:val="■"/>
      <w:lvlJc w:val="left"/>
      <w:pPr>
        <w:ind w:left="2835" w:hanging="283"/>
      </w:pPr>
      <w:rPr>
        <w:rFonts w:ascii="Arial" w:hAnsi="Arial" w:hint="default"/>
        <w:color w:val="97989A"/>
      </w:rPr>
    </w:lvl>
  </w:abstractNum>
  <w:abstractNum w:abstractNumId="41" w15:restartNumberingAfterBreak="0">
    <w:nsid w:val="6DED70FE"/>
    <w:multiLevelType w:val="hybridMultilevel"/>
    <w:tmpl w:val="61D49FF4"/>
    <w:lvl w:ilvl="0" w:tplc="17F8F108">
      <w:numFmt w:val="bullet"/>
      <w:lvlText w:val="-"/>
      <w:lvlJc w:val="left"/>
      <w:pPr>
        <w:ind w:left="808" w:hanging="360"/>
      </w:pPr>
      <w:rPr>
        <w:rFonts w:ascii="Arial" w:eastAsiaTheme="minorHAnsi" w:hAnsi="Arial" w:cs="Aria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42" w15:restartNumberingAfterBreak="0">
    <w:nsid w:val="6F9160E0"/>
    <w:multiLevelType w:val="hybridMultilevel"/>
    <w:tmpl w:val="235CFC3A"/>
    <w:lvl w:ilvl="0" w:tplc="BEF653CC">
      <w:start w:val="2"/>
      <w:numFmt w:val="bullet"/>
      <w:lvlText w:val="-"/>
      <w:lvlJc w:val="left"/>
      <w:pPr>
        <w:ind w:left="480" w:hanging="360"/>
      </w:pPr>
      <w:rPr>
        <w:rFonts w:ascii="Arial" w:eastAsiaTheme="minorHAnsi" w:hAnsi="Arial" w:cs="Arial" w:hint="default"/>
      </w:rPr>
    </w:lvl>
    <w:lvl w:ilvl="1" w:tplc="18090003" w:tentative="1">
      <w:start w:val="1"/>
      <w:numFmt w:val="bullet"/>
      <w:lvlText w:val="o"/>
      <w:lvlJc w:val="left"/>
      <w:pPr>
        <w:ind w:left="1200" w:hanging="360"/>
      </w:pPr>
      <w:rPr>
        <w:rFonts w:ascii="Courier New" w:hAnsi="Courier New" w:cs="Courier New" w:hint="default"/>
      </w:rPr>
    </w:lvl>
    <w:lvl w:ilvl="2" w:tplc="18090005" w:tentative="1">
      <w:start w:val="1"/>
      <w:numFmt w:val="bullet"/>
      <w:lvlText w:val=""/>
      <w:lvlJc w:val="left"/>
      <w:pPr>
        <w:ind w:left="1920" w:hanging="360"/>
      </w:pPr>
      <w:rPr>
        <w:rFonts w:ascii="Wingdings" w:hAnsi="Wingdings" w:hint="default"/>
      </w:rPr>
    </w:lvl>
    <w:lvl w:ilvl="3" w:tplc="18090001" w:tentative="1">
      <w:start w:val="1"/>
      <w:numFmt w:val="bullet"/>
      <w:lvlText w:val=""/>
      <w:lvlJc w:val="left"/>
      <w:pPr>
        <w:ind w:left="2640" w:hanging="360"/>
      </w:pPr>
      <w:rPr>
        <w:rFonts w:ascii="Symbol" w:hAnsi="Symbol" w:hint="default"/>
      </w:rPr>
    </w:lvl>
    <w:lvl w:ilvl="4" w:tplc="18090003" w:tentative="1">
      <w:start w:val="1"/>
      <w:numFmt w:val="bullet"/>
      <w:lvlText w:val="o"/>
      <w:lvlJc w:val="left"/>
      <w:pPr>
        <w:ind w:left="3360" w:hanging="360"/>
      </w:pPr>
      <w:rPr>
        <w:rFonts w:ascii="Courier New" w:hAnsi="Courier New" w:cs="Courier New" w:hint="default"/>
      </w:rPr>
    </w:lvl>
    <w:lvl w:ilvl="5" w:tplc="18090005" w:tentative="1">
      <w:start w:val="1"/>
      <w:numFmt w:val="bullet"/>
      <w:lvlText w:val=""/>
      <w:lvlJc w:val="left"/>
      <w:pPr>
        <w:ind w:left="4080" w:hanging="360"/>
      </w:pPr>
      <w:rPr>
        <w:rFonts w:ascii="Wingdings" w:hAnsi="Wingdings" w:hint="default"/>
      </w:rPr>
    </w:lvl>
    <w:lvl w:ilvl="6" w:tplc="18090001" w:tentative="1">
      <w:start w:val="1"/>
      <w:numFmt w:val="bullet"/>
      <w:lvlText w:val=""/>
      <w:lvlJc w:val="left"/>
      <w:pPr>
        <w:ind w:left="4800" w:hanging="360"/>
      </w:pPr>
      <w:rPr>
        <w:rFonts w:ascii="Symbol" w:hAnsi="Symbol" w:hint="default"/>
      </w:rPr>
    </w:lvl>
    <w:lvl w:ilvl="7" w:tplc="18090003" w:tentative="1">
      <w:start w:val="1"/>
      <w:numFmt w:val="bullet"/>
      <w:lvlText w:val="o"/>
      <w:lvlJc w:val="left"/>
      <w:pPr>
        <w:ind w:left="5520" w:hanging="360"/>
      </w:pPr>
      <w:rPr>
        <w:rFonts w:ascii="Courier New" w:hAnsi="Courier New" w:cs="Courier New" w:hint="default"/>
      </w:rPr>
    </w:lvl>
    <w:lvl w:ilvl="8" w:tplc="18090005" w:tentative="1">
      <w:start w:val="1"/>
      <w:numFmt w:val="bullet"/>
      <w:lvlText w:val=""/>
      <w:lvlJc w:val="left"/>
      <w:pPr>
        <w:ind w:left="6240" w:hanging="360"/>
      </w:pPr>
      <w:rPr>
        <w:rFonts w:ascii="Wingdings" w:hAnsi="Wingdings" w:hint="default"/>
      </w:rPr>
    </w:lvl>
  </w:abstractNum>
  <w:abstractNum w:abstractNumId="43" w15:restartNumberingAfterBreak="0">
    <w:nsid w:val="70914B4D"/>
    <w:multiLevelType w:val="hybridMultilevel"/>
    <w:tmpl w:val="948680C8"/>
    <w:lvl w:ilvl="0" w:tplc="97B2F7EA">
      <w:start w:val="25"/>
      <w:numFmt w:val="bullet"/>
      <w:lvlText w:val="–"/>
      <w:lvlJc w:val="left"/>
      <w:pPr>
        <w:ind w:left="808" w:hanging="360"/>
      </w:pPr>
      <w:rPr>
        <w:rFonts w:ascii="Arial" w:eastAsiaTheme="minorHAnsi" w:hAnsi="Arial" w:cs="Arial" w:hint="default"/>
      </w:rPr>
    </w:lvl>
    <w:lvl w:ilvl="1" w:tplc="18090003" w:tentative="1">
      <w:start w:val="1"/>
      <w:numFmt w:val="bullet"/>
      <w:lvlText w:val="o"/>
      <w:lvlJc w:val="left"/>
      <w:pPr>
        <w:ind w:left="1528" w:hanging="360"/>
      </w:pPr>
      <w:rPr>
        <w:rFonts w:ascii="Courier New" w:hAnsi="Courier New" w:cs="Courier New" w:hint="default"/>
      </w:rPr>
    </w:lvl>
    <w:lvl w:ilvl="2" w:tplc="18090005" w:tentative="1">
      <w:start w:val="1"/>
      <w:numFmt w:val="bullet"/>
      <w:lvlText w:val=""/>
      <w:lvlJc w:val="left"/>
      <w:pPr>
        <w:ind w:left="2248" w:hanging="360"/>
      </w:pPr>
      <w:rPr>
        <w:rFonts w:ascii="Wingdings" w:hAnsi="Wingdings" w:hint="default"/>
      </w:rPr>
    </w:lvl>
    <w:lvl w:ilvl="3" w:tplc="18090001" w:tentative="1">
      <w:start w:val="1"/>
      <w:numFmt w:val="bullet"/>
      <w:lvlText w:val=""/>
      <w:lvlJc w:val="left"/>
      <w:pPr>
        <w:ind w:left="2968" w:hanging="360"/>
      </w:pPr>
      <w:rPr>
        <w:rFonts w:ascii="Symbol" w:hAnsi="Symbol" w:hint="default"/>
      </w:rPr>
    </w:lvl>
    <w:lvl w:ilvl="4" w:tplc="18090003" w:tentative="1">
      <w:start w:val="1"/>
      <w:numFmt w:val="bullet"/>
      <w:lvlText w:val="o"/>
      <w:lvlJc w:val="left"/>
      <w:pPr>
        <w:ind w:left="3688" w:hanging="360"/>
      </w:pPr>
      <w:rPr>
        <w:rFonts w:ascii="Courier New" w:hAnsi="Courier New" w:cs="Courier New" w:hint="default"/>
      </w:rPr>
    </w:lvl>
    <w:lvl w:ilvl="5" w:tplc="18090005" w:tentative="1">
      <w:start w:val="1"/>
      <w:numFmt w:val="bullet"/>
      <w:lvlText w:val=""/>
      <w:lvlJc w:val="left"/>
      <w:pPr>
        <w:ind w:left="4408" w:hanging="360"/>
      </w:pPr>
      <w:rPr>
        <w:rFonts w:ascii="Wingdings" w:hAnsi="Wingdings" w:hint="default"/>
      </w:rPr>
    </w:lvl>
    <w:lvl w:ilvl="6" w:tplc="18090001" w:tentative="1">
      <w:start w:val="1"/>
      <w:numFmt w:val="bullet"/>
      <w:lvlText w:val=""/>
      <w:lvlJc w:val="left"/>
      <w:pPr>
        <w:ind w:left="5128" w:hanging="360"/>
      </w:pPr>
      <w:rPr>
        <w:rFonts w:ascii="Symbol" w:hAnsi="Symbol" w:hint="default"/>
      </w:rPr>
    </w:lvl>
    <w:lvl w:ilvl="7" w:tplc="18090003" w:tentative="1">
      <w:start w:val="1"/>
      <w:numFmt w:val="bullet"/>
      <w:lvlText w:val="o"/>
      <w:lvlJc w:val="left"/>
      <w:pPr>
        <w:ind w:left="5848" w:hanging="360"/>
      </w:pPr>
      <w:rPr>
        <w:rFonts w:ascii="Courier New" w:hAnsi="Courier New" w:cs="Courier New" w:hint="default"/>
      </w:rPr>
    </w:lvl>
    <w:lvl w:ilvl="8" w:tplc="18090005" w:tentative="1">
      <w:start w:val="1"/>
      <w:numFmt w:val="bullet"/>
      <w:lvlText w:val=""/>
      <w:lvlJc w:val="left"/>
      <w:pPr>
        <w:ind w:left="6568" w:hanging="360"/>
      </w:pPr>
      <w:rPr>
        <w:rFonts w:ascii="Wingdings" w:hAnsi="Wingdings" w:hint="default"/>
      </w:rPr>
    </w:lvl>
  </w:abstractNum>
  <w:abstractNum w:abstractNumId="44" w15:restartNumberingAfterBreak="0">
    <w:nsid w:val="774B3D9F"/>
    <w:multiLevelType w:val="hybridMultilevel"/>
    <w:tmpl w:val="5D2E3B5C"/>
    <w:lvl w:ilvl="0" w:tplc="FFFFFFFF">
      <w:start w:val="2"/>
      <w:numFmt w:val="lowerLetter"/>
      <w:lvlText w:val="(%1)"/>
      <w:lvlJc w:val="left"/>
      <w:pPr>
        <w:ind w:left="80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BB7738"/>
    <w:multiLevelType w:val="hybridMultilevel"/>
    <w:tmpl w:val="86E218F0"/>
    <w:lvl w:ilvl="0" w:tplc="FFFFFFFF">
      <w:start w:val="1"/>
      <w:numFmt w:val="lowerLetter"/>
      <w:lvlText w:val="(%1)"/>
      <w:lvlJc w:val="left"/>
      <w:pPr>
        <w:ind w:left="808" w:hanging="360"/>
      </w:pPr>
      <w:rPr>
        <w:rFonts w:hint="default"/>
        <w:b/>
        <w:bCs/>
      </w:rPr>
    </w:lvl>
    <w:lvl w:ilvl="1" w:tplc="FFFFFFFF" w:tentative="1">
      <w:start w:val="1"/>
      <w:numFmt w:val="lowerLetter"/>
      <w:lvlText w:val="%2."/>
      <w:lvlJc w:val="left"/>
      <w:pPr>
        <w:ind w:left="1528" w:hanging="360"/>
      </w:pPr>
    </w:lvl>
    <w:lvl w:ilvl="2" w:tplc="FFFFFFFF" w:tentative="1">
      <w:start w:val="1"/>
      <w:numFmt w:val="lowerRoman"/>
      <w:lvlText w:val="%3."/>
      <w:lvlJc w:val="right"/>
      <w:pPr>
        <w:ind w:left="2248" w:hanging="180"/>
      </w:pPr>
    </w:lvl>
    <w:lvl w:ilvl="3" w:tplc="FFFFFFFF" w:tentative="1">
      <w:start w:val="1"/>
      <w:numFmt w:val="decimal"/>
      <w:lvlText w:val="%4."/>
      <w:lvlJc w:val="left"/>
      <w:pPr>
        <w:ind w:left="2968" w:hanging="360"/>
      </w:pPr>
    </w:lvl>
    <w:lvl w:ilvl="4" w:tplc="FFFFFFFF" w:tentative="1">
      <w:start w:val="1"/>
      <w:numFmt w:val="lowerLetter"/>
      <w:lvlText w:val="%5."/>
      <w:lvlJc w:val="left"/>
      <w:pPr>
        <w:ind w:left="3688" w:hanging="360"/>
      </w:pPr>
    </w:lvl>
    <w:lvl w:ilvl="5" w:tplc="FFFFFFFF" w:tentative="1">
      <w:start w:val="1"/>
      <w:numFmt w:val="lowerRoman"/>
      <w:lvlText w:val="%6."/>
      <w:lvlJc w:val="right"/>
      <w:pPr>
        <w:ind w:left="4408" w:hanging="180"/>
      </w:pPr>
    </w:lvl>
    <w:lvl w:ilvl="6" w:tplc="FFFFFFFF" w:tentative="1">
      <w:start w:val="1"/>
      <w:numFmt w:val="decimal"/>
      <w:lvlText w:val="%7."/>
      <w:lvlJc w:val="left"/>
      <w:pPr>
        <w:ind w:left="5128" w:hanging="360"/>
      </w:pPr>
    </w:lvl>
    <w:lvl w:ilvl="7" w:tplc="FFFFFFFF" w:tentative="1">
      <w:start w:val="1"/>
      <w:numFmt w:val="lowerLetter"/>
      <w:lvlText w:val="%8."/>
      <w:lvlJc w:val="left"/>
      <w:pPr>
        <w:ind w:left="5848" w:hanging="360"/>
      </w:pPr>
    </w:lvl>
    <w:lvl w:ilvl="8" w:tplc="FFFFFFFF" w:tentative="1">
      <w:start w:val="1"/>
      <w:numFmt w:val="lowerRoman"/>
      <w:lvlText w:val="%9."/>
      <w:lvlJc w:val="right"/>
      <w:pPr>
        <w:ind w:left="6568" w:hanging="180"/>
      </w:pPr>
    </w:lvl>
  </w:abstractNum>
  <w:num w:numId="1" w16cid:durableId="1917205068">
    <w:abstractNumId w:val="40"/>
  </w:num>
  <w:num w:numId="2" w16cid:durableId="141048154">
    <w:abstractNumId w:val="25"/>
  </w:num>
  <w:num w:numId="3" w16cid:durableId="1460537886">
    <w:abstractNumId w:val="26"/>
  </w:num>
  <w:num w:numId="4" w16cid:durableId="1272858985">
    <w:abstractNumId w:val="36"/>
  </w:num>
  <w:num w:numId="5" w16cid:durableId="1370493395">
    <w:abstractNumId w:val="33"/>
  </w:num>
  <w:num w:numId="6" w16cid:durableId="2080445970">
    <w:abstractNumId w:val="18"/>
  </w:num>
  <w:num w:numId="7" w16cid:durableId="1701399329">
    <w:abstractNumId w:val="17"/>
  </w:num>
  <w:num w:numId="8" w16cid:durableId="1006440297">
    <w:abstractNumId w:val="9"/>
  </w:num>
  <w:num w:numId="9" w16cid:durableId="1317104431">
    <w:abstractNumId w:val="7"/>
  </w:num>
  <w:num w:numId="10" w16cid:durableId="1865287471">
    <w:abstractNumId w:val="6"/>
  </w:num>
  <w:num w:numId="11" w16cid:durableId="1400011892">
    <w:abstractNumId w:val="5"/>
  </w:num>
  <w:num w:numId="12" w16cid:durableId="575092549">
    <w:abstractNumId w:val="4"/>
  </w:num>
  <w:num w:numId="13" w16cid:durableId="1649478699">
    <w:abstractNumId w:val="8"/>
  </w:num>
  <w:num w:numId="14" w16cid:durableId="23288334">
    <w:abstractNumId w:val="3"/>
  </w:num>
  <w:num w:numId="15" w16cid:durableId="1375351389">
    <w:abstractNumId w:val="2"/>
  </w:num>
  <w:num w:numId="16" w16cid:durableId="1134834335">
    <w:abstractNumId w:val="1"/>
  </w:num>
  <w:num w:numId="17" w16cid:durableId="523136846">
    <w:abstractNumId w:val="0"/>
  </w:num>
  <w:num w:numId="18" w16cid:durableId="1351181062">
    <w:abstractNumId w:val="13"/>
  </w:num>
  <w:num w:numId="19" w16cid:durableId="1784811729">
    <w:abstractNumId w:val="32"/>
  </w:num>
  <w:num w:numId="20" w16cid:durableId="1707750130">
    <w:abstractNumId w:val="24"/>
  </w:num>
  <w:num w:numId="21" w16cid:durableId="1223567019">
    <w:abstractNumId w:val="16"/>
  </w:num>
  <w:num w:numId="22" w16cid:durableId="169412636">
    <w:abstractNumId w:val="34"/>
  </w:num>
  <w:num w:numId="23" w16cid:durableId="1630818330">
    <w:abstractNumId w:val="45"/>
  </w:num>
  <w:num w:numId="24" w16cid:durableId="1477141670">
    <w:abstractNumId w:val="37"/>
  </w:num>
  <w:num w:numId="25" w16cid:durableId="439765703">
    <w:abstractNumId w:val="28"/>
  </w:num>
  <w:num w:numId="26" w16cid:durableId="1484614621">
    <w:abstractNumId w:val="43"/>
  </w:num>
  <w:num w:numId="27" w16cid:durableId="1867713495">
    <w:abstractNumId w:val="31"/>
  </w:num>
  <w:num w:numId="28" w16cid:durableId="854611017">
    <w:abstractNumId w:val="11"/>
  </w:num>
  <w:num w:numId="29" w16cid:durableId="1987511675">
    <w:abstractNumId w:val="21"/>
  </w:num>
  <w:num w:numId="30" w16cid:durableId="795760905">
    <w:abstractNumId w:val="39"/>
  </w:num>
  <w:num w:numId="31" w16cid:durableId="1443725267">
    <w:abstractNumId w:val="30"/>
  </w:num>
  <w:num w:numId="32" w16cid:durableId="1957984726">
    <w:abstractNumId w:val="35"/>
  </w:num>
  <w:num w:numId="33" w16cid:durableId="732699350">
    <w:abstractNumId w:val="44"/>
  </w:num>
  <w:num w:numId="34" w16cid:durableId="1383480607">
    <w:abstractNumId w:val="15"/>
  </w:num>
  <w:num w:numId="35" w16cid:durableId="384109658">
    <w:abstractNumId w:val="12"/>
  </w:num>
  <w:num w:numId="36" w16cid:durableId="642927697">
    <w:abstractNumId w:val="27"/>
  </w:num>
  <w:num w:numId="37" w16cid:durableId="1283072242">
    <w:abstractNumId w:val="23"/>
  </w:num>
  <w:num w:numId="38" w16cid:durableId="139814706">
    <w:abstractNumId w:val="29"/>
  </w:num>
  <w:num w:numId="39" w16cid:durableId="486434620">
    <w:abstractNumId w:val="19"/>
  </w:num>
  <w:num w:numId="40" w16cid:durableId="469247418">
    <w:abstractNumId w:val="41"/>
  </w:num>
  <w:num w:numId="41" w16cid:durableId="144902213">
    <w:abstractNumId w:val="22"/>
  </w:num>
  <w:num w:numId="42" w16cid:durableId="964849276">
    <w:abstractNumId w:val="42"/>
  </w:num>
  <w:num w:numId="43" w16cid:durableId="656416776">
    <w:abstractNumId w:val="14"/>
  </w:num>
  <w:num w:numId="44" w16cid:durableId="5448716">
    <w:abstractNumId w:val="38"/>
  </w:num>
  <w:num w:numId="45" w16cid:durableId="1016813903">
    <w:abstractNumId w:val="10"/>
  </w:num>
  <w:num w:numId="46" w16cid:durableId="67338696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22"/>
    <w:rsid w:val="00000552"/>
    <w:rsid w:val="0000055C"/>
    <w:rsid w:val="00000622"/>
    <w:rsid w:val="00000934"/>
    <w:rsid w:val="00000B8F"/>
    <w:rsid w:val="00000F51"/>
    <w:rsid w:val="000011BA"/>
    <w:rsid w:val="00001231"/>
    <w:rsid w:val="00001B73"/>
    <w:rsid w:val="00001E9E"/>
    <w:rsid w:val="00001F89"/>
    <w:rsid w:val="00001FD4"/>
    <w:rsid w:val="00002143"/>
    <w:rsid w:val="000021A0"/>
    <w:rsid w:val="000021F5"/>
    <w:rsid w:val="00002211"/>
    <w:rsid w:val="000022E6"/>
    <w:rsid w:val="0000232A"/>
    <w:rsid w:val="000027CE"/>
    <w:rsid w:val="0000288F"/>
    <w:rsid w:val="00002A4A"/>
    <w:rsid w:val="00002D05"/>
    <w:rsid w:val="0000363F"/>
    <w:rsid w:val="000036A9"/>
    <w:rsid w:val="00003CB0"/>
    <w:rsid w:val="00003DA1"/>
    <w:rsid w:val="00003DAF"/>
    <w:rsid w:val="000044F7"/>
    <w:rsid w:val="00004571"/>
    <w:rsid w:val="00005474"/>
    <w:rsid w:val="000055F1"/>
    <w:rsid w:val="00005676"/>
    <w:rsid w:val="000056E1"/>
    <w:rsid w:val="000057F7"/>
    <w:rsid w:val="00005CF8"/>
    <w:rsid w:val="000066AA"/>
    <w:rsid w:val="00006BF5"/>
    <w:rsid w:val="00006D8B"/>
    <w:rsid w:val="00007212"/>
    <w:rsid w:val="00007418"/>
    <w:rsid w:val="000078B4"/>
    <w:rsid w:val="0000799D"/>
    <w:rsid w:val="00007AB5"/>
    <w:rsid w:val="00007FB2"/>
    <w:rsid w:val="00010034"/>
    <w:rsid w:val="000101AB"/>
    <w:rsid w:val="00010319"/>
    <w:rsid w:val="00010404"/>
    <w:rsid w:val="00010646"/>
    <w:rsid w:val="000107B4"/>
    <w:rsid w:val="00010999"/>
    <w:rsid w:val="00010A7E"/>
    <w:rsid w:val="00010AEC"/>
    <w:rsid w:val="00010F16"/>
    <w:rsid w:val="00011468"/>
    <w:rsid w:val="000116A2"/>
    <w:rsid w:val="000119DE"/>
    <w:rsid w:val="00011A46"/>
    <w:rsid w:val="00011EC6"/>
    <w:rsid w:val="0001208C"/>
    <w:rsid w:val="00012155"/>
    <w:rsid w:val="00012459"/>
    <w:rsid w:val="0001257E"/>
    <w:rsid w:val="000125CC"/>
    <w:rsid w:val="000126C0"/>
    <w:rsid w:val="0001273E"/>
    <w:rsid w:val="000128DE"/>
    <w:rsid w:val="000128F0"/>
    <w:rsid w:val="00012B0F"/>
    <w:rsid w:val="00012E2F"/>
    <w:rsid w:val="00012E3E"/>
    <w:rsid w:val="000130A5"/>
    <w:rsid w:val="0001323B"/>
    <w:rsid w:val="00013340"/>
    <w:rsid w:val="000137EC"/>
    <w:rsid w:val="000138E4"/>
    <w:rsid w:val="00013950"/>
    <w:rsid w:val="000139DC"/>
    <w:rsid w:val="00013C12"/>
    <w:rsid w:val="00013C3C"/>
    <w:rsid w:val="00013F95"/>
    <w:rsid w:val="000142BE"/>
    <w:rsid w:val="00014953"/>
    <w:rsid w:val="0001498A"/>
    <w:rsid w:val="00014CF7"/>
    <w:rsid w:val="00014D77"/>
    <w:rsid w:val="00014D8A"/>
    <w:rsid w:val="0001508C"/>
    <w:rsid w:val="00015119"/>
    <w:rsid w:val="000155BB"/>
    <w:rsid w:val="00015794"/>
    <w:rsid w:val="000159B8"/>
    <w:rsid w:val="00015A76"/>
    <w:rsid w:val="00015BD1"/>
    <w:rsid w:val="00015CA8"/>
    <w:rsid w:val="00015CBC"/>
    <w:rsid w:val="00015CBD"/>
    <w:rsid w:val="00015D01"/>
    <w:rsid w:val="00015FAD"/>
    <w:rsid w:val="00016039"/>
    <w:rsid w:val="00016362"/>
    <w:rsid w:val="000164FA"/>
    <w:rsid w:val="00016596"/>
    <w:rsid w:val="000165E2"/>
    <w:rsid w:val="00016815"/>
    <w:rsid w:val="00016824"/>
    <w:rsid w:val="00016965"/>
    <w:rsid w:val="00016A3A"/>
    <w:rsid w:val="00016B48"/>
    <w:rsid w:val="00017473"/>
    <w:rsid w:val="00017772"/>
    <w:rsid w:val="000179B4"/>
    <w:rsid w:val="00017C18"/>
    <w:rsid w:val="00017C8C"/>
    <w:rsid w:val="00017CF7"/>
    <w:rsid w:val="00017D68"/>
    <w:rsid w:val="000205E9"/>
    <w:rsid w:val="00020608"/>
    <w:rsid w:val="0002068E"/>
    <w:rsid w:val="00020A48"/>
    <w:rsid w:val="00020EDB"/>
    <w:rsid w:val="00020FB0"/>
    <w:rsid w:val="00021034"/>
    <w:rsid w:val="00021115"/>
    <w:rsid w:val="0002119D"/>
    <w:rsid w:val="00021254"/>
    <w:rsid w:val="0002129A"/>
    <w:rsid w:val="000212E1"/>
    <w:rsid w:val="000214A2"/>
    <w:rsid w:val="000217D8"/>
    <w:rsid w:val="0002191B"/>
    <w:rsid w:val="00021C73"/>
    <w:rsid w:val="00021F6B"/>
    <w:rsid w:val="0002213C"/>
    <w:rsid w:val="00022345"/>
    <w:rsid w:val="00022891"/>
    <w:rsid w:val="00022935"/>
    <w:rsid w:val="00022A38"/>
    <w:rsid w:val="00022AC4"/>
    <w:rsid w:val="00022D98"/>
    <w:rsid w:val="00022F85"/>
    <w:rsid w:val="00023527"/>
    <w:rsid w:val="000237AB"/>
    <w:rsid w:val="00023BAB"/>
    <w:rsid w:val="00023DAA"/>
    <w:rsid w:val="00023E15"/>
    <w:rsid w:val="00023E7D"/>
    <w:rsid w:val="00024003"/>
    <w:rsid w:val="000240BA"/>
    <w:rsid w:val="000241AE"/>
    <w:rsid w:val="000247DC"/>
    <w:rsid w:val="00024CF9"/>
    <w:rsid w:val="00024FE9"/>
    <w:rsid w:val="0002590A"/>
    <w:rsid w:val="0002592C"/>
    <w:rsid w:val="00025EBF"/>
    <w:rsid w:val="000266EA"/>
    <w:rsid w:val="000269F9"/>
    <w:rsid w:val="00026B65"/>
    <w:rsid w:val="000271E9"/>
    <w:rsid w:val="00027545"/>
    <w:rsid w:val="000279FA"/>
    <w:rsid w:val="00027B71"/>
    <w:rsid w:val="00027CE1"/>
    <w:rsid w:val="000308CE"/>
    <w:rsid w:val="00030A13"/>
    <w:rsid w:val="00030BC8"/>
    <w:rsid w:val="00030F18"/>
    <w:rsid w:val="00030FAA"/>
    <w:rsid w:val="000312E4"/>
    <w:rsid w:val="0003136E"/>
    <w:rsid w:val="000313FA"/>
    <w:rsid w:val="00031600"/>
    <w:rsid w:val="00031B5D"/>
    <w:rsid w:val="00031C43"/>
    <w:rsid w:val="0003270B"/>
    <w:rsid w:val="000327AA"/>
    <w:rsid w:val="00032B77"/>
    <w:rsid w:val="00032C5C"/>
    <w:rsid w:val="00032E28"/>
    <w:rsid w:val="000330C6"/>
    <w:rsid w:val="00033272"/>
    <w:rsid w:val="00033530"/>
    <w:rsid w:val="000338E5"/>
    <w:rsid w:val="00033ACC"/>
    <w:rsid w:val="00033B0F"/>
    <w:rsid w:val="00033DD9"/>
    <w:rsid w:val="0003412A"/>
    <w:rsid w:val="00034404"/>
    <w:rsid w:val="00034481"/>
    <w:rsid w:val="0003464E"/>
    <w:rsid w:val="00034717"/>
    <w:rsid w:val="000347D9"/>
    <w:rsid w:val="0003483E"/>
    <w:rsid w:val="0003502A"/>
    <w:rsid w:val="000358F9"/>
    <w:rsid w:val="00035D49"/>
    <w:rsid w:val="00035D57"/>
    <w:rsid w:val="00036302"/>
    <w:rsid w:val="000363C3"/>
    <w:rsid w:val="00036590"/>
    <w:rsid w:val="000368DD"/>
    <w:rsid w:val="000369E6"/>
    <w:rsid w:val="00036A0B"/>
    <w:rsid w:val="000375F5"/>
    <w:rsid w:val="000377D5"/>
    <w:rsid w:val="0003788C"/>
    <w:rsid w:val="00037BED"/>
    <w:rsid w:val="00040760"/>
    <w:rsid w:val="000408CA"/>
    <w:rsid w:val="00040CE7"/>
    <w:rsid w:val="000410A5"/>
    <w:rsid w:val="00041641"/>
    <w:rsid w:val="000418DD"/>
    <w:rsid w:val="000418FB"/>
    <w:rsid w:val="00041B0E"/>
    <w:rsid w:val="000421A9"/>
    <w:rsid w:val="000422A3"/>
    <w:rsid w:val="0004230D"/>
    <w:rsid w:val="00042449"/>
    <w:rsid w:val="0004249F"/>
    <w:rsid w:val="00042601"/>
    <w:rsid w:val="00042688"/>
    <w:rsid w:val="00042795"/>
    <w:rsid w:val="00043126"/>
    <w:rsid w:val="0004347D"/>
    <w:rsid w:val="00043667"/>
    <w:rsid w:val="00043777"/>
    <w:rsid w:val="00043C55"/>
    <w:rsid w:val="00043D72"/>
    <w:rsid w:val="0004415C"/>
    <w:rsid w:val="000443B1"/>
    <w:rsid w:val="00044407"/>
    <w:rsid w:val="00044536"/>
    <w:rsid w:val="00044D6B"/>
    <w:rsid w:val="00044F4B"/>
    <w:rsid w:val="00045081"/>
    <w:rsid w:val="00045C2C"/>
    <w:rsid w:val="00045E1A"/>
    <w:rsid w:val="00045EA3"/>
    <w:rsid w:val="0004607A"/>
    <w:rsid w:val="0004616E"/>
    <w:rsid w:val="0004640C"/>
    <w:rsid w:val="000468D6"/>
    <w:rsid w:val="00046C9A"/>
    <w:rsid w:val="00047401"/>
    <w:rsid w:val="00047530"/>
    <w:rsid w:val="00047562"/>
    <w:rsid w:val="000475F0"/>
    <w:rsid w:val="00047CD5"/>
    <w:rsid w:val="00047D96"/>
    <w:rsid w:val="00047E6F"/>
    <w:rsid w:val="00050150"/>
    <w:rsid w:val="0005025D"/>
    <w:rsid w:val="000505E7"/>
    <w:rsid w:val="00050607"/>
    <w:rsid w:val="00050B86"/>
    <w:rsid w:val="00050C9A"/>
    <w:rsid w:val="00050FAF"/>
    <w:rsid w:val="0005119B"/>
    <w:rsid w:val="00051B3E"/>
    <w:rsid w:val="00051C3D"/>
    <w:rsid w:val="00051FD0"/>
    <w:rsid w:val="000522BD"/>
    <w:rsid w:val="0005256F"/>
    <w:rsid w:val="00052B7A"/>
    <w:rsid w:val="00053025"/>
    <w:rsid w:val="000530CC"/>
    <w:rsid w:val="00053195"/>
    <w:rsid w:val="000535EA"/>
    <w:rsid w:val="00053633"/>
    <w:rsid w:val="0005433E"/>
    <w:rsid w:val="00054AE9"/>
    <w:rsid w:val="00054F3D"/>
    <w:rsid w:val="00055057"/>
    <w:rsid w:val="000557A4"/>
    <w:rsid w:val="00055A79"/>
    <w:rsid w:val="00055B64"/>
    <w:rsid w:val="00055BFE"/>
    <w:rsid w:val="00056194"/>
    <w:rsid w:val="000561ED"/>
    <w:rsid w:val="00056728"/>
    <w:rsid w:val="00056E84"/>
    <w:rsid w:val="00056F26"/>
    <w:rsid w:val="00056FB8"/>
    <w:rsid w:val="00057002"/>
    <w:rsid w:val="00057166"/>
    <w:rsid w:val="00057256"/>
    <w:rsid w:val="00057450"/>
    <w:rsid w:val="000575B2"/>
    <w:rsid w:val="00057A86"/>
    <w:rsid w:val="000602F9"/>
    <w:rsid w:val="000604B9"/>
    <w:rsid w:val="00060500"/>
    <w:rsid w:val="000609F3"/>
    <w:rsid w:val="00060BA8"/>
    <w:rsid w:val="00060BF0"/>
    <w:rsid w:val="00060D55"/>
    <w:rsid w:val="00060FED"/>
    <w:rsid w:val="000615D0"/>
    <w:rsid w:val="000616DA"/>
    <w:rsid w:val="000617DE"/>
    <w:rsid w:val="00062187"/>
    <w:rsid w:val="00062658"/>
    <w:rsid w:val="00062AAB"/>
    <w:rsid w:val="00062B69"/>
    <w:rsid w:val="00062BBB"/>
    <w:rsid w:val="00062BFB"/>
    <w:rsid w:val="00062D68"/>
    <w:rsid w:val="0006306B"/>
    <w:rsid w:val="000634A6"/>
    <w:rsid w:val="000634B0"/>
    <w:rsid w:val="0006364C"/>
    <w:rsid w:val="00063DC6"/>
    <w:rsid w:val="000641F9"/>
    <w:rsid w:val="00064237"/>
    <w:rsid w:val="000644F6"/>
    <w:rsid w:val="0006450D"/>
    <w:rsid w:val="00064560"/>
    <w:rsid w:val="00064695"/>
    <w:rsid w:val="000646FF"/>
    <w:rsid w:val="00064BCD"/>
    <w:rsid w:val="00064CB8"/>
    <w:rsid w:val="00065838"/>
    <w:rsid w:val="00065A08"/>
    <w:rsid w:val="00065CC3"/>
    <w:rsid w:val="00065D06"/>
    <w:rsid w:val="00065F80"/>
    <w:rsid w:val="000665C9"/>
    <w:rsid w:val="00066A1C"/>
    <w:rsid w:val="00066B23"/>
    <w:rsid w:val="00066B30"/>
    <w:rsid w:val="00066DE3"/>
    <w:rsid w:val="0006745D"/>
    <w:rsid w:val="00067545"/>
    <w:rsid w:val="000677F4"/>
    <w:rsid w:val="00067862"/>
    <w:rsid w:val="00067F89"/>
    <w:rsid w:val="00070082"/>
    <w:rsid w:val="00070351"/>
    <w:rsid w:val="0007046F"/>
    <w:rsid w:val="00070540"/>
    <w:rsid w:val="0007064B"/>
    <w:rsid w:val="00070685"/>
    <w:rsid w:val="000708AB"/>
    <w:rsid w:val="00070D5A"/>
    <w:rsid w:val="00070DA2"/>
    <w:rsid w:val="00071030"/>
    <w:rsid w:val="000714FD"/>
    <w:rsid w:val="00071D06"/>
    <w:rsid w:val="00071FEB"/>
    <w:rsid w:val="00072143"/>
    <w:rsid w:val="00072548"/>
    <w:rsid w:val="00072571"/>
    <w:rsid w:val="00072E72"/>
    <w:rsid w:val="000730D7"/>
    <w:rsid w:val="00073447"/>
    <w:rsid w:val="00073817"/>
    <w:rsid w:val="0007410D"/>
    <w:rsid w:val="0007412F"/>
    <w:rsid w:val="00074138"/>
    <w:rsid w:val="0007414B"/>
    <w:rsid w:val="000743B5"/>
    <w:rsid w:val="0007460A"/>
    <w:rsid w:val="0007489F"/>
    <w:rsid w:val="00074C28"/>
    <w:rsid w:val="0007509C"/>
    <w:rsid w:val="000754B4"/>
    <w:rsid w:val="00075CCB"/>
    <w:rsid w:val="00075D83"/>
    <w:rsid w:val="00075DF5"/>
    <w:rsid w:val="00076932"/>
    <w:rsid w:val="00076AC9"/>
    <w:rsid w:val="00076C80"/>
    <w:rsid w:val="00077078"/>
    <w:rsid w:val="00077120"/>
    <w:rsid w:val="00077199"/>
    <w:rsid w:val="000771FB"/>
    <w:rsid w:val="00077228"/>
    <w:rsid w:val="000773AE"/>
    <w:rsid w:val="000773B0"/>
    <w:rsid w:val="00077429"/>
    <w:rsid w:val="000777CD"/>
    <w:rsid w:val="00077C1A"/>
    <w:rsid w:val="00077C43"/>
    <w:rsid w:val="00077D2B"/>
    <w:rsid w:val="00080247"/>
    <w:rsid w:val="00080421"/>
    <w:rsid w:val="00080B22"/>
    <w:rsid w:val="00080FAD"/>
    <w:rsid w:val="000811A1"/>
    <w:rsid w:val="0008141D"/>
    <w:rsid w:val="00081943"/>
    <w:rsid w:val="00081956"/>
    <w:rsid w:val="00081994"/>
    <w:rsid w:val="00081A3F"/>
    <w:rsid w:val="00082677"/>
    <w:rsid w:val="00082FC2"/>
    <w:rsid w:val="000837FB"/>
    <w:rsid w:val="000839B1"/>
    <w:rsid w:val="00083F28"/>
    <w:rsid w:val="0008447F"/>
    <w:rsid w:val="0008452C"/>
    <w:rsid w:val="00084BA9"/>
    <w:rsid w:val="00084CEB"/>
    <w:rsid w:val="00084E21"/>
    <w:rsid w:val="0008504D"/>
    <w:rsid w:val="00085141"/>
    <w:rsid w:val="000852D8"/>
    <w:rsid w:val="000854B5"/>
    <w:rsid w:val="00086175"/>
    <w:rsid w:val="000867B7"/>
    <w:rsid w:val="00086BA9"/>
    <w:rsid w:val="00086CF1"/>
    <w:rsid w:val="00086D83"/>
    <w:rsid w:val="00086EA1"/>
    <w:rsid w:val="00086FEB"/>
    <w:rsid w:val="00087017"/>
    <w:rsid w:val="000870E3"/>
    <w:rsid w:val="0008713F"/>
    <w:rsid w:val="0008736E"/>
    <w:rsid w:val="0008762C"/>
    <w:rsid w:val="00087761"/>
    <w:rsid w:val="000878AE"/>
    <w:rsid w:val="00087C29"/>
    <w:rsid w:val="00087F9A"/>
    <w:rsid w:val="0009008D"/>
    <w:rsid w:val="0009048A"/>
    <w:rsid w:val="000909A1"/>
    <w:rsid w:val="0009151F"/>
    <w:rsid w:val="000917F5"/>
    <w:rsid w:val="00091C02"/>
    <w:rsid w:val="00091C2F"/>
    <w:rsid w:val="00091C6F"/>
    <w:rsid w:val="00091CC4"/>
    <w:rsid w:val="00091EE3"/>
    <w:rsid w:val="00091EEE"/>
    <w:rsid w:val="00091F41"/>
    <w:rsid w:val="000924B9"/>
    <w:rsid w:val="00092A7C"/>
    <w:rsid w:val="00092B21"/>
    <w:rsid w:val="00092F3E"/>
    <w:rsid w:val="000938D6"/>
    <w:rsid w:val="00093E33"/>
    <w:rsid w:val="00093F5D"/>
    <w:rsid w:val="00093FA5"/>
    <w:rsid w:val="0009400C"/>
    <w:rsid w:val="000940F5"/>
    <w:rsid w:val="000942FF"/>
    <w:rsid w:val="00094724"/>
    <w:rsid w:val="000947F1"/>
    <w:rsid w:val="00094F65"/>
    <w:rsid w:val="0009587E"/>
    <w:rsid w:val="00095948"/>
    <w:rsid w:val="00095D95"/>
    <w:rsid w:val="00096515"/>
    <w:rsid w:val="000966DF"/>
    <w:rsid w:val="00096B8E"/>
    <w:rsid w:val="0009716B"/>
    <w:rsid w:val="00097259"/>
    <w:rsid w:val="00097431"/>
    <w:rsid w:val="0009763B"/>
    <w:rsid w:val="0009769C"/>
    <w:rsid w:val="00097792"/>
    <w:rsid w:val="000978FF"/>
    <w:rsid w:val="0009798B"/>
    <w:rsid w:val="000979D8"/>
    <w:rsid w:val="00097C4B"/>
    <w:rsid w:val="00097FA3"/>
    <w:rsid w:val="000A0071"/>
    <w:rsid w:val="000A0531"/>
    <w:rsid w:val="000A0861"/>
    <w:rsid w:val="000A0A37"/>
    <w:rsid w:val="000A0D44"/>
    <w:rsid w:val="000A0EC6"/>
    <w:rsid w:val="000A0EDC"/>
    <w:rsid w:val="000A1019"/>
    <w:rsid w:val="000A1143"/>
    <w:rsid w:val="000A1144"/>
    <w:rsid w:val="000A126E"/>
    <w:rsid w:val="000A132F"/>
    <w:rsid w:val="000A1348"/>
    <w:rsid w:val="000A1816"/>
    <w:rsid w:val="000A1D5C"/>
    <w:rsid w:val="000A1D79"/>
    <w:rsid w:val="000A1DB4"/>
    <w:rsid w:val="000A1EA3"/>
    <w:rsid w:val="000A1FE9"/>
    <w:rsid w:val="000A2187"/>
    <w:rsid w:val="000A23F0"/>
    <w:rsid w:val="000A2C74"/>
    <w:rsid w:val="000A2D68"/>
    <w:rsid w:val="000A32D1"/>
    <w:rsid w:val="000A36F5"/>
    <w:rsid w:val="000A395A"/>
    <w:rsid w:val="000A39A2"/>
    <w:rsid w:val="000A3ACF"/>
    <w:rsid w:val="000A3AF2"/>
    <w:rsid w:val="000A3CDE"/>
    <w:rsid w:val="000A3D69"/>
    <w:rsid w:val="000A433D"/>
    <w:rsid w:val="000A43CB"/>
    <w:rsid w:val="000A4496"/>
    <w:rsid w:val="000A44D4"/>
    <w:rsid w:val="000A44F3"/>
    <w:rsid w:val="000A487B"/>
    <w:rsid w:val="000A492C"/>
    <w:rsid w:val="000A4E35"/>
    <w:rsid w:val="000A5192"/>
    <w:rsid w:val="000A541B"/>
    <w:rsid w:val="000A54E3"/>
    <w:rsid w:val="000A56B1"/>
    <w:rsid w:val="000A5CEE"/>
    <w:rsid w:val="000A5D52"/>
    <w:rsid w:val="000A5D71"/>
    <w:rsid w:val="000A5D89"/>
    <w:rsid w:val="000A62B6"/>
    <w:rsid w:val="000A6919"/>
    <w:rsid w:val="000A6B0C"/>
    <w:rsid w:val="000A6DCB"/>
    <w:rsid w:val="000A6E26"/>
    <w:rsid w:val="000A6FCE"/>
    <w:rsid w:val="000A7357"/>
    <w:rsid w:val="000A7383"/>
    <w:rsid w:val="000A775F"/>
    <w:rsid w:val="000A7945"/>
    <w:rsid w:val="000A7E40"/>
    <w:rsid w:val="000A7F69"/>
    <w:rsid w:val="000B02F9"/>
    <w:rsid w:val="000B0B3C"/>
    <w:rsid w:val="000B0DC3"/>
    <w:rsid w:val="000B0F0B"/>
    <w:rsid w:val="000B101E"/>
    <w:rsid w:val="000B15C3"/>
    <w:rsid w:val="000B1889"/>
    <w:rsid w:val="000B1A50"/>
    <w:rsid w:val="000B1B10"/>
    <w:rsid w:val="000B1C00"/>
    <w:rsid w:val="000B2277"/>
    <w:rsid w:val="000B23E1"/>
    <w:rsid w:val="000B2A54"/>
    <w:rsid w:val="000B308F"/>
    <w:rsid w:val="000B3326"/>
    <w:rsid w:val="000B3562"/>
    <w:rsid w:val="000B374E"/>
    <w:rsid w:val="000B3B20"/>
    <w:rsid w:val="000B44B4"/>
    <w:rsid w:val="000B47CD"/>
    <w:rsid w:val="000B53A4"/>
    <w:rsid w:val="000B5C6F"/>
    <w:rsid w:val="000B5EE4"/>
    <w:rsid w:val="000B60D2"/>
    <w:rsid w:val="000B634B"/>
    <w:rsid w:val="000B6703"/>
    <w:rsid w:val="000B69D8"/>
    <w:rsid w:val="000B6A5D"/>
    <w:rsid w:val="000B6BE2"/>
    <w:rsid w:val="000B6DA6"/>
    <w:rsid w:val="000B6DC5"/>
    <w:rsid w:val="000B6F49"/>
    <w:rsid w:val="000B6F4F"/>
    <w:rsid w:val="000B7943"/>
    <w:rsid w:val="000B7F1C"/>
    <w:rsid w:val="000C01ED"/>
    <w:rsid w:val="000C0901"/>
    <w:rsid w:val="000C099C"/>
    <w:rsid w:val="000C13CE"/>
    <w:rsid w:val="000C17F3"/>
    <w:rsid w:val="000C1A5F"/>
    <w:rsid w:val="000C20A4"/>
    <w:rsid w:val="000C2243"/>
    <w:rsid w:val="000C266C"/>
    <w:rsid w:val="000C2818"/>
    <w:rsid w:val="000C2BFC"/>
    <w:rsid w:val="000C2CD5"/>
    <w:rsid w:val="000C2D06"/>
    <w:rsid w:val="000C31FB"/>
    <w:rsid w:val="000C32C9"/>
    <w:rsid w:val="000C3680"/>
    <w:rsid w:val="000C3BBB"/>
    <w:rsid w:val="000C3CD6"/>
    <w:rsid w:val="000C3E69"/>
    <w:rsid w:val="000C4274"/>
    <w:rsid w:val="000C47C8"/>
    <w:rsid w:val="000C4E17"/>
    <w:rsid w:val="000C4F8C"/>
    <w:rsid w:val="000C5204"/>
    <w:rsid w:val="000C56F1"/>
    <w:rsid w:val="000C5A0B"/>
    <w:rsid w:val="000C5A29"/>
    <w:rsid w:val="000C605D"/>
    <w:rsid w:val="000C616B"/>
    <w:rsid w:val="000C6333"/>
    <w:rsid w:val="000C63A6"/>
    <w:rsid w:val="000C6A8F"/>
    <w:rsid w:val="000C6D94"/>
    <w:rsid w:val="000C7066"/>
    <w:rsid w:val="000C730E"/>
    <w:rsid w:val="000C7702"/>
    <w:rsid w:val="000C7714"/>
    <w:rsid w:val="000C7A8F"/>
    <w:rsid w:val="000D0089"/>
    <w:rsid w:val="000D019D"/>
    <w:rsid w:val="000D0382"/>
    <w:rsid w:val="000D04E0"/>
    <w:rsid w:val="000D0933"/>
    <w:rsid w:val="000D0BB8"/>
    <w:rsid w:val="000D0DD4"/>
    <w:rsid w:val="000D104F"/>
    <w:rsid w:val="000D1169"/>
    <w:rsid w:val="000D1B0C"/>
    <w:rsid w:val="000D1CE3"/>
    <w:rsid w:val="000D1DC7"/>
    <w:rsid w:val="000D1E84"/>
    <w:rsid w:val="000D2260"/>
    <w:rsid w:val="000D24ED"/>
    <w:rsid w:val="000D26A4"/>
    <w:rsid w:val="000D2738"/>
    <w:rsid w:val="000D2A47"/>
    <w:rsid w:val="000D2B02"/>
    <w:rsid w:val="000D2C63"/>
    <w:rsid w:val="000D2E4D"/>
    <w:rsid w:val="000D3061"/>
    <w:rsid w:val="000D35D5"/>
    <w:rsid w:val="000D3B01"/>
    <w:rsid w:val="000D3BE1"/>
    <w:rsid w:val="000D3EFE"/>
    <w:rsid w:val="000D40CD"/>
    <w:rsid w:val="000D473C"/>
    <w:rsid w:val="000D4E7C"/>
    <w:rsid w:val="000D503D"/>
    <w:rsid w:val="000D5110"/>
    <w:rsid w:val="000D556D"/>
    <w:rsid w:val="000D570A"/>
    <w:rsid w:val="000D5AB2"/>
    <w:rsid w:val="000D5CBC"/>
    <w:rsid w:val="000D5FD7"/>
    <w:rsid w:val="000D6368"/>
    <w:rsid w:val="000D672A"/>
    <w:rsid w:val="000D6F29"/>
    <w:rsid w:val="000D707E"/>
    <w:rsid w:val="000D7803"/>
    <w:rsid w:val="000D7946"/>
    <w:rsid w:val="000D7985"/>
    <w:rsid w:val="000D7A13"/>
    <w:rsid w:val="000D7BF4"/>
    <w:rsid w:val="000D7CE9"/>
    <w:rsid w:val="000E0081"/>
    <w:rsid w:val="000E026E"/>
    <w:rsid w:val="000E05B2"/>
    <w:rsid w:val="000E08BB"/>
    <w:rsid w:val="000E08F7"/>
    <w:rsid w:val="000E0CAF"/>
    <w:rsid w:val="000E0F23"/>
    <w:rsid w:val="000E12A7"/>
    <w:rsid w:val="000E18B8"/>
    <w:rsid w:val="000E1964"/>
    <w:rsid w:val="000E20F3"/>
    <w:rsid w:val="000E2337"/>
    <w:rsid w:val="000E239D"/>
    <w:rsid w:val="000E24C5"/>
    <w:rsid w:val="000E25B5"/>
    <w:rsid w:val="000E27C3"/>
    <w:rsid w:val="000E2817"/>
    <w:rsid w:val="000E2BEE"/>
    <w:rsid w:val="000E3958"/>
    <w:rsid w:val="000E3B52"/>
    <w:rsid w:val="000E404E"/>
    <w:rsid w:val="000E4085"/>
    <w:rsid w:val="000E42AB"/>
    <w:rsid w:val="000E4408"/>
    <w:rsid w:val="000E4CC2"/>
    <w:rsid w:val="000E5D83"/>
    <w:rsid w:val="000E5E1B"/>
    <w:rsid w:val="000E61A5"/>
    <w:rsid w:val="000E61C5"/>
    <w:rsid w:val="000E61C6"/>
    <w:rsid w:val="000E685C"/>
    <w:rsid w:val="000E692B"/>
    <w:rsid w:val="000E6B35"/>
    <w:rsid w:val="000E6DD2"/>
    <w:rsid w:val="000E7149"/>
    <w:rsid w:val="000E76A6"/>
    <w:rsid w:val="000E791B"/>
    <w:rsid w:val="000E7ADD"/>
    <w:rsid w:val="000E7BA2"/>
    <w:rsid w:val="000E7BF9"/>
    <w:rsid w:val="000F00BF"/>
    <w:rsid w:val="000F015F"/>
    <w:rsid w:val="000F0766"/>
    <w:rsid w:val="000F080D"/>
    <w:rsid w:val="000F0820"/>
    <w:rsid w:val="000F09F3"/>
    <w:rsid w:val="000F0F7C"/>
    <w:rsid w:val="000F1190"/>
    <w:rsid w:val="000F12BD"/>
    <w:rsid w:val="000F13BA"/>
    <w:rsid w:val="000F1CD9"/>
    <w:rsid w:val="000F255E"/>
    <w:rsid w:val="000F2631"/>
    <w:rsid w:val="000F269F"/>
    <w:rsid w:val="000F2856"/>
    <w:rsid w:val="000F2C30"/>
    <w:rsid w:val="000F2E9C"/>
    <w:rsid w:val="000F3102"/>
    <w:rsid w:val="000F3238"/>
    <w:rsid w:val="000F3673"/>
    <w:rsid w:val="000F36C0"/>
    <w:rsid w:val="000F38D0"/>
    <w:rsid w:val="000F397B"/>
    <w:rsid w:val="000F3D49"/>
    <w:rsid w:val="000F3DCC"/>
    <w:rsid w:val="000F3E09"/>
    <w:rsid w:val="000F3F1A"/>
    <w:rsid w:val="000F3F3B"/>
    <w:rsid w:val="000F467B"/>
    <w:rsid w:val="000F48EA"/>
    <w:rsid w:val="000F4BDB"/>
    <w:rsid w:val="000F57A5"/>
    <w:rsid w:val="000F5D21"/>
    <w:rsid w:val="000F5D96"/>
    <w:rsid w:val="000F5E0F"/>
    <w:rsid w:val="000F5FC4"/>
    <w:rsid w:val="000F63E2"/>
    <w:rsid w:val="000F6439"/>
    <w:rsid w:val="000F654E"/>
    <w:rsid w:val="000F6709"/>
    <w:rsid w:val="000F6969"/>
    <w:rsid w:val="000F6C8C"/>
    <w:rsid w:val="000F7648"/>
    <w:rsid w:val="000F7746"/>
    <w:rsid w:val="000F77ED"/>
    <w:rsid w:val="000F788B"/>
    <w:rsid w:val="000F7A33"/>
    <w:rsid w:val="000F7B8D"/>
    <w:rsid w:val="000F7D5B"/>
    <w:rsid w:val="00100296"/>
    <w:rsid w:val="00100915"/>
    <w:rsid w:val="00100A82"/>
    <w:rsid w:val="00100CFF"/>
    <w:rsid w:val="00100E0E"/>
    <w:rsid w:val="00100EA4"/>
    <w:rsid w:val="00101002"/>
    <w:rsid w:val="001010B0"/>
    <w:rsid w:val="001010F4"/>
    <w:rsid w:val="00102575"/>
    <w:rsid w:val="00102C19"/>
    <w:rsid w:val="001034D7"/>
    <w:rsid w:val="001039D1"/>
    <w:rsid w:val="00103C29"/>
    <w:rsid w:val="00104119"/>
    <w:rsid w:val="001049E2"/>
    <w:rsid w:val="00104A2A"/>
    <w:rsid w:val="00104CE5"/>
    <w:rsid w:val="00104DA3"/>
    <w:rsid w:val="00104EBB"/>
    <w:rsid w:val="00104ED1"/>
    <w:rsid w:val="001050A8"/>
    <w:rsid w:val="001051F5"/>
    <w:rsid w:val="00105867"/>
    <w:rsid w:val="0010586E"/>
    <w:rsid w:val="00105CF1"/>
    <w:rsid w:val="0010603E"/>
    <w:rsid w:val="0010630E"/>
    <w:rsid w:val="0010667D"/>
    <w:rsid w:val="00106799"/>
    <w:rsid w:val="001069A9"/>
    <w:rsid w:val="001069C0"/>
    <w:rsid w:val="001069F4"/>
    <w:rsid w:val="00106C8D"/>
    <w:rsid w:val="00106DD6"/>
    <w:rsid w:val="00106E6D"/>
    <w:rsid w:val="001071E1"/>
    <w:rsid w:val="00107295"/>
    <w:rsid w:val="00107939"/>
    <w:rsid w:val="00107A00"/>
    <w:rsid w:val="00107CC1"/>
    <w:rsid w:val="00107CC4"/>
    <w:rsid w:val="00107EDB"/>
    <w:rsid w:val="00107FEB"/>
    <w:rsid w:val="0011014F"/>
    <w:rsid w:val="001107ED"/>
    <w:rsid w:val="0011083D"/>
    <w:rsid w:val="001108FA"/>
    <w:rsid w:val="00110AC7"/>
    <w:rsid w:val="00110D62"/>
    <w:rsid w:val="0011189F"/>
    <w:rsid w:val="00111C23"/>
    <w:rsid w:val="00111DC7"/>
    <w:rsid w:val="00111F0A"/>
    <w:rsid w:val="00111F14"/>
    <w:rsid w:val="00112107"/>
    <w:rsid w:val="001121B0"/>
    <w:rsid w:val="00112956"/>
    <w:rsid w:val="00112D85"/>
    <w:rsid w:val="00112E03"/>
    <w:rsid w:val="00112F3C"/>
    <w:rsid w:val="001131E7"/>
    <w:rsid w:val="00113539"/>
    <w:rsid w:val="001135AA"/>
    <w:rsid w:val="001136A0"/>
    <w:rsid w:val="0011384A"/>
    <w:rsid w:val="00113958"/>
    <w:rsid w:val="00113C2B"/>
    <w:rsid w:val="001141A4"/>
    <w:rsid w:val="00114526"/>
    <w:rsid w:val="00114612"/>
    <w:rsid w:val="0011462D"/>
    <w:rsid w:val="001149F1"/>
    <w:rsid w:val="00114CF5"/>
    <w:rsid w:val="00115169"/>
    <w:rsid w:val="001156C7"/>
    <w:rsid w:val="00115981"/>
    <w:rsid w:val="00115C2C"/>
    <w:rsid w:val="00115FF2"/>
    <w:rsid w:val="00116A4B"/>
    <w:rsid w:val="00116B65"/>
    <w:rsid w:val="00116E31"/>
    <w:rsid w:val="00116F50"/>
    <w:rsid w:val="0011721D"/>
    <w:rsid w:val="00117260"/>
    <w:rsid w:val="00117287"/>
    <w:rsid w:val="00117692"/>
    <w:rsid w:val="00117860"/>
    <w:rsid w:val="00117889"/>
    <w:rsid w:val="001178CE"/>
    <w:rsid w:val="00117B99"/>
    <w:rsid w:val="00117D34"/>
    <w:rsid w:val="00120723"/>
    <w:rsid w:val="001207C0"/>
    <w:rsid w:val="001207FF"/>
    <w:rsid w:val="0012089C"/>
    <w:rsid w:val="00120EDC"/>
    <w:rsid w:val="00121168"/>
    <w:rsid w:val="001216AE"/>
    <w:rsid w:val="00121BF9"/>
    <w:rsid w:val="001222B6"/>
    <w:rsid w:val="0012252B"/>
    <w:rsid w:val="001228B0"/>
    <w:rsid w:val="00122B33"/>
    <w:rsid w:val="00122B5C"/>
    <w:rsid w:val="00122E1B"/>
    <w:rsid w:val="00123155"/>
    <w:rsid w:val="0012318F"/>
    <w:rsid w:val="001233C6"/>
    <w:rsid w:val="001238D4"/>
    <w:rsid w:val="00123B30"/>
    <w:rsid w:val="0012423A"/>
    <w:rsid w:val="001244AF"/>
    <w:rsid w:val="0012450F"/>
    <w:rsid w:val="0012456E"/>
    <w:rsid w:val="001246AB"/>
    <w:rsid w:val="00124D58"/>
    <w:rsid w:val="00124E7F"/>
    <w:rsid w:val="00125446"/>
    <w:rsid w:val="00125616"/>
    <w:rsid w:val="0012588E"/>
    <w:rsid w:val="00125ACF"/>
    <w:rsid w:val="00125AFF"/>
    <w:rsid w:val="00125BF3"/>
    <w:rsid w:val="00125C4A"/>
    <w:rsid w:val="001262CC"/>
    <w:rsid w:val="001265E0"/>
    <w:rsid w:val="00126920"/>
    <w:rsid w:val="00126C53"/>
    <w:rsid w:val="00126FAA"/>
    <w:rsid w:val="00126FB2"/>
    <w:rsid w:val="0012720F"/>
    <w:rsid w:val="0012735C"/>
    <w:rsid w:val="001275C8"/>
    <w:rsid w:val="0012778A"/>
    <w:rsid w:val="00127791"/>
    <w:rsid w:val="00127978"/>
    <w:rsid w:val="00127B47"/>
    <w:rsid w:val="001307AF"/>
    <w:rsid w:val="00130D14"/>
    <w:rsid w:val="00130D15"/>
    <w:rsid w:val="0013151D"/>
    <w:rsid w:val="001315F8"/>
    <w:rsid w:val="00131709"/>
    <w:rsid w:val="001317F7"/>
    <w:rsid w:val="001318B2"/>
    <w:rsid w:val="00131CC1"/>
    <w:rsid w:val="00131EBA"/>
    <w:rsid w:val="00131EEC"/>
    <w:rsid w:val="001321CD"/>
    <w:rsid w:val="0013247A"/>
    <w:rsid w:val="00132748"/>
    <w:rsid w:val="00132A66"/>
    <w:rsid w:val="00132E7E"/>
    <w:rsid w:val="0013307E"/>
    <w:rsid w:val="00133216"/>
    <w:rsid w:val="00133506"/>
    <w:rsid w:val="001337EB"/>
    <w:rsid w:val="001339F3"/>
    <w:rsid w:val="00133B64"/>
    <w:rsid w:val="00133E78"/>
    <w:rsid w:val="001342E3"/>
    <w:rsid w:val="00134469"/>
    <w:rsid w:val="00134791"/>
    <w:rsid w:val="00134B5D"/>
    <w:rsid w:val="00134C40"/>
    <w:rsid w:val="00134EEA"/>
    <w:rsid w:val="00135062"/>
    <w:rsid w:val="00135328"/>
    <w:rsid w:val="001353D0"/>
    <w:rsid w:val="00135750"/>
    <w:rsid w:val="00135853"/>
    <w:rsid w:val="00135A6F"/>
    <w:rsid w:val="00135F65"/>
    <w:rsid w:val="001360DD"/>
    <w:rsid w:val="001360F2"/>
    <w:rsid w:val="001362DA"/>
    <w:rsid w:val="00136878"/>
    <w:rsid w:val="00136B7D"/>
    <w:rsid w:val="00136C0B"/>
    <w:rsid w:val="00136DF2"/>
    <w:rsid w:val="00136F05"/>
    <w:rsid w:val="00137AE1"/>
    <w:rsid w:val="00137D39"/>
    <w:rsid w:val="00137D4F"/>
    <w:rsid w:val="00137EBF"/>
    <w:rsid w:val="001407D0"/>
    <w:rsid w:val="001408FF"/>
    <w:rsid w:val="00140BB3"/>
    <w:rsid w:val="00140BD6"/>
    <w:rsid w:val="00140C69"/>
    <w:rsid w:val="00140DFB"/>
    <w:rsid w:val="0014113A"/>
    <w:rsid w:val="00141401"/>
    <w:rsid w:val="00141516"/>
    <w:rsid w:val="00141A07"/>
    <w:rsid w:val="00141B32"/>
    <w:rsid w:val="00141EA9"/>
    <w:rsid w:val="00141F19"/>
    <w:rsid w:val="0014281C"/>
    <w:rsid w:val="001428FC"/>
    <w:rsid w:val="0014299C"/>
    <w:rsid w:val="00142B98"/>
    <w:rsid w:val="00142BD9"/>
    <w:rsid w:val="00142C90"/>
    <w:rsid w:val="00142C93"/>
    <w:rsid w:val="00143294"/>
    <w:rsid w:val="00143CF2"/>
    <w:rsid w:val="001447BA"/>
    <w:rsid w:val="0014505C"/>
    <w:rsid w:val="0014534A"/>
    <w:rsid w:val="001455CF"/>
    <w:rsid w:val="0014569A"/>
    <w:rsid w:val="001458C1"/>
    <w:rsid w:val="00145E18"/>
    <w:rsid w:val="00145EBF"/>
    <w:rsid w:val="00146370"/>
    <w:rsid w:val="001468C1"/>
    <w:rsid w:val="00147007"/>
    <w:rsid w:val="00147569"/>
    <w:rsid w:val="00147658"/>
    <w:rsid w:val="00147E48"/>
    <w:rsid w:val="00147F65"/>
    <w:rsid w:val="00147FEB"/>
    <w:rsid w:val="001502C6"/>
    <w:rsid w:val="0015033F"/>
    <w:rsid w:val="0015039D"/>
    <w:rsid w:val="0015050A"/>
    <w:rsid w:val="001505BE"/>
    <w:rsid w:val="00150C69"/>
    <w:rsid w:val="00150CB7"/>
    <w:rsid w:val="00151150"/>
    <w:rsid w:val="00151525"/>
    <w:rsid w:val="00151854"/>
    <w:rsid w:val="00151B0C"/>
    <w:rsid w:val="00151ED3"/>
    <w:rsid w:val="0015208F"/>
    <w:rsid w:val="00152309"/>
    <w:rsid w:val="00152926"/>
    <w:rsid w:val="001529A3"/>
    <w:rsid w:val="00152C58"/>
    <w:rsid w:val="00153B74"/>
    <w:rsid w:val="00153F32"/>
    <w:rsid w:val="00153F9D"/>
    <w:rsid w:val="0015413E"/>
    <w:rsid w:val="001543AB"/>
    <w:rsid w:val="001544C9"/>
    <w:rsid w:val="00154663"/>
    <w:rsid w:val="0015479B"/>
    <w:rsid w:val="0015567A"/>
    <w:rsid w:val="00155A42"/>
    <w:rsid w:val="001560F7"/>
    <w:rsid w:val="001562C4"/>
    <w:rsid w:val="0015653C"/>
    <w:rsid w:val="00156570"/>
    <w:rsid w:val="001565CE"/>
    <w:rsid w:val="00156657"/>
    <w:rsid w:val="0015689C"/>
    <w:rsid w:val="00156C72"/>
    <w:rsid w:val="00156E17"/>
    <w:rsid w:val="00156E4B"/>
    <w:rsid w:val="00156E89"/>
    <w:rsid w:val="001574AA"/>
    <w:rsid w:val="0015761C"/>
    <w:rsid w:val="0015774D"/>
    <w:rsid w:val="00157FF8"/>
    <w:rsid w:val="00160558"/>
    <w:rsid w:val="00160757"/>
    <w:rsid w:val="00160A60"/>
    <w:rsid w:val="00160DA9"/>
    <w:rsid w:val="00161E54"/>
    <w:rsid w:val="00161EA9"/>
    <w:rsid w:val="00161EC0"/>
    <w:rsid w:val="00161EFA"/>
    <w:rsid w:val="00161F15"/>
    <w:rsid w:val="00161F52"/>
    <w:rsid w:val="00162103"/>
    <w:rsid w:val="00162145"/>
    <w:rsid w:val="00162573"/>
    <w:rsid w:val="00162604"/>
    <w:rsid w:val="00162613"/>
    <w:rsid w:val="00162820"/>
    <w:rsid w:val="00162A72"/>
    <w:rsid w:val="001631E0"/>
    <w:rsid w:val="001634DE"/>
    <w:rsid w:val="00163565"/>
    <w:rsid w:val="0016369C"/>
    <w:rsid w:val="00163799"/>
    <w:rsid w:val="00163AF1"/>
    <w:rsid w:val="00164152"/>
    <w:rsid w:val="00164B8C"/>
    <w:rsid w:val="00164E39"/>
    <w:rsid w:val="0016529B"/>
    <w:rsid w:val="0016535C"/>
    <w:rsid w:val="00165687"/>
    <w:rsid w:val="00165CF9"/>
    <w:rsid w:val="00165F10"/>
    <w:rsid w:val="00166A45"/>
    <w:rsid w:val="00166B36"/>
    <w:rsid w:val="00166C0A"/>
    <w:rsid w:val="00166D99"/>
    <w:rsid w:val="00166F5C"/>
    <w:rsid w:val="001674F4"/>
    <w:rsid w:val="00167520"/>
    <w:rsid w:val="00167682"/>
    <w:rsid w:val="00167C20"/>
    <w:rsid w:val="00167EE6"/>
    <w:rsid w:val="00170229"/>
    <w:rsid w:val="00170339"/>
    <w:rsid w:val="0017069D"/>
    <w:rsid w:val="00170AAA"/>
    <w:rsid w:val="00170ABF"/>
    <w:rsid w:val="00170B7C"/>
    <w:rsid w:val="001710AB"/>
    <w:rsid w:val="00171232"/>
    <w:rsid w:val="0017139E"/>
    <w:rsid w:val="001713C4"/>
    <w:rsid w:val="00171474"/>
    <w:rsid w:val="001719AC"/>
    <w:rsid w:val="00171A85"/>
    <w:rsid w:val="00171CC4"/>
    <w:rsid w:val="00171DAE"/>
    <w:rsid w:val="00171ECB"/>
    <w:rsid w:val="00171F39"/>
    <w:rsid w:val="00172A97"/>
    <w:rsid w:val="00172FBD"/>
    <w:rsid w:val="0017317C"/>
    <w:rsid w:val="0017327B"/>
    <w:rsid w:val="00173CEA"/>
    <w:rsid w:val="00174860"/>
    <w:rsid w:val="00174EF1"/>
    <w:rsid w:val="00174FAE"/>
    <w:rsid w:val="00175153"/>
    <w:rsid w:val="001751FE"/>
    <w:rsid w:val="001753D3"/>
    <w:rsid w:val="0017543C"/>
    <w:rsid w:val="001754AA"/>
    <w:rsid w:val="001756C3"/>
    <w:rsid w:val="0017584C"/>
    <w:rsid w:val="00175964"/>
    <w:rsid w:val="00175968"/>
    <w:rsid w:val="001759FD"/>
    <w:rsid w:val="00175A3F"/>
    <w:rsid w:val="001761B0"/>
    <w:rsid w:val="0017632C"/>
    <w:rsid w:val="0017653F"/>
    <w:rsid w:val="00176691"/>
    <w:rsid w:val="00176B91"/>
    <w:rsid w:val="00177000"/>
    <w:rsid w:val="00177125"/>
    <w:rsid w:val="001772B9"/>
    <w:rsid w:val="00177434"/>
    <w:rsid w:val="001777C8"/>
    <w:rsid w:val="00177A5C"/>
    <w:rsid w:val="00177AC6"/>
    <w:rsid w:val="00177F9A"/>
    <w:rsid w:val="00177FB5"/>
    <w:rsid w:val="00180027"/>
    <w:rsid w:val="0018015C"/>
    <w:rsid w:val="001804FD"/>
    <w:rsid w:val="00180525"/>
    <w:rsid w:val="00180544"/>
    <w:rsid w:val="0018060E"/>
    <w:rsid w:val="001809D3"/>
    <w:rsid w:val="00180C28"/>
    <w:rsid w:val="001811A2"/>
    <w:rsid w:val="00181318"/>
    <w:rsid w:val="00181497"/>
    <w:rsid w:val="001815E8"/>
    <w:rsid w:val="00181783"/>
    <w:rsid w:val="001818F1"/>
    <w:rsid w:val="001818F4"/>
    <w:rsid w:val="00181950"/>
    <w:rsid w:val="00181BAC"/>
    <w:rsid w:val="0018220A"/>
    <w:rsid w:val="0018221D"/>
    <w:rsid w:val="00182630"/>
    <w:rsid w:val="00182741"/>
    <w:rsid w:val="00182D24"/>
    <w:rsid w:val="0018301A"/>
    <w:rsid w:val="0018312D"/>
    <w:rsid w:val="00183404"/>
    <w:rsid w:val="0018340E"/>
    <w:rsid w:val="001834F6"/>
    <w:rsid w:val="0018368A"/>
    <w:rsid w:val="00183726"/>
    <w:rsid w:val="00184215"/>
    <w:rsid w:val="0018425C"/>
    <w:rsid w:val="0018445A"/>
    <w:rsid w:val="001844E3"/>
    <w:rsid w:val="00184593"/>
    <w:rsid w:val="00184760"/>
    <w:rsid w:val="001847A4"/>
    <w:rsid w:val="00184E15"/>
    <w:rsid w:val="00185550"/>
    <w:rsid w:val="001856C2"/>
    <w:rsid w:val="0018587E"/>
    <w:rsid w:val="00185A3B"/>
    <w:rsid w:val="00185AAE"/>
    <w:rsid w:val="00185F72"/>
    <w:rsid w:val="001868CC"/>
    <w:rsid w:val="00186ADF"/>
    <w:rsid w:val="00186BCE"/>
    <w:rsid w:val="0018701C"/>
    <w:rsid w:val="00187132"/>
    <w:rsid w:val="0018779C"/>
    <w:rsid w:val="0018796D"/>
    <w:rsid w:val="0018799C"/>
    <w:rsid w:val="00187E42"/>
    <w:rsid w:val="0019001B"/>
    <w:rsid w:val="00190094"/>
    <w:rsid w:val="001900F8"/>
    <w:rsid w:val="001900F9"/>
    <w:rsid w:val="0019077F"/>
    <w:rsid w:val="00190859"/>
    <w:rsid w:val="00190864"/>
    <w:rsid w:val="001908B5"/>
    <w:rsid w:val="00190AB1"/>
    <w:rsid w:val="00190B2A"/>
    <w:rsid w:val="00190C02"/>
    <w:rsid w:val="00191743"/>
    <w:rsid w:val="001918A2"/>
    <w:rsid w:val="00191CDE"/>
    <w:rsid w:val="00191EE3"/>
    <w:rsid w:val="00191FBE"/>
    <w:rsid w:val="00191FC6"/>
    <w:rsid w:val="0019229A"/>
    <w:rsid w:val="001922CD"/>
    <w:rsid w:val="001923D1"/>
    <w:rsid w:val="00192427"/>
    <w:rsid w:val="0019295E"/>
    <w:rsid w:val="00192F7F"/>
    <w:rsid w:val="00193063"/>
    <w:rsid w:val="0019318F"/>
    <w:rsid w:val="00193398"/>
    <w:rsid w:val="00193561"/>
    <w:rsid w:val="001935FC"/>
    <w:rsid w:val="001939B5"/>
    <w:rsid w:val="00193A0A"/>
    <w:rsid w:val="001940FA"/>
    <w:rsid w:val="00194112"/>
    <w:rsid w:val="001947C5"/>
    <w:rsid w:val="00194B92"/>
    <w:rsid w:val="0019515B"/>
    <w:rsid w:val="001958AA"/>
    <w:rsid w:val="00195919"/>
    <w:rsid w:val="00195C5C"/>
    <w:rsid w:val="00196236"/>
    <w:rsid w:val="00196797"/>
    <w:rsid w:val="00196B59"/>
    <w:rsid w:val="00196BD7"/>
    <w:rsid w:val="00196E45"/>
    <w:rsid w:val="00197435"/>
    <w:rsid w:val="00197594"/>
    <w:rsid w:val="00197739"/>
    <w:rsid w:val="001A0183"/>
    <w:rsid w:val="001A03E9"/>
    <w:rsid w:val="001A0532"/>
    <w:rsid w:val="001A0552"/>
    <w:rsid w:val="001A07DD"/>
    <w:rsid w:val="001A086F"/>
    <w:rsid w:val="001A0B9C"/>
    <w:rsid w:val="001A0BB4"/>
    <w:rsid w:val="001A0C52"/>
    <w:rsid w:val="001A0C9D"/>
    <w:rsid w:val="001A0CEE"/>
    <w:rsid w:val="001A0DE4"/>
    <w:rsid w:val="001A0E55"/>
    <w:rsid w:val="001A0EC6"/>
    <w:rsid w:val="001A14DB"/>
    <w:rsid w:val="001A19E7"/>
    <w:rsid w:val="001A1EDE"/>
    <w:rsid w:val="001A200D"/>
    <w:rsid w:val="001A23AD"/>
    <w:rsid w:val="001A26CF"/>
    <w:rsid w:val="001A2C0B"/>
    <w:rsid w:val="001A2F5F"/>
    <w:rsid w:val="001A3617"/>
    <w:rsid w:val="001A375D"/>
    <w:rsid w:val="001A3782"/>
    <w:rsid w:val="001A40F4"/>
    <w:rsid w:val="001A4414"/>
    <w:rsid w:val="001A461E"/>
    <w:rsid w:val="001A4CFE"/>
    <w:rsid w:val="001A4E5F"/>
    <w:rsid w:val="001A524C"/>
    <w:rsid w:val="001A573B"/>
    <w:rsid w:val="001A5AAD"/>
    <w:rsid w:val="001A5AFC"/>
    <w:rsid w:val="001A5FFB"/>
    <w:rsid w:val="001A601B"/>
    <w:rsid w:val="001A610B"/>
    <w:rsid w:val="001A622F"/>
    <w:rsid w:val="001A6378"/>
    <w:rsid w:val="001A6626"/>
    <w:rsid w:val="001A686C"/>
    <w:rsid w:val="001A6A47"/>
    <w:rsid w:val="001A6B71"/>
    <w:rsid w:val="001A6B81"/>
    <w:rsid w:val="001A6C36"/>
    <w:rsid w:val="001A6C44"/>
    <w:rsid w:val="001A71A2"/>
    <w:rsid w:val="001A76A4"/>
    <w:rsid w:val="001B043C"/>
    <w:rsid w:val="001B103A"/>
    <w:rsid w:val="001B14B4"/>
    <w:rsid w:val="001B1727"/>
    <w:rsid w:val="001B18ED"/>
    <w:rsid w:val="001B1AAF"/>
    <w:rsid w:val="001B1B1E"/>
    <w:rsid w:val="001B1C0A"/>
    <w:rsid w:val="001B1EA6"/>
    <w:rsid w:val="001B1F82"/>
    <w:rsid w:val="001B1FB1"/>
    <w:rsid w:val="001B2C39"/>
    <w:rsid w:val="001B2DE2"/>
    <w:rsid w:val="001B3000"/>
    <w:rsid w:val="001B34F8"/>
    <w:rsid w:val="001B367F"/>
    <w:rsid w:val="001B4558"/>
    <w:rsid w:val="001B4D78"/>
    <w:rsid w:val="001B50B3"/>
    <w:rsid w:val="001B5153"/>
    <w:rsid w:val="001B5201"/>
    <w:rsid w:val="001B5384"/>
    <w:rsid w:val="001B593F"/>
    <w:rsid w:val="001B6580"/>
    <w:rsid w:val="001B6782"/>
    <w:rsid w:val="001B68FC"/>
    <w:rsid w:val="001B6A85"/>
    <w:rsid w:val="001B6CB4"/>
    <w:rsid w:val="001B6FA6"/>
    <w:rsid w:val="001B7085"/>
    <w:rsid w:val="001B7209"/>
    <w:rsid w:val="001B7296"/>
    <w:rsid w:val="001B7536"/>
    <w:rsid w:val="001B75AE"/>
    <w:rsid w:val="001B76BB"/>
    <w:rsid w:val="001B7738"/>
    <w:rsid w:val="001B7DFF"/>
    <w:rsid w:val="001B7F14"/>
    <w:rsid w:val="001C026B"/>
    <w:rsid w:val="001C0638"/>
    <w:rsid w:val="001C0838"/>
    <w:rsid w:val="001C0B5F"/>
    <w:rsid w:val="001C0C4E"/>
    <w:rsid w:val="001C0E36"/>
    <w:rsid w:val="001C0EED"/>
    <w:rsid w:val="001C0F09"/>
    <w:rsid w:val="001C12FC"/>
    <w:rsid w:val="001C15DD"/>
    <w:rsid w:val="001C15F6"/>
    <w:rsid w:val="001C1733"/>
    <w:rsid w:val="001C1A12"/>
    <w:rsid w:val="001C1C37"/>
    <w:rsid w:val="001C1CA8"/>
    <w:rsid w:val="001C2035"/>
    <w:rsid w:val="001C23DC"/>
    <w:rsid w:val="001C25F9"/>
    <w:rsid w:val="001C2850"/>
    <w:rsid w:val="001C2AF1"/>
    <w:rsid w:val="001C2C21"/>
    <w:rsid w:val="001C2F85"/>
    <w:rsid w:val="001C302D"/>
    <w:rsid w:val="001C3032"/>
    <w:rsid w:val="001C3DFA"/>
    <w:rsid w:val="001C3E51"/>
    <w:rsid w:val="001C43CD"/>
    <w:rsid w:val="001C454E"/>
    <w:rsid w:val="001C46DE"/>
    <w:rsid w:val="001C4A72"/>
    <w:rsid w:val="001C4B9B"/>
    <w:rsid w:val="001C4CA5"/>
    <w:rsid w:val="001C4E8F"/>
    <w:rsid w:val="001C4EB7"/>
    <w:rsid w:val="001C4FB4"/>
    <w:rsid w:val="001C51C5"/>
    <w:rsid w:val="001C54C5"/>
    <w:rsid w:val="001C5542"/>
    <w:rsid w:val="001C5C78"/>
    <w:rsid w:val="001C5CB4"/>
    <w:rsid w:val="001C6121"/>
    <w:rsid w:val="001C619B"/>
    <w:rsid w:val="001C640B"/>
    <w:rsid w:val="001C66AD"/>
    <w:rsid w:val="001C6736"/>
    <w:rsid w:val="001C67F7"/>
    <w:rsid w:val="001C6BDE"/>
    <w:rsid w:val="001C6F52"/>
    <w:rsid w:val="001C6FE7"/>
    <w:rsid w:val="001C7112"/>
    <w:rsid w:val="001C73A2"/>
    <w:rsid w:val="001C7459"/>
    <w:rsid w:val="001C74B6"/>
    <w:rsid w:val="001C774E"/>
    <w:rsid w:val="001C779B"/>
    <w:rsid w:val="001C7861"/>
    <w:rsid w:val="001C7B90"/>
    <w:rsid w:val="001C7D0F"/>
    <w:rsid w:val="001C7DA8"/>
    <w:rsid w:val="001C7E3B"/>
    <w:rsid w:val="001D010B"/>
    <w:rsid w:val="001D0672"/>
    <w:rsid w:val="001D08CE"/>
    <w:rsid w:val="001D0B31"/>
    <w:rsid w:val="001D0CA5"/>
    <w:rsid w:val="001D0EB3"/>
    <w:rsid w:val="001D1152"/>
    <w:rsid w:val="001D1165"/>
    <w:rsid w:val="001D11FC"/>
    <w:rsid w:val="001D135D"/>
    <w:rsid w:val="001D1529"/>
    <w:rsid w:val="001D1716"/>
    <w:rsid w:val="001D17C0"/>
    <w:rsid w:val="001D1B55"/>
    <w:rsid w:val="001D1B6E"/>
    <w:rsid w:val="001D1CB0"/>
    <w:rsid w:val="001D1F6D"/>
    <w:rsid w:val="001D220F"/>
    <w:rsid w:val="001D2338"/>
    <w:rsid w:val="001D24EB"/>
    <w:rsid w:val="001D24EC"/>
    <w:rsid w:val="001D26CF"/>
    <w:rsid w:val="001D27F5"/>
    <w:rsid w:val="001D2831"/>
    <w:rsid w:val="001D295E"/>
    <w:rsid w:val="001D2A36"/>
    <w:rsid w:val="001D2CA1"/>
    <w:rsid w:val="001D2CD4"/>
    <w:rsid w:val="001D2EBA"/>
    <w:rsid w:val="001D2ECD"/>
    <w:rsid w:val="001D2FA7"/>
    <w:rsid w:val="001D3388"/>
    <w:rsid w:val="001D3502"/>
    <w:rsid w:val="001D3AF2"/>
    <w:rsid w:val="001D3B28"/>
    <w:rsid w:val="001D3BC9"/>
    <w:rsid w:val="001D3E7B"/>
    <w:rsid w:val="001D40D3"/>
    <w:rsid w:val="001D4201"/>
    <w:rsid w:val="001D4436"/>
    <w:rsid w:val="001D463B"/>
    <w:rsid w:val="001D4B76"/>
    <w:rsid w:val="001D4C26"/>
    <w:rsid w:val="001D4C3A"/>
    <w:rsid w:val="001D4D6A"/>
    <w:rsid w:val="001D509F"/>
    <w:rsid w:val="001D5A78"/>
    <w:rsid w:val="001D5BA4"/>
    <w:rsid w:val="001D5C0D"/>
    <w:rsid w:val="001D5EB7"/>
    <w:rsid w:val="001D62D8"/>
    <w:rsid w:val="001D6470"/>
    <w:rsid w:val="001D677B"/>
    <w:rsid w:val="001D6AE1"/>
    <w:rsid w:val="001D6CB4"/>
    <w:rsid w:val="001D6F46"/>
    <w:rsid w:val="001D6F60"/>
    <w:rsid w:val="001D71D9"/>
    <w:rsid w:val="001D73B9"/>
    <w:rsid w:val="001D7484"/>
    <w:rsid w:val="001D76C9"/>
    <w:rsid w:val="001D79C9"/>
    <w:rsid w:val="001D7E25"/>
    <w:rsid w:val="001D7E7E"/>
    <w:rsid w:val="001D7EBE"/>
    <w:rsid w:val="001E0111"/>
    <w:rsid w:val="001E038D"/>
    <w:rsid w:val="001E0998"/>
    <w:rsid w:val="001E0C2D"/>
    <w:rsid w:val="001E16D9"/>
    <w:rsid w:val="001E179F"/>
    <w:rsid w:val="001E17EE"/>
    <w:rsid w:val="001E190E"/>
    <w:rsid w:val="001E1A40"/>
    <w:rsid w:val="001E1CDD"/>
    <w:rsid w:val="001E1CED"/>
    <w:rsid w:val="001E1D1B"/>
    <w:rsid w:val="001E2425"/>
    <w:rsid w:val="001E26CB"/>
    <w:rsid w:val="001E26F3"/>
    <w:rsid w:val="001E32DC"/>
    <w:rsid w:val="001E3478"/>
    <w:rsid w:val="001E36ED"/>
    <w:rsid w:val="001E3733"/>
    <w:rsid w:val="001E3808"/>
    <w:rsid w:val="001E3A91"/>
    <w:rsid w:val="001E3DD0"/>
    <w:rsid w:val="001E3E72"/>
    <w:rsid w:val="001E3F26"/>
    <w:rsid w:val="001E412F"/>
    <w:rsid w:val="001E44C3"/>
    <w:rsid w:val="001E4524"/>
    <w:rsid w:val="001E4719"/>
    <w:rsid w:val="001E48B3"/>
    <w:rsid w:val="001E4DDA"/>
    <w:rsid w:val="001E5283"/>
    <w:rsid w:val="001E5416"/>
    <w:rsid w:val="001E5B68"/>
    <w:rsid w:val="001E5C74"/>
    <w:rsid w:val="001E6107"/>
    <w:rsid w:val="001E67AA"/>
    <w:rsid w:val="001E6E71"/>
    <w:rsid w:val="001E72EF"/>
    <w:rsid w:val="001E73D2"/>
    <w:rsid w:val="001E740D"/>
    <w:rsid w:val="001E75BE"/>
    <w:rsid w:val="001E7714"/>
    <w:rsid w:val="001E787A"/>
    <w:rsid w:val="001E7C21"/>
    <w:rsid w:val="001E7E39"/>
    <w:rsid w:val="001F0077"/>
    <w:rsid w:val="001F0459"/>
    <w:rsid w:val="001F0895"/>
    <w:rsid w:val="001F0D1F"/>
    <w:rsid w:val="001F0F46"/>
    <w:rsid w:val="001F100F"/>
    <w:rsid w:val="001F1042"/>
    <w:rsid w:val="001F104A"/>
    <w:rsid w:val="001F14F3"/>
    <w:rsid w:val="001F15FC"/>
    <w:rsid w:val="001F17C4"/>
    <w:rsid w:val="001F1E71"/>
    <w:rsid w:val="001F2531"/>
    <w:rsid w:val="001F302D"/>
    <w:rsid w:val="001F33FC"/>
    <w:rsid w:val="001F3500"/>
    <w:rsid w:val="001F39DA"/>
    <w:rsid w:val="001F3B7A"/>
    <w:rsid w:val="001F3BF6"/>
    <w:rsid w:val="001F3E6A"/>
    <w:rsid w:val="001F3EFD"/>
    <w:rsid w:val="001F4155"/>
    <w:rsid w:val="001F42FD"/>
    <w:rsid w:val="001F448D"/>
    <w:rsid w:val="001F47BF"/>
    <w:rsid w:val="001F47D4"/>
    <w:rsid w:val="001F4859"/>
    <w:rsid w:val="001F49AE"/>
    <w:rsid w:val="001F4EC8"/>
    <w:rsid w:val="001F5111"/>
    <w:rsid w:val="001F5416"/>
    <w:rsid w:val="001F57D6"/>
    <w:rsid w:val="001F5A6C"/>
    <w:rsid w:val="001F5A72"/>
    <w:rsid w:val="001F5B75"/>
    <w:rsid w:val="001F5C69"/>
    <w:rsid w:val="001F62DD"/>
    <w:rsid w:val="001F6404"/>
    <w:rsid w:val="001F66FE"/>
    <w:rsid w:val="001F671B"/>
    <w:rsid w:val="001F78BF"/>
    <w:rsid w:val="001F7AD6"/>
    <w:rsid w:val="001F7DF8"/>
    <w:rsid w:val="001F7EE2"/>
    <w:rsid w:val="0020070D"/>
    <w:rsid w:val="002008A9"/>
    <w:rsid w:val="00200C0A"/>
    <w:rsid w:val="00201181"/>
    <w:rsid w:val="00201380"/>
    <w:rsid w:val="00201580"/>
    <w:rsid w:val="00201BDC"/>
    <w:rsid w:val="00201D08"/>
    <w:rsid w:val="00201E34"/>
    <w:rsid w:val="00201F6C"/>
    <w:rsid w:val="00202064"/>
    <w:rsid w:val="002023A2"/>
    <w:rsid w:val="0020266D"/>
    <w:rsid w:val="00202837"/>
    <w:rsid w:val="00202A6B"/>
    <w:rsid w:val="00202F57"/>
    <w:rsid w:val="002037AD"/>
    <w:rsid w:val="00203D41"/>
    <w:rsid w:val="00203D4A"/>
    <w:rsid w:val="00203E51"/>
    <w:rsid w:val="00203E78"/>
    <w:rsid w:val="00203EC8"/>
    <w:rsid w:val="0020430E"/>
    <w:rsid w:val="002043AD"/>
    <w:rsid w:val="00204581"/>
    <w:rsid w:val="00204C07"/>
    <w:rsid w:val="00204CF0"/>
    <w:rsid w:val="00204E39"/>
    <w:rsid w:val="0020507C"/>
    <w:rsid w:val="002050E7"/>
    <w:rsid w:val="00205224"/>
    <w:rsid w:val="00205557"/>
    <w:rsid w:val="00205758"/>
    <w:rsid w:val="00205A91"/>
    <w:rsid w:val="00205B08"/>
    <w:rsid w:val="00205CE9"/>
    <w:rsid w:val="00205D2B"/>
    <w:rsid w:val="0020612A"/>
    <w:rsid w:val="002064E4"/>
    <w:rsid w:val="0020674E"/>
    <w:rsid w:val="00206B9F"/>
    <w:rsid w:val="00206BB6"/>
    <w:rsid w:val="00206FD6"/>
    <w:rsid w:val="0020725F"/>
    <w:rsid w:val="00207654"/>
    <w:rsid w:val="002076A6"/>
    <w:rsid w:val="002078BD"/>
    <w:rsid w:val="0020797B"/>
    <w:rsid w:val="00207BDA"/>
    <w:rsid w:val="00207D5D"/>
    <w:rsid w:val="00207DBA"/>
    <w:rsid w:val="00210123"/>
    <w:rsid w:val="0021020B"/>
    <w:rsid w:val="002104DB"/>
    <w:rsid w:val="00210618"/>
    <w:rsid w:val="00210704"/>
    <w:rsid w:val="00210B98"/>
    <w:rsid w:val="00210D85"/>
    <w:rsid w:val="00210DE4"/>
    <w:rsid w:val="00210E56"/>
    <w:rsid w:val="0021100E"/>
    <w:rsid w:val="00211408"/>
    <w:rsid w:val="0021154B"/>
    <w:rsid w:val="0021155F"/>
    <w:rsid w:val="00211820"/>
    <w:rsid w:val="0021189F"/>
    <w:rsid w:val="00211929"/>
    <w:rsid w:val="0021203B"/>
    <w:rsid w:val="002120E8"/>
    <w:rsid w:val="00212103"/>
    <w:rsid w:val="002122FC"/>
    <w:rsid w:val="00212573"/>
    <w:rsid w:val="00212B80"/>
    <w:rsid w:val="00212C88"/>
    <w:rsid w:val="002131BA"/>
    <w:rsid w:val="002133F1"/>
    <w:rsid w:val="00213907"/>
    <w:rsid w:val="00213CC9"/>
    <w:rsid w:val="00213EDE"/>
    <w:rsid w:val="00214689"/>
    <w:rsid w:val="00214786"/>
    <w:rsid w:val="00214C82"/>
    <w:rsid w:val="00214D24"/>
    <w:rsid w:val="00214DFA"/>
    <w:rsid w:val="002156F3"/>
    <w:rsid w:val="0021584F"/>
    <w:rsid w:val="0021588B"/>
    <w:rsid w:val="00215AB9"/>
    <w:rsid w:val="00215C98"/>
    <w:rsid w:val="00215F0E"/>
    <w:rsid w:val="00216015"/>
    <w:rsid w:val="00216033"/>
    <w:rsid w:val="00216088"/>
    <w:rsid w:val="002162F4"/>
    <w:rsid w:val="002162F9"/>
    <w:rsid w:val="00216B22"/>
    <w:rsid w:val="00217651"/>
    <w:rsid w:val="00217930"/>
    <w:rsid w:val="00217A79"/>
    <w:rsid w:val="00220CC6"/>
    <w:rsid w:val="00220CF6"/>
    <w:rsid w:val="00220E34"/>
    <w:rsid w:val="00220E56"/>
    <w:rsid w:val="00220F40"/>
    <w:rsid w:val="00220F93"/>
    <w:rsid w:val="0022103B"/>
    <w:rsid w:val="0022106E"/>
    <w:rsid w:val="00221274"/>
    <w:rsid w:val="00221F4E"/>
    <w:rsid w:val="00221F72"/>
    <w:rsid w:val="0022215B"/>
    <w:rsid w:val="00222268"/>
    <w:rsid w:val="002224A4"/>
    <w:rsid w:val="00222A5D"/>
    <w:rsid w:val="00222A66"/>
    <w:rsid w:val="00222B0A"/>
    <w:rsid w:val="00222BB3"/>
    <w:rsid w:val="00222BE3"/>
    <w:rsid w:val="00223209"/>
    <w:rsid w:val="00223347"/>
    <w:rsid w:val="0022361A"/>
    <w:rsid w:val="00223AE3"/>
    <w:rsid w:val="00223B63"/>
    <w:rsid w:val="00223E10"/>
    <w:rsid w:val="00223FF8"/>
    <w:rsid w:val="00224442"/>
    <w:rsid w:val="0022470C"/>
    <w:rsid w:val="00224741"/>
    <w:rsid w:val="0022487D"/>
    <w:rsid w:val="00224C10"/>
    <w:rsid w:val="00225396"/>
    <w:rsid w:val="0022553F"/>
    <w:rsid w:val="002255D2"/>
    <w:rsid w:val="00225628"/>
    <w:rsid w:val="0022579E"/>
    <w:rsid w:val="00225869"/>
    <w:rsid w:val="00225A45"/>
    <w:rsid w:val="002260B7"/>
    <w:rsid w:val="002260C2"/>
    <w:rsid w:val="002261A6"/>
    <w:rsid w:val="0022629C"/>
    <w:rsid w:val="00227497"/>
    <w:rsid w:val="002279E2"/>
    <w:rsid w:val="00227D05"/>
    <w:rsid w:val="00227FBF"/>
    <w:rsid w:val="002300FC"/>
    <w:rsid w:val="0023074D"/>
    <w:rsid w:val="002309D6"/>
    <w:rsid w:val="00230B5C"/>
    <w:rsid w:val="0023147F"/>
    <w:rsid w:val="002316EE"/>
    <w:rsid w:val="0023198C"/>
    <w:rsid w:val="00231C3F"/>
    <w:rsid w:val="00232261"/>
    <w:rsid w:val="0023298A"/>
    <w:rsid w:val="00232A64"/>
    <w:rsid w:val="00232DDE"/>
    <w:rsid w:val="002330F8"/>
    <w:rsid w:val="00233422"/>
    <w:rsid w:val="00233908"/>
    <w:rsid w:val="00233A77"/>
    <w:rsid w:val="00233A8C"/>
    <w:rsid w:val="00233C50"/>
    <w:rsid w:val="00234027"/>
    <w:rsid w:val="002341BA"/>
    <w:rsid w:val="0023449A"/>
    <w:rsid w:val="002349FE"/>
    <w:rsid w:val="00234C0B"/>
    <w:rsid w:val="00234E62"/>
    <w:rsid w:val="00235505"/>
    <w:rsid w:val="002357B9"/>
    <w:rsid w:val="0023592A"/>
    <w:rsid w:val="00235F19"/>
    <w:rsid w:val="002362F7"/>
    <w:rsid w:val="0023643C"/>
    <w:rsid w:val="00236549"/>
    <w:rsid w:val="00236861"/>
    <w:rsid w:val="00236927"/>
    <w:rsid w:val="002370CA"/>
    <w:rsid w:val="002371B9"/>
    <w:rsid w:val="0023752F"/>
    <w:rsid w:val="0023773F"/>
    <w:rsid w:val="00237964"/>
    <w:rsid w:val="00237D9C"/>
    <w:rsid w:val="00237DDC"/>
    <w:rsid w:val="00237E34"/>
    <w:rsid w:val="002404ED"/>
    <w:rsid w:val="002408F6"/>
    <w:rsid w:val="00240C36"/>
    <w:rsid w:val="00240EB5"/>
    <w:rsid w:val="0024115E"/>
    <w:rsid w:val="002411A9"/>
    <w:rsid w:val="002412C9"/>
    <w:rsid w:val="002415EC"/>
    <w:rsid w:val="00241604"/>
    <w:rsid w:val="002418C2"/>
    <w:rsid w:val="00241AE2"/>
    <w:rsid w:val="00241EA4"/>
    <w:rsid w:val="00241FA2"/>
    <w:rsid w:val="00241FAC"/>
    <w:rsid w:val="0024207E"/>
    <w:rsid w:val="0024208B"/>
    <w:rsid w:val="002425E7"/>
    <w:rsid w:val="002427A6"/>
    <w:rsid w:val="00242884"/>
    <w:rsid w:val="00242CE1"/>
    <w:rsid w:val="00242F6D"/>
    <w:rsid w:val="00242FE6"/>
    <w:rsid w:val="002430DF"/>
    <w:rsid w:val="0024326C"/>
    <w:rsid w:val="00243355"/>
    <w:rsid w:val="00243898"/>
    <w:rsid w:val="00243A01"/>
    <w:rsid w:val="002442F8"/>
    <w:rsid w:val="00244C5D"/>
    <w:rsid w:val="00244CC9"/>
    <w:rsid w:val="00244DA9"/>
    <w:rsid w:val="00244DC1"/>
    <w:rsid w:val="002450B5"/>
    <w:rsid w:val="002450D5"/>
    <w:rsid w:val="0024590C"/>
    <w:rsid w:val="0024596C"/>
    <w:rsid w:val="00245F70"/>
    <w:rsid w:val="002462DA"/>
    <w:rsid w:val="002465FB"/>
    <w:rsid w:val="00246F82"/>
    <w:rsid w:val="0024718B"/>
    <w:rsid w:val="002475BA"/>
    <w:rsid w:val="00247D0E"/>
    <w:rsid w:val="00247E03"/>
    <w:rsid w:val="00247E42"/>
    <w:rsid w:val="00250007"/>
    <w:rsid w:val="00250474"/>
    <w:rsid w:val="002505AC"/>
    <w:rsid w:val="00250764"/>
    <w:rsid w:val="002508C8"/>
    <w:rsid w:val="002509F6"/>
    <w:rsid w:val="00250AC9"/>
    <w:rsid w:val="00250BAF"/>
    <w:rsid w:val="00250BF6"/>
    <w:rsid w:val="00250CAE"/>
    <w:rsid w:val="00251990"/>
    <w:rsid w:val="00251EA5"/>
    <w:rsid w:val="0025202E"/>
    <w:rsid w:val="002523E6"/>
    <w:rsid w:val="00252490"/>
    <w:rsid w:val="00252955"/>
    <w:rsid w:val="00252A83"/>
    <w:rsid w:val="00252DDA"/>
    <w:rsid w:val="00252F8F"/>
    <w:rsid w:val="002532C2"/>
    <w:rsid w:val="0025331C"/>
    <w:rsid w:val="00253405"/>
    <w:rsid w:val="00253618"/>
    <w:rsid w:val="002538C6"/>
    <w:rsid w:val="00253D0D"/>
    <w:rsid w:val="00253D61"/>
    <w:rsid w:val="00253FA9"/>
    <w:rsid w:val="0025452E"/>
    <w:rsid w:val="002545C6"/>
    <w:rsid w:val="00254848"/>
    <w:rsid w:val="00254942"/>
    <w:rsid w:val="00254A64"/>
    <w:rsid w:val="00254C03"/>
    <w:rsid w:val="00254C46"/>
    <w:rsid w:val="00254E64"/>
    <w:rsid w:val="002552A2"/>
    <w:rsid w:val="002557D3"/>
    <w:rsid w:val="002557E8"/>
    <w:rsid w:val="00255F95"/>
    <w:rsid w:val="002561B7"/>
    <w:rsid w:val="0025677B"/>
    <w:rsid w:val="00256DC7"/>
    <w:rsid w:val="00256EAC"/>
    <w:rsid w:val="0025702F"/>
    <w:rsid w:val="00257118"/>
    <w:rsid w:val="002574FB"/>
    <w:rsid w:val="0025750D"/>
    <w:rsid w:val="00257C60"/>
    <w:rsid w:val="00257F49"/>
    <w:rsid w:val="00260187"/>
    <w:rsid w:val="002603C1"/>
    <w:rsid w:val="00260446"/>
    <w:rsid w:val="002604BC"/>
    <w:rsid w:val="002604FA"/>
    <w:rsid w:val="0026065C"/>
    <w:rsid w:val="002606CD"/>
    <w:rsid w:val="0026075F"/>
    <w:rsid w:val="00260EA9"/>
    <w:rsid w:val="00260EF0"/>
    <w:rsid w:val="0026140B"/>
    <w:rsid w:val="002616E6"/>
    <w:rsid w:val="00261A28"/>
    <w:rsid w:val="00261BB9"/>
    <w:rsid w:val="0026237B"/>
    <w:rsid w:val="002627E2"/>
    <w:rsid w:val="00262BFE"/>
    <w:rsid w:val="00262C42"/>
    <w:rsid w:val="0026308F"/>
    <w:rsid w:val="0026329D"/>
    <w:rsid w:val="002636BA"/>
    <w:rsid w:val="0026386B"/>
    <w:rsid w:val="00263989"/>
    <w:rsid w:val="00263A1D"/>
    <w:rsid w:val="00263E83"/>
    <w:rsid w:val="002640AE"/>
    <w:rsid w:val="00264A61"/>
    <w:rsid w:val="00264A6E"/>
    <w:rsid w:val="00264D50"/>
    <w:rsid w:val="00264DD5"/>
    <w:rsid w:val="00265174"/>
    <w:rsid w:val="0026522A"/>
    <w:rsid w:val="002652D0"/>
    <w:rsid w:val="00265430"/>
    <w:rsid w:val="002659E0"/>
    <w:rsid w:val="00265AF0"/>
    <w:rsid w:val="00265DFB"/>
    <w:rsid w:val="00266176"/>
    <w:rsid w:val="00266851"/>
    <w:rsid w:val="002669DC"/>
    <w:rsid w:val="00266B25"/>
    <w:rsid w:val="00266DBD"/>
    <w:rsid w:val="00266E01"/>
    <w:rsid w:val="00267193"/>
    <w:rsid w:val="00267200"/>
    <w:rsid w:val="00267815"/>
    <w:rsid w:val="002678E4"/>
    <w:rsid w:val="00267B63"/>
    <w:rsid w:val="00267D5F"/>
    <w:rsid w:val="00270031"/>
    <w:rsid w:val="00270AA2"/>
    <w:rsid w:val="00270F14"/>
    <w:rsid w:val="00271267"/>
    <w:rsid w:val="0027162D"/>
    <w:rsid w:val="0027184C"/>
    <w:rsid w:val="00271985"/>
    <w:rsid w:val="002719E0"/>
    <w:rsid w:val="00271B58"/>
    <w:rsid w:val="00271B7C"/>
    <w:rsid w:val="00272122"/>
    <w:rsid w:val="00272151"/>
    <w:rsid w:val="002722E5"/>
    <w:rsid w:val="00272805"/>
    <w:rsid w:val="00272B73"/>
    <w:rsid w:val="00272D0E"/>
    <w:rsid w:val="00272DB6"/>
    <w:rsid w:val="002732C8"/>
    <w:rsid w:val="0027390A"/>
    <w:rsid w:val="00273CA8"/>
    <w:rsid w:val="00273E75"/>
    <w:rsid w:val="00273E89"/>
    <w:rsid w:val="00274118"/>
    <w:rsid w:val="00274477"/>
    <w:rsid w:val="00274778"/>
    <w:rsid w:val="00274955"/>
    <w:rsid w:val="00275706"/>
    <w:rsid w:val="002757C9"/>
    <w:rsid w:val="00275DD8"/>
    <w:rsid w:val="00275E3E"/>
    <w:rsid w:val="00276256"/>
    <w:rsid w:val="00276AED"/>
    <w:rsid w:val="00276B06"/>
    <w:rsid w:val="00276B25"/>
    <w:rsid w:val="0027704A"/>
    <w:rsid w:val="00277194"/>
    <w:rsid w:val="0027725E"/>
    <w:rsid w:val="00277264"/>
    <w:rsid w:val="002773F8"/>
    <w:rsid w:val="0027750E"/>
    <w:rsid w:val="002775BC"/>
    <w:rsid w:val="002776F6"/>
    <w:rsid w:val="0027770B"/>
    <w:rsid w:val="002778B1"/>
    <w:rsid w:val="0027799B"/>
    <w:rsid w:val="00277AAF"/>
    <w:rsid w:val="0028006E"/>
    <w:rsid w:val="00280477"/>
    <w:rsid w:val="002805A1"/>
    <w:rsid w:val="002806A5"/>
    <w:rsid w:val="00280AA1"/>
    <w:rsid w:val="00280F36"/>
    <w:rsid w:val="0028123A"/>
    <w:rsid w:val="00281478"/>
    <w:rsid w:val="00281674"/>
    <w:rsid w:val="0028172F"/>
    <w:rsid w:val="00282239"/>
    <w:rsid w:val="002822CD"/>
    <w:rsid w:val="00282440"/>
    <w:rsid w:val="0028248F"/>
    <w:rsid w:val="00282ED1"/>
    <w:rsid w:val="00282F75"/>
    <w:rsid w:val="0028347A"/>
    <w:rsid w:val="0028378E"/>
    <w:rsid w:val="0028392A"/>
    <w:rsid w:val="00283B7C"/>
    <w:rsid w:val="00283FE7"/>
    <w:rsid w:val="00284039"/>
    <w:rsid w:val="00284057"/>
    <w:rsid w:val="00284061"/>
    <w:rsid w:val="00284243"/>
    <w:rsid w:val="00284454"/>
    <w:rsid w:val="00284902"/>
    <w:rsid w:val="00285128"/>
    <w:rsid w:val="00285288"/>
    <w:rsid w:val="002855FC"/>
    <w:rsid w:val="0028571D"/>
    <w:rsid w:val="002857AD"/>
    <w:rsid w:val="00285D03"/>
    <w:rsid w:val="00285E89"/>
    <w:rsid w:val="00286498"/>
    <w:rsid w:val="002864B6"/>
    <w:rsid w:val="002865DA"/>
    <w:rsid w:val="00286689"/>
    <w:rsid w:val="00286BC1"/>
    <w:rsid w:val="00287093"/>
    <w:rsid w:val="0028718E"/>
    <w:rsid w:val="002871AD"/>
    <w:rsid w:val="002871D1"/>
    <w:rsid w:val="00287527"/>
    <w:rsid w:val="002876FB"/>
    <w:rsid w:val="0028781B"/>
    <w:rsid w:val="0028782F"/>
    <w:rsid w:val="002879C7"/>
    <w:rsid w:val="00287C7D"/>
    <w:rsid w:val="00287CEA"/>
    <w:rsid w:val="00287CF7"/>
    <w:rsid w:val="00287EF6"/>
    <w:rsid w:val="00290343"/>
    <w:rsid w:val="002903FF"/>
    <w:rsid w:val="00290608"/>
    <w:rsid w:val="0029071E"/>
    <w:rsid w:val="00290766"/>
    <w:rsid w:val="002907A8"/>
    <w:rsid w:val="00290C89"/>
    <w:rsid w:val="00291178"/>
    <w:rsid w:val="002919BD"/>
    <w:rsid w:val="00291A4E"/>
    <w:rsid w:val="00291C21"/>
    <w:rsid w:val="00291C8B"/>
    <w:rsid w:val="00291D3C"/>
    <w:rsid w:val="00291E99"/>
    <w:rsid w:val="002922BC"/>
    <w:rsid w:val="002924A0"/>
    <w:rsid w:val="002924E3"/>
    <w:rsid w:val="00292641"/>
    <w:rsid w:val="00292993"/>
    <w:rsid w:val="00292AE9"/>
    <w:rsid w:val="00292AFD"/>
    <w:rsid w:val="00292CDF"/>
    <w:rsid w:val="00292D5B"/>
    <w:rsid w:val="002932B8"/>
    <w:rsid w:val="0029370D"/>
    <w:rsid w:val="0029373F"/>
    <w:rsid w:val="00293FCB"/>
    <w:rsid w:val="002941A0"/>
    <w:rsid w:val="002941AC"/>
    <w:rsid w:val="002946B4"/>
    <w:rsid w:val="002948FC"/>
    <w:rsid w:val="00294AB3"/>
    <w:rsid w:val="00294C37"/>
    <w:rsid w:val="00294D3D"/>
    <w:rsid w:val="00294E15"/>
    <w:rsid w:val="00294ED8"/>
    <w:rsid w:val="002958FB"/>
    <w:rsid w:val="00295C57"/>
    <w:rsid w:val="00295D58"/>
    <w:rsid w:val="00296C87"/>
    <w:rsid w:val="00296D5C"/>
    <w:rsid w:val="002970E0"/>
    <w:rsid w:val="0029712A"/>
    <w:rsid w:val="0029736B"/>
    <w:rsid w:val="00297450"/>
    <w:rsid w:val="00297559"/>
    <w:rsid w:val="002979C3"/>
    <w:rsid w:val="002A0019"/>
    <w:rsid w:val="002A008D"/>
    <w:rsid w:val="002A00CC"/>
    <w:rsid w:val="002A036F"/>
    <w:rsid w:val="002A06FA"/>
    <w:rsid w:val="002A0869"/>
    <w:rsid w:val="002A0940"/>
    <w:rsid w:val="002A0A9D"/>
    <w:rsid w:val="002A0AE4"/>
    <w:rsid w:val="002A0ED7"/>
    <w:rsid w:val="002A1301"/>
    <w:rsid w:val="002A21A1"/>
    <w:rsid w:val="002A23E9"/>
    <w:rsid w:val="002A2732"/>
    <w:rsid w:val="002A282D"/>
    <w:rsid w:val="002A2977"/>
    <w:rsid w:val="002A2E45"/>
    <w:rsid w:val="002A2F62"/>
    <w:rsid w:val="002A3099"/>
    <w:rsid w:val="002A335C"/>
    <w:rsid w:val="002A393A"/>
    <w:rsid w:val="002A3BAB"/>
    <w:rsid w:val="002A3E07"/>
    <w:rsid w:val="002A3E5E"/>
    <w:rsid w:val="002A44B0"/>
    <w:rsid w:val="002A4B7C"/>
    <w:rsid w:val="002A4C48"/>
    <w:rsid w:val="002A4C99"/>
    <w:rsid w:val="002A4F01"/>
    <w:rsid w:val="002A5402"/>
    <w:rsid w:val="002A551B"/>
    <w:rsid w:val="002A5540"/>
    <w:rsid w:val="002A5AAE"/>
    <w:rsid w:val="002A5AED"/>
    <w:rsid w:val="002A5E24"/>
    <w:rsid w:val="002A6095"/>
    <w:rsid w:val="002A62A0"/>
    <w:rsid w:val="002A6A36"/>
    <w:rsid w:val="002A6AFC"/>
    <w:rsid w:val="002A6B7B"/>
    <w:rsid w:val="002A735E"/>
    <w:rsid w:val="002A7722"/>
    <w:rsid w:val="002A799A"/>
    <w:rsid w:val="002A7D31"/>
    <w:rsid w:val="002B061B"/>
    <w:rsid w:val="002B0655"/>
    <w:rsid w:val="002B06B9"/>
    <w:rsid w:val="002B09DD"/>
    <w:rsid w:val="002B0EF7"/>
    <w:rsid w:val="002B1485"/>
    <w:rsid w:val="002B157B"/>
    <w:rsid w:val="002B1791"/>
    <w:rsid w:val="002B18EF"/>
    <w:rsid w:val="002B1B41"/>
    <w:rsid w:val="002B1EB3"/>
    <w:rsid w:val="002B2192"/>
    <w:rsid w:val="002B2390"/>
    <w:rsid w:val="002B312A"/>
    <w:rsid w:val="002B312D"/>
    <w:rsid w:val="002B3319"/>
    <w:rsid w:val="002B3399"/>
    <w:rsid w:val="002B3723"/>
    <w:rsid w:val="002B3A59"/>
    <w:rsid w:val="002B3B38"/>
    <w:rsid w:val="002B3D8F"/>
    <w:rsid w:val="002B3ED8"/>
    <w:rsid w:val="002B42B6"/>
    <w:rsid w:val="002B4394"/>
    <w:rsid w:val="002B48B2"/>
    <w:rsid w:val="002B49C1"/>
    <w:rsid w:val="002B4DBF"/>
    <w:rsid w:val="002B5275"/>
    <w:rsid w:val="002B56DF"/>
    <w:rsid w:val="002B576D"/>
    <w:rsid w:val="002B5ACD"/>
    <w:rsid w:val="002B5C82"/>
    <w:rsid w:val="002B5F38"/>
    <w:rsid w:val="002B6195"/>
    <w:rsid w:val="002B632E"/>
    <w:rsid w:val="002B68AE"/>
    <w:rsid w:val="002B697B"/>
    <w:rsid w:val="002B69A4"/>
    <w:rsid w:val="002B6FFA"/>
    <w:rsid w:val="002B7280"/>
    <w:rsid w:val="002B7368"/>
    <w:rsid w:val="002B73B8"/>
    <w:rsid w:val="002B7694"/>
    <w:rsid w:val="002B78AA"/>
    <w:rsid w:val="002B7A8D"/>
    <w:rsid w:val="002B7B06"/>
    <w:rsid w:val="002B7E43"/>
    <w:rsid w:val="002B7EA1"/>
    <w:rsid w:val="002C0236"/>
    <w:rsid w:val="002C049B"/>
    <w:rsid w:val="002C06CC"/>
    <w:rsid w:val="002C07B9"/>
    <w:rsid w:val="002C086D"/>
    <w:rsid w:val="002C0DBD"/>
    <w:rsid w:val="002C0E1C"/>
    <w:rsid w:val="002C0EF8"/>
    <w:rsid w:val="002C117A"/>
    <w:rsid w:val="002C1AAE"/>
    <w:rsid w:val="002C1CFA"/>
    <w:rsid w:val="002C2394"/>
    <w:rsid w:val="002C24AF"/>
    <w:rsid w:val="002C295A"/>
    <w:rsid w:val="002C2A8F"/>
    <w:rsid w:val="002C2B19"/>
    <w:rsid w:val="002C2F92"/>
    <w:rsid w:val="002C35B0"/>
    <w:rsid w:val="002C36DC"/>
    <w:rsid w:val="002C37B8"/>
    <w:rsid w:val="002C3859"/>
    <w:rsid w:val="002C3AC4"/>
    <w:rsid w:val="002C3EDC"/>
    <w:rsid w:val="002C3F84"/>
    <w:rsid w:val="002C439D"/>
    <w:rsid w:val="002C4836"/>
    <w:rsid w:val="002C4AB3"/>
    <w:rsid w:val="002C4C5E"/>
    <w:rsid w:val="002C4FBE"/>
    <w:rsid w:val="002C54FD"/>
    <w:rsid w:val="002C57D7"/>
    <w:rsid w:val="002C58D3"/>
    <w:rsid w:val="002C5CDE"/>
    <w:rsid w:val="002C6DB7"/>
    <w:rsid w:val="002C75EA"/>
    <w:rsid w:val="002C7CAA"/>
    <w:rsid w:val="002C7DBC"/>
    <w:rsid w:val="002D04E0"/>
    <w:rsid w:val="002D0551"/>
    <w:rsid w:val="002D060C"/>
    <w:rsid w:val="002D09F7"/>
    <w:rsid w:val="002D0CC5"/>
    <w:rsid w:val="002D0DC7"/>
    <w:rsid w:val="002D0F8A"/>
    <w:rsid w:val="002D11F0"/>
    <w:rsid w:val="002D13B5"/>
    <w:rsid w:val="002D15EC"/>
    <w:rsid w:val="002D1764"/>
    <w:rsid w:val="002D181E"/>
    <w:rsid w:val="002D1AEC"/>
    <w:rsid w:val="002D1DCD"/>
    <w:rsid w:val="002D1FCE"/>
    <w:rsid w:val="002D2344"/>
    <w:rsid w:val="002D26F2"/>
    <w:rsid w:val="002D2C64"/>
    <w:rsid w:val="002D2D51"/>
    <w:rsid w:val="002D2F69"/>
    <w:rsid w:val="002D342C"/>
    <w:rsid w:val="002D34C6"/>
    <w:rsid w:val="002D36F2"/>
    <w:rsid w:val="002D3812"/>
    <w:rsid w:val="002D3831"/>
    <w:rsid w:val="002D3B23"/>
    <w:rsid w:val="002D3F70"/>
    <w:rsid w:val="002D418D"/>
    <w:rsid w:val="002D41B6"/>
    <w:rsid w:val="002D447C"/>
    <w:rsid w:val="002D4561"/>
    <w:rsid w:val="002D4743"/>
    <w:rsid w:val="002D4C7D"/>
    <w:rsid w:val="002D4E8C"/>
    <w:rsid w:val="002D5142"/>
    <w:rsid w:val="002D5221"/>
    <w:rsid w:val="002D55E6"/>
    <w:rsid w:val="002D57EC"/>
    <w:rsid w:val="002D5853"/>
    <w:rsid w:val="002D5BED"/>
    <w:rsid w:val="002D5C60"/>
    <w:rsid w:val="002D5F81"/>
    <w:rsid w:val="002D63DE"/>
    <w:rsid w:val="002D6577"/>
    <w:rsid w:val="002D6688"/>
    <w:rsid w:val="002D66F7"/>
    <w:rsid w:val="002D68F5"/>
    <w:rsid w:val="002D6A81"/>
    <w:rsid w:val="002D6FD4"/>
    <w:rsid w:val="002D7235"/>
    <w:rsid w:val="002D73F0"/>
    <w:rsid w:val="002D74BD"/>
    <w:rsid w:val="002E097F"/>
    <w:rsid w:val="002E0D28"/>
    <w:rsid w:val="002E11BC"/>
    <w:rsid w:val="002E1200"/>
    <w:rsid w:val="002E1DB7"/>
    <w:rsid w:val="002E212E"/>
    <w:rsid w:val="002E2ABB"/>
    <w:rsid w:val="002E311F"/>
    <w:rsid w:val="002E31B0"/>
    <w:rsid w:val="002E39CC"/>
    <w:rsid w:val="002E3B37"/>
    <w:rsid w:val="002E3CC1"/>
    <w:rsid w:val="002E3F4D"/>
    <w:rsid w:val="002E3F66"/>
    <w:rsid w:val="002E40AE"/>
    <w:rsid w:val="002E419B"/>
    <w:rsid w:val="002E428F"/>
    <w:rsid w:val="002E49F3"/>
    <w:rsid w:val="002E4E02"/>
    <w:rsid w:val="002E4F6B"/>
    <w:rsid w:val="002E545E"/>
    <w:rsid w:val="002E5843"/>
    <w:rsid w:val="002E5BCB"/>
    <w:rsid w:val="002E5DA6"/>
    <w:rsid w:val="002E5EE6"/>
    <w:rsid w:val="002E62FB"/>
    <w:rsid w:val="002E69E4"/>
    <w:rsid w:val="002E6B3C"/>
    <w:rsid w:val="002E6B9C"/>
    <w:rsid w:val="002E7708"/>
    <w:rsid w:val="002E77C0"/>
    <w:rsid w:val="002E79DB"/>
    <w:rsid w:val="002E79E0"/>
    <w:rsid w:val="002E7AD7"/>
    <w:rsid w:val="002E7B9B"/>
    <w:rsid w:val="002E7C03"/>
    <w:rsid w:val="002E7C8A"/>
    <w:rsid w:val="002E7C8F"/>
    <w:rsid w:val="002E7F84"/>
    <w:rsid w:val="002F051B"/>
    <w:rsid w:val="002F054E"/>
    <w:rsid w:val="002F0848"/>
    <w:rsid w:val="002F0B88"/>
    <w:rsid w:val="002F0CD8"/>
    <w:rsid w:val="002F1679"/>
    <w:rsid w:val="002F1743"/>
    <w:rsid w:val="002F1D31"/>
    <w:rsid w:val="002F2222"/>
    <w:rsid w:val="002F227B"/>
    <w:rsid w:val="002F2559"/>
    <w:rsid w:val="002F2635"/>
    <w:rsid w:val="002F26C6"/>
    <w:rsid w:val="002F2794"/>
    <w:rsid w:val="002F2BDB"/>
    <w:rsid w:val="002F2C26"/>
    <w:rsid w:val="002F2F2D"/>
    <w:rsid w:val="002F2FEF"/>
    <w:rsid w:val="002F3028"/>
    <w:rsid w:val="002F31E7"/>
    <w:rsid w:val="002F3F69"/>
    <w:rsid w:val="002F405C"/>
    <w:rsid w:val="002F4175"/>
    <w:rsid w:val="002F49E7"/>
    <w:rsid w:val="002F4B35"/>
    <w:rsid w:val="002F4DB0"/>
    <w:rsid w:val="002F4E9D"/>
    <w:rsid w:val="002F4FF2"/>
    <w:rsid w:val="002F542C"/>
    <w:rsid w:val="002F54C8"/>
    <w:rsid w:val="002F5680"/>
    <w:rsid w:val="002F56D8"/>
    <w:rsid w:val="002F5C8D"/>
    <w:rsid w:val="002F5CB6"/>
    <w:rsid w:val="002F5D4A"/>
    <w:rsid w:val="002F5D56"/>
    <w:rsid w:val="002F5DC8"/>
    <w:rsid w:val="002F616C"/>
    <w:rsid w:val="002F628C"/>
    <w:rsid w:val="002F6720"/>
    <w:rsid w:val="002F6AC8"/>
    <w:rsid w:val="002F6D7A"/>
    <w:rsid w:val="002F6E2F"/>
    <w:rsid w:val="002F709C"/>
    <w:rsid w:val="002F710A"/>
    <w:rsid w:val="002F73E0"/>
    <w:rsid w:val="002F7531"/>
    <w:rsid w:val="002F753C"/>
    <w:rsid w:val="002F7B11"/>
    <w:rsid w:val="002F7B2E"/>
    <w:rsid w:val="002F7D57"/>
    <w:rsid w:val="002F7F02"/>
    <w:rsid w:val="003000D4"/>
    <w:rsid w:val="003005DF"/>
    <w:rsid w:val="003008B5"/>
    <w:rsid w:val="0030098F"/>
    <w:rsid w:val="00300AF9"/>
    <w:rsid w:val="00300C9F"/>
    <w:rsid w:val="00300DD8"/>
    <w:rsid w:val="0030103E"/>
    <w:rsid w:val="00301142"/>
    <w:rsid w:val="003011FE"/>
    <w:rsid w:val="0030122A"/>
    <w:rsid w:val="003016BF"/>
    <w:rsid w:val="00301B5C"/>
    <w:rsid w:val="00301D55"/>
    <w:rsid w:val="00302369"/>
    <w:rsid w:val="00302B95"/>
    <w:rsid w:val="003035BE"/>
    <w:rsid w:val="003039A0"/>
    <w:rsid w:val="00304548"/>
    <w:rsid w:val="00304594"/>
    <w:rsid w:val="00304694"/>
    <w:rsid w:val="003046FE"/>
    <w:rsid w:val="003048EB"/>
    <w:rsid w:val="00304C7D"/>
    <w:rsid w:val="00305167"/>
    <w:rsid w:val="00305403"/>
    <w:rsid w:val="00305913"/>
    <w:rsid w:val="00305922"/>
    <w:rsid w:val="00305F77"/>
    <w:rsid w:val="00305FDB"/>
    <w:rsid w:val="00306451"/>
    <w:rsid w:val="00306B69"/>
    <w:rsid w:val="00307214"/>
    <w:rsid w:val="003074CD"/>
    <w:rsid w:val="003076D1"/>
    <w:rsid w:val="00307702"/>
    <w:rsid w:val="003077E3"/>
    <w:rsid w:val="00307941"/>
    <w:rsid w:val="00307A50"/>
    <w:rsid w:val="00307B26"/>
    <w:rsid w:val="00307B64"/>
    <w:rsid w:val="00307D8E"/>
    <w:rsid w:val="00307DA9"/>
    <w:rsid w:val="00307FD2"/>
    <w:rsid w:val="00310020"/>
    <w:rsid w:val="003100A4"/>
    <w:rsid w:val="00310242"/>
    <w:rsid w:val="00310A15"/>
    <w:rsid w:val="00310BA6"/>
    <w:rsid w:val="00310D6C"/>
    <w:rsid w:val="00311215"/>
    <w:rsid w:val="003112AA"/>
    <w:rsid w:val="00311406"/>
    <w:rsid w:val="003114EB"/>
    <w:rsid w:val="00311743"/>
    <w:rsid w:val="0031185F"/>
    <w:rsid w:val="00312292"/>
    <w:rsid w:val="003122DC"/>
    <w:rsid w:val="00312900"/>
    <w:rsid w:val="00312C93"/>
    <w:rsid w:val="00312FA7"/>
    <w:rsid w:val="003131BA"/>
    <w:rsid w:val="003134A0"/>
    <w:rsid w:val="003134C6"/>
    <w:rsid w:val="003137FF"/>
    <w:rsid w:val="0031381E"/>
    <w:rsid w:val="00313A3C"/>
    <w:rsid w:val="00313ACD"/>
    <w:rsid w:val="00313B9E"/>
    <w:rsid w:val="00313CCE"/>
    <w:rsid w:val="0031423D"/>
    <w:rsid w:val="00314422"/>
    <w:rsid w:val="00314512"/>
    <w:rsid w:val="00314717"/>
    <w:rsid w:val="00314DA3"/>
    <w:rsid w:val="00314DF0"/>
    <w:rsid w:val="00315297"/>
    <w:rsid w:val="0031533D"/>
    <w:rsid w:val="00315397"/>
    <w:rsid w:val="00315A8A"/>
    <w:rsid w:val="00315AFE"/>
    <w:rsid w:val="00315B39"/>
    <w:rsid w:val="00315B63"/>
    <w:rsid w:val="00315BC6"/>
    <w:rsid w:val="00315EBF"/>
    <w:rsid w:val="00316341"/>
    <w:rsid w:val="00316830"/>
    <w:rsid w:val="003169ED"/>
    <w:rsid w:val="00317103"/>
    <w:rsid w:val="00317533"/>
    <w:rsid w:val="00317F05"/>
    <w:rsid w:val="00317FE4"/>
    <w:rsid w:val="00320667"/>
    <w:rsid w:val="00320BA9"/>
    <w:rsid w:val="00320BEA"/>
    <w:rsid w:val="00320E8A"/>
    <w:rsid w:val="00320EA9"/>
    <w:rsid w:val="003212E0"/>
    <w:rsid w:val="00321B3D"/>
    <w:rsid w:val="00321D07"/>
    <w:rsid w:val="00321DB9"/>
    <w:rsid w:val="00322154"/>
    <w:rsid w:val="003222D9"/>
    <w:rsid w:val="0032231E"/>
    <w:rsid w:val="003225B3"/>
    <w:rsid w:val="003227CD"/>
    <w:rsid w:val="00322B22"/>
    <w:rsid w:val="00322B45"/>
    <w:rsid w:val="00322B9C"/>
    <w:rsid w:val="00322BDC"/>
    <w:rsid w:val="00322D8F"/>
    <w:rsid w:val="00322E2C"/>
    <w:rsid w:val="003230AB"/>
    <w:rsid w:val="0032370E"/>
    <w:rsid w:val="00323E88"/>
    <w:rsid w:val="00323EE8"/>
    <w:rsid w:val="003240D3"/>
    <w:rsid w:val="003241A9"/>
    <w:rsid w:val="0032424D"/>
    <w:rsid w:val="0032468A"/>
    <w:rsid w:val="00324A9D"/>
    <w:rsid w:val="00325250"/>
    <w:rsid w:val="003255C8"/>
    <w:rsid w:val="0032583C"/>
    <w:rsid w:val="00325870"/>
    <w:rsid w:val="00326267"/>
    <w:rsid w:val="00326346"/>
    <w:rsid w:val="0032667B"/>
    <w:rsid w:val="00326776"/>
    <w:rsid w:val="0032695D"/>
    <w:rsid w:val="00326B7F"/>
    <w:rsid w:val="00326FE7"/>
    <w:rsid w:val="00327390"/>
    <w:rsid w:val="003273D5"/>
    <w:rsid w:val="003277B8"/>
    <w:rsid w:val="00327A4E"/>
    <w:rsid w:val="00327AF5"/>
    <w:rsid w:val="00327B36"/>
    <w:rsid w:val="0033043A"/>
    <w:rsid w:val="00330953"/>
    <w:rsid w:val="0033099B"/>
    <w:rsid w:val="00330AF5"/>
    <w:rsid w:val="00330BE5"/>
    <w:rsid w:val="003314CD"/>
    <w:rsid w:val="003315B6"/>
    <w:rsid w:val="0033162A"/>
    <w:rsid w:val="00331B93"/>
    <w:rsid w:val="00331EE2"/>
    <w:rsid w:val="0033226A"/>
    <w:rsid w:val="0033237E"/>
    <w:rsid w:val="00332380"/>
    <w:rsid w:val="0033261F"/>
    <w:rsid w:val="0033282C"/>
    <w:rsid w:val="00332BC8"/>
    <w:rsid w:val="003330AD"/>
    <w:rsid w:val="00333163"/>
    <w:rsid w:val="0033324B"/>
    <w:rsid w:val="00333515"/>
    <w:rsid w:val="003336F9"/>
    <w:rsid w:val="003338AC"/>
    <w:rsid w:val="003339AF"/>
    <w:rsid w:val="00333A06"/>
    <w:rsid w:val="0033402D"/>
    <w:rsid w:val="00334055"/>
    <w:rsid w:val="003343A8"/>
    <w:rsid w:val="00334520"/>
    <w:rsid w:val="0033487E"/>
    <w:rsid w:val="003348D6"/>
    <w:rsid w:val="003349D7"/>
    <w:rsid w:val="00335177"/>
    <w:rsid w:val="0033556E"/>
    <w:rsid w:val="00335765"/>
    <w:rsid w:val="003357D2"/>
    <w:rsid w:val="00335998"/>
    <w:rsid w:val="00335F73"/>
    <w:rsid w:val="003363B4"/>
    <w:rsid w:val="003363F8"/>
    <w:rsid w:val="0033644D"/>
    <w:rsid w:val="00336B8D"/>
    <w:rsid w:val="00336F9F"/>
    <w:rsid w:val="00336FE4"/>
    <w:rsid w:val="0033745E"/>
    <w:rsid w:val="00337628"/>
    <w:rsid w:val="00337684"/>
    <w:rsid w:val="0033798C"/>
    <w:rsid w:val="00337BB8"/>
    <w:rsid w:val="00340701"/>
    <w:rsid w:val="00340A63"/>
    <w:rsid w:val="00340D92"/>
    <w:rsid w:val="00341133"/>
    <w:rsid w:val="003413C7"/>
    <w:rsid w:val="0034226B"/>
    <w:rsid w:val="00342298"/>
    <w:rsid w:val="00342825"/>
    <w:rsid w:val="00342870"/>
    <w:rsid w:val="00342896"/>
    <w:rsid w:val="00342A2F"/>
    <w:rsid w:val="00342A80"/>
    <w:rsid w:val="00342B5F"/>
    <w:rsid w:val="00343143"/>
    <w:rsid w:val="003431C9"/>
    <w:rsid w:val="003434F8"/>
    <w:rsid w:val="00343A2C"/>
    <w:rsid w:val="00344005"/>
    <w:rsid w:val="003443E6"/>
    <w:rsid w:val="0034446E"/>
    <w:rsid w:val="00344947"/>
    <w:rsid w:val="00344C21"/>
    <w:rsid w:val="00344F60"/>
    <w:rsid w:val="003451D4"/>
    <w:rsid w:val="00345222"/>
    <w:rsid w:val="0034548E"/>
    <w:rsid w:val="0034575D"/>
    <w:rsid w:val="003458D7"/>
    <w:rsid w:val="00345AA7"/>
    <w:rsid w:val="00345CFC"/>
    <w:rsid w:val="00345DE1"/>
    <w:rsid w:val="00345EEF"/>
    <w:rsid w:val="00345F7F"/>
    <w:rsid w:val="0034600A"/>
    <w:rsid w:val="003460E1"/>
    <w:rsid w:val="003464C8"/>
    <w:rsid w:val="003466BA"/>
    <w:rsid w:val="0034672D"/>
    <w:rsid w:val="00346B09"/>
    <w:rsid w:val="00346B7F"/>
    <w:rsid w:val="00346C4F"/>
    <w:rsid w:val="00346CB6"/>
    <w:rsid w:val="00346DE7"/>
    <w:rsid w:val="00346E2F"/>
    <w:rsid w:val="0034778A"/>
    <w:rsid w:val="00347A97"/>
    <w:rsid w:val="00347E95"/>
    <w:rsid w:val="00350251"/>
    <w:rsid w:val="0035059F"/>
    <w:rsid w:val="0035068F"/>
    <w:rsid w:val="0035075A"/>
    <w:rsid w:val="003507C7"/>
    <w:rsid w:val="003509D5"/>
    <w:rsid w:val="00350B64"/>
    <w:rsid w:val="00350EFA"/>
    <w:rsid w:val="00350FCB"/>
    <w:rsid w:val="00351121"/>
    <w:rsid w:val="0035143A"/>
    <w:rsid w:val="00351453"/>
    <w:rsid w:val="00351885"/>
    <w:rsid w:val="003518CA"/>
    <w:rsid w:val="00351A08"/>
    <w:rsid w:val="00351A67"/>
    <w:rsid w:val="00351AB5"/>
    <w:rsid w:val="00351EBF"/>
    <w:rsid w:val="00352173"/>
    <w:rsid w:val="003523B8"/>
    <w:rsid w:val="00353770"/>
    <w:rsid w:val="003537D9"/>
    <w:rsid w:val="0035383E"/>
    <w:rsid w:val="00353886"/>
    <w:rsid w:val="00353C1F"/>
    <w:rsid w:val="00353FA9"/>
    <w:rsid w:val="00354039"/>
    <w:rsid w:val="0035408A"/>
    <w:rsid w:val="0035424A"/>
    <w:rsid w:val="00354877"/>
    <w:rsid w:val="003549AA"/>
    <w:rsid w:val="003549D2"/>
    <w:rsid w:val="00354AC2"/>
    <w:rsid w:val="00354AC5"/>
    <w:rsid w:val="003551C6"/>
    <w:rsid w:val="00355885"/>
    <w:rsid w:val="0035592D"/>
    <w:rsid w:val="00355FD9"/>
    <w:rsid w:val="00356561"/>
    <w:rsid w:val="00356578"/>
    <w:rsid w:val="00356C80"/>
    <w:rsid w:val="00356E4C"/>
    <w:rsid w:val="00356F3F"/>
    <w:rsid w:val="0035715A"/>
    <w:rsid w:val="0035760D"/>
    <w:rsid w:val="00357852"/>
    <w:rsid w:val="003579F3"/>
    <w:rsid w:val="00357ABE"/>
    <w:rsid w:val="00357AFB"/>
    <w:rsid w:val="00357B89"/>
    <w:rsid w:val="003604BE"/>
    <w:rsid w:val="00360855"/>
    <w:rsid w:val="00360E90"/>
    <w:rsid w:val="00361104"/>
    <w:rsid w:val="003611DA"/>
    <w:rsid w:val="00361203"/>
    <w:rsid w:val="00361530"/>
    <w:rsid w:val="0036162A"/>
    <w:rsid w:val="00361A52"/>
    <w:rsid w:val="00361AF1"/>
    <w:rsid w:val="00361BBA"/>
    <w:rsid w:val="00361D4E"/>
    <w:rsid w:val="003620A9"/>
    <w:rsid w:val="0036213D"/>
    <w:rsid w:val="003623BC"/>
    <w:rsid w:val="00362407"/>
    <w:rsid w:val="0036246F"/>
    <w:rsid w:val="0036252D"/>
    <w:rsid w:val="003625F3"/>
    <w:rsid w:val="003629E0"/>
    <w:rsid w:val="00362D10"/>
    <w:rsid w:val="00362E47"/>
    <w:rsid w:val="00362E8B"/>
    <w:rsid w:val="00363124"/>
    <w:rsid w:val="003636CD"/>
    <w:rsid w:val="00363812"/>
    <w:rsid w:val="00363B5E"/>
    <w:rsid w:val="00363E8D"/>
    <w:rsid w:val="00364DD7"/>
    <w:rsid w:val="00365038"/>
    <w:rsid w:val="00365250"/>
    <w:rsid w:val="00365287"/>
    <w:rsid w:val="003652CC"/>
    <w:rsid w:val="00365A52"/>
    <w:rsid w:val="0036605A"/>
    <w:rsid w:val="003663C5"/>
    <w:rsid w:val="003666E4"/>
    <w:rsid w:val="00366868"/>
    <w:rsid w:val="0036687E"/>
    <w:rsid w:val="00366C17"/>
    <w:rsid w:val="0036704C"/>
    <w:rsid w:val="00367067"/>
    <w:rsid w:val="003674CD"/>
    <w:rsid w:val="0036767C"/>
    <w:rsid w:val="003676E8"/>
    <w:rsid w:val="00367EDE"/>
    <w:rsid w:val="00367F24"/>
    <w:rsid w:val="0037017D"/>
    <w:rsid w:val="003703CF"/>
    <w:rsid w:val="003705D9"/>
    <w:rsid w:val="00370619"/>
    <w:rsid w:val="003707ED"/>
    <w:rsid w:val="00370854"/>
    <w:rsid w:val="003709DD"/>
    <w:rsid w:val="00370E2A"/>
    <w:rsid w:val="003713D9"/>
    <w:rsid w:val="003715E6"/>
    <w:rsid w:val="0037186F"/>
    <w:rsid w:val="00372367"/>
    <w:rsid w:val="003726D2"/>
    <w:rsid w:val="0037272D"/>
    <w:rsid w:val="003727A6"/>
    <w:rsid w:val="00372989"/>
    <w:rsid w:val="003729EC"/>
    <w:rsid w:val="00372CF2"/>
    <w:rsid w:val="00372FA7"/>
    <w:rsid w:val="00373029"/>
    <w:rsid w:val="0037314F"/>
    <w:rsid w:val="0037321C"/>
    <w:rsid w:val="00373597"/>
    <w:rsid w:val="003737CD"/>
    <w:rsid w:val="003738AB"/>
    <w:rsid w:val="00373CC6"/>
    <w:rsid w:val="00373CCC"/>
    <w:rsid w:val="00373F4A"/>
    <w:rsid w:val="00374075"/>
    <w:rsid w:val="00374094"/>
    <w:rsid w:val="0037419C"/>
    <w:rsid w:val="00374239"/>
    <w:rsid w:val="00374256"/>
    <w:rsid w:val="00374591"/>
    <w:rsid w:val="00374A3B"/>
    <w:rsid w:val="00374CEF"/>
    <w:rsid w:val="00374F41"/>
    <w:rsid w:val="003750AC"/>
    <w:rsid w:val="0037548D"/>
    <w:rsid w:val="00375667"/>
    <w:rsid w:val="003759C0"/>
    <w:rsid w:val="00375DAC"/>
    <w:rsid w:val="0037600D"/>
    <w:rsid w:val="0037626E"/>
    <w:rsid w:val="00376421"/>
    <w:rsid w:val="003766BF"/>
    <w:rsid w:val="00376B1E"/>
    <w:rsid w:val="00376E8B"/>
    <w:rsid w:val="0037720D"/>
    <w:rsid w:val="003772F0"/>
    <w:rsid w:val="003773F0"/>
    <w:rsid w:val="003775C0"/>
    <w:rsid w:val="0038004C"/>
    <w:rsid w:val="00380A8D"/>
    <w:rsid w:val="00380F5E"/>
    <w:rsid w:val="00381105"/>
    <w:rsid w:val="0038112D"/>
    <w:rsid w:val="00381657"/>
    <w:rsid w:val="00381C59"/>
    <w:rsid w:val="00381D87"/>
    <w:rsid w:val="00381DD2"/>
    <w:rsid w:val="00381F9B"/>
    <w:rsid w:val="003824CB"/>
    <w:rsid w:val="00382524"/>
    <w:rsid w:val="0038254D"/>
    <w:rsid w:val="0038262E"/>
    <w:rsid w:val="0038278A"/>
    <w:rsid w:val="0038354B"/>
    <w:rsid w:val="00383643"/>
    <w:rsid w:val="003836A4"/>
    <w:rsid w:val="00383BEA"/>
    <w:rsid w:val="00384170"/>
    <w:rsid w:val="00384399"/>
    <w:rsid w:val="0038457C"/>
    <w:rsid w:val="00384631"/>
    <w:rsid w:val="0038490E"/>
    <w:rsid w:val="00384B3F"/>
    <w:rsid w:val="00384D6A"/>
    <w:rsid w:val="00384E6E"/>
    <w:rsid w:val="003854D7"/>
    <w:rsid w:val="00385533"/>
    <w:rsid w:val="0038554D"/>
    <w:rsid w:val="00385C69"/>
    <w:rsid w:val="00386258"/>
    <w:rsid w:val="003865B4"/>
    <w:rsid w:val="00386D1A"/>
    <w:rsid w:val="00386D72"/>
    <w:rsid w:val="00386E1A"/>
    <w:rsid w:val="0038701B"/>
    <w:rsid w:val="003873C0"/>
    <w:rsid w:val="003874C3"/>
    <w:rsid w:val="003875A2"/>
    <w:rsid w:val="0038762C"/>
    <w:rsid w:val="003905D2"/>
    <w:rsid w:val="0039078C"/>
    <w:rsid w:val="003907C8"/>
    <w:rsid w:val="00390B44"/>
    <w:rsid w:val="00390D5E"/>
    <w:rsid w:val="00391A8D"/>
    <w:rsid w:val="00391B6C"/>
    <w:rsid w:val="00391B85"/>
    <w:rsid w:val="00391B9C"/>
    <w:rsid w:val="00391C52"/>
    <w:rsid w:val="00391C58"/>
    <w:rsid w:val="0039203A"/>
    <w:rsid w:val="0039260E"/>
    <w:rsid w:val="00392C4E"/>
    <w:rsid w:val="00393056"/>
    <w:rsid w:val="003930D1"/>
    <w:rsid w:val="00393415"/>
    <w:rsid w:val="0039376D"/>
    <w:rsid w:val="0039395F"/>
    <w:rsid w:val="00393A20"/>
    <w:rsid w:val="00393A55"/>
    <w:rsid w:val="00393F02"/>
    <w:rsid w:val="003949D3"/>
    <w:rsid w:val="00394D0F"/>
    <w:rsid w:val="00394D20"/>
    <w:rsid w:val="003950CF"/>
    <w:rsid w:val="003953CC"/>
    <w:rsid w:val="003958BA"/>
    <w:rsid w:val="00395B0E"/>
    <w:rsid w:val="00395C76"/>
    <w:rsid w:val="00395EE3"/>
    <w:rsid w:val="0039614E"/>
    <w:rsid w:val="003965BD"/>
    <w:rsid w:val="003965D3"/>
    <w:rsid w:val="00396750"/>
    <w:rsid w:val="00397069"/>
    <w:rsid w:val="003971B3"/>
    <w:rsid w:val="00397288"/>
    <w:rsid w:val="003974B5"/>
    <w:rsid w:val="00397707"/>
    <w:rsid w:val="00397B3E"/>
    <w:rsid w:val="00397E84"/>
    <w:rsid w:val="003A0556"/>
    <w:rsid w:val="003A08C2"/>
    <w:rsid w:val="003A0AE9"/>
    <w:rsid w:val="003A0DF7"/>
    <w:rsid w:val="003A0F68"/>
    <w:rsid w:val="003A1105"/>
    <w:rsid w:val="003A1199"/>
    <w:rsid w:val="003A1469"/>
    <w:rsid w:val="003A18F3"/>
    <w:rsid w:val="003A1E87"/>
    <w:rsid w:val="003A1E8B"/>
    <w:rsid w:val="003A23C2"/>
    <w:rsid w:val="003A2604"/>
    <w:rsid w:val="003A2F7A"/>
    <w:rsid w:val="003A3424"/>
    <w:rsid w:val="003A382B"/>
    <w:rsid w:val="003A3B9E"/>
    <w:rsid w:val="003A3C44"/>
    <w:rsid w:val="003A4140"/>
    <w:rsid w:val="003A4176"/>
    <w:rsid w:val="003A4369"/>
    <w:rsid w:val="003A4454"/>
    <w:rsid w:val="003A45E7"/>
    <w:rsid w:val="003A463C"/>
    <w:rsid w:val="003A4684"/>
    <w:rsid w:val="003A46AA"/>
    <w:rsid w:val="003A4972"/>
    <w:rsid w:val="003A4BAF"/>
    <w:rsid w:val="003A4F75"/>
    <w:rsid w:val="003A5C0A"/>
    <w:rsid w:val="003A605E"/>
    <w:rsid w:val="003A63AE"/>
    <w:rsid w:val="003A648E"/>
    <w:rsid w:val="003A6904"/>
    <w:rsid w:val="003A6996"/>
    <w:rsid w:val="003A6A08"/>
    <w:rsid w:val="003A6A49"/>
    <w:rsid w:val="003A6F0C"/>
    <w:rsid w:val="003A7901"/>
    <w:rsid w:val="003A7B3E"/>
    <w:rsid w:val="003A7CB7"/>
    <w:rsid w:val="003A7D79"/>
    <w:rsid w:val="003A7DB1"/>
    <w:rsid w:val="003A7E84"/>
    <w:rsid w:val="003B0475"/>
    <w:rsid w:val="003B059B"/>
    <w:rsid w:val="003B0659"/>
    <w:rsid w:val="003B067F"/>
    <w:rsid w:val="003B06C5"/>
    <w:rsid w:val="003B0958"/>
    <w:rsid w:val="003B12E1"/>
    <w:rsid w:val="003B1752"/>
    <w:rsid w:val="003B18AF"/>
    <w:rsid w:val="003B192D"/>
    <w:rsid w:val="003B1973"/>
    <w:rsid w:val="003B1C7F"/>
    <w:rsid w:val="003B1E5F"/>
    <w:rsid w:val="003B2031"/>
    <w:rsid w:val="003B2121"/>
    <w:rsid w:val="003B24C1"/>
    <w:rsid w:val="003B2612"/>
    <w:rsid w:val="003B26A4"/>
    <w:rsid w:val="003B28F8"/>
    <w:rsid w:val="003B2C82"/>
    <w:rsid w:val="003B2D22"/>
    <w:rsid w:val="003B3509"/>
    <w:rsid w:val="003B3659"/>
    <w:rsid w:val="003B3671"/>
    <w:rsid w:val="003B38DB"/>
    <w:rsid w:val="003B395F"/>
    <w:rsid w:val="003B3B29"/>
    <w:rsid w:val="003B3D2A"/>
    <w:rsid w:val="003B3D7C"/>
    <w:rsid w:val="003B3F01"/>
    <w:rsid w:val="003B4037"/>
    <w:rsid w:val="003B4289"/>
    <w:rsid w:val="003B45C7"/>
    <w:rsid w:val="003B460A"/>
    <w:rsid w:val="003B460D"/>
    <w:rsid w:val="003B469E"/>
    <w:rsid w:val="003B4C71"/>
    <w:rsid w:val="003B5449"/>
    <w:rsid w:val="003B547B"/>
    <w:rsid w:val="003B5763"/>
    <w:rsid w:val="003B57A4"/>
    <w:rsid w:val="003B5AEF"/>
    <w:rsid w:val="003B5C37"/>
    <w:rsid w:val="003B5E68"/>
    <w:rsid w:val="003B636B"/>
    <w:rsid w:val="003B6526"/>
    <w:rsid w:val="003B682E"/>
    <w:rsid w:val="003B6959"/>
    <w:rsid w:val="003B6CEB"/>
    <w:rsid w:val="003B6EEF"/>
    <w:rsid w:val="003B7258"/>
    <w:rsid w:val="003B7366"/>
    <w:rsid w:val="003B7EAD"/>
    <w:rsid w:val="003B7ED7"/>
    <w:rsid w:val="003C01A8"/>
    <w:rsid w:val="003C05C2"/>
    <w:rsid w:val="003C07B3"/>
    <w:rsid w:val="003C0FBE"/>
    <w:rsid w:val="003C12C7"/>
    <w:rsid w:val="003C1367"/>
    <w:rsid w:val="003C19EC"/>
    <w:rsid w:val="003C201E"/>
    <w:rsid w:val="003C2302"/>
    <w:rsid w:val="003C2355"/>
    <w:rsid w:val="003C2696"/>
    <w:rsid w:val="003C2A54"/>
    <w:rsid w:val="003C32ED"/>
    <w:rsid w:val="003C3986"/>
    <w:rsid w:val="003C3AB8"/>
    <w:rsid w:val="003C3C07"/>
    <w:rsid w:val="003C3CE6"/>
    <w:rsid w:val="003C3E39"/>
    <w:rsid w:val="003C459A"/>
    <w:rsid w:val="003C4699"/>
    <w:rsid w:val="003C48EE"/>
    <w:rsid w:val="003C4937"/>
    <w:rsid w:val="003C4D80"/>
    <w:rsid w:val="003C5195"/>
    <w:rsid w:val="003C52AB"/>
    <w:rsid w:val="003C610B"/>
    <w:rsid w:val="003C61CF"/>
    <w:rsid w:val="003C6A31"/>
    <w:rsid w:val="003C6AF1"/>
    <w:rsid w:val="003C6D6D"/>
    <w:rsid w:val="003C6EC9"/>
    <w:rsid w:val="003C7499"/>
    <w:rsid w:val="003C7B59"/>
    <w:rsid w:val="003C7B98"/>
    <w:rsid w:val="003C7CDB"/>
    <w:rsid w:val="003D00FC"/>
    <w:rsid w:val="003D0496"/>
    <w:rsid w:val="003D0599"/>
    <w:rsid w:val="003D08FB"/>
    <w:rsid w:val="003D0BBC"/>
    <w:rsid w:val="003D0EA7"/>
    <w:rsid w:val="003D0F40"/>
    <w:rsid w:val="003D0FC0"/>
    <w:rsid w:val="003D1321"/>
    <w:rsid w:val="003D1515"/>
    <w:rsid w:val="003D158F"/>
    <w:rsid w:val="003D1AE5"/>
    <w:rsid w:val="003D21A6"/>
    <w:rsid w:val="003D2A8D"/>
    <w:rsid w:val="003D2C49"/>
    <w:rsid w:val="003D2DAE"/>
    <w:rsid w:val="003D2DCC"/>
    <w:rsid w:val="003D2E49"/>
    <w:rsid w:val="003D300F"/>
    <w:rsid w:val="003D301D"/>
    <w:rsid w:val="003D31E1"/>
    <w:rsid w:val="003D3363"/>
    <w:rsid w:val="003D3830"/>
    <w:rsid w:val="003D3D80"/>
    <w:rsid w:val="003D3EF4"/>
    <w:rsid w:val="003D418A"/>
    <w:rsid w:val="003D41E4"/>
    <w:rsid w:val="003D43B1"/>
    <w:rsid w:val="003D46BD"/>
    <w:rsid w:val="003D4BA0"/>
    <w:rsid w:val="003D4C31"/>
    <w:rsid w:val="003D4D4A"/>
    <w:rsid w:val="003D5061"/>
    <w:rsid w:val="003D51DD"/>
    <w:rsid w:val="003D5258"/>
    <w:rsid w:val="003D56D2"/>
    <w:rsid w:val="003D5821"/>
    <w:rsid w:val="003D5986"/>
    <w:rsid w:val="003D5AA6"/>
    <w:rsid w:val="003D5D37"/>
    <w:rsid w:val="003D67B5"/>
    <w:rsid w:val="003D67EF"/>
    <w:rsid w:val="003D6861"/>
    <w:rsid w:val="003D6C18"/>
    <w:rsid w:val="003D71DE"/>
    <w:rsid w:val="003D7380"/>
    <w:rsid w:val="003D7B7D"/>
    <w:rsid w:val="003D7D6E"/>
    <w:rsid w:val="003E02F7"/>
    <w:rsid w:val="003E04CF"/>
    <w:rsid w:val="003E0831"/>
    <w:rsid w:val="003E090D"/>
    <w:rsid w:val="003E0AAF"/>
    <w:rsid w:val="003E0E6B"/>
    <w:rsid w:val="003E0E98"/>
    <w:rsid w:val="003E1802"/>
    <w:rsid w:val="003E1805"/>
    <w:rsid w:val="003E1C5E"/>
    <w:rsid w:val="003E1E95"/>
    <w:rsid w:val="003E1F56"/>
    <w:rsid w:val="003E282B"/>
    <w:rsid w:val="003E2C67"/>
    <w:rsid w:val="003E2C7F"/>
    <w:rsid w:val="003E3153"/>
    <w:rsid w:val="003E331B"/>
    <w:rsid w:val="003E38ED"/>
    <w:rsid w:val="003E3F46"/>
    <w:rsid w:val="003E3FD5"/>
    <w:rsid w:val="003E408A"/>
    <w:rsid w:val="003E4783"/>
    <w:rsid w:val="003E47BD"/>
    <w:rsid w:val="003E4906"/>
    <w:rsid w:val="003E49E7"/>
    <w:rsid w:val="003E4AC3"/>
    <w:rsid w:val="003E4B4D"/>
    <w:rsid w:val="003E4FC4"/>
    <w:rsid w:val="003E5133"/>
    <w:rsid w:val="003E52B6"/>
    <w:rsid w:val="003E536A"/>
    <w:rsid w:val="003E543B"/>
    <w:rsid w:val="003E5641"/>
    <w:rsid w:val="003E581B"/>
    <w:rsid w:val="003E591F"/>
    <w:rsid w:val="003E5B80"/>
    <w:rsid w:val="003E5C94"/>
    <w:rsid w:val="003E6497"/>
    <w:rsid w:val="003E650A"/>
    <w:rsid w:val="003E69DA"/>
    <w:rsid w:val="003E6B2F"/>
    <w:rsid w:val="003E6E6F"/>
    <w:rsid w:val="003E72E1"/>
    <w:rsid w:val="003E7335"/>
    <w:rsid w:val="003E73A6"/>
    <w:rsid w:val="003E7554"/>
    <w:rsid w:val="003E7586"/>
    <w:rsid w:val="003E79E4"/>
    <w:rsid w:val="003F01D4"/>
    <w:rsid w:val="003F0361"/>
    <w:rsid w:val="003F04CB"/>
    <w:rsid w:val="003F0BD3"/>
    <w:rsid w:val="003F0EA1"/>
    <w:rsid w:val="003F0FDA"/>
    <w:rsid w:val="003F16F4"/>
    <w:rsid w:val="003F20CA"/>
    <w:rsid w:val="003F20DB"/>
    <w:rsid w:val="003F22C9"/>
    <w:rsid w:val="003F238A"/>
    <w:rsid w:val="003F254C"/>
    <w:rsid w:val="003F2765"/>
    <w:rsid w:val="003F2779"/>
    <w:rsid w:val="003F28E9"/>
    <w:rsid w:val="003F2EF4"/>
    <w:rsid w:val="003F312C"/>
    <w:rsid w:val="003F315F"/>
    <w:rsid w:val="003F3821"/>
    <w:rsid w:val="003F49A9"/>
    <w:rsid w:val="003F4B8F"/>
    <w:rsid w:val="003F51BC"/>
    <w:rsid w:val="003F53B5"/>
    <w:rsid w:val="003F5729"/>
    <w:rsid w:val="003F5831"/>
    <w:rsid w:val="003F5CB7"/>
    <w:rsid w:val="003F63D0"/>
    <w:rsid w:val="003F64B6"/>
    <w:rsid w:val="003F64D8"/>
    <w:rsid w:val="003F652E"/>
    <w:rsid w:val="003F6B5D"/>
    <w:rsid w:val="003F6C1B"/>
    <w:rsid w:val="003F6CBE"/>
    <w:rsid w:val="003F6DE4"/>
    <w:rsid w:val="003F7127"/>
    <w:rsid w:val="003F732F"/>
    <w:rsid w:val="004001E1"/>
    <w:rsid w:val="004001E6"/>
    <w:rsid w:val="00400284"/>
    <w:rsid w:val="00400303"/>
    <w:rsid w:val="004005E9"/>
    <w:rsid w:val="00400B82"/>
    <w:rsid w:val="00400C9E"/>
    <w:rsid w:val="00400D0A"/>
    <w:rsid w:val="00400F00"/>
    <w:rsid w:val="004012F8"/>
    <w:rsid w:val="0040188F"/>
    <w:rsid w:val="00401D92"/>
    <w:rsid w:val="00401DDA"/>
    <w:rsid w:val="00401E1A"/>
    <w:rsid w:val="00402197"/>
    <w:rsid w:val="00402738"/>
    <w:rsid w:val="00402F03"/>
    <w:rsid w:val="004030F3"/>
    <w:rsid w:val="00403146"/>
    <w:rsid w:val="00403657"/>
    <w:rsid w:val="004036F6"/>
    <w:rsid w:val="00403706"/>
    <w:rsid w:val="0040378D"/>
    <w:rsid w:val="004039F0"/>
    <w:rsid w:val="00403A07"/>
    <w:rsid w:val="00403E12"/>
    <w:rsid w:val="00403E1D"/>
    <w:rsid w:val="00403F0F"/>
    <w:rsid w:val="00403FD1"/>
    <w:rsid w:val="00404522"/>
    <w:rsid w:val="00404597"/>
    <w:rsid w:val="0040459B"/>
    <w:rsid w:val="00404643"/>
    <w:rsid w:val="00404A34"/>
    <w:rsid w:val="00405291"/>
    <w:rsid w:val="004053F0"/>
    <w:rsid w:val="00405602"/>
    <w:rsid w:val="0040571C"/>
    <w:rsid w:val="00405905"/>
    <w:rsid w:val="00405E5A"/>
    <w:rsid w:val="004062E3"/>
    <w:rsid w:val="00406564"/>
    <w:rsid w:val="0040684C"/>
    <w:rsid w:val="00406E3B"/>
    <w:rsid w:val="00406E63"/>
    <w:rsid w:val="004076BA"/>
    <w:rsid w:val="00407780"/>
    <w:rsid w:val="00407E9B"/>
    <w:rsid w:val="00407EF9"/>
    <w:rsid w:val="00410046"/>
    <w:rsid w:val="004100A3"/>
    <w:rsid w:val="00410160"/>
    <w:rsid w:val="0041020D"/>
    <w:rsid w:val="00410598"/>
    <w:rsid w:val="004108EC"/>
    <w:rsid w:val="00410F80"/>
    <w:rsid w:val="0041104A"/>
    <w:rsid w:val="004112D2"/>
    <w:rsid w:val="004113A8"/>
    <w:rsid w:val="004115BB"/>
    <w:rsid w:val="0041167F"/>
    <w:rsid w:val="0041185A"/>
    <w:rsid w:val="00411873"/>
    <w:rsid w:val="00411B25"/>
    <w:rsid w:val="004120D5"/>
    <w:rsid w:val="0041253B"/>
    <w:rsid w:val="0041299F"/>
    <w:rsid w:val="00412E57"/>
    <w:rsid w:val="0041333D"/>
    <w:rsid w:val="00413956"/>
    <w:rsid w:val="00413975"/>
    <w:rsid w:val="00413A9B"/>
    <w:rsid w:val="00414200"/>
    <w:rsid w:val="0041461D"/>
    <w:rsid w:val="0041488A"/>
    <w:rsid w:val="0041492F"/>
    <w:rsid w:val="004149B0"/>
    <w:rsid w:val="00414A4F"/>
    <w:rsid w:val="00414FBE"/>
    <w:rsid w:val="00415135"/>
    <w:rsid w:val="00415211"/>
    <w:rsid w:val="004152A0"/>
    <w:rsid w:val="00415313"/>
    <w:rsid w:val="00415433"/>
    <w:rsid w:val="004154B4"/>
    <w:rsid w:val="004158AA"/>
    <w:rsid w:val="004159F6"/>
    <w:rsid w:val="00415A78"/>
    <w:rsid w:val="0041653B"/>
    <w:rsid w:val="00416A7B"/>
    <w:rsid w:val="00416B20"/>
    <w:rsid w:val="004170FE"/>
    <w:rsid w:val="0041783A"/>
    <w:rsid w:val="00417BF9"/>
    <w:rsid w:val="00417CD1"/>
    <w:rsid w:val="00417D48"/>
    <w:rsid w:val="00417E01"/>
    <w:rsid w:val="00417F8B"/>
    <w:rsid w:val="004200A9"/>
    <w:rsid w:val="004202DA"/>
    <w:rsid w:val="00420332"/>
    <w:rsid w:val="004207D4"/>
    <w:rsid w:val="004208B9"/>
    <w:rsid w:val="00420B04"/>
    <w:rsid w:val="004211EF"/>
    <w:rsid w:val="00421213"/>
    <w:rsid w:val="004215A1"/>
    <w:rsid w:val="00421794"/>
    <w:rsid w:val="004218F5"/>
    <w:rsid w:val="004222A3"/>
    <w:rsid w:val="004226D1"/>
    <w:rsid w:val="004229F8"/>
    <w:rsid w:val="004231FF"/>
    <w:rsid w:val="0042321D"/>
    <w:rsid w:val="00423259"/>
    <w:rsid w:val="004233DF"/>
    <w:rsid w:val="004235F9"/>
    <w:rsid w:val="0042377F"/>
    <w:rsid w:val="00423AAC"/>
    <w:rsid w:val="00423D02"/>
    <w:rsid w:val="00423D8B"/>
    <w:rsid w:val="00424408"/>
    <w:rsid w:val="00424510"/>
    <w:rsid w:val="00424A36"/>
    <w:rsid w:val="00424AEC"/>
    <w:rsid w:val="00424BBC"/>
    <w:rsid w:val="00424CA4"/>
    <w:rsid w:val="00424E52"/>
    <w:rsid w:val="004254D5"/>
    <w:rsid w:val="0042556C"/>
    <w:rsid w:val="004255CB"/>
    <w:rsid w:val="00425672"/>
    <w:rsid w:val="0042581D"/>
    <w:rsid w:val="00425828"/>
    <w:rsid w:val="00425CCB"/>
    <w:rsid w:val="00425FDC"/>
    <w:rsid w:val="0042652C"/>
    <w:rsid w:val="004267AB"/>
    <w:rsid w:val="0042687F"/>
    <w:rsid w:val="00426C96"/>
    <w:rsid w:val="004273D5"/>
    <w:rsid w:val="00427414"/>
    <w:rsid w:val="00427B35"/>
    <w:rsid w:val="00427C69"/>
    <w:rsid w:val="00427E40"/>
    <w:rsid w:val="00427FE8"/>
    <w:rsid w:val="0043023A"/>
    <w:rsid w:val="00430257"/>
    <w:rsid w:val="004302AE"/>
    <w:rsid w:val="004305D6"/>
    <w:rsid w:val="00430C12"/>
    <w:rsid w:val="00430D9A"/>
    <w:rsid w:val="00431276"/>
    <w:rsid w:val="00431641"/>
    <w:rsid w:val="00431778"/>
    <w:rsid w:val="004317F0"/>
    <w:rsid w:val="00431A56"/>
    <w:rsid w:val="00431C62"/>
    <w:rsid w:val="00432082"/>
    <w:rsid w:val="004320EE"/>
    <w:rsid w:val="004328AD"/>
    <w:rsid w:val="00432B34"/>
    <w:rsid w:val="00432CB5"/>
    <w:rsid w:val="00432EDA"/>
    <w:rsid w:val="00433053"/>
    <w:rsid w:val="004330B4"/>
    <w:rsid w:val="004330BB"/>
    <w:rsid w:val="0043320C"/>
    <w:rsid w:val="0043321A"/>
    <w:rsid w:val="004333C7"/>
    <w:rsid w:val="004334FD"/>
    <w:rsid w:val="00433510"/>
    <w:rsid w:val="0043379C"/>
    <w:rsid w:val="004338EC"/>
    <w:rsid w:val="00433AA7"/>
    <w:rsid w:val="00433B6A"/>
    <w:rsid w:val="00433C6E"/>
    <w:rsid w:val="00433CDB"/>
    <w:rsid w:val="00433D21"/>
    <w:rsid w:val="004343B9"/>
    <w:rsid w:val="004343C2"/>
    <w:rsid w:val="004350AE"/>
    <w:rsid w:val="00435180"/>
    <w:rsid w:val="00435414"/>
    <w:rsid w:val="00435474"/>
    <w:rsid w:val="004354E0"/>
    <w:rsid w:val="00435638"/>
    <w:rsid w:val="004356C6"/>
    <w:rsid w:val="004357A7"/>
    <w:rsid w:val="0043598F"/>
    <w:rsid w:val="00436010"/>
    <w:rsid w:val="004361E6"/>
    <w:rsid w:val="00436582"/>
    <w:rsid w:val="0043720D"/>
    <w:rsid w:val="0043738B"/>
    <w:rsid w:val="004373A9"/>
    <w:rsid w:val="00437921"/>
    <w:rsid w:val="004379C0"/>
    <w:rsid w:val="00437CF0"/>
    <w:rsid w:val="00437D0A"/>
    <w:rsid w:val="00440539"/>
    <w:rsid w:val="004407E8"/>
    <w:rsid w:val="00440C40"/>
    <w:rsid w:val="0044128D"/>
    <w:rsid w:val="00441322"/>
    <w:rsid w:val="0044148B"/>
    <w:rsid w:val="00441BB1"/>
    <w:rsid w:val="00441F3B"/>
    <w:rsid w:val="0044234A"/>
    <w:rsid w:val="00442454"/>
    <w:rsid w:val="00442596"/>
    <w:rsid w:val="0044267A"/>
    <w:rsid w:val="004426C4"/>
    <w:rsid w:val="00442A97"/>
    <w:rsid w:val="004431E6"/>
    <w:rsid w:val="00443BD3"/>
    <w:rsid w:val="00443D21"/>
    <w:rsid w:val="004440E9"/>
    <w:rsid w:val="004441E6"/>
    <w:rsid w:val="0044459E"/>
    <w:rsid w:val="004446E4"/>
    <w:rsid w:val="0044484C"/>
    <w:rsid w:val="004448DC"/>
    <w:rsid w:val="0044491B"/>
    <w:rsid w:val="0044499C"/>
    <w:rsid w:val="00444F39"/>
    <w:rsid w:val="00444F71"/>
    <w:rsid w:val="004450CC"/>
    <w:rsid w:val="004465B5"/>
    <w:rsid w:val="004469DE"/>
    <w:rsid w:val="00447384"/>
    <w:rsid w:val="0044791D"/>
    <w:rsid w:val="004479B6"/>
    <w:rsid w:val="00447B26"/>
    <w:rsid w:val="00447C29"/>
    <w:rsid w:val="00447CC0"/>
    <w:rsid w:val="00447DFF"/>
    <w:rsid w:val="00447E1D"/>
    <w:rsid w:val="00450230"/>
    <w:rsid w:val="00450384"/>
    <w:rsid w:val="00450549"/>
    <w:rsid w:val="00450875"/>
    <w:rsid w:val="00450AFB"/>
    <w:rsid w:val="00451199"/>
    <w:rsid w:val="004511FB"/>
    <w:rsid w:val="0045122C"/>
    <w:rsid w:val="004512B7"/>
    <w:rsid w:val="0045131E"/>
    <w:rsid w:val="004514EC"/>
    <w:rsid w:val="004515E9"/>
    <w:rsid w:val="0045179A"/>
    <w:rsid w:val="00451B74"/>
    <w:rsid w:val="00451E19"/>
    <w:rsid w:val="004523C9"/>
    <w:rsid w:val="00452471"/>
    <w:rsid w:val="00452588"/>
    <w:rsid w:val="004528BD"/>
    <w:rsid w:val="0045290C"/>
    <w:rsid w:val="00452AB4"/>
    <w:rsid w:val="00452DBA"/>
    <w:rsid w:val="00452E5D"/>
    <w:rsid w:val="00453016"/>
    <w:rsid w:val="004532AA"/>
    <w:rsid w:val="0045331E"/>
    <w:rsid w:val="004533D1"/>
    <w:rsid w:val="00453438"/>
    <w:rsid w:val="0045350E"/>
    <w:rsid w:val="00453582"/>
    <w:rsid w:val="0045373B"/>
    <w:rsid w:val="00453AEB"/>
    <w:rsid w:val="004545A3"/>
    <w:rsid w:val="00454810"/>
    <w:rsid w:val="00454AEC"/>
    <w:rsid w:val="0045580E"/>
    <w:rsid w:val="00455C0E"/>
    <w:rsid w:val="00455C18"/>
    <w:rsid w:val="00455D7E"/>
    <w:rsid w:val="00455ECC"/>
    <w:rsid w:val="00455F78"/>
    <w:rsid w:val="004562E2"/>
    <w:rsid w:val="00456315"/>
    <w:rsid w:val="004563EA"/>
    <w:rsid w:val="004566F7"/>
    <w:rsid w:val="004567E8"/>
    <w:rsid w:val="00456A35"/>
    <w:rsid w:val="00456E1B"/>
    <w:rsid w:val="00457261"/>
    <w:rsid w:val="004573C7"/>
    <w:rsid w:val="00457890"/>
    <w:rsid w:val="00457A46"/>
    <w:rsid w:val="00457AA2"/>
    <w:rsid w:val="00457BDB"/>
    <w:rsid w:val="00457CA8"/>
    <w:rsid w:val="00457F0D"/>
    <w:rsid w:val="00460114"/>
    <w:rsid w:val="00460329"/>
    <w:rsid w:val="004603C0"/>
    <w:rsid w:val="00460758"/>
    <w:rsid w:val="00460778"/>
    <w:rsid w:val="0046109C"/>
    <w:rsid w:val="004613F8"/>
    <w:rsid w:val="004614B9"/>
    <w:rsid w:val="004616A5"/>
    <w:rsid w:val="00461DC9"/>
    <w:rsid w:val="004624F6"/>
    <w:rsid w:val="004626EE"/>
    <w:rsid w:val="00462775"/>
    <w:rsid w:val="00462B40"/>
    <w:rsid w:val="00462D53"/>
    <w:rsid w:val="00462F47"/>
    <w:rsid w:val="0046314F"/>
    <w:rsid w:val="00463368"/>
    <w:rsid w:val="004633AA"/>
    <w:rsid w:val="00463589"/>
    <w:rsid w:val="00463FEB"/>
    <w:rsid w:val="00464090"/>
    <w:rsid w:val="004640E4"/>
    <w:rsid w:val="0046487F"/>
    <w:rsid w:val="00464996"/>
    <w:rsid w:val="004649A3"/>
    <w:rsid w:val="00464DE1"/>
    <w:rsid w:val="004652A4"/>
    <w:rsid w:val="004654A9"/>
    <w:rsid w:val="004655FA"/>
    <w:rsid w:val="0046589B"/>
    <w:rsid w:val="0046598E"/>
    <w:rsid w:val="00465FB5"/>
    <w:rsid w:val="0046607D"/>
    <w:rsid w:val="00466189"/>
    <w:rsid w:val="004666AC"/>
    <w:rsid w:val="004666ED"/>
    <w:rsid w:val="004668B8"/>
    <w:rsid w:val="00466C47"/>
    <w:rsid w:val="00466E9F"/>
    <w:rsid w:val="004670F8"/>
    <w:rsid w:val="004671CF"/>
    <w:rsid w:val="004674BC"/>
    <w:rsid w:val="004674F4"/>
    <w:rsid w:val="00467BE2"/>
    <w:rsid w:val="00467E60"/>
    <w:rsid w:val="00470084"/>
    <w:rsid w:val="0047034E"/>
    <w:rsid w:val="00470CD7"/>
    <w:rsid w:val="0047142B"/>
    <w:rsid w:val="00471447"/>
    <w:rsid w:val="00471530"/>
    <w:rsid w:val="00471704"/>
    <w:rsid w:val="00471E90"/>
    <w:rsid w:val="004720FA"/>
    <w:rsid w:val="004722A4"/>
    <w:rsid w:val="00472620"/>
    <w:rsid w:val="004727E5"/>
    <w:rsid w:val="00472A93"/>
    <w:rsid w:val="00472CFD"/>
    <w:rsid w:val="00472E6B"/>
    <w:rsid w:val="00473397"/>
    <w:rsid w:val="00473449"/>
    <w:rsid w:val="004734C0"/>
    <w:rsid w:val="0047375B"/>
    <w:rsid w:val="00473A43"/>
    <w:rsid w:val="00473DE3"/>
    <w:rsid w:val="00473E6B"/>
    <w:rsid w:val="00473EC3"/>
    <w:rsid w:val="00473F38"/>
    <w:rsid w:val="00473F8F"/>
    <w:rsid w:val="004740F5"/>
    <w:rsid w:val="00474451"/>
    <w:rsid w:val="00474579"/>
    <w:rsid w:val="00474A5E"/>
    <w:rsid w:val="00474C61"/>
    <w:rsid w:val="00474FD1"/>
    <w:rsid w:val="00474FEA"/>
    <w:rsid w:val="00475039"/>
    <w:rsid w:val="004751C2"/>
    <w:rsid w:val="0047568B"/>
    <w:rsid w:val="00475745"/>
    <w:rsid w:val="004759E2"/>
    <w:rsid w:val="00475A07"/>
    <w:rsid w:val="00476234"/>
    <w:rsid w:val="004763BB"/>
    <w:rsid w:val="004764D9"/>
    <w:rsid w:val="00476DE6"/>
    <w:rsid w:val="004770A2"/>
    <w:rsid w:val="00477341"/>
    <w:rsid w:val="004777C2"/>
    <w:rsid w:val="00477892"/>
    <w:rsid w:val="00477B0F"/>
    <w:rsid w:val="00477B84"/>
    <w:rsid w:val="00480192"/>
    <w:rsid w:val="00480528"/>
    <w:rsid w:val="004808E7"/>
    <w:rsid w:val="00480C09"/>
    <w:rsid w:val="00480F9C"/>
    <w:rsid w:val="0048112F"/>
    <w:rsid w:val="004813CA"/>
    <w:rsid w:val="004819CA"/>
    <w:rsid w:val="00481D3D"/>
    <w:rsid w:val="00481E2B"/>
    <w:rsid w:val="004820E9"/>
    <w:rsid w:val="0048226D"/>
    <w:rsid w:val="0048231B"/>
    <w:rsid w:val="004824E5"/>
    <w:rsid w:val="004827D5"/>
    <w:rsid w:val="00482CD3"/>
    <w:rsid w:val="00482E0E"/>
    <w:rsid w:val="0048309E"/>
    <w:rsid w:val="00483389"/>
    <w:rsid w:val="00483720"/>
    <w:rsid w:val="00483872"/>
    <w:rsid w:val="00483E5C"/>
    <w:rsid w:val="0048400C"/>
    <w:rsid w:val="004845CB"/>
    <w:rsid w:val="0048468A"/>
    <w:rsid w:val="004849DC"/>
    <w:rsid w:val="00484F26"/>
    <w:rsid w:val="00484FF0"/>
    <w:rsid w:val="00485567"/>
    <w:rsid w:val="0048567A"/>
    <w:rsid w:val="00485877"/>
    <w:rsid w:val="00486319"/>
    <w:rsid w:val="00486669"/>
    <w:rsid w:val="004866DC"/>
    <w:rsid w:val="0048682B"/>
    <w:rsid w:val="0048699B"/>
    <w:rsid w:val="00486AED"/>
    <w:rsid w:val="00486FB1"/>
    <w:rsid w:val="004870A7"/>
    <w:rsid w:val="0048755C"/>
    <w:rsid w:val="004877AE"/>
    <w:rsid w:val="00487A8A"/>
    <w:rsid w:val="00487CC3"/>
    <w:rsid w:val="00487D75"/>
    <w:rsid w:val="004902DB"/>
    <w:rsid w:val="0049042A"/>
    <w:rsid w:val="00490484"/>
    <w:rsid w:val="0049058C"/>
    <w:rsid w:val="00490869"/>
    <w:rsid w:val="0049096A"/>
    <w:rsid w:val="00490970"/>
    <w:rsid w:val="00490CF0"/>
    <w:rsid w:val="00490D0F"/>
    <w:rsid w:val="00490E81"/>
    <w:rsid w:val="00490EC5"/>
    <w:rsid w:val="00491106"/>
    <w:rsid w:val="004911F0"/>
    <w:rsid w:val="004913DC"/>
    <w:rsid w:val="004915AC"/>
    <w:rsid w:val="00491E25"/>
    <w:rsid w:val="004920E9"/>
    <w:rsid w:val="00492148"/>
    <w:rsid w:val="004921D5"/>
    <w:rsid w:val="00492301"/>
    <w:rsid w:val="00492437"/>
    <w:rsid w:val="00492476"/>
    <w:rsid w:val="004925CE"/>
    <w:rsid w:val="004929FF"/>
    <w:rsid w:val="004931F4"/>
    <w:rsid w:val="004932BA"/>
    <w:rsid w:val="0049341F"/>
    <w:rsid w:val="00493439"/>
    <w:rsid w:val="004934B8"/>
    <w:rsid w:val="0049363C"/>
    <w:rsid w:val="004937CF"/>
    <w:rsid w:val="00493F5F"/>
    <w:rsid w:val="0049407C"/>
    <w:rsid w:val="00494AB8"/>
    <w:rsid w:val="00494C02"/>
    <w:rsid w:val="00494E53"/>
    <w:rsid w:val="00495064"/>
    <w:rsid w:val="004954E9"/>
    <w:rsid w:val="00495AF2"/>
    <w:rsid w:val="00495DFA"/>
    <w:rsid w:val="00495E88"/>
    <w:rsid w:val="004962FF"/>
    <w:rsid w:val="0049668E"/>
    <w:rsid w:val="00496843"/>
    <w:rsid w:val="00496CC8"/>
    <w:rsid w:val="00496EE8"/>
    <w:rsid w:val="0049724A"/>
    <w:rsid w:val="0049753C"/>
    <w:rsid w:val="004975C4"/>
    <w:rsid w:val="0049760F"/>
    <w:rsid w:val="004977BB"/>
    <w:rsid w:val="004979CF"/>
    <w:rsid w:val="00497AD7"/>
    <w:rsid w:val="00497CEC"/>
    <w:rsid w:val="00497D69"/>
    <w:rsid w:val="004A0000"/>
    <w:rsid w:val="004A012F"/>
    <w:rsid w:val="004A0182"/>
    <w:rsid w:val="004A0276"/>
    <w:rsid w:val="004A02AE"/>
    <w:rsid w:val="004A03C1"/>
    <w:rsid w:val="004A04A4"/>
    <w:rsid w:val="004A07EB"/>
    <w:rsid w:val="004A0958"/>
    <w:rsid w:val="004A0A22"/>
    <w:rsid w:val="004A0AB5"/>
    <w:rsid w:val="004A0E07"/>
    <w:rsid w:val="004A0F37"/>
    <w:rsid w:val="004A1183"/>
    <w:rsid w:val="004A11B6"/>
    <w:rsid w:val="004A121D"/>
    <w:rsid w:val="004A1966"/>
    <w:rsid w:val="004A19B4"/>
    <w:rsid w:val="004A1B72"/>
    <w:rsid w:val="004A2564"/>
    <w:rsid w:val="004A2622"/>
    <w:rsid w:val="004A2825"/>
    <w:rsid w:val="004A2C34"/>
    <w:rsid w:val="004A2D62"/>
    <w:rsid w:val="004A2E58"/>
    <w:rsid w:val="004A3009"/>
    <w:rsid w:val="004A3454"/>
    <w:rsid w:val="004A36C0"/>
    <w:rsid w:val="004A385B"/>
    <w:rsid w:val="004A39BF"/>
    <w:rsid w:val="004A3B62"/>
    <w:rsid w:val="004A3B93"/>
    <w:rsid w:val="004A40A6"/>
    <w:rsid w:val="004A4460"/>
    <w:rsid w:val="004A487F"/>
    <w:rsid w:val="004A48E2"/>
    <w:rsid w:val="004A4ECB"/>
    <w:rsid w:val="004A51A2"/>
    <w:rsid w:val="004A5329"/>
    <w:rsid w:val="004A5988"/>
    <w:rsid w:val="004A60D9"/>
    <w:rsid w:val="004A614B"/>
    <w:rsid w:val="004A620D"/>
    <w:rsid w:val="004A62D8"/>
    <w:rsid w:val="004A686D"/>
    <w:rsid w:val="004A68EE"/>
    <w:rsid w:val="004A69C0"/>
    <w:rsid w:val="004A6AB5"/>
    <w:rsid w:val="004A7319"/>
    <w:rsid w:val="004A7341"/>
    <w:rsid w:val="004A7757"/>
    <w:rsid w:val="004A78AB"/>
    <w:rsid w:val="004A7C44"/>
    <w:rsid w:val="004A7DB4"/>
    <w:rsid w:val="004A7E90"/>
    <w:rsid w:val="004B081B"/>
    <w:rsid w:val="004B0A73"/>
    <w:rsid w:val="004B0C99"/>
    <w:rsid w:val="004B0CC7"/>
    <w:rsid w:val="004B0DCF"/>
    <w:rsid w:val="004B124F"/>
    <w:rsid w:val="004B12E4"/>
    <w:rsid w:val="004B135E"/>
    <w:rsid w:val="004B1360"/>
    <w:rsid w:val="004B1660"/>
    <w:rsid w:val="004B16F7"/>
    <w:rsid w:val="004B173E"/>
    <w:rsid w:val="004B1B05"/>
    <w:rsid w:val="004B1BE4"/>
    <w:rsid w:val="004B22D6"/>
    <w:rsid w:val="004B27BB"/>
    <w:rsid w:val="004B2C30"/>
    <w:rsid w:val="004B2D12"/>
    <w:rsid w:val="004B2EF1"/>
    <w:rsid w:val="004B312D"/>
    <w:rsid w:val="004B3687"/>
    <w:rsid w:val="004B3BD5"/>
    <w:rsid w:val="004B4633"/>
    <w:rsid w:val="004B472B"/>
    <w:rsid w:val="004B4E35"/>
    <w:rsid w:val="004B4E87"/>
    <w:rsid w:val="004B5035"/>
    <w:rsid w:val="004B5343"/>
    <w:rsid w:val="004B53E8"/>
    <w:rsid w:val="004B5480"/>
    <w:rsid w:val="004B56EA"/>
    <w:rsid w:val="004B58FC"/>
    <w:rsid w:val="004B5973"/>
    <w:rsid w:val="004B6923"/>
    <w:rsid w:val="004B6946"/>
    <w:rsid w:val="004B6A45"/>
    <w:rsid w:val="004B6A93"/>
    <w:rsid w:val="004B6AA3"/>
    <w:rsid w:val="004B6D4A"/>
    <w:rsid w:val="004B6F06"/>
    <w:rsid w:val="004B7432"/>
    <w:rsid w:val="004B76C0"/>
    <w:rsid w:val="004B77E5"/>
    <w:rsid w:val="004B7BB3"/>
    <w:rsid w:val="004C044A"/>
    <w:rsid w:val="004C066B"/>
    <w:rsid w:val="004C0976"/>
    <w:rsid w:val="004C1125"/>
    <w:rsid w:val="004C16CE"/>
    <w:rsid w:val="004C195C"/>
    <w:rsid w:val="004C19AF"/>
    <w:rsid w:val="004C20AF"/>
    <w:rsid w:val="004C211E"/>
    <w:rsid w:val="004C22F2"/>
    <w:rsid w:val="004C27C4"/>
    <w:rsid w:val="004C2A6B"/>
    <w:rsid w:val="004C2A7A"/>
    <w:rsid w:val="004C2C87"/>
    <w:rsid w:val="004C33A6"/>
    <w:rsid w:val="004C35FE"/>
    <w:rsid w:val="004C3674"/>
    <w:rsid w:val="004C3734"/>
    <w:rsid w:val="004C3A95"/>
    <w:rsid w:val="004C3C52"/>
    <w:rsid w:val="004C3FC4"/>
    <w:rsid w:val="004C42CB"/>
    <w:rsid w:val="004C43F2"/>
    <w:rsid w:val="004C4486"/>
    <w:rsid w:val="004C4900"/>
    <w:rsid w:val="004C4B55"/>
    <w:rsid w:val="004C4E0C"/>
    <w:rsid w:val="004C5091"/>
    <w:rsid w:val="004C5698"/>
    <w:rsid w:val="004C61AB"/>
    <w:rsid w:val="004C648B"/>
    <w:rsid w:val="004C6589"/>
    <w:rsid w:val="004C6600"/>
    <w:rsid w:val="004C6AB5"/>
    <w:rsid w:val="004C6B05"/>
    <w:rsid w:val="004C6E1F"/>
    <w:rsid w:val="004C6EEF"/>
    <w:rsid w:val="004C7044"/>
    <w:rsid w:val="004C710F"/>
    <w:rsid w:val="004C78B0"/>
    <w:rsid w:val="004C7BFF"/>
    <w:rsid w:val="004C7E86"/>
    <w:rsid w:val="004C7EBC"/>
    <w:rsid w:val="004D03A6"/>
    <w:rsid w:val="004D09B7"/>
    <w:rsid w:val="004D09C2"/>
    <w:rsid w:val="004D0D32"/>
    <w:rsid w:val="004D1623"/>
    <w:rsid w:val="004D1C89"/>
    <w:rsid w:val="004D1E76"/>
    <w:rsid w:val="004D204A"/>
    <w:rsid w:val="004D2109"/>
    <w:rsid w:val="004D2185"/>
    <w:rsid w:val="004D2438"/>
    <w:rsid w:val="004D2573"/>
    <w:rsid w:val="004D2978"/>
    <w:rsid w:val="004D2AC6"/>
    <w:rsid w:val="004D2D5E"/>
    <w:rsid w:val="004D2E8D"/>
    <w:rsid w:val="004D2EEB"/>
    <w:rsid w:val="004D2F93"/>
    <w:rsid w:val="004D3107"/>
    <w:rsid w:val="004D34B8"/>
    <w:rsid w:val="004D3965"/>
    <w:rsid w:val="004D3ABB"/>
    <w:rsid w:val="004D3B18"/>
    <w:rsid w:val="004D42EC"/>
    <w:rsid w:val="004D4312"/>
    <w:rsid w:val="004D4592"/>
    <w:rsid w:val="004D4D8F"/>
    <w:rsid w:val="004D4F46"/>
    <w:rsid w:val="004D58BF"/>
    <w:rsid w:val="004D5A16"/>
    <w:rsid w:val="004D5A6D"/>
    <w:rsid w:val="004D5F2A"/>
    <w:rsid w:val="004D6162"/>
    <w:rsid w:val="004D648C"/>
    <w:rsid w:val="004D6BC4"/>
    <w:rsid w:val="004D6BF9"/>
    <w:rsid w:val="004D6C8E"/>
    <w:rsid w:val="004D6E67"/>
    <w:rsid w:val="004D71ED"/>
    <w:rsid w:val="004D7441"/>
    <w:rsid w:val="004D75C8"/>
    <w:rsid w:val="004D768A"/>
    <w:rsid w:val="004D77D6"/>
    <w:rsid w:val="004D7982"/>
    <w:rsid w:val="004D79F9"/>
    <w:rsid w:val="004D7D97"/>
    <w:rsid w:val="004E033C"/>
    <w:rsid w:val="004E050A"/>
    <w:rsid w:val="004E0726"/>
    <w:rsid w:val="004E10B9"/>
    <w:rsid w:val="004E1622"/>
    <w:rsid w:val="004E17FE"/>
    <w:rsid w:val="004E19F3"/>
    <w:rsid w:val="004E1CC0"/>
    <w:rsid w:val="004E1EDA"/>
    <w:rsid w:val="004E1F5E"/>
    <w:rsid w:val="004E2141"/>
    <w:rsid w:val="004E23F7"/>
    <w:rsid w:val="004E292F"/>
    <w:rsid w:val="004E297B"/>
    <w:rsid w:val="004E2F6E"/>
    <w:rsid w:val="004E317E"/>
    <w:rsid w:val="004E353C"/>
    <w:rsid w:val="004E3669"/>
    <w:rsid w:val="004E3961"/>
    <w:rsid w:val="004E3DA4"/>
    <w:rsid w:val="004E4188"/>
    <w:rsid w:val="004E4249"/>
    <w:rsid w:val="004E431F"/>
    <w:rsid w:val="004E43B8"/>
    <w:rsid w:val="004E450C"/>
    <w:rsid w:val="004E4554"/>
    <w:rsid w:val="004E45D9"/>
    <w:rsid w:val="004E488C"/>
    <w:rsid w:val="004E4A28"/>
    <w:rsid w:val="004E4B88"/>
    <w:rsid w:val="004E4D93"/>
    <w:rsid w:val="004E4F08"/>
    <w:rsid w:val="004E5044"/>
    <w:rsid w:val="004E51A4"/>
    <w:rsid w:val="004E53EB"/>
    <w:rsid w:val="004E57B8"/>
    <w:rsid w:val="004E5C10"/>
    <w:rsid w:val="004E5CCB"/>
    <w:rsid w:val="004E662F"/>
    <w:rsid w:val="004E6703"/>
    <w:rsid w:val="004E67CD"/>
    <w:rsid w:val="004E687D"/>
    <w:rsid w:val="004E6AF1"/>
    <w:rsid w:val="004E6D06"/>
    <w:rsid w:val="004E6EA3"/>
    <w:rsid w:val="004E6ECA"/>
    <w:rsid w:val="004E6FD2"/>
    <w:rsid w:val="004E7061"/>
    <w:rsid w:val="004E70EC"/>
    <w:rsid w:val="004E7303"/>
    <w:rsid w:val="004E7836"/>
    <w:rsid w:val="004E7949"/>
    <w:rsid w:val="004E7982"/>
    <w:rsid w:val="004F01C6"/>
    <w:rsid w:val="004F02FF"/>
    <w:rsid w:val="004F04FD"/>
    <w:rsid w:val="004F0B89"/>
    <w:rsid w:val="004F0CA6"/>
    <w:rsid w:val="004F0D06"/>
    <w:rsid w:val="004F116E"/>
    <w:rsid w:val="004F11AD"/>
    <w:rsid w:val="004F13A2"/>
    <w:rsid w:val="004F1594"/>
    <w:rsid w:val="004F15BE"/>
    <w:rsid w:val="004F168E"/>
    <w:rsid w:val="004F1D98"/>
    <w:rsid w:val="004F2361"/>
    <w:rsid w:val="004F23FA"/>
    <w:rsid w:val="004F26DA"/>
    <w:rsid w:val="004F26E7"/>
    <w:rsid w:val="004F27AB"/>
    <w:rsid w:val="004F27E8"/>
    <w:rsid w:val="004F27FD"/>
    <w:rsid w:val="004F2B14"/>
    <w:rsid w:val="004F2FB4"/>
    <w:rsid w:val="004F319F"/>
    <w:rsid w:val="004F3567"/>
    <w:rsid w:val="004F3977"/>
    <w:rsid w:val="004F3BDC"/>
    <w:rsid w:val="004F3CBD"/>
    <w:rsid w:val="004F3F84"/>
    <w:rsid w:val="004F4397"/>
    <w:rsid w:val="004F4487"/>
    <w:rsid w:val="004F5082"/>
    <w:rsid w:val="004F5246"/>
    <w:rsid w:val="004F5605"/>
    <w:rsid w:val="004F5E42"/>
    <w:rsid w:val="004F5FF7"/>
    <w:rsid w:val="004F605C"/>
    <w:rsid w:val="004F609A"/>
    <w:rsid w:val="004F61F7"/>
    <w:rsid w:val="004F6483"/>
    <w:rsid w:val="004F64B1"/>
    <w:rsid w:val="004F66C5"/>
    <w:rsid w:val="004F681C"/>
    <w:rsid w:val="004F6985"/>
    <w:rsid w:val="004F6B30"/>
    <w:rsid w:val="004F6B44"/>
    <w:rsid w:val="004F702C"/>
    <w:rsid w:val="004F7649"/>
    <w:rsid w:val="004F7CCD"/>
    <w:rsid w:val="004F7CDB"/>
    <w:rsid w:val="004F7F1E"/>
    <w:rsid w:val="004F7F50"/>
    <w:rsid w:val="00500963"/>
    <w:rsid w:val="00500D24"/>
    <w:rsid w:val="00500EC6"/>
    <w:rsid w:val="00500F01"/>
    <w:rsid w:val="0050107C"/>
    <w:rsid w:val="00501909"/>
    <w:rsid w:val="0050194D"/>
    <w:rsid w:val="005019EC"/>
    <w:rsid w:val="00501BFB"/>
    <w:rsid w:val="00501E3C"/>
    <w:rsid w:val="005022A6"/>
    <w:rsid w:val="005022B1"/>
    <w:rsid w:val="005026B3"/>
    <w:rsid w:val="00502712"/>
    <w:rsid w:val="005027C7"/>
    <w:rsid w:val="00502BF2"/>
    <w:rsid w:val="0050348A"/>
    <w:rsid w:val="00503512"/>
    <w:rsid w:val="005035CE"/>
    <w:rsid w:val="00503640"/>
    <w:rsid w:val="00503A96"/>
    <w:rsid w:val="00503AAB"/>
    <w:rsid w:val="00503D5A"/>
    <w:rsid w:val="00503E97"/>
    <w:rsid w:val="00504020"/>
    <w:rsid w:val="0050446F"/>
    <w:rsid w:val="00504491"/>
    <w:rsid w:val="00504518"/>
    <w:rsid w:val="0050487C"/>
    <w:rsid w:val="00504A72"/>
    <w:rsid w:val="00504D1F"/>
    <w:rsid w:val="00504D49"/>
    <w:rsid w:val="005050C2"/>
    <w:rsid w:val="005051DC"/>
    <w:rsid w:val="00505463"/>
    <w:rsid w:val="00505717"/>
    <w:rsid w:val="00505825"/>
    <w:rsid w:val="00505917"/>
    <w:rsid w:val="005062C4"/>
    <w:rsid w:val="00506410"/>
    <w:rsid w:val="0050684B"/>
    <w:rsid w:val="00506888"/>
    <w:rsid w:val="00507265"/>
    <w:rsid w:val="005072E7"/>
    <w:rsid w:val="005076B4"/>
    <w:rsid w:val="00507804"/>
    <w:rsid w:val="005106B2"/>
    <w:rsid w:val="005106CD"/>
    <w:rsid w:val="0051076D"/>
    <w:rsid w:val="005108CF"/>
    <w:rsid w:val="00510C0B"/>
    <w:rsid w:val="0051139D"/>
    <w:rsid w:val="00511517"/>
    <w:rsid w:val="00511725"/>
    <w:rsid w:val="0051178E"/>
    <w:rsid w:val="0051178F"/>
    <w:rsid w:val="005117B2"/>
    <w:rsid w:val="005118CF"/>
    <w:rsid w:val="00511B5A"/>
    <w:rsid w:val="00511BF5"/>
    <w:rsid w:val="00511C21"/>
    <w:rsid w:val="00511D4B"/>
    <w:rsid w:val="00511E49"/>
    <w:rsid w:val="00511E76"/>
    <w:rsid w:val="005127BA"/>
    <w:rsid w:val="00512BE2"/>
    <w:rsid w:val="0051315A"/>
    <w:rsid w:val="00513162"/>
    <w:rsid w:val="0051345E"/>
    <w:rsid w:val="00513533"/>
    <w:rsid w:val="005135E5"/>
    <w:rsid w:val="00513919"/>
    <w:rsid w:val="0051396B"/>
    <w:rsid w:val="00513F98"/>
    <w:rsid w:val="0051428C"/>
    <w:rsid w:val="005142BE"/>
    <w:rsid w:val="00514643"/>
    <w:rsid w:val="00514E28"/>
    <w:rsid w:val="00514EFA"/>
    <w:rsid w:val="00515A96"/>
    <w:rsid w:val="00515D33"/>
    <w:rsid w:val="00515F68"/>
    <w:rsid w:val="005164AF"/>
    <w:rsid w:val="005165E7"/>
    <w:rsid w:val="005167ED"/>
    <w:rsid w:val="0051701D"/>
    <w:rsid w:val="005170AA"/>
    <w:rsid w:val="00517199"/>
    <w:rsid w:val="0051732C"/>
    <w:rsid w:val="0051743D"/>
    <w:rsid w:val="00517A29"/>
    <w:rsid w:val="00517B81"/>
    <w:rsid w:val="0052020E"/>
    <w:rsid w:val="005205FF"/>
    <w:rsid w:val="0052091B"/>
    <w:rsid w:val="005212F8"/>
    <w:rsid w:val="0052145F"/>
    <w:rsid w:val="005214E1"/>
    <w:rsid w:val="0052155E"/>
    <w:rsid w:val="00521604"/>
    <w:rsid w:val="0052164E"/>
    <w:rsid w:val="005217AE"/>
    <w:rsid w:val="00521E29"/>
    <w:rsid w:val="00521FE2"/>
    <w:rsid w:val="00522515"/>
    <w:rsid w:val="00522548"/>
    <w:rsid w:val="005225ED"/>
    <w:rsid w:val="00522964"/>
    <w:rsid w:val="00522A45"/>
    <w:rsid w:val="00522B58"/>
    <w:rsid w:val="00522EA5"/>
    <w:rsid w:val="00523367"/>
    <w:rsid w:val="005236C6"/>
    <w:rsid w:val="005239C7"/>
    <w:rsid w:val="00523B23"/>
    <w:rsid w:val="00523C24"/>
    <w:rsid w:val="00523D19"/>
    <w:rsid w:val="00523F02"/>
    <w:rsid w:val="00524468"/>
    <w:rsid w:val="00524D3A"/>
    <w:rsid w:val="00524F96"/>
    <w:rsid w:val="0052517B"/>
    <w:rsid w:val="005251E3"/>
    <w:rsid w:val="0052551B"/>
    <w:rsid w:val="00525A5C"/>
    <w:rsid w:val="005260D4"/>
    <w:rsid w:val="00526193"/>
    <w:rsid w:val="0052624C"/>
    <w:rsid w:val="005263C3"/>
    <w:rsid w:val="00526D72"/>
    <w:rsid w:val="00526F04"/>
    <w:rsid w:val="005271AE"/>
    <w:rsid w:val="00527355"/>
    <w:rsid w:val="0052740C"/>
    <w:rsid w:val="005274AB"/>
    <w:rsid w:val="005277C9"/>
    <w:rsid w:val="00527B61"/>
    <w:rsid w:val="00527C5E"/>
    <w:rsid w:val="00527DDF"/>
    <w:rsid w:val="005300FF"/>
    <w:rsid w:val="0053018C"/>
    <w:rsid w:val="00530626"/>
    <w:rsid w:val="00530776"/>
    <w:rsid w:val="00530AE3"/>
    <w:rsid w:val="00530E6E"/>
    <w:rsid w:val="00530EEC"/>
    <w:rsid w:val="0053112B"/>
    <w:rsid w:val="0053134C"/>
    <w:rsid w:val="005313A5"/>
    <w:rsid w:val="005315A1"/>
    <w:rsid w:val="00531933"/>
    <w:rsid w:val="00531B16"/>
    <w:rsid w:val="00531E49"/>
    <w:rsid w:val="00531F6E"/>
    <w:rsid w:val="005321F3"/>
    <w:rsid w:val="0053223A"/>
    <w:rsid w:val="0053266C"/>
    <w:rsid w:val="00532693"/>
    <w:rsid w:val="005328EB"/>
    <w:rsid w:val="00532A60"/>
    <w:rsid w:val="00532E23"/>
    <w:rsid w:val="00532F65"/>
    <w:rsid w:val="005330CB"/>
    <w:rsid w:val="00533183"/>
    <w:rsid w:val="00533494"/>
    <w:rsid w:val="005334D2"/>
    <w:rsid w:val="00533747"/>
    <w:rsid w:val="005338EF"/>
    <w:rsid w:val="00533B2F"/>
    <w:rsid w:val="00533CD7"/>
    <w:rsid w:val="00533D5D"/>
    <w:rsid w:val="00533F89"/>
    <w:rsid w:val="005341C2"/>
    <w:rsid w:val="00534298"/>
    <w:rsid w:val="005342F3"/>
    <w:rsid w:val="005346C1"/>
    <w:rsid w:val="00534947"/>
    <w:rsid w:val="0053499D"/>
    <w:rsid w:val="00534AFC"/>
    <w:rsid w:val="00534C07"/>
    <w:rsid w:val="00534FFE"/>
    <w:rsid w:val="0053526E"/>
    <w:rsid w:val="005352CF"/>
    <w:rsid w:val="0053555D"/>
    <w:rsid w:val="005358BA"/>
    <w:rsid w:val="0053591C"/>
    <w:rsid w:val="00535DE5"/>
    <w:rsid w:val="00535FAA"/>
    <w:rsid w:val="005361CD"/>
    <w:rsid w:val="00536298"/>
    <w:rsid w:val="005366DC"/>
    <w:rsid w:val="00536B27"/>
    <w:rsid w:val="00537C18"/>
    <w:rsid w:val="00537E20"/>
    <w:rsid w:val="00537EC7"/>
    <w:rsid w:val="0053F10A"/>
    <w:rsid w:val="005400DB"/>
    <w:rsid w:val="005402D7"/>
    <w:rsid w:val="00540301"/>
    <w:rsid w:val="005406A4"/>
    <w:rsid w:val="0054074E"/>
    <w:rsid w:val="00540889"/>
    <w:rsid w:val="00540B49"/>
    <w:rsid w:val="00540DCD"/>
    <w:rsid w:val="00540DF5"/>
    <w:rsid w:val="00540FC8"/>
    <w:rsid w:val="00540FDC"/>
    <w:rsid w:val="00541066"/>
    <w:rsid w:val="00541353"/>
    <w:rsid w:val="005414A8"/>
    <w:rsid w:val="005414D6"/>
    <w:rsid w:val="00541793"/>
    <w:rsid w:val="00541999"/>
    <w:rsid w:val="005419F2"/>
    <w:rsid w:val="0054213E"/>
    <w:rsid w:val="005423EF"/>
    <w:rsid w:val="00542470"/>
    <w:rsid w:val="00542724"/>
    <w:rsid w:val="0054282E"/>
    <w:rsid w:val="00542887"/>
    <w:rsid w:val="00542933"/>
    <w:rsid w:val="005429E5"/>
    <w:rsid w:val="00542E43"/>
    <w:rsid w:val="005434D8"/>
    <w:rsid w:val="005434FC"/>
    <w:rsid w:val="0054362E"/>
    <w:rsid w:val="00543EEA"/>
    <w:rsid w:val="00544082"/>
    <w:rsid w:val="00544132"/>
    <w:rsid w:val="00544248"/>
    <w:rsid w:val="00544495"/>
    <w:rsid w:val="005446C9"/>
    <w:rsid w:val="00544764"/>
    <w:rsid w:val="0054476C"/>
    <w:rsid w:val="00544E4A"/>
    <w:rsid w:val="00545408"/>
    <w:rsid w:val="005456C7"/>
    <w:rsid w:val="00545839"/>
    <w:rsid w:val="00545971"/>
    <w:rsid w:val="00545A10"/>
    <w:rsid w:val="00545A3E"/>
    <w:rsid w:val="00545A9F"/>
    <w:rsid w:val="00545BF6"/>
    <w:rsid w:val="00545F84"/>
    <w:rsid w:val="00546299"/>
    <w:rsid w:val="00546421"/>
    <w:rsid w:val="00546BB3"/>
    <w:rsid w:val="00546DAC"/>
    <w:rsid w:val="005476B6"/>
    <w:rsid w:val="00547853"/>
    <w:rsid w:val="00547A17"/>
    <w:rsid w:val="00547A81"/>
    <w:rsid w:val="00547CA5"/>
    <w:rsid w:val="005500B8"/>
    <w:rsid w:val="00550265"/>
    <w:rsid w:val="00550400"/>
    <w:rsid w:val="00550A02"/>
    <w:rsid w:val="00550BAB"/>
    <w:rsid w:val="00550D58"/>
    <w:rsid w:val="00551374"/>
    <w:rsid w:val="00551732"/>
    <w:rsid w:val="00551C14"/>
    <w:rsid w:val="00551C20"/>
    <w:rsid w:val="00551E6B"/>
    <w:rsid w:val="00551EFD"/>
    <w:rsid w:val="0055205B"/>
    <w:rsid w:val="00552473"/>
    <w:rsid w:val="005525C2"/>
    <w:rsid w:val="005526F9"/>
    <w:rsid w:val="0055287F"/>
    <w:rsid w:val="005529BE"/>
    <w:rsid w:val="00552BA8"/>
    <w:rsid w:val="00552C0C"/>
    <w:rsid w:val="00552CD9"/>
    <w:rsid w:val="005531EC"/>
    <w:rsid w:val="005532D5"/>
    <w:rsid w:val="0055338A"/>
    <w:rsid w:val="00553EC2"/>
    <w:rsid w:val="00553F78"/>
    <w:rsid w:val="00554021"/>
    <w:rsid w:val="005541F5"/>
    <w:rsid w:val="005544D2"/>
    <w:rsid w:val="00554584"/>
    <w:rsid w:val="0055497A"/>
    <w:rsid w:val="005550C3"/>
    <w:rsid w:val="00555464"/>
    <w:rsid w:val="00555571"/>
    <w:rsid w:val="0055569B"/>
    <w:rsid w:val="0055574C"/>
    <w:rsid w:val="005558E9"/>
    <w:rsid w:val="00555D98"/>
    <w:rsid w:val="00555E11"/>
    <w:rsid w:val="00555EC1"/>
    <w:rsid w:val="00555FF3"/>
    <w:rsid w:val="00556596"/>
    <w:rsid w:val="005566E9"/>
    <w:rsid w:val="005569B8"/>
    <w:rsid w:val="00556BC5"/>
    <w:rsid w:val="00556DB6"/>
    <w:rsid w:val="00556ED2"/>
    <w:rsid w:val="00557478"/>
    <w:rsid w:val="005575E8"/>
    <w:rsid w:val="0055767F"/>
    <w:rsid w:val="00557A2C"/>
    <w:rsid w:val="00557A91"/>
    <w:rsid w:val="00557C3A"/>
    <w:rsid w:val="005600FB"/>
    <w:rsid w:val="00560865"/>
    <w:rsid w:val="00560A32"/>
    <w:rsid w:val="00560AAF"/>
    <w:rsid w:val="00560AD9"/>
    <w:rsid w:val="00560C3C"/>
    <w:rsid w:val="005611CF"/>
    <w:rsid w:val="00561629"/>
    <w:rsid w:val="00561C4D"/>
    <w:rsid w:val="00561E68"/>
    <w:rsid w:val="005620AE"/>
    <w:rsid w:val="00562F51"/>
    <w:rsid w:val="005634AE"/>
    <w:rsid w:val="005634D5"/>
    <w:rsid w:val="005634E7"/>
    <w:rsid w:val="00563E99"/>
    <w:rsid w:val="0056410A"/>
    <w:rsid w:val="00564360"/>
    <w:rsid w:val="005643CE"/>
    <w:rsid w:val="005643DA"/>
    <w:rsid w:val="00564467"/>
    <w:rsid w:val="00564521"/>
    <w:rsid w:val="005648C8"/>
    <w:rsid w:val="0056494F"/>
    <w:rsid w:val="00564AEF"/>
    <w:rsid w:val="00564E66"/>
    <w:rsid w:val="00564F66"/>
    <w:rsid w:val="00565255"/>
    <w:rsid w:val="005652C9"/>
    <w:rsid w:val="00565BA0"/>
    <w:rsid w:val="00565E95"/>
    <w:rsid w:val="00565E96"/>
    <w:rsid w:val="00565EA7"/>
    <w:rsid w:val="00566117"/>
    <w:rsid w:val="00566221"/>
    <w:rsid w:val="00566355"/>
    <w:rsid w:val="00566705"/>
    <w:rsid w:val="00566CFD"/>
    <w:rsid w:val="00566E52"/>
    <w:rsid w:val="005677CA"/>
    <w:rsid w:val="00570527"/>
    <w:rsid w:val="00570709"/>
    <w:rsid w:val="00570D42"/>
    <w:rsid w:val="00570D80"/>
    <w:rsid w:val="00571009"/>
    <w:rsid w:val="005713C6"/>
    <w:rsid w:val="0057185B"/>
    <w:rsid w:val="00571ABA"/>
    <w:rsid w:val="00571DD4"/>
    <w:rsid w:val="0057226F"/>
    <w:rsid w:val="005724B7"/>
    <w:rsid w:val="005725E9"/>
    <w:rsid w:val="005726A7"/>
    <w:rsid w:val="00572BE2"/>
    <w:rsid w:val="00572ED9"/>
    <w:rsid w:val="00573092"/>
    <w:rsid w:val="0057309D"/>
    <w:rsid w:val="005730C4"/>
    <w:rsid w:val="0057320B"/>
    <w:rsid w:val="0057370D"/>
    <w:rsid w:val="005737E3"/>
    <w:rsid w:val="005738FF"/>
    <w:rsid w:val="00573B8C"/>
    <w:rsid w:val="00573C22"/>
    <w:rsid w:val="005741C6"/>
    <w:rsid w:val="0057443A"/>
    <w:rsid w:val="005744C0"/>
    <w:rsid w:val="005747A7"/>
    <w:rsid w:val="00574E43"/>
    <w:rsid w:val="005750A8"/>
    <w:rsid w:val="00575266"/>
    <w:rsid w:val="005752BD"/>
    <w:rsid w:val="00575821"/>
    <w:rsid w:val="00575A09"/>
    <w:rsid w:val="00575A6A"/>
    <w:rsid w:val="0057674D"/>
    <w:rsid w:val="0057698A"/>
    <w:rsid w:val="0057698D"/>
    <w:rsid w:val="00576C0F"/>
    <w:rsid w:val="00576C5C"/>
    <w:rsid w:val="0057700F"/>
    <w:rsid w:val="0057752A"/>
    <w:rsid w:val="00577585"/>
    <w:rsid w:val="00580073"/>
    <w:rsid w:val="00580140"/>
    <w:rsid w:val="00580678"/>
    <w:rsid w:val="00580734"/>
    <w:rsid w:val="00580843"/>
    <w:rsid w:val="00580AAB"/>
    <w:rsid w:val="00580DEE"/>
    <w:rsid w:val="00581093"/>
    <w:rsid w:val="005810A7"/>
    <w:rsid w:val="00581113"/>
    <w:rsid w:val="0058120C"/>
    <w:rsid w:val="0058141C"/>
    <w:rsid w:val="0058174F"/>
    <w:rsid w:val="0058177B"/>
    <w:rsid w:val="00581D1C"/>
    <w:rsid w:val="00581DEA"/>
    <w:rsid w:val="00581E2F"/>
    <w:rsid w:val="00581EAA"/>
    <w:rsid w:val="005824B8"/>
    <w:rsid w:val="00582E41"/>
    <w:rsid w:val="00582F61"/>
    <w:rsid w:val="00583104"/>
    <w:rsid w:val="00583524"/>
    <w:rsid w:val="0058372E"/>
    <w:rsid w:val="00583B8E"/>
    <w:rsid w:val="00583EE2"/>
    <w:rsid w:val="00584176"/>
    <w:rsid w:val="00584501"/>
    <w:rsid w:val="00584618"/>
    <w:rsid w:val="00584966"/>
    <w:rsid w:val="00584D95"/>
    <w:rsid w:val="00585036"/>
    <w:rsid w:val="005850AE"/>
    <w:rsid w:val="005850E3"/>
    <w:rsid w:val="0058543B"/>
    <w:rsid w:val="005855C3"/>
    <w:rsid w:val="005857D8"/>
    <w:rsid w:val="005857F0"/>
    <w:rsid w:val="00585ADF"/>
    <w:rsid w:val="00585DF5"/>
    <w:rsid w:val="0058613B"/>
    <w:rsid w:val="00586233"/>
    <w:rsid w:val="00586472"/>
    <w:rsid w:val="005864FF"/>
    <w:rsid w:val="00586909"/>
    <w:rsid w:val="005869A7"/>
    <w:rsid w:val="00586B5A"/>
    <w:rsid w:val="00586C9D"/>
    <w:rsid w:val="0058700F"/>
    <w:rsid w:val="005872C5"/>
    <w:rsid w:val="005873D4"/>
    <w:rsid w:val="00587707"/>
    <w:rsid w:val="005877EE"/>
    <w:rsid w:val="005901E8"/>
    <w:rsid w:val="005902DC"/>
    <w:rsid w:val="00590385"/>
    <w:rsid w:val="00590D04"/>
    <w:rsid w:val="0059155E"/>
    <w:rsid w:val="00591D0D"/>
    <w:rsid w:val="005921DE"/>
    <w:rsid w:val="00592D66"/>
    <w:rsid w:val="00592D84"/>
    <w:rsid w:val="0059313C"/>
    <w:rsid w:val="00593375"/>
    <w:rsid w:val="0059354A"/>
    <w:rsid w:val="0059365A"/>
    <w:rsid w:val="00593B74"/>
    <w:rsid w:val="00593B8A"/>
    <w:rsid w:val="00593F39"/>
    <w:rsid w:val="00594072"/>
    <w:rsid w:val="0059434A"/>
    <w:rsid w:val="00594847"/>
    <w:rsid w:val="005956C7"/>
    <w:rsid w:val="00595A5A"/>
    <w:rsid w:val="00595A99"/>
    <w:rsid w:val="00595DC1"/>
    <w:rsid w:val="005960C7"/>
    <w:rsid w:val="0059610F"/>
    <w:rsid w:val="00596264"/>
    <w:rsid w:val="00596400"/>
    <w:rsid w:val="0059683E"/>
    <w:rsid w:val="00596C08"/>
    <w:rsid w:val="00596ECB"/>
    <w:rsid w:val="0059748F"/>
    <w:rsid w:val="005974ED"/>
    <w:rsid w:val="00597CC1"/>
    <w:rsid w:val="00597F7E"/>
    <w:rsid w:val="005A0092"/>
    <w:rsid w:val="005A08C8"/>
    <w:rsid w:val="005A101B"/>
    <w:rsid w:val="005A117B"/>
    <w:rsid w:val="005A1506"/>
    <w:rsid w:val="005A157C"/>
    <w:rsid w:val="005A186F"/>
    <w:rsid w:val="005A18AC"/>
    <w:rsid w:val="005A1A78"/>
    <w:rsid w:val="005A1AB6"/>
    <w:rsid w:val="005A1B52"/>
    <w:rsid w:val="005A1EC8"/>
    <w:rsid w:val="005A1F63"/>
    <w:rsid w:val="005A2165"/>
    <w:rsid w:val="005A2C2B"/>
    <w:rsid w:val="005A2DAB"/>
    <w:rsid w:val="005A2F3B"/>
    <w:rsid w:val="005A3386"/>
    <w:rsid w:val="005A340B"/>
    <w:rsid w:val="005A3464"/>
    <w:rsid w:val="005A35D7"/>
    <w:rsid w:val="005A3841"/>
    <w:rsid w:val="005A38BD"/>
    <w:rsid w:val="005A3912"/>
    <w:rsid w:val="005A39C0"/>
    <w:rsid w:val="005A3C5F"/>
    <w:rsid w:val="005A3DA3"/>
    <w:rsid w:val="005A3EAD"/>
    <w:rsid w:val="005A44D0"/>
    <w:rsid w:val="005A4758"/>
    <w:rsid w:val="005A47D8"/>
    <w:rsid w:val="005A481C"/>
    <w:rsid w:val="005A49BE"/>
    <w:rsid w:val="005A4A08"/>
    <w:rsid w:val="005A4D1B"/>
    <w:rsid w:val="005A4ED2"/>
    <w:rsid w:val="005A4ED9"/>
    <w:rsid w:val="005A4F0C"/>
    <w:rsid w:val="005A4F37"/>
    <w:rsid w:val="005A5264"/>
    <w:rsid w:val="005A52F1"/>
    <w:rsid w:val="005A5535"/>
    <w:rsid w:val="005A5B3D"/>
    <w:rsid w:val="005A5C43"/>
    <w:rsid w:val="005A5E1F"/>
    <w:rsid w:val="005A6198"/>
    <w:rsid w:val="005A657F"/>
    <w:rsid w:val="005A6695"/>
    <w:rsid w:val="005A6710"/>
    <w:rsid w:val="005A6A5E"/>
    <w:rsid w:val="005A6B6D"/>
    <w:rsid w:val="005A6E11"/>
    <w:rsid w:val="005A72C8"/>
    <w:rsid w:val="005A76B4"/>
    <w:rsid w:val="005A7761"/>
    <w:rsid w:val="005A78F9"/>
    <w:rsid w:val="005A7D6E"/>
    <w:rsid w:val="005A7EA8"/>
    <w:rsid w:val="005B0E4A"/>
    <w:rsid w:val="005B1258"/>
    <w:rsid w:val="005B2523"/>
    <w:rsid w:val="005B2617"/>
    <w:rsid w:val="005B27F6"/>
    <w:rsid w:val="005B28BC"/>
    <w:rsid w:val="005B2C4E"/>
    <w:rsid w:val="005B2F8E"/>
    <w:rsid w:val="005B3528"/>
    <w:rsid w:val="005B3566"/>
    <w:rsid w:val="005B382B"/>
    <w:rsid w:val="005B3A00"/>
    <w:rsid w:val="005B3A3E"/>
    <w:rsid w:val="005B4003"/>
    <w:rsid w:val="005B40DB"/>
    <w:rsid w:val="005B41ED"/>
    <w:rsid w:val="005B425C"/>
    <w:rsid w:val="005B45B3"/>
    <w:rsid w:val="005B4709"/>
    <w:rsid w:val="005B4738"/>
    <w:rsid w:val="005B4A92"/>
    <w:rsid w:val="005B4A9E"/>
    <w:rsid w:val="005B4B18"/>
    <w:rsid w:val="005B4B4B"/>
    <w:rsid w:val="005B4BD9"/>
    <w:rsid w:val="005B4E01"/>
    <w:rsid w:val="005B52A4"/>
    <w:rsid w:val="005B5373"/>
    <w:rsid w:val="005B58B2"/>
    <w:rsid w:val="005B5A5A"/>
    <w:rsid w:val="005B61B9"/>
    <w:rsid w:val="005B61C1"/>
    <w:rsid w:val="005B61F5"/>
    <w:rsid w:val="005B624E"/>
    <w:rsid w:val="005B62D0"/>
    <w:rsid w:val="005B6877"/>
    <w:rsid w:val="005B6998"/>
    <w:rsid w:val="005B6ABC"/>
    <w:rsid w:val="005B6B35"/>
    <w:rsid w:val="005B6BFD"/>
    <w:rsid w:val="005C02FC"/>
    <w:rsid w:val="005C069C"/>
    <w:rsid w:val="005C0976"/>
    <w:rsid w:val="005C0C14"/>
    <w:rsid w:val="005C0C52"/>
    <w:rsid w:val="005C0F27"/>
    <w:rsid w:val="005C0FD1"/>
    <w:rsid w:val="005C1184"/>
    <w:rsid w:val="005C144A"/>
    <w:rsid w:val="005C16B1"/>
    <w:rsid w:val="005C199E"/>
    <w:rsid w:val="005C1D32"/>
    <w:rsid w:val="005C2145"/>
    <w:rsid w:val="005C22EC"/>
    <w:rsid w:val="005C2696"/>
    <w:rsid w:val="005C2A4C"/>
    <w:rsid w:val="005C2B46"/>
    <w:rsid w:val="005C3196"/>
    <w:rsid w:val="005C3366"/>
    <w:rsid w:val="005C3463"/>
    <w:rsid w:val="005C36BC"/>
    <w:rsid w:val="005C3790"/>
    <w:rsid w:val="005C3DB5"/>
    <w:rsid w:val="005C3E2A"/>
    <w:rsid w:val="005C3F69"/>
    <w:rsid w:val="005C4020"/>
    <w:rsid w:val="005C402C"/>
    <w:rsid w:val="005C41DE"/>
    <w:rsid w:val="005C41F1"/>
    <w:rsid w:val="005C4220"/>
    <w:rsid w:val="005C4592"/>
    <w:rsid w:val="005C4851"/>
    <w:rsid w:val="005C498C"/>
    <w:rsid w:val="005C4DB2"/>
    <w:rsid w:val="005C4E85"/>
    <w:rsid w:val="005C4F74"/>
    <w:rsid w:val="005C513A"/>
    <w:rsid w:val="005C5751"/>
    <w:rsid w:val="005C577A"/>
    <w:rsid w:val="005C5B56"/>
    <w:rsid w:val="005C5BA3"/>
    <w:rsid w:val="005C5E06"/>
    <w:rsid w:val="005C5E83"/>
    <w:rsid w:val="005C5EC4"/>
    <w:rsid w:val="005C5F36"/>
    <w:rsid w:val="005C6009"/>
    <w:rsid w:val="005C673C"/>
    <w:rsid w:val="005C6A0D"/>
    <w:rsid w:val="005C6C38"/>
    <w:rsid w:val="005C6CC4"/>
    <w:rsid w:val="005C6E9C"/>
    <w:rsid w:val="005C7718"/>
    <w:rsid w:val="005C775C"/>
    <w:rsid w:val="005C776A"/>
    <w:rsid w:val="005C7AE4"/>
    <w:rsid w:val="005C7FCC"/>
    <w:rsid w:val="005D03E4"/>
    <w:rsid w:val="005D0DF2"/>
    <w:rsid w:val="005D14DB"/>
    <w:rsid w:val="005D1624"/>
    <w:rsid w:val="005D192F"/>
    <w:rsid w:val="005D19D2"/>
    <w:rsid w:val="005D1D63"/>
    <w:rsid w:val="005D1FA9"/>
    <w:rsid w:val="005D23A8"/>
    <w:rsid w:val="005D242D"/>
    <w:rsid w:val="005D24A4"/>
    <w:rsid w:val="005D272A"/>
    <w:rsid w:val="005D2792"/>
    <w:rsid w:val="005D2AC9"/>
    <w:rsid w:val="005D2C12"/>
    <w:rsid w:val="005D311C"/>
    <w:rsid w:val="005D3158"/>
    <w:rsid w:val="005D3537"/>
    <w:rsid w:val="005D35D4"/>
    <w:rsid w:val="005D3BE1"/>
    <w:rsid w:val="005D3D06"/>
    <w:rsid w:val="005D3D3D"/>
    <w:rsid w:val="005D4061"/>
    <w:rsid w:val="005D4A0B"/>
    <w:rsid w:val="005D4A60"/>
    <w:rsid w:val="005D4B3B"/>
    <w:rsid w:val="005D4EF5"/>
    <w:rsid w:val="005D5036"/>
    <w:rsid w:val="005D507C"/>
    <w:rsid w:val="005D50E5"/>
    <w:rsid w:val="005D512D"/>
    <w:rsid w:val="005D54C8"/>
    <w:rsid w:val="005D5A53"/>
    <w:rsid w:val="005D5AB4"/>
    <w:rsid w:val="005D6813"/>
    <w:rsid w:val="005D6D36"/>
    <w:rsid w:val="005D6F9F"/>
    <w:rsid w:val="005D74AF"/>
    <w:rsid w:val="005D786C"/>
    <w:rsid w:val="005D7914"/>
    <w:rsid w:val="005D7AB5"/>
    <w:rsid w:val="005D7DB1"/>
    <w:rsid w:val="005D7E70"/>
    <w:rsid w:val="005D7F02"/>
    <w:rsid w:val="005E02BF"/>
    <w:rsid w:val="005E069A"/>
    <w:rsid w:val="005E086C"/>
    <w:rsid w:val="005E1073"/>
    <w:rsid w:val="005E150B"/>
    <w:rsid w:val="005E1647"/>
    <w:rsid w:val="005E19B5"/>
    <w:rsid w:val="005E1AD3"/>
    <w:rsid w:val="005E1C95"/>
    <w:rsid w:val="005E2142"/>
    <w:rsid w:val="005E214E"/>
    <w:rsid w:val="005E21E2"/>
    <w:rsid w:val="005E24D7"/>
    <w:rsid w:val="005E25BD"/>
    <w:rsid w:val="005E266C"/>
    <w:rsid w:val="005E2769"/>
    <w:rsid w:val="005E37F0"/>
    <w:rsid w:val="005E3C36"/>
    <w:rsid w:val="005E3E8C"/>
    <w:rsid w:val="005E4A64"/>
    <w:rsid w:val="005E4C32"/>
    <w:rsid w:val="005E4FDF"/>
    <w:rsid w:val="005E5282"/>
    <w:rsid w:val="005E5427"/>
    <w:rsid w:val="005E55B5"/>
    <w:rsid w:val="005E5F7F"/>
    <w:rsid w:val="005E5F94"/>
    <w:rsid w:val="005E5FDE"/>
    <w:rsid w:val="005E65A7"/>
    <w:rsid w:val="005E66D7"/>
    <w:rsid w:val="005E6801"/>
    <w:rsid w:val="005E68A3"/>
    <w:rsid w:val="005E69D6"/>
    <w:rsid w:val="005E6B93"/>
    <w:rsid w:val="005E6CE2"/>
    <w:rsid w:val="005E7353"/>
    <w:rsid w:val="005E7848"/>
    <w:rsid w:val="005E7850"/>
    <w:rsid w:val="005E7A39"/>
    <w:rsid w:val="005E7AD6"/>
    <w:rsid w:val="005E7D2B"/>
    <w:rsid w:val="005E7D8E"/>
    <w:rsid w:val="005F00B1"/>
    <w:rsid w:val="005F0118"/>
    <w:rsid w:val="005F01E4"/>
    <w:rsid w:val="005F027E"/>
    <w:rsid w:val="005F0298"/>
    <w:rsid w:val="005F06FE"/>
    <w:rsid w:val="005F07D9"/>
    <w:rsid w:val="005F0826"/>
    <w:rsid w:val="005F09C6"/>
    <w:rsid w:val="005F0C01"/>
    <w:rsid w:val="005F0C8A"/>
    <w:rsid w:val="005F10DD"/>
    <w:rsid w:val="005F1169"/>
    <w:rsid w:val="005F1D43"/>
    <w:rsid w:val="005F1F4B"/>
    <w:rsid w:val="005F21CD"/>
    <w:rsid w:val="005F238E"/>
    <w:rsid w:val="005F246B"/>
    <w:rsid w:val="005F247E"/>
    <w:rsid w:val="005F25FB"/>
    <w:rsid w:val="005F267B"/>
    <w:rsid w:val="005F26B3"/>
    <w:rsid w:val="005F29CD"/>
    <w:rsid w:val="005F2B3D"/>
    <w:rsid w:val="005F2B94"/>
    <w:rsid w:val="005F2E04"/>
    <w:rsid w:val="005F35B3"/>
    <w:rsid w:val="005F381A"/>
    <w:rsid w:val="005F3873"/>
    <w:rsid w:val="005F3902"/>
    <w:rsid w:val="005F3FC0"/>
    <w:rsid w:val="005F4082"/>
    <w:rsid w:val="005F41D1"/>
    <w:rsid w:val="005F4821"/>
    <w:rsid w:val="005F4D93"/>
    <w:rsid w:val="005F51AD"/>
    <w:rsid w:val="005F54BB"/>
    <w:rsid w:val="005F55C3"/>
    <w:rsid w:val="005F5BF1"/>
    <w:rsid w:val="005F5CE1"/>
    <w:rsid w:val="005F610D"/>
    <w:rsid w:val="005F620F"/>
    <w:rsid w:val="005F63DA"/>
    <w:rsid w:val="005F697C"/>
    <w:rsid w:val="005F6B68"/>
    <w:rsid w:val="005F6B7C"/>
    <w:rsid w:val="005F708F"/>
    <w:rsid w:val="005F71D9"/>
    <w:rsid w:val="005F76C6"/>
    <w:rsid w:val="005F7792"/>
    <w:rsid w:val="005F794E"/>
    <w:rsid w:val="005F7D5D"/>
    <w:rsid w:val="005F7E1F"/>
    <w:rsid w:val="006001E6"/>
    <w:rsid w:val="006002E1"/>
    <w:rsid w:val="006004DC"/>
    <w:rsid w:val="006009BA"/>
    <w:rsid w:val="006009F8"/>
    <w:rsid w:val="00600A4B"/>
    <w:rsid w:val="00600ED7"/>
    <w:rsid w:val="0060119A"/>
    <w:rsid w:val="006011C6"/>
    <w:rsid w:val="00601219"/>
    <w:rsid w:val="006012DC"/>
    <w:rsid w:val="006014E3"/>
    <w:rsid w:val="0060197C"/>
    <w:rsid w:val="00601BDC"/>
    <w:rsid w:val="00601BF2"/>
    <w:rsid w:val="00601C91"/>
    <w:rsid w:val="00601E51"/>
    <w:rsid w:val="0060217B"/>
    <w:rsid w:val="00602238"/>
    <w:rsid w:val="006024F7"/>
    <w:rsid w:val="006025B4"/>
    <w:rsid w:val="006027C0"/>
    <w:rsid w:val="00602918"/>
    <w:rsid w:val="00602D90"/>
    <w:rsid w:val="006030BE"/>
    <w:rsid w:val="006031BA"/>
    <w:rsid w:val="0060320F"/>
    <w:rsid w:val="00603309"/>
    <w:rsid w:val="006033EB"/>
    <w:rsid w:val="00603497"/>
    <w:rsid w:val="006036B6"/>
    <w:rsid w:val="00603749"/>
    <w:rsid w:val="0060474A"/>
    <w:rsid w:val="00604765"/>
    <w:rsid w:val="00604BA5"/>
    <w:rsid w:val="00604DF6"/>
    <w:rsid w:val="00605016"/>
    <w:rsid w:val="006050C0"/>
    <w:rsid w:val="00605466"/>
    <w:rsid w:val="00605C9F"/>
    <w:rsid w:val="00605FB1"/>
    <w:rsid w:val="00605FFB"/>
    <w:rsid w:val="00606507"/>
    <w:rsid w:val="00606533"/>
    <w:rsid w:val="00606CDE"/>
    <w:rsid w:val="00606E10"/>
    <w:rsid w:val="006075B6"/>
    <w:rsid w:val="00607923"/>
    <w:rsid w:val="00607B2F"/>
    <w:rsid w:val="00607C0D"/>
    <w:rsid w:val="00607C83"/>
    <w:rsid w:val="00607FF9"/>
    <w:rsid w:val="0061033C"/>
    <w:rsid w:val="00610350"/>
    <w:rsid w:val="00610672"/>
    <w:rsid w:val="00610779"/>
    <w:rsid w:val="006107DB"/>
    <w:rsid w:val="0061080D"/>
    <w:rsid w:val="006108E6"/>
    <w:rsid w:val="00610A51"/>
    <w:rsid w:val="00611433"/>
    <w:rsid w:val="00611434"/>
    <w:rsid w:val="00611670"/>
    <w:rsid w:val="00611A6F"/>
    <w:rsid w:val="006121F5"/>
    <w:rsid w:val="00612648"/>
    <w:rsid w:val="0061298A"/>
    <w:rsid w:val="00612E78"/>
    <w:rsid w:val="00613091"/>
    <w:rsid w:val="00613356"/>
    <w:rsid w:val="00613563"/>
    <w:rsid w:val="006135BE"/>
    <w:rsid w:val="006136E5"/>
    <w:rsid w:val="00613720"/>
    <w:rsid w:val="0061380D"/>
    <w:rsid w:val="00613D4D"/>
    <w:rsid w:val="0061427C"/>
    <w:rsid w:val="006144C6"/>
    <w:rsid w:val="006145C1"/>
    <w:rsid w:val="00614915"/>
    <w:rsid w:val="00614940"/>
    <w:rsid w:val="006149A0"/>
    <w:rsid w:val="00614A1E"/>
    <w:rsid w:val="00614B34"/>
    <w:rsid w:val="00614CA5"/>
    <w:rsid w:val="00614E3D"/>
    <w:rsid w:val="00614EFB"/>
    <w:rsid w:val="00615486"/>
    <w:rsid w:val="006155E9"/>
    <w:rsid w:val="00615685"/>
    <w:rsid w:val="00615A54"/>
    <w:rsid w:val="0061601B"/>
    <w:rsid w:val="00616209"/>
    <w:rsid w:val="00616220"/>
    <w:rsid w:val="0061673E"/>
    <w:rsid w:val="006168DD"/>
    <w:rsid w:val="00616AC8"/>
    <w:rsid w:val="00616C5E"/>
    <w:rsid w:val="00616FD6"/>
    <w:rsid w:val="006170D4"/>
    <w:rsid w:val="006174FE"/>
    <w:rsid w:val="00617529"/>
    <w:rsid w:val="0061767F"/>
    <w:rsid w:val="00617AB6"/>
    <w:rsid w:val="00617BE8"/>
    <w:rsid w:val="00617E61"/>
    <w:rsid w:val="006205B6"/>
    <w:rsid w:val="006207AC"/>
    <w:rsid w:val="00620A6D"/>
    <w:rsid w:val="00620A7F"/>
    <w:rsid w:val="00620AB7"/>
    <w:rsid w:val="00621223"/>
    <w:rsid w:val="00621595"/>
    <w:rsid w:val="006215F9"/>
    <w:rsid w:val="00621623"/>
    <w:rsid w:val="006219B3"/>
    <w:rsid w:val="00621C76"/>
    <w:rsid w:val="00621D02"/>
    <w:rsid w:val="0062218B"/>
    <w:rsid w:val="00622217"/>
    <w:rsid w:val="006223C0"/>
    <w:rsid w:val="006224C0"/>
    <w:rsid w:val="00622706"/>
    <w:rsid w:val="006227A5"/>
    <w:rsid w:val="00622945"/>
    <w:rsid w:val="00622A90"/>
    <w:rsid w:val="00622E4F"/>
    <w:rsid w:val="00623CF7"/>
    <w:rsid w:val="00623D4E"/>
    <w:rsid w:val="00623D72"/>
    <w:rsid w:val="006243BE"/>
    <w:rsid w:val="006243C2"/>
    <w:rsid w:val="00624B13"/>
    <w:rsid w:val="00624BEC"/>
    <w:rsid w:val="00624D1C"/>
    <w:rsid w:val="00624F1E"/>
    <w:rsid w:val="00625CBE"/>
    <w:rsid w:val="00625CFA"/>
    <w:rsid w:val="00625CFC"/>
    <w:rsid w:val="00625FBD"/>
    <w:rsid w:val="006267AD"/>
    <w:rsid w:val="00626AB0"/>
    <w:rsid w:val="00626F25"/>
    <w:rsid w:val="00626F85"/>
    <w:rsid w:val="006273CC"/>
    <w:rsid w:val="006274D7"/>
    <w:rsid w:val="006278E7"/>
    <w:rsid w:val="006279CF"/>
    <w:rsid w:val="00627A9E"/>
    <w:rsid w:val="00627B4A"/>
    <w:rsid w:val="00627F66"/>
    <w:rsid w:val="0063024B"/>
    <w:rsid w:val="00630553"/>
    <w:rsid w:val="00630746"/>
    <w:rsid w:val="006307B9"/>
    <w:rsid w:val="006307D1"/>
    <w:rsid w:val="00630892"/>
    <w:rsid w:val="00630A92"/>
    <w:rsid w:val="00630B8C"/>
    <w:rsid w:val="00630BE8"/>
    <w:rsid w:val="00630C05"/>
    <w:rsid w:val="00630CE9"/>
    <w:rsid w:val="00630E92"/>
    <w:rsid w:val="006311E3"/>
    <w:rsid w:val="006312A6"/>
    <w:rsid w:val="00631579"/>
    <w:rsid w:val="00631C6D"/>
    <w:rsid w:val="00631E91"/>
    <w:rsid w:val="00631EBB"/>
    <w:rsid w:val="00632376"/>
    <w:rsid w:val="006324C7"/>
    <w:rsid w:val="006324FD"/>
    <w:rsid w:val="00632710"/>
    <w:rsid w:val="00632A14"/>
    <w:rsid w:val="00632AE1"/>
    <w:rsid w:val="00632DE3"/>
    <w:rsid w:val="006330F2"/>
    <w:rsid w:val="0063324B"/>
    <w:rsid w:val="006332B8"/>
    <w:rsid w:val="006336E4"/>
    <w:rsid w:val="00633810"/>
    <w:rsid w:val="00633896"/>
    <w:rsid w:val="00633924"/>
    <w:rsid w:val="00633ADC"/>
    <w:rsid w:val="00633B30"/>
    <w:rsid w:val="00633D63"/>
    <w:rsid w:val="00633DAE"/>
    <w:rsid w:val="00633E3B"/>
    <w:rsid w:val="00634247"/>
    <w:rsid w:val="0063424D"/>
    <w:rsid w:val="00634480"/>
    <w:rsid w:val="00634767"/>
    <w:rsid w:val="00634E7D"/>
    <w:rsid w:val="00634EF5"/>
    <w:rsid w:val="00635356"/>
    <w:rsid w:val="006353D2"/>
    <w:rsid w:val="0063551E"/>
    <w:rsid w:val="00635AE8"/>
    <w:rsid w:val="00635D3B"/>
    <w:rsid w:val="00636081"/>
    <w:rsid w:val="00636102"/>
    <w:rsid w:val="00636163"/>
    <w:rsid w:val="00636193"/>
    <w:rsid w:val="006362D6"/>
    <w:rsid w:val="0063662D"/>
    <w:rsid w:val="00637116"/>
    <w:rsid w:val="0063732B"/>
    <w:rsid w:val="0063757A"/>
    <w:rsid w:val="0063758D"/>
    <w:rsid w:val="00637841"/>
    <w:rsid w:val="00637CEE"/>
    <w:rsid w:val="00640FC4"/>
    <w:rsid w:val="00641310"/>
    <w:rsid w:val="00641402"/>
    <w:rsid w:val="0064166D"/>
    <w:rsid w:val="006416EF"/>
    <w:rsid w:val="006419BC"/>
    <w:rsid w:val="00641DE3"/>
    <w:rsid w:val="00642063"/>
    <w:rsid w:val="0064211F"/>
    <w:rsid w:val="0064269F"/>
    <w:rsid w:val="00642B0D"/>
    <w:rsid w:val="00642CA7"/>
    <w:rsid w:val="00642F14"/>
    <w:rsid w:val="00642F3C"/>
    <w:rsid w:val="00643287"/>
    <w:rsid w:val="0064348C"/>
    <w:rsid w:val="0064349D"/>
    <w:rsid w:val="006436A5"/>
    <w:rsid w:val="00643EAA"/>
    <w:rsid w:val="006441FA"/>
    <w:rsid w:val="0064455D"/>
    <w:rsid w:val="00644B0D"/>
    <w:rsid w:val="006451A0"/>
    <w:rsid w:val="0064588A"/>
    <w:rsid w:val="00645929"/>
    <w:rsid w:val="00645940"/>
    <w:rsid w:val="00645CDE"/>
    <w:rsid w:val="00645F26"/>
    <w:rsid w:val="006460DE"/>
    <w:rsid w:val="006462F1"/>
    <w:rsid w:val="00646742"/>
    <w:rsid w:val="006468F0"/>
    <w:rsid w:val="0064700C"/>
    <w:rsid w:val="006470E4"/>
    <w:rsid w:val="006471EB"/>
    <w:rsid w:val="006472ED"/>
    <w:rsid w:val="00647528"/>
    <w:rsid w:val="00647C91"/>
    <w:rsid w:val="00650050"/>
    <w:rsid w:val="00650081"/>
    <w:rsid w:val="006505DC"/>
    <w:rsid w:val="00650659"/>
    <w:rsid w:val="0065074B"/>
    <w:rsid w:val="0065151D"/>
    <w:rsid w:val="00651954"/>
    <w:rsid w:val="006520B8"/>
    <w:rsid w:val="006523FB"/>
    <w:rsid w:val="00652BDF"/>
    <w:rsid w:val="00652D96"/>
    <w:rsid w:val="0065308A"/>
    <w:rsid w:val="0065316A"/>
    <w:rsid w:val="00653279"/>
    <w:rsid w:val="006534C6"/>
    <w:rsid w:val="0065358F"/>
    <w:rsid w:val="00653CB0"/>
    <w:rsid w:val="00653CB8"/>
    <w:rsid w:val="00653F67"/>
    <w:rsid w:val="00653F95"/>
    <w:rsid w:val="00654175"/>
    <w:rsid w:val="00654439"/>
    <w:rsid w:val="00654E9A"/>
    <w:rsid w:val="00654F8C"/>
    <w:rsid w:val="00654FE7"/>
    <w:rsid w:val="006550F6"/>
    <w:rsid w:val="0065574A"/>
    <w:rsid w:val="00655C91"/>
    <w:rsid w:val="00656265"/>
    <w:rsid w:val="0065663A"/>
    <w:rsid w:val="00656AD6"/>
    <w:rsid w:val="00656AE6"/>
    <w:rsid w:val="0065702E"/>
    <w:rsid w:val="006571F1"/>
    <w:rsid w:val="00657366"/>
    <w:rsid w:val="0065736F"/>
    <w:rsid w:val="00657403"/>
    <w:rsid w:val="006577B4"/>
    <w:rsid w:val="006579FE"/>
    <w:rsid w:val="00657A59"/>
    <w:rsid w:val="00657C0E"/>
    <w:rsid w:val="00657FF4"/>
    <w:rsid w:val="00660143"/>
    <w:rsid w:val="006601FF"/>
    <w:rsid w:val="0066045F"/>
    <w:rsid w:val="006606A5"/>
    <w:rsid w:val="0066071F"/>
    <w:rsid w:val="00661217"/>
    <w:rsid w:val="006616C3"/>
    <w:rsid w:val="00661837"/>
    <w:rsid w:val="006619B4"/>
    <w:rsid w:val="00661AE4"/>
    <w:rsid w:val="00662067"/>
    <w:rsid w:val="00662120"/>
    <w:rsid w:val="00662366"/>
    <w:rsid w:val="006624E9"/>
    <w:rsid w:val="00662E24"/>
    <w:rsid w:val="00662FBC"/>
    <w:rsid w:val="0066329F"/>
    <w:rsid w:val="00663746"/>
    <w:rsid w:val="006637A5"/>
    <w:rsid w:val="00663851"/>
    <w:rsid w:val="00663D8C"/>
    <w:rsid w:val="00663DE0"/>
    <w:rsid w:val="00663E27"/>
    <w:rsid w:val="00664481"/>
    <w:rsid w:val="00664879"/>
    <w:rsid w:val="00664964"/>
    <w:rsid w:val="006652CE"/>
    <w:rsid w:val="006652E9"/>
    <w:rsid w:val="006659A3"/>
    <w:rsid w:val="00665E90"/>
    <w:rsid w:val="00665F20"/>
    <w:rsid w:val="006660CA"/>
    <w:rsid w:val="00666578"/>
    <w:rsid w:val="00666591"/>
    <w:rsid w:val="0066666C"/>
    <w:rsid w:val="0066691E"/>
    <w:rsid w:val="00666D00"/>
    <w:rsid w:val="00667019"/>
    <w:rsid w:val="00667039"/>
    <w:rsid w:val="006671C1"/>
    <w:rsid w:val="00667445"/>
    <w:rsid w:val="006674A4"/>
    <w:rsid w:val="0066759F"/>
    <w:rsid w:val="00667811"/>
    <w:rsid w:val="00667A88"/>
    <w:rsid w:val="00667CF6"/>
    <w:rsid w:val="00667E09"/>
    <w:rsid w:val="00667F05"/>
    <w:rsid w:val="00670745"/>
    <w:rsid w:val="00670755"/>
    <w:rsid w:val="0067080E"/>
    <w:rsid w:val="00670937"/>
    <w:rsid w:val="00670CA4"/>
    <w:rsid w:val="00670DFA"/>
    <w:rsid w:val="006715C9"/>
    <w:rsid w:val="0067177D"/>
    <w:rsid w:val="006717EA"/>
    <w:rsid w:val="00671BEB"/>
    <w:rsid w:val="00671D69"/>
    <w:rsid w:val="00672477"/>
    <w:rsid w:val="00672B7B"/>
    <w:rsid w:val="00672BFA"/>
    <w:rsid w:val="00672CD4"/>
    <w:rsid w:val="00672CED"/>
    <w:rsid w:val="00672E5B"/>
    <w:rsid w:val="00672EC9"/>
    <w:rsid w:val="006732EE"/>
    <w:rsid w:val="0067343D"/>
    <w:rsid w:val="00673480"/>
    <w:rsid w:val="00673555"/>
    <w:rsid w:val="0067417D"/>
    <w:rsid w:val="006745DA"/>
    <w:rsid w:val="006746C9"/>
    <w:rsid w:val="00674729"/>
    <w:rsid w:val="0067476E"/>
    <w:rsid w:val="00674B0E"/>
    <w:rsid w:val="00675021"/>
    <w:rsid w:val="0067520B"/>
    <w:rsid w:val="00675250"/>
    <w:rsid w:val="0067540D"/>
    <w:rsid w:val="0067575F"/>
    <w:rsid w:val="00675998"/>
    <w:rsid w:val="00675C07"/>
    <w:rsid w:val="00675D34"/>
    <w:rsid w:val="00675DE0"/>
    <w:rsid w:val="00675FB7"/>
    <w:rsid w:val="006762BE"/>
    <w:rsid w:val="006762DB"/>
    <w:rsid w:val="00676A79"/>
    <w:rsid w:val="00676B7D"/>
    <w:rsid w:val="00676CF6"/>
    <w:rsid w:val="00676E4B"/>
    <w:rsid w:val="0067715C"/>
    <w:rsid w:val="006775EB"/>
    <w:rsid w:val="00677751"/>
    <w:rsid w:val="00677A57"/>
    <w:rsid w:val="00677B76"/>
    <w:rsid w:val="00677C3F"/>
    <w:rsid w:val="00677C58"/>
    <w:rsid w:val="00680029"/>
    <w:rsid w:val="00680217"/>
    <w:rsid w:val="00680632"/>
    <w:rsid w:val="00680B65"/>
    <w:rsid w:val="00680C35"/>
    <w:rsid w:val="00680CFF"/>
    <w:rsid w:val="00680EDD"/>
    <w:rsid w:val="00680FED"/>
    <w:rsid w:val="006810AB"/>
    <w:rsid w:val="00681165"/>
    <w:rsid w:val="006811EE"/>
    <w:rsid w:val="00681217"/>
    <w:rsid w:val="0068126F"/>
    <w:rsid w:val="00681462"/>
    <w:rsid w:val="00681471"/>
    <w:rsid w:val="0068169B"/>
    <w:rsid w:val="0068172E"/>
    <w:rsid w:val="0068173E"/>
    <w:rsid w:val="0068173F"/>
    <w:rsid w:val="00681ACD"/>
    <w:rsid w:val="0068204C"/>
    <w:rsid w:val="006828E6"/>
    <w:rsid w:val="00683012"/>
    <w:rsid w:val="006835A4"/>
    <w:rsid w:val="00683784"/>
    <w:rsid w:val="006838D9"/>
    <w:rsid w:val="00683916"/>
    <w:rsid w:val="00683B20"/>
    <w:rsid w:val="006841B5"/>
    <w:rsid w:val="00684E31"/>
    <w:rsid w:val="0068517A"/>
    <w:rsid w:val="00685717"/>
    <w:rsid w:val="00685A19"/>
    <w:rsid w:val="00685C8F"/>
    <w:rsid w:val="00685CF0"/>
    <w:rsid w:val="00685E80"/>
    <w:rsid w:val="00685FC6"/>
    <w:rsid w:val="006863EF"/>
    <w:rsid w:val="00686411"/>
    <w:rsid w:val="00686A30"/>
    <w:rsid w:val="00686EEF"/>
    <w:rsid w:val="0068706F"/>
    <w:rsid w:val="0068762A"/>
    <w:rsid w:val="006903F7"/>
    <w:rsid w:val="00690464"/>
    <w:rsid w:val="006904EE"/>
    <w:rsid w:val="00690754"/>
    <w:rsid w:val="0069091B"/>
    <w:rsid w:val="00690B00"/>
    <w:rsid w:val="00690B41"/>
    <w:rsid w:val="00690CDB"/>
    <w:rsid w:val="00690D49"/>
    <w:rsid w:val="006911BC"/>
    <w:rsid w:val="006916C7"/>
    <w:rsid w:val="00691B54"/>
    <w:rsid w:val="00691D07"/>
    <w:rsid w:val="00691F4C"/>
    <w:rsid w:val="0069293E"/>
    <w:rsid w:val="00692A6C"/>
    <w:rsid w:val="00692C76"/>
    <w:rsid w:val="00693097"/>
    <w:rsid w:val="00693474"/>
    <w:rsid w:val="006934C7"/>
    <w:rsid w:val="00693704"/>
    <w:rsid w:val="00693733"/>
    <w:rsid w:val="006937C7"/>
    <w:rsid w:val="006939A3"/>
    <w:rsid w:val="00693B12"/>
    <w:rsid w:val="00693B79"/>
    <w:rsid w:val="00693F95"/>
    <w:rsid w:val="00694451"/>
    <w:rsid w:val="0069449E"/>
    <w:rsid w:val="00694648"/>
    <w:rsid w:val="00694C17"/>
    <w:rsid w:val="00694DB1"/>
    <w:rsid w:val="00694F73"/>
    <w:rsid w:val="00694F97"/>
    <w:rsid w:val="00695059"/>
    <w:rsid w:val="006950C9"/>
    <w:rsid w:val="006950EA"/>
    <w:rsid w:val="006954E8"/>
    <w:rsid w:val="00695527"/>
    <w:rsid w:val="0069564A"/>
    <w:rsid w:val="006956AB"/>
    <w:rsid w:val="0069578A"/>
    <w:rsid w:val="00695883"/>
    <w:rsid w:val="0069589A"/>
    <w:rsid w:val="006958A1"/>
    <w:rsid w:val="00695E30"/>
    <w:rsid w:val="006960FA"/>
    <w:rsid w:val="006967A1"/>
    <w:rsid w:val="006967E4"/>
    <w:rsid w:val="006968B6"/>
    <w:rsid w:val="00696BE1"/>
    <w:rsid w:val="00696EFA"/>
    <w:rsid w:val="006972D4"/>
    <w:rsid w:val="00697884"/>
    <w:rsid w:val="00697A22"/>
    <w:rsid w:val="00697DB1"/>
    <w:rsid w:val="00697FCB"/>
    <w:rsid w:val="00697FD4"/>
    <w:rsid w:val="006A0029"/>
    <w:rsid w:val="006A0107"/>
    <w:rsid w:val="006A01D3"/>
    <w:rsid w:val="006A06F1"/>
    <w:rsid w:val="006A07A5"/>
    <w:rsid w:val="006A0A3B"/>
    <w:rsid w:val="006A0EAC"/>
    <w:rsid w:val="006A115C"/>
    <w:rsid w:val="006A118D"/>
    <w:rsid w:val="006A11D6"/>
    <w:rsid w:val="006A1451"/>
    <w:rsid w:val="006A17C4"/>
    <w:rsid w:val="006A1861"/>
    <w:rsid w:val="006A196D"/>
    <w:rsid w:val="006A1B03"/>
    <w:rsid w:val="006A1C26"/>
    <w:rsid w:val="006A1FE7"/>
    <w:rsid w:val="006A23A7"/>
    <w:rsid w:val="006A2A08"/>
    <w:rsid w:val="006A2E10"/>
    <w:rsid w:val="006A307F"/>
    <w:rsid w:val="006A30AA"/>
    <w:rsid w:val="006A30EC"/>
    <w:rsid w:val="006A3329"/>
    <w:rsid w:val="006A3390"/>
    <w:rsid w:val="006A34D9"/>
    <w:rsid w:val="006A34F1"/>
    <w:rsid w:val="006A3587"/>
    <w:rsid w:val="006A3E45"/>
    <w:rsid w:val="006A437A"/>
    <w:rsid w:val="006A44F2"/>
    <w:rsid w:val="006A4785"/>
    <w:rsid w:val="006A4A39"/>
    <w:rsid w:val="006A4A99"/>
    <w:rsid w:val="006A4BD0"/>
    <w:rsid w:val="006A525A"/>
    <w:rsid w:val="006A5492"/>
    <w:rsid w:val="006A5B88"/>
    <w:rsid w:val="006A5DBE"/>
    <w:rsid w:val="006A5E36"/>
    <w:rsid w:val="006A6008"/>
    <w:rsid w:val="006A601C"/>
    <w:rsid w:val="006A623D"/>
    <w:rsid w:val="006A6278"/>
    <w:rsid w:val="006A62F4"/>
    <w:rsid w:val="006A6674"/>
    <w:rsid w:val="006A6785"/>
    <w:rsid w:val="006A6C1C"/>
    <w:rsid w:val="006A6D8E"/>
    <w:rsid w:val="006A777E"/>
    <w:rsid w:val="006A77CD"/>
    <w:rsid w:val="006A793E"/>
    <w:rsid w:val="006A7BDE"/>
    <w:rsid w:val="006A7F90"/>
    <w:rsid w:val="006B0092"/>
    <w:rsid w:val="006B00A4"/>
    <w:rsid w:val="006B02BD"/>
    <w:rsid w:val="006B030F"/>
    <w:rsid w:val="006B0413"/>
    <w:rsid w:val="006B046C"/>
    <w:rsid w:val="006B0646"/>
    <w:rsid w:val="006B0AAB"/>
    <w:rsid w:val="006B0FED"/>
    <w:rsid w:val="006B1021"/>
    <w:rsid w:val="006B10F7"/>
    <w:rsid w:val="006B127C"/>
    <w:rsid w:val="006B1448"/>
    <w:rsid w:val="006B1545"/>
    <w:rsid w:val="006B1930"/>
    <w:rsid w:val="006B1CBA"/>
    <w:rsid w:val="006B1ED8"/>
    <w:rsid w:val="006B215F"/>
    <w:rsid w:val="006B2311"/>
    <w:rsid w:val="006B247A"/>
    <w:rsid w:val="006B249C"/>
    <w:rsid w:val="006B2528"/>
    <w:rsid w:val="006B2A4D"/>
    <w:rsid w:val="006B2C09"/>
    <w:rsid w:val="006B30FB"/>
    <w:rsid w:val="006B394B"/>
    <w:rsid w:val="006B3B6D"/>
    <w:rsid w:val="006B3B7A"/>
    <w:rsid w:val="006B3C25"/>
    <w:rsid w:val="006B3C7C"/>
    <w:rsid w:val="006B3C98"/>
    <w:rsid w:val="006B3D00"/>
    <w:rsid w:val="006B3FF4"/>
    <w:rsid w:val="006B4390"/>
    <w:rsid w:val="006B47FA"/>
    <w:rsid w:val="006B4AF2"/>
    <w:rsid w:val="006B4EC7"/>
    <w:rsid w:val="006B4F30"/>
    <w:rsid w:val="006B5045"/>
    <w:rsid w:val="006B5203"/>
    <w:rsid w:val="006B540C"/>
    <w:rsid w:val="006B543F"/>
    <w:rsid w:val="006B5507"/>
    <w:rsid w:val="006B555B"/>
    <w:rsid w:val="006B57D2"/>
    <w:rsid w:val="006B5A99"/>
    <w:rsid w:val="006B5BFB"/>
    <w:rsid w:val="006B5DE3"/>
    <w:rsid w:val="006B5E71"/>
    <w:rsid w:val="006B605F"/>
    <w:rsid w:val="006B677E"/>
    <w:rsid w:val="006B6922"/>
    <w:rsid w:val="006B6CD4"/>
    <w:rsid w:val="006B6CF1"/>
    <w:rsid w:val="006B6E1B"/>
    <w:rsid w:val="006B6E9B"/>
    <w:rsid w:val="006B71C9"/>
    <w:rsid w:val="006B7277"/>
    <w:rsid w:val="006B740D"/>
    <w:rsid w:val="006B7D75"/>
    <w:rsid w:val="006B7DE7"/>
    <w:rsid w:val="006C015A"/>
    <w:rsid w:val="006C02FE"/>
    <w:rsid w:val="006C072B"/>
    <w:rsid w:val="006C087B"/>
    <w:rsid w:val="006C0C74"/>
    <w:rsid w:val="006C0CA7"/>
    <w:rsid w:val="006C0D84"/>
    <w:rsid w:val="006C0D8D"/>
    <w:rsid w:val="006C0EF5"/>
    <w:rsid w:val="006C1229"/>
    <w:rsid w:val="006C1917"/>
    <w:rsid w:val="006C1ABC"/>
    <w:rsid w:val="006C1B9B"/>
    <w:rsid w:val="006C1C82"/>
    <w:rsid w:val="006C2790"/>
    <w:rsid w:val="006C27E5"/>
    <w:rsid w:val="006C2D49"/>
    <w:rsid w:val="006C2F97"/>
    <w:rsid w:val="006C3067"/>
    <w:rsid w:val="006C32F6"/>
    <w:rsid w:val="006C3D02"/>
    <w:rsid w:val="006C3D92"/>
    <w:rsid w:val="006C419B"/>
    <w:rsid w:val="006C475A"/>
    <w:rsid w:val="006C4AE3"/>
    <w:rsid w:val="006C4CBE"/>
    <w:rsid w:val="006C4CD1"/>
    <w:rsid w:val="006C502C"/>
    <w:rsid w:val="006C5195"/>
    <w:rsid w:val="006C53BD"/>
    <w:rsid w:val="006C5D07"/>
    <w:rsid w:val="006C60DF"/>
    <w:rsid w:val="006C61BA"/>
    <w:rsid w:val="006C6596"/>
    <w:rsid w:val="006C6984"/>
    <w:rsid w:val="006C6A16"/>
    <w:rsid w:val="006C6C56"/>
    <w:rsid w:val="006C6FE5"/>
    <w:rsid w:val="006C701B"/>
    <w:rsid w:val="006C744B"/>
    <w:rsid w:val="006C765C"/>
    <w:rsid w:val="006C76B3"/>
    <w:rsid w:val="006C7B91"/>
    <w:rsid w:val="006C7C47"/>
    <w:rsid w:val="006D02D9"/>
    <w:rsid w:val="006D032E"/>
    <w:rsid w:val="006D03B9"/>
    <w:rsid w:val="006D0AE3"/>
    <w:rsid w:val="006D0CE3"/>
    <w:rsid w:val="006D0EAB"/>
    <w:rsid w:val="006D0F38"/>
    <w:rsid w:val="006D1195"/>
    <w:rsid w:val="006D130A"/>
    <w:rsid w:val="006D1484"/>
    <w:rsid w:val="006D14BB"/>
    <w:rsid w:val="006D178E"/>
    <w:rsid w:val="006D1EFB"/>
    <w:rsid w:val="006D2149"/>
    <w:rsid w:val="006D2282"/>
    <w:rsid w:val="006D2692"/>
    <w:rsid w:val="006D2C5B"/>
    <w:rsid w:val="006D2DAA"/>
    <w:rsid w:val="006D2DF6"/>
    <w:rsid w:val="006D2F1C"/>
    <w:rsid w:val="006D3060"/>
    <w:rsid w:val="006D30E7"/>
    <w:rsid w:val="006D312E"/>
    <w:rsid w:val="006D324A"/>
    <w:rsid w:val="006D3540"/>
    <w:rsid w:val="006D37A9"/>
    <w:rsid w:val="006D37D7"/>
    <w:rsid w:val="006D3ADE"/>
    <w:rsid w:val="006D405D"/>
    <w:rsid w:val="006D43FD"/>
    <w:rsid w:val="006D47BB"/>
    <w:rsid w:val="006D48B3"/>
    <w:rsid w:val="006D48FE"/>
    <w:rsid w:val="006D4B53"/>
    <w:rsid w:val="006D4BC6"/>
    <w:rsid w:val="006D4E3A"/>
    <w:rsid w:val="006D4F5A"/>
    <w:rsid w:val="006D53D7"/>
    <w:rsid w:val="006D5913"/>
    <w:rsid w:val="006D5DD4"/>
    <w:rsid w:val="006D5F6C"/>
    <w:rsid w:val="006D631D"/>
    <w:rsid w:val="006D6987"/>
    <w:rsid w:val="006D6EFD"/>
    <w:rsid w:val="006D72B8"/>
    <w:rsid w:val="006D7359"/>
    <w:rsid w:val="006D748A"/>
    <w:rsid w:val="006D76C8"/>
    <w:rsid w:val="006D7953"/>
    <w:rsid w:val="006D7B95"/>
    <w:rsid w:val="006D7BC5"/>
    <w:rsid w:val="006D7BEB"/>
    <w:rsid w:val="006D7C78"/>
    <w:rsid w:val="006D7DAC"/>
    <w:rsid w:val="006D7F0A"/>
    <w:rsid w:val="006D8B97"/>
    <w:rsid w:val="006E0030"/>
    <w:rsid w:val="006E02F8"/>
    <w:rsid w:val="006E030E"/>
    <w:rsid w:val="006E04B2"/>
    <w:rsid w:val="006E0A4D"/>
    <w:rsid w:val="006E0CAA"/>
    <w:rsid w:val="006E0D00"/>
    <w:rsid w:val="006E0F2D"/>
    <w:rsid w:val="006E122D"/>
    <w:rsid w:val="006E1944"/>
    <w:rsid w:val="006E1BFC"/>
    <w:rsid w:val="006E1CB0"/>
    <w:rsid w:val="006E1D1D"/>
    <w:rsid w:val="006E1D8E"/>
    <w:rsid w:val="006E21EA"/>
    <w:rsid w:val="006E230A"/>
    <w:rsid w:val="006E23B2"/>
    <w:rsid w:val="006E27F4"/>
    <w:rsid w:val="006E284B"/>
    <w:rsid w:val="006E2967"/>
    <w:rsid w:val="006E2C1C"/>
    <w:rsid w:val="006E2CA6"/>
    <w:rsid w:val="006E3052"/>
    <w:rsid w:val="006E3855"/>
    <w:rsid w:val="006E3A90"/>
    <w:rsid w:val="006E3C53"/>
    <w:rsid w:val="006E3C7D"/>
    <w:rsid w:val="006E3CAE"/>
    <w:rsid w:val="006E414D"/>
    <w:rsid w:val="006E41A0"/>
    <w:rsid w:val="006E48F8"/>
    <w:rsid w:val="006E49EF"/>
    <w:rsid w:val="006E4A76"/>
    <w:rsid w:val="006E4B07"/>
    <w:rsid w:val="006E4F0B"/>
    <w:rsid w:val="006E50AB"/>
    <w:rsid w:val="006E510C"/>
    <w:rsid w:val="006E522B"/>
    <w:rsid w:val="006E5330"/>
    <w:rsid w:val="006E55C1"/>
    <w:rsid w:val="006E5946"/>
    <w:rsid w:val="006E5E56"/>
    <w:rsid w:val="006E619F"/>
    <w:rsid w:val="006E6392"/>
    <w:rsid w:val="006E6948"/>
    <w:rsid w:val="006E69EA"/>
    <w:rsid w:val="006E6A1E"/>
    <w:rsid w:val="006E6CF8"/>
    <w:rsid w:val="006E71F8"/>
    <w:rsid w:val="006E725C"/>
    <w:rsid w:val="006E7496"/>
    <w:rsid w:val="006E7508"/>
    <w:rsid w:val="006E7692"/>
    <w:rsid w:val="006E772B"/>
    <w:rsid w:val="006E7780"/>
    <w:rsid w:val="006E7C11"/>
    <w:rsid w:val="006E7D83"/>
    <w:rsid w:val="006F03E3"/>
    <w:rsid w:val="006F0A70"/>
    <w:rsid w:val="006F0F8F"/>
    <w:rsid w:val="006F10AC"/>
    <w:rsid w:val="006F1244"/>
    <w:rsid w:val="006F145F"/>
    <w:rsid w:val="006F14FA"/>
    <w:rsid w:val="006F1D6B"/>
    <w:rsid w:val="006F2176"/>
    <w:rsid w:val="006F2186"/>
    <w:rsid w:val="006F21D6"/>
    <w:rsid w:val="006F2225"/>
    <w:rsid w:val="006F234E"/>
    <w:rsid w:val="006F287D"/>
    <w:rsid w:val="006F28CB"/>
    <w:rsid w:val="006F291F"/>
    <w:rsid w:val="006F2C28"/>
    <w:rsid w:val="006F2CBA"/>
    <w:rsid w:val="006F2DFD"/>
    <w:rsid w:val="006F2EA8"/>
    <w:rsid w:val="006F359C"/>
    <w:rsid w:val="006F35F6"/>
    <w:rsid w:val="006F37B8"/>
    <w:rsid w:val="006F3A8B"/>
    <w:rsid w:val="006F3AEA"/>
    <w:rsid w:val="006F3DA7"/>
    <w:rsid w:val="006F3E0C"/>
    <w:rsid w:val="006F3E60"/>
    <w:rsid w:val="006F3EDE"/>
    <w:rsid w:val="006F3FA9"/>
    <w:rsid w:val="006F401C"/>
    <w:rsid w:val="006F4351"/>
    <w:rsid w:val="006F4624"/>
    <w:rsid w:val="006F48C1"/>
    <w:rsid w:val="006F49FD"/>
    <w:rsid w:val="006F4A5C"/>
    <w:rsid w:val="006F4CB5"/>
    <w:rsid w:val="006F4D2C"/>
    <w:rsid w:val="006F4EF2"/>
    <w:rsid w:val="006F4F7B"/>
    <w:rsid w:val="006F5312"/>
    <w:rsid w:val="006F5502"/>
    <w:rsid w:val="006F5838"/>
    <w:rsid w:val="006F5F16"/>
    <w:rsid w:val="006F6050"/>
    <w:rsid w:val="006F6732"/>
    <w:rsid w:val="006F6842"/>
    <w:rsid w:val="006F6998"/>
    <w:rsid w:val="006F6DD3"/>
    <w:rsid w:val="006F71E7"/>
    <w:rsid w:val="006F73AA"/>
    <w:rsid w:val="006F73F2"/>
    <w:rsid w:val="0070018B"/>
    <w:rsid w:val="0070023C"/>
    <w:rsid w:val="0070024B"/>
    <w:rsid w:val="007002E3"/>
    <w:rsid w:val="0070066F"/>
    <w:rsid w:val="00700683"/>
    <w:rsid w:val="007009E1"/>
    <w:rsid w:val="00700D08"/>
    <w:rsid w:val="00700E33"/>
    <w:rsid w:val="00700E35"/>
    <w:rsid w:val="00701B55"/>
    <w:rsid w:val="00701DE5"/>
    <w:rsid w:val="00701E0F"/>
    <w:rsid w:val="0070228B"/>
    <w:rsid w:val="00702434"/>
    <w:rsid w:val="00702448"/>
    <w:rsid w:val="00702545"/>
    <w:rsid w:val="00702656"/>
    <w:rsid w:val="0070299E"/>
    <w:rsid w:val="00702ACC"/>
    <w:rsid w:val="00702D0D"/>
    <w:rsid w:val="00702D26"/>
    <w:rsid w:val="00702D78"/>
    <w:rsid w:val="00703173"/>
    <w:rsid w:val="00703300"/>
    <w:rsid w:val="00703B22"/>
    <w:rsid w:val="00703C1C"/>
    <w:rsid w:val="00703D6A"/>
    <w:rsid w:val="00703DE8"/>
    <w:rsid w:val="00703F44"/>
    <w:rsid w:val="00704079"/>
    <w:rsid w:val="00704510"/>
    <w:rsid w:val="007045B2"/>
    <w:rsid w:val="0070481A"/>
    <w:rsid w:val="00704871"/>
    <w:rsid w:val="007049B9"/>
    <w:rsid w:val="00704A82"/>
    <w:rsid w:val="00705739"/>
    <w:rsid w:val="00705AD6"/>
    <w:rsid w:val="00705CC8"/>
    <w:rsid w:val="00705DC5"/>
    <w:rsid w:val="00705E79"/>
    <w:rsid w:val="00705E9A"/>
    <w:rsid w:val="00705F34"/>
    <w:rsid w:val="007062E8"/>
    <w:rsid w:val="007065F9"/>
    <w:rsid w:val="00706679"/>
    <w:rsid w:val="007069F1"/>
    <w:rsid w:val="00706A3F"/>
    <w:rsid w:val="00706E6B"/>
    <w:rsid w:val="00706EBC"/>
    <w:rsid w:val="007070B3"/>
    <w:rsid w:val="00707441"/>
    <w:rsid w:val="00707932"/>
    <w:rsid w:val="00707A24"/>
    <w:rsid w:val="00707ADB"/>
    <w:rsid w:val="00707D58"/>
    <w:rsid w:val="00707E7C"/>
    <w:rsid w:val="00707F27"/>
    <w:rsid w:val="007100F5"/>
    <w:rsid w:val="007104FB"/>
    <w:rsid w:val="00710714"/>
    <w:rsid w:val="007107C8"/>
    <w:rsid w:val="0071096F"/>
    <w:rsid w:val="00710A01"/>
    <w:rsid w:val="00711208"/>
    <w:rsid w:val="0071129D"/>
    <w:rsid w:val="00711767"/>
    <w:rsid w:val="00711A15"/>
    <w:rsid w:val="00711E4C"/>
    <w:rsid w:val="00711FE8"/>
    <w:rsid w:val="007123F6"/>
    <w:rsid w:val="00712527"/>
    <w:rsid w:val="00712643"/>
    <w:rsid w:val="00712B34"/>
    <w:rsid w:val="00712C8B"/>
    <w:rsid w:val="0071304D"/>
    <w:rsid w:val="007135EC"/>
    <w:rsid w:val="00713635"/>
    <w:rsid w:val="00713667"/>
    <w:rsid w:val="00713714"/>
    <w:rsid w:val="0071383D"/>
    <w:rsid w:val="00713996"/>
    <w:rsid w:val="00713AC2"/>
    <w:rsid w:val="00713D8D"/>
    <w:rsid w:val="00713E63"/>
    <w:rsid w:val="007140FC"/>
    <w:rsid w:val="007141D7"/>
    <w:rsid w:val="007144EB"/>
    <w:rsid w:val="00714736"/>
    <w:rsid w:val="00714CED"/>
    <w:rsid w:val="00714D0F"/>
    <w:rsid w:val="007157B7"/>
    <w:rsid w:val="0071587C"/>
    <w:rsid w:val="00715B9B"/>
    <w:rsid w:val="00715C33"/>
    <w:rsid w:val="00715C88"/>
    <w:rsid w:val="00715D99"/>
    <w:rsid w:val="00715DD1"/>
    <w:rsid w:val="00715EF2"/>
    <w:rsid w:val="00716769"/>
    <w:rsid w:val="00716A83"/>
    <w:rsid w:val="00716AE2"/>
    <w:rsid w:val="00716F4B"/>
    <w:rsid w:val="0071724A"/>
    <w:rsid w:val="0071735B"/>
    <w:rsid w:val="0071736F"/>
    <w:rsid w:val="00717409"/>
    <w:rsid w:val="007177FA"/>
    <w:rsid w:val="0071780A"/>
    <w:rsid w:val="007200E8"/>
    <w:rsid w:val="00720243"/>
    <w:rsid w:val="00720B67"/>
    <w:rsid w:val="00720DFF"/>
    <w:rsid w:val="0072124B"/>
    <w:rsid w:val="007215C0"/>
    <w:rsid w:val="00721778"/>
    <w:rsid w:val="00721C15"/>
    <w:rsid w:val="00721D29"/>
    <w:rsid w:val="00721D56"/>
    <w:rsid w:val="007228E9"/>
    <w:rsid w:val="00722E69"/>
    <w:rsid w:val="00722FED"/>
    <w:rsid w:val="007232ED"/>
    <w:rsid w:val="007240C0"/>
    <w:rsid w:val="007240F5"/>
    <w:rsid w:val="00724329"/>
    <w:rsid w:val="007247F0"/>
    <w:rsid w:val="00724DCE"/>
    <w:rsid w:val="007252B5"/>
    <w:rsid w:val="0072532D"/>
    <w:rsid w:val="00725358"/>
    <w:rsid w:val="00725843"/>
    <w:rsid w:val="00725CAF"/>
    <w:rsid w:val="00725DD0"/>
    <w:rsid w:val="00725E56"/>
    <w:rsid w:val="007263D9"/>
    <w:rsid w:val="00727422"/>
    <w:rsid w:val="007277B7"/>
    <w:rsid w:val="00730543"/>
    <w:rsid w:val="007307F3"/>
    <w:rsid w:val="00730CE8"/>
    <w:rsid w:val="00730DB7"/>
    <w:rsid w:val="00730E25"/>
    <w:rsid w:val="00730F28"/>
    <w:rsid w:val="00730FE1"/>
    <w:rsid w:val="00731904"/>
    <w:rsid w:val="00731A9A"/>
    <w:rsid w:val="00731AE8"/>
    <w:rsid w:val="00731C9B"/>
    <w:rsid w:val="00731F2C"/>
    <w:rsid w:val="00731F63"/>
    <w:rsid w:val="0073286C"/>
    <w:rsid w:val="00732D14"/>
    <w:rsid w:val="00732D2B"/>
    <w:rsid w:val="0073313B"/>
    <w:rsid w:val="00733858"/>
    <w:rsid w:val="00733BA5"/>
    <w:rsid w:val="00733C7D"/>
    <w:rsid w:val="00733CFE"/>
    <w:rsid w:val="00733D17"/>
    <w:rsid w:val="00733F67"/>
    <w:rsid w:val="00733F7F"/>
    <w:rsid w:val="00734029"/>
    <w:rsid w:val="0073433A"/>
    <w:rsid w:val="0073442F"/>
    <w:rsid w:val="00734635"/>
    <w:rsid w:val="007346A4"/>
    <w:rsid w:val="007349A0"/>
    <w:rsid w:val="007353BB"/>
    <w:rsid w:val="0073552B"/>
    <w:rsid w:val="007356F2"/>
    <w:rsid w:val="00735D02"/>
    <w:rsid w:val="007360A9"/>
    <w:rsid w:val="007361CC"/>
    <w:rsid w:val="0073620D"/>
    <w:rsid w:val="00736A46"/>
    <w:rsid w:val="0073732E"/>
    <w:rsid w:val="00737476"/>
    <w:rsid w:val="007379F2"/>
    <w:rsid w:val="00737BBC"/>
    <w:rsid w:val="00740023"/>
    <w:rsid w:val="00740024"/>
    <w:rsid w:val="0074030F"/>
    <w:rsid w:val="0074045A"/>
    <w:rsid w:val="007406A3"/>
    <w:rsid w:val="007407EE"/>
    <w:rsid w:val="007408DF"/>
    <w:rsid w:val="0074098B"/>
    <w:rsid w:val="00740997"/>
    <w:rsid w:val="00740D85"/>
    <w:rsid w:val="00740DC3"/>
    <w:rsid w:val="00740F2E"/>
    <w:rsid w:val="00741211"/>
    <w:rsid w:val="007414E3"/>
    <w:rsid w:val="0074164F"/>
    <w:rsid w:val="0074176B"/>
    <w:rsid w:val="007417B8"/>
    <w:rsid w:val="0074181F"/>
    <w:rsid w:val="0074216E"/>
    <w:rsid w:val="007421E5"/>
    <w:rsid w:val="00742640"/>
    <w:rsid w:val="00742A4D"/>
    <w:rsid w:val="00742AAB"/>
    <w:rsid w:val="0074352A"/>
    <w:rsid w:val="007436C7"/>
    <w:rsid w:val="00743D94"/>
    <w:rsid w:val="00743E28"/>
    <w:rsid w:val="00743F8B"/>
    <w:rsid w:val="0074442B"/>
    <w:rsid w:val="007444FB"/>
    <w:rsid w:val="00744897"/>
    <w:rsid w:val="00744ABD"/>
    <w:rsid w:val="00744D65"/>
    <w:rsid w:val="00744D6D"/>
    <w:rsid w:val="00744ECC"/>
    <w:rsid w:val="0074517D"/>
    <w:rsid w:val="0074534B"/>
    <w:rsid w:val="0074544A"/>
    <w:rsid w:val="00745816"/>
    <w:rsid w:val="00745985"/>
    <w:rsid w:val="0074603F"/>
    <w:rsid w:val="00746309"/>
    <w:rsid w:val="007467BE"/>
    <w:rsid w:val="007467FA"/>
    <w:rsid w:val="00746AB2"/>
    <w:rsid w:val="00746C73"/>
    <w:rsid w:val="0074762E"/>
    <w:rsid w:val="00747E35"/>
    <w:rsid w:val="00750265"/>
    <w:rsid w:val="007502A2"/>
    <w:rsid w:val="007509EA"/>
    <w:rsid w:val="00750CBB"/>
    <w:rsid w:val="00750D5B"/>
    <w:rsid w:val="00750EA3"/>
    <w:rsid w:val="00750FC9"/>
    <w:rsid w:val="00750FD0"/>
    <w:rsid w:val="0075110A"/>
    <w:rsid w:val="0075153D"/>
    <w:rsid w:val="00751747"/>
    <w:rsid w:val="00751781"/>
    <w:rsid w:val="00751A2B"/>
    <w:rsid w:val="00751ABD"/>
    <w:rsid w:val="00751EAC"/>
    <w:rsid w:val="0075220B"/>
    <w:rsid w:val="0075232C"/>
    <w:rsid w:val="007523A7"/>
    <w:rsid w:val="00752657"/>
    <w:rsid w:val="0075290C"/>
    <w:rsid w:val="00752AF0"/>
    <w:rsid w:val="0075312E"/>
    <w:rsid w:val="0075331F"/>
    <w:rsid w:val="007534D6"/>
    <w:rsid w:val="00753530"/>
    <w:rsid w:val="00753689"/>
    <w:rsid w:val="007536CB"/>
    <w:rsid w:val="00753A32"/>
    <w:rsid w:val="00753B48"/>
    <w:rsid w:val="00754A96"/>
    <w:rsid w:val="00754B91"/>
    <w:rsid w:val="00754D58"/>
    <w:rsid w:val="00754F36"/>
    <w:rsid w:val="00754FF0"/>
    <w:rsid w:val="007550AE"/>
    <w:rsid w:val="00755579"/>
    <w:rsid w:val="007555CF"/>
    <w:rsid w:val="00755690"/>
    <w:rsid w:val="00755B5A"/>
    <w:rsid w:val="00755F33"/>
    <w:rsid w:val="007561F9"/>
    <w:rsid w:val="0075667C"/>
    <w:rsid w:val="00756686"/>
    <w:rsid w:val="00756890"/>
    <w:rsid w:val="00756AD8"/>
    <w:rsid w:val="007570F9"/>
    <w:rsid w:val="0075736E"/>
    <w:rsid w:val="007577F0"/>
    <w:rsid w:val="0076052F"/>
    <w:rsid w:val="0076054C"/>
    <w:rsid w:val="00760F8D"/>
    <w:rsid w:val="00760F98"/>
    <w:rsid w:val="007610E1"/>
    <w:rsid w:val="007613D3"/>
    <w:rsid w:val="00761403"/>
    <w:rsid w:val="00761467"/>
    <w:rsid w:val="0076151C"/>
    <w:rsid w:val="00761764"/>
    <w:rsid w:val="00761828"/>
    <w:rsid w:val="00761894"/>
    <w:rsid w:val="00761CEA"/>
    <w:rsid w:val="00761FD3"/>
    <w:rsid w:val="0076211E"/>
    <w:rsid w:val="0076214C"/>
    <w:rsid w:val="00762333"/>
    <w:rsid w:val="007625C6"/>
    <w:rsid w:val="0076288C"/>
    <w:rsid w:val="00762C2B"/>
    <w:rsid w:val="007632A1"/>
    <w:rsid w:val="007634D7"/>
    <w:rsid w:val="007636C7"/>
    <w:rsid w:val="00763843"/>
    <w:rsid w:val="00763AA1"/>
    <w:rsid w:val="00763CA1"/>
    <w:rsid w:val="00763F10"/>
    <w:rsid w:val="007641CE"/>
    <w:rsid w:val="00764912"/>
    <w:rsid w:val="00764A50"/>
    <w:rsid w:val="00765051"/>
    <w:rsid w:val="0076553E"/>
    <w:rsid w:val="00765BD1"/>
    <w:rsid w:val="00765F58"/>
    <w:rsid w:val="007660F7"/>
    <w:rsid w:val="00766254"/>
    <w:rsid w:val="00766426"/>
    <w:rsid w:val="007669D3"/>
    <w:rsid w:val="007669FD"/>
    <w:rsid w:val="00766A1E"/>
    <w:rsid w:val="00766DB9"/>
    <w:rsid w:val="00767150"/>
    <w:rsid w:val="007671B2"/>
    <w:rsid w:val="00767335"/>
    <w:rsid w:val="0076744C"/>
    <w:rsid w:val="007676EF"/>
    <w:rsid w:val="007678A1"/>
    <w:rsid w:val="00767F36"/>
    <w:rsid w:val="007700E1"/>
    <w:rsid w:val="0077033B"/>
    <w:rsid w:val="0077041C"/>
    <w:rsid w:val="00770938"/>
    <w:rsid w:val="00770964"/>
    <w:rsid w:val="00770C4F"/>
    <w:rsid w:val="007711AD"/>
    <w:rsid w:val="007715D5"/>
    <w:rsid w:val="007715ED"/>
    <w:rsid w:val="0077182D"/>
    <w:rsid w:val="00771A77"/>
    <w:rsid w:val="00771E22"/>
    <w:rsid w:val="00771ED8"/>
    <w:rsid w:val="0077215E"/>
    <w:rsid w:val="0077286E"/>
    <w:rsid w:val="007732DC"/>
    <w:rsid w:val="00773896"/>
    <w:rsid w:val="007739B2"/>
    <w:rsid w:val="00773CDA"/>
    <w:rsid w:val="00774138"/>
    <w:rsid w:val="007742E3"/>
    <w:rsid w:val="00774C31"/>
    <w:rsid w:val="0077503C"/>
    <w:rsid w:val="00775073"/>
    <w:rsid w:val="0077510F"/>
    <w:rsid w:val="007753C5"/>
    <w:rsid w:val="00775700"/>
    <w:rsid w:val="00775774"/>
    <w:rsid w:val="00775810"/>
    <w:rsid w:val="00775F36"/>
    <w:rsid w:val="007765AD"/>
    <w:rsid w:val="0077660B"/>
    <w:rsid w:val="007766FE"/>
    <w:rsid w:val="00776D44"/>
    <w:rsid w:val="00776F82"/>
    <w:rsid w:val="0077700D"/>
    <w:rsid w:val="00777110"/>
    <w:rsid w:val="00777510"/>
    <w:rsid w:val="0077752B"/>
    <w:rsid w:val="0077797F"/>
    <w:rsid w:val="00777ADD"/>
    <w:rsid w:val="00777B31"/>
    <w:rsid w:val="00780226"/>
    <w:rsid w:val="007802E0"/>
    <w:rsid w:val="0078041E"/>
    <w:rsid w:val="007804A6"/>
    <w:rsid w:val="0078061E"/>
    <w:rsid w:val="0078076E"/>
    <w:rsid w:val="00780ADD"/>
    <w:rsid w:val="00780B8E"/>
    <w:rsid w:val="00780DF1"/>
    <w:rsid w:val="00780E8B"/>
    <w:rsid w:val="007814FD"/>
    <w:rsid w:val="007815A8"/>
    <w:rsid w:val="00781CF8"/>
    <w:rsid w:val="00781E9F"/>
    <w:rsid w:val="00782251"/>
    <w:rsid w:val="007823CE"/>
    <w:rsid w:val="00782411"/>
    <w:rsid w:val="00782799"/>
    <w:rsid w:val="007828BD"/>
    <w:rsid w:val="00783278"/>
    <w:rsid w:val="00783480"/>
    <w:rsid w:val="00783BE8"/>
    <w:rsid w:val="007840F4"/>
    <w:rsid w:val="00784246"/>
    <w:rsid w:val="0078439C"/>
    <w:rsid w:val="00784502"/>
    <w:rsid w:val="00784D32"/>
    <w:rsid w:val="00784FDB"/>
    <w:rsid w:val="007852E8"/>
    <w:rsid w:val="00785701"/>
    <w:rsid w:val="00785724"/>
    <w:rsid w:val="00785E49"/>
    <w:rsid w:val="007860AF"/>
    <w:rsid w:val="00786192"/>
    <w:rsid w:val="0078679E"/>
    <w:rsid w:val="007867E9"/>
    <w:rsid w:val="0078690B"/>
    <w:rsid w:val="0078694C"/>
    <w:rsid w:val="00786A9B"/>
    <w:rsid w:val="00786CD1"/>
    <w:rsid w:val="00786DD7"/>
    <w:rsid w:val="007870D9"/>
    <w:rsid w:val="00787ABA"/>
    <w:rsid w:val="00787C97"/>
    <w:rsid w:val="00787CE3"/>
    <w:rsid w:val="00790377"/>
    <w:rsid w:val="007903F5"/>
    <w:rsid w:val="00790499"/>
    <w:rsid w:val="00790A66"/>
    <w:rsid w:val="00790CE0"/>
    <w:rsid w:val="0079107D"/>
    <w:rsid w:val="007910B8"/>
    <w:rsid w:val="00791498"/>
    <w:rsid w:val="007918BB"/>
    <w:rsid w:val="00791988"/>
    <w:rsid w:val="00791B88"/>
    <w:rsid w:val="00791CDF"/>
    <w:rsid w:val="007921A5"/>
    <w:rsid w:val="0079290B"/>
    <w:rsid w:val="00792B1A"/>
    <w:rsid w:val="00792D14"/>
    <w:rsid w:val="00792E45"/>
    <w:rsid w:val="00792E4F"/>
    <w:rsid w:val="00792E85"/>
    <w:rsid w:val="00793006"/>
    <w:rsid w:val="00793012"/>
    <w:rsid w:val="007933EB"/>
    <w:rsid w:val="00793507"/>
    <w:rsid w:val="007936D5"/>
    <w:rsid w:val="00793DD2"/>
    <w:rsid w:val="00793E34"/>
    <w:rsid w:val="00793EC4"/>
    <w:rsid w:val="00793FC1"/>
    <w:rsid w:val="00794009"/>
    <w:rsid w:val="007945EE"/>
    <w:rsid w:val="007946C0"/>
    <w:rsid w:val="00794933"/>
    <w:rsid w:val="00794D3D"/>
    <w:rsid w:val="00794E1F"/>
    <w:rsid w:val="00794ECE"/>
    <w:rsid w:val="00794F58"/>
    <w:rsid w:val="0079502C"/>
    <w:rsid w:val="0079534F"/>
    <w:rsid w:val="00795CE9"/>
    <w:rsid w:val="00795CF5"/>
    <w:rsid w:val="0079669D"/>
    <w:rsid w:val="007966AE"/>
    <w:rsid w:val="0079694F"/>
    <w:rsid w:val="00796988"/>
    <w:rsid w:val="00796A8C"/>
    <w:rsid w:val="00796EE2"/>
    <w:rsid w:val="007971C2"/>
    <w:rsid w:val="007971E1"/>
    <w:rsid w:val="00797565"/>
    <w:rsid w:val="007A00C9"/>
    <w:rsid w:val="007A0711"/>
    <w:rsid w:val="007A0A99"/>
    <w:rsid w:val="007A0F9C"/>
    <w:rsid w:val="007A0FCC"/>
    <w:rsid w:val="007A10B6"/>
    <w:rsid w:val="007A1212"/>
    <w:rsid w:val="007A135C"/>
    <w:rsid w:val="007A16E1"/>
    <w:rsid w:val="007A1B0F"/>
    <w:rsid w:val="007A1B19"/>
    <w:rsid w:val="007A1D3C"/>
    <w:rsid w:val="007A228D"/>
    <w:rsid w:val="007A2331"/>
    <w:rsid w:val="007A2476"/>
    <w:rsid w:val="007A26AF"/>
    <w:rsid w:val="007A2B55"/>
    <w:rsid w:val="007A2DF5"/>
    <w:rsid w:val="007A2E88"/>
    <w:rsid w:val="007A2F00"/>
    <w:rsid w:val="007A3335"/>
    <w:rsid w:val="007A3644"/>
    <w:rsid w:val="007A3F59"/>
    <w:rsid w:val="007A4092"/>
    <w:rsid w:val="007A419B"/>
    <w:rsid w:val="007A4210"/>
    <w:rsid w:val="007A4407"/>
    <w:rsid w:val="007A4594"/>
    <w:rsid w:val="007A45E9"/>
    <w:rsid w:val="007A4A08"/>
    <w:rsid w:val="007A4AF5"/>
    <w:rsid w:val="007A4B92"/>
    <w:rsid w:val="007A4D85"/>
    <w:rsid w:val="007A5512"/>
    <w:rsid w:val="007A572B"/>
    <w:rsid w:val="007A5B55"/>
    <w:rsid w:val="007A5E9A"/>
    <w:rsid w:val="007A5ED4"/>
    <w:rsid w:val="007A5FA0"/>
    <w:rsid w:val="007A625A"/>
    <w:rsid w:val="007A6496"/>
    <w:rsid w:val="007A64AD"/>
    <w:rsid w:val="007A6536"/>
    <w:rsid w:val="007A69AF"/>
    <w:rsid w:val="007A6A1B"/>
    <w:rsid w:val="007A6A92"/>
    <w:rsid w:val="007A7074"/>
    <w:rsid w:val="007A7209"/>
    <w:rsid w:val="007A730C"/>
    <w:rsid w:val="007A74FC"/>
    <w:rsid w:val="007A765F"/>
    <w:rsid w:val="007A7847"/>
    <w:rsid w:val="007A7A49"/>
    <w:rsid w:val="007A7C23"/>
    <w:rsid w:val="007A7E41"/>
    <w:rsid w:val="007A7EFB"/>
    <w:rsid w:val="007A7FE4"/>
    <w:rsid w:val="007B0AD8"/>
    <w:rsid w:val="007B0CF9"/>
    <w:rsid w:val="007B0D9F"/>
    <w:rsid w:val="007B0ED5"/>
    <w:rsid w:val="007B0F39"/>
    <w:rsid w:val="007B1376"/>
    <w:rsid w:val="007B1C28"/>
    <w:rsid w:val="007B1EDD"/>
    <w:rsid w:val="007B21E1"/>
    <w:rsid w:val="007B228E"/>
    <w:rsid w:val="007B25C3"/>
    <w:rsid w:val="007B2660"/>
    <w:rsid w:val="007B2B56"/>
    <w:rsid w:val="007B2BB0"/>
    <w:rsid w:val="007B2CA8"/>
    <w:rsid w:val="007B2CF0"/>
    <w:rsid w:val="007B2EA1"/>
    <w:rsid w:val="007B317F"/>
    <w:rsid w:val="007B31FA"/>
    <w:rsid w:val="007B32DB"/>
    <w:rsid w:val="007B34FA"/>
    <w:rsid w:val="007B37B4"/>
    <w:rsid w:val="007B3820"/>
    <w:rsid w:val="007B3AC1"/>
    <w:rsid w:val="007B3E0D"/>
    <w:rsid w:val="007B3E52"/>
    <w:rsid w:val="007B3EFE"/>
    <w:rsid w:val="007B3F02"/>
    <w:rsid w:val="007B4053"/>
    <w:rsid w:val="007B4181"/>
    <w:rsid w:val="007B4D23"/>
    <w:rsid w:val="007B4F5D"/>
    <w:rsid w:val="007B52B9"/>
    <w:rsid w:val="007B532F"/>
    <w:rsid w:val="007B5536"/>
    <w:rsid w:val="007B5998"/>
    <w:rsid w:val="007B59C6"/>
    <w:rsid w:val="007B5BE5"/>
    <w:rsid w:val="007B5DBB"/>
    <w:rsid w:val="007B6089"/>
    <w:rsid w:val="007B60C2"/>
    <w:rsid w:val="007B6328"/>
    <w:rsid w:val="007B6443"/>
    <w:rsid w:val="007B64EC"/>
    <w:rsid w:val="007B694F"/>
    <w:rsid w:val="007B6A5D"/>
    <w:rsid w:val="007B6BDB"/>
    <w:rsid w:val="007B6BF4"/>
    <w:rsid w:val="007B6D1E"/>
    <w:rsid w:val="007B7137"/>
    <w:rsid w:val="007B73AE"/>
    <w:rsid w:val="007B73FD"/>
    <w:rsid w:val="007B7630"/>
    <w:rsid w:val="007B7ECC"/>
    <w:rsid w:val="007B7FD2"/>
    <w:rsid w:val="007C0263"/>
    <w:rsid w:val="007C050C"/>
    <w:rsid w:val="007C06C0"/>
    <w:rsid w:val="007C06ED"/>
    <w:rsid w:val="007C0AD3"/>
    <w:rsid w:val="007C0D62"/>
    <w:rsid w:val="007C0E04"/>
    <w:rsid w:val="007C0EB9"/>
    <w:rsid w:val="007C1436"/>
    <w:rsid w:val="007C1545"/>
    <w:rsid w:val="007C18F8"/>
    <w:rsid w:val="007C19E4"/>
    <w:rsid w:val="007C1B8B"/>
    <w:rsid w:val="007C246B"/>
    <w:rsid w:val="007C24EF"/>
    <w:rsid w:val="007C276B"/>
    <w:rsid w:val="007C296C"/>
    <w:rsid w:val="007C2A66"/>
    <w:rsid w:val="007C2B6F"/>
    <w:rsid w:val="007C2DB1"/>
    <w:rsid w:val="007C2DBC"/>
    <w:rsid w:val="007C2E08"/>
    <w:rsid w:val="007C2EB3"/>
    <w:rsid w:val="007C2FA3"/>
    <w:rsid w:val="007C31BB"/>
    <w:rsid w:val="007C3216"/>
    <w:rsid w:val="007C34F7"/>
    <w:rsid w:val="007C370C"/>
    <w:rsid w:val="007C3C0B"/>
    <w:rsid w:val="007C3DB4"/>
    <w:rsid w:val="007C3F7D"/>
    <w:rsid w:val="007C3FF4"/>
    <w:rsid w:val="007C46AB"/>
    <w:rsid w:val="007C46FD"/>
    <w:rsid w:val="007C4C0D"/>
    <w:rsid w:val="007C5396"/>
    <w:rsid w:val="007C53FE"/>
    <w:rsid w:val="007C54B8"/>
    <w:rsid w:val="007C5594"/>
    <w:rsid w:val="007C5A2D"/>
    <w:rsid w:val="007C5BCF"/>
    <w:rsid w:val="007C5C0C"/>
    <w:rsid w:val="007C5C81"/>
    <w:rsid w:val="007C5D16"/>
    <w:rsid w:val="007C5DC1"/>
    <w:rsid w:val="007C5E1C"/>
    <w:rsid w:val="007C5E86"/>
    <w:rsid w:val="007C5F2D"/>
    <w:rsid w:val="007C6211"/>
    <w:rsid w:val="007C629E"/>
    <w:rsid w:val="007C62B0"/>
    <w:rsid w:val="007C62DF"/>
    <w:rsid w:val="007C63EB"/>
    <w:rsid w:val="007C6447"/>
    <w:rsid w:val="007C6A15"/>
    <w:rsid w:val="007C6A99"/>
    <w:rsid w:val="007C6AF6"/>
    <w:rsid w:val="007C70DB"/>
    <w:rsid w:val="007C70EC"/>
    <w:rsid w:val="007C732C"/>
    <w:rsid w:val="007C7522"/>
    <w:rsid w:val="007C77F6"/>
    <w:rsid w:val="007D00F2"/>
    <w:rsid w:val="007D024D"/>
    <w:rsid w:val="007D0960"/>
    <w:rsid w:val="007D0CE5"/>
    <w:rsid w:val="007D0D5A"/>
    <w:rsid w:val="007D0ECB"/>
    <w:rsid w:val="007D11DA"/>
    <w:rsid w:val="007D1357"/>
    <w:rsid w:val="007D16E8"/>
    <w:rsid w:val="007D1A9F"/>
    <w:rsid w:val="007D1C1B"/>
    <w:rsid w:val="007D1C31"/>
    <w:rsid w:val="007D21E5"/>
    <w:rsid w:val="007D2331"/>
    <w:rsid w:val="007D23E4"/>
    <w:rsid w:val="007D24F4"/>
    <w:rsid w:val="007D2A95"/>
    <w:rsid w:val="007D2C1B"/>
    <w:rsid w:val="007D2F16"/>
    <w:rsid w:val="007D3313"/>
    <w:rsid w:val="007D3550"/>
    <w:rsid w:val="007D3640"/>
    <w:rsid w:val="007D4234"/>
    <w:rsid w:val="007D42E4"/>
    <w:rsid w:val="007D4404"/>
    <w:rsid w:val="007D4E0A"/>
    <w:rsid w:val="007D5373"/>
    <w:rsid w:val="007D546C"/>
    <w:rsid w:val="007D576C"/>
    <w:rsid w:val="007D59EE"/>
    <w:rsid w:val="007D5DAA"/>
    <w:rsid w:val="007D6082"/>
    <w:rsid w:val="007D61C2"/>
    <w:rsid w:val="007D654B"/>
    <w:rsid w:val="007D6A91"/>
    <w:rsid w:val="007D6B41"/>
    <w:rsid w:val="007D6C03"/>
    <w:rsid w:val="007D6F5E"/>
    <w:rsid w:val="007D700B"/>
    <w:rsid w:val="007D73E8"/>
    <w:rsid w:val="007D745F"/>
    <w:rsid w:val="007D750E"/>
    <w:rsid w:val="007D7528"/>
    <w:rsid w:val="007D7629"/>
    <w:rsid w:val="007D77B4"/>
    <w:rsid w:val="007D792B"/>
    <w:rsid w:val="007D7A1E"/>
    <w:rsid w:val="007D7AB7"/>
    <w:rsid w:val="007E006B"/>
    <w:rsid w:val="007E00AF"/>
    <w:rsid w:val="007E02FB"/>
    <w:rsid w:val="007E0482"/>
    <w:rsid w:val="007E05AF"/>
    <w:rsid w:val="007E077A"/>
    <w:rsid w:val="007E0990"/>
    <w:rsid w:val="007E0A33"/>
    <w:rsid w:val="007E0E45"/>
    <w:rsid w:val="007E10EF"/>
    <w:rsid w:val="007E11FC"/>
    <w:rsid w:val="007E1378"/>
    <w:rsid w:val="007E170D"/>
    <w:rsid w:val="007E17D0"/>
    <w:rsid w:val="007E1951"/>
    <w:rsid w:val="007E1BB9"/>
    <w:rsid w:val="007E2003"/>
    <w:rsid w:val="007E2047"/>
    <w:rsid w:val="007E22AB"/>
    <w:rsid w:val="007E260E"/>
    <w:rsid w:val="007E2D45"/>
    <w:rsid w:val="007E33A3"/>
    <w:rsid w:val="007E33AE"/>
    <w:rsid w:val="007E3959"/>
    <w:rsid w:val="007E39A3"/>
    <w:rsid w:val="007E3ADB"/>
    <w:rsid w:val="007E3AEE"/>
    <w:rsid w:val="007E3D1A"/>
    <w:rsid w:val="007E43A1"/>
    <w:rsid w:val="007E43CE"/>
    <w:rsid w:val="007E4975"/>
    <w:rsid w:val="007E4CFE"/>
    <w:rsid w:val="007E4D78"/>
    <w:rsid w:val="007E4E10"/>
    <w:rsid w:val="007E5294"/>
    <w:rsid w:val="007E53B1"/>
    <w:rsid w:val="007E5E27"/>
    <w:rsid w:val="007E6252"/>
    <w:rsid w:val="007E62FE"/>
    <w:rsid w:val="007E6515"/>
    <w:rsid w:val="007E657B"/>
    <w:rsid w:val="007E6C80"/>
    <w:rsid w:val="007E73FD"/>
    <w:rsid w:val="007E771A"/>
    <w:rsid w:val="007E7CDB"/>
    <w:rsid w:val="007F026A"/>
    <w:rsid w:val="007F0902"/>
    <w:rsid w:val="007F0CA5"/>
    <w:rsid w:val="007F1428"/>
    <w:rsid w:val="007F1BE1"/>
    <w:rsid w:val="007F1DE4"/>
    <w:rsid w:val="007F1EF8"/>
    <w:rsid w:val="007F1F74"/>
    <w:rsid w:val="007F221D"/>
    <w:rsid w:val="007F2405"/>
    <w:rsid w:val="007F2444"/>
    <w:rsid w:val="007F26B7"/>
    <w:rsid w:val="007F26D6"/>
    <w:rsid w:val="007F2985"/>
    <w:rsid w:val="007F2AFE"/>
    <w:rsid w:val="007F2C09"/>
    <w:rsid w:val="007F30B2"/>
    <w:rsid w:val="007F3605"/>
    <w:rsid w:val="007F363F"/>
    <w:rsid w:val="007F3977"/>
    <w:rsid w:val="007F39B0"/>
    <w:rsid w:val="007F3AD6"/>
    <w:rsid w:val="007F3D7E"/>
    <w:rsid w:val="007F3E9C"/>
    <w:rsid w:val="007F473A"/>
    <w:rsid w:val="007F494E"/>
    <w:rsid w:val="007F4A46"/>
    <w:rsid w:val="007F4BD6"/>
    <w:rsid w:val="007F5142"/>
    <w:rsid w:val="007F5198"/>
    <w:rsid w:val="007F5218"/>
    <w:rsid w:val="007F559B"/>
    <w:rsid w:val="007F564A"/>
    <w:rsid w:val="007F5C3C"/>
    <w:rsid w:val="007F60AD"/>
    <w:rsid w:val="007F61EF"/>
    <w:rsid w:val="007F62A1"/>
    <w:rsid w:val="007F63F4"/>
    <w:rsid w:val="007F65A6"/>
    <w:rsid w:val="007F67C4"/>
    <w:rsid w:val="007F6F74"/>
    <w:rsid w:val="007F6F8E"/>
    <w:rsid w:val="007F70BE"/>
    <w:rsid w:val="007F7B78"/>
    <w:rsid w:val="007F7C2D"/>
    <w:rsid w:val="007F7CE9"/>
    <w:rsid w:val="007F7DAB"/>
    <w:rsid w:val="007F7ECF"/>
    <w:rsid w:val="00800815"/>
    <w:rsid w:val="00800A3F"/>
    <w:rsid w:val="008010B9"/>
    <w:rsid w:val="008016BA"/>
    <w:rsid w:val="00801836"/>
    <w:rsid w:val="00801AAA"/>
    <w:rsid w:val="00801BD1"/>
    <w:rsid w:val="00801D1D"/>
    <w:rsid w:val="00802507"/>
    <w:rsid w:val="008028E9"/>
    <w:rsid w:val="00802A8A"/>
    <w:rsid w:val="00802F39"/>
    <w:rsid w:val="00803666"/>
    <w:rsid w:val="008039DB"/>
    <w:rsid w:val="0080420D"/>
    <w:rsid w:val="008043A5"/>
    <w:rsid w:val="00804626"/>
    <w:rsid w:val="0080480B"/>
    <w:rsid w:val="00804DF2"/>
    <w:rsid w:val="00804E13"/>
    <w:rsid w:val="00804E35"/>
    <w:rsid w:val="00805521"/>
    <w:rsid w:val="00805908"/>
    <w:rsid w:val="00805ADF"/>
    <w:rsid w:val="00805DE2"/>
    <w:rsid w:val="00805F06"/>
    <w:rsid w:val="008061C9"/>
    <w:rsid w:val="00806275"/>
    <w:rsid w:val="008062C5"/>
    <w:rsid w:val="008062DF"/>
    <w:rsid w:val="00806960"/>
    <w:rsid w:val="00806FE0"/>
    <w:rsid w:val="00807085"/>
    <w:rsid w:val="008072DB"/>
    <w:rsid w:val="00807617"/>
    <w:rsid w:val="008076DF"/>
    <w:rsid w:val="00807C60"/>
    <w:rsid w:val="00807D6D"/>
    <w:rsid w:val="00807E76"/>
    <w:rsid w:val="008101A2"/>
    <w:rsid w:val="008103DA"/>
    <w:rsid w:val="0081042D"/>
    <w:rsid w:val="00810892"/>
    <w:rsid w:val="00810A65"/>
    <w:rsid w:val="00810D7C"/>
    <w:rsid w:val="00811041"/>
    <w:rsid w:val="00811101"/>
    <w:rsid w:val="0081119C"/>
    <w:rsid w:val="008112AA"/>
    <w:rsid w:val="0081176A"/>
    <w:rsid w:val="0081186E"/>
    <w:rsid w:val="00811981"/>
    <w:rsid w:val="00811AE7"/>
    <w:rsid w:val="00811AE8"/>
    <w:rsid w:val="00811BA6"/>
    <w:rsid w:val="00811CDA"/>
    <w:rsid w:val="00811D38"/>
    <w:rsid w:val="00811FDA"/>
    <w:rsid w:val="00812473"/>
    <w:rsid w:val="008128AD"/>
    <w:rsid w:val="00812979"/>
    <w:rsid w:val="00812DAB"/>
    <w:rsid w:val="00812E87"/>
    <w:rsid w:val="0081312E"/>
    <w:rsid w:val="0081339A"/>
    <w:rsid w:val="008134D1"/>
    <w:rsid w:val="008139AE"/>
    <w:rsid w:val="00813AA1"/>
    <w:rsid w:val="00813AF6"/>
    <w:rsid w:val="00813B67"/>
    <w:rsid w:val="00813BB5"/>
    <w:rsid w:val="00813DD5"/>
    <w:rsid w:val="0081451B"/>
    <w:rsid w:val="00814559"/>
    <w:rsid w:val="008147EE"/>
    <w:rsid w:val="00814849"/>
    <w:rsid w:val="00814E9C"/>
    <w:rsid w:val="008154C2"/>
    <w:rsid w:val="00815981"/>
    <w:rsid w:val="00815B68"/>
    <w:rsid w:val="00815E57"/>
    <w:rsid w:val="00815EE3"/>
    <w:rsid w:val="00815F21"/>
    <w:rsid w:val="0081611E"/>
    <w:rsid w:val="00816238"/>
    <w:rsid w:val="0081658B"/>
    <w:rsid w:val="00816637"/>
    <w:rsid w:val="00816BF8"/>
    <w:rsid w:val="00817482"/>
    <w:rsid w:val="008174A5"/>
    <w:rsid w:val="00817856"/>
    <w:rsid w:val="008179DB"/>
    <w:rsid w:val="00820114"/>
    <w:rsid w:val="00820464"/>
    <w:rsid w:val="008205CF"/>
    <w:rsid w:val="008205EC"/>
    <w:rsid w:val="00820B67"/>
    <w:rsid w:val="00820B76"/>
    <w:rsid w:val="00820B7D"/>
    <w:rsid w:val="00820C43"/>
    <w:rsid w:val="008212FD"/>
    <w:rsid w:val="008219E6"/>
    <w:rsid w:val="00821BA0"/>
    <w:rsid w:val="00821BF6"/>
    <w:rsid w:val="0082239D"/>
    <w:rsid w:val="00822721"/>
    <w:rsid w:val="00822A63"/>
    <w:rsid w:val="00822BA9"/>
    <w:rsid w:val="00822D20"/>
    <w:rsid w:val="00823108"/>
    <w:rsid w:val="008237EB"/>
    <w:rsid w:val="008239C0"/>
    <w:rsid w:val="00823A79"/>
    <w:rsid w:val="00824274"/>
    <w:rsid w:val="00824EE4"/>
    <w:rsid w:val="00824F7F"/>
    <w:rsid w:val="00824FDB"/>
    <w:rsid w:val="0082509C"/>
    <w:rsid w:val="00825100"/>
    <w:rsid w:val="0082521F"/>
    <w:rsid w:val="008257A9"/>
    <w:rsid w:val="00825A09"/>
    <w:rsid w:val="00825C02"/>
    <w:rsid w:val="00825CAD"/>
    <w:rsid w:val="00825EA9"/>
    <w:rsid w:val="00825F0B"/>
    <w:rsid w:val="008260A9"/>
    <w:rsid w:val="008262AC"/>
    <w:rsid w:val="00826B11"/>
    <w:rsid w:val="00826BB7"/>
    <w:rsid w:val="00826DE9"/>
    <w:rsid w:val="00826F33"/>
    <w:rsid w:val="008273E2"/>
    <w:rsid w:val="00827542"/>
    <w:rsid w:val="008275D9"/>
    <w:rsid w:val="008276F8"/>
    <w:rsid w:val="00827816"/>
    <w:rsid w:val="00827A02"/>
    <w:rsid w:val="00830C7B"/>
    <w:rsid w:val="00830F56"/>
    <w:rsid w:val="00831491"/>
    <w:rsid w:val="00831B29"/>
    <w:rsid w:val="00831CEC"/>
    <w:rsid w:val="00832597"/>
    <w:rsid w:val="008329DE"/>
    <w:rsid w:val="008329F8"/>
    <w:rsid w:val="00832AA0"/>
    <w:rsid w:val="00832BCC"/>
    <w:rsid w:val="00832F2A"/>
    <w:rsid w:val="008331C4"/>
    <w:rsid w:val="0083322C"/>
    <w:rsid w:val="00833286"/>
    <w:rsid w:val="008333E8"/>
    <w:rsid w:val="00833904"/>
    <w:rsid w:val="00833921"/>
    <w:rsid w:val="00833D6F"/>
    <w:rsid w:val="00834025"/>
    <w:rsid w:val="00834163"/>
    <w:rsid w:val="0083450F"/>
    <w:rsid w:val="008345E3"/>
    <w:rsid w:val="0083464E"/>
    <w:rsid w:val="0083495B"/>
    <w:rsid w:val="0083536A"/>
    <w:rsid w:val="0083572F"/>
    <w:rsid w:val="00835BFC"/>
    <w:rsid w:val="00835D0C"/>
    <w:rsid w:val="00836183"/>
    <w:rsid w:val="00836314"/>
    <w:rsid w:val="008367C5"/>
    <w:rsid w:val="008368CB"/>
    <w:rsid w:val="008368DC"/>
    <w:rsid w:val="00836B61"/>
    <w:rsid w:val="00837159"/>
    <w:rsid w:val="00837237"/>
    <w:rsid w:val="008374CC"/>
    <w:rsid w:val="00837AA6"/>
    <w:rsid w:val="00837C18"/>
    <w:rsid w:val="00837C4C"/>
    <w:rsid w:val="00837EC9"/>
    <w:rsid w:val="00840222"/>
    <w:rsid w:val="008402AB"/>
    <w:rsid w:val="008402B5"/>
    <w:rsid w:val="008409F0"/>
    <w:rsid w:val="00840B1B"/>
    <w:rsid w:val="00840CA8"/>
    <w:rsid w:val="00840CEC"/>
    <w:rsid w:val="008412B0"/>
    <w:rsid w:val="0084157F"/>
    <w:rsid w:val="00841624"/>
    <w:rsid w:val="00841C66"/>
    <w:rsid w:val="00842149"/>
    <w:rsid w:val="008421CB"/>
    <w:rsid w:val="00842846"/>
    <w:rsid w:val="008428BB"/>
    <w:rsid w:val="0084291E"/>
    <w:rsid w:val="00842C67"/>
    <w:rsid w:val="00842DEF"/>
    <w:rsid w:val="00842E69"/>
    <w:rsid w:val="00842FE2"/>
    <w:rsid w:val="0084308F"/>
    <w:rsid w:val="00843469"/>
    <w:rsid w:val="00843687"/>
    <w:rsid w:val="00843C23"/>
    <w:rsid w:val="00843E26"/>
    <w:rsid w:val="00843E8D"/>
    <w:rsid w:val="008441FB"/>
    <w:rsid w:val="0084468B"/>
    <w:rsid w:val="008448BB"/>
    <w:rsid w:val="00844E36"/>
    <w:rsid w:val="00844E94"/>
    <w:rsid w:val="0084505D"/>
    <w:rsid w:val="00845117"/>
    <w:rsid w:val="00845170"/>
    <w:rsid w:val="008452C3"/>
    <w:rsid w:val="00845626"/>
    <w:rsid w:val="0084578C"/>
    <w:rsid w:val="00845D24"/>
    <w:rsid w:val="00845F5E"/>
    <w:rsid w:val="00846070"/>
    <w:rsid w:val="0084637E"/>
    <w:rsid w:val="00846480"/>
    <w:rsid w:val="00846483"/>
    <w:rsid w:val="008465E6"/>
    <w:rsid w:val="00846953"/>
    <w:rsid w:val="00846A44"/>
    <w:rsid w:val="00846B24"/>
    <w:rsid w:val="00846C5F"/>
    <w:rsid w:val="00846CE2"/>
    <w:rsid w:val="00846DA2"/>
    <w:rsid w:val="00847320"/>
    <w:rsid w:val="00847458"/>
    <w:rsid w:val="0084786D"/>
    <w:rsid w:val="00847F87"/>
    <w:rsid w:val="008500E1"/>
    <w:rsid w:val="00850A2B"/>
    <w:rsid w:val="00850A5B"/>
    <w:rsid w:val="00850B2F"/>
    <w:rsid w:val="00850FE2"/>
    <w:rsid w:val="00851013"/>
    <w:rsid w:val="0085143E"/>
    <w:rsid w:val="0085196F"/>
    <w:rsid w:val="00851ADD"/>
    <w:rsid w:val="00851C57"/>
    <w:rsid w:val="00851F38"/>
    <w:rsid w:val="0085213C"/>
    <w:rsid w:val="00852158"/>
    <w:rsid w:val="008521F2"/>
    <w:rsid w:val="0085240C"/>
    <w:rsid w:val="0085265A"/>
    <w:rsid w:val="008529BA"/>
    <w:rsid w:val="00852A7C"/>
    <w:rsid w:val="00852C9B"/>
    <w:rsid w:val="00852E4C"/>
    <w:rsid w:val="0085322F"/>
    <w:rsid w:val="00853711"/>
    <w:rsid w:val="00853733"/>
    <w:rsid w:val="00853B6D"/>
    <w:rsid w:val="0085413A"/>
    <w:rsid w:val="008549A8"/>
    <w:rsid w:val="00854BED"/>
    <w:rsid w:val="00854BFF"/>
    <w:rsid w:val="00854D2A"/>
    <w:rsid w:val="00854D38"/>
    <w:rsid w:val="00854F91"/>
    <w:rsid w:val="0085501F"/>
    <w:rsid w:val="008552EC"/>
    <w:rsid w:val="008555F3"/>
    <w:rsid w:val="00855704"/>
    <w:rsid w:val="008557BC"/>
    <w:rsid w:val="00855896"/>
    <w:rsid w:val="008558B0"/>
    <w:rsid w:val="00855F0C"/>
    <w:rsid w:val="00856354"/>
    <w:rsid w:val="00856541"/>
    <w:rsid w:val="008565FA"/>
    <w:rsid w:val="00856842"/>
    <w:rsid w:val="0085695D"/>
    <w:rsid w:val="00856EED"/>
    <w:rsid w:val="00856FBC"/>
    <w:rsid w:val="00857269"/>
    <w:rsid w:val="0085742C"/>
    <w:rsid w:val="0085760C"/>
    <w:rsid w:val="00857821"/>
    <w:rsid w:val="00857F0D"/>
    <w:rsid w:val="008590E7"/>
    <w:rsid w:val="00860046"/>
    <w:rsid w:val="00860589"/>
    <w:rsid w:val="0086065F"/>
    <w:rsid w:val="00860784"/>
    <w:rsid w:val="00860AEA"/>
    <w:rsid w:val="00860C61"/>
    <w:rsid w:val="008614B0"/>
    <w:rsid w:val="00861896"/>
    <w:rsid w:val="008618D7"/>
    <w:rsid w:val="008618EF"/>
    <w:rsid w:val="00862133"/>
    <w:rsid w:val="008623DB"/>
    <w:rsid w:val="008625EB"/>
    <w:rsid w:val="008626BC"/>
    <w:rsid w:val="00862758"/>
    <w:rsid w:val="008627EC"/>
    <w:rsid w:val="00862EA3"/>
    <w:rsid w:val="00862F11"/>
    <w:rsid w:val="00862F78"/>
    <w:rsid w:val="00862FE5"/>
    <w:rsid w:val="008632A3"/>
    <w:rsid w:val="00863740"/>
    <w:rsid w:val="00863959"/>
    <w:rsid w:val="00863C85"/>
    <w:rsid w:val="00863DB7"/>
    <w:rsid w:val="008646A5"/>
    <w:rsid w:val="00864D01"/>
    <w:rsid w:val="008650B1"/>
    <w:rsid w:val="008651DE"/>
    <w:rsid w:val="008652D5"/>
    <w:rsid w:val="0086559B"/>
    <w:rsid w:val="00865A6D"/>
    <w:rsid w:val="00865ACA"/>
    <w:rsid w:val="00865DE2"/>
    <w:rsid w:val="00865EF2"/>
    <w:rsid w:val="008660AE"/>
    <w:rsid w:val="008660D3"/>
    <w:rsid w:val="0086650B"/>
    <w:rsid w:val="00866511"/>
    <w:rsid w:val="00866612"/>
    <w:rsid w:val="00866982"/>
    <w:rsid w:val="00866DCE"/>
    <w:rsid w:val="00866E27"/>
    <w:rsid w:val="00867028"/>
    <w:rsid w:val="00867AC1"/>
    <w:rsid w:val="00867FA3"/>
    <w:rsid w:val="008700B5"/>
    <w:rsid w:val="00870125"/>
    <w:rsid w:val="00870258"/>
    <w:rsid w:val="0087079D"/>
    <w:rsid w:val="008707FA"/>
    <w:rsid w:val="00870D9B"/>
    <w:rsid w:val="0087180F"/>
    <w:rsid w:val="00871876"/>
    <w:rsid w:val="0087190F"/>
    <w:rsid w:val="0087233B"/>
    <w:rsid w:val="008723C5"/>
    <w:rsid w:val="00872451"/>
    <w:rsid w:val="0087336D"/>
    <w:rsid w:val="008735A3"/>
    <w:rsid w:val="00873913"/>
    <w:rsid w:val="00873933"/>
    <w:rsid w:val="00873A9C"/>
    <w:rsid w:val="008740C2"/>
    <w:rsid w:val="0087424B"/>
    <w:rsid w:val="00874B54"/>
    <w:rsid w:val="00874C38"/>
    <w:rsid w:val="00874CCB"/>
    <w:rsid w:val="00874E2F"/>
    <w:rsid w:val="008750D5"/>
    <w:rsid w:val="008752A2"/>
    <w:rsid w:val="00875391"/>
    <w:rsid w:val="00875413"/>
    <w:rsid w:val="00875950"/>
    <w:rsid w:val="00875AFC"/>
    <w:rsid w:val="00875FFA"/>
    <w:rsid w:val="00876111"/>
    <w:rsid w:val="00876348"/>
    <w:rsid w:val="00876611"/>
    <w:rsid w:val="00876E61"/>
    <w:rsid w:val="00877099"/>
    <w:rsid w:val="008770FC"/>
    <w:rsid w:val="008771F1"/>
    <w:rsid w:val="008775C9"/>
    <w:rsid w:val="00877615"/>
    <w:rsid w:val="008777FD"/>
    <w:rsid w:val="00877F42"/>
    <w:rsid w:val="00877FE5"/>
    <w:rsid w:val="008806CD"/>
    <w:rsid w:val="00880747"/>
    <w:rsid w:val="008808F3"/>
    <w:rsid w:val="00880ED7"/>
    <w:rsid w:val="00881231"/>
    <w:rsid w:val="008815F5"/>
    <w:rsid w:val="00881929"/>
    <w:rsid w:val="00881A97"/>
    <w:rsid w:val="00881C9E"/>
    <w:rsid w:val="00881CF4"/>
    <w:rsid w:val="00881F42"/>
    <w:rsid w:val="00881F78"/>
    <w:rsid w:val="00882480"/>
    <w:rsid w:val="00882BD0"/>
    <w:rsid w:val="00882F2C"/>
    <w:rsid w:val="008836D4"/>
    <w:rsid w:val="00883A9C"/>
    <w:rsid w:val="00883CF7"/>
    <w:rsid w:val="00883FFF"/>
    <w:rsid w:val="00884037"/>
    <w:rsid w:val="0088431A"/>
    <w:rsid w:val="0088443B"/>
    <w:rsid w:val="0088492A"/>
    <w:rsid w:val="00884EC7"/>
    <w:rsid w:val="00885057"/>
    <w:rsid w:val="00885087"/>
    <w:rsid w:val="0088516C"/>
    <w:rsid w:val="00885540"/>
    <w:rsid w:val="00885713"/>
    <w:rsid w:val="00885C79"/>
    <w:rsid w:val="008865B3"/>
    <w:rsid w:val="008865F4"/>
    <w:rsid w:val="008869B4"/>
    <w:rsid w:val="00886E7D"/>
    <w:rsid w:val="00886EEF"/>
    <w:rsid w:val="008872DE"/>
    <w:rsid w:val="008876B4"/>
    <w:rsid w:val="008878B3"/>
    <w:rsid w:val="00887D7B"/>
    <w:rsid w:val="00887DD4"/>
    <w:rsid w:val="00887E4C"/>
    <w:rsid w:val="00887FB4"/>
    <w:rsid w:val="0089013B"/>
    <w:rsid w:val="00890282"/>
    <w:rsid w:val="00890DE2"/>
    <w:rsid w:val="00891185"/>
    <w:rsid w:val="00891369"/>
    <w:rsid w:val="0089163E"/>
    <w:rsid w:val="008918E1"/>
    <w:rsid w:val="008918E3"/>
    <w:rsid w:val="00891FAB"/>
    <w:rsid w:val="00891FFD"/>
    <w:rsid w:val="0089205F"/>
    <w:rsid w:val="008920E4"/>
    <w:rsid w:val="00892416"/>
    <w:rsid w:val="0089282D"/>
    <w:rsid w:val="00892BE2"/>
    <w:rsid w:val="00893177"/>
    <w:rsid w:val="00893228"/>
    <w:rsid w:val="0089327B"/>
    <w:rsid w:val="008932AA"/>
    <w:rsid w:val="00893425"/>
    <w:rsid w:val="00893BC8"/>
    <w:rsid w:val="00893DF4"/>
    <w:rsid w:val="00893EFD"/>
    <w:rsid w:val="00894172"/>
    <w:rsid w:val="0089433A"/>
    <w:rsid w:val="0089478D"/>
    <w:rsid w:val="008948AF"/>
    <w:rsid w:val="00894944"/>
    <w:rsid w:val="00894E70"/>
    <w:rsid w:val="00894EA5"/>
    <w:rsid w:val="0089518E"/>
    <w:rsid w:val="0089541F"/>
    <w:rsid w:val="0089576C"/>
    <w:rsid w:val="0089591F"/>
    <w:rsid w:val="00895F36"/>
    <w:rsid w:val="008960EC"/>
    <w:rsid w:val="0089619C"/>
    <w:rsid w:val="00896743"/>
    <w:rsid w:val="0089696F"/>
    <w:rsid w:val="00896B96"/>
    <w:rsid w:val="00896D82"/>
    <w:rsid w:val="00896DD3"/>
    <w:rsid w:val="00896F05"/>
    <w:rsid w:val="008970C8"/>
    <w:rsid w:val="00897300"/>
    <w:rsid w:val="00897B99"/>
    <w:rsid w:val="008A00E4"/>
    <w:rsid w:val="008A01A2"/>
    <w:rsid w:val="008A0507"/>
    <w:rsid w:val="008A08F9"/>
    <w:rsid w:val="008A0A4E"/>
    <w:rsid w:val="008A0C0E"/>
    <w:rsid w:val="008A10DC"/>
    <w:rsid w:val="008A124B"/>
    <w:rsid w:val="008A1268"/>
    <w:rsid w:val="008A142A"/>
    <w:rsid w:val="008A151D"/>
    <w:rsid w:val="008A16C5"/>
    <w:rsid w:val="008A1908"/>
    <w:rsid w:val="008A1A64"/>
    <w:rsid w:val="008A1DEA"/>
    <w:rsid w:val="008A1F8A"/>
    <w:rsid w:val="008A26B4"/>
    <w:rsid w:val="008A2847"/>
    <w:rsid w:val="008A2B9A"/>
    <w:rsid w:val="008A2E78"/>
    <w:rsid w:val="008A4060"/>
    <w:rsid w:val="008A444F"/>
    <w:rsid w:val="008A4A1D"/>
    <w:rsid w:val="008A4D30"/>
    <w:rsid w:val="008A5007"/>
    <w:rsid w:val="008A54D3"/>
    <w:rsid w:val="008A56FF"/>
    <w:rsid w:val="008A5E8D"/>
    <w:rsid w:val="008A5F22"/>
    <w:rsid w:val="008A602B"/>
    <w:rsid w:val="008A634E"/>
    <w:rsid w:val="008A63BE"/>
    <w:rsid w:val="008A6751"/>
    <w:rsid w:val="008A7031"/>
    <w:rsid w:val="008A703E"/>
    <w:rsid w:val="008A7580"/>
    <w:rsid w:val="008A75A2"/>
    <w:rsid w:val="008A7658"/>
    <w:rsid w:val="008A78D4"/>
    <w:rsid w:val="008A79EC"/>
    <w:rsid w:val="008A7A85"/>
    <w:rsid w:val="008A7A8F"/>
    <w:rsid w:val="008B068F"/>
    <w:rsid w:val="008B0AD4"/>
    <w:rsid w:val="008B12BF"/>
    <w:rsid w:val="008B1493"/>
    <w:rsid w:val="008B1735"/>
    <w:rsid w:val="008B177B"/>
    <w:rsid w:val="008B19C4"/>
    <w:rsid w:val="008B1D10"/>
    <w:rsid w:val="008B20DC"/>
    <w:rsid w:val="008B24B5"/>
    <w:rsid w:val="008B27C9"/>
    <w:rsid w:val="008B3287"/>
    <w:rsid w:val="008B3A2A"/>
    <w:rsid w:val="008B3CAF"/>
    <w:rsid w:val="008B3E2C"/>
    <w:rsid w:val="008B3E8C"/>
    <w:rsid w:val="008B3F17"/>
    <w:rsid w:val="008B4A47"/>
    <w:rsid w:val="008B4B78"/>
    <w:rsid w:val="008B537F"/>
    <w:rsid w:val="008B55AB"/>
    <w:rsid w:val="008B56A7"/>
    <w:rsid w:val="008B5814"/>
    <w:rsid w:val="008B5B7A"/>
    <w:rsid w:val="008B60D1"/>
    <w:rsid w:val="008B610F"/>
    <w:rsid w:val="008B6150"/>
    <w:rsid w:val="008B6658"/>
    <w:rsid w:val="008B68E4"/>
    <w:rsid w:val="008B6A90"/>
    <w:rsid w:val="008B6E87"/>
    <w:rsid w:val="008B703F"/>
    <w:rsid w:val="008B7059"/>
    <w:rsid w:val="008B7245"/>
    <w:rsid w:val="008B742D"/>
    <w:rsid w:val="008B7725"/>
    <w:rsid w:val="008B7BCA"/>
    <w:rsid w:val="008B7CBE"/>
    <w:rsid w:val="008B7E65"/>
    <w:rsid w:val="008B7EF2"/>
    <w:rsid w:val="008B7F4B"/>
    <w:rsid w:val="008C00D6"/>
    <w:rsid w:val="008C050A"/>
    <w:rsid w:val="008C07D7"/>
    <w:rsid w:val="008C091B"/>
    <w:rsid w:val="008C0A85"/>
    <w:rsid w:val="008C0B8B"/>
    <w:rsid w:val="008C0BF0"/>
    <w:rsid w:val="008C1108"/>
    <w:rsid w:val="008C1457"/>
    <w:rsid w:val="008C1ADE"/>
    <w:rsid w:val="008C1BEC"/>
    <w:rsid w:val="008C1D31"/>
    <w:rsid w:val="008C2194"/>
    <w:rsid w:val="008C232E"/>
    <w:rsid w:val="008C24BD"/>
    <w:rsid w:val="008C2603"/>
    <w:rsid w:val="008C2B46"/>
    <w:rsid w:val="008C2D2C"/>
    <w:rsid w:val="008C2E61"/>
    <w:rsid w:val="008C3193"/>
    <w:rsid w:val="008C3685"/>
    <w:rsid w:val="008C38C5"/>
    <w:rsid w:val="008C391C"/>
    <w:rsid w:val="008C396A"/>
    <w:rsid w:val="008C39CE"/>
    <w:rsid w:val="008C3C89"/>
    <w:rsid w:val="008C3EE6"/>
    <w:rsid w:val="008C4562"/>
    <w:rsid w:val="008C47C8"/>
    <w:rsid w:val="008C4A1D"/>
    <w:rsid w:val="008C4E70"/>
    <w:rsid w:val="008C518E"/>
    <w:rsid w:val="008C5256"/>
    <w:rsid w:val="008C5489"/>
    <w:rsid w:val="008C54D1"/>
    <w:rsid w:val="008C5790"/>
    <w:rsid w:val="008C59D7"/>
    <w:rsid w:val="008C59DD"/>
    <w:rsid w:val="008C5A8C"/>
    <w:rsid w:val="008C5C2C"/>
    <w:rsid w:val="008C5CE5"/>
    <w:rsid w:val="008C637A"/>
    <w:rsid w:val="008C666A"/>
    <w:rsid w:val="008C666C"/>
    <w:rsid w:val="008C69D4"/>
    <w:rsid w:val="008C6A0A"/>
    <w:rsid w:val="008C6E72"/>
    <w:rsid w:val="008C7145"/>
    <w:rsid w:val="008C71B1"/>
    <w:rsid w:val="008C757F"/>
    <w:rsid w:val="008C75C2"/>
    <w:rsid w:val="008C76D9"/>
    <w:rsid w:val="008C7F52"/>
    <w:rsid w:val="008D0031"/>
    <w:rsid w:val="008D03BC"/>
    <w:rsid w:val="008D0445"/>
    <w:rsid w:val="008D0969"/>
    <w:rsid w:val="008D0A88"/>
    <w:rsid w:val="008D0F3D"/>
    <w:rsid w:val="008D1194"/>
    <w:rsid w:val="008D124F"/>
    <w:rsid w:val="008D1819"/>
    <w:rsid w:val="008D1A55"/>
    <w:rsid w:val="008D1C7B"/>
    <w:rsid w:val="008D2152"/>
    <w:rsid w:val="008D2285"/>
    <w:rsid w:val="008D231B"/>
    <w:rsid w:val="008D23DD"/>
    <w:rsid w:val="008D25DE"/>
    <w:rsid w:val="008D2997"/>
    <w:rsid w:val="008D2A1A"/>
    <w:rsid w:val="008D2BB2"/>
    <w:rsid w:val="008D3097"/>
    <w:rsid w:val="008D3244"/>
    <w:rsid w:val="008D3330"/>
    <w:rsid w:val="008D3576"/>
    <w:rsid w:val="008D36E7"/>
    <w:rsid w:val="008D3A4F"/>
    <w:rsid w:val="008D3BCB"/>
    <w:rsid w:val="008D3D44"/>
    <w:rsid w:val="008D3E82"/>
    <w:rsid w:val="008D4124"/>
    <w:rsid w:val="008D4185"/>
    <w:rsid w:val="008D41E3"/>
    <w:rsid w:val="008D4277"/>
    <w:rsid w:val="008D44BE"/>
    <w:rsid w:val="008D4594"/>
    <w:rsid w:val="008D4648"/>
    <w:rsid w:val="008D48C4"/>
    <w:rsid w:val="008D4A05"/>
    <w:rsid w:val="008D4A53"/>
    <w:rsid w:val="008D4C96"/>
    <w:rsid w:val="008D4F03"/>
    <w:rsid w:val="008D50F5"/>
    <w:rsid w:val="008D546B"/>
    <w:rsid w:val="008D589E"/>
    <w:rsid w:val="008D58EE"/>
    <w:rsid w:val="008D5974"/>
    <w:rsid w:val="008D5A2D"/>
    <w:rsid w:val="008D5DB3"/>
    <w:rsid w:val="008D5FD7"/>
    <w:rsid w:val="008D622D"/>
    <w:rsid w:val="008D6269"/>
    <w:rsid w:val="008D6683"/>
    <w:rsid w:val="008D6B9B"/>
    <w:rsid w:val="008D6D8C"/>
    <w:rsid w:val="008D721E"/>
    <w:rsid w:val="008D790E"/>
    <w:rsid w:val="008E01D2"/>
    <w:rsid w:val="008E034B"/>
    <w:rsid w:val="008E04D1"/>
    <w:rsid w:val="008E04DE"/>
    <w:rsid w:val="008E06DB"/>
    <w:rsid w:val="008E0888"/>
    <w:rsid w:val="008E09F6"/>
    <w:rsid w:val="008E0E3C"/>
    <w:rsid w:val="008E1100"/>
    <w:rsid w:val="008E1144"/>
    <w:rsid w:val="008E12A3"/>
    <w:rsid w:val="008E1417"/>
    <w:rsid w:val="008E1686"/>
    <w:rsid w:val="008E1795"/>
    <w:rsid w:val="008E1BC2"/>
    <w:rsid w:val="008E2246"/>
    <w:rsid w:val="008E22BA"/>
    <w:rsid w:val="008E23D8"/>
    <w:rsid w:val="008E2668"/>
    <w:rsid w:val="008E28AA"/>
    <w:rsid w:val="008E2F9E"/>
    <w:rsid w:val="008E3198"/>
    <w:rsid w:val="008E33AD"/>
    <w:rsid w:val="008E36DB"/>
    <w:rsid w:val="008E3708"/>
    <w:rsid w:val="008E3C16"/>
    <w:rsid w:val="008E3D12"/>
    <w:rsid w:val="008E4171"/>
    <w:rsid w:val="008E43C3"/>
    <w:rsid w:val="008E4555"/>
    <w:rsid w:val="008E47EA"/>
    <w:rsid w:val="008E4843"/>
    <w:rsid w:val="008E48A0"/>
    <w:rsid w:val="008E4A47"/>
    <w:rsid w:val="008E4B26"/>
    <w:rsid w:val="008E4D05"/>
    <w:rsid w:val="008E4D86"/>
    <w:rsid w:val="008E50E2"/>
    <w:rsid w:val="008E560F"/>
    <w:rsid w:val="008E564F"/>
    <w:rsid w:val="008E5ACA"/>
    <w:rsid w:val="008E5ADE"/>
    <w:rsid w:val="008E5D4E"/>
    <w:rsid w:val="008E600E"/>
    <w:rsid w:val="008E612F"/>
    <w:rsid w:val="008E6219"/>
    <w:rsid w:val="008E6287"/>
    <w:rsid w:val="008E6732"/>
    <w:rsid w:val="008E67B8"/>
    <w:rsid w:val="008E6F45"/>
    <w:rsid w:val="008E713F"/>
    <w:rsid w:val="008E7973"/>
    <w:rsid w:val="008E7AAC"/>
    <w:rsid w:val="008E7D3B"/>
    <w:rsid w:val="008E7E17"/>
    <w:rsid w:val="008E7F1C"/>
    <w:rsid w:val="008F00F2"/>
    <w:rsid w:val="008F01F5"/>
    <w:rsid w:val="008F0627"/>
    <w:rsid w:val="008F099F"/>
    <w:rsid w:val="008F0A14"/>
    <w:rsid w:val="008F0B69"/>
    <w:rsid w:val="008F0E6F"/>
    <w:rsid w:val="008F0F98"/>
    <w:rsid w:val="008F1051"/>
    <w:rsid w:val="008F1333"/>
    <w:rsid w:val="008F1374"/>
    <w:rsid w:val="008F1392"/>
    <w:rsid w:val="008F1623"/>
    <w:rsid w:val="008F16B9"/>
    <w:rsid w:val="008F16F4"/>
    <w:rsid w:val="008F173F"/>
    <w:rsid w:val="008F1B64"/>
    <w:rsid w:val="008F1B6F"/>
    <w:rsid w:val="008F1D59"/>
    <w:rsid w:val="008F24F8"/>
    <w:rsid w:val="008F2818"/>
    <w:rsid w:val="008F2848"/>
    <w:rsid w:val="008F2DCE"/>
    <w:rsid w:val="008F2DDB"/>
    <w:rsid w:val="008F36E7"/>
    <w:rsid w:val="008F39FC"/>
    <w:rsid w:val="008F3B0F"/>
    <w:rsid w:val="008F3B2D"/>
    <w:rsid w:val="008F4285"/>
    <w:rsid w:val="008F437E"/>
    <w:rsid w:val="008F4839"/>
    <w:rsid w:val="008F4A46"/>
    <w:rsid w:val="008F524B"/>
    <w:rsid w:val="008F5792"/>
    <w:rsid w:val="008F5AF1"/>
    <w:rsid w:val="008F5D72"/>
    <w:rsid w:val="008F5E06"/>
    <w:rsid w:val="008F6012"/>
    <w:rsid w:val="008F6224"/>
    <w:rsid w:val="008F6617"/>
    <w:rsid w:val="008F671F"/>
    <w:rsid w:val="008F6F60"/>
    <w:rsid w:val="008F727F"/>
    <w:rsid w:val="008F759C"/>
    <w:rsid w:val="008F7880"/>
    <w:rsid w:val="008F7C7B"/>
    <w:rsid w:val="008F7DDB"/>
    <w:rsid w:val="0090019F"/>
    <w:rsid w:val="009003AB"/>
    <w:rsid w:val="009003F7"/>
    <w:rsid w:val="0090042E"/>
    <w:rsid w:val="009009B5"/>
    <w:rsid w:val="00900F44"/>
    <w:rsid w:val="00901398"/>
    <w:rsid w:val="0090163E"/>
    <w:rsid w:val="00901758"/>
    <w:rsid w:val="0090195C"/>
    <w:rsid w:val="009019E6"/>
    <w:rsid w:val="00901D5C"/>
    <w:rsid w:val="00901DBD"/>
    <w:rsid w:val="00901F03"/>
    <w:rsid w:val="00902038"/>
    <w:rsid w:val="0090240E"/>
    <w:rsid w:val="009024D7"/>
    <w:rsid w:val="009027AB"/>
    <w:rsid w:val="00902AA9"/>
    <w:rsid w:val="00902D2B"/>
    <w:rsid w:val="00903186"/>
    <w:rsid w:val="009038F1"/>
    <w:rsid w:val="00903ACA"/>
    <w:rsid w:val="00903B9C"/>
    <w:rsid w:val="00903C69"/>
    <w:rsid w:val="00903F1A"/>
    <w:rsid w:val="00903FBB"/>
    <w:rsid w:val="00904081"/>
    <w:rsid w:val="009043C6"/>
    <w:rsid w:val="009043E6"/>
    <w:rsid w:val="00904577"/>
    <w:rsid w:val="0090457B"/>
    <w:rsid w:val="0090457D"/>
    <w:rsid w:val="00904B8E"/>
    <w:rsid w:val="00904BF3"/>
    <w:rsid w:val="00904C33"/>
    <w:rsid w:val="00904F04"/>
    <w:rsid w:val="00904F99"/>
    <w:rsid w:val="00905124"/>
    <w:rsid w:val="00905236"/>
    <w:rsid w:val="00905472"/>
    <w:rsid w:val="00905A4F"/>
    <w:rsid w:val="00905D2A"/>
    <w:rsid w:val="00905E7A"/>
    <w:rsid w:val="00906011"/>
    <w:rsid w:val="009062AF"/>
    <w:rsid w:val="00906C47"/>
    <w:rsid w:val="00906E32"/>
    <w:rsid w:val="00906FEF"/>
    <w:rsid w:val="00907673"/>
    <w:rsid w:val="00907934"/>
    <w:rsid w:val="00907945"/>
    <w:rsid w:val="009079A2"/>
    <w:rsid w:val="00907A4F"/>
    <w:rsid w:val="00907EA4"/>
    <w:rsid w:val="00907FAD"/>
    <w:rsid w:val="009100B5"/>
    <w:rsid w:val="00910567"/>
    <w:rsid w:val="009107F4"/>
    <w:rsid w:val="009107FE"/>
    <w:rsid w:val="00910AFA"/>
    <w:rsid w:val="00910BEC"/>
    <w:rsid w:val="00910C94"/>
    <w:rsid w:val="0091141C"/>
    <w:rsid w:val="009114F5"/>
    <w:rsid w:val="009115B3"/>
    <w:rsid w:val="00911625"/>
    <w:rsid w:val="009117A6"/>
    <w:rsid w:val="00911B48"/>
    <w:rsid w:val="00911F1D"/>
    <w:rsid w:val="009124AE"/>
    <w:rsid w:val="009127FA"/>
    <w:rsid w:val="009129EA"/>
    <w:rsid w:val="00912B09"/>
    <w:rsid w:val="00913049"/>
    <w:rsid w:val="0091362B"/>
    <w:rsid w:val="0091384C"/>
    <w:rsid w:val="00913C80"/>
    <w:rsid w:val="00913E34"/>
    <w:rsid w:val="00914089"/>
    <w:rsid w:val="0091423E"/>
    <w:rsid w:val="0091466E"/>
    <w:rsid w:val="0091479B"/>
    <w:rsid w:val="00914910"/>
    <w:rsid w:val="009149DD"/>
    <w:rsid w:val="00914C1C"/>
    <w:rsid w:val="00914E83"/>
    <w:rsid w:val="00914EDB"/>
    <w:rsid w:val="0091520E"/>
    <w:rsid w:val="0091580F"/>
    <w:rsid w:val="00915B72"/>
    <w:rsid w:val="00915E83"/>
    <w:rsid w:val="00915E85"/>
    <w:rsid w:val="009160A8"/>
    <w:rsid w:val="00916D22"/>
    <w:rsid w:val="00916D4D"/>
    <w:rsid w:val="00916EA6"/>
    <w:rsid w:val="00917246"/>
    <w:rsid w:val="00917329"/>
    <w:rsid w:val="00917336"/>
    <w:rsid w:val="00917461"/>
    <w:rsid w:val="00917774"/>
    <w:rsid w:val="009178A5"/>
    <w:rsid w:val="00917934"/>
    <w:rsid w:val="0091793D"/>
    <w:rsid w:val="00917A1E"/>
    <w:rsid w:val="00917CD8"/>
    <w:rsid w:val="00920725"/>
    <w:rsid w:val="00920921"/>
    <w:rsid w:val="00920AB0"/>
    <w:rsid w:val="00920D10"/>
    <w:rsid w:val="00920E9F"/>
    <w:rsid w:val="00921564"/>
    <w:rsid w:val="00921B1C"/>
    <w:rsid w:val="00921C85"/>
    <w:rsid w:val="00921DEE"/>
    <w:rsid w:val="00921FFF"/>
    <w:rsid w:val="009223D7"/>
    <w:rsid w:val="0092289C"/>
    <w:rsid w:val="009228C3"/>
    <w:rsid w:val="00922BD1"/>
    <w:rsid w:val="009232AF"/>
    <w:rsid w:val="009234D9"/>
    <w:rsid w:val="00923803"/>
    <w:rsid w:val="0092388E"/>
    <w:rsid w:val="009238AA"/>
    <w:rsid w:val="00923A5B"/>
    <w:rsid w:val="00923B60"/>
    <w:rsid w:val="00923B80"/>
    <w:rsid w:val="00923BF1"/>
    <w:rsid w:val="00923C5F"/>
    <w:rsid w:val="0092400E"/>
    <w:rsid w:val="00924ED0"/>
    <w:rsid w:val="00925549"/>
    <w:rsid w:val="0092558C"/>
    <w:rsid w:val="0092569E"/>
    <w:rsid w:val="009257AF"/>
    <w:rsid w:val="00925C54"/>
    <w:rsid w:val="00925C69"/>
    <w:rsid w:val="00925D9E"/>
    <w:rsid w:val="00926538"/>
    <w:rsid w:val="00926797"/>
    <w:rsid w:val="009268B9"/>
    <w:rsid w:val="009268C1"/>
    <w:rsid w:val="009273E7"/>
    <w:rsid w:val="0092743A"/>
    <w:rsid w:val="009275A6"/>
    <w:rsid w:val="00927730"/>
    <w:rsid w:val="00930326"/>
    <w:rsid w:val="0093058A"/>
    <w:rsid w:val="009307D4"/>
    <w:rsid w:val="00930E36"/>
    <w:rsid w:val="0093100C"/>
    <w:rsid w:val="0093120C"/>
    <w:rsid w:val="0093145F"/>
    <w:rsid w:val="00931746"/>
    <w:rsid w:val="0093225B"/>
    <w:rsid w:val="009323A4"/>
    <w:rsid w:val="00932836"/>
    <w:rsid w:val="00932D3C"/>
    <w:rsid w:val="00933273"/>
    <w:rsid w:val="00933B89"/>
    <w:rsid w:val="0093476D"/>
    <w:rsid w:val="0093497D"/>
    <w:rsid w:val="00934BA5"/>
    <w:rsid w:val="00934BEA"/>
    <w:rsid w:val="00934CA2"/>
    <w:rsid w:val="00934CCE"/>
    <w:rsid w:val="00934E06"/>
    <w:rsid w:val="00934EAF"/>
    <w:rsid w:val="00934F1D"/>
    <w:rsid w:val="009350C5"/>
    <w:rsid w:val="00935596"/>
    <w:rsid w:val="0093578D"/>
    <w:rsid w:val="00935958"/>
    <w:rsid w:val="00935979"/>
    <w:rsid w:val="00935AB5"/>
    <w:rsid w:val="00935AE2"/>
    <w:rsid w:val="00935D58"/>
    <w:rsid w:val="00935E80"/>
    <w:rsid w:val="0093605D"/>
    <w:rsid w:val="00936467"/>
    <w:rsid w:val="00936C93"/>
    <w:rsid w:val="00937127"/>
    <w:rsid w:val="00937714"/>
    <w:rsid w:val="009377B4"/>
    <w:rsid w:val="009377E6"/>
    <w:rsid w:val="00937BCA"/>
    <w:rsid w:val="00937BE3"/>
    <w:rsid w:val="00937BE4"/>
    <w:rsid w:val="00937EC5"/>
    <w:rsid w:val="00937F1E"/>
    <w:rsid w:val="00937FB7"/>
    <w:rsid w:val="009403DE"/>
    <w:rsid w:val="0094088D"/>
    <w:rsid w:val="00940D40"/>
    <w:rsid w:val="009416CA"/>
    <w:rsid w:val="0094186E"/>
    <w:rsid w:val="009418D3"/>
    <w:rsid w:val="00941B31"/>
    <w:rsid w:val="00941B63"/>
    <w:rsid w:val="00941D2A"/>
    <w:rsid w:val="00941D80"/>
    <w:rsid w:val="00941E49"/>
    <w:rsid w:val="00941F5F"/>
    <w:rsid w:val="00941FA5"/>
    <w:rsid w:val="0094275D"/>
    <w:rsid w:val="00942799"/>
    <w:rsid w:val="009427C0"/>
    <w:rsid w:val="00942B79"/>
    <w:rsid w:val="00942EAB"/>
    <w:rsid w:val="0094302D"/>
    <w:rsid w:val="00943457"/>
    <w:rsid w:val="00943B83"/>
    <w:rsid w:val="00944506"/>
    <w:rsid w:val="009457ED"/>
    <w:rsid w:val="00946082"/>
    <w:rsid w:val="0094612C"/>
    <w:rsid w:val="009465CC"/>
    <w:rsid w:val="00946859"/>
    <w:rsid w:val="00946C6D"/>
    <w:rsid w:val="00946EF2"/>
    <w:rsid w:val="00946FF8"/>
    <w:rsid w:val="009471AA"/>
    <w:rsid w:val="009472F8"/>
    <w:rsid w:val="0094777E"/>
    <w:rsid w:val="00947923"/>
    <w:rsid w:val="00947A8D"/>
    <w:rsid w:val="00947BFD"/>
    <w:rsid w:val="00947E64"/>
    <w:rsid w:val="0095016C"/>
    <w:rsid w:val="009502D8"/>
    <w:rsid w:val="00950A68"/>
    <w:rsid w:val="0095127E"/>
    <w:rsid w:val="00952197"/>
    <w:rsid w:val="009528CB"/>
    <w:rsid w:val="0095292E"/>
    <w:rsid w:val="00952AE3"/>
    <w:rsid w:val="00952BB9"/>
    <w:rsid w:val="00952DA6"/>
    <w:rsid w:val="00953042"/>
    <w:rsid w:val="00953354"/>
    <w:rsid w:val="009535C5"/>
    <w:rsid w:val="009538BC"/>
    <w:rsid w:val="0095412A"/>
    <w:rsid w:val="009541B7"/>
    <w:rsid w:val="009542C0"/>
    <w:rsid w:val="00954842"/>
    <w:rsid w:val="009549B1"/>
    <w:rsid w:val="00954AB1"/>
    <w:rsid w:val="00954AB8"/>
    <w:rsid w:val="00954E65"/>
    <w:rsid w:val="00954EBE"/>
    <w:rsid w:val="00955010"/>
    <w:rsid w:val="00955898"/>
    <w:rsid w:val="00955C8F"/>
    <w:rsid w:val="00955F8C"/>
    <w:rsid w:val="00955FEF"/>
    <w:rsid w:val="00956078"/>
    <w:rsid w:val="00956183"/>
    <w:rsid w:val="00956212"/>
    <w:rsid w:val="0095667C"/>
    <w:rsid w:val="009566D0"/>
    <w:rsid w:val="00956A09"/>
    <w:rsid w:val="00956E98"/>
    <w:rsid w:val="00957153"/>
    <w:rsid w:val="0095739A"/>
    <w:rsid w:val="00957525"/>
    <w:rsid w:val="0095765F"/>
    <w:rsid w:val="0095783D"/>
    <w:rsid w:val="00957955"/>
    <w:rsid w:val="00957B4B"/>
    <w:rsid w:val="00960424"/>
    <w:rsid w:val="009605DA"/>
    <w:rsid w:val="00960A43"/>
    <w:rsid w:val="00961019"/>
    <w:rsid w:val="0096134B"/>
    <w:rsid w:val="0096151B"/>
    <w:rsid w:val="009615E1"/>
    <w:rsid w:val="00961624"/>
    <w:rsid w:val="00961636"/>
    <w:rsid w:val="009617E5"/>
    <w:rsid w:val="00961C99"/>
    <w:rsid w:val="00961E8A"/>
    <w:rsid w:val="00962029"/>
    <w:rsid w:val="00962188"/>
    <w:rsid w:val="00962282"/>
    <w:rsid w:val="00962B5A"/>
    <w:rsid w:val="00962D80"/>
    <w:rsid w:val="00962E1E"/>
    <w:rsid w:val="00963021"/>
    <w:rsid w:val="009631EE"/>
    <w:rsid w:val="0096333E"/>
    <w:rsid w:val="009634AD"/>
    <w:rsid w:val="009635A9"/>
    <w:rsid w:val="00963969"/>
    <w:rsid w:val="00963E66"/>
    <w:rsid w:val="00964402"/>
    <w:rsid w:val="00964898"/>
    <w:rsid w:val="009648CD"/>
    <w:rsid w:val="00964E59"/>
    <w:rsid w:val="00964F90"/>
    <w:rsid w:val="009658A8"/>
    <w:rsid w:val="0096590E"/>
    <w:rsid w:val="00965B00"/>
    <w:rsid w:val="00965DE5"/>
    <w:rsid w:val="00966106"/>
    <w:rsid w:val="00966BAC"/>
    <w:rsid w:val="0096729A"/>
    <w:rsid w:val="009672FA"/>
    <w:rsid w:val="009675CF"/>
    <w:rsid w:val="009677D8"/>
    <w:rsid w:val="009677DA"/>
    <w:rsid w:val="00967BCE"/>
    <w:rsid w:val="00967D26"/>
    <w:rsid w:val="00967E24"/>
    <w:rsid w:val="00970852"/>
    <w:rsid w:val="0097094C"/>
    <w:rsid w:val="00970952"/>
    <w:rsid w:val="00970A6E"/>
    <w:rsid w:val="00970D99"/>
    <w:rsid w:val="00970F22"/>
    <w:rsid w:val="00970FF8"/>
    <w:rsid w:val="00971326"/>
    <w:rsid w:val="009715EF"/>
    <w:rsid w:val="0097192B"/>
    <w:rsid w:val="00971A39"/>
    <w:rsid w:val="00971D79"/>
    <w:rsid w:val="00972009"/>
    <w:rsid w:val="00973064"/>
    <w:rsid w:val="00973642"/>
    <w:rsid w:val="009736E4"/>
    <w:rsid w:val="00973A27"/>
    <w:rsid w:val="00973AF6"/>
    <w:rsid w:val="00973D1C"/>
    <w:rsid w:val="00973DB2"/>
    <w:rsid w:val="00973ECE"/>
    <w:rsid w:val="00974182"/>
    <w:rsid w:val="00974333"/>
    <w:rsid w:val="0097477E"/>
    <w:rsid w:val="009747AE"/>
    <w:rsid w:val="00974A7E"/>
    <w:rsid w:val="00974B61"/>
    <w:rsid w:val="00974B81"/>
    <w:rsid w:val="00974EB6"/>
    <w:rsid w:val="00975BD4"/>
    <w:rsid w:val="00975DBD"/>
    <w:rsid w:val="00976237"/>
    <w:rsid w:val="009764E0"/>
    <w:rsid w:val="00976AC7"/>
    <w:rsid w:val="00976E82"/>
    <w:rsid w:val="00976EA9"/>
    <w:rsid w:val="00976FF5"/>
    <w:rsid w:val="0097739C"/>
    <w:rsid w:val="00977426"/>
    <w:rsid w:val="0097772A"/>
    <w:rsid w:val="00977BFF"/>
    <w:rsid w:val="0098006E"/>
    <w:rsid w:val="009807A5"/>
    <w:rsid w:val="00980992"/>
    <w:rsid w:val="00980B84"/>
    <w:rsid w:val="00980BB1"/>
    <w:rsid w:val="009814CC"/>
    <w:rsid w:val="00981742"/>
    <w:rsid w:val="0098177B"/>
    <w:rsid w:val="00981962"/>
    <w:rsid w:val="009819DD"/>
    <w:rsid w:val="009826AB"/>
    <w:rsid w:val="009828DC"/>
    <w:rsid w:val="00982D3C"/>
    <w:rsid w:val="00982E49"/>
    <w:rsid w:val="00982F25"/>
    <w:rsid w:val="00982FF1"/>
    <w:rsid w:val="00983183"/>
    <w:rsid w:val="00983A28"/>
    <w:rsid w:val="00983CC2"/>
    <w:rsid w:val="00983D3F"/>
    <w:rsid w:val="00983E24"/>
    <w:rsid w:val="00983EA1"/>
    <w:rsid w:val="00984077"/>
    <w:rsid w:val="0098485C"/>
    <w:rsid w:val="00984C18"/>
    <w:rsid w:val="00984D23"/>
    <w:rsid w:val="00984E6F"/>
    <w:rsid w:val="00984FC5"/>
    <w:rsid w:val="00985799"/>
    <w:rsid w:val="009857A8"/>
    <w:rsid w:val="009859A2"/>
    <w:rsid w:val="00985AD6"/>
    <w:rsid w:val="00985D46"/>
    <w:rsid w:val="00986386"/>
    <w:rsid w:val="0098694C"/>
    <w:rsid w:val="00986A45"/>
    <w:rsid w:val="009870E7"/>
    <w:rsid w:val="009871B1"/>
    <w:rsid w:val="00987400"/>
    <w:rsid w:val="009876DE"/>
    <w:rsid w:val="009877B5"/>
    <w:rsid w:val="009877F1"/>
    <w:rsid w:val="00987871"/>
    <w:rsid w:val="00987BF4"/>
    <w:rsid w:val="00987C0F"/>
    <w:rsid w:val="00987DDD"/>
    <w:rsid w:val="009900D8"/>
    <w:rsid w:val="009901CC"/>
    <w:rsid w:val="00990278"/>
    <w:rsid w:val="00990A46"/>
    <w:rsid w:val="00990BFF"/>
    <w:rsid w:val="00990CA2"/>
    <w:rsid w:val="00990D55"/>
    <w:rsid w:val="0099139C"/>
    <w:rsid w:val="009918B9"/>
    <w:rsid w:val="00991C8D"/>
    <w:rsid w:val="00991F49"/>
    <w:rsid w:val="0099237C"/>
    <w:rsid w:val="009924B6"/>
    <w:rsid w:val="0099255C"/>
    <w:rsid w:val="00992715"/>
    <w:rsid w:val="009928D3"/>
    <w:rsid w:val="009928DD"/>
    <w:rsid w:val="00992CA1"/>
    <w:rsid w:val="00993326"/>
    <w:rsid w:val="009933E1"/>
    <w:rsid w:val="009934FC"/>
    <w:rsid w:val="00993A3C"/>
    <w:rsid w:val="00993E45"/>
    <w:rsid w:val="0099438D"/>
    <w:rsid w:val="0099450E"/>
    <w:rsid w:val="00994510"/>
    <w:rsid w:val="00994B96"/>
    <w:rsid w:val="00994C4E"/>
    <w:rsid w:val="00994CBE"/>
    <w:rsid w:val="00994FDB"/>
    <w:rsid w:val="00994FE1"/>
    <w:rsid w:val="009952C9"/>
    <w:rsid w:val="00995484"/>
    <w:rsid w:val="0099572E"/>
    <w:rsid w:val="00995BD0"/>
    <w:rsid w:val="00995CF8"/>
    <w:rsid w:val="00995EED"/>
    <w:rsid w:val="00996278"/>
    <w:rsid w:val="009962DE"/>
    <w:rsid w:val="00996D6B"/>
    <w:rsid w:val="00997223"/>
    <w:rsid w:val="00997587"/>
    <w:rsid w:val="0099769D"/>
    <w:rsid w:val="009976B4"/>
    <w:rsid w:val="009976D2"/>
    <w:rsid w:val="00997AE9"/>
    <w:rsid w:val="00997AEA"/>
    <w:rsid w:val="00997B69"/>
    <w:rsid w:val="00997E75"/>
    <w:rsid w:val="009A0118"/>
    <w:rsid w:val="009A0473"/>
    <w:rsid w:val="009A0617"/>
    <w:rsid w:val="009A061F"/>
    <w:rsid w:val="009A0CC0"/>
    <w:rsid w:val="009A11F1"/>
    <w:rsid w:val="009A1386"/>
    <w:rsid w:val="009A145C"/>
    <w:rsid w:val="009A16EF"/>
    <w:rsid w:val="009A173D"/>
    <w:rsid w:val="009A19E5"/>
    <w:rsid w:val="009A1BDD"/>
    <w:rsid w:val="009A1EE7"/>
    <w:rsid w:val="009A206B"/>
    <w:rsid w:val="009A20B2"/>
    <w:rsid w:val="009A2244"/>
    <w:rsid w:val="009A22B5"/>
    <w:rsid w:val="009A23FE"/>
    <w:rsid w:val="009A249B"/>
    <w:rsid w:val="009A2ECB"/>
    <w:rsid w:val="009A3287"/>
    <w:rsid w:val="009A3AC1"/>
    <w:rsid w:val="009A3B43"/>
    <w:rsid w:val="009A3BEF"/>
    <w:rsid w:val="009A3BF4"/>
    <w:rsid w:val="009A3C89"/>
    <w:rsid w:val="009A4100"/>
    <w:rsid w:val="009A421A"/>
    <w:rsid w:val="009A4278"/>
    <w:rsid w:val="009A43C6"/>
    <w:rsid w:val="009A45B1"/>
    <w:rsid w:val="009A4D17"/>
    <w:rsid w:val="009A559C"/>
    <w:rsid w:val="009A57E6"/>
    <w:rsid w:val="009A584B"/>
    <w:rsid w:val="009A5A8C"/>
    <w:rsid w:val="009A5B08"/>
    <w:rsid w:val="009A6006"/>
    <w:rsid w:val="009A6065"/>
    <w:rsid w:val="009A64B7"/>
    <w:rsid w:val="009A64D4"/>
    <w:rsid w:val="009A6597"/>
    <w:rsid w:val="009A6EC8"/>
    <w:rsid w:val="009A6F7D"/>
    <w:rsid w:val="009A7396"/>
    <w:rsid w:val="009A75DE"/>
    <w:rsid w:val="009A7782"/>
    <w:rsid w:val="009A7834"/>
    <w:rsid w:val="009B008A"/>
    <w:rsid w:val="009B0170"/>
    <w:rsid w:val="009B031C"/>
    <w:rsid w:val="009B032D"/>
    <w:rsid w:val="009B05ED"/>
    <w:rsid w:val="009B0799"/>
    <w:rsid w:val="009B0B78"/>
    <w:rsid w:val="009B0DA1"/>
    <w:rsid w:val="009B0E8F"/>
    <w:rsid w:val="009B0EDD"/>
    <w:rsid w:val="009B0EE5"/>
    <w:rsid w:val="009B1074"/>
    <w:rsid w:val="009B1242"/>
    <w:rsid w:val="009B1426"/>
    <w:rsid w:val="009B1587"/>
    <w:rsid w:val="009B15BC"/>
    <w:rsid w:val="009B1A96"/>
    <w:rsid w:val="009B1BDE"/>
    <w:rsid w:val="009B1C4B"/>
    <w:rsid w:val="009B1E9D"/>
    <w:rsid w:val="009B203D"/>
    <w:rsid w:val="009B207D"/>
    <w:rsid w:val="009B20E3"/>
    <w:rsid w:val="009B27D9"/>
    <w:rsid w:val="009B2F13"/>
    <w:rsid w:val="009B2FAB"/>
    <w:rsid w:val="009B2FE0"/>
    <w:rsid w:val="009B3101"/>
    <w:rsid w:val="009B36C2"/>
    <w:rsid w:val="009B3D22"/>
    <w:rsid w:val="009B3D78"/>
    <w:rsid w:val="009B3E41"/>
    <w:rsid w:val="009B4089"/>
    <w:rsid w:val="009B410A"/>
    <w:rsid w:val="009B4959"/>
    <w:rsid w:val="009B4AD9"/>
    <w:rsid w:val="009B50CA"/>
    <w:rsid w:val="009B5285"/>
    <w:rsid w:val="009B5EB9"/>
    <w:rsid w:val="009B601A"/>
    <w:rsid w:val="009B6568"/>
    <w:rsid w:val="009B6C93"/>
    <w:rsid w:val="009B70A9"/>
    <w:rsid w:val="009B784C"/>
    <w:rsid w:val="009B7A5D"/>
    <w:rsid w:val="009B7B18"/>
    <w:rsid w:val="009B7BA5"/>
    <w:rsid w:val="009C0618"/>
    <w:rsid w:val="009C0856"/>
    <w:rsid w:val="009C08B5"/>
    <w:rsid w:val="009C0E6A"/>
    <w:rsid w:val="009C0FEA"/>
    <w:rsid w:val="009C12BD"/>
    <w:rsid w:val="009C1DFE"/>
    <w:rsid w:val="009C1E72"/>
    <w:rsid w:val="009C1E96"/>
    <w:rsid w:val="009C20E4"/>
    <w:rsid w:val="009C2540"/>
    <w:rsid w:val="009C2628"/>
    <w:rsid w:val="009C3466"/>
    <w:rsid w:val="009C35A8"/>
    <w:rsid w:val="009C3C7A"/>
    <w:rsid w:val="009C3C7F"/>
    <w:rsid w:val="009C3FC6"/>
    <w:rsid w:val="009C423B"/>
    <w:rsid w:val="009C4278"/>
    <w:rsid w:val="009C4280"/>
    <w:rsid w:val="009C462A"/>
    <w:rsid w:val="009C47F0"/>
    <w:rsid w:val="009C49F1"/>
    <w:rsid w:val="009C4DB7"/>
    <w:rsid w:val="009C4E3F"/>
    <w:rsid w:val="009C4F89"/>
    <w:rsid w:val="009C5102"/>
    <w:rsid w:val="009C53C7"/>
    <w:rsid w:val="009C581F"/>
    <w:rsid w:val="009C58A8"/>
    <w:rsid w:val="009C5BA2"/>
    <w:rsid w:val="009C6374"/>
    <w:rsid w:val="009C6517"/>
    <w:rsid w:val="009C6559"/>
    <w:rsid w:val="009C6743"/>
    <w:rsid w:val="009C677E"/>
    <w:rsid w:val="009C6843"/>
    <w:rsid w:val="009C68B4"/>
    <w:rsid w:val="009C693C"/>
    <w:rsid w:val="009C6CB2"/>
    <w:rsid w:val="009C6F53"/>
    <w:rsid w:val="009C715D"/>
    <w:rsid w:val="009C71F4"/>
    <w:rsid w:val="009C7227"/>
    <w:rsid w:val="009C731A"/>
    <w:rsid w:val="009C7B97"/>
    <w:rsid w:val="009D0336"/>
    <w:rsid w:val="009D03FE"/>
    <w:rsid w:val="009D04E9"/>
    <w:rsid w:val="009D0595"/>
    <w:rsid w:val="009D0BE9"/>
    <w:rsid w:val="009D0C9F"/>
    <w:rsid w:val="009D0D9D"/>
    <w:rsid w:val="009D139C"/>
    <w:rsid w:val="009D1518"/>
    <w:rsid w:val="009D1A4B"/>
    <w:rsid w:val="009D1B74"/>
    <w:rsid w:val="009D1BA4"/>
    <w:rsid w:val="009D1D26"/>
    <w:rsid w:val="009D1E0F"/>
    <w:rsid w:val="009D1E77"/>
    <w:rsid w:val="009D222F"/>
    <w:rsid w:val="009D2ACE"/>
    <w:rsid w:val="009D2DC0"/>
    <w:rsid w:val="009D2E23"/>
    <w:rsid w:val="009D3329"/>
    <w:rsid w:val="009D41D0"/>
    <w:rsid w:val="009D445E"/>
    <w:rsid w:val="009D4669"/>
    <w:rsid w:val="009D4971"/>
    <w:rsid w:val="009D4D41"/>
    <w:rsid w:val="009D55D7"/>
    <w:rsid w:val="009D5686"/>
    <w:rsid w:val="009D5B73"/>
    <w:rsid w:val="009D5B81"/>
    <w:rsid w:val="009D5DFA"/>
    <w:rsid w:val="009D5E61"/>
    <w:rsid w:val="009D5F03"/>
    <w:rsid w:val="009D5FE1"/>
    <w:rsid w:val="009D613A"/>
    <w:rsid w:val="009D6211"/>
    <w:rsid w:val="009D6380"/>
    <w:rsid w:val="009D68E3"/>
    <w:rsid w:val="009D68F6"/>
    <w:rsid w:val="009D693D"/>
    <w:rsid w:val="009D6BAD"/>
    <w:rsid w:val="009D6C1C"/>
    <w:rsid w:val="009D6DB3"/>
    <w:rsid w:val="009D7265"/>
    <w:rsid w:val="009D73BE"/>
    <w:rsid w:val="009D74AF"/>
    <w:rsid w:val="009D759F"/>
    <w:rsid w:val="009D7741"/>
    <w:rsid w:val="009D795C"/>
    <w:rsid w:val="009D7977"/>
    <w:rsid w:val="009D7AB6"/>
    <w:rsid w:val="009D7E52"/>
    <w:rsid w:val="009E0415"/>
    <w:rsid w:val="009E0691"/>
    <w:rsid w:val="009E07DE"/>
    <w:rsid w:val="009E118A"/>
    <w:rsid w:val="009E1278"/>
    <w:rsid w:val="009E14D2"/>
    <w:rsid w:val="009E1980"/>
    <w:rsid w:val="009E1B7D"/>
    <w:rsid w:val="009E2684"/>
    <w:rsid w:val="009E2CCA"/>
    <w:rsid w:val="009E2DE8"/>
    <w:rsid w:val="009E3475"/>
    <w:rsid w:val="009E34B1"/>
    <w:rsid w:val="009E3509"/>
    <w:rsid w:val="009E3660"/>
    <w:rsid w:val="009E376B"/>
    <w:rsid w:val="009E3835"/>
    <w:rsid w:val="009E3AAE"/>
    <w:rsid w:val="009E3AE6"/>
    <w:rsid w:val="009E3E54"/>
    <w:rsid w:val="009E427B"/>
    <w:rsid w:val="009E44BF"/>
    <w:rsid w:val="009E4A29"/>
    <w:rsid w:val="009E4B00"/>
    <w:rsid w:val="009E5217"/>
    <w:rsid w:val="009E523F"/>
    <w:rsid w:val="009E555A"/>
    <w:rsid w:val="009E5737"/>
    <w:rsid w:val="009E57AA"/>
    <w:rsid w:val="009E5841"/>
    <w:rsid w:val="009E58FE"/>
    <w:rsid w:val="009E5B4A"/>
    <w:rsid w:val="009E5DE0"/>
    <w:rsid w:val="009E5EEF"/>
    <w:rsid w:val="009E61CA"/>
    <w:rsid w:val="009E6289"/>
    <w:rsid w:val="009E64E5"/>
    <w:rsid w:val="009E6C19"/>
    <w:rsid w:val="009E6C6C"/>
    <w:rsid w:val="009E70F4"/>
    <w:rsid w:val="009E75C0"/>
    <w:rsid w:val="009E76E8"/>
    <w:rsid w:val="009E7A54"/>
    <w:rsid w:val="009E7B53"/>
    <w:rsid w:val="009E7BCE"/>
    <w:rsid w:val="009E7D5D"/>
    <w:rsid w:val="009E7DD3"/>
    <w:rsid w:val="009E7DF1"/>
    <w:rsid w:val="009E7F65"/>
    <w:rsid w:val="009F0400"/>
    <w:rsid w:val="009F08F2"/>
    <w:rsid w:val="009F094C"/>
    <w:rsid w:val="009F0B1C"/>
    <w:rsid w:val="009F0FFA"/>
    <w:rsid w:val="009F102B"/>
    <w:rsid w:val="009F105F"/>
    <w:rsid w:val="009F108E"/>
    <w:rsid w:val="009F11E6"/>
    <w:rsid w:val="009F1CDA"/>
    <w:rsid w:val="009F2093"/>
    <w:rsid w:val="009F23A8"/>
    <w:rsid w:val="009F2521"/>
    <w:rsid w:val="009F2A9C"/>
    <w:rsid w:val="009F2C24"/>
    <w:rsid w:val="009F2F10"/>
    <w:rsid w:val="009F332A"/>
    <w:rsid w:val="009F38C1"/>
    <w:rsid w:val="009F3CA7"/>
    <w:rsid w:val="009F3FC1"/>
    <w:rsid w:val="009F411C"/>
    <w:rsid w:val="009F42F4"/>
    <w:rsid w:val="009F441F"/>
    <w:rsid w:val="009F442C"/>
    <w:rsid w:val="009F4698"/>
    <w:rsid w:val="009F46E1"/>
    <w:rsid w:val="009F4772"/>
    <w:rsid w:val="009F47C1"/>
    <w:rsid w:val="009F4AC5"/>
    <w:rsid w:val="009F4B22"/>
    <w:rsid w:val="009F4F3F"/>
    <w:rsid w:val="009F5006"/>
    <w:rsid w:val="009F51AC"/>
    <w:rsid w:val="009F53EA"/>
    <w:rsid w:val="009F5683"/>
    <w:rsid w:val="009F5B9D"/>
    <w:rsid w:val="009F5C03"/>
    <w:rsid w:val="009F5C6C"/>
    <w:rsid w:val="009F67C8"/>
    <w:rsid w:val="009F6A2D"/>
    <w:rsid w:val="009F6C63"/>
    <w:rsid w:val="009F72DD"/>
    <w:rsid w:val="009F7525"/>
    <w:rsid w:val="009F76A5"/>
    <w:rsid w:val="009F77C1"/>
    <w:rsid w:val="009F7BCA"/>
    <w:rsid w:val="009F7F57"/>
    <w:rsid w:val="00A00122"/>
    <w:rsid w:val="00A001C2"/>
    <w:rsid w:val="00A00210"/>
    <w:rsid w:val="00A0146C"/>
    <w:rsid w:val="00A0150E"/>
    <w:rsid w:val="00A01778"/>
    <w:rsid w:val="00A02018"/>
    <w:rsid w:val="00A0211F"/>
    <w:rsid w:val="00A02C0D"/>
    <w:rsid w:val="00A03230"/>
    <w:rsid w:val="00A03376"/>
    <w:rsid w:val="00A03A1A"/>
    <w:rsid w:val="00A03AD9"/>
    <w:rsid w:val="00A04523"/>
    <w:rsid w:val="00A0459F"/>
    <w:rsid w:val="00A045C3"/>
    <w:rsid w:val="00A04613"/>
    <w:rsid w:val="00A046ED"/>
    <w:rsid w:val="00A04828"/>
    <w:rsid w:val="00A04911"/>
    <w:rsid w:val="00A0496E"/>
    <w:rsid w:val="00A04A20"/>
    <w:rsid w:val="00A04C2A"/>
    <w:rsid w:val="00A04D75"/>
    <w:rsid w:val="00A04DCC"/>
    <w:rsid w:val="00A05083"/>
    <w:rsid w:val="00A051B4"/>
    <w:rsid w:val="00A05242"/>
    <w:rsid w:val="00A05E88"/>
    <w:rsid w:val="00A06163"/>
    <w:rsid w:val="00A06440"/>
    <w:rsid w:val="00A06CC6"/>
    <w:rsid w:val="00A06E48"/>
    <w:rsid w:val="00A06EEE"/>
    <w:rsid w:val="00A074F3"/>
    <w:rsid w:val="00A0797C"/>
    <w:rsid w:val="00A07A1C"/>
    <w:rsid w:val="00A07AE3"/>
    <w:rsid w:val="00A07CE8"/>
    <w:rsid w:val="00A07D49"/>
    <w:rsid w:val="00A10086"/>
    <w:rsid w:val="00A1033C"/>
    <w:rsid w:val="00A1035C"/>
    <w:rsid w:val="00A103D4"/>
    <w:rsid w:val="00A107FF"/>
    <w:rsid w:val="00A10AE2"/>
    <w:rsid w:val="00A10C2F"/>
    <w:rsid w:val="00A10EA6"/>
    <w:rsid w:val="00A110B2"/>
    <w:rsid w:val="00A1136A"/>
    <w:rsid w:val="00A118F1"/>
    <w:rsid w:val="00A11AC6"/>
    <w:rsid w:val="00A11AFF"/>
    <w:rsid w:val="00A12182"/>
    <w:rsid w:val="00A124B8"/>
    <w:rsid w:val="00A1275D"/>
    <w:rsid w:val="00A1283C"/>
    <w:rsid w:val="00A1289B"/>
    <w:rsid w:val="00A1294E"/>
    <w:rsid w:val="00A12F42"/>
    <w:rsid w:val="00A130C4"/>
    <w:rsid w:val="00A13272"/>
    <w:rsid w:val="00A13335"/>
    <w:rsid w:val="00A1339F"/>
    <w:rsid w:val="00A13AC9"/>
    <w:rsid w:val="00A14422"/>
    <w:rsid w:val="00A14499"/>
    <w:rsid w:val="00A1491A"/>
    <w:rsid w:val="00A14B3D"/>
    <w:rsid w:val="00A1500D"/>
    <w:rsid w:val="00A15040"/>
    <w:rsid w:val="00A15097"/>
    <w:rsid w:val="00A150FD"/>
    <w:rsid w:val="00A153CD"/>
    <w:rsid w:val="00A153F4"/>
    <w:rsid w:val="00A1560E"/>
    <w:rsid w:val="00A15611"/>
    <w:rsid w:val="00A1573D"/>
    <w:rsid w:val="00A15BBD"/>
    <w:rsid w:val="00A16151"/>
    <w:rsid w:val="00A1634E"/>
    <w:rsid w:val="00A164D7"/>
    <w:rsid w:val="00A164DA"/>
    <w:rsid w:val="00A16664"/>
    <w:rsid w:val="00A16FA7"/>
    <w:rsid w:val="00A17825"/>
    <w:rsid w:val="00A17B8A"/>
    <w:rsid w:val="00A17F9A"/>
    <w:rsid w:val="00A20276"/>
    <w:rsid w:val="00A20432"/>
    <w:rsid w:val="00A2116E"/>
    <w:rsid w:val="00A213A0"/>
    <w:rsid w:val="00A219AB"/>
    <w:rsid w:val="00A21B8D"/>
    <w:rsid w:val="00A229DD"/>
    <w:rsid w:val="00A22A90"/>
    <w:rsid w:val="00A22C26"/>
    <w:rsid w:val="00A22C45"/>
    <w:rsid w:val="00A2380A"/>
    <w:rsid w:val="00A23CF6"/>
    <w:rsid w:val="00A243C5"/>
    <w:rsid w:val="00A24D2F"/>
    <w:rsid w:val="00A24FE8"/>
    <w:rsid w:val="00A256E7"/>
    <w:rsid w:val="00A25988"/>
    <w:rsid w:val="00A25C75"/>
    <w:rsid w:val="00A262E3"/>
    <w:rsid w:val="00A26794"/>
    <w:rsid w:val="00A26889"/>
    <w:rsid w:val="00A26A19"/>
    <w:rsid w:val="00A26AC6"/>
    <w:rsid w:val="00A26BE1"/>
    <w:rsid w:val="00A26BE6"/>
    <w:rsid w:val="00A26C21"/>
    <w:rsid w:val="00A26C75"/>
    <w:rsid w:val="00A26DC4"/>
    <w:rsid w:val="00A26EDD"/>
    <w:rsid w:val="00A26F44"/>
    <w:rsid w:val="00A27366"/>
    <w:rsid w:val="00A27CEF"/>
    <w:rsid w:val="00A27EC8"/>
    <w:rsid w:val="00A27ECC"/>
    <w:rsid w:val="00A3026A"/>
    <w:rsid w:val="00A3076D"/>
    <w:rsid w:val="00A3085F"/>
    <w:rsid w:val="00A30C9C"/>
    <w:rsid w:val="00A30E1F"/>
    <w:rsid w:val="00A30F5E"/>
    <w:rsid w:val="00A31137"/>
    <w:rsid w:val="00A3134B"/>
    <w:rsid w:val="00A3173D"/>
    <w:rsid w:val="00A31C6E"/>
    <w:rsid w:val="00A3213D"/>
    <w:rsid w:val="00A3215B"/>
    <w:rsid w:val="00A326DD"/>
    <w:rsid w:val="00A3340A"/>
    <w:rsid w:val="00A33586"/>
    <w:rsid w:val="00A33663"/>
    <w:rsid w:val="00A336F9"/>
    <w:rsid w:val="00A3399B"/>
    <w:rsid w:val="00A33AB0"/>
    <w:rsid w:val="00A33AFA"/>
    <w:rsid w:val="00A33BBB"/>
    <w:rsid w:val="00A33BE9"/>
    <w:rsid w:val="00A3443E"/>
    <w:rsid w:val="00A345C9"/>
    <w:rsid w:val="00A347CB"/>
    <w:rsid w:val="00A34931"/>
    <w:rsid w:val="00A34985"/>
    <w:rsid w:val="00A34EB2"/>
    <w:rsid w:val="00A3514D"/>
    <w:rsid w:val="00A3523F"/>
    <w:rsid w:val="00A35424"/>
    <w:rsid w:val="00A35539"/>
    <w:rsid w:val="00A35B63"/>
    <w:rsid w:val="00A35BDF"/>
    <w:rsid w:val="00A35C5D"/>
    <w:rsid w:val="00A35D66"/>
    <w:rsid w:val="00A35FFD"/>
    <w:rsid w:val="00A362D2"/>
    <w:rsid w:val="00A3633E"/>
    <w:rsid w:val="00A364F6"/>
    <w:rsid w:val="00A36639"/>
    <w:rsid w:val="00A366D7"/>
    <w:rsid w:val="00A369F3"/>
    <w:rsid w:val="00A36F40"/>
    <w:rsid w:val="00A37120"/>
    <w:rsid w:val="00A37320"/>
    <w:rsid w:val="00A3736C"/>
    <w:rsid w:val="00A3740E"/>
    <w:rsid w:val="00A378C5"/>
    <w:rsid w:val="00A40155"/>
    <w:rsid w:val="00A40338"/>
    <w:rsid w:val="00A40B45"/>
    <w:rsid w:val="00A40DCF"/>
    <w:rsid w:val="00A40EDD"/>
    <w:rsid w:val="00A4111D"/>
    <w:rsid w:val="00A413EF"/>
    <w:rsid w:val="00A41A62"/>
    <w:rsid w:val="00A41CA4"/>
    <w:rsid w:val="00A41CDA"/>
    <w:rsid w:val="00A41D3D"/>
    <w:rsid w:val="00A41E21"/>
    <w:rsid w:val="00A420A1"/>
    <w:rsid w:val="00A4217F"/>
    <w:rsid w:val="00A422FE"/>
    <w:rsid w:val="00A42405"/>
    <w:rsid w:val="00A42427"/>
    <w:rsid w:val="00A4242B"/>
    <w:rsid w:val="00A4265A"/>
    <w:rsid w:val="00A42C43"/>
    <w:rsid w:val="00A42E29"/>
    <w:rsid w:val="00A43077"/>
    <w:rsid w:val="00A4380A"/>
    <w:rsid w:val="00A43898"/>
    <w:rsid w:val="00A43AE4"/>
    <w:rsid w:val="00A43CB0"/>
    <w:rsid w:val="00A44155"/>
    <w:rsid w:val="00A441D4"/>
    <w:rsid w:val="00A44E50"/>
    <w:rsid w:val="00A451E8"/>
    <w:rsid w:val="00A4536B"/>
    <w:rsid w:val="00A45658"/>
    <w:rsid w:val="00A45771"/>
    <w:rsid w:val="00A4580B"/>
    <w:rsid w:val="00A45E4D"/>
    <w:rsid w:val="00A45E50"/>
    <w:rsid w:val="00A46342"/>
    <w:rsid w:val="00A4654C"/>
    <w:rsid w:val="00A465D2"/>
    <w:rsid w:val="00A46B94"/>
    <w:rsid w:val="00A46D02"/>
    <w:rsid w:val="00A470AC"/>
    <w:rsid w:val="00A472DA"/>
    <w:rsid w:val="00A47562"/>
    <w:rsid w:val="00A47625"/>
    <w:rsid w:val="00A477A9"/>
    <w:rsid w:val="00A47A23"/>
    <w:rsid w:val="00A47A61"/>
    <w:rsid w:val="00A47E2E"/>
    <w:rsid w:val="00A47F80"/>
    <w:rsid w:val="00A50112"/>
    <w:rsid w:val="00A50144"/>
    <w:rsid w:val="00A5036A"/>
    <w:rsid w:val="00A509CF"/>
    <w:rsid w:val="00A50C92"/>
    <w:rsid w:val="00A50F8B"/>
    <w:rsid w:val="00A5100B"/>
    <w:rsid w:val="00A5169B"/>
    <w:rsid w:val="00A51CB5"/>
    <w:rsid w:val="00A51E0D"/>
    <w:rsid w:val="00A51E3A"/>
    <w:rsid w:val="00A52097"/>
    <w:rsid w:val="00A520BE"/>
    <w:rsid w:val="00A522B0"/>
    <w:rsid w:val="00A5238C"/>
    <w:rsid w:val="00A52554"/>
    <w:rsid w:val="00A52AC0"/>
    <w:rsid w:val="00A52BF5"/>
    <w:rsid w:val="00A52C7D"/>
    <w:rsid w:val="00A52DF9"/>
    <w:rsid w:val="00A531D6"/>
    <w:rsid w:val="00A5324F"/>
    <w:rsid w:val="00A5335B"/>
    <w:rsid w:val="00A53385"/>
    <w:rsid w:val="00A539E2"/>
    <w:rsid w:val="00A53B3D"/>
    <w:rsid w:val="00A53C3A"/>
    <w:rsid w:val="00A53CBD"/>
    <w:rsid w:val="00A53EA6"/>
    <w:rsid w:val="00A54012"/>
    <w:rsid w:val="00A54117"/>
    <w:rsid w:val="00A54835"/>
    <w:rsid w:val="00A548D4"/>
    <w:rsid w:val="00A5490B"/>
    <w:rsid w:val="00A54AE7"/>
    <w:rsid w:val="00A54E6A"/>
    <w:rsid w:val="00A554EA"/>
    <w:rsid w:val="00A555D2"/>
    <w:rsid w:val="00A55CD5"/>
    <w:rsid w:val="00A55E5B"/>
    <w:rsid w:val="00A56147"/>
    <w:rsid w:val="00A5626B"/>
    <w:rsid w:val="00A56949"/>
    <w:rsid w:val="00A56C1C"/>
    <w:rsid w:val="00A56ED6"/>
    <w:rsid w:val="00A571BA"/>
    <w:rsid w:val="00A57652"/>
    <w:rsid w:val="00A57ADA"/>
    <w:rsid w:val="00A57B8A"/>
    <w:rsid w:val="00A57DF5"/>
    <w:rsid w:val="00A6000E"/>
    <w:rsid w:val="00A60374"/>
    <w:rsid w:val="00A60469"/>
    <w:rsid w:val="00A60853"/>
    <w:rsid w:val="00A6092D"/>
    <w:rsid w:val="00A60D2B"/>
    <w:rsid w:val="00A60DA1"/>
    <w:rsid w:val="00A617DA"/>
    <w:rsid w:val="00A61A9A"/>
    <w:rsid w:val="00A61F52"/>
    <w:rsid w:val="00A61FFD"/>
    <w:rsid w:val="00A62187"/>
    <w:rsid w:val="00A625D5"/>
    <w:rsid w:val="00A6297B"/>
    <w:rsid w:val="00A629A4"/>
    <w:rsid w:val="00A629FF"/>
    <w:rsid w:val="00A62CC7"/>
    <w:rsid w:val="00A62D3A"/>
    <w:rsid w:val="00A62E97"/>
    <w:rsid w:val="00A63209"/>
    <w:rsid w:val="00A635D2"/>
    <w:rsid w:val="00A63763"/>
    <w:rsid w:val="00A63843"/>
    <w:rsid w:val="00A63E66"/>
    <w:rsid w:val="00A63F69"/>
    <w:rsid w:val="00A64343"/>
    <w:rsid w:val="00A646E2"/>
    <w:rsid w:val="00A647EC"/>
    <w:rsid w:val="00A6480F"/>
    <w:rsid w:val="00A64B2C"/>
    <w:rsid w:val="00A64F72"/>
    <w:rsid w:val="00A651C4"/>
    <w:rsid w:val="00A655DB"/>
    <w:rsid w:val="00A655E5"/>
    <w:rsid w:val="00A655E8"/>
    <w:rsid w:val="00A656C7"/>
    <w:rsid w:val="00A65BCA"/>
    <w:rsid w:val="00A65F00"/>
    <w:rsid w:val="00A660BA"/>
    <w:rsid w:val="00A666EB"/>
    <w:rsid w:val="00A668FC"/>
    <w:rsid w:val="00A6698F"/>
    <w:rsid w:val="00A66CF6"/>
    <w:rsid w:val="00A66F89"/>
    <w:rsid w:val="00A670EA"/>
    <w:rsid w:val="00A6713D"/>
    <w:rsid w:val="00A67627"/>
    <w:rsid w:val="00A677C5"/>
    <w:rsid w:val="00A6782F"/>
    <w:rsid w:val="00A67966"/>
    <w:rsid w:val="00A67AC2"/>
    <w:rsid w:val="00A70147"/>
    <w:rsid w:val="00A707EF"/>
    <w:rsid w:val="00A70F9D"/>
    <w:rsid w:val="00A710DB"/>
    <w:rsid w:val="00A71277"/>
    <w:rsid w:val="00A71AD1"/>
    <w:rsid w:val="00A71DA6"/>
    <w:rsid w:val="00A7204F"/>
    <w:rsid w:val="00A72127"/>
    <w:rsid w:val="00A725F9"/>
    <w:rsid w:val="00A72745"/>
    <w:rsid w:val="00A72D0F"/>
    <w:rsid w:val="00A72F69"/>
    <w:rsid w:val="00A72FF1"/>
    <w:rsid w:val="00A733E9"/>
    <w:rsid w:val="00A73577"/>
    <w:rsid w:val="00A73736"/>
    <w:rsid w:val="00A73BFD"/>
    <w:rsid w:val="00A74103"/>
    <w:rsid w:val="00A74138"/>
    <w:rsid w:val="00A74BF5"/>
    <w:rsid w:val="00A74C1D"/>
    <w:rsid w:val="00A75106"/>
    <w:rsid w:val="00A75255"/>
    <w:rsid w:val="00A75424"/>
    <w:rsid w:val="00A75643"/>
    <w:rsid w:val="00A759CA"/>
    <w:rsid w:val="00A75AE5"/>
    <w:rsid w:val="00A75AE8"/>
    <w:rsid w:val="00A76245"/>
    <w:rsid w:val="00A76E14"/>
    <w:rsid w:val="00A76FBA"/>
    <w:rsid w:val="00A7736F"/>
    <w:rsid w:val="00A77E2A"/>
    <w:rsid w:val="00A8004C"/>
    <w:rsid w:val="00A80326"/>
    <w:rsid w:val="00A804F5"/>
    <w:rsid w:val="00A806EC"/>
    <w:rsid w:val="00A80E85"/>
    <w:rsid w:val="00A80EE8"/>
    <w:rsid w:val="00A814DA"/>
    <w:rsid w:val="00A81C7B"/>
    <w:rsid w:val="00A81DE7"/>
    <w:rsid w:val="00A81E32"/>
    <w:rsid w:val="00A821FF"/>
    <w:rsid w:val="00A82264"/>
    <w:rsid w:val="00A824B6"/>
    <w:rsid w:val="00A82AFA"/>
    <w:rsid w:val="00A82B7E"/>
    <w:rsid w:val="00A82F9F"/>
    <w:rsid w:val="00A830D6"/>
    <w:rsid w:val="00A83142"/>
    <w:rsid w:val="00A83360"/>
    <w:rsid w:val="00A837AC"/>
    <w:rsid w:val="00A83A69"/>
    <w:rsid w:val="00A83AAC"/>
    <w:rsid w:val="00A840D1"/>
    <w:rsid w:val="00A843F3"/>
    <w:rsid w:val="00A844CC"/>
    <w:rsid w:val="00A848FB"/>
    <w:rsid w:val="00A84B16"/>
    <w:rsid w:val="00A84B33"/>
    <w:rsid w:val="00A84BB3"/>
    <w:rsid w:val="00A84CB5"/>
    <w:rsid w:val="00A84EC2"/>
    <w:rsid w:val="00A84EFD"/>
    <w:rsid w:val="00A853F2"/>
    <w:rsid w:val="00A854DC"/>
    <w:rsid w:val="00A85881"/>
    <w:rsid w:val="00A85963"/>
    <w:rsid w:val="00A85D47"/>
    <w:rsid w:val="00A86005"/>
    <w:rsid w:val="00A864AF"/>
    <w:rsid w:val="00A8681C"/>
    <w:rsid w:val="00A8685B"/>
    <w:rsid w:val="00A868A1"/>
    <w:rsid w:val="00A86DEC"/>
    <w:rsid w:val="00A86EBD"/>
    <w:rsid w:val="00A87A17"/>
    <w:rsid w:val="00A87A9D"/>
    <w:rsid w:val="00A87B5C"/>
    <w:rsid w:val="00A87ED1"/>
    <w:rsid w:val="00A87ED7"/>
    <w:rsid w:val="00A87FA6"/>
    <w:rsid w:val="00A9010B"/>
    <w:rsid w:val="00A902BD"/>
    <w:rsid w:val="00A906D4"/>
    <w:rsid w:val="00A909B7"/>
    <w:rsid w:val="00A909BF"/>
    <w:rsid w:val="00A90A23"/>
    <w:rsid w:val="00A90CD6"/>
    <w:rsid w:val="00A91243"/>
    <w:rsid w:val="00A91CD6"/>
    <w:rsid w:val="00A920C2"/>
    <w:rsid w:val="00A9244F"/>
    <w:rsid w:val="00A928AF"/>
    <w:rsid w:val="00A92C34"/>
    <w:rsid w:val="00A93070"/>
    <w:rsid w:val="00A93105"/>
    <w:rsid w:val="00A9332F"/>
    <w:rsid w:val="00A9371D"/>
    <w:rsid w:val="00A9378A"/>
    <w:rsid w:val="00A93974"/>
    <w:rsid w:val="00A93979"/>
    <w:rsid w:val="00A93E8E"/>
    <w:rsid w:val="00A93EA6"/>
    <w:rsid w:val="00A93EB6"/>
    <w:rsid w:val="00A94077"/>
    <w:rsid w:val="00A9426B"/>
    <w:rsid w:val="00A942F9"/>
    <w:rsid w:val="00A9459A"/>
    <w:rsid w:val="00A948E6"/>
    <w:rsid w:val="00A94A6B"/>
    <w:rsid w:val="00A950DB"/>
    <w:rsid w:val="00A95183"/>
    <w:rsid w:val="00A951A8"/>
    <w:rsid w:val="00A95985"/>
    <w:rsid w:val="00A95C9F"/>
    <w:rsid w:val="00A95CC5"/>
    <w:rsid w:val="00A960CD"/>
    <w:rsid w:val="00A96420"/>
    <w:rsid w:val="00A967D9"/>
    <w:rsid w:val="00A96A3C"/>
    <w:rsid w:val="00A96D37"/>
    <w:rsid w:val="00A96EB8"/>
    <w:rsid w:val="00A97422"/>
    <w:rsid w:val="00A9772A"/>
    <w:rsid w:val="00A97870"/>
    <w:rsid w:val="00A97DD8"/>
    <w:rsid w:val="00A97E26"/>
    <w:rsid w:val="00AA00AD"/>
    <w:rsid w:val="00AA0206"/>
    <w:rsid w:val="00AA0285"/>
    <w:rsid w:val="00AA02E2"/>
    <w:rsid w:val="00AA05B7"/>
    <w:rsid w:val="00AA0A18"/>
    <w:rsid w:val="00AA0A5E"/>
    <w:rsid w:val="00AA0BBB"/>
    <w:rsid w:val="00AA0EFC"/>
    <w:rsid w:val="00AA103E"/>
    <w:rsid w:val="00AA1146"/>
    <w:rsid w:val="00AA1177"/>
    <w:rsid w:val="00AA11A4"/>
    <w:rsid w:val="00AA15B1"/>
    <w:rsid w:val="00AA1919"/>
    <w:rsid w:val="00AA242C"/>
    <w:rsid w:val="00AA24C2"/>
    <w:rsid w:val="00AA2735"/>
    <w:rsid w:val="00AA2AD0"/>
    <w:rsid w:val="00AA2D71"/>
    <w:rsid w:val="00AA3115"/>
    <w:rsid w:val="00AA338F"/>
    <w:rsid w:val="00AA34BF"/>
    <w:rsid w:val="00AA38B7"/>
    <w:rsid w:val="00AA3B03"/>
    <w:rsid w:val="00AA3EC3"/>
    <w:rsid w:val="00AA469A"/>
    <w:rsid w:val="00AA47D3"/>
    <w:rsid w:val="00AA4E33"/>
    <w:rsid w:val="00AA500C"/>
    <w:rsid w:val="00AA512E"/>
    <w:rsid w:val="00AA52E1"/>
    <w:rsid w:val="00AA59D3"/>
    <w:rsid w:val="00AA5A3A"/>
    <w:rsid w:val="00AA5AD1"/>
    <w:rsid w:val="00AA5E9A"/>
    <w:rsid w:val="00AA665E"/>
    <w:rsid w:val="00AA667C"/>
    <w:rsid w:val="00AA6686"/>
    <w:rsid w:val="00AA66E4"/>
    <w:rsid w:val="00AA6715"/>
    <w:rsid w:val="00AA6965"/>
    <w:rsid w:val="00AA6B7E"/>
    <w:rsid w:val="00AA6ECF"/>
    <w:rsid w:val="00AA7313"/>
    <w:rsid w:val="00AA7326"/>
    <w:rsid w:val="00AA73D5"/>
    <w:rsid w:val="00AA78F4"/>
    <w:rsid w:val="00AA7BD3"/>
    <w:rsid w:val="00AA7EC6"/>
    <w:rsid w:val="00AA7F62"/>
    <w:rsid w:val="00AB0129"/>
    <w:rsid w:val="00AB05A5"/>
    <w:rsid w:val="00AB0F43"/>
    <w:rsid w:val="00AB0FCB"/>
    <w:rsid w:val="00AB13ED"/>
    <w:rsid w:val="00AB1746"/>
    <w:rsid w:val="00AB184C"/>
    <w:rsid w:val="00AB184D"/>
    <w:rsid w:val="00AB19AE"/>
    <w:rsid w:val="00AB1B8A"/>
    <w:rsid w:val="00AB1CAD"/>
    <w:rsid w:val="00AB2411"/>
    <w:rsid w:val="00AB24C2"/>
    <w:rsid w:val="00AB2516"/>
    <w:rsid w:val="00AB29A0"/>
    <w:rsid w:val="00AB2E01"/>
    <w:rsid w:val="00AB34DA"/>
    <w:rsid w:val="00AB3738"/>
    <w:rsid w:val="00AB3DF9"/>
    <w:rsid w:val="00AB3EC4"/>
    <w:rsid w:val="00AB3FD2"/>
    <w:rsid w:val="00AB4105"/>
    <w:rsid w:val="00AB4294"/>
    <w:rsid w:val="00AB42F7"/>
    <w:rsid w:val="00AB4C86"/>
    <w:rsid w:val="00AB5062"/>
    <w:rsid w:val="00AB50A2"/>
    <w:rsid w:val="00AB56FB"/>
    <w:rsid w:val="00AB5770"/>
    <w:rsid w:val="00AB5A3C"/>
    <w:rsid w:val="00AB5EA6"/>
    <w:rsid w:val="00AB618A"/>
    <w:rsid w:val="00AB63D7"/>
    <w:rsid w:val="00AB64CF"/>
    <w:rsid w:val="00AB66BA"/>
    <w:rsid w:val="00AB68BD"/>
    <w:rsid w:val="00AB6ECB"/>
    <w:rsid w:val="00AB6FA4"/>
    <w:rsid w:val="00AB7061"/>
    <w:rsid w:val="00AB73CF"/>
    <w:rsid w:val="00AB752A"/>
    <w:rsid w:val="00AB75FA"/>
    <w:rsid w:val="00AB7B48"/>
    <w:rsid w:val="00AB7E51"/>
    <w:rsid w:val="00AB7E72"/>
    <w:rsid w:val="00AB7F00"/>
    <w:rsid w:val="00AC0174"/>
    <w:rsid w:val="00AC06E2"/>
    <w:rsid w:val="00AC1028"/>
    <w:rsid w:val="00AC14B1"/>
    <w:rsid w:val="00AC170F"/>
    <w:rsid w:val="00AC1827"/>
    <w:rsid w:val="00AC18CF"/>
    <w:rsid w:val="00AC1BAF"/>
    <w:rsid w:val="00AC1C88"/>
    <w:rsid w:val="00AC1E22"/>
    <w:rsid w:val="00AC221E"/>
    <w:rsid w:val="00AC254B"/>
    <w:rsid w:val="00AC25F5"/>
    <w:rsid w:val="00AC3665"/>
    <w:rsid w:val="00AC366B"/>
    <w:rsid w:val="00AC3F4F"/>
    <w:rsid w:val="00AC3F81"/>
    <w:rsid w:val="00AC44F3"/>
    <w:rsid w:val="00AC4B39"/>
    <w:rsid w:val="00AC4DAA"/>
    <w:rsid w:val="00AC512D"/>
    <w:rsid w:val="00AC515C"/>
    <w:rsid w:val="00AC52A2"/>
    <w:rsid w:val="00AC5478"/>
    <w:rsid w:val="00AC5C1B"/>
    <w:rsid w:val="00AC5D26"/>
    <w:rsid w:val="00AC5F39"/>
    <w:rsid w:val="00AC6708"/>
    <w:rsid w:val="00AC68BF"/>
    <w:rsid w:val="00AC6B28"/>
    <w:rsid w:val="00AC6F8F"/>
    <w:rsid w:val="00AC71BB"/>
    <w:rsid w:val="00AC72FE"/>
    <w:rsid w:val="00AC7BE2"/>
    <w:rsid w:val="00AC7DBC"/>
    <w:rsid w:val="00AD0294"/>
    <w:rsid w:val="00AD042C"/>
    <w:rsid w:val="00AD09AF"/>
    <w:rsid w:val="00AD0EEB"/>
    <w:rsid w:val="00AD15B8"/>
    <w:rsid w:val="00AD16C2"/>
    <w:rsid w:val="00AD18C1"/>
    <w:rsid w:val="00AD1A8C"/>
    <w:rsid w:val="00AD1AE2"/>
    <w:rsid w:val="00AD1CF3"/>
    <w:rsid w:val="00AD2118"/>
    <w:rsid w:val="00AD2865"/>
    <w:rsid w:val="00AD2DC8"/>
    <w:rsid w:val="00AD3300"/>
    <w:rsid w:val="00AD38FA"/>
    <w:rsid w:val="00AD3995"/>
    <w:rsid w:val="00AD3C45"/>
    <w:rsid w:val="00AD3F4D"/>
    <w:rsid w:val="00AD4255"/>
    <w:rsid w:val="00AD4700"/>
    <w:rsid w:val="00AD4C3F"/>
    <w:rsid w:val="00AD4C5E"/>
    <w:rsid w:val="00AD4E9C"/>
    <w:rsid w:val="00AD524E"/>
    <w:rsid w:val="00AD5390"/>
    <w:rsid w:val="00AD54B4"/>
    <w:rsid w:val="00AD54DD"/>
    <w:rsid w:val="00AD5625"/>
    <w:rsid w:val="00AD578A"/>
    <w:rsid w:val="00AD5A8C"/>
    <w:rsid w:val="00AD5FB9"/>
    <w:rsid w:val="00AD61EA"/>
    <w:rsid w:val="00AD6398"/>
    <w:rsid w:val="00AD6434"/>
    <w:rsid w:val="00AD669E"/>
    <w:rsid w:val="00AD6861"/>
    <w:rsid w:val="00AD6CA8"/>
    <w:rsid w:val="00AD6E9C"/>
    <w:rsid w:val="00AD6F07"/>
    <w:rsid w:val="00AD7F77"/>
    <w:rsid w:val="00AD7FE9"/>
    <w:rsid w:val="00AE0123"/>
    <w:rsid w:val="00AE0168"/>
    <w:rsid w:val="00AE07E9"/>
    <w:rsid w:val="00AE08A2"/>
    <w:rsid w:val="00AE0929"/>
    <w:rsid w:val="00AE0B0D"/>
    <w:rsid w:val="00AE0B25"/>
    <w:rsid w:val="00AE0D65"/>
    <w:rsid w:val="00AE16B9"/>
    <w:rsid w:val="00AE23D4"/>
    <w:rsid w:val="00AE24B5"/>
    <w:rsid w:val="00AE2663"/>
    <w:rsid w:val="00AE2BCC"/>
    <w:rsid w:val="00AE2F67"/>
    <w:rsid w:val="00AE30C5"/>
    <w:rsid w:val="00AE31D3"/>
    <w:rsid w:val="00AE320F"/>
    <w:rsid w:val="00AE32C5"/>
    <w:rsid w:val="00AE336D"/>
    <w:rsid w:val="00AE3418"/>
    <w:rsid w:val="00AE344D"/>
    <w:rsid w:val="00AE3784"/>
    <w:rsid w:val="00AE3D01"/>
    <w:rsid w:val="00AE3E2F"/>
    <w:rsid w:val="00AE4056"/>
    <w:rsid w:val="00AE41D6"/>
    <w:rsid w:val="00AE41DE"/>
    <w:rsid w:val="00AE44D0"/>
    <w:rsid w:val="00AE475F"/>
    <w:rsid w:val="00AE4BA6"/>
    <w:rsid w:val="00AE4C4F"/>
    <w:rsid w:val="00AE4F25"/>
    <w:rsid w:val="00AE4FC4"/>
    <w:rsid w:val="00AE5285"/>
    <w:rsid w:val="00AE52A0"/>
    <w:rsid w:val="00AE52C9"/>
    <w:rsid w:val="00AE52E4"/>
    <w:rsid w:val="00AE57C0"/>
    <w:rsid w:val="00AE58DF"/>
    <w:rsid w:val="00AE5A05"/>
    <w:rsid w:val="00AE62B5"/>
    <w:rsid w:val="00AE6965"/>
    <w:rsid w:val="00AE6B0E"/>
    <w:rsid w:val="00AE6CAC"/>
    <w:rsid w:val="00AE6CC0"/>
    <w:rsid w:val="00AE6EDC"/>
    <w:rsid w:val="00AE7767"/>
    <w:rsid w:val="00AE7A0F"/>
    <w:rsid w:val="00AE7A70"/>
    <w:rsid w:val="00AF00DA"/>
    <w:rsid w:val="00AF030D"/>
    <w:rsid w:val="00AF0592"/>
    <w:rsid w:val="00AF075C"/>
    <w:rsid w:val="00AF0810"/>
    <w:rsid w:val="00AF0A5E"/>
    <w:rsid w:val="00AF0EFE"/>
    <w:rsid w:val="00AF0F0C"/>
    <w:rsid w:val="00AF1169"/>
    <w:rsid w:val="00AF11B7"/>
    <w:rsid w:val="00AF13BC"/>
    <w:rsid w:val="00AF16C5"/>
    <w:rsid w:val="00AF1B3D"/>
    <w:rsid w:val="00AF1F39"/>
    <w:rsid w:val="00AF3318"/>
    <w:rsid w:val="00AF3F66"/>
    <w:rsid w:val="00AF41E4"/>
    <w:rsid w:val="00AF4784"/>
    <w:rsid w:val="00AF4A5C"/>
    <w:rsid w:val="00AF4AFB"/>
    <w:rsid w:val="00AF4BB3"/>
    <w:rsid w:val="00AF4F50"/>
    <w:rsid w:val="00AF59AA"/>
    <w:rsid w:val="00AF6183"/>
    <w:rsid w:val="00AF61D3"/>
    <w:rsid w:val="00AF6793"/>
    <w:rsid w:val="00AF6A91"/>
    <w:rsid w:val="00AF6CB1"/>
    <w:rsid w:val="00AF6CDC"/>
    <w:rsid w:val="00AF6EBF"/>
    <w:rsid w:val="00AF7400"/>
    <w:rsid w:val="00AF75C0"/>
    <w:rsid w:val="00AF79A1"/>
    <w:rsid w:val="00AF7BE2"/>
    <w:rsid w:val="00AF7FE9"/>
    <w:rsid w:val="00B001D4"/>
    <w:rsid w:val="00B0021F"/>
    <w:rsid w:val="00B0046F"/>
    <w:rsid w:val="00B00927"/>
    <w:rsid w:val="00B010A3"/>
    <w:rsid w:val="00B010C6"/>
    <w:rsid w:val="00B01769"/>
    <w:rsid w:val="00B01A79"/>
    <w:rsid w:val="00B0227C"/>
    <w:rsid w:val="00B025C7"/>
    <w:rsid w:val="00B02CA3"/>
    <w:rsid w:val="00B0306E"/>
    <w:rsid w:val="00B032A2"/>
    <w:rsid w:val="00B03C09"/>
    <w:rsid w:val="00B03C76"/>
    <w:rsid w:val="00B040FA"/>
    <w:rsid w:val="00B04468"/>
    <w:rsid w:val="00B04532"/>
    <w:rsid w:val="00B04AC7"/>
    <w:rsid w:val="00B05095"/>
    <w:rsid w:val="00B050DE"/>
    <w:rsid w:val="00B051D5"/>
    <w:rsid w:val="00B053A5"/>
    <w:rsid w:val="00B05500"/>
    <w:rsid w:val="00B05613"/>
    <w:rsid w:val="00B05B45"/>
    <w:rsid w:val="00B05C54"/>
    <w:rsid w:val="00B05C69"/>
    <w:rsid w:val="00B05CC3"/>
    <w:rsid w:val="00B05CDF"/>
    <w:rsid w:val="00B05D0C"/>
    <w:rsid w:val="00B05F64"/>
    <w:rsid w:val="00B05FF9"/>
    <w:rsid w:val="00B0620F"/>
    <w:rsid w:val="00B06323"/>
    <w:rsid w:val="00B068E3"/>
    <w:rsid w:val="00B06958"/>
    <w:rsid w:val="00B06CCB"/>
    <w:rsid w:val="00B06DEB"/>
    <w:rsid w:val="00B06E9E"/>
    <w:rsid w:val="00B06F3F"/>
    <w:rsid w:val="00B071B1"/>
    <w:rsid w:val="00B0721B"/>
    <w:rsid w:val="00B076B0"/>
    <w:rsid w:val="00B07798"/>
    <w:rsid w:val="00B0782D"/>
    <w:rsid w:val="00B07E78"/>
    <w:rsid w:val="00B07E9B"/>
    <w:rsid w:val="00B101E7"/>
    <w:rsid w:val="00B10299"/>
    <w:rsid w:val="00B102EB"/>
    <w:rsid w:val="00B104DF"/>
    <w:rsid w:val="00B10777"/>
    <w:rsid w:val="00B10A5C"/>
    <w:rsid w:val="00B10BE6"/>
    <w:rsid w:val="00B11030"/>
    <w:rsid w:val="00B11057"/>
    <w:rsid w:val="00B11192"/>
    <w:rsid w:val="00B1171C"/>
    <w:rsid w:val="00B11B64"/>
    <w:rsid w:val="00B11C28"/>
    <w:rsid w:val="00B1244B"/>
    <w:rsid w:val="00B12DED"/>
    <w:rsid w:val="00B1314F"/>
    <w:rsid w:val="00B1322B"/>
    <w:rsid w:val="00B1348D"/>
    <w:rsid w:val="00B142CD"/>
    <w:rsid w:val="00B143D2"/>
    <w:rsid w:val="00B1458C"/>
    <w:rsid w:val="00B1467B"/>
    <w:rsid w:val="00B14E71"/>
    <w:rsid w:val="00B152C3"/>
    <w:rsid w:val="00B153D5"/>
    <w:rsid w:val="00B15494"/>
    <w:rsid w:val="00B1564E"/>
    <w:rsid w:val="00B15A73"/>
    <w:rsid w:val="00B15C95"/>
    <w:rsid w:val="00B1620E"/>
    <w:rsid w:val="00B162A4"/>
    <w:rsid w:val="00B164B1"/>
    <w:rsid w:val="00B16780"/>
    <w:rsid w:val="00B17089"/>
    <w:rsid w:val="00B17427"/>
    <w:rsid w:val="00B17434"/>
    <w:rsid w:val="00B17617"/>
    <w:rsid w:val="00B17809"/>
    <w:rsid w:val="00B17E2B"/>
    <w:rsid w:val="00B17F07"/>
    <w:rsid w:val="00B204FF"/>
    <w:rsid w:val="00B207E0"/>
    <w:rsid w:val="00B2084C"/>
    <w:rsid w:val="00B209E0"/>
    <w:rsid w:val="00B20AF3"/>
    <w:rsid w:val="00B2130E"/>
    <w:rsid w:val="00B21329"/>
    <w:rsid w:val="00B21B77"/>
    <w:rsid w:val="00B22039"/>
    <w:rsid w:val="00B22062"/>
    <w:rsid w:val="00B221D8"/>
    <w:rsid w:val="00B221E9"/>
    <w:rsid w:val="00B22283"/>
    <w:rsid w:val="00B22467"/>
    <w:rsid w:val="00B2247A"/>
    <w:rsid w:val="00B22850"/>
    <w:rsid w:val="00B22FB6"/>
    <w:rsid w:val="00B2314F"/>
    <w:rsid w:val="00B233DD"/>
    <w:rsid w:val="00B236D1"/>
    <w:rsid w:val="00B238F5"/>
    <w:rsid w:val="00B23908"/>
    <w:rsid w:val="00B23C80"/>
    <w:rsid w:val="00B23CE5"/>
    <w:rsid w:val="00B23D8E"/>
    <w:rsid w:val="00B23E72"/>
    <w:rsid w:val="00B23E9A"/>
    <w:rsid w:val="00B243F0"/>
    <w:rsid w:val="00B24AF7"/>
    <w:rsid w:val="00B24B08"/>
    <w:rsid w:val="00B24D8C"/>
    <w:rsid w:val="00B24EAA"/>
    <w:rsid w:val="00B24ED3"/>
    <w:rsid w:val="00B253E3"/>
    <w:rsid w:val="00B25578"/>
    <w:rsid w:val="00B2569A"/>
    <w:rsid w:val="00B2569C"/>
    <w:rsid w:val="00B259F5"/>
    <w:rsid w:val="00B25F3B"/>
    <w:rsid w:val="00B25FD7"/>
    <w:rsid w:val="00B25FD8"/>
    <w:rsid w:val="00B260D4"/>
    <w:rsid w:val="00B26211"/>
    <w:rsid w:val="00B267E7"/>
    <w:rsid w:val="00B26E55"/>
    <w:rsid w:val="00B272B2"/>
    <w:rsid w:val="00B2761C"/>
    <w:rsid w:val="00B2795A"/>
    <w:rsid w:val="00B27C71"/>
    <w:rsid w:val="00B27F2D"/>
    <w:rsid w:val="00B30298"/>
    <w:rsid w:val="00B30D3F"/>
    <w:rsid w:val="00B3123C"/>
    <w:rsid w:val="00B31413"/>
    <w:rsid w:val="00B31613"/>
    <w:rsid w:val="00B31622"/>
    <w:rsid w:val="00B31717"/>
    <w:rsid w:val="00B31973"/>
    <w:rsid w:val="00B31983"/>
    <w:rsid w:val="00B31D9E"/>
    <w:rsid w:val="00B31F3C"/>
    <w:rsid w:val="00B3201E"/>
    <w:rsid w:val="00B321CA"/>
    <w:rsid w:val="00B321DF"/>
    <w:rsid w:val="00B3261D"/>
    <w:rsid w:val="00B32A92"/>
    <w:rsid w:val="00B3326E"/>
    <w:rsid w:val="00B33308"/>
    <w:rsid w:val="00B33781"/>
    <w:rsid w:val="00B338DD"/>
    <w:rsid w:val="00B339BF"/>
    <w:rsid w:val="00B33A50"/>
    <w:rsid w:val="00B33A6D"/>
    <w:rsid w:val="00B33AD3"/>
    <w:rsid w:val="00B33BE2"/>
    <w:rsid w:val="00B33CDF"/>
    <w:rsid w:val="00B33CF3"/>
    <w:rsid w:val="00B33D03"/>
    <w:rsid w:val="00B3442E"/>
    <w:rsid w:val="00B348D3"/>
    <w:rsid w:val="00B349A9"/>
    <w:rsid w:val="00B34A23"/>
    <w:rsid w:val="00B34B4C"/>
    <w:rsid w:val="00B34CD0"/>
    <w:rsid w:val="00B35141"/>
    <w:rsid w:val="00B35342"/>
    <w:rsid w:val="00B35592"/>
    <w:rsid w:val="00B358A1"/>
    <w:rsid w:val="00B35BD4"/>
    <w:rsid w:val="00B35C15"/>
    <w:rsid w:val="00B36493"/>
    <w:rsid w:val="00B3675C"/>
    <w:rsid w:val="00B36C3D"/>
    <w:rsid w:val="00B36FA0"/>
    <w:rsid w:val="00B36FFD"/>
    <w:rsid w:val="00B37541"/>
    <w:rsid w:val="00B37596"/>
    <w:rsid w:val="00B375BF"/>
    <w:rsid w:val="00B3776B"/>
    <w:rsid w:val="00B377B0"/>
    <w:rsid w:val="00B378C0"/>
    <w:rsid w:val="00B37AA8"/>
    <w:rsid w:val="00B37B64"/>
    <w:rsid w:val="00B37C00"/>
    <w:rsid w:val="00B37C5A"/>
    <w:rsid w:val="00B37DE8"/>
    <w:rsid w:val="00B37EDF"/>
    <w:rsid w:val="00B37F6F"/>
    <w:rsid w:val="00B4008D"/>
    <w:rsid w:val="00B40182"/>
    <w:rsid w:val="00B40671"/>
    <w:rsid w:val="00B409CD"/>
    <w:rsid w:val="00B40A9F"/>
    <w:rsid w:val="00B40BBD"/>
    <w:rsid w:val="00B40C9B"/>
    <w:rsid w:val="00B40E1A"/>
    <w:rsid w:val="00B40E2C"/>
    <w:rsid w:val="00B40ED7"/>
    <w:rsid w:val="00B40FA8"/>
    <w:rsid w:val="00B410FC"/>
    <w:rsid w:val="00B41435"/>
    <w:rsid w:val="00B41569"/>
    <w:rsid w:val="00B415E7"/>
    <w:rsid w:val="00B41737"/>
    <w:rsid w:val="00B417BA"/>
    <w:rsid w:val="00B41962"/>
    <w:rsid w:val="00B41C54"/>
    <w:rsid w:val="00B42078"/>
    <w:rsid w:val="00B42159"/>
    <w:rsid w:val="00B42788"/>
    <w:rsid w:val="00B427EB"/>
    <w:rsid w:val="00B42809"/>
    <w:rsid w:val="00B42857"/>
    <w:rsid w:val="00B42B78"/>
    <w:rsid w:val="00B42C18"/>
    <w:rsid w:val="00B42D4D"/>
    <w:rsid w:val="00B42DC2"/>
    <w:rsid w:val="00B42DE7"/>
    <w:rsid w:val="00B42F33"/>
    <w:rsid w:val="00B43295"/>
    <w:rsid w:val="00B43358"/>
    <w:rsid w:val="00B43637"/>
    <w:rsid w:val="00B43910"/>
    <w:rsid w:val="00B43AF4"/>
    <w:rsid w:val="00B43AF5"/>
    <w:rsid w:val="00B43D5E"/>
    <w:rsid w:val="00B43F83"/>
    <w:rsid w:val="00B44076"/>
    <w:rsid w:val="00B44770"/>
    <w:rsid w:val="00B44806"/>
    <w:rsid w:val="00B4485F"/>
    <w:rsid w:val="00B4492A"/>
    <w:rsid w:val="00B45354"/>
    <w:rsid w:val="00B454FE"/>
    <w:rsid w:val="00B4559E"/>
    <w:rsid w:val="00B45A32"/>
    <w:rsid w:val="00B45C12"/>
    <w:rsid w:val="00B45D99"/>
    <w:rsid w:val="00B45EA5"/>
    <w:rsid w:val="00B46642"/>
    <w:rsid w:val="00B467DC"/>
    <w:rsid w:val="00B46886"/>
    <w:rsid w:val="00B46973"/>
    <w:rsid w:val="00B46A17"/>
    <w:rsid w:val="00B47011"/>
    <w:rsid w:val="00B4728E"/>
    <w:rsid w:val="00B473FB"/>
    <w:rsid w:val="00B47914"/>
    <w:rsid w:val="00B47950"/>
    <w:rsid w:val="00B47CF7"/>
    <w:rsid w:val="00B47F30"/>
    <w:rsid w:val="00B50099"/>
    <w:rsid w:val="00B505C2"/>
    <w:rsid w:val="00B505CB"/>
    <w:rsid w:val="00B508CF"/>
    <w:rsid w:val="00B509DD"/>
    <w:rsid w:val="00B50B47"/>
    <w:rsid w:val="00B50E2E"/>
    <w:rsid w:val="00B50E5E"/>
    <w:rsid w:val="00B512AB"/>
    <w:rsid w:val="00B5131F"/>
    <w:rsid w:val="00B519E0"/>
    <w:rsid w:val="00B51A70"/>
    <w:rsid w:val="00B51BBA"/>
    <w:rsid w:val="00B51C54"/>
    <w:rsid w:val="00B51CFB"/>
    <w:rsid w:val="00B51D7D"/>
    <w:rsid w:val="00B51DE9"/>
    <w:rsid w:val="00B52734"/>
    <w:rsid w:val="00B52865"/>
    <w:rsid w:val="00B529F2"/>
    <w:rsid w:val="00B52B73"/>
    <w:rsid w:val="00B52D8A"/>
    <w:rsid w:val="00B5310E"/>
    <w:rsid w:val="00B53293"/>
    <w:rsid w:val="00B534DB"/>
    <w:rsid w:val="00B536D2"/>
    <w:rsid w:val="00B5376D"/>
    <w:rsid w:val="00B537E6"/>
    <w:rsid w:val="00B53B1E"/>
    <w:rsid w:val="00B540F7"/>
    <w:rsid w:val="00B5448D"/>
    <w:rsid w:val="00B54539"/>
    <w:rsid w:val="00B54604"/>
    <w:rsid w:val="00B5549D"/>
    <w:rsid w:val="00B55597"/>
    <w:rsid w:val="00B55935"/>
    <w:rsid w:val="00B55B4C"/>
    <w:rsid w:val="00B55B77"/>
    <w:rsid w:val="00B56022"/>
    <w:rsid w:val="00B569CB"/>
    <w:rsid w:val="00B569E5"/>
    <w:rsid w:val="00B56AB7"/>
    <w:rsid w:val="00B56DD4"/>
    <w:rsid w:val="00B57000"/>
    <w:rsid w:val="00B57024"/>
    <w:rsid w:val="00B57224"/>
    <w:rsid w:val="00B57292"/>
    <w:rsid w:val="00B5769D"/>
    <w:rsid w:val="00B5792B"/>
    <w:rsid w:val="00B57F00"/>
    <w:rsid w:val="00B601FA"/>
    <w:rsid w:val="00B60362"/>
    <w:rsid w:val="00B607C6"/>
    <w:rsid w:val="00B607D1"/>
    <w:rsid w:val="00B6083C"/>
    <w:rsid w:val="00B6096D"/>
    <w:rsid w:val="00B60BA5"/>
    <w:rsid w:val="00B60FEF"/>
    <w:rsid w:val="00B611E1"/>
    <w:rsid w:val="00B61402"/>
    <w:rsid w:val="00B616BB"/>
    <w:rsid w:val="00B61856"/>
    <w:rsid w:val="00B619E3"/>
    <w:rsid w:val="00B61A3E"/>
    <w:rsid w:val="00B61C32"/>
    <w:rsid w:val="00B61E19"/>
    <w:rsid w:val="00B61E61"/>
    <w:rsid w:val="00B61F08"/>
    <w:rsid w:val="00B61FA9"/>
    <w:rsid w:val="00B622B0"/>
    <w:rsid w:val="00B6257E"/>
    <w:rsid w:val="00B625E6"/>
    <w:rsid w:val="00B627B0"/>
    <w:rsid w:val="00B62C93"/>
    <w:rsid w:val="00B62EAA"/>
    <w:rsid w:val="00B636C0"/>
    <w:rsid w:val="00B63B5D"/>
    <w:rsid w:val="00B63E0B"/>
    <w:rsid w:val="00B641E6"/>
    <w:rsid w:val="00B6445F"/>
    <w:rsid w:val="00B6463F"/>
    <w:rsid w:val="00B646DF"/>
    <w:rsid w:val="00B6470A"/>
    <w:rsid w:val="00B64985"/>
    <w:rsid w:val="00B64BC6"/>
    <w:rsid w:val="00B64C71"/>
    <w:rsid w:val="00B64E50"/>
    <w:rsid w:val="00B64F79"/>
    <w:rsid w:val="00B65378"/>
    <w:rsid w:val="00B654EE"/>
    <w:rsid w:val="00B65656"/>
    <w:rsid w:val="00B65A03"/>
    <w:rsid w:val="00B65DB6"/>
    <w:rsid w:val="00B65F6B"/>
    <w:rsid w:val="00B6647F"/>
    <w:rsid w:val="00B665F1"/>
    <w:rsid w:val="00B6664C"/>
    <w:rsid w:val="00B66DC8"/>
    <w:rsid w:val="00B66FA2"/>
    <w:rsid w:val="00B67004"/>
    <w:rsid w:val="00B67088"/>
    <w:rsid w:val="00B672EB"/>
    <w:rsid w:val="00B67A77"/>
    <w:rsid w:val="00B67CDC"/>
    <w:rsid w:val="00B67D17"/>
    <w:rsid w:val="00B67D93"/>
    <w:rsid w:val="00B7010C"/>
    <w:rsid w:val="00B70502"/>
    <w:rsid w:val="00B70795"/>
    <w:rsid w:val="00B70C7B"/>
    <w:rsid w:val="00B70F75"/>
    <w:rsid w:val="00B7139D"/>
    <w:rsid w:val="00B7174D"/>
    <w:rsid w:val="00B71C50"/>
    <w:rsid w:val="00B720C4"/>
    <w:rsid w:val="00B7235E"/>
    <w:rsid w:val="00B72AB0"/>
    <w:rsid w:val="00B72BF8"/>
    <w:rsid w:val="00B72DF0"/>
    <w:rsid w:val="00B730B5"/>
    <w:rsid w:val="00B731D3"/>
    <w:rsid w:val="00B737A0"/>
    <w:rsid w:val="00B73D55"/>
    <w:rsid w:val="00B742E3"/>
    <w:rsid w:val="00B74405"/>
    <w:rsid w:val="00B74508"/>
    <w:rsid w:val="00B7457F"/>
    <w:rsid w:val="00B7465F"/>
    <w:rsid w:val="00B74A31"/>
    <w:rsid w:val="00B74A4D"/>
    <w:rsid w:val="00B74BE0"/>
    <w:rsid w:val="00B74BE6"/>
    <w:rsid w:val="00B74CC3"/>
    <w:rsid w:val="00B74E08"/>
    <w:rsid w:val="00B751CC"/>
    <w:rsid w:val="00B759D1"/>
    <w:rsid w:val="00B75C2A"/>
    <w:rsid w:val="00B75C3B"/>
    <w:rsid w:val="00B75E83"/>
    <w:rsid w:val="00B75F44"/>
    <w:rsid w:val="00B768E7"/>
    <w:rsid w:val="00B76A2A"/>
    <w:rsid w:val="00B76B88"/>
    <w:rsid w:val="00B76CEB"/>
    <w:rsid w:val="00B76E7F"/>
    <w:rsid w:val="00B7718B"/>
    <w:rsid w:val="00B7730E"/>
    <w:rsid w:val="00B774C8"/>
    <w:rsid w:val="00B77E71"/>
    <w:rsid w:val="00B77F88"/>
    <w:rsid w:val="00B80017"/>
    <w:rsid w:val="00B8088A"/>
    <w:rsid w:val="00B808EC"/>
    <w:rsid w:val="00B80CC8"/>
    <w:rsid w:val="00B80D34"/>
    <w:rsid w:val="00B80D36"/>
    <w:rsid w:val="00B80FC2"/>
    <w:rsid w:val="00B810BC"/>
    <w:rsid w:val="00B81499"/>
    <w:rsid w:val="00B81661"/>
    <w:rsid w:val="00B81C55"/>
    <w:rsid w:val="00B81EB3"/>
    <w:rsid w:val="00B820B4"/>
    <w:rsid w:val="00B8226E"/>
    <w:rsid w:val="00B822A1"/>
    <w:rsid w:val="00B82559"/>
    <w:rsid w:val="00B82A48"/>
    <w:rsid w:val="00B82A9B"/>
    <w:rsid w:val="00B82AAB"/>
    <w:rsid w:val="00B82CC7"/>
    <w:rsid w:val="00B8318C"/>
    <w:rsid w:val="00B83269"/>
    <w:rsid w:val="00B832FB"/>
    <w:rsid w:val="00B8352E"/>
    <w:rsid w:val="00B835FE"/>
    <w:rsid w:val="00B8397E"/>
    <w:rsid w:val="00B83FDC"/>
    <w:rsid w:val="00B843C2"/>
    <w:rsid w:val="00B8455A"/>
    <w:rsid w:val="00B848CC"/>
    <w:rsid w:val="00B852E5"/>
    <w:rsid w:val="00B85409"/>
    <w:rsid w:val="00B85633"/>
    <w:rsid w:val="00B85BEF"/>
    <w:rsid w:val="00B85E58"/>
    <w:rsid w:val="00B85E70"/>
    <w:rsid w:val="00B85F63"/>
    <w:rsid w:val="00B861F6"/>
    <w:rsid w:val="00B864A2"/>
    <w:rsid w:val="00B86A06"/>
    <w:rsid w:val="00B86B2C"/>
    <w:rsid w:val="00B86C0A"/>
    <w:rsid w:val="00B86CB0"/>
    <w:rsid w:val="00B872DA"/>
    <w:rsid w:val="00B873F0"/>
    <w:rsid w:val="00B87BD6"/>
    <w:rsid w:val="00B87C9D"/>
    <w:rsid w:val="00B87FCE"/>
    <w:rsid w:val="00B90107"/>
    <w:rsid w:val="00B90416"/>
    <w:rsid w:val="00B907AA"/>
    <w:rsid w:val="00B907DE"/>
    <w:rsid w:val="00B9092B"/>
    <w:rsid w:val="00B90CF3"/>
    <w:rsid w:val="00B90DFF"/>
    <w:rsid w:val="00B90F1D"/>
    <w:rsid w:val="00B910A5"/>
    <w:rsid w:val="00B911AB"/>
    <w:rsid w:val="00B91518"/>
    <w:rsid w:val="00B915EA"/>
    <w:rsid w:val="00B91B4C"/>
    <w:rsid w:val="00B91C4E"/>
    <w:rsid w:val="00B91CCB"/>
    <w:rsid w:val="00B92292"/>
    <w:rsid w:val="00B923C2"/>
    <w:rsid w:val="00B92632"/>
    <w:rsid w:val="00B92773"/>
    <w:rsid w:val="00B9297C"/>
    <w:rsid w:val="00B92B99"/>
    <w:rsid w:val="00B92C3B"/>
    <w:rsid w:val="00B92E92"/>
    <w:rsid w:val="00B92F8C"/>
    <w:rsid w:val="00B9329B"/>
    <w:rsid w:val="00B9335A"/>
    <w:rsid w:val="00B93651"/>
    <w:rsid w:val="00B937D8"/>
    <w:rsid w:val="00B938DD"/>
    <w:rsid w:val="00B9401A"/>
    <w:rsid w:val="00B94211"/>
    <w:rsid w:val="00B9429B"/>
    <w:rsid w:val="00B94332"/>
    <w:rsid w:val="00B94811"/>
    <w:rsid w:val="00B94878"/>
    <w:rsid w:val="00B94895"/>
    <w:rsid w:val="00B95041"/>
    <w:rsid w:val="00B950BC"/>
    <w:rsid w:val="00B95121"/>
    <w:rsid w:val="00B9519F"/>
    <w:rsid w:val="00B952A0"/>
    <w:rsid w:val="00B95700"/>
    <w:rsid w:val="00B957AF"/>
    <w:rsid w:val="00B95965"/>
    <w:rsid w:val="00B96101"/>
    <w:rsid w:val="00B9614B"/>
    <w:rsid w:val="00B961D4"/>
    <w:rsid w:val="00B9683B"/>
    <w:rsid w:val="00B96C4F"/>
    <w:rsid w:val="00B96D1D"/>
    <w:rsid w:val="00B96E17"/>
    <w:rsid w:val="00B97216"/>
    <w:rsid w:val="00B972DF"/>
    <w:rsid w:val="00B975E4"/>
    <w:rsid w:val="00B976C3"/>
    <w:rsid w:val="00B977BE"/>
    <w:rsid w:val="00B97DF1"/>
    <w:rsid w:val="00B97F13"/>
    <w:rsid w:val="00BA017D"/>
    <w:rsid w:val="00BA02C2"/>
    <w:rsid w:val="00BA0317"/>
    <w:rsid w:val="00BA0450"/>
    <w:rsid w:val="00BA0B94"/>
    <w:rsid w:val="00BA0D7A"/>
    <w:rsid w:val="00BA0FC2"/>
    <w:rsid w:val="00BA1A23"/>
    <w:rsid w:val="00BA1FBD"/>
    <w:rsid w:val="00BA1FEC"/>
    <w:rsid w:val="00BA26CD"/>
    <w:rsid w:val="00BA2860"/>
    <w:rsid w:val="00BA2DB1"/>
    <w:rsid w:val="00BA3083"/>
    <w:rsid w:val="00BA30C5"/>
    <w:rsid w:val="00BA3529"/>
    <w:rsid w:val="00BA363C"/>
    <w:rsid w:val="00BA3691"/>
    <w:rsid w:val="00BA3B25"/>
    <w:rsid w:val="00BA47C7"/>
    <w:rsid w:val="00BA4F28"/>
    <w:rsid w:val="00BA50A7"/>
    <w:rsid w:val="00BA5121"/>
    <w:rsid w:val="00BA5187"/>
    <w:rsid w:val="00BA57E5"/>
    <w:rsid w:val="00BA5875"/>
    <w:rsid w:val="00BA5A1F"/>
    <w:rsid w:val="00BA5E30"/>
    <w:rsid w:val="00BA6230"/>
    <w:rsid w:val="00BA658B"/>
    <w:rsid w:val="00BA6BAD"/>
    <w:rsid w:val="00BA6CC7"/>
    <w:rsid w:val="00BA767D"/>
    <w:rsid w:val="00BA7792"/>
    <w:rsid w:val="00BA78DD"/>
    <w:rsid w:val="00BA79E0"/>
    <w:rsid w:val="00BA7AE3"/>
    <w:rsid w:val="00BA7DED"/>
    <w:rsid w:val="00BA7E13"/>
    <w:rsid w:val="00BB054D"/>
    <w:rsid w:val="00BB06D7"/>
    <w:rsid w:val="00BB0C15"/>
    <w:rsid w:val="00BB0FF9"/>
    <w:rsid w:val="00BB1120"/>
    <w:rsid w:val="00BB1209"/>
    <w:rsid w:val="00BB2599"/>
    <w:rsid w:val="00BB2908"/>
    <w:rsid w:val="00BB29B3"/>
    <w:rsid w:val="00BB2A2A"/>
    <w:rsid w:val="00BB2BF9"/>
    <w:rsid w:val="00BB2C1D"/>
    <w:rsid w:val="00BB2F06"/>
    <w:rsid w:val="00BB3325"/>
    <w:rsid w:val="00BB350E"/>
    <w:rsid w:val="00BB36C9"/>
    <w:rsid w:val="00BB382F"/>
    <w:rsid w:val="00BB3AC9"/>
    <w:rsid w:val="00BB3DE8"/>
    <w:rsid w:val="00BB3F3B"/>
    <w:rsid w:val="00BB3FA5"/>
    <w:rsid w:val="00BB4279"/>
    <w:rsid w:val="00BB4429"/>
    <w:rsid w:val="00BB466E"/>
    <w:rsid w:val="00BB477D"/>
    <w:rsid w:val="00BB479E"/>
    <w:rsid w:val="00BB486B"/>
    <w:rsid w:val="00BB4935"/>
    <w:rsid w:val="00BB4BFD"/>
    <w:rsid w:val="00BB4C46"/>
    <w:rsid w:val="00BB512D"/>
    <w:rsid w:val="00BB52BE"/>
    <w:rsid w:val="00BB5604"/>
    <w:rsid w:val="00BB5A29"/>
    <w:rsid w:val="00BB5B82"/>
    <w:rsid w:val="00BB5FC7"/>
    <w:rsid w:val="00BB657B"/>
    <w:rsid w:val="00BB6748"/>
    <w:rsid w:val="00BB6778"/>
    <w:rsid w:val="00BB67A7"/>
    <w:rsid w:val="00BB6891"/>
    <w:rsid w:val="00BB6BE7"/>
    <w:rsid w:val="00BB6D7B"/>
    <w:rsid w:val="00BB717B"/>
    <w:rsid w:val="00BB74FA"/>
    <w:rsid w:val="00BB756C"/>
    <w:rsid w:val="00BB7E77"/>
    <w:rsid w:val="00BC05E3"/>
    <w:rsid w:val="00BC0795"/>
    <w:rsid w:val="00BC0932"/>
    <w:rsid w:val="00BC093A"/>
    <w:rsid w:val="00BC0EF0"/>
    <w:rsid w:val="00BC106B"/>
    <w:rsid w:val="00BC10E9"/>
    <w:rsid w:val="00BC1728"/>
    <w:rsid w:val="00BC1A4F"/>
    <w:rsid w:val="00BC1CAB"/>
    <w:rsid w:val="00BC2686"/>
    <w:rsid w:val="00BC27A6"/>
    <w:rsid w:val="00BC28EF"/>
    <w:rsid w:val="00BC29E8"/>
    <w:rsid w:val="00BC2BC5"/>
    <w:rsid w:val="00BC2CF9"/>
    <w:rsid w:val="00BC2FBA"/>
    <w:rsid w:val="00BC33BA"/>
    <w:rsid w:val="00BC395A"/>
    <w:rsid w:val="00BC396C"/>
    <w:rsid w:val="00BC3C5C"/>
    <w:rsid w:val="00BC3D4D"/>
    <w:rsid w:val="00BC49B9"/>
    <w:rsid w:val="00BC4E0E"/>
    <w:rsid w:val="00BC5031"/>
    <w:rsid w:val="00BC57AF"/>
    <w:rsid w:val="00BC60AC"/>
    <w:rsid w:val="00BC615A"/>
    <w:rsid w:val="00BC6352"/>
    <w:rsid w:val="00BC6463"/>
    <w:rsid w:val="00BC6629"/>
    <w:rsid w:val="00BC662F"/>
    <w:rsid w:val="00BC67FE"/>
    <w:rsid w:val="00BC685A"/>
    <w:rsid w:val="00BC685E"/>
    <w:rsid w:val="00BC6AB1"/>
    <w:rsid w:val="00BC6B07"/>
    <w:rsid w:val="00BC6C6C"/>
    <w:rsid w:val="00BC6E34"/>
    <w:rsid w:val="00BC6F03"/>
    <w:rsid w:val="00BC6F04"/>
    <w:rsid w:val="00BC7016"/>
    <w:rsid w:val="00BC7159"/>
    <w:rsid w:val="00BC7255"/>
    <w:rsid w:val="00BC7A24"/>
    <w:rsid w:val="00BC7DCE"/>
    <w:rsid w:val="00BC7DE3"/>
    <w:rsid w:val="00BD0363"/>
    <w:rsid w:val="00BD06CC"/>
    <w:rsid w:val="00BD0793"/>
    <w:rsid w:val="00BD08AF"/>
    <w:rsid w:val="00BD08BE"/>
    <w:rsid w:val="00BD135F"/>
    <w:rsid w:val="00BD13DA"/>
    <w:rsid w:val="00BD14F3"/>
    <w:rsid w:val="00BD16F2"/>
    <w:rsid w:val="00BD19FA"/>
    <w:rsid w:val="00BD1A07"/>
    <w:rsid w:val="00BD1D75"/>
    <w:rsid w:val="00BD1DC0"/>
    <w:rsid w:val="00BD2290"/>
    <w:rsid w:val="00BD2356"/>
    <w:rsid w:val="00BD23A2"/>
    <w:rsid w:val="00BD25C2"/>
    <w:rsid w:val="00BD2AF2"/>
    <w:rsid w:val="00BD2DB2"/>
    <w:rsid w:val="00BD31A0"/>
    <w:rsid w:val="00BD31C5"/>
    <w:rsid w:val="00BD34E5"/>
    <w:rsid w:val="00BD36CC"/>
    <w:rsid w:val="00BD39E5"/>
    <w:rsid w:val="00BD3C81"/>
    <w:rsid w:val="00BD41A6"/>
    <w:rsid w:val="00BD433B"/>
    <w:rsid w:val="00BD43FE"/>
    <w:rsid w:val="00BD4536"/>
    <w:rsid w:val="00BD45AB"/>
    <w:rsid w:val="00BD47CD"/>
    <w:rsid w:val="00BD47F5"/>
    <w:rsid w:val="00BD4943"/>
    <w:rsid w:val="00BD525B"/>
    <w:rsid w:val="00BD5373"/>
    <w:rsid w:val="00BD5485"/>
    <w:rsid w:val="00BD576A"/>
    <w:rsid w:val="00BD579F"/>
    <w:rsid w:val="00BD5A88"/>
    <w:rsid w:val="00BD5CD7"/>
    <w:rsid w:val="00BD5FD6"/>
    <w:rsid w:val="00BD6006"/>
    <w:rsid w:val="00BD6468"/>
    <w:rsid w:val="00BD64C6"/>
    <w:rsid w:val="00BD68D3"/>
    <w:rsid w:val="00BD69AF"/>
    <w:rsid w:val="00BD69D0"/>
    <w:rsid w:val="00BD6A61"/>
    <w:rsid w:val="00BD70F9"/>
    <w:rsid w:val="00BD7444"/>
    <w:rsid w:val="00BD75B7"/>
    <w:rsid w:val="00BD7717"/>
    <w:rsid w:val="00BD777B"/>
    <w:rsid w:val="00BD794C"/>
    <w:rsid w:val="00BD7C55"/>
    <w:rsid w:val="00BD7C79"/>
    <w:rsid w:val="00BD7C8A"/>
    <w:rsid w:val="00BE0038"/>
    <w:rsid w:val="00BE06B4"/>
    <w:rsid w:val="00BE0913"/>
    <w:rsid w:val="00BE0B31"/>
    <w:rsid w:val="00BE0C4E"/>
    <w:rsid w:val="00BE0DDE"/>
    <w:rsid w:val="00BE0FD3"/>
    <w:rsid w:val="00BE0FE8"/>
    <w:rsid w:val="00BE0FFD"/>
    <w:rsid w:val="00BE10C1"/>
    <w:rsid w:val="00BE10DC"/>
    <w:rsid w:val="00BE11C5"/>
    <w:rsid w:val="00BE179E"/>
    <w:rsid w:val="00BE17FF"/>
    <w:rsid w:val="00BE1850"/>
    <w:rsid w:val="00BE1A1B"/>
    <w:rsid w:val="00BE1C57"/>
    <w:rsid w:val="00BE1DE7"/>
    <w:rsid w:val="00BE2322"/>
    <w:rsid w:val="00BE23D2"/>
    <w:rsid w:val="00BE2616"/>
    <w:rsid w:val="00BE26BF"/>
    <w:rsid w:val="00BE29CE"/>
    <w:rsid w:val="00BE3018"/>
    <w:rsid w:val="00BE38EE"/>
    <w:rsid w:val="00BE3911"/>
    <w:rsid w:val="00BE3A4E"/>
    <w:rsid w:val="00BE4697"/>
    <w:rsid w:val="00BE471D"/>
    <w:rsid w:val="00BE4924"/>
    <w:rsid w:val="00BE50E6"/>
    <w:rsid w:val="00BE5546"/>
    <w:rsid w:val="00BE595B"/>
    <w:rsid w:val="00BE666E"/>
    <w:rsid w:val="00BE6918"/>
    <w:rsid w:val="00BE6A26"/>
    <w:rsid w:val="00BE6DBC"/>
    <w:rsid w:val="00BE7008"/>
    <w:rsid w:val="00BE72C9"/>
    <w:rsid w:val="00BE735C"/>
    <w:rsid w:val="00BE7B10"/>
    <w:rsid w:val="00BE7E4A"/>
    <w:rsid w:val="00BF002C"/>
    <w:rsid w:val="00BF00AE"/>
    <w:rsid w:val="00BF0B39"/>
    <w:rsid w:val="00BF0D50"/>
    <w:rsid w:val="00BF107A"/>
    <w:rsid w:val="00BF10BD"/>
    <w:rsid w:val="00BF1714"/>
    <w:rsid w:val="00BF183B"/>
    <w:rsid w:val="00BF19EE"/>
    <w:rsid w:val="00BF1C8F"/>
    <w:rsid w:val="00BF1E94"/>
    <w:rsid w:val="00BF1F81"/>
    <w:rsid w:val="00BF2030"/>
    <w:rsid w:val="00BF21B1"/>
    <w:rsid w:val="00BF237A"/>
    <w:rsid w:val="00BF255D"/>
    <w:rsid w:val="00BF271B"/>
    <w:rsid w:val="00BF2B31"/>
    <w:rsid w:val="00BF2B60"/>
    <w:rsid w:val="00BF2BCA"/>
    <w:rsid w:val="00BF2C37"/>
    <w:rsid w:val="00BF2FF3"/>
    <w:rsid w:val="00BF39F1"/>
    <w:rsid w:val="00BF3EBE"/>
    <w:rsid w:val="00BF43A5"/>
    <w:rsid w:val="00BF4428"/>
    <w:rsid w:val="00BF4545"/>
    <w:rsid w:val="00BF4934"/>
    <w:rsid w:val="00BF4A79"/>
    <w:rsid w:val="00BF4B34"/>
    <w:rsid w:val="00BF5231"/>
    <w:rsid w:val="00BF5345"/>
    <w:rsid w:val="00BF6152"/>
    <w:rsid w:val="00BF62DA"/>
    <w:rsid w:val="00BF66C9"/>
    <w:rsid w:val="00BF6C37"/>
    <w:rsid w:val="00BF6D37"/>
    <w:rsid w:val="00BF6F62"/>
    <w:rsid w:val="00BF732C"/>
    <w:rsid w:val="00BF7376"/>
    <w:rsid w:val="00BF7391"/>
    <w:rsid w:val="00BF7696"/>
    <w:rsid w:val="00BF77E2"/>
    <w:rsid w:val="00BF7861"/>
    <w:rsid w:val="00BF7996"/>
    <w:rsid w:val="00C000B4"/>
    <w:rsid w:val="00C0016D"/>
    <w:rsid w:val="00C002F3"/>
    <w:rsid w:val="00C004D4"/>
    <w:rsid w:val="00C008AE"/>
    <w:rsid w:val="00C00E5A"/>
    <w:rsid w:val="00C01513"/>
    <w:rsid w:val="00C015C3"/>
    <w:rsid w:val="00C01A60"/>
    <w:rsid w:val="00C01F36"/>
    <w:rsid w:val="00C02258"/>
    <w:rsid w:val="00C022AD"/>
    <w:rsid w:val="00C022B3"/>
    <w:rsid w:val="00C02407"/>
    <w:rsid w:val="00C024C8"/>
    <w:rsid w:val="00C02E67"/>
    <w:rsid w:val="00C02EC8"/>
    <w:rsid w:val="00C03059"/>
    <w:rsid w:val="00C032A5"/>
    <w:rsid w:val="00C0333D"/>
    <w:rsid w:val="00C033CF"/>
    <w:rsid w:val="00C0366C"/>
    <w:rsid w:val="00C03867"/>
    <w:rsid w:val="00C03944"/>
    <w:rsid w:val="00C03DC9"/>
    <w:rsid w:val="00C03E7C"/>
    <w:rsid w:val="00C03EE2"/>
    <w:rsid w:val="00C04778"/>
    <w:rsid w:val="00C04EF7"/>
    <w:rsid w:val="00C0534C"/>
    <w:rsid w:val="00C05436"/>
    <w:rsid w:val="00C058C4"/>
    <w:rsid w:val="00C05A56"/>
    <w:rsid w:val="00C05B0F"/>
    <w:rsid w:val="00C05B89"/>
    <w:rsid w:val="00C060C2"/>
    <w:rsid w:val="00C06751"/>
    <w:rsid w:val="00C06B7C"/>
    <w:rsid w:val="00C07113"/>
    <w:rsid w:val="00C07117"/>
    <w:rsid w:val="00C073E1"/>
    <w:rsid w:val="00C07504"/>
    <w:rsid w:val="00C0758B"/>
    <w:rsid w:val="00C076A8"/>
    <w:rsid w:val="00C0785E"/>
    <w:rsid w:val="00C107A7"/>
    <w:rsid w:val="00C108EB"/>
    <w:rsid w:val="00C10B78"/>
    <w:rsid w:val="00C10DAC"/>
    <w:rsid w:val="00C10F14"/>
    <w:rsid w:val="00C11245"/>
    <w:rsid w:val="00C1131A"/>
    <w:rsid w:val="00C113C2"/>
    <w:rsid w:val="00C1223C"/>
    <w:rsid w:val="00C12C29"/>
    <w:rsid w:val="00C12CF8"/>
    <w:rsid w:val="00C12DF9"/>
    <w:rsid w:val="00C13364"/>
    <w:rsid w:val="00C135AE"/>
    <w:rsid w:val="00C13B2A"/>
    <w:rsid w:val="00C13D4C"/>
    <w:rsid w:val="00C14609"/>
    <w:rsid w:val="00C1476C"/>
    <w:rsid w:val="00C149D0"/>
    <w:rsid w:val="00C14C77"/>
    <w:rsid w:val="00C14E3E"/>
    <w:rsid w:val="00C14E53"/>
    <w:rsid w:val="00C1524B"/>
    <w:rsid w:val="00C1527C"/>
    <w:rsid w:val="00C15286"/>
    <w:rsid w:val="00C15F56"/>
    <w:rsid w:val="00C160F0"/>
    <w:rsid w:val="00C1618E"/>
    <w:rsid w:val="00C16231"/>
    <w:rsid w:val="00C163D3"/>
    <w:rsid w:val="00C169CA"/>
    <w:rsid w:val="00C16E89"/>
    <w:rsid w:val="00C17172"/>
    <w:rsid w:val="00C17296"/>
    <w:rsid w:val="00C175AD"/>
    <w:rsid w:val="00C17675"/>
    <w:rsid w:val="00C17B8E"/>
    <w:rsid w:val="00C17D0A"/>
    <w:rsid w:val="00C17EE9"/>
    <w:rsid w:val="00C200A6"/>
    <w:rsid w:val="00C201C9"/>
    <w:rsid w:val="00C20338"/>
    <w:rsid w:val="00C20555"/>
    <w:rsid w:val="00C20F50"/>
    <w:rsid w:val="00C2192B"/>
    <w:rsid w:val="00C22059"/>
    <w:rsid w:val="00C2205E"/>
    <w:rsid w:val="00C221FA"/>
    <w:rsid w:val="00C22770"/>
    <w:rsid w:val="00C227E3"/>
    <w:rsid w:val="00C22858"/>
    <w:rsid w:val="00C22A12"/>
    <w:rsid w:val="00C22D34"/>
    <w:rsid w:val="00C2354E"/>
    <w:rsid w:val="00C23946"/>
    <w:rsid w:val="00C23C79"/>
    <w:rsid w:val="00C23D2D"/>
    <w:rsid w:val="00C24249"/>
    <w:rsid w:val="00C24513"/>
    <w:rsid w:val="00C247CA"/>
    <w:rsid w:val="00C247DC"/>
    <w:rsid w:val="00C2495D"/>
    <w:rsid w:val="00C24C47"/>
    <w:rsid w:val="00C24C4E"/>
    <w:rsid w:val="00C24EDE"/>
    <w:rsid w:val="00C24F02"/>
    <w:rsid w:val="00C2519D"/>
    <w:rsid w:val="00C25348"/>
    <w:rsid w:val="00C25DFF"/>
    <w:rsid w:val="00C25E57"/>
    <w:rsid w:val="00C25E59"/>
    <w:rsid w:val="00C2602E"/>
    <w:rsid w:val="00C2641C"/>
    <w:rsid w:val="00C26459"/>
    <w:rsid w:val="00C267B4"/>
    <w:rsid w:val="00C26E1C"/>
    <w:rsid w:val="00C2728A"/>
    <w:rsid w:val="00C2748A"/>
    <w:rsid w:val="00C276A5"/>
    <w:rsid w:val="00C27901"/>
    <w:rsid w:val="00C27B01"/>
    <w:rsid w:val="00C27DEA"/>
    <w:rsid w:val="00C27DF3"/>
    <w:rsid w:val="00C27E81"/>
    <w:rsid w:val="00C27F6F"/>
    <w:rsid w:val="00C3001F"/>
    <w:rsid w:val="00C3048C"/>
    <w:rsid w:val="00C30624"/>
    <w:rsid w:val="00C3064A"/>
    <w:rsid w:val="00C30AB0"/>
    <w:rsid w:val="00C30CB2"/>
    <w:rsid w:val="00C3103C"/>
    <w:rsid w:val="00C31104"/>
    <w:rsid w:val="00C31326"/>
    <w:rsid w:val="00C31662"/>
    <w:rsid w:val="00C31E62"/>
    <w:rsid w:val="00C31F8B"/>
    <w:rsid w:val="00C323F2"/>
    <w:rsid w:val="00C32563"/>
    <w:rsid w:val="00C325D2"/>
    <w:rsid w:val="00C32809"/>
    <w:rsid w:val="00C32956"/>
    <w:rsid w:val="00C3298F"/>
    <w:rsid w:val="00C32B4B"/>
    <w:rsid w:val="00C32B67"/>
    <w:rsid w:val="00C33688"/>
    <w:rsid w:val="00C336F5"/>
    <w:rsid w:val="00C33933"/>
    <w:rsid w:val="00C339CB"/>
    <w:rsid w:val="00C339EB"/>
    <w:rsid w:val="00C33FC2"/>
    <w:rsid w:val="00C34066"/>
    <w:rsid w:val="00C34183"/>
    <w:rsid w:val="00C34AF5"/>
    <w:rsid w:val="00C34C09"/>
    <w:rsid w:val="00C34C94"/>
    <w:rsid w:val="00C35069"/>
    <w:rsid w:val="00C353DB"/>
    <w:rsid w:val="00C3554B"/>
    <w:rsid w:val="00C35692"/>
    <w:rsid w:val="00C357D4"/>
    <w:rsid w:val="00C358F0"/>
    <w:rsid w:val="00C3596C"/>
    <w:rsid w:val="00C35AF9"/>
    <w:rsid w:val="00C35B90"/>
    <w:rsid w:val="00C3613C"/>
    <w:rsid w:val="00C36702"/>
    <w:rsid w:val="00C36B1D"/>
    <w:rsid w:val="00C36CC7"/>
    <w:rsid w:val="00C36CFE"/>
    <w:rsid w:val="00C37072"/>
    <w:rsid w:val="00C37144"/>
    <w:rsid w:val="00C373E8"/>
    <w:rsid w:val="00C374C8"/>
    <w:rsid w:val="00C37518"/>
    <w:rsid w:val="00C379E8"/>
    <w:rsid w:val="00C37C07"/>
    <w:rsid w:val="00C37C3A"/>
    <w:rsid w:val="00C37E56"/>
    <w:rsid w:val="00C37E6C"/>
    <w:rsid w:val="00C408AF"/>
    <w:rsid w:val="00C409CF"/>
    <w:rsid w:val="00C40A6B"/>
    <w:rsid w:val="00C40AA1"/>
    <w:rsid w:val="00C40DD9"/>
    <w:rsid w:val="00C4110D"/>
    <w:rsid w:val="00C41251"/>
    <w:rsid w:val="00C41369"/>
    <w:rsid w:val="00C41458"/>
    <w:rsid w:val="00C41514"/>
    <w:rsid w:val="00C41AE4"/>
    <w:rsid w:val="00C41CC1"/>
    <w:rsid w:val="00C42108"/>
    <w:rsid w:val="00C42288"/>
    <w:rsid w:val="00C4264E"/>
    <w:rsid w:val="00C42661"/>
    <w:rsid w:val="00C42FFB"/>
    <w:rsid w:val="00C4322D"/>
    <w:rsid w:val="00C43739"/>
    <w:rsid w:val="00C43CE8"/>
    <w:rsid w:val="00C43DE6"/>
    <w:rsid w:val="00C443CA"/>
    <w:rsid w:val="00C44739"/>
    <w:rsid w:val="00C44796"/>
    <w:rsid w:val="00C448B2"/>
    <w:rsid w:val="00C44A0F"/>
    <w:rsid w:val="00C44A8C"/>
    <w:rsid w:val="00C44B4C"/>
    <w:rsid w:val="00C44B81"/>
    <w:rsid w:val="00C44FAD"/>
    <w:rsid w:val="00C45370"/>
    <w:rsid w:val="00C45959"/>
    <w:rsid w:val="00C461DA"/>
    <w:rsid w:val="00C4627E"/>
    <w:rsid w:val="00C46285"/>
    <w:rsid w:val="00C462F8"/>
    <w:rsid w:val="00C46C2B"/>
    <w:rsid w:val="00C46C89"/>
    <w:rsid w:val="00C46D26"/>
    <w:rsid w:val="00C46E52"/>
    <w:rsid w:val="00C46F09"/>
    <w:rsid w:val="00C475BD"/>
    <w:rsid w:val="00C47949"/>
    <w:rsid w:val="00C47A9C"/>
    <w:rsid w:val="00C47AEF"/>
    <w:rsid w:val="00C47BE1"/>
    <w:rsid w:val="00C47CAF"/>
    <w:rsid w:val="00C47F12"/>
    <w:rsid w:val="00C47FCC"/>
    <w:rsid w:val="00C50177"/>
    <w:rsid w:val="00C501F0"/>
    <w:rsid w:val="00C5041B"/>
    <w:rsid w:val="00C507DB"/>
    <w:rsid w:val="00C508BD"/>
    <w:rsid w:val="00C50AA5"/>
    <w:rsid w:val="00C5116A"/>
    <w:rsid w:val="00C5121E"/>
    <w:rsid w:val="00C515BB"/>
    <w:rsid w:val="00C5189F"/>
    <w:rsid w:val="00C51BA5"/>
    <w:rsid w:val="00C51E0C"/>
    <w:rsid w:val="00C51FCE"/>
    <w:rsid w:val="00C5217E"/>
    <w:rsid w:val="00C521AF"/>
    <w:rsid w:val="00C528A8"/>
    <w:rsid w:val="00C52DF6"/>
    <w:rsid w:val="00C53272"/>
    <w:rsid w:val="00C5329F"/>
    <w:rsid w:val="00C53484"/>
    <w:rsid w:val="00C534DD"/>
    <w:rsid w:val="00C53530"/>
    <w:rsid w:val="00C535C2"/>
    <w:rsid w:val="00C53643"/>
    <w:rsid w:val="00C5373E"/>
    <w:rsid w:val="00C537B0"/>
    <w:rsid w:val="00C53A0B"/>
    <w:rsid w:val="00C53BB9"/>
    <w:rsid w:val="00C53E48"/>
    <w:rsid w:val="00C53F54"/>
    <w:rsid w:val="00C540F7"/>
    <w:rsid w:val="00C54631"/>
    <w:rsid w:val="00C546D8"/>
    <w:rsid w:val="00C5499B"/>
    <w:rsid w:val="00C55350"/>
    <w:rsid w:val="00C563E7"/>
    <w:rsid w:val="00C56544"/>
    <w:rsid w:val="00C565ED"/>
    <w:rsid w:val="00C5722F"/>
    <w:rsid w:val="00C5726E"/>
    <w:rsid w:val="00C57367"/>
    <w:rsid w:val="00C57492"/>
    <w:rsid w:val="00C5754C"/>
    <w:rsid w:val="00C5777C"/>
    <w:rsid w:val="00C57BAE"/>
    <w:rsid w:val="00C603D2"/>
    <w:rsid w:val="00C603E6"/>
    <w:rsid w:val="00C60897"/>
    <w:rsid w:val="00C60BA9"/>
    <w:rsid w:val="00C610C3"/>
    <w:rsid w:val="00C613BF"/>
    <w:rsid w:val="00C613D2"/>
    <w:rsid w:val="00C613FC"/>
    <w:rsid w:val="00C6154A"/>
    <w:rsid w:val="00C61AE7"/>
    <w:rsid w:val="00C61CBF"/>
    <w:rsid w:val="00C620F0"/>
    <w:rsid w:val="00C6225E"/>
    <w:rsid w:val="00C625A0"/>
    <w:rsid w:val="00C62625"/>
    <w:rsid w:val="00C62BC0"/>
    <w:rsid w:val="00C62C04"/>
    <w:rsid w:val="00C62C82"/>
    <w:rsid w:val="00C62DD7"/>
    <w:rsid w:val="00C62FCF"/>
    <w:rsid w:val="00C63003"/>
    <w:rsid w:val="00C63438"/>
    <w:rsid w:val="00C636A6"/>
    <w:rsid w:val="00C636EA"/>
    <w:rsid w:val="00C63B3A"/>
    <w:rsid w:val="00C6423E"/>
    <w:rsid w:val="00C643D3"/>
    <w:rsid w:val="00C647B2"/>
    <w:rsid w:val="00C648E9"/>
    <w:rsid w:val="00C64C7B"/>
    <w:rsid w:val="00C64F72"/>
    <w:rsid w:val="00C652F7"/>
    <w:rsid w:val="00C652F8"/>
    <w:rsid w:val="00C65317"/>
    <w:rsid w:val="00C6535D"/>
    <w:rsid w:val="00C6575C"/>
    <w:rsid w:val="00C658C7"/>
    <w:rsid w:val="00C658F6"/>
    <w:rsid w:val="00C659E4"/>
    <w:rsid w:val="00C65A3E"/>
    <w:rsid w:val="00C65E5A"/>
    <w:rsid w:val="00C6612A"/>
    <w:rsid w:val="00C66649"/>
    <w:rsid w:val="00C667A0"/>
    <w:rsid w:val="00C66DAF"/>
    <w:rsid w:val="00C67184"/>
    <w:rsid w:val="00C6724C"/>
    <w:rsid w:val="00C676CA"/>
    <w:rsid w:val="00C6793E"/>
    <w:rsid w:val="00C67A02"/>
    <w:rsid w:val="00C67E0C"/>
    <w:rsid w:val="00C700EB"/>
    <w:rsid w:val="00C70384"/>
    <w:rsid w:val="00C7041F"/>
    <w:rsid w:val="00C704A0"/>
    <w:rsid w:val="00C709F5"/>
    <w:rsid w:val="00C70A42"/>
    <w:rsid w:val="00C70D42"/>
    <w:rsid w:val="00C714D2"/>
    <w:rsid w:val="00C7158F"/>
    <w:rsid w:val="00C72288"/>
    <w:rsid w:val="00C72474"/>
    <w:rsid w:val="00C72489"/>
    <w:rsid w:val="00C72593"/>
    <w:rsid w:val="00C731E1"/>
    <w:rsid w:val="00C732A7"/>
    <w:rsid w:val="00C73301"/>
    <w:rsid w:val="00C73432"/>
    <w:rsid w:val="00C737AC"/>
    <w:rsid w:val="00C73B56"/>
    <w:rsid w:val="00C73C4A"/>
    <w:rsid w:val="00C73E4D"/>
    <w:rsid w:val="00C7405B"/>
    <w:rsid w:val="00C7439B"/>
    <w:rsid w:val="00C74476"/>
    <w:rsid w:val="00C749F0"/>
    <w:rsid w:val="00C74B05"/>
    <w:rsid w:val="00C74BAC"/>
    <w:rsid w:val="00C74D60"/>
    <w:rsid w:val="00C74E90"/>
    <w:rsid w:val="00C74EBA"/>
    <w:rsid w:val="00C74F23"/>
    <w:rsid w:val="00C751C5"/>
    <w:rsid w:val="00C757B7"/>
    <w:rsid w:val="00C75846"/>
    <w:rsid w:val="00C75866"/>
    <w:rsid w:val="00C75AC3"/>
    <w:rsid w:val="00C75BC2"/>
    <w:rsid w:val="00C75C2E"/>
    <w:rsid w:val="00C75D43"/>
    <w:rsid w:val="00C75FBF"/>
    <w:rsid w:val="00C7637B"/>
    <w:rsid w:val="00C76453"/>
    <w:rsid w:val="00C7656C"/>
    <w:rsid w:val="00C768C1"/>
    <w:rsid w:val="00C76CE6"/>
    <w:rsid w:val="00C76D00"/>
    <w:rsid w:val="00C76DF6"/>
    <w:rsid w:val="00C76E99"/>
    <w:rsid w:val="00C770A5"/>
    <w:rsid w:val="00C772EA"/>
    <w:rsid w:val="00C77B25"/>
    <w:rsid w:val="00C8023A"/>
    <w:rsid w:val="00C80342"/>
    <w:rsid w:val="00C807AF"/>
    <w:rsid w:val="00C80907"/>
    <w:rsid w:val="00C81219"/>
    <w:rsid w:val="00C8164D"/>
    <w:rsid w:val="00C81697"/>
    <w:rsid w:val="00C81904"/>
    <w:rsid w:val="00C81A28"/>
    <w:rsid w:val="00C81DD1"/>
    <w:rsid w:val="00C81E4C"/>
    <w:rsid w:val="00C827E2"/>
    <w:rsid w:val="00C82AF3"/>
    <w:rsid w:val="00C82BB3"/>
    <w:rsid w:val="00C82D3F"/>
    <w:rsid w:val="00C83211"/>
    <w:rsid w:val="00C83234"/>
    <w:rsid w:val="00C832DC"/>
    <w:rsid w:val="00C83716"/>
    <w:rsid w:val="00C83BE4"/>
    <w:rsid w:val="00C84063"/>
    <w:rsid w:val="00C8419B"/>
    <w:rsid w:val="00C8428E"/>
    <w:rsid w:val="00C8430B"/>
    <w:rsid w:val="00C844EE"/>
    <w:rsid w:val="00C84733"/>
    <w:rsid w:val="00C84A89"/>
    <w:rsid w:val="00C84FFC"/>
    <w:rsid w:val="00C8511D"/>
    <w:rsid w:val="00C851CC"/>
    <w:rsid w:val="00C8525C"/>
    <w:rsid w:val="00C85686"/>
    <w:rsid w:val="00C85839"/>
    <w:rsid w:val="00C85C44"/>
    <w:rsid w:val="00C86109"/>
    <w:rsid w:val="00C8634C"/>
    <w:rsid w:val="00C86367"/>
    <w:rsid w:val="00C8642C"/>
    <w:rsid w:val="00C86844"/>
    <w:rsid w:val="00C87301"/>
    <w:rsid w:val="00C876CC"/>
    <w:rsid w:val="00C90033"/>
    <w:rsid w:val="00C90181"/>
    <w:rsid w:val="00C90505"/>
    <w:rsid w:val="00C905AF"/>
    <w:rsid w:val="00C90673"/>
    <w:rsid w:val="00C909C2"/>
    <w:rsid w:val="00C90F80"/>
    <w:rsid w:val="00C9114F"/>
    <w:rsid w:val="00C91770"/>
    <w:rsid w:val="00C917E8"/>
    <w:rsid w:val="00C918DD"/>
    <w:rsid w:val="00C91932"/>
    <w:rsid w:val="00C91B2E"/>
    <w:rsid w:val="00C91D62"/>
    <w:rsid w:val="00C91E6E"/>
    <w:rsid w:val="00C91FF8"/>
    <w:rsid w:val="00C9221C"/>
    <w:rsid w:val="00C9226A"/>
    <w:rsid w:val="00C92532"/>
    <w:rsid w:val="00C92863"/>
    <w:rsid w:val="00C93225"/>
    <w:rsid w:val="00C9399F"/>
    <w:rsid w:val="00C939C2"/>
    <w:rsid w:val="00C94635"/>
    <w:rsid w:val="00C9475F"/>
    <w:rsid w:val="00C95D91"/>
    <w:rsid w:val="00C95F7F"/>
    <w:rsid w:val="00C96716"/>
    <w:rsid w:val="00C96DBD"/>
    <w:rsid w:val="00C97714"/>
    <w:rsid w:val="00C978A9"/>
    <w:rsid w:val="00CA061E"/>
    <w:rsid w:val="00CA0F72"/>
    <w:rsid w:val="00CA1066"/>
    <w:rsid w:val="00CA1872"/>
    <w:rsid w:val="00CA1BC2"/>
    <w:rsid w:val="00CA1BF5"/>
    <w:rsid w:val="00CA1D1C"/>
    <w:rsid w:val="00CA1DC4"/>
    <w:rsid w:val="00CA1EEE"/>
    <w:rsid w:val="00CA238E"/>
    <w:rsid w:val="00CA238F"/>
    <w:rsid w:val="00CA2570"/>
    <w:rsid w:val="00CA2A07"/>
    <w:rsid w:val="00CA2B2B"/>
    <w:rsid w:val="00CA303E"/>
    <w:rsid w:val="00CA340B"/>
    <w:rsid w:val="00CA3A77"/>
    <w:rsid w:val="00CA3C13"/>
    <w:rsid w:val="00CA41BC"/>
    <w:rsid w:val="00CA44C2"/>
    <w:rsid w:val="00CA46F7"/>
    <w:rsid w:val="00CA4783"/>
    <w:rsid w:val="00CA4982"/>
    <w:rsid w:val="00CA49B3"/>
    <w:rsid w:val="00CA4DFE"/>
    <w:rsid w:val="00CA5679"/>
    <w:rsid w:val="00CA5BC2"/>
    <w:rsid w:val="00CA619C"/>
    <w:rsid w:val="00CA66AC"/>
    <w:rsid w:val="00CA694D"/>
    <w:rsid w:val="00CA6AEB"/>
    <w:rsid w:val="00CA6B8C"/>
    <w:rsid w:val="00CA70DD"/>
    <w:rsid w:val="00CA7132"/>
    <w:rsid w:val="00CA7BA8"/>
    <w:rsid w:val="00CA7F96"/>
    <w:rsid w:val="00CB01F2"/>
    <w:rsid w:val="00CB0350"/>
    <w:rsid w:val="00CB0517"/>
    <w:rsid w:val="00CB07AE"/>
    <w:rsid w:val="00CB0F05"/>
    <w:rsid w:val="00CB143D"/>
    <w:rsid w:val="00CB19D6"/>
    <w:rsid w:val="00CB1BB5"/>
    <w:rsid w:val="00CB1C90"/>
    <w:rsid w:val="00CB1E3B"/>
    <w:rsid w:val="00CB2391"/>
    <w:rsid w:val="00CB23E3"/>
    <w:rsid w:val="00CB24BC"/>
    <w:rsid w:val="00CB2593"/>
    <w:rsid w:val="00CB2A9F"/>
    <w:rsid w:val="00CB30D9"/>
    <w:rsid w:val="00CB359B"/>
    <w:rsid w:val="00CB393B"/>
    <w:rsid w:val="00CB3B14"/>
    <w:rsid w:val="00CB3B72"/>
    <w:rsid w:val="00CB4104"/>
    <w:rsid w:val="00CB43D0"/>
    <w:rsid w:val="00CB4793"/>
    <w:rsid w:val="00CB4C11"/>
    <w:rsid w:val="00CB502C"/>
    <w:rsid w:val="00CB5225"/>
    <w:rsid w:val="00CB59B5"/>
    <w:rsid w:val="00CB610E"/>
    <w:rsid w:val="00CB64BF"/>
    <w:rsid w:val="00CB66F8"/>
    <w:rsid w:val="00CB6FBB"/>
    <w:rsid w:val="00CB72C7"/>
    <w:rsid w:val="00CB7340"/>
    <w:rsid w:val="00CB7341"/>
    <w:rsid w:val="00CB75BE"/>
    <w:rsid w:val="00CB76FD"/>
    <w:rsid w:val="00CB7B7F"/>
    <w:rsid w:val="00CC026C"/>
    <w:rsid w:val="00CC02A8"/>
    <w:rsid w:val="00CC04B6"/>
    <w:rsid w:val="00CC0585"/>
    <w:rsid w:val="00CC0767"/>
    <w:rsid w:val="00CC0A19"/>
    <w:rsid w:val="00CC0CDD"/>
    <w:rsid w:val="00CC0D1B"/>
    <w:rsid w:val="00CC0E73"/>
    <w:rsid w:val="00CC0F83"/>
    <w:rsid w:val="00CC1109"/>
    <w:rsid w:val="00CC1208"/>
    <w:rsid w:val="00CC1433"/>
    <w:rsid w:val="00CC1943"/>
    <w:rsid w:val="00CC19BD"/>
    <w:rsid w:val="00CC1B7B"/>
    <w:rsid w:val="00CC1BFA"/>
    <w:rsid w:val="00CC1ECA"/>
    <w:rsid w:val="00CC2155"/>
    <w:rsid w:val="00CC21FF"/>
    <w:rsid w:val="00CC22AE"/>
    <w:rsid w:val="00CC26C1"/>
    <w:rsid w:val="00CC29A9"/>
    <w:rsid w:val="00CC2E85"/>
    <w:rsid w:val="00CC34F7"/>
    <w:rsid w:val="00CC3F89"/>
    <w:rsid w:val="00CC3FAD"/>
    <w:rsid w:val="00CC404B"/>
    <w:rsid w:val="00CC4061"/>
    <w:rsid w:val="00CC4407"/>
    <w:rsid w:val="00CC472A"/>
    <w:rsid w:val="00CC49E1"/>
    <w:rsid w:val="00CC4CEB"/>
    <w:rsid w:val="00CC4D8D"/>
    <w:rsid w:val="00CC4E5A"/>
    <w:rsid w:val="00CC53E7"/>
    <w:rsid w:val="00CC5704"/>
    <w:rsid w:val="00CC5973"/>
    <w:rsid w:val="00CC5AA4"/>
    <w:rsid w:val="00CC5B3E"/>
    <w:rsid w:val="00CC5BD8"/>
    <w:rsid w:val="00CC625B"/>
    <w:rsid w:val="00CC64FF"/>
    <w:rsid w:val="00CC6AEC"/>
    <w:rsid w:val="00CC70DF"/>
    <w:rsid w:val="00CC711F"/>
    <w:rsid w:val="00CC7348"/>
    <w:rsid w:val="00CC7732"/>
    <w:rsid w:val="00CC7979"/>
    <w:rsid w:val="00CC797B"/>
    <w:rsid w:val="00CC79E0"/>
    <w:rsid w:val="00CC7E84"/>
    <w:rsid w:val="00CD02FC"/>
    <w:rsid w:val="00CD0758"/>
    <w:rsid w:val="00CD0772"/>
    <w:rsid w:val="00CD0F40"/>
    <w:rsid w:val="00CD120E"/>
    <w:rsid w:val="00CD1302"/>
    <w:rsid w:val="00CD15EC"/>
    <w:rsid w:val="00CD1651"/>
    <w:rsid w:val="00CD1739"/>
    <w:rsid w:val="00CD18AF"/>
    <w:rsid w:val="00CD1AC7"/>
    <w:rsid w:val="00CD1E16"/>
    <w:rsid w:val="00CD2222"/>
    <w:rsid w:val="00CD2C70"/>
    <w:rsid w:val="00CD304C"/>
    <w:rsid w:val="00CD3081"/>
    <w:rsid w:val="00CD310A"/>
    <w:rsid w:val="00CD31C6"/>
    <w:rsid w:val="00CD3490"/>
    <w:rsid w:val="00CD356D"/>
    <w:rsid w:val="00CD3987"/>
    <w:rsid w:val="00CD3AB7"/>
    <w:rsid w:val="00CD3CC5"/>
    <w:rsid w:val="00CD4083"/>
    <w:rsid w:val="00CD4113"/>
    <w:rsid w:val="00CD41EF"/>
    <w:rsid w:val="00CD4761"/>
    <w:rsid w:val="00CD4D5C"/>
    <w:rsid w:val="00CD52B8"/>
    <w:rsid w:val="00CD5A02"/>
    <w:rsid w:val="00CD63DA"/>
    <w:rsid w:val="00CD64B2"/>
    <w:rsid w:val="00CD67B8"/>
    <w:rsid w:val="00CD686C"/>
    <w:rsid w:val="00CD687D"/>
    <w:rsid w:val="00CD7238"/>
    <w:rsid w:val="00CD727F"/>
    <w:rsid w:val="00CD7293"/>
    <w:rsid w:val="00CD72CA"/>
    <w:rsid w:val="00CD7669"/>
    <w:rsid w:val="00CD7912"/>
    <w:rsid w:val="00CD7DA0"/>
    <w:rsid w:val="00CD7F2A"/>
    <w:rsid w:val="00CE007F"/>
    <w:rsid w:val="00CE04AD"/>
    <w:rsid w:val="00CE0703"/>
    <w:rsid w:val="00CE0758"/>
    <w:rsid w:val="00CE076B"/>
    <w:rsid w:val="00CE08E2"/>
    <w:rsid w:val="00CE0C43"/>
    <w:rsid w:val="00CE0E0B"/>
    <w:rsid w:val="00CE0ED1"/>
    <w:rsid w:val="00CE11B5"/>
    <w:rsid w:val="00CE1210"/>
    <w:rsid w:val="00CE1562"/>
    <w:rsid w:val="00CE1574"/>
    <w:rsid w:val="00CE15E2"/>
    <w:rsid w:val="00CE15FF"/>
    <w:rsid w:val="00CE1B78"/>
    <w:rsid w:val="00CE1D43"/>
    <w:rsid w:val="00CE2415"/>
    <w:rsid w:val="00CE2780"/>
    <w:rsid w:val="00CE2863"/>
    <w:rsid w:val="00CE2916"/>
    <w:rsid w:val="00CE2E18"/>
    <w:rsid w:val="00CE3296"/>
    <w:rsid w:val="00CE345D"/>
    <w:rsid w:val="00CE346A"/>
    <w:rsid w:val="00CE3501"/>
    <w:rsid w:val="00CE36CB"/>
    <w:rsid w:val="00CE456E"/>
    <w:rsid w:val="00CE5302"/>
    <w:rsid w:val="00CE573B"/>
    <w:rsid w:val="00CE587F"/>
    <w:rsid w:val="00CE58A0"/>
    <w:rsid w:val="00CE61F8"/>
    <w:rsid w:val="00CE647B"/>
    <w:rsid w:val="00CE6867"/>
    <w:rsid w:val="00CE6DB5"/>
    <w:rsid w:val="00CE743D"/>
    <w:rsid w:val="00CE7973"/>
    <w:rsid w:val="00CE797B"/>
    <w:rsid w:val="00CE7D32"/>
    <w:rsid w:val="00CE7D91"/>
    <w:rsid w:val="00CE7F39"/>
    <w:rsid w:val="00CF0099"/>
    <w:rsid w:val="00CF01E1"/>
    <w:rsid w:val="00CF0258"/>
    <w:rsid w:val="00CF0375"/>
    <w:rsid w:val="00CF0807"/>
    <w:rsid w:val="00CF0954"/>
    <w:rsid w:val="00CF0A64"/>
    <w:rsid w:val="00CF0FFA"/>
    <w:rsid w:val="00CF1439"/>
    <w:rsid w:val="00CF1513"/>
    <w:rsid w:val="00CF1731"/>
    <w:rsid w:val="00CF17D7"/>
    <w:rsid w:val="00CF1E36"/>
    <w:rsid w:val="00CF21D0"/>
    <w:rsid w:val="00CF241B"/>
    <w:rsid w:val="00CF27B3"/>
    <w:rsid w:val="00CF2F27"/>
    <w:rsid w:val="00CF369C"/>
    <w:rsid w:val="00CF379C"/>
    <w:rsid w:val="00CF3CE2"/>
    <w:rsid w:val="00CF3E18"/>
    <w:rsid w:val="00CF3EB2"/>
    <w:rsid w:val="00CF408C"/>
    <w:rsid w:val="00CF4402"/>
    <w:rsid w:val="00CF4867"/>
    <w:rsid w:val="00CF4A08"/>
    <w:rsid w:val="00CF4B22"/>
    <w:rsid w:val="00CF4C7F"/>
    <w:rsid w:val="00CF4FB4"/>
    <w:rsid w:val="00CF505B"/>
    <w:rsid w:val="00CF5956"/>
    <w:rsid w:val="00CF5ABB"/>
    <w:rsid w:val="00CF5AF7"/>
    <w:rsid w:val="00CF5DA5"/>
    <w:rsid w:val="00CF6128"/>
    <w:rsid w:val="00CF633C"/>
    <w:rsid w:val="00CF663D"/>
    <w:rsid w:val="00CF671A"/>
    <w:rsid w:val="00CF67C2"/>
    <w:rsid w:val="00CF6C1D"/>
    <w:rsid w:val="00CF70E7"/>
    <w:rsid w:val="00CF722D"/>
    <w:rsid w:val="00CF7241"/>
    <w:rsid w:val="00CF79C3"/>
    <w:rsid w:val="00CF7B4E"/>
    <w:rsid w:val="00CF7D46"/>
    <w:rsid w:val="00CF7DB1"/>
    <w:rsid w:val="00CF7EE9"/>
    <w:rsid w:val="00D00149"/>
    <w:rsid w:val="00D00611"/>
    <w:rsid w:val="00D00736"/>
    <w:rsid w:val="00D008E2"/>
    <w:rsid w:val="00D00D5C"/>
    <w:rsid w:val="00D00DFF"/>
    <w:rsid w:val="00D01397"/>
    <w:rsid w:val="00D01ABB"/>
    <w:rsid w:val="00D01AC3"/>
    <w:rsid w:val="00D01DF8"/>
    <w:rsid w:val="00D01FD8"/>
    <w:rsid w:val="00D01FE1"/>
    <w:rsid w:val="00D020E1"/>
    <w:rsid w:val="00D02142"/>
    <w:rsid w:val="00D022A5"/>
    <w:rsid w:val="00D0246D"/>
    <w:rsid w:val="00D024E1"/>
    <w:rsid w:val="00D024FA"/>
    <w:rsid w:val="00D0314D"/>
    <w:rsid w:val="00D03315"/>
    <w:rsid w:val="00D03693"/>
    <w:rsid w:val="00D03829"/>
    <w:rsid w:val="00D03CE1"/>
    <w:rsid w:val="00D03F33"/>
    <w:rsid w:val="00D0406C"/>
    <w:rsid w:val="00D0424C"/>
    <w:rsid w:val="00D04453"/>
    <w:rsid w:val="00D04D9E"/>
    <w:rsid w:val="00D05120"/>
    <w:rsid w:val="00D0547F"/>
    <w:rsid w:val="00D05570"/>
    <w:rsid w:val="00D058B2"/>
    <w:rsid w:val="00D05B73"/>
    <w:rsid w:val="00D062D3"/>
    <w:rsid w:val="00D06506"/>
    <w:rsid w:val="00D06A2A"/>
    <w:rsid w:val="00D06BCA"/>
    <w:rsid w:val="00D06C89"/>
    <w:rsid w:val="00D06E59"/>
    <w:rsid w:val="00D06FCF"/>
    <w:rsid w:val="00D072D0"/>
    <w:rsid w:val="00D0753E"/>
    <w:rsid w:val="00D1036E"/>
    <w:rsid w:val="00D10382"/>
    <w:rsid w:val="00D104D1"/>
    <w:rsid w:val="00D10584"/>
    <w:rsid w:val="00D10652"/>
    <w:rsid w:val="00D1074D"/>
    <w:rsid w:val="00D10972"/>
    <w:rsid w:val="00D10E2D"/>
    <w:rsid w:val="00D1114E"/>
    <w:rsid w:val="00D1162D"/>
    <w:rsid w:val="00D11895"/>
    <w:rsid w:val="00D11CE7"/>
    <w:rsid w:val="00D11DB5"/>
    <w:rsid w:val="00D11FE9"/>
    <w:rsid w:val="00D120D7"/>
    <w:rsid w:val="00D126FE"/>
    <w:rsid w:val="00D12993"/>
    <w:rsid w:val="00D12A32"/>
    <w:rsid w:val="00D12D3A"/>
    <w:rsid w:val="00D12DED"/>
    <w:rsid w:val="00D12E7F"/>
    <w:rsid w:val="00D131B9"/>
    <w:rsid w:val="00D13400"/>
    <w:rsid w:val="00D13673"/>
    <w:rsid w:val="00D136A7"/>
    <w:rsid w:val="00D1381E"/>
    <w:rsid w:val="00D13A9E"/>
    <w:rsid w:val="00D13B0D"/>
    <w:rsid w:val="00D13D8A"/>
    <w:rsid w:val="00D14288"/>
    <w:rsid w:val="00D145CA"/>
    <w:rsid w:val="00D150E5"/>
    <w:rsid w:val="00D15360"/>
    <w:rsid w:val="00D15EFD"/>
    <w:rsid w:val="00D165E6"/>
    <w:rsid w:val="00D16A0E"/>
    <w:rsid w:val="00D16D18"/>
    <w:rsid w:val="00D16E63"/>
    <w:rsid w:val="00D1748F"/>
    <w:rsid w:val="00D179F5"/>
    <w:rsid w:val="00D17B2C"/>
    <w:rsid w:val="00D17DE2"/>
    <w:rsid w:val="00D17E09"/>
    <w:rsid w:val="00D17EE7"/>
    <w:rsid w:val="00D20691"/>
    <w:rsid w:val="00D208BF"/>
    <w:rsid w:val="00D20BCF"/>
    <w:rsid w:val="00D21547"/>
    <w:rsid w:val="00D21A37"/>
    <w:rsid w:val="00D21DAF"/>
    <w:rsid w:val="00D21E42"/>
    <w:rsid w:val="00D21F66"/>
    <w:rsid w:val="00D2205B"/>
    <w:rsid w:val="00D223B0"/>
    <w:rsid w:val="00D224A7"/>
    <w:rsid w:val="00D2285C"/>
    <w:rsid w:val="00D22BC8"/>
    <w:rsid w:val="00D22CA7"/>
    <w:rsid w:val="00D23405"/>
    <w:rsid w:val="00D235E6"/>
    <w:rsid w:val="00D23646"/>
    <w:rsid w:val="00D2399A"/>
    <w:rsid w:val="00D23AD7"/>
    <w:rsid w:val="00D24176"/>
    <w:rsid w:val="00D24824"/>
    <w:rsid w:val="00D2496D"/>
    <w:rsid w:val="00D24AD2"/>
    <w:rsid w:val="00D24CC5"/>
    <w:rsid w:val="00D24DC9"/>
    <w:rsid w:val="00D24E0F"/>
    <w:rsid w:val="00D24E91"/>
    <w:rsid w:val="00D252A9"/>
    <w:rsid w:val="00D252AA"/>
    <w:rsid w:val="00D257DA"/>
    <w:rsid w:val="00D258D7"/>
    <w:rsid w:val="00D25AAC"/>
    <w:rsid w:val="00D25B1E"/>
    <w:rsid w:val="00D25E66"/>
    <w:rsid w:val="00D25EBF"/>
    <w:rsid w:val="00D26029"/>
    <w:rsid w:val="00D2615E"/>
    <w:rsid w:val="00D2656C"/>
    <w:rsid w:val="00D26FB6"/>
    <w:rsid w:val="00D27439"/>
    <w:rsid w:val="00D275B4"/>
    <w:rsid w:val="00D279C3"/>
    <w:rsid w:val="00D27FC1"/>
    <w:rsid w:val="00D30065"/>
    <w:rsid w:val="00D3044C"/>
    <w:rsid w:val="00D308DE"/>
    <w:rsid w:val="00D30964"/>
    <w:rsid w:val="00D30BF5"/>
    <w:rsid w:val="00D30C1F"/>
    <w:rsid w:val="00D316E7"/>
    <w:rsid w:val="00D317FB"/>
    <w:rsid w:val="00D319B0"/>
    <w:rsid w:val="00D31ABD"/>
    <w:rsid w:val="00D3212B"/>
    <w:rsid w:val="00D323E2"/>
    <w:rsid w:val="00D32645"/>
    <w:rsid w:val="00D3270F"/>
    <w:rsid w:val="00D32801"/>
    <w:rsid w:val="00D32A85"/>
    <w:rsid w:val="00D32E8A"/>
    <w:rsid w:val="00D32FAD"/>
    <w:rsid w:val="00D3309F"/>
    <w:rsid w:val="00D33331"/>
    <w:rsid w:val="00D333E0"/>
    <w:rsid w:val="00D334F7"/>
    <w:rsid w:val="00D33649"/>
    <w:rsid w:val="00D33692"/>
    <w:rsid w:val="00D339F4"/>
    <w:rsid w:val="00D33CDD"/>
    <w:rsid w:val="00D33E2A"/>
    <w:rsid w:val="00D34043"/>
    <w:rsid w:val="00D34055"/>
    <w:rsid w:val="00D3414A"/>
    <w:rsid w:val="00D342AC"/>
    <w:rsid w:val="00D34535"/>
    <w:rsid w:val="00D34602"/>
    <w:rsid w:val="00D3479E"/>
    <w:rsid w:val="00D34C27"/>
    <w:rsid w:val="00D34CB6"/>
    <w:rsid w:val="00D34E5C"/>
    <w:rsid w:val="00D35033"/>
    <w:rsid w:val="00D350AB"/>
    <w:rsid w:val="00D35713"/>
    <w:rsid w:val="00D35B3B"/>
    <w:rsid w:val="00D35C17"/>
    <w:rsid w:val="00D35FD7"/>
    <w:rsid w:val="00D360FF"/>
    <w:rsid w:val="00D36156"/>
    <w:rsid w:val="00D363C3"/>
    <w:rsid w:val="00D3649D"/>
    <w:rsid w:val="00D3649F"/>
    <w:rsid w:val="00D365F6"/>
    <w:rsid w:val="00D36760"/>
    <w:rsid w:val="00D36894"/>
    <w:rsid w:val="00D36AEC"/>
    <w:rsid w:val="00D37270"/>
    <w:rsid w:val="00D37286"/>
    <w:rsid w:val="00D37892"/>
    <w:rsid w:val="00D37B8D"/>
    <w:rsid w:val="00D37E81"/>
    <w:rsid w:val="00D37EA0"/>
    <w:rsid w:val="00D4037A"/>
    <w:rsid w:val="00D40659"/>
    <w:rsid w:val="00D409E9"/>
    <w:rsid w:val="00D40A16"/>
    <w:rsid w:val="00D40A1C"/>
    <w:rsid w:val="00D40C1A"/>
    <w:rsid w:val="00D40C9D"/>
    <w:rsid w:val="00D40CD5"/>
    <w:rsid w:val="00D40E82"/>
    <w:rsid w:val="00D4100C"/>
    <w:rsid w:val="00D4124F"/>
    <w:rsid w:val="00D41ACE"/>
    <w:rsid w:val="00D41D61"/>
    <w:rsid w:val="00D41EFC"/>
    <w:rsid w:val="00D421E6"/>
    <w:rsid w:val="00D422D2"/>
    <w:rsid w:val="00D423A4"/>
    <w:rsid w:val="00D424E9"/>
    <w:rsid w:val="00D42A95"/>
    <w:rsid w:val="00D434D6"/>
    <w:rsid w:val="00D436B5"/>
    <w:rsid w:val="00D43A38"/>
    <w:rsid w:val="00D43B82"/>
    <w:rsid w:val="00D43C0B"/>
    <w:rsid w:val="00D43E78"/>
    <w:rsid w:val="00D44107"/>
    <w:rsid w:val="00D447DF"/>
    <w:rsid w:val="00D449AF"/>
    <w:rsid w:val="00D449B2"/>
    <w:rsid w:val="00D44B4B"/>
    <w:rsid w:val="00D4552C"/>
    <w:rsid w:val="00D456CB"/>
    <w:rsid w:val="00D45704"/>
    <w:rsid w:val="00D457D4"/>
    <w:rsid w:val="00D45AE4"/>
    <w:rsid w:val="00D45CD4"/>
    <w:rsid w:val="00D45E19"/>
    <w:rsid w:val="00D45E23"/>
    <w:rsid w:val="00D45E41"/>
    <w:rsid w:val="00D45EAF"/>
    <w:rsid w:val="00D4650C"/>
    <w:rsid w:val="00D465DD"/>
    <w:rsid w:val="00D46916"/>
    <w:rsid w:val="00D46EAC"/>
    <w:rsid w:val="00D47069"/>
    <w:rsid w:val="00D4732A"/>
    <w:rsid w:val="00D4749D"/>
    <w:rsid w:val="00D474CB"/>
    <w:rsid w:val="00D47534"/>
    <w:rsid w:val="00D475C1"/>
    <w:rsid w:val="00D476A4"/>
    <w:rsid w:val="00D4789E"/>
    <w:rsid w:val="00D47DF9"/>
    <w:rsid w:val="00D47E14"/>
    <w:rsid w:val="00D5001B"/>
    <w:rsid w:val="00D5010C"/>
    <w:rsid w:val="00D5013E"/>
    <w:rsid w:val="00D507C6"/>
    <w:rsid w:val="00D50D42"/>
    <w:rsid w:val="00D51155"/>
    <w:rsid w:val="00D517DA"/>
    <w:rsid w:val="00D51818"/>
    <w:rsid w:val="00D51995"/>
    <w:rsid w:val="00D51FDB"/>
    <w:rsid w:val="00D52A5C"/>
    <w:rsid w:val="00D52E6D"/>
    <w:rsid w:val="00D52FC6"/>
    <w:rsid w:val="00D53051"/>
    <w:rsid w:val="00D53239"/>
    <w:rsid w:val="00D5344D"/>
    <w:rsid w:val="00D5395D"/>
    <w:rsid w:val="00D53C88"/>
    <w:rsid w:val="00D53DF8"/>
    <w:rsid w:val="00D5415C"/>
    <w:rsid w:val="00D54546"/>
    <w:rsid w:val="00D54569"/>
    <w:rsid w:val="00D5488A"/>
    <w:rsid w:val="00D54B81"/>
    <w:rsid w:val="00D54CFE"/>
    <w:rsid w:val="00D55185"/>
    <w:rsid w:val="00D552FA"/>
    <w:rsid w:val="00D55404"/>
    <w:rsid w:val="00D55926"/>
    <w:rsid w:val="00D55F54"/>
    <w:rsid w:val="00D5642C"/>
    <w:rsid w:val="00D57850"/>
    <w:rsid w:val="00D578CA"/>
    <w:rsid w:val="00D57A60"/>
    <w:rsid w:val="00D57DBB"/>
    <w:rsid w:val="00D607D9"/>
    <w:rsid w:val="00D60AE4"/>
    <w:rsid w:val="00D60B31"/>
    <w:rsid w:val="00D60CE6"/>
    <w:rsid w:val="00D60D5E"/>
    <w:rsid w:val="00D60ED3"/>
    <w:rsid w:val="00D60F18"/>
    <w:rsid w:val="00D61014"/>
    <w:rsid w:val="00D612A4"/>
    <w:rsid w:val="00D6148F"/>
    <w:rsid w:val="00D614D7"/>
    <w:rsid w:val="00D6155B"/>
    <w:rsid w:val="00D616A5"/>
    <w:rsid w:val="00D61A58"/>
    <w:rsid w:val="00D61C44"/>
    <w:rsid w:val="00D61D1F"/>
    <w:rsid w:val="00D61F63"/>
    <w:rsid w:val="00D61F91"/>
    <w:rsid w:val="00D62272"/>
    <w:rsid w:val="00D6234F"/>
    <w:rsid w:val="00D62545"/>
    <w:rsid w:val="00D6267E"/>
    <w:rsid w:val="00D626C2"/>
    <w:rsid w:val="00D62B60"/>
    <w:rsid w:val="00D62CC1"/>
    <w:rsid w:val="00D62DA8"/>
    <w:rsid w:val="00D635A9"/>
    <w:rsid w:val="00D63A8A"/>
    <w:rsid w:val="00D64155"/>
    <w:rsid w:val="00D64375"/>
    <w:rsid w:val="00D643A0"/>
    <w:rsid w:val="00D64807"/>
    <w:rsid w:val="00D649CE"/>
    <w:rsid w:val="00D64B3E"/>
    <w:rsid w:val="00D64BC1"/>
    <w:rsid w:val="00D64C3A"/>
    <w:rsid w:val="00D64FA7"/>
    <w:rsid w:val="00D64FF4"/>
    <w:rsid w:val="00D655F4"/>
    <w:rsid w:val="00D657B7"/>
    <w:rsid w:val="00D65A90"/>
    <w:rsid w:val="00D65AED"/>
    <w:rsid w:val="00D65B21"/>
    <w:rsid w:val="00D65C4A"/>
    <w:rsid w:val="00D65F2C"/>
    <w:rsid w:val="00D65FFE"/>
    <w:rsid w:val="00D66007"/>
    <w:rsid w:val="00D66019"/>
    <w:rsid w:val="00D6631A"/>
    <w:rsid w:val="00D663AB"/>
    <w:rsid w:val="00D66983"/>
    <w:rsid w:val="00D66B18"/>
    <w:rsid w:val="00D66C04"/>
    <w:rsid w:val="00D66E01"/>
    <w:rsid w:val="00D66EC2"/>
    <w:rsid w:val="00D6708E"/>
    <w:rsid w:val="00D67147"/>
    <w:rsid w:val="00D67534"/>
    <w:rsid w:val="00D675C2"/>
    <w:rsid w:val="00D6762D"/>
    <w:rsid w:val="00D67720"/>
    <w:rsid w:val="00D67B00"/>
    <w:rsid w:val="00D67B5B"/>
    <w:rsid w:val="00D67D9C"/>
    <w:rsid w:val="00D7030D"/>
    <w:rsid w:val="00D70AD1"/>
    <w:rsid w:val="00D70DB5"/>
    <w:rsid w:val="00D70F88"/>
    <w:rsid w:val="00D71263"/>
    <w:rsid w:val="00D713B1"/>
    <w:rsid w:val="00D7149B"/>
    <w:rsid w:val="00D71A79"/>
    <w:rsid w:val="00D71DE0"/>
    <w:rsid w:val="00D71FBC"/>
    <w:rsid w:val="00D725A1"/>
    <w:rsid w:val="00D72779"/>
    <w:rsid w:val="00D728BF"/>
    <w:rsid w:val="00D72D08"/>
    <w:rsid w:val="00D730FF"/>
    <w:rsid w:val="00D735EB"/>
    <w:rsid w:val="00D7365D"/>
    <w:rsid w:val="00D736A9"/>
    <w:rsid w:val="00D73C41"/>
    <w:rsid w:val="00D73F3A"/>
    <w:rsid w:val="00D740F4"/>
    <w:rsid w:val="00D744D9"/>
    <w:rsid w:val="00D7455F"/>
    <w:rsid w:val="00D7460A"/>
    <w:rsid w:val="00D74B7C"/>
    <w:rsid w:val="00D74CA8"/>
    <w:rsid w:val="00D7500B"/>
    <w:rsid w:val="00D75458"/>
    <w:rsid w:val="00D75552"/>
    <w:rsid w:val="00D75789"/>
    <w:rsid w:val="00D75C18"/>
    <w:rsid w:val="00D75C22"/>
    <w:rsid w:val="00D75E21"/>
    <w:rsid w:val="00D75E81"/>
    <w:rsid w:val="00D76063"/>
    <w:rsid w:val="00D7623F"/>
    <w:rsid w:val="00D76412"/>
    <w:rsid w:val="00D76452"/>
    <w:rsid w:val="00D769B7"/>
    <w:rsid w:val="00D76B8C"/>
    <w:rsid w:val="00D76D5B"/>
    <w:rsid w:val="00D76E1A"/>
    <w:rsid w:val="00D771C0"/>
    <w:rsid w:val="00D773B0"/>
    <w:rsid w:val="00D77767"/>
    <w:rsid w:val="00D77AE5"/>
    <w:rsid w:val="00D77C9C"/>
    <w:rsid w:val="00D800A5"/>
    <w:rsid w:val="00D80191"/>
    <w:rsid w:val="00D80218"/>
    <w:rsid w:val="00D80376"/>
    <w:rsid w:val="00D80528"/>
    <w:rsid w:val="00D808E2"/>
    <w:rsid w:val="00D80953"/>
    <w:rsid w:val="00D80F5B"/>
    <w:rsid w:val="00D80F8C"/>
    <w:rsid w:val="00D8126A"/>
    <w:rsid w:val="00D81485"/>
    <w:rsid w:val="00D819C6"/>
    <w:rsid w:val="00D81D10"/>
    <w:rsid w:val="00D81ECD"/>
    <w:rsid w:val="00D82809"/>
    <w:rsid w:val="00D829D9"/>
    <w:rsid w:val="00D82A54"/>
    <w:rsid w:val="00D82D30"/>
    <w:rsid w:val="00D82E09"/>
    <w:rsid w:val="00D832ED"/>
    <w:rsid w:val="00D8333A"/>
    <w:rsid w:val="00D83737"/>
    <w:rsid w:val="00D83BE5"/>
    <w:rsid w:val="00D83CA0"/>
    <w:rsid w:val="00D83F08"/>
    <w:rsid w:val="00D83FD4"/>
    <w:rsid w:val="00D84349"/>
    <w:rsid w:val="00D84729"/>
    <w:rsid w:val="00D84B20"/>
    <w:rsid w:val="00D84D13"/>
    <w:rsid w:val="00D85065"/>
    <w:rsid w:val="00D852F4"/>
    <w:rsid w:val="00D85AA0"/>
    <w:rsid w:val="00D85B9C"/>
    <w:rsid w:val="00D85F43"/>
    <w:rsid w:val="00D864A0"/>
    <w:rsid w:val="00D86583"/>
    <w:rsid w:val="00D86633"/>
    <w:rsid w:val="00D866BA"/>
    <w:rsid w:val="00D86933"/>
    <w:rsid w:val="00D86DD9"/>
    <w:rsid w:val="00D86E35"/>
    <w:rsid w:val="00D87157"/>
    <w:rsid w:val="00D872F2"/>
    <w:rsid w:val="00D87529"/>
    <w:rsid w:val="00D87614"/>
    <w:rsid w:val="00D903E2"/>
    <w:rsid w:val="00D90661"/>
    <w:rsid w:val="00D90683"/>
    <w:rsid w:val="00D906AD"/>
    <w:rsid w:val="00D90F74"/>
    <w:rsid w:val="00D911D3"/>
    <w:rsid w:val="00D9164A"/>
    <w:rsid w:val="00D91D48"/>
    <w:rsid w:val="00D91DAF"/>
    <w:rsid w:val="00D920CE"/>
    <w:rsid w:val="00D921F1"/>
    <w:rsid w:val="00D92442"/>
    <w:rsid w:val="00D92A35"/>
    <w:rsid w:val="00D92EFC"/>
    <w:rsid w:val="00D9300A"/>
    <w:rsid w:val="00D93134"/>
    <w:rsid w:val="00D9318F"/>
    <w:rsid w:val="00D93374"/>
    <w:rsid w:val="00D93719"/>
    <w:rsid w:val="00D93831"/>
    <w:rsid w:val="00D938E1"/>
    <w:rsid w:val="00D93A23"/>
    <w:rsid w:val="00D93A36"/>
    <w:rsid w:val="00D93B0C"/>
    <w:rsid w:val="00D93EDD"/>
    <w:rsid w:val="00D942E1"/>
    <w:rsid w:val="00D94817"/>
    <w:rsid w:val="00D94DC8"/>
    <w:rsid w:val="00D94F06"/>
    <w:rsid w:val="00D950AC"/>
    <w:rsid w:val="00D955C9"/>
    <w:rsid w:val="00D95939"/>
    <w:rsid w:val="00D95AFC"/>
    <w:rsid w:val="00D9601B"/>
    <w:rsid w:val="00D9602A"/>
    <w:rsid w:val="00D965F1"/>
    <w:rsid w:val="00D96D10"/>
    <w:rsid w:val="00D96D2E"/>
    <w:rsid w:val="00D96ECB"/>
    <w:rsid w:val="00D97170"/>
    <w:rsid w:val="00D97644"/>
    <w:rsid w:val="00D97AE2"/>
    <w:rsid w:val="00D97D8E"/>
    <w:rsid w:val="00D97E99"/>
    <w:rsid w:val="00D97EB9"/>
    <w:rsid w:val="00DA03BD"/>
    <w:rsid w:val="00DA03F8"/>
    <w:rsid w:val="00DA09E5"/>
    <w:rsid w:val="00DA0B39"/>
    <w:rsid w:val="00DA0C23"/>
    <w:rsid w:val="00DA11D6"/>
    <w:rsid w:val="00DA12D3"/>
    <w:rsid w:val="00DA17DC"/>
    <w:rsid w:val="00DA1DD1"/>
    <w:rsid w:val="00DA2034"/>
    <w:rsid w:val="00DA22E8"/>
    <w:rsid w:val="00DA2737"/>
    <w:rsid w:val="00DA2882"/>
    <w:rsid w:val="00DA2D60"/>
    <w:rsid w:val="00DA30EC"/>
    <w:rsid w:val="00DA334E"/>
    <w:rsid w:val="00DA3353"/>
    <w:rsid w:val="00DA3444"/>
    <w:rsid w:val="00DA3915"/>
    <w:rsid w:val="00DA3B52"/>
    <w:rsid w:val="00DA3BDD"/>
    <w:rsid w:val="00DA3EA9"/>
    <w:rsid w:val="00DA411B"/>
    <w:rsid w:val="00DA4235"/>
    <w:rsid w:val="00DA431B"/>
    <w:rsid w:val="00DA44B8"/>
    <w:rsid w:val="00DA4892"/>
    <w:rsid w:val="00DA4A25"/>
    <w:rsid w:val="00DA4ED7"/>
    <w:rsid w:val="00DA5360"/>
    <w:rsid w:val="00DA54A4"/>
    <w:rsid w:val="00DA5871"/>
    <w:rsid w:val="00DA5B5F"/>
    <w:rsid w:val="00DA5EE5"/>
    <w:rsid w:val="00DA62FB"/>
    <w:rsid w:val="00DA63F8"/>
    <w:rsid w:val="00DA6A01"/>
    <w:rsid w:val="00DA6C5B"/>
    <w:rsid w:val="00DA6D1C"/>
    <w:rsid w:val="00DA75D9"/>
    <w:rsid w:val="00DA76B0"/>
    <w:rsid w:val="00DA772C"/>
    <w:rsid w:val="00DA77D8"/>
    <w:rsid w:val="00DA7CA7"/>
    <w:rsid w:val="00DA7CB7"/>
    <w:rsid w:val="00DA7E3F"/>
    <w:rsid w:val="00DB008A"/>
    <w:rsid w:val="00DB0100"/>
    <w:rsid w:val="00DB0372"/>
    <w:rsid w:val="00DB06A5"/>
    <w:rsid w:val="00DB07C1"/>
    <w:rsid w:val="00DB096C"/>
    <w:rsid w:val="00DB0B6A"/>
    <w:rsid w:val="00DB0CC2"/>
    <w:rsid w:val="00DB0D7B"/>
    <w:rsid w:val="00DB1883"/>
    <w:rsid w:val="00DB1B54"/>
    <w:rsid w:val="00DB1B58"/>
    <w:rsid w:val="00DB1C99"/>
    <w:rsid w:val="00DB1FAF"/>
    <w:rsid w:val="00DB2057"/>
    <w:rsid w:val="00DB2294"/>
    <w:rsid w:val="00DB31B0"/>
    <w:rsid w:val="00DB3562"/>
    <w:rsid w:val="00DB3CE8"/>
    <w:rsid w:val="00DB3DA4"/>
    <w:rsid w:val="00DB40E0"/>
    <w:rsid w:val="00DB4137"/>
    <w:rsid w:val="00DB4443"/>
    <w:rsid w:val="00DB475C"/>
    <w:rsid w:val="00DB4848"/>
    <w:rsid w:val="00DB49F8"/>
    <w:rsid w:val="00DB504E"/>
    <w:rsid w:val="00DB53BC"/>
    <w:rsid w:val="00DB5C38"/>
    <w:rsid w:val="00DB6076"/>
    <w:rsid w:val="00DB62EF"/>
    <w:rsid w:val="00DB66FA"/>
    <w:rsid w:val="00DB679F"/>
    <w:rsid w:val="00DB67DF"/>
    <w:rsid w:val="00DB6CDE"/>
    <w:rsid w:val="00DB6D01"/>
    <w:rsid w:val="00DB6ED8"/>
    <w:rsid w:val="00DB7882"/>
    <w:rsid w:val="00DB78B1"/>
    <w:rsid w:val="00DB7A5C"/>
    <w:rsid w:val="00DB7C8D"/>
    <w:rsid w:val="00DB7CF4"/>
    <w:rsid w:val="00DC0269"/>
    <w:rsid w:val="00DC02E9"/>
    <w:rsid w:val="00DC0565"/>
    <w:rsid w:val="00DC0709"/>
    <w:rsid w:val="00DC08B1"/>
    <w:rsid w:val="00DC0DEA"/>
    <w:rsid w:val="00DC0E3A"/>
    <w:rsid w:val="00DC10C1"/>
    <w:rsid w:val="00DC11AA"/>
    <w:rsid w:val="00DC12ED"/>
    <w:rsid w:val="00DC1648"/>
    <w:rsid w:val="00DC1680"/>
    <w:rsid w:val="00DC169C"/>
    <w:rsid w:val="00DC1883"/>
    <w:rsid w:val="00DC191B"/>
    <w:rsid w:val="00DC1AB1"/>
    <w:rsid w:val="00DC1C67"/>
    <w:rsid w:val="00DC1E39"/>
    <w:rsid w:val="00DC24EA"/>
    <w:rsid w:val="00DC2864"/>
    <w:rsid w:val="00DC286F"/>
    <w:rsid w:val="00DC28A2"/>
    <w:rsid w:val="00DC29E5"/>
    <w:rsid w:val="00DC2B35"/>
    <w:rsid w:val="00DC2D1F"/>
    <w:rsid w:val="00DC2FD3"/>
    <w:rsid w:val="00DC320C"/>
    <w:rsid w:val="00DC3C25"/>
    <w:rsid w:val="00DC44C9"/>
    <w:rsid w:val="00DC44D9"/>
    <w:rsid w:val="00DC4593"/>
    <w:rsid w:val="00DC46CF"/>
    <w:rsid w:val="00DC49D4"/>
    <w:rsid w:val="00DC4A66"/>
    <w:rsid w:val="00DC4CA1"/>
    <w:rsid w:val="00DC4F7F"/>
    <w:rsid w:val="00DC4FA5"/>
    <w:rsid w:val="00DC5320"/>
    <w:rsid w:val="00DC547C"/>
    <w:rsid w:val="00DC5A4A"/>
    <w:rsid w:val="00DC5A78"/>
    <w:rsid w:val="00DC6027"/>
    <w:rsid w:val="00DC6376"/>
    <w:rsid w:val="00DC63AE"/>
    <w:rsid w:val="00DC6B82"/>
    <w:rsid w:val="00DC6E1D"/>
    <w:rsid w:val="00DC6F00"/>
    <w:rsid w:val="00DC7271"/>
    <w:rsid w:val="00DC740B"/>
    <w:rsid w:val="00DC7BF0"/>
    <w:rsid w:val="00DC7C95"/>
    <w:rsid w:val="00DD01C6"/>
    <w:rsid w:val="00DD028A"/>
    <w:rsid w:val="00DD0788"/>
    <w:rsid w:val="00DD093A"/>
    <w:rsid w:val="00DD0CFC"/>
    <w:rsid w:val="00DD109F"/>
    <w:rsid w:val="00DD11FC"/>
    <w:rsid w:val="00DD12F1"/>
    <w:rsid w:val="00DD14A3"/>
    <w:rsid w:val="00DD18FA"/>
    <w:rsid w:val="00DD1FE2"/>
    <w:rsid w:val="00DD209A"/>
    <w:rsid w:val="00DD215E"/>
    <w:rsid w:val="00DD24BF"/>
    <w:rsid w:val="00DD27A2"/>
    <w:rsid w:val="00DD3073"/>
    <w:rsid w:val="00DD3184"/>
    <w:rsid w:val="00DD32AB"/>
    <w:rsid w:val="00DD345B"/>
    <w:rsid w:val="00DD3527"/>
    <w:rsid w:val="00DD3995"/>
    <w:rsid w:val="00DD44CE"/>
    <w:rsid w:val="00DD45FB"/>
    <w:rsid w:val="00DD4A00"/>
    <w:rsid w:val="00DD4DC9"/>
    <w:rsid w:val="00DD4F74"/>
    <w:rsid w:val="00DD53F0"/>
    <w:rsid w:val="00DD579E"/>
    <w:rsid w:val="00DD58B2"/>
    <w:rsid w:val="00DD6045"/>
    <w:rsid w:val="00DD6177"/>
    <w:rsid w:val="00DD66A2"/>
    <w:rsid w:val="00DD66D9"/>
    <w:rsid w:val="00DD6C95"/>
    <w:rsid w:val="00DD6FEB"/>
    <w:rsid w:val="00DD737F"/>
    <w:rsid w:val="00DD7680"/>
    <w:rsid w:val="00DD7814"/>
    <w:rsid w:val="00DE000E"/>
    <w:rsid w:val="00DE0380"/>
    <w:rsid w:val="00DE0C60"/>
    <w:rsid w:val="00DE0CF1"/>
    <w:rsid w:val="00DE0DA2"/>
    <w:rsid w:val="00DE0F3B"/>
    <w:rsid w:val="00DE0F6D"/>
    <w:rsid w:val="00DE109F"/>
    <w:rsid w:val="00DE1466"/>
    <w:rsid w:val="00DE1570"/>
    <w:rsid w:val="00DE1D67"/>
    <w:rsid w:val="00DE22E1"/>
    <w:rsid w:val="00DE25F5"/>
    <w:rsid w:val="00DE2AED"/>
    <w:rsid w:val="00DE2E9C"/>
    <w:rsid w:val="00DE2EAA"/>
    <w:rsid w:val="00DE2F28"/>
    <w:rsid w:val="00DE3432"/>
    <w:rsid w:val="00DE34E6"/>
    <w:rsid w:val="00DE39ED"/>
    <w:rsid w:val="00DE3A78"/>
    <w:rsid w:val="00DE4194"/>
    <w:rsid w:val="00DE439B"/>
    <w:rsid w:val="00DE44D9"/>
    <w:rsid w:val="00DE4AE1"/>
    <w:rsid w:val="00DE4B50"/>
    <w:rsid w:val="00DE4BDB"/>
    <w:rsid w:val="00DE4CE1"/>
    <w:rsid w:val="00DE4E78"/>
    <w:rsid w:val="00DE4F95"/>
    <w:rsid w:val="00DE52DC"/>
    <w:rsid w:val="00DE55DE"/>
    <w:rsid w:val="00DE5690"/>
    <w:rsid w:val="00DE579E"/>
    <w:rsid w:val="00DE59CE"/>
    <w:rsid w:val="00DE5BB3"/>
    <w:rsid w:val="00DE5E17"/>
    <w:rsid w:val="00DE61A6"/>
    <w:rsid w:val="00DE671F"/>
    <w:rsid w:val="00DE6864"/>
    <w:rsid w:val="00DE72EA"/>
    <w:rsid w:val="00DE75C5"/>
    <w:rsid w:val="00DE78F7"/>
    <w:rsid w:val="00DE79E0"/>
    <w:rsid w:val="00DE7B40"/>
    <w:rsid w:val="00DE7D91"/>
    <w:rsid w:val="00DE7F04"/>
    <w:rsid w:val="00DF0148"/>
    <w:rsid w:val="00DF021E"/>
    <w:rsid w:val="00DF04F8"/>
    <w:rsid w:val="00DF0760"/>
    <w:rsid w:val="00DF0E48"/>
    <w:rsid w:val="00DF122C"/>
    <w:rsid w:val="00DF147D"/>
    <w:rsid w:val="00DF171C"/>
    <w:rsid w:val="00DF189D"/>
    <w:rsid w:val="00DF2042"/>
    <w:rsid w:val="00DF2176"/>
    <w:rsid w:val="00DF22D4"/>
    <w:rsid w:val="00DF23F3"/>
    <w:rsid w:val="00DF2434"/>
    <w:rsid w:val="00DF2956"/>
    <w:rsid w:val="00DF2B12"/>
    <w:rsid w:val="00DF2C91"/>
    <w:rsid w:val="00DF31EF"/>
    <w:rsid w:val="00DF348C"/>
    <w:rsid w:val="00DF364B"/>
    <w:rsid w:val="00DF3A57"/>
    <w:rsid w:val="00DF3B35"/>
    <w:rsid w:val="00DF3BB1"/>
    <w:rsid w:val="00DF3CAE"/>
    <w:rsid w:val="00DF4028"/>
    <w:rsid w:val="00DF40D7"/>
    <w:rsid w:val="00DF423D"/>
    <w:rsid w:val="00DF4393"/>
    <w:rsid w:val="00DF4413"/>
    <w:rsid w:val="00DF48EF"/>
    <w:rsid w:val="00DF4CF2"/>
    <w:rsid w:val="00DF4FBB"/>
    <w:rsid w:val="00DF5555"/>
    <w:rsid w:val="00DF5D32"/>
    <w:rsid w:val="00DF6494"/>
    <w:rsid w:val="00DF6E35"/>
    <w:rsid w:val="00DF7038"/>
    <w:rsid w:val="00DF717D"/>
    <w:rsid w:val="00DF7448"/>
    <w:rsid w:val="00DF7569"/>
    <w:rsid w:val="00DF7678"/>
    <w:rsid w:val="00DF7709"/>
    <w:rsid w:val="00DF772B"/>
    <w:rsid w:val="00DF7754"/>
    <w:rsid w:val="00DF7AD0"/>
    <w:rsid w:val="00DF7C7B"/>
    <w:rsid w:val="00DF7FBB"/>
    <w:rsid w:val="00E000DB"/>
    <w:rsid w:val="00E00E7A"/>
    <w:rsid w:val="00E01013"/>
    <w:rsid w:val="00E0139C"/>
    <w:rsid w:val="00E01406"/>
    <w:rsid w:val="00E01728"/>
    <w:rsid w:val="00E0190F"/>
    <w:rsid w:val="00E02054"/>
    <w:rsid w:val="00E02177"/>
    <w:rsid w:val="00E023AD"/>
    <w:rsid w:val="00E02551"/>
    <w:rsid w:val="00E02EBB"/>
    <w:rsid w:val="00E02FFB"/>
    <w:rsid w:val="00E03062"/>
    <w:rsid w:val="00E030A7"/>
    <w:rsid w:val="00E03133"/>
    <w:rsid w:val="00E0349F"/>
    <w:rsid w:val="00E03518"/>
    <w:rsid w:val="00E0395B"/>
    <w:rsid w:val="00E03A2E"/>
    <w:rsid w:val="00E03E5D"/>
    <w:rsid w:val="00E0428D"/>
    <w:rsid w:val="00E04980"/>
    <w:rsid w:val="00E04A22"/>
    <w:rsid w:val="00E0509D"/>
    <w:rsid w:val="00E05181"/>
    <w:rsid w:val="00E0539C"/>
    <w:rsid w:val="00E0555D"/>
    <w:rsid w:val="00E05729"/>
    <w:rsid w:val="00E05A81"/>
    <w:rsid w:val="00E05AE6"/>
    <w:rsid w:val="00E05BEE"/>
    <w:rsid w:val="00E05DB8"/>
    <w:rsid w:val="00E06339"/>
    <w:rsid w:val="00E06696"/>
    <w:rsid w:val="00E0669D"/>
    <w:rsid w:val="00E06983"/>
    <w:rsid w:val="00E06DC5"/>
    <w:rsid w:val="00E06DCD"/>
    <w:rsid w:val="00E06EBC"/>
    <w:rsid w:val="00E071CC"/>
    <w:rsid w:val="00E079FA"/>
    <w:rsid w:val="00E07C00"/>
    <w:rsid w:val="00E07D7E"/>
    <w:rsid w:val="00E10850"/>
    <w:rsid w:val="00E1095A"/>
    <w:rsid w:val="00E10AE3"/>
    <w:rsid w:val="00E10D4B"/>
    <w:rsid w:val="00E10DF1"/>
    <w:rsid w:val="00E10DF6"/>
    <w:rsid w:val="00E110D6"/>
    <w:rsid w:val="00E113C9"/>
    <w:rsid w:val="00E116CA"/>
    <w:rsid w:val="00E11EAD"/>
    <w:rsid w:val="00E1215F"/>
    <w:rsid w:val="00E12627"/>
    <w:rsid w:val="00E1274A"/>
    <w:rsid w:val="00E128C1"/>
    <w:rsid w:val="00E12A5E"/>
    <w:rsid w:val="00E12DC5"/>
    <w:rsid w:val="00E12FC1"/>
    <w:rsid w:val="00E13258"/>
    <w:rsid w:val="00E1343C"/>
    <w:rsid w:val="00E135FC"/>
    <w:rsid w:val="00E13E01"/>
    <w:rsid w:val="00E140CC"/>
    <w:rsid w:val="00E1414E"/>
    <w:rsid w:val="00E14171"/>
    <w:rsid w:val="00E14454"/>
    <w:rsid w:val="00E14EC7"/>
    <w:rsid w:val="00E14EEE"/>
    <w:rsid w:val="00E15073"/>
    <w:rsid w:val="00E1516C"/>
    <w:rsid w:val="00E1518F"/>
    <w:rsid w:val="00E15A8B"/>
    <w:rsid w:val="00E15C71"/>
    <w:rsid w:val="00E16057"/>
    <w:rsid w:val="00E16FEA"/>
    <w:rsid w:val="00E17500"/>
    <w:rsid w:val="00E17655"/>
    <w:rsid w:val="00E179BA"/>
    <w:rsid w:val="00E17A2B"/>
    <w:rsid w:val="00E17A98"/>
    <w:rsid w:val="00E17AB1"/>
    <w:rsid w:val="00E17B3B"/>
    <w:rsid w:val="00E17EB2"/>
    <w:rsid w:val="00E17EE9"/>
    <w:rsid w:val="00E17FE9"/>
    <w:rsid w:val="00E201F1"/>
    <w:rsid w:val="00E201F8"/>
    <w:rsid w:val="00E20A65"/>
    <w:rsid w:val="00E20B1A"/>
    <w:rsid w:val="00E20F68"/>
    <w:rsid w:val="00E2194F"/>
    <w:rsid w:val="00E22399"/>
    <w:rsid w:val="00E22441"/>
    <w:rsid w:val="00E224ED"/>
    <w:rsid w:val="00E2268E"/>
    <w:rsid w:val="00E22AD3"/>
    <w:rsid w:val="00E24251"/>
    <w:rsid w:val="00E24421"/>
    <w:rsid w:val="00E246B7"/>
    <w:rsid w:val="00E247C0"/>
    <w:rsid w:val="00E24B44"/>
    <w:rsid w:val="00E24B89"/>
    <w:rsid w:val="00E2517A"/>
    <w:rsid w:val="00E251E7"/>
    <w:rsid w:val="00E25521"/>
    <w:rsid w:val="00E25650"/>
    <w:rsid w:val="00E25DB2"/>
    <w:rsid w:val="00E25DF4"/>
    <w:rsid w:val="00E25F21"/>
    <w:rsid w:val="00E26088"/>
    <w:rsid w:val="00E2613D"/>
    <w:rsid w:val="00E26169"/>
    <w:rsid w:val="00E26262"/>
    <w:rsid w:val="00E267AB"/>
    <w:rsid w:val="00E268D4"/>
    <w:rsid w:val="00E26919"/>
    <w:rsid w:val="00E26CD6"/>
    <w:rsid w:val="00E26D04"/>
    <w:rsid w:val="00E26D82"/>
    <w:rsid w:val="00E27359"/>
    <w:rsid w:val="00E279EC"/>
    <w:rsid w:val="00E3041E"/>
    <w:rsid w:val="00E3047A"/>
    <w:rsid w:val="00E3074D"/>
    <w:rsid w:val="00E308EF"/>
    <w:rsid w:val="00E30E80"/>
    <w:rsid w:val="00E30F5B"/>
    <w:rsid w:val="00E311B7"/>
    <w:rsid w:val="00E31328"/>
    <w:rsid w:val="00E31445"/>
    <w:rsid w:val="00E315D3"/>
    <w:rsid w:val="00E31624"/>
    <w:rsid w:val="00E318FC"/>
    <w:rsid w:val="00E31D26"/>
    <w:rsid w:val="00E3213A"/>
    <w:rsid w:val="00E323C9"/>
    <w:rsid w:val="00E3267A"/>
    <w:rsid w:val="00E3283B"/>
    <w:rsid w:val="00E32E24"/>
    <w:rsid w:val="00E33101"/>
    <w:rsid w:val="00E3326C"/>
    <w:rsid w:val="00E3356B"/>
    <w:rsid w:val="00E3374B"/>
    <w:rsid w:val="00E33B45"/>
    <w:rsid w:val="00E33D49"/>
    <w:rsid w:val="00E33E74"/>
    <w:rsid w:val="00E34279"/>
    <w:rsid w:val="00E342D0"/>
    <w:rsid w:val="00E34AE2"/>
    <w:rsid w:val="00E34B1A"/>
    <w:rsid w:val="00E34D33"/>
    <w:rsid w:val="00E34DB8"/>
    <w:rsid w:val="00E34F08"/>
    <w:rsid w:val="00E34F28"/>
    <w:rsid w:val="00E3540C"/>
    <w:rsid w:val="00E3542C"/>
    <w:rsid w:val="00E354DA"/>
    <w:rsid w:val="00E361AE"/>
    <w:rsid w:val="00E368E5"/>
    <w:rsid w:val="00E3690F"/>
    <w:rsid w:val="00E36B89"/>
    <w:rsid w:val="00E36C21"/>
    <w:rsid w:val="00E36CAC"/>
    <w:rsid w:val="00E36D7E"/>
    <w:rsid w:val="00E36DCC"/>
    <w:rsid w:val="00E371C9"/>
    <w:rsid w:val="00E37370"/>
    <w:rsid w:val="00E3754E"/>
    <w:rsid w:val="00E3778A"/>
    <w:rsid w:val="00E3799F"/>
    <w:rsid w:val="00E37A30"/>
    <w:rsid w:val="00E37E87"/>
    <w:rsid w:val="00E37ECD"/>
    <w:rsid w:val="00E40571"/>
    <w:rsid w:val="00E4062D"/>
    <w:rsid w:val="00E40A9A"/>
    <w:rsid w:val="00E40ADF"/>
    <w:rsid w:val="00E40BD0"/>
    <w:rsid w:val="00E40DAB"/>
    <w:rsid w:val="00E40E5B"/>
    <w:rsid w:val="00E41008"/>
    <w:rsid w:val="00E4136C"/>
    <w:rsid w:val="00E41485"/>
    <w:rsid w:val="00E4164D"/>
    <w:rsid w:val="00E41832"/>
    <w:rsid w:val="00E41AA8"/>
    <w:rsid w:val="00E41D31"/>
    <w:rsid w:val="00E41D7A"/>
    <w:rsid w:val="00E42057"/>
    <w:rsid w:val="00E42058"/>
    <w:rsid w:val="00E423B0"/>
    <w:rsid w:val="00E425AF"/>
    <w:rsid w:val="00E425B2"/>
    <w:rsid w:val="00E425EC"/>
    <w:rsid w:val="00E42785"/>
    <w:rsid w:val="00E4292C"/>
    <w:rsid w:val="00E4294F"/>
    <w:rsid w:val="00E42A45"/>
    <w:rsid w:val="00E43110"/>
    <w:rsid w:val="00E43348"/>
    <w:rsid w:val="00E433F6"/>
    <w:rsid w:val="00E43727"/>
    <w:rsid w:val="00E438E1"/>
    <w:rsid w:val="00E43C4E"/>
    <w:rsid w:val="00E4409C"/>
    <w:rsid w:val="00E441A0"/>
    <w:rsid w:val="00E442CD"/>
    <w:rsid w:val="00E44751"/>
    <w:rsid w:val="00E44A37"/>
    <w:rsid w:val="00E45388"/>
    <w:rsid w:val="00E45477"/>
    <w:rsid w:val="00E4598F"/>
    <w:rsid w:val="00E45A30"/>
    <w:rsid w:val="00E46464"/>
    <w:rsid w:val="00E465A5"/>
    <w:rsid w:val="00E466ED"/>
    <w:rsid w:val="00E46A3D"/>
    <w:rsid w:val="00E46CD9"/>
    <w:rsid w:val="00E46E56"/>
    <w:rsid w:val="00E47159"/>
    <w:rsid w:val="00E471C5"/>
    <w:rsid w:val="00E47BD5"/>
    <w:rsid w:val="00E50150"/>
    <w:rsid w:val="00E50537"/>
    <w:rsid w:val="00E507D5"/>
    <w:rsid w:val="00E50ED4"/>
    <w:rsid w:val="00E50F86"/>
    <w:rsid w:val="00E50FB2"/>
    <w:rsid w:val="00E51BBD"/>
    <w:rsid w:val="00E51C2F"/>
    <w:rsid w:val="00E51D6D"/>
    <w:rsid w:val="00E51D85"/>
    <w:rsid w:val="00E51F48"/>
    <w:rsid w:val="00E52212"/>
    <w:rsid w:val="00E527FA"/>
    <w:rsid w:val="00E52DC4"/>
    <w:rsid w:val="00E53264"/>
    <w:rsid w:val="00E53270"/>
    <w:rsid w:val="00E536F0"/>
    <w:rsid w:val="00E53A24"/>
    <w:rsid w:val="00E53AB8"/>
    <w:rsid w:val="00E53DDC"/>
    <w:rsid w:val="00E5419A"/>
    <w:rsid w:val="00E5461C"/>
    <w:rsid w:val="00E546C0"/>
    <w:rsid w:val="00E54A23"/>
    <w:rsid w:val="00E54BA8"/>
    <w:rsid w:val="00E54C62"/>
    <w:rsid w:val="00E54CAE"/>
    <w:rsid w:val="00E54E71"/>
    <w:rsid w:val="00E55020"/>
    <w:rsid w:val="00E55098"/>
    <w:rsid w:val="00E550CC"/>
    <w:rsid w:val="00E554B6"/>
    <w:rsid w:val="00E556A9"/>
    <w:rsid w:val="00E55729"/>
    <w:rsid w:val="00E557AE"/>
    <w:rsid w:val="00E55A86"/>
    <w:rsid w:val="00E55BCE"/>
    <w:rsid w:val="00E5604E"/>
    <w:rsid w:val="00E565DE"/>
    <w:rsid w:val="00E56723"/>
    <w:rsid w:val="00E567C7"/>
    <w:rsid w:val="00E56CE3"/>
    <w:rsid w:val="00E5709E"/>
    <w:rsid w:val="00E574D0"/>
    <w:rsid w:val="00E574FD"/>
    <w:rsid w:val="00E57CE8"/>
    <w:rsid w:val="00E57DF6"/>
    <w:rsid w:val="00E57F11"/>
    <w:rsid w:val="00E609BB"/>
    <w:rsid w:val="00E60BE4"/>
    <w:rsid w:val="00E60CEC"/>
    <w:rsid w:val="00E613FF"/>
    <w:rsid w:val="00E61932"/>
    <w:rsid w:val="00E6196E"/>
    <w:rsid w:val="00E61EA5"/>
    <w:rsid w:val="00E624EA"/>
    <w:rsid w:val="00E6255E"/>
    <w:rsid w:val="00E63250"/>
    <w:rsid w:val="00E636F2"/>
    <w:rsid w:val="00E63814"/>
    <w:rsid w:val="00E63958"/>
    <w:rsid w:val="00E63B36"/>
    <w:rsid w:val="00E63DF7"/>
    <w:rsid w:val="00E64ABD"/>
    <w:rsid w:val="00E64CF5"/>
    <w:rsid w:val="00E64F3B"/>
    <w:rsid w:val="00E64FC0"/>
    <w:rsid w:val="00E650E6"/>
    <w:rsid w:val="00E65631"/>
    <w:rsid w:val="00E658C0"/>
    <w:rsid w:val="00E65C60"/>
    <w:rsid w:val="00E65CA7"/>
    <w:rsid w:val="00E66193"/>
    <w:rsid w:val="00E6670A"/>
    <w:rsid w:val="00E66871"/>
    <w:rsid w:val="00E66D4B"/>
    <w:rsid w:val="00E67113"/>
    <w:rsid w:val="00E67157"/>
    <w:rsid w:val="00E6764F"/>
    <w:rsid w:val="00E6766B"/>
    <w:rsid w:val="00E677C6"/>
    <w:rsid w:val="00E67AAD"/>
    <w:rsid w:val="00E67E0F"/>
    <w:rsid w:val="00E70565"/>
    <w:rsid w:val="00E7076F"/>
    <w:rsid w:val="00E710CF"/>
    <w:rsid w:val="00E710DC"/>
    <w:rsid w:val="00E71535"/>
    <w:rsid w:val="00E719CB"/>
    <w:rsid w:val="00E71A34"/>
    <w:rsid w:val="00E71BB7"/>
    <w:rsid w:val="00E724BA"/>
    <w:rsid w:val="00E7254C"/>
    <w:rsid w:val="00E7254F"/>
    <w:rsid w:val="00E72555"/>
    <w:rsid w:val="00E7255C"/>
    <w:rsid w:val="00E72683"/>
    <w:rsid w:val="00E7277A"/>
    <w:rsid w:val="00E72A32"/>
    <w:rsid w:val="00E72A48"/>
    <w:rsid w:val="00E72ADE"/>
    <w:rsid w:val="00E72BDF"/>
    <w:rsid w:val="00E7303D"/>
    <w:rsid w:val="00E735E0"/>
    <w:rsid w:val="00E73799"/>
    <w:rsid w:val="00E73918"/>
    <w:rsid w:val="00E73C39"/>
    <w:rsid w:val="00E741A6"/>
    <w:rsid w:val="00E746E3"/>
    <w:rsid w:val="00E7476D"/>
    <w:rsid w:val="00E7480D"/>
    <w:rsid w:val="00E74DA6"/>
    <w:rsid w:val="00E74F34"/>
    <w:rsid w:val="00E754EE"/>
    <w:rsid w:val="00E75700"/>
    <w:rsid w:val="00E759AE"/>
    <w:rsid w:val="00E75D14"/>
    <w:rsid w:val="00E75D33"/>
    <w:rsid w:val="00E75ED7"/>
    <w:rsid w:val="00E75F63"/>
    <w:rsid w:val="00E76050"/>
    <w:rsid w:val="00E7663D"/>
    <w:rsid w:val="00E76888"/>
    <w:rsid w:val="00E769FE"/>
    <w:rsid w:val="00E7733B"/>
    <w:rsid w:val="00E77658"/>
    <w:rsid w:val="00E77664"/>
    <w:rsid w:val="00E77891"/>
    <w:rsid w:val="00E778B4"/>
    <w:rsid w:val="00E800A0"/>
    <w:rsid w:val="00E80250"/>
    <w:rsid w:val="00E807A8"/>
    <w:rsid w:val="00E808E8"/>
    <w:rsid w:val="00E80FDA"/>
    <w:rsid w:val="00E810C9"/>
    <w:rsid w:val="00E81349"/>
    <w:rsid w:val="00E81366"/>
    <w:rsid w:val="00E81391"/>
    <w:rsid w:val="00E818A2"/>
    <w:rsid w:val="00E81AA8"/>
    <w:rsid w:val="00E81D60"/>
    <w:rsid w:val="00E81F81"/>
    <w:rsid w:val="00E820D8"/>
    <w:rsid w:val="00E822DE"/>
    <w:rsid w:val="00E82A05"/>
    <w:rsid w:val="00E834E6"/>
    <w:rsid w:val="00E838B3"/>
    <w:rsid w:val="00E838FB"/>
    <w:rsid w:val="00E83920"/>
    <w:rsid w:val="00E83987"/>
    <w:rsid w:val="00E84162"/>
    <w:rsid w:val="00E84215"/>
    <w:rsid w:val="00E842F3"/>
    <w:rsid w:val="00E84353"/>
    <w:rsid w:val="00E84543"/>
    <w:rsid w:val="00E846A0"/>
    <w:rsid w:val="00E849F2"/>
    <w:rsid w:val="00E84B48"/>
    <w:rsid w:val="00E84CA2"/>
    <w:rsid w:val="00E850B9"/>
    <w:rsid w:val="00E85C75"/>
    <w:rsid w:val="00E8648D"/>
    <w:rsid w:val="00E86511"/>
    <w:rsid w:val="00E86513"/>
    <w:rsid w:val="00E86531"/>
    <w:rsid w:val="00E8656C"/>
    <w:rsid w:val="00E865F6"/>
    <w:rsid w:val="00E86679"/>
    <w:rsid w:val="00E868B0"/>
    <w:rsid w:val="00E86AF6"/>
    <w:rsid w:val="00E86BF1"/>
    <w:rsid w:val="00E86F6E"/>
    <w:rsid w:val="00E8702E"/>
    <w:rsid w:val="00E87079"/>
    <w:rsid w:val="00E872C7"/>
    <w:rsid w:val="00E87495"/>
    <w:rsid w:val="00E875E6"/>
    <w:rsid w:val="00E87CDA"/>
    <w:rsid w:val="00E87F79"/>
    <w:rsid w:val="00E903E5"/>
    <w:rsid w:val="00E904B3"/>
    <w:rsid w:val="00E90816"/>
    <w:rsid w:val="00E90AFE"/>
    <w:rsid w:val="00E90C86"/>
    <w:rsid w:val="00E91A07"/>
    <w:rsid w:val="00E91BB7"/>
    <w:rsid w:val="00E91CC8"/>
    <w:rsid w:val="00E91F8F"/>
    <w:rsid w:val="00E92137"/>
    <w:rsid w:val="00E922E7"/>
    <w:rsid w:val="00E92425"/>
    <w:rsid w:val="00E9268A"/>
    <w:rsid w:val="00E92DFE"/>
    <w:rsid w:val="00E93073"/>
    <w:rsid w:val="00E93490"/>
    <w:rsid w:val="00E93729"/>
    <w:rsid w:val="00E938CF"/>
    <w:rsid w:val="00E938F2"/>
    <w:rsid w:val="00E93A89"/>
    <w:rsid w:val="00E93C35"/>
    <w:rsid w:val="00E93D33"/>
    <w:rsid w:val="00E93DFC"/>
    <w:rsid w:val="00E93ED5"/>
    <w:rsid w:val="00E941B4"/>
    <w:rsid w:val="00E943EA"/>
    <w:rsid w:val="00E948D4"/>
    <w:rsid w:val="00E94B79"/>
    <w:rsid w:val="00E94C87"/>
    <w:rsid w:val="00E94F5C"/>
    <w:rsid w:val="00E951AC"/>
    <w:rsid w:val="00E95236"/>
    <w:rsid w:val="00E95280"/>
    <w:rsid w:val="00E952E1"/>
    <w:rsid w:val="00E9534F"/>
    <w:rsid w:val="00E953DE"/>
    <w:rsid w:val="00E95475"/>
    <w:rsid w:val="00E9549E"/>
    <w:rsid w:val="00E95949"/>
    <w:rsid w:val="00E9594C"/>
    <w:rsid w:val="00E95CB2"/>
    <w:rsid w:val="00E95EAF"/>
    <w:rsid w:val="00E965B1"/>
    <w:rsid w:val="00E965DB"/>
    <w:rsid w:val="00E96FE9"/>
    <w:rsid w:val="00E973F8"/>
    <w:rsid w:val="00E974DB"/>
    <w:rsid w:val="00E9773F"/>
    <w:rsid w:val="00E977B1"/>
    <w:rsid w:val="00E97AAA"/>
    <w:rsid w:val="00E97DF7"/>
    <w:rsid w:val="00EA0500"/>
    <w:rsid w:val="00EA05A9"/>
    <w:rsid w:val="00EA0827"/>
    <w:rsid w:val="00EA09F7"/>
    <w:rsid w:val="00EA0BE0"/>
    <w:rsid w:val="00EA0BFE"/>
    <w:rsid w:val="00EA0C3B"/>
    <w:rsid w:val="00EA0CE6"/>
    <w:rsid w:val="00EA0EAC"/>
    <w:rsid w:val="00EA169A"/>
    <w:rsid w:val="00EA16C6"/>
    <w:rsid w:val="00EA18DD"/>
    <w:rsid w:val="00EA19B7"/>
    <w:rsid w:val="00EA1C3C"/>
    <w:rsid w:val="00EA1C9D"/>
    <w:rsid w:val="00EA1CB6"/>
    <w:rsid w:val="00EA1D8F"/>
    <w:rsid w:val="00EA205E"/>
    <w:rsid w:val="00EA20A8"/>
    <w:rsid w:val="00EA2178"/>
    <w:rsid w:val="00EA23BF"/>
    <w:rsid w:val="00EA2662"/>
    <w:rsid w:val="00EA2B72"/>
    <w:rsid w:val="00EA3105"/>
    <w:rsid w:val="00EA3996"/>
    <w:rsid w:val="00EA3B60"/>
    <w:rsid w:val="00EA3EDE"/>
    <w:rsid w:val="00EA3F59"/>
    <w:rsid w:val="00EA4343"/>
    <w:rsid w:val="00EA439D"/>
    <w:rsid w:val="00EA44DF"/>
    <w:rsid w:val="00EA461C"/>
    <w:rsid w:val="00EA4C9B"/>
    <w:rsid w:val="00EA4DAF"/>
    <w:rsid w:val="00EA5806"/>
    <w:rsid w:val="00EA58A9"/>
    <w:rsid w:val="00EA592A"/>
    <w:rsid w:val="00EA5947"/>
    <w:rsid w:val="00EA5D0E"/>
    <w:rsid w:val="00EA5FF7"/>
    <w:rsid w:val="00EA62DA"/>
    <w:rsid w:val="00EA63B4"/>
    <w:rsid w:val="00EA6576"/>
    <w:rsid w:val="00EA6D93"/>
    <w:rsid w:val="00EA6DFF"/>
    <w:rsid w:val="00EA7292"/>
    <w:rsid w:val="00EA7AE9"/>
    <w:rsid w:val="00EA7C3A"/>
    <w:rsid w:val="00EA7DD6"/>
    <w:rsid w:val="00EB0236"/>
    <w:rsid w:val="00EB034A"/>
    <w:rsid w:val="00EB070B"/>
    <w:rsid w:val="00EB0737"/>
    <w:rsid w:val="00EB0AD0"/>
    <w:rsid w:val="00EB0DFC"/>
    <w:rsid w:val="00EB1172"/>
    <w:rsid w:val="00EB1278"/>
    <w:rsid w:val="00EB155A"/>
    <w:rsid w:val="00EB1765"/>
    <w:rsid w:val="00EB179F"/>
    <w:rsid w:val="00EB18B2"/>
    <w:rsid w:val="00EB1B47"/>
    <w:rsid w:val="00EB1FEF"/>
    <w:rsid w:val="00EB237E"/>
    <w:rsid w:val="00EB2864"/>
    <w:rsid w:val="00EB30D6"/>
    <w:rsid w:val="00EB310D"/>
    <w:rsid w:val="00EB3642"/>
    <w:rsid w:val="00EB4098"/>
    <w:rsid w:val="00EB429B"/>
    <w:rsid w:val="00EB46FB"/>
    <w:rsid w:val="00EB4DEB"/>
    <w:rsid w:val="00EB4E76"/>
    <w:rsid w:val="00EB4F98"/>
    <w:rsid w:val="00EB51AF"/>
    <w:rsid w:val="00EB54DE"/>
    <w:rsid w:val="00EB551E"/>
    <w:rsid w:val="00EB589B"/>
    <w:rsid w:val="00EB5943"/>
    <w:rsid w:val="00EB5EB3"/>
    <w:rsid w:val="00EB5F28"/>
    <w:rsid w:val="00EB608B"/>
    <w:rsid w:val="00EB612D"/>
    <w:rsid w:val="00EB620A"/>
    <w:rsid w:val="00EB6252"/>
    <w:rsid w:val="00EB6309"/>
    <w:rsid w:val="00EB64A3"/>
    <w:rsid w:val="00EB6596"/>
    <w:rsid w:val="00EB67D4"/>
    <w:rsid w:val="00EB69A2"/>
    <w:rsid w:val="00EB69D5"/>
    <w:rsid w:val="00EB6DFB"/>
    <w:rsid w:val="00EB7208"/>
    <w:rsid w:val="00EB7284"/>
    <w:rsid w:val="00EB7375"/>
    <w:rsid w:val="00EB743A"/>
    <w:rsid w:val="00EB76EA"/>
    <w:rsid w:val="00EB7945"/>
    <w:rsid w:val="00EB7C1A"/>
    <w:rsid w:val="00EB7DCD"/>
    <w:rsid w:val="00EC00BC"/>
    <w:rsid w:val="00EC05E8"/>
    <w:rsid w:val="00EC06D0"/>
    <w:rsid w:val="00EC0E18"/>
    <w:rsid w:val="00EC0ECB"/>
    <w:rsid w:val="00EC10B5"/>
    <w:rsid w:val="00EC1495"/>
    <w:rsid w:val="00EC18E4"/>
    <w:rsid w:val="00EC1BCF"/>
    <w:rsid w:val="00EC1DEA"/>
    <w:rsid w:val="00EC1E37"/>
    <w:rsid w:val="00EC2264"/>
    <w:rsid w:val="00EC22FF"/>
    <w:rsid w:val="00EC244C"/>
    <w:rsid w:val="00EC2A48"/>
    <w:rsid w:val="00EC2D30"/>
    <w:rsid w:val="00EC2EA7"/>
    <w:rsid w:val="00EC2EDA"/>
    <w:rsid w:val="00EC34B7"/>
    <w:rsid w:val="00EC3828"/>
    <w:rsid w:val="00EC382B"/>
    <w:rsid w:val="00EC3971"/>
    <w:rsid w:val="00EC3ED7"/>
    <w:rsid w:val="00EC40A6"/>
    <w:rsid w:val="00EC4125"/>
    <w:rsid w:val="00EC4351"/>
    <w:rsid w:val="00EC4746"/>
    <w:rsid w:val="00EC49E6"/>
    <w:rsid w:val="00EC4DE3"/>
    <w:rsid w:val="00EC4FE3"/>
    <w:rsid w:val="00EC5001"/>
    <w:rsid w:val="00EC5126"/>
    <w:rsid w:val="00EC5262"/>
    <w:rsid w:val="00EC54C8"/>
    <w:rsid w:val="00EC5D1B"/>
    <w:rsid w:val="00EC5FA8"/>
    <w:rsid w:val="00EC6CFA"/>
    <w:rsid w:val="00EC6F18"/>
    <w:rsid w:val="00EC724B"/>
    <w:rsid w:val="00EC77A2"/>
    <w:rsid w:val="00EC7960"/>
    <w:rsid w:val="00ED0153"/>
    <w:rsid w:val="00ED02A0"/>
    <w:rsid w:val="00ED048D"/>
    <w:rsid w:val="00ED08D1"/>
    <w:rsid w:val="00ED0C06"/>
    <w:rsid w:val="00ED0C8B"/>
    <w:rsid w:val="00ED1136"/>
    <w:rsid w:val="00ED1277"/>
    <w:rsid w:val="00ED1375"/>
    <w:rsid w:val="00ED13B4"/>
    <w:rsid w:val="00ED17B1"/>
    <w:rsid w:val="00ED18B6"/>
    <w:rsid w:val="00ED1A21"/>
    <w:rsid w:val="00ED2135"/>
    <w:rsid w:val="00ED216B"/>
    <w:rsid w:val="00ED2506"/>
    <w:rsid w:val="00ED285B"/>
    <w:rsid w:val="00ED29F4"/>
    <w:rsid w:val="00ED2CD0"/>
    <w:rsid w:val="00ED2EEF"/>
    <w:rsid w:val="00ED32F9"/>
    <w:rsid w:val="00ED330A"/>
    <w:rsid w:val="00ED3543"/>
    <w:rsid w:val="00ED3633"/>
    <w:rsid w:val="00ED3B26"/>
    <w:rsid w:val="00ED4217"/>
    <w:rsid w:val="00ED4782"/>
    <w:rsid w:val="00ED4B2D"/>
    <w:rsid w:val="00ED4FB7"/>
    <w:rsid w:val="00ED5094"/>
    <w:rsid w:val="00ED50AA"/>
    <w:rsid w:val="00ED50D5"/>
    <w:rsid w:val="00ED5101"/>
    <w:rsid w:val="00ED524C"/>
    <w:rsid w:val="00ED540C"/>
    <w:rsid w:val="00ED5485"/>
    <w:rsid w:val="00ED567F"/>
    <w:rsid w:val="00ED57FC"/>
    <w:rsid w:val="00ED5B1E"/>
    <w:rsid w:val="00ED5B75"/>
    <w:rsid w:val="00ED5F0A"/>
    <w:rsid w:val="00ED605B"/>
    <w:rsid w:val="00ED64E8"/>
    <w:rsid w:val="00ED650D"/>
    <w:rsid w:val="00ED655C"/>
    <w:rsid w:val="00ED6813"/>
    <w:rsid w:val="00ED7594"/>
    <w:rsid w:val="00ED7845"/>
    <w:rsid w:val="00ED79F2"/>
    <w:rsid w:val="00ED7BB2"/>
    <w:rsid w:val="00ED7E54"/>
    <w:rsid w:val="00EE00E5"/>
    <w:rsid w:val="00EE00FD"/>
    <w:rsid w:val="00EE0601"/>
    <w:rsid w:val="00EE0806"/>
    <w:rsid w:val="00EE08CB"/>
    <w:rsid w:val="00EE08DE"/>
    <w:rsid w:val="00EE0B41"/>
    <w:rsid w:val="00EE0E95"/>
    <w:rsid w:val="00EE0EC0"/>
    <w:rsid w:val="00EE1559"/>
    <w:rsid w:val="00EE178A"/>
    <w:rsid w:val="00EE1B35"/>
    <w:rsid w:val="00EE1F50"/>
    <w:rsid w:val="00EE1F86"/>
    <w:rsid w:val="00EE203D"/>
    <w:rsid w:val="00EE2239"/>
    <w:rsid w:val="00EE22B1"/>
    <w:rsid w:val="00EE2612"/>
    <w:rsid w:val="00EE275D"/>
    <w:rsid w:val="00EE29D5"/>
    <w:rsid w:val="00EE2EE6"/>
    <w:rsid w:val="00EE31BF"/>
    <w:rsid w:val="00EE33AF"/>
    <w:rsid w:val="00EE39C2"/>
    <w:rsid w:val="00EE3A74"/>
    <w:rsid w:val="00EE3EF9"/>
    <w:rsid w:val="00EE3FAD"/>
    <w:rsid w:val="00EE4028"/>
    <w:rsid w:val="00EE47C0"/>
    <w:rsid w:val="00EE47EC"/>
    <w:rsid w:val="00EE4A85"/>
    <w:rsid w:val="00EE4AA2"/>
    <w:rsid w:val="00EE4B96"/>
    <w:rsid w:val="00EE52A1"/>
    <w:rsid w:val="00EE5381"/>
    <w:rsid w:val="00EE57CD"/>
    <w:rsid w:val="00EE57EB"/>
    <w:rsid w:val="00EE5908"/>
    <w:rsid w:val="00EE590E"/>
    <w:rsid w:val="00EE5C7B"/>
    <w:rsid w:val="00EE6632"/>
    <w:rsid w:val="00EE675C"/>
    <w:rsid w:val="00EE67E2"/>
    <w:rsid w:val="00EE6933"/>
    <w:rsid w:val="00EE6B0F"/>
    <w:rsid w:val="00EE6DA7"/>
    <w:rsid w:val="00EE6F97"/>
    <w:rsid w:val="00EE739D"/>
    <w:rsid w:val="00EE7684"/>
    <w:rsid w:val="00EE7C01"/>
    <w:rsid w:val="00EF019C"/>
    <w:rsid w:val="00EF03FA"/>
    <w:rsid w:val="00EF053D"/>
    <w:rsid w:val="00EF06BC"/>
    <w:rsid w:val="00EF06E2"/>
    <w:rsid w:val="00EF06FE"/>
    <w:rsid w:val="00EF097E"/>
    <w:rsid w:val="00EF140B"/>
    <w:rsid w:val="00EF1A5A"/>
    <w:rsid w:val="00EF1A83"/>
    <w:rsid w:val="00EF1EA5"/>
    <w:rsid w:val="00EF2055"/>
    <w:rsid w:val="00EF274C"/>
    <w:rsid w:val="00EF27E9"/>
    <w:rsid w:val="00EF3895"/>
    <w:rsid w:val="00EF3D44"/>
    <w:rsid w:val="00EF3E98"/>
    <w:rsid w:val="00EF4790"/>
    <w:rsid w:val="00EF48BC"/>
    <w:rsid w:val="00EF4997"/>
    <w:rsid w:val="00EF4A19"/>
    <w:rsid w:val="00EF4E23"/>
    <w:rsid w:val="00EF523A"/>
    <w:rsid w:val="00EF5280"/>
    <w:rsid w:val="00EF5698"/>
    <w:rsid w:val="00EF5911"/>
    <w:rsid w:val="00EF593F"/>
    <w:rsid w:val="00EF5DE2"/>
    <w:rsid w:val="00EF624E"/>
    <w:rsid w:val="00EF6305"/>
    <w:rsid w:val="00EF64D2"/>
    <w:rsid w:val="00EF6C55"/>
    <w:rsid w:val="00F0037C"/>
    <w:rsid w:val="00F0038C"/>
    <w:rsid w:val="00F0059E"/>
    <w:rsid w:val="00F0063D"/>
    <w:rsid w:val="00F00B71"/>
    <w:rsid w:val="00F01089"/>
    <w:rsid w:val="00F01345"/>
    <w:rsid w:val="00F016AC"/>
    <w:rsid w:val="00F0177A"/>
    <w:rsid w:val="00F0187D"/>
    <w:rsid w:val="00F01D5B"/>
    <w:rsid w:val="00F01F29"/>
    <w:rsid w:val="00F021FA"/>
    <w:rsid w:val="00F02315"/>
    <w:rsid w:val="00F02492"/>
    <w:rsid w:val="00F025A1"/>
    <w:rsid w:val="00F02862"/>
    <w:rsid w:val="00F02996"/>
    <w:rsid w:val="00F02BB7"/>
    <w:rsid w:val="00F02C3A"/>
    <w:rsid w:val="00F03211"/>
    <w:rsid w:val="00F03F61"/>
    <w:rsid w:val="00F042BE"/>
    <w:rsid w:val="00F04585"/>
    <w:rsid w:val="00F04791"/>
    <w:rsid w:val="00F04FA7"/>
    <w:rsid w:val="00F050CA"/>
    <w:rsid w:val="00F0516E"/>
    <w:rsid w:val="00F0558C"/>
    <w:rsid w:val="00F05A26"/>
    <w:rsid w:val="00F06068"/>
    <w:rsid w:val="00F062E0"/>
    <w:rsid w:val="00F06423"/>
    <w:rsid w:val="00F0688C"/>
    <w:rsid w:val="00F06BA2"/>
    <w:rsid w:val="00F06CAE"/>
    <w:rsid w:val="00F06DCA"/>
    <w:rsid w:val="00F06F07"/>
    <w:rsid w:val="00F0749F"/>
    <w:rsid w:val="00F07523"/>
    <w:rsid w:val="00F07555"/>
    <w:rsid w:val="00F0756C"/>
    <w:rsid w:val="00F07572"/>
    <w:rsid w:val="00F075DB"/>
    <w:rsid w:val="00F0761F"/>
    <w:rsid w:val="00F0763B"/>
    <w:rsid w:val="00F07670"/>
    <w:rsid w:val="00F07750"/>
    <w:rsid w:val="00F0779F"/>
    <w:rsid w:val="00F079D0"/>
    <w:rsid w:val="00F07A22"/>
    <w:rsid w:val="00F07C52"/>
    <w:rsid w:val="00F07D77"/>
    <w:rsid w:val="00F07F7C"/>
    <w:rsid w:val="00F10393"/>
    <w:rsid w:val="00F105CE"/>
    <w:rsid w:val="00F10926"/>
    <w:rsid w:val="00F1092A"/>
    <w:rsid w:val="00F10FDF"/>
    <w:rsid w:val="00F114F4"/>
    <w:rsid w:val="00F115A7"/>
    <w:rsid w:val="00F116FC"/>
    <w:rsid w:val="00F11DF7"/>
    <w:rsid w:val="00F11E34"/>
    <w:rsid w:val="00F11FE1"/>
    <w:rsid w:val="00F1274C"/>
    <w:rsid w:val="00F12A89"/>
    <w:rsid w:val="00F12C6F"/>
    <w:rsid w:val="00F12CDB"/>
    <w:rsid w:val="00F1308D"/>
    <w:rsid w:val="00F1313A"/>
    <w:rsid w:val="00F1349D"/>
    <w:rsid w:val="00F13668"/>
    <w:rsid w:val="00F13875"/>
    <w:rsid w:val="00F13C86"/>
    <w:rsid w:val="00F1456D"/>
    <w:rsid w:val="00F14828"/>
    <w:rsid w:val="00F14A11"/>
    <w:rsid w:val="00F14A6A"/>
    <w:rsid w:val="00F14B33"/>
    <w:rsid w:val="00F14D84"/>
    <w:rsid w:val="00F1542D"/>
    <w:rsid w:val="00F1565F"/>
    <w:rsid w:val="00F156D0"/>
    <w:rsid w:val="00F15777"/>
    <w:rsid w:val="00F1605E"/>
    <w:rsid w:val="00F1610A"/>
    <w:rsid w:val="00F161B2"/>
    <w:rsid w:val="00F162E6"/>
    <w:rsid w:val="00F1658A"/>
    <w:rsid w:val="00F16794"/>
    <w:rsid w:val="00F172AF"/>
    <w:rsid w:val="00F172EC"/>
    <w:rsid w:val="00F174F2"/>
    <w:rsid w:val="00F177CF"/>
    <w:rsid w:val="00F17D8A"/>
    <w:rsid w:val="00F2001C"/>
    <w:rsid w:val="00F20586"/>
    <w:rsid w:val="00F20632"/>
    <w:rsid w:val="00F206ED"/>
    <w:rsid w:val="00F2080C"/>
    <w:rsid w:val="00F21898"/>
    <w:rsid w:val="00F218E6"/>
    <w:rsid w:val="00F21C0B"/>
    <w:rsid w:val="00F220F0"/>
    <w:rsid w:val="00F226C7"/>
    <w:rsid w:val="00F22B7B"/>
    <w:rsid w:val="00F22D3F"/>
    <w:rsid w:val="00F23168"/>
    <w:rsid w:val="00F23509"/>
    <w:rsid w:val="00F236E9"/>
    <w:rsid w:val="00F23924"/>
    <w:rsid w:val="00F23AE3"/>
    <w:rsid w:val="00F23C37"/>
    <w:rsid w:val="00F23E10"/>
    <w:rsid w:val="00F240A8"/>
    <w:rsid w:val="00F240DB"/>
    <w:rsid w:val="00F2429A"/>
    <w:rsid w:val="00F24517"/>
    <w:rsid w:val="00F247F9"/>
    <w:rsid w:val="00F24DB4"/>
    <w:rsid w:val="00F2508C"/>
    <w:rsid w:val="00F2521A"/>
    <w:rsid w:val="00F2522B"/>
    <w:rsid w:val="00F255FE"/>
    <w:rsid w:val="00F2565F"/>
    <w:rsid w:val="00F25B1A"/>
    <w:rsid w:val="00F25F7F"/>
    <w:rsid w:val="00F262DA"/>
    <w:rsid w:val="00F26573"/>
    <w:rsid w:val="00F26EDB"/>
    <w:rsid w:val="00F272EE"/>
    <w:rsid w:val="00F274FD"/>
    <w:rsid w:val="00F275EE"/>
    <w:rsid w:val="00F27A7A"/>
    <w:rsid w:val="00F27E3B"/>
    <w:rsid w:val="00F30056"/>
    <w:rsid w:val="00F300FD"/>
    <w:rsid w:val="00F301AD"/>
    <w:rsid w:val="00F30209"/>
    <w:rsid w:val="00F30AA3"/>
    <w:rsid w:val="00F30C46"/>
    <w:rsid w:val="00F30E59"/>
    <w:rsid w:val="00F313EF"/>
    <w:rsid w:val="00F316BC"/>
    <w:rsid w:val="00F318B9"/>
    <w:rsid w:val="00F32236"/>
    <w:rsid w:val="00F32491"/>
    <w:rsid w:val="00F325B8"/>
    <w:rsid w:val="00F328F5"/>
    <w:rsid w:val="00F3374C"/>
    <w:rsid w:val="00F33763"/>
    <w:rsid w:val="00F338F3"/>
    <w:rsid w:val="00F33D90"/>
    <w:rsid w:val="00F33EB5"/>
    <w:rsid w:val="00F34495"/>
    <w:rsid w:val="00F3470C"/>
    <w:rsid w:val="00F34A6A"/>
    <w:rsid w:val="00F34E34"/>
    <w:rsid w:val="00F3502F"/>
    <w:rsid w:val="00F355D6"/>
    <w:rsid w:val="00F35832"/>
    <w:rsid w:val="00F358E8"/>
    <w:rsid w:val="00F3596B"/>
    <w:rsid w:val="00F35BF7"/>
    <w:rsid w:val="00F35ECF"/>
    <w:rsid w:val="00F3600C"/>
    <w:rsid w:val="00F36090"/>
    <w:rsid w:val="00F360B7"/>
    <w:rsid w:val="00F36249"/>
    <w:rsid w:val="00F364BC"/>
    <w:rsid w:val="00F36D4A"/>
    <w:rsid w:val="00F36E18"/>
    <w:rsid w:val="00F373EC"/>
    <w:rsid w:val="00F374AB"/>
    <w:rsid w:val="00F3782D"/>
    <w:rsid w:val="00F37D41"/>
    <w:rsid w:val="00F401FC"/>
    <w:rsid w:val="00F402DA"/>
    <w:rsid w:val="00F4031A"/>
    <w:rsid w:val="00F4046D"/>
    <w:rsid w:val="00F40A1B"/>
    <w:rsid w:val="00F40B23"/>
    <w:rsid w:val="00F40BC9"/>
    <w:rsid w:val="00F40E47"/>
    <w:rsid w:val="00F41079"/>
    <w:rsid w:val="00F410DD"/>
    <w:rsid w:val="00F411A7"/>
    <w:rsid w:val="00F4151A"/>
    <w:rsid w:val="00F41C3F"/>
    <w:rsid w:val="00F41ECC"/>
    <w:rsid w:val="00F41EFB"/>
    <w:rsid w:val="00F42A8F"/>
    <w:rsid w:val="00F42DA9"/>
    <w:rsid w:val="00F43432"/>
    <w:rsid w:val="00F4352D"/>
    <w:rsid w:val="00F43C0C"/>
    <w:rsid w:val="00F43F76"/>
    <w:rsid w:val="00F44566"/>
    <w:rsid w:val="00F44770"/>
    <w:rsid w:val="00F44A3E"/>
    <w:rsid w:val="00F44D6C"/>
    <w:rsid w:val="00F4520B"/>
    <w:rsid w:val="00F45678"/>
    <w:rsid w:val="00F456DA"/>
    <w:rsid w:val="00F45B5C"/>
    <w:rsid w:val="00F45F74"/>
    <w:rsid w:val="00F4620E"/>
    <w:rsid w:val="00F46218"/>
    <w:rsid w:val="00F4633E"/>
    <w:rsid w:val="00F463AE"/>
    <w:rsid w:val="00F46543"/>
    <w:rsid w:val="00F4662E"/>
    <w:rsid w:val="00F4692D"/>
    <w:rsid w:val="00F46E71"/>
    <w:rsid w:val="00F46EDE"/>
    <w:rsid w:val="00F4741B"/>
    <w:rsid w:val="00F47465"/>
    <w:rsid w:val="00F47E9F"/>
    <w:rsid w:val="00F47F2A"/>
    <w:rsid w:val="00F47F3F"/>
    <w:rsid w:val="00F50226"/>
    <w:rsid w:val="00F502E8"/>
    <w:rsid w:val="00F5046F"/>
    <w:rsid w:val="00F50AC2"/>
    <w:rsid w:val="00F50C57"/>
    <w:rsid w:val="00F50F66"/>
    <w:rsid w:val="00F51091"/>
    <w:rsid w:val="00F51174"/>
    <w:rsid w:val="00F511EC"/>
    <w:rsid w:val="00F513D7"/>
    <w:rsid w:val="00F515E7"/>
    <w:rsid w:val="00F5164B"/>
    <w:rsid w:val="00F517FE"/>
    <w:rsid w:val="00F51AF9"/>
    <w:rsid w:val="00F51B2F"/>
    <w:rsid w:val="00F51F68"/>
    <w:rsid w:val="00F5219A"/>
    <w:rsid w:val="00F52371"/>
    <w:rsid w:val="00F523D8"/>
    <w:rsid w:val="00F524D7"/>
    <w:rsid w:val="00F52C91"/>
    <w:rsid w:val="00F52CC6"/>
    <w:rsid w:val="00F5310E"/>
    <w:rsid w:val="00F531BC"/>
    <w:rsid w:val="00F531DF"/>
    <w:rsid w:val="00F532DC"/>
    <w:rsid w:val="00F535B9"/>
    <w:rsid w:val="00F5377B"/>
    <w:rsid w:val="00F537F0"/>
    <w:rsid w:val="00F53919"/>
    <w:rsid w:val="00F5395F"/>
    <w:rsid w:val="00F53F42"/>
    <w:rsid w:val="00F5415E"/>
    <w:rsid w:val="00F5432F"/>
    <w:rsid w:val="00F54414"/>
    <w:rsid w:val="00F549ED"/>
    <w:rsid w:val="00F54B17"/>
    <w:rsid w:val="00F54E33"/>
    <w:rsid w:val="00F55237"/>
    <w:rsid w:val="00F552C0"/>
    <w:rsid w:val="00F553E4"/>
    <w:rsid w:val="00F55750"/>
    <w:rsid w:val="00F558F4"/>
    <w:rsid w:val="00F55C9A"/>
    <w:rsid w:val="00F56371"/>
    <w:rsid w:val="00F5668F"/>
    <w:rsid w:val="00F56D6F"/>
    <w:rsid w:val="00F56E47"/>
    <w:rsid w:val="00F57245"/>
    <w:rsid w:val="00F57299"/>
    <w:rsid w:val="00F57956"/>
    <w:rsid w:val="00F579C8"/>
    <w:rsid w:val="00F579F8"/>
    <w:rsid w:val="00F57BBE"/>
    <w:rsid w:val="00F57CA3"/>
    <w:rsid w:val="00F57D85"/>
    <w:rsid w:val="00F607F4"/>
    <w:rsid w:val="00F6080F"/>
    <w:rsid w:val="00F60EEF"/>
    <w:rsid w:val="00F60F63"/>
    <w:rsid w:val="00F610A3"/>
    <w:rsid w:val="00F612B0"/>
    <w:rsid w:val="00F612EB"/>
    <w:rsid w:val="00F61395"/>
    <w:rsid w:val="00F614E5"/>
    <w:rsid w:val="00F61583"/>
    <w:rsid w:val="00F61CD2"/>
    <w:rsid w:val="00F61E40"/>
    <w:rsid w:val="00F62053"/>
    <w:rsid w:val="00F6208D"/>
    <w:rsid w:val="00F620D1"/>
    <w:rsid w:val="00F6229A"/>
    <w:rsid w:val="00F62357"/>
    <w:rsid w:val="00F623BD"/>
    <w:rsid w:val="00F62611"/>
    <w:rsid w:val="00F63126"/>
    <w:rsid w:val="00F63348"/>
    <w:rsid w:val="00F635A5"/>
    <w:rsid w:val="00F63B2D"/>
    <w:rsid w:val="00F64079"/>
    <w:rsid w:val="00F642A7"/>
    <w:rsid w:val="00F642DA"/>
    <w:rsid w:val="00F643E2"/>
    <w:rsid w:val="00F6487F"/>
    <w:rsid w:val="00F64D87"/>
    <w:rsid w:val="00F64D9B"/>
    <w:rsid w:val="00F65461"/>
    <w:rsid w:val="00F65AFE"/>
    <w:rsid w:val="00F65D6C"/>
    <w:rsid w:val="00F66208"/>
    <w:rsid w:val="00F66380"/>
    <w:rsid w:val="00F665A8"/>
    <w:rsid w:val="00F66C2E"/>
    <w:rsid w:val="00F66D12"/>
    <w:rsid w:val="00F66DF6"/>
    <w:rsid w:val="00F67050"/>
    <w:rsid w:val="00F67094"/>
    <w:rsid w:val="00F6711B"/>
    <w:rsid w:val="00F6772B"/>
    <w:rsid w:val="00F67808"/>
    <w:rsid w:val="00F6791D"/>
    <w:rsid w:val="00F679B1"/>
    <w:rsid w:val="00F67B81"/>
    <w:rsid w:val="00F67C10"/>
    <w:rsid w:val="00F67DD7"/>
    <w:rsid w:val="00F70130"/>
    <w:rsid w:val="00F702CF"/>
    <w:rsid w:val="00F7067F"/>
    <w:rsid w:val="00F70A7E"/>
    <w:rsid w:val="00F70C0C"/>
    <w:rsid w:val="00F70DC4"/>
    <w:rsid w:val="00F70F06"/>
    <w:rsid w:val="00F70F34"/>
    <w:rsid w:val="00F711D8"/>
    <w:rsid w:val="00F7131C"/>
    <w:rsid w:val="00F713F4"/>
    <w:rsid w:val="00F715A0"/>
    <w:rsid w:val="00F718AE"/>
    <w:rsid w:val="00F71A1B"/>
    <w:rsid w:val="00F7225F"/>
    <w:rsid w:val="00F7230B"/>
    <w:rsid w:val="00F72771"/>
    <w:rsid w:val="00F728B5"/>
    <w:rsid w:val="00F728E4"/>
    <w:rsid w:val="00F72917"/>
    <w:rsid w:val="00F72C00"/>
    <w:rsid w:val="00F72DC7"/>
    <w:rsid w:val="00F72FF4"/>
    <w:rsid w:val="00F730B9"/>
    <w:rsid w:val="00F7321D"/>
    <w:rsid w:val="00F732BE"/>
    <w:rsid w:val="00F73506"/>
    <w:rsid w:val="00F736E4"/>
    <w:rsid w:val="00F737CF"/>
    <w:rsid w:val="00F73A41"/>
    <w:rsid w:val="00F740ED"/>
    <w:rsid w:val="00F74317"/>
    <w:rsid w:val="00F74A63"/>
    <w:rsid w:val="00F74A9B"/>
    <w:rsid w:val="00F74CE8"/>
    <w:rsid w:val="00F74D10"/>
    <w:rsid w:val="00F74E8E"/>
    <w:rsid w:val="00F74FCC"/>
    <w:rsid w:val="00F750FC"/>
    <w:rsid w:val="00F75133"/>
    <w:rsid w:val="00F75160"/>
    <w:rsid w:val="00F75A80"/>
    <w:rsid w:val="00F75B07"/>
    <w:rsid w:val="00F75B77"/>
    <w:rsid w:val="00F75CCA"/>
    <w:rsid w:val="00F75DE9"/>
    <w:rsid w:val="00F7614B"/>
    <w:rsid w:val="00F7638B"/>
    <w:rsid w:val="00F764E3"/>
    <w:rsid w:val="00F768A9"/>
    <w:rsid w:val="00F7701B"/>
    <w:rsid w:val="00F77111"/>
    <w:rsid w:val="00F77529"/>
    <w:rsid w:val="00F77763"/>
    <w:rsid w:val="00F7778F"/>
    <w:rsid w:val="00F778D5"/>
    <w:rsid w:val="00F77946"/>
    <w:rsid w:val="00F77B21"/>
    <w:rsid w:val="00F803CE"/>
    <w:rsid w:val="00F806E1"/>
    <w:rsid w:val="00F80807"/>
    <w:rsid w:val="00F80883"/>
    <w:rsid w:val="00F80E76"/>
    <w:rsid w:val="00F80FDE"/>
    <w:rsid w:val="00F81354"/>
    <w:rsid w:val="00F81376"/>
    <w:rsid w:val="00F8140F"/>
    <w:rsid w:val="00F8158C"/>
    <w:rsid w:val="00F817EA"/>
    <w:rsid w:val="00F81A2C"/>
    <w:rsid w:val="00F81B7F"/>
    <w:rsid w:val="00F81CFD"/>
    <w:rsid w:val="00F8216C"/>
    <w:rsid w:val="00F822BA"/>
    <w:rsid w:val="00F8247F"/>
    <w:rsid w:val="00F824FB"/>
    <w:rsid w:val="00F82511"/>
    <w:rsid w:val="00F8259E"/>
    <w:rsid w:val="00F82946"/>
    <w:rsid w:val="00F82B0F"/>
    <w:rsid w:val="00F82F25"/>
    <w:rsid w:val="00F836BF"/>
    <w:rsid w:val="00F83860"/>
    <w:rsid w:val="00F838CD"/>
    <w:rsid w:val="00F83E42"/>
    <w:rsid w:val="00F83F17"/>
    <w:rsid w:val="00F8411F"/>
    <w:rsid w:val="00F84537"/>
    <w:rsid w:val="00F84542"/>
    <w:rsid w:val="00F84585"/>
    <w:rsid w:val="00F8472A"/>
    <w:rsid w:val="00F84DEE"/>
    <w:rsid w:val="00F84F17"/>
    <w:rsid w:val="00F84FAD"/>
    <w:rsid w:val="00F8511F"/>
    <w:rsid w:val="00F85453"/>
    <w:rsid w:val="00F85504"/>
    <w:rsid w:val="00F8584C"/>
    <w:rsid w:val="00F85937"/>
    <w:rsid w:val="00F85A6D"/>
    <w:rsid w:val="00F85CB5"/>
    <w:rsid w:val="00F85FC9"/>
    <w:rsid w:val="00F86399"/>
    <w:rsid w:val="00F86496"/>
    <w:rsid w:val="00F86E3D"/>
    <w:rsid w:val="00F86F99"/>
    <w:rsid w:val="00F8718A"/>
    <w:rsid w:val="00F87411"/>
    <w:rsid w:val="00F87F71"/>
    <w:rsid w:val="00F902CE"/>
    <w:rsid w:val="00F9041E"/>
    <w:rsid w:val="00F9044A"/>
    <w:rsid w:val="00F904C9"/>
    <w:rsid w:val="00F90998"/>
    <w:rsid w:val="00F9125F"/>
    <w:rsid w:val="00F91311"/>
    <w:rsid w:val="00F91326"/>
    <w:rsid w:val="00F914A7"/>
    <w:rsid w:val="00F917B4"/>
    <w:rsid w:val="00F9180B"/>
    <w:rsid w:val="00F919E1"/>
    <w:rsid w:val="00F91B2D"/>
    <w:rsid w:val="00F91D2F"/>
    <w:rsid w:val="00F91E2A"/>
    <w:rsid w:val="00F920B9"/>
    <w:rsid w:val="00F92240"/>
    <w:rsid w:val="00F9227E"/>
    <w:rsid w:val="00F92350"/>
    <w:rsid w:val="00F92B6B"/>
    <w:rsid w:val="00F931A3"/>
    <w:rsid w:val="00F931C7"/>
    <w:rsid w:val="00F93527"/>
    <w:rsid w:val="00F93C5F"/>
    <w:rsid w:val="00F94288"/>
    <w:rsid w:val="00F94340"/>
    <w:rsid w:val="00F9445D"/>
    <w:rsid w:val="00F94484"/>
    <w:rsid w:val="00F946C6"/>
    <w:rsid w:val="00F94AC2"/>
    <w:rsid w:val="00F94F7C"/>
    <w:rsid w:val="00F9533E"/>
    <w:rsid w:val="00F953D0"/>
    <w:rsid w:val="00F95853"/>
    <w:rsid w:val="00F95905"/>
    <w:rsid w:val="00F95F07"/>
    <w:rsid w:val="00F96112"/>
    <w:rsid w:val="00F964E0"/>
    <w:rsid w:val="00F96511"/>
    <w:rsid w:val="00F9671B"/>
    <w:rsid w:val="00F9684D"/>
    <w:rsid w:val="00F96F7C"/>
    <w:rsid w:val="00F970F6"/>
    <w:rsid w:val="00F971DF"/>
    <w:rsid w:val="00F97635"/>
    <w:rsid w:val="00F9783D"/>
    <w:rsid w:val="00F97B5D"/>
    <w:rsid w:val="00FA0307"/>
    <w:rsid w:val="00FA0368"/>
    <w:rsid w:val="00FA0888"/>
    <w:rsid w:val="00FA0C2C"/>
    <w:rsid w:val="00FA1510"/>
    <w:rsid w:val="00FA16A1"/>
    <w:rsid w:val="00FA1700"/>
    <w:rsid w:val="00FA1A50"/>
    <w:rsid w:val="00FA1D5B"/>
    <w:rsid w:val="00FA1F4A"/>
    <w:rsid w:val="00FA2061"/>
    <w:rsid w:val="00FA22DD"/>
    <w:rsid w:val="00FA2410"/>
    <w:rsid w:val="00FA242E"/>
    <w:rsid w:val="00FA271C"/>
    <w:rsid w:val="00FA2E60"/>
    <w:rsid w:val="00FA32C5"/>
    <w:rsid w:val="00FA3992"/>
    <w:rsid w:val="00FA3CFC"/>
    <w:rsid w:val="00FA3D9C"/>
    <w:rsid w:val="00FA3D9F"/>
    <w:rsid w:val="00FA3F4B"/>
    <w:rsid w:val="00FA4162"/>
    <w:rsid w:val="00FA43D0"/>
    <w:rsid w:val="00FA45F9"/>
    <w:rsid w:val="00FA468C"/>
    <w:rsid w:val="00FA48FD"/>
    <w:rsid w:val="00FA50B5"/>
    <w:rsid w:val="00FA51C3"/>
    <w:rsid w:val="00FA52D4"/>
    <w:rsid w:val="00FA544A"/>
    <w:rsid w:val="00FA564C"/>
    <w:rsid w:val="00FA5795"/>
    <w:rsid w:val="00FA57D4"/>
    <w:rsid w:val="00FA5B3B"/>
    <w:rsid w:val="00FA5D2A"/>
    <w:rsid w:val="00FA5E1B"/>
    <w:rsid w:val="00FA6596"/>
    <w:rsid w:val="00FA669C"/>
    <w:rsid w:val="00FA6776"/>
    <w:rsid w:val="00FA6B15"/>
    <w:rsid w:val="00FA6BC5"/>
    <w:rsid w:val="00FA6CEB"/>
    <w:rsid w:val="00FA702E"/>
    <w:rsid w:val="00FA71CB"/>
    <w:rsid w:val="00FA72B9"/>
    <w:rsid w:val="00FA7569"/>
    <w:rsid w:val="00FA7697"/>
    <w:rsid w:val="00FA7781"/>
    <w:rsid w:val="00FA7C97"/>
    <w:rsid w:val="00FA7EC2"/>
    <w:rsid w:val="00FB0204"/>
    <w:rsid w:val="00FB051F"/>
    <w:rsid w:val="00FB0567"/>
    <w:rsid w:val="00FB06D3"/>
    <w:rsid w:val="00FB0BB3"/>
    <w:rsid w:val="00FB0CE4"/>
    <w:rsid w:val="00FB13B9"/>
    <w:rsid w:val="00FB15FA"/>
    <w:rsid w:val="00FB167D"/>
    <w:rsid w:val="00FB17BD"/>
    <w:rsid w:val="00FB1AB2"/>
    <w:rsid w:val="00FB1B60"/>
    <w:rsid w:val="00FB1ED0"/>
    <w:rsid w:val="00FB2905"/>
    <w:rsid w:val="00FB2B71"/>
    <w:rsid w:val="00FB2CFD"/>
    <w:rsid w:val="00FB3165"/>
    <w:rsid w:val="00FB324F"/>
    <w:rsid w:val="00FB34DF"/>
    <w:rsid w:val="00FB3956"/>
    <w:rsid w:val="00FB496C"/>
    <w:rsid w:val="00FB4AAE"/>
    <w:rsid w:val="00FB4AF1"/>
    <w:rsid w:val="00FB4E2E"/>
    <w:rsid w:val="00FB5117"/>
    <w:rsid w:val="00FB51AE"/>
    <w:rsid w:val="00FB555A"/>
    <w:rsid w:val="00FB56BC"/>
    <w:rsid w:val="00FB578D"/>
    <w:rsid w:val="00FB598B"/>
    <w:rsid w:val="00FB59D9"/>
    <w:rsid w:val="00FB59DD"/>
    <w:rsid w:val="00FB5B9F"/>
    <w:rsid w:val="00FB5BA8"/>
    <w:rsid w:val="00FB5CC3"/>
    <w:rsid w:val="00FB5FD1"/>
    <w:rsid w:val="00FB60DA"/>
    <w:rsid w:val="00FB62B4"/>
    <w:rsid w:val="00FB6490"/>
    <w:rsid w:val="00FB688B"/>
    <w:rsid w:val="00FB6A9D"/>
    <w:rsid w:val="00FB6DF6"/>
    <w:rsid w:val="00FB6F21"/>
    <w:rsid w:val="00FB78AC"/>
    <w:rsid w:val="00FB7917"/>
    <w:rsid w:val="00FB7D00"/>
    <w:rsid w:val="00FB7EBC"/>
    <w:rsid w:val="00FC00D7"/>
    <w:rsid w:val="00FC0232"/>
    <w:rsid w:val="00FC061B"/>
    <w:rsid w:val="00FC06B2"/>
    <w:rsid w:val="00FC08D9"/>
    <w:rsid w:val="00FC0C68"/>
    <w:rsid w:val="00FC0F18"/>
    <w:rsid w:val="00FC10A3"/>
    <w:rsid w:val="00FC11C7"/>
    <w:rsid w:val="00FC11FC"/>
    <w:rsid w:val="00FC122A"/>
    <w:rsid w:val="00FC145E"/>
    <w:rsid w:val="00FC14A7"/>
    <w:rsid w:val="00FC158D"/>
    <w:rsid w:val="00FC17A8"/>
    <w:rsid w:val="00FC1D4E"/>
    <w:rsid w:val="00FC2240"/>
    <w:rsid w:val="00FC2898"/>
    <w:rsid w:val="00FC2922"/>
    <w:rsid w:val="00FC2A42"/>
    <w:rsid w:val="00FC2B11"/>
    <w:rsid w:val="00FC2B33"/>
    <w:rsid w:val="00FC2E0F"/>
    <w:rsid w:val="00FC2E36"/>
    <w:rsid w:val="00FC2FCB"/>
    <w:rsid w:val="00FC3290"/>
    <w:rsid w:val="00FC37A2"/>
    <w:rsid w:val="00FC37D4"/>
    <w:rsid w:val="00FC3909"/>
    <w:rsid w:val="00FC3DFD"/>
    <w:rsid w:val="00FC40C3"/>
    <w:rsid w:val="00FC4883"/>
    <w:rsid w:val="00FC494F"/>
    <w:rsid w:val="00FC497F"/>
    <w:rsid w:val="00FC4A5A"/>
    <w:rsid w:val="00FC4C5F"/>
    <w:rsid w:val="00FC505F"/>
    <w:rsid w:val="00FC5575"/>
    <w:rsid w:val="00FC5891"/>
    <w:rsid w:val="00FC5C2F"/>
    <w:rsid w:val="00FC5CAA"/>
    <w:rsid w:val="00FC5CBF"/>
    <w:rsid w:val="00FC5EEA"/>
    <w:rsid w:val="00FC5F2F"/>
    <w:rsid w:val="00FC626B"/>
    <w:rsid w:val="00FC6995"/>
    <w:rsid w:val="00FC6B72"/>
    <w:rsid w:val="00FC6E26"/>
    <w:rsid w:val="00FC6F48"/>
    <w:rsid w:val="00FC7651"/>
    <w:rsid w:val="00FC769A"/>
    <w:rsid w:val="00FC7795"/>
    <w:rsid w:val="00FD01D8"/>
    <w:rsid w:val="00FD05D0"/>
    <w:rsid w:val="00FD0727"/>
    <w:rsid w:val="00FD095A"/>
    <w:rsid w:val="00FD0C8D"/>
    <w:rsid w:val="00FD0CF6"/>
    <w:rsid w:val="00FD0F8F"/>
    <w:rsid w:val="00FD1137"/>
    <w:rsid w:val="00FD118C"/>
    <w:rsid w:val="00FD11C3"/>
    <w:rsid w:val="00FD13D3"/>
    <w:rsid w:val="00FD1428"/>
    <w:rsid w:val="00FD1739"/>
    <w:rsid w:val="00FD1E8D"/>
    <w:rsid w:val="00FD24D9"/>
    <w:rsid w:val="00FD25EA"/>
    <w:rsid w:val="00FD2A5A"/>
    <w:rsid w:val="00FD2A5E"/>
    <w:rsid w:val="00FD2D19"/>
    <w:rsid w:val="00FD32B0"/>
    <w:rsid w:val="00FD32F6"/>
    <w:rsid w:val="00FD350B"/>
    <w:rsid w:val="00FD35F9"/>
    <w:rsid w:val="00FD3655"/>
    <w:rsid w:val="00FD36EA"/>
    <w:rsid w:val="00FD37E5"/>
    <w:rsid w:val="00FD3AD4"/>
    <w:rsid w:val="00FD3B3D"/>
    <w:rsid w:val="00FD3ED2"/>
    <w:rsid w:val="00FD4172"/>
    <w:rsid w:val="00FD461F"/>
    <w:rsid w:val="00FD4661"/>
    <w:rsid w:val="00FD48CA"/>
    <w:rsid w:val="00FD491A"/>
    <w:rsid w:val="00FD4A08"/>
    <w:rsid w:val="00FD4B84"/>
    <w:rsid w:val="00FD4EA3"/>
    <w:rsid w:val="00FD50AD"/>
    <w:rsid w:val="00FD51CC"/>
    <w:rsid w:val="00FD52C2"/>
    <w:rsid w:val="00FD5569"/>
    <w:rsid w:val="00FD570B"/>
    <w:rsid w:val="00FD5865"/>
    <w:rsid w:val="00FD58B1"/>
    <w:rsid w:val="00FD5A56"/>
    <w:rsid w:val="00FD5D9D"/>
    <w:rsid w:val="00FD5DED"/>
    <w:rsid w:val="00FD5E3E"/>
    <w:rsid w:val="00FD5F81"/>
    <w:rsid w:val="00FD6091"/>
    <w:rsid w:val="00FD6250"/>
    <w:rsid w:val="00FD63F6"/>
    <w:rsid w:val="00FD6524"/>
    <w:rsid w:val="00FD68C5"/>
    <w:rsid w:val="00FD7125"/>
    <w:rsid w:val="00FD735F"/>
    <w:rsid w:val="00FD740A"/>
    <w:rsid w:val="00FD7659"/>
    <w:rsid w:val="00FD76FE"/>
    <w:rsid w:val="00FD7931"/>
    <w:rsid w:val="00FD79BD"/>
    <w:rsid w:val="00FE0927"/>
    <w:rsid w:val="00FE0E1A"/>
    <w:rsid w:val="00FE133C"/>
    <w:rsid w:val="00FE13B2"/>
    <w:rsid w:val="00FE1B7A"/>
    <w:rsid w:val="00FE1BFA"/>
    <w:rsid w:val="00FE1F9F"/>
    <w:rsid w:val="00FE2011"/>
    <w:rsid w:val="00FE2669"/>
    <w:rsid w:val="00FE275B"/>
    <w:rsid w:val="00FE2767"/>
    <w:rsid w:val="00FE29FA"/>
    <w:rsid w:val="00FE2D08"/>
    <w:rsid w:val="00FE2DBD"/>
    <w:rsid w:val="00FE2F5C"/>
    <w:rsid w:val="00FE2F83"/>
    <w:rsid w:val="00FE2FE8"/>
    <w:rsid w:val="00FE30BA"/>
    <w:rsid w:val="00FE3124"/>
    <w:rsid w:val="00FE3183"/>
    <w:rsid w:val="00FE32E1"/>
    <w:rsid w:val="00FE3436"/>
    <w:rsid w:val="00FE36A8"/>
    <w:rsid w:val="00FE3D68"/>
    <w:rsid w:val="00FE3D98"/>
    <w:rsid w:val="00FE3DC8"/>
    <w:rsid w:val="00FE41FE"/>
    <w:rsid w:val="00FE48ED"/>
    <w:rsid w:val="00FE4EE3"/>
    <w:rsid w:val="00FE5373"/>
    <w:rsid w:val="00FE675F"/>
    <w:rsid w:val="00FE69E8"/>
    <w:rsid w:val="00FE6C87"/>
    <w:rsid w:val="00FE6EAC"/>
    <w:rsid w:val="00FE6EC0"/>
    <w:rsid w:val="00FE727F"/>
    <w:rsid w:val="00FE73A1"/>
    <w:rsid w:val="00FE76EC"/>
    <w:rsid w:val="00FE79D6"/>
    <w:rsid w:val="00FE7C1C"/>
    <w:rsid w:val="00FE7C2C"/>
    <w:rsid w:val="00FF0004"/>
    <w:rsid w:val="00FF04E9"/>
    <w:rsid w:val="00FF0964"/>
    <w:rsid w:val="00FF10FA"/>
    <w:rsid w:val="00FF1A97"/>
    <w:rsid w:val="00FF1ABA"/>
    <w:rsid w:val="00FF1B61"/>
    <w:rsid w:val="00FF1FB2"/>
    <w:rsid w:val="00FF2186"/>
    <w:rsid w:val="00FF2288"/>
    <w:rsid w:val="00FF24D1"/>
    <w:rsid w:val="00FF2E47"/>
    <w:rsid w:val="00FF2E9C"/>
    <w:rsid w:val="00FF2F8A"/>
    <w:rsid w:val="00FF3946"/>
    <w:rsid w:val="00FF3F13"/>
    <w:rsid w:val="00FF4215"/>
    <w:rsid w:val="00FF437D"/>
    <w:rsid w:val="00FF43D6"/>
    <w:rsid w:val="00FF475A"/>
    <w:rsid w:val="00FF49F4"/>
    <w:rsid w:val="00FF4AB9"/>
    <w:rsid w:val="00FF504B"/>
    <w:rsid w:val="00FF508E"/>
    <w:rsid w:val="00FF5289"/>
    <w:rsid w:val="00FF550B"/>
    <w:rsid w:val="00FF5C7D"/>
    <w:rsid w:val="00FF6197"/>
    <w:rsid w:val="00FF62BB"/>
    <w:rsid w:val="00FF6678"/>
    <w:rsid w:val="00FF6809"/>
    <w:rsid w:val="00FF6AC2"/>
    <w:rsid w:val="00FF6DBE"/>
    <w:rsid w:val="00FF6FA2"/>
    <w:rsid w:val="00FF7676"/>
    <w:rsid w:val="00FF78E4"/>
    <w:rsid w:val="00FF7E54"/>
    <w:rsid w:val="00FF7F71"/>
    <w:rsid w:val="013C4C9F"/>
    <w:rsid w:val="01692476"/>
    <w:rsid w:val="0176DE2A"/>
    <w:rsid w:val="01962270"/>
    <w:rsid w:val="01B17AFB"/>
    <w:rsid w:val="0245A87B"/>
    <w:rsid w:val="02816259"/>
    <w:rsid w:val="02D2D260"/>
    <w:rsid w:val="02FBFBDE"/>
    <w:rsid w:val="03209942"/>
    <w:rsid w:val="03A162C6"/>
    <w:rsid w:val="03C57E15"/>
    <w:rsid w:val="0424C0FA"/>
    <w:rsid w:val="04789930"/>
    <w:rsid w:val="04A750FD"/>
    <w:rsid w:val="04C35CE8"/>
    <w:rsid w:val="04C59C09"/>
    <w:rsid w:val="04C6D92F"/>
    <w:rsid w:val="04E2A452"/>
    <w:rsid w:val="04F044D7"/>
    <w:rsid w:val="04F091C3"/>
    <w:rsid w:val="050A82E5"/>
    <w:rsid w:val="060B8121"/>
    <w:rsid w:val="061DB00B"/>
    <w:rsid w:val="0683C22F"/>
    <w:rsid w:val="06A1DDC9"/>
    <w:rsid w:val="06BCB59D"/>
    <w:rsid w:val="06C57529"/>
    <w:rsid w:val="06E76FA3"/>
    <w:rsid w:val="0705DA71"/>
    <w:rsid w:val="070B387A"/>
    <w:rsid w:val="07BD4E5F"/>
    <w:rsid w:val="07DF9B99"/>
    <w:rsid w:val="080140EE"/>
    <w:rsid w:val="08F202B5"/>
    <w:rsid w:val="09088AC8"/>
    <w:rsid w:val="09229E56"/>
    <w:rsid w:val="093BBF7E"/>
    <w:rsid w:val="095B0DFE"/>
    <w:rsid w:val="096B3D62"/>
    <w:rsid w:val="097AC220"/>
    <w:rsid w:val="09B41268"/>
    <w:rsid w:val="0A0494C0"/>
    <w:rsid w:val="0A65D2F2"/>
    <w:rsid w:val="0ADB2EB5"/>
    <w:rsid w:val="0AF6DE5F"/>
    <w:rsid w:val="0AFED13B"/>
    <w:rsid w:val="0B02AD0D"/>
    <w:rsid w:val="0B0E19A9"/>
    <w:rsid w:val="0B549944"/>
    <w:rsid w:val="0B9B031E"/>
    <w:rsid w:val="0BAF3A70"/>
    <w:rsid w:val="0BB1A1B5"/>
    <w:rsid w:val="0BC8438E"/>
    <w:rsid w:val="0BE5E3C2"/>
    <w:rsid w:val="0C02D0EB"/>
    <w:rsid w:val="0C2FF1E1"/>
    <w:rsid w:val="0C324CA3"/>
    <w:rsid w:val="0C389890"/>
    <w:rsid w:val="0C412D03"/>
    <w:rsid w:val="0CB28038"/>
    <w:rsid w:val="0CCEBD05"/>
    <w:rsid w:val="0D8FFACB"/>
    <w:rsid w:val="0E041285"/>
    <w:rsid w:val="0E2AE8B4"/>
    <w:rsid w:val="0E3A4DCF"/>
    <w:rsid w:val="0E48AB6A"/>
    <w:rsid w:val="0F0AB4FB"/>
    <w:rsid w:val="0F8406B4"/>
    <w:rsid w:val="0FFFE9EC"/>
    <w:rsid w:val="10215DCC"/>
    <w:rsid w:val="1037B934"/>
    <w:rsid w:val="10559E26"/>
    <w:rsid w:val="10B5197C"/>
    <w:rsid w:val="11764F47"/>
    <w:rsid w:val="11C33611"/>
    <w:rsid w:val="11C8C6AB"/>
    <w:rsid w:val="11CE899A"/>
    <w:rsid w:val="11FDE43D"/>
    <w:rsid w:val="1251D547"/>
    <w:rsid w:val="1291CDC5"/>
    <w:rsid w:val="12E2DF28"/>
    <w:rsid w:val="1308B016"/>
    <w:rsid w:val="131A0D2E"/>
    <w:rsid w:val="136D1507"/>
    <w:rsid w:val="13CAC261"/>
    <w:rsid w:val="14139A3D"/>
    <w:rsid w:val="141FF96D"/>
    <w:rsid w:val="144A3A9D"/>
    <w:rsid w:val="152EE61F"/>
    <w:rsid w:val="157E6BFB"/>
    <w:rsid w:val="158D8EDB"/>
    <w:rsid w:val="15901B30"/>
    <w:rsid w:val="15CFA838"/>
    <w:rsid w:val="15D9729F"/>
    <w:rsid w:val="15E33AA2"/>
    <w:rsid w:val="15F3685C"/>
    <w:rsid w:val="160DC270"/>
    <w:rsid w:val="1651ADF0"/>
    <w:rsid w:val="16567856"/>
    <w:rsid w:val="16691628"/>
    <w:rsid w:val="1690FC54"/>
    <w:rsid w:val="16B8F6FE"/>
    <w:rsid w:val="16F9BB5E"/>
    <w:rsid w:val="1788F3C3"/>
    <w:rsid w:val="17D3D48F"/>
    <w:rsid w:val="18072651"/>
    <w:rsid w:val="1816375E"/>
    <w:rsid w:val="1836141D"/>
    <w:rsid w:val="185BB950"/>
    <w:rsid w:val="186C3B18"/>
    <w:rsid w:val="186F3212"/>
    <w:rsid w:val="18912B09"/>
    <w:rsid w:val="18AD3AC2"/>
    <w:rsid w:val="192703EC"/>
    <w:rsid w:val="194AAAEA"/>
    <w:rsid w:val="19806F26"/>
    <w:rsid w:val="19B20E80"/>
    <w:rsid w:val="19C90742"/>
    <w:rsid w:val="19CA4ECB"/>
    <w:rsid w:val="1A10BE6B"/>
    <w:rsid w:val="1A202149"/>
    <w:rsid w:val="1A6DEFDF"/>
    <w:rsid w:val="1B71ABB0"/>
    <w:rsid w:val="1BC790F2"/>
    <w:rsid w:val="1BC8CBCB"/>
    <w:rsid w:val="1BEA5F46"/>
    <w:rsid w:val="1BEB9B39"/>
    <w:rsid w:val="1CAE2C94"/>
    <w:rsid w:val="1CB901EE"/>
    <w:rsid w:val="1CE25C44"/>
    <w:rsid w:val="1CECA264"/>
    <w:rsid w:val="1D482C7F"/>
    <w:rsid w:val="1D48F678"/>
    <w:rsid w:val="1D8FCCE0"/>
    <w:rsid w:val="1DD3BDF9"/>
    <w:rsid w:val="1E0BB4F2"/>
    <w:rsid w:val="1E34D11E"/>
    <w:rsid w:val="1E67FBE9"/>
    <w:rsid w:val="1E86F6C3"/>
    <w:rsid w:val="1ED7DF15"/>
    <w:rsid w:val="1F0DA4E3"/>
    <w:rsid w:val="1F2EFDA6"/>
    <w:rsid w:val="1F35F4FD"/>
    <w:rsid w:val="1FA3442F"/>
    <w:rsid w:val="1FF0A2B0"/>
    <w:rsid w:val="2026E7D3"/>
    <w:rsid w:val="2035797F"/>
    <w:rsid w:val="203859CC"/>
    <w:rsid w:val="20CACE07"/>
    <w:rsid w:val="20D8FB9C"/>
    <w:rsid w:val="211C0E74"/>
    <w:rsid w:val="21322B5C"/>
    <w:rsid w:val="213AA9D1"/>
    <w:rsid w:val="213C74F2"/>
    <w:rsid w:val="218C7311"/>
    <w:rsid w:val="22B6C041"/>
    <w:rsid w:val="22C0768A"/>
    <w:rsid w:val="22CF06A6"/>
    <w:rsid w:val="22F6D3B3"/>
    <w:rsid w:val="2314B97A"/>
    <w:rsid w:val="232951F8"/>
    <w:rsid w:val="239179A8"/>
    <w:rsid w:val="24C74557"/>
    <w:rsid w:val="24CC1A69"/>
    <w:rsid w:val="24EFE013"/>
    <w:rsid w:val="255CF2E5"/>
    <w:rsid w:val="25829497"/>
    <w:rsid w:val="258970B5"/>
    <w:rsid w:val="25973DA6"/>
    <w:rsid w:val="25F8BE15"/>
    <w:rsid w:val="25FB354B"/>
    <w:rsid w:val="25FE06B9"/>
    <w:rsid w:val="260D5AA4"/>
    <w:rsid w:val="263690EB"/>
    <w:rsid w:val="2652B055"/>
    <w:rsid w:val="26DE76C8"/>
    <w:rsid w:val="271A7BD5"/>
    <w:rsid w:val="2734472C"/>
    <w:rsid w:val="273A7ECA"/>
    <w:rsid w:val="27445C9F"/>
    <w:rsid w:val="274E7063"/>
    <w:rsid w:val="274EC8E5"/>
    <w:rsid w:val="27B7967B"/>
    <w:rsid w:val="27E94036"/>
    <w:rsid w:val="28008F6B"/>
    <w:rsid w:val="2803A21B"/>
    <w:rsid w:val="28158554"/>
    <w:rsid w:val="286A8E61"/>
    <w:rsid w:val="28947CAD"/>
    <w:rsid w:val="28A8C8C3"/>
    <w:rsid w:val="28C649B9"/>
    <w:rsid w:val="28DE3CB1"/>
    <w:rsid w:val="292E897E"/>
    <w:rsid w:val="294761C9"/>
    <w:rsid w:val="2960B33F"/>
    <w:rsid w:val="2981E969"/>
    <w:rsid w:val="2A0DDA1D"/>
    <w:rsid w:val="2A1AF30C"/>
    <w:rsid w:val="2A2F9D9E"/>
    <w:rsid w:val="2A9E2CBE"/>
    <w:rsid w:val="2B0FF863"/>
    <w:rsid w:val="2BD0EA1B"/>
    <w:rsid w:val="2C035335"/>
    <w:rsid w:val="2C335AF3"/>
    <w:rsid w:val="2C382050"/>
    <w:rsid w:val="2C4ED8F1"/>
    <w:rsid w:val="2C8D6083"/>
    <w:rsid w:val="2CB02F5C"/>
    <w:rsid w:val="2CF1865D"/>
    <w:rsid w:val="2D04AD3F"/>
    <w:rsid w:val="2D057DE3"/>
    <w:rsid w:val="2D31582F"/>
    <w:rsid w:val="2D35DFE6"/>
    <w:rsid w:val="2D6F694F"/>
    <w:rsid w:val="2D988577"/>
    <w:rsid w:val="2DA440F7"/>
    <w:rsid w:val="2DB20F8B"/>
    <w:rsid w:val="2E235E3F"/>
    <w:rsid w:val="2E83EBA5"/>
    <w:rsid w:val="2E9AFF88"/>
    <w:rsid w:val="2EE2AA99"/>
    <w:rsid w:val="2F0D5E0E"/>
    <w:rsid w:val="2F50C7DD"/>
    <w:rsid w:val="2F69D234"/>
    <w:rsid w:val="2F76079C"/>
    <w:rsid w:val="2FA466E4"/>
    <w:rsid w:val="2FE55C3F"/>
    <w:rsid w:val="30118D46"/>
    <w:rsid w:val="301FBC06"/>
    <w:rsid w:val="311ED281"/>
    <w:rsid w:val="313DDD88"/>
    <w:rsid w:val="314BA235"/>
    <w:rsid w:val="317AF19A"/>
    <w:rsid w:val="31B6C70A"/>
    <w:rsid w:val="31CF5649"/>
    <w:rsid w:val="31ED1218"/>
    <w:rsid w:val="323200FF"/>
    <w:rsid w:val="32426E32"/>
    <w:rsid w:val="327913F4"/>
    <w:rsid w:val="328B6C8F"/>
    <w:rsid w:val="32CE7A8E"/>
    <w:rsid w:val="32D649B8"/>
    <w:rsid w:val="32DE5C3B"/>
    <w:rsid w:val="32E02D3B"/>
    <w:rsid w:val="32E9EBC1"/>
    <w:rsid w:val="331B1211"/>
    <w:rsid w:val="3322E65E"/>
    <w:rsid w:val="3328A25F"/>
    <w:rsid w:val="3329A251"/>
    <w:rsid w:val="33E25760"/>
    <w:rsid w:val="341C8EA2"/>
    <w:rsid w:val="3420EF58"/>
    <w:rsid w:val="342EADAE"/>
    <w:rsid w:val="3442FE3D"/>
    <w:rsid w:val="345F465A"/>
    <w:rsid w:val="34B68CB9"/>
    <w:rsid w:val="34C8FCC6"/>
    <w:rsid w:val="3510066C"/>
    <w:rsid w:val="3583087B"/>
    <w:rsid w:val="358F5DE5"/>
    <w:rsid w:val="359285C6"/>
    <w:rsid w:val="3595E48B"/>
    <w:rsid w:val="35E75F5B"/>
    <w:rsid w:val="35E8562A"/>
    <w:rsid w:val="361D9E32"/>
    <w:rsid w:val="364783E8"/>
    <w:rsid w:val="3675D62B"/>
    <w:rsid w:val="36B9EFFA"/>
    <w:rsid w:val="36D61FC3"/>
    <w:rsid w:val="37003A46"/>
    <w:rsid w:val="371972F6"/>
    <w:rsid w:val="371BD66B"/>
    <w:rsid w:val="3731FAE0"/>
    <w:rsid w:val="373CB027"/>
    <w:rsid w:val="374F4D08"/>
    <w:rsid w:val="377F5D6F"/>
    <w:rsid w:val="37DBC1F8"/>
    <w:rsid w:val="383AC1E8"/>
    <w:rsid w:val="383E5A4F"/>
    <w:rsid w:val="386C4233"/>
    <w:rsid w:val="3907AAB1"/>
    <w:rsid w:val="390B626D"/>
    <w:rsid w:val="3917D230"/>
    <w:rsid w:val="398018AC"/>
    <w:rsid w:val="39802E07"/>
    <w:rsid w:val="39A30690"/>
    <w:rsid w:val="39E2D614"/>
    <w:rsid w:val="3A3E4399"/>
    <w:rsid w:val="3A6E4C0E"/>
    <w:rsid w:val="3A7662DB"/>
    <w:rsid w:val="3A772B47"/>
    <w:rsid w:val="3ACE33A0"/>
    <w:rsid w:val="3AD43CC4"/>
    <w:rsid w:val="3AF9401C"/>
    <w:rsid w:val="3B137BBA"/>
    <w:rsid w:val="3B443A7A"/>
    <w:rsid w:val="3B5849E3"/>
    <w:rsid w:val="3B87FC42"/>
    <w:rsid w:val="3C2413B7"/>
    <w:rsid w:val="3D0EA07A"/>
    <w:rsid w:val="3D2A8D2E"/>
    <w:rsid w:val="3DAD3E3D"/>
    <w:rsid w:val="3E3ED803"/>
    <w:rsid w:val="3E44DBDA"/>
    <w:rsid w:val="3E6B5C80"/>
    <w:rsid w:val="3E7593A6"/>
    <w:rsid w:val="3F66A7B2"/>
    <w:rsid w:val="40B588C3"/>
    <w:rsid w:val="40C3C1DD"/>
    <w:rsid w:val="40C4DCFD"/>
    <w:rsid w:val="40E1E94D"/>
    <w:rsid w:val="40FCCA22"/>
    <w:rsid w:val="414A9092"/>
    <w:rsid w:val="41534D2B"/>
    <w:rsid w:val="41CCA019"/>
    <w:rsid w:val="4241232E"/>
    <w:rsid w:val="426C4EAB"/>
    <w:rsid w:val="426DB0CB"/>
    <w:rsid w:val="426E5493"/>
    <w:rsid w:val="429B47F5"/>
    <w:rsid w:val="42AC768A"/>
    <w:rsid w:val="42BE1CF5"/>
    <w:rsid w:val="441CE578"/>
    <w:rsid w:val="446196D3"/>
    <w:rsid w:val="4545EE2D"/>
    <w:rsid w:val="45470EF2"/>
    <w:rsid w:val="4599B150"/>
    <w:rsid w:val="45B55A70"/>
    <w:rsid w:val="45C05EC2"/>
    <w:rsid w:val="45CE82CD"/>
    <w:rsid w:val="45D6F83B"/>
    <w:rsid w:val="45DB0ADA"/>
    <w:rsid w:val="4613E50D"/>
    <w:rsid w:val="464A5075"/>
    <w:rsid w:val="4656F413"/>
    <w:rsid w:val="46686CEE"/>
    <w:rsid w:val="466BAEDB"/>
    <w:rsid w:val="46796CEB"/>
    <w:rsid w:val="46AFD99D"/>
    <w:rsid w:val="46D14707"/>
    <w:rsid w:val="471EBBBA"/>
    <w:rsid w:val="472DD283"/>
    <w:rsid w:val="4735B16D"/>
    <w:rsid w:val="476A532E"/>
    <w:rsid w:val="476BD049"/>
    <w:rsid w:val="485BDA52"/>
    <w:rsid w:val="487D21B3"/>
    <w:rsid w:val="488A7AA5"/>
    <w:rsid w:val="490A8445"/>
    <w:rsid w:val="49961162"/>
    <w:rsid w:val="49DF743A"/>
    <w:rsid w:val="4A38968D"/>
    <w:rsid w:val="4A5686E6"/>
    <w:rsid w:val="4AC9E681"/>
    <w:rsid w:val="4B087174"/>
    <w:rsid w:val="4B374237"/>
    <w:rsid w:val="4B80EF3C"/>
    <w:rsid w:val="4B9647AE"/>
    <w:rsid w:val="4BE2B97D"/>
    <w:rsid w:val="4BEDC9E9"/>
    <w:rsid w:val="4BFFCD9F"/>
    <w:rsid w:val="4C0D6A3A"/>
    <w:rsid w:val="4C3D04D9"/>
    <w:rsid w:val="4C48B5FC"/>
    <w:rsid w:val="4C5884E3"/>
    <w:rsid w:val="4C785525"/>
    <w:rsid w:val="4C919C81"/>
    <w:rsid w:val="4C925752"/>
    <w:rsid w:val="4E2CB66B"/>
    <w:rsid w:val="4E7CFC7C"/>
    <w:rsid w:val="4EAB2321"/>
    <w:rsid w:val="4EBF7B9A"/>
    <w:rsid w:val="4ED3B700"/>
    <w:rsid w:val="4EE93C9C"/>
    <w:rsid w:val="4F0CD4CF"/>
    <w:rsid w:val="4F32A239"/>
    <w:rsid w:val="4F346727"/>
    <w:rsid w:val="4F52096C"/>
    <w:rsid w:val="4F69CCDB"/>
    <w:rsid w:val="4FA83792"/>
    <w:rsid w:val="500C37AA"/>
    <w:rsid w:val="5038EB28"/>
    <w:rsid w:val="506396DC"/>
    <w:rsid w:val="50BCC705"/>
    <w:rsid w:val="50FC6DCD"/>
    <w:rsid w:val="511A9571"/>
    <w:rsid w:val="51811E47"/>
    <w:rsid w:val="51837E6F"/>
    <w:rsid w:val="51B229C8"/>
    <w:rsid w:val="51C53F4F"/>
    <w:rsid w:val="51DB2B17"/>
    <w:rsid w:val="5233DC41"/>
    <w:rsid w:val="5308C8F9"/>
    <w:rsid w:val="53656BE7"/>
    <w:rsid w:val="53E3ED0B"/>
    <w:rsid w:val="541DAF08"/>
    <w:rsid w:val="543AC28D"/>
    <w:rsid w:val="5482A02C"/>
    <w:rsid w:val="54846659"/>
    <w:rsid w:val="548F6A9C"/>
    <w:rsid w:val="54E08143"/>
    <w:rsid w:val="54EC9187"/>
    <w:rsid w:val="5573C81D"/>
    <w:rsid w:val="557B1E3F"/>
    <w:rsid w:val="55A2F0C2"/>
    <w:rsid w:val="55D7CC76"/>
    <w:rsid w:val="561C8D0D"/>
    <w:rsid w:val="569D0CA9"/>
    <w:rsid w:val="56CFF117"/>
    <w:rsid w:val="57339283"/>
    <w:rsid w:val="57660B40"/>
    <w:rsid w:val="576BAF51"/>
    <w:rsid w:val="57A265EF"/>
    <w:rsid w:val="5835FC64"/>
    <w:rsid w:val="583A250E"/>
    <w:rsid w:val="58455359"/>
    <w:rsid w:val="58589ABE"/>
    <w:rsid w:val="5916F864"/>
    <w:rsid w:val="592766F1"/>
    <w:rsid w:val="59285651"/>
    <w:rsid w:val="5933A34F"/>
    <w:rsid w:val="593ADA90"/>
    <w:rsid w:val="596B1A2A"/>
    <w:rsid w:val="596C958F"/>
    <w:rsid w:val="59BA2801"/>
    <w:rsid w:val="59E80E6A"/>
    <w:rsid w:val="5A489A6D"/>
    <w:rsid w:val="5AADB365"/>
    <w:rsid w:val="5AE0DE8F"/>
    <w:rsid w:val="5AEEAFD3"/>
    <w:rsid w:val="5AF60100"/>
    <w:rsid w:val="5B45DDA7"/>
    <w:rsid w:val="5B7356A1"/>
    <w:rsid w:val="5B7BB228"/>
    <w:rsid w:val="5C39218D"/>
    <w:rsid w:val="5C8B1600"/>
    <w:rsid w:val="5C9AD173"/>
    <w:rsid w:val="5CD67A66"/>
    <w:rsid w:val="5CD6ACF8"/>
    <w:rsid w:val="5CFDAB4D"/>
    <w:rsid w:val="5D04DCE2"/>
    <w:rsid w:val="5D3263E9"/>
    <w:rsid w:val="5D5165F6"/>
    <w:rsid w:val="5D705F15"/>
    <w:rsid w:val="5E0018ED"/>
    <w:rsid w:val="5E392D16"/>
    <w:rsid w:val="5E71D791"/>
    <w:rsid w:val="5EB0D7A4"/>
    <w:rsid w:val="5EB7F7B3"/>
    <w:rsid w:val="5EBAEDF7"/>
    <w:rsid w:val="5EFD61A9"/>
    <w:rsid w:val="5F0A4552"/>
    <w:rsid w:val="5F0CD433"/>
    <w:rsid w:val="5F4AA4F5"/>
    <w:rsid w:val="5F76C136"/>
    <w:rsid w:val="5FE89F1D"/>
    <w:rsid w:val="602CAE23"/>
    <w:rsid w:val="605623B9"/>
    <w:rsid w:val="60B88A69"/>
    <w:rsid w:val="610B0B29"/>
    <w:rsid w:val="61116B2F"/>
    <w:rsid w:val="6186DB5B"/>
    <w:rsid w:val="619D4E79"/>
    <w:rsid w:val="61B0C262"/>
    <w:rsid w:val="61BBA222"/>
    <w:rsid w:val="629BED99"/>
    <w:rsid w:val="6321845C"/>
    <w:rsid w:val="638E7A10"/>
    <w:rsid w:val="639E8F94"/>
    <w:rsid w:val="63D595F7"/>
    <w:rsid w:val="641D5927"/>
    <w:rsid w:val="6442D3BA"/>
    <w:rsid w:val="64521FDF"/>
    <w:rsid w:val="647A7CA8"/>
    <w:rsid w:val="64815CC7"/>
    <w:rsid w:val="64837DA3"/>
    <w:rsid w:val="64B354FC"/>
    <w:rsid w:val="64CC94E3"/>
    <w:rsid w:val="65025624"/>
    <w:rsid w:val="657D0742"/>
    <w:rsid w:val="65A8ABCB"/>
    <w:rsid w:val="65E4A9B8"/>
    <w:rsid w:val="663008F8"/>
    <w:rsid w:val="66DC58AC"/>
    <w:rsid w:val="66EDDA2C"/>
    <w:rsid w:val="66FD5F6E"/>
    <w:rsid w:val="67564141"/>
    <w:rsid w:val="67BE6EF0"/>
    <w:rsid w:val="67E33ED4"/>
    <w:rsid w:val="67ED2C20"/>
    <w:rsid w:val="680B6BE6"/>
    <w:rsid w:val="6848A7E0"/>
    <w:rsid w:val="685E1962"/>
    <w:rsid w:val="6863CBD8"/>
    <w:rsid w:val="6866A2B3"/>
    <w:rsid w:val="68C270BA"/>
    <w:rsid w:val="68F8A2D4"/>
    <w:rsid w:val="69C0AD8F"/>
    <w:rsid w:val="6A0525F8"/>
    <w:rsid w:val="6A0F945D"/>
    <w:rsid w:val="6A83E762"/>
    <w:rsid w:val="6AD26969"/>
    <w:rsid w:val="6B5C996C"/>
    <w:rsid w:val="6B6466C4"/>
    <w:rsid w:val="6BA52E95"/>
    <w:rsid w:val="6BF7F7F5"/>
    <w:rsid w:val="6C3FA8B1"/>
    <w:rsid w:val="6CA15EB7"/>
    <w:rsid w:val="6D7B9459"/>
    <w:rsid w:val="6DCC13F7"/>
    <w:rsid w:val="6DE2752A"/>
    <w:rsid w:val="6DF1AF15"/>
    <w:rsid w:val="6E19FE28"/>
    <w:rsid w:val="6E2B8F4D"/>
    <w:rsid w:val="6EA96A9F"/>
    <w:rsid w:val="6ECB9F18"/>
    <w:rsid w:val="6ED640D0"/>
    <w:rsid w:val="6EE7FE25"/>
    <w:rsid w:val="6EEE4797"/>
    <w:rsid w:val="6F536A36"/>
    <w:rsid w:val="6F8154EE"/>
    <w:rsid w:val="6F86ADC5"/>
    <w:rsid w:val="6FA5DA8C"/>
    <w:rsid w:val="6FAAB735"/>
    <w:rsid w:val="6FC93B9C"/>
    <w:rsid w:val="7049FBC8"/>
    <w:rsid w:val="706CFB03"/>
    <w:rsid w:val="70DA8506"/>
    <w:rsid w:val="712E8D42"/>
    <w:rsid w:val="712EC738"/>
    <w:rsid w:val="714BF101"/>
    <w:rsid w:val="7155C332"/>
    <w:rsid w:val="71A9E517"/>
    <w:rsid w:val="71F19BE1"/>
    <w:rsid w:val="720B3D7D"/>
    <w:rsid w:val="7212B312"/>
    <w:rsid w:val="7231A675"/>
    <w:rsid w:val="7269225E"/>
    <w:rsid w:val="7274BE76"/>
    <w:rsid w:val="738AB74D"/>
    <w:rsid w:val="738FCAEA"/>
    <w:rsid w:val="73A43352"/>
    <w:rsid w:val="73EF8BA8"/>
    <w:rsid w:val="73F9D1FB"/>
    <w:rsid w:val="741030C6"/>
    <w:rsid w:val="7428CEA4"/>
    <w:rsid w:val="74794BAF"/>
    <w:rsid w:val="74CC2860"/>
    <w:rsid w:val="74E67D71"/>
    <w:rsid w:val="74FBE084"/>
    <w:rsid w:val="74FF3BE1"/>
    <w:rsid w:val="7525F8D1"/>
    <w:rsid w:val="7532AEDB"/>
    <w:rsid w:val="75D6CBCD"/>
    <w:rsid w:val="75E02B46"/>
    <w:rsid w:val="762A52F6"/>
    <w:rsid w:val="76A4BDC7"/>
    <w:rsid w:val="76CC81D3"/>
    <w:rsid w:val="76DB665B"/>
    <w:rsid w:val="7705F046"/>
    <w:rsid w:val="77094736"/>
    <w:rsid w:val="775193E0"/>
    <w:rsid w:val="77B81AC1"/>
    <w:rsid w:val="77E96230"/>
    <w:rsid w:val="77F5838F"/>
    <w:rsid w:val="7821F417"/>
    <w:rsid w:val="782C0985"/>
    <w:rsid w:val="78F0B9FD"/>
    <w:rsid w:val="7901E6E7"/>
    <w:rsid w:val="7947ACBA"/>
    <w:rsid w:val="79790AF2"/>
    <w:rsid w:val="79D7F26D"/>
    <w:rsid w:val="7A30FDE2"/>
    <w:rsid w:val="7A591C1F"/>
    <w:rsid w:val="7AA40439"/>
    <w:rsid w:val="7AFCA578"/>
    <w:rsid w:val="7B2D6009"/>
    <w:rsid w:val="7BA5ED3F"/>
    <w:rsid w:val="7BA9F82C"/>
    <w:rsid w:val="7BAA166C"/>
    <w:rsid w:val="7BB66E7F"/>
    <w:rsid w:val="7BDA26A2"/>
    <w:rsid w:val="7C3CA6EB"/>
    <w:rsid w:val="7D0549E3"/>
    <w:rsid w:val="7D2101F6"/>
    <w:rsid w:val="7D23A051"/>
    <w:rsid w:val="7D41FCBF"/>
    <w:rsid w:val="7D5BF45E"/>
    <w:rsid w:val="7D91DB7F"/>
    <w:rsid w:val="7DA4BC59"/>
    <w:rsid w:val="7DDB41B4"/>
    <w:rsid w:val="7DEE21E6"/>
    <w:rsid w:val="7EB07F4B"/>
    <w:rsid w:val="7ECC7FBE"/>
    <w:rsid w:val="7ED09828"/>
    <w:rsid w:val="7F00A3E8"/>
    <w:rsid w:val="7FA4F21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A3709"/>
  <w15:chartTrackingRefBased/>
  <w15:docId w15:val="{4B059688-5E36-431B-9E64-438C4DAD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15" w:unhideWhenUsed="1" w:qFormat="1"/>
    <w:lsdException w:name="heading 4" w:semiHidden="1" w:uiPriority="15"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5C3"/>
    <w:pPr>
      <w:spacing w:after="0" w:line="240" w:lineRule="auto"/>
    </w:pPr>
    <w:rPr>
      <w:rFonts w:ascii="Arial" w:hAnsi="Arial"/>
      <w:sz w:val="20"/>
    </w:rPr>
  </w:style>
  <w:style w:type="paragraph" w:styleId="Heading1">
    <w:name w:val="heading 1"/>
    <w:basedOn w:val="Normal"/>
    <w:next w:val="Normal"/>
    <w:link w:val="Heading1Char"/>
    <w:uiPriority w:val="1"/>
    <w:qFormat/>
    <w:rsid w:val="00725CAF"/>
    <w:pPr>
      <w:outlineLvl w:val="0"/>
    </w:pPr>
    <w:rPr>
      <w:rFonts w:eastAsiaTheme="majorEastAsia" w:cstheme="majorBidi"/>
      <w:b/>
      <w:szCs w:val="32"/>
    </w:rPr>
  </w:style>
  <w:style w:type="paragraph" w:styleId="Heading2">
    <w:name w:val="heading 2"/>
    <w:basedOn w:val="Normal"/>
    <w:next w:val="Normal"/>
    <w:link w:val="Heading2Char"/>
    <w:uiPriority w:val="2"/>
    <w:qFormat/>
    <w:rsid w:val="00725CAF"/>
    <w:pPr>
      <w:keepNext/>
      <w:keepLines/>
      <w:outlineLvl w:val="1"/>
    </w:pPr>
    <w:rPr>
      <w:rFonts w:eastAsiaTheme="majorEastAsia" w:cstheme="majorBidi"/>
      <w:b/>
      <w:i/>
      <w:szCs w:val="26"/>
    </w:rPr>
  </w:style>
  <w:style w:type="paragraph" w:styleId="Heading3">
    <w:name w:val="heading 3"/>
    <w:basedOn w:val="Normal"/>
    <w:next w:val="Normal"/>
    <w:link w:val="Heading3Char"/>
    <w:uiPriority w:val="15"/>
    <w:unhideWhenUsed/>
    <w:qFormat/>
    <w:rsid w:val="008D6B9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5"/>
    <w:semiHidden/>
    <w:unhideWhenUsed/>
    <w:qFormat/>
    <w:rsid w:val="0061548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15"/>
    <w:semiHidden/>
    <w:unhideWhenUsed/>
    <w:qFormat/>
    <w:rsid w:val="0061548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15"/>
    <w:semiHidden/>
    <w:unhideWhenUsed/>
    <w:qFormat/>
    <w:rsid w:val="00615486"/>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15"/>
    <w:semiHidden/>
    <w:unhideWhenUsed/>
    <w:qFormat/>
    <w:rsid w:val="00615486"/>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15"/>
    <w:semiHidden/>
    <w:unhideWhenUsed/>
    <w:qFormat/>
    <w:rsid w:val="0061548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5"/>
    <w:semiHidden/>
    <w:unhideWhenUsed/>
    <w:qFormat/>
    <w:rsid w:val="0061548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next w:val="Normal"/>
    <w:link w:val="SectionHeaderChar"/>
    <w:uiPriority w:val="10"/>
    <w:qFormat/>
    <w:rsid w:val="00725CAF"/>
    <w:rPr>
      <w:sz w:val="26"/>
    </w:rPr>
  </w:style>
  <w:style w:type="character" w:customStyle="1" w:styleId="SectionHeaderChar">
    <w:name w:val="Section Header Char"/>
    <w:basedOn w:val="DefaultParagraphFont"/>
    <w:link w:val="SectionHeader"/>
    <w:uiPriority w:val="10"/>
    <w:rsid w:val="00725CAF"/>
    <w:rPr>
      <w:rFonts w:ascii="Arial" w:hAnsi="Arial"/>
      <w:sz w:val="26"/>
    </w:rPr>
  </w:style>
  <w:style w:type="paragraph" w:customStyle="1" w:styleId="Sub-header">
    <w:name w:val="Sub-header"/>
    <w:basedOn w:val="Normal"/>
    <w:next w:val="Normal"/>
    <w:link w:val="Sub-headerChar"/>
    <w:uiPriority w:val="3"/>
    <w:qFormat/>
    <w:rsid w:val="00725CAF"/>
    <w:rPr>
      <w:i/>
    </w:rPr>
  </w:style>
  <w:style w:type="paragraph" w:customStyle="1" w:styleId="Single">
    <w:name w:val="Single"/>
    <w:basedOn w:val="Normal"/>
    <w:uiPriority w:val="12"/>
    <w:qFormat/>
    <w:rsid w:val="00725CAF"/>
    <w:pPr>
      <w:spacing w:after="130"/>
    </w:pPr>
    <w:rPr>
      <w:u w:val="single"/>
    </w:rPr>
  </w:style>
  <w:style w:type="paragraph" w:customStyle="1" w:styleId="Double">
    <w:name w:val="Double"/>
    <w:basedOn w:val="Normal"/>
    <w:uiPriority w:val="13"/>
    <w:qFormat/>
    <w:rsid w:val="00725CAF"/>
    <w:pPr>
      <w:spacing w:after="130"/>
    </w:pPr>
    <w:rPr>
      <w:u w:val="double"/>
    </w:rPr>
  </w:style>
  <w:style w:type="paragraph" w:customStyle="1" w:styleId="ACSectionTOCHeading">
    <w:name w:val="AC Section TOC Heading"/>
    <w:basedOn w:val="SectionHeader"/>
    <w:next w:val="Normal"/>
    <w:link w:val="ACSectionTOCHeadingChar"/>
    <w:uiPriority w:val="11"/>
    <w:qFormat/>
    <w:rsid w:val="00725CAF"/>
  </w:style>
  <w:style w:type="paragraph" w:customStyle="1" w:styleId="CompanyName">
    <w:name w:val="Company Name"/>
    <w:basedOn w:val="Normal"/>
    <w:next w:val="SectionHeader"/>
    <w:uiPriority w:val="9"/>
    <w:qFormat/>
    <w:rsid w:val="00725CAF"/>
    <w:rPr>
      <w:sz w:val="32"/>
    </w:rPr>
  </w:style>
  <w:style w:type="paragraph" w:customStyle="1" w:styleId="NotesHeading">
    <w:name w:val="Notes Heading"/>
    <w:basedOn w:val="Normal"/>
    <w:next w:val="NotesBody"/>
    <w:uiPriority w:val="5"/>
    <w:qFormat/>
    <w:rsid w:val="00725CAF"/>
    <w:pPr>
      <w:ind w:left="448" w:hanging="448"/>
    </w:pPr>
    <w:rPr>
      <w:b/>
    </w:rPr>
  </w:style>
  <w:style w:type="paragraph" w:customStyle="1" w:styleId="NotesBody">
    <w:name w:val="Notes Body"/>
    <w:basedOn w:val="NotesHeading"/>
    <w:uiPriority w:val="4"/>
    <w:qFormat/>
    <w:rsid w:val="00725CAF"/>
    <w:pPr>
      <w:ind w:firstLine="0"/>
    </w:pPr>
    <w:rPr>
      <w:b w:val="0"/>
    </w:rPr>
  </w:style>
  <w:style w:type="paragraph" w:customStyle="1" w:styleId="H1Notes">
    <w:name w:val="H1 Notes"/>
    <w:basedOn w:val="Heading1"/>
    <w:next w:val="NotesBody"/>
    <w:uiPriority w:val="6"/>
    <w:qFormat/>
    <w:rsid w:val="00725CAF"/>
    <w:pPr>
      <w:ind w:left="446"/>
    </w:pPr>
  </w:style>
  <w:style w:type="character" w:customStyle="1" w:styleId="Heading1Char">
    <w:name w:val="Heading 1 Char"/>
    <w:basedOn w:val="DefaultParagraphFont"/>
    <w:link w:val="Heading1"/>
    <w:uiPriority w:val="1"/>
    <w:rsid w:val="00725CAF"/>
    <w:rPr>
      <w:rFonts w:ascii="Arial" w:eastAsiaTheme="majorEastAsia" w:hAnsi="Arial" w:cstheme="majorBidi"/>
      <w:b/>
      <w:sz w:val="20"/>
      <w:szCs w:val="32"/>
    </w:rPr>
  </w:style>
  <w:style w:type="paragraph" w:customStyle="1" w:styleId="H2Notes">
    <w:name w:val="H2 Notes"/>
    <w:basedOn w:val="Heading2"/>
    <w:next w:val="NotesBody"/>
    <w:uiPriority w:val="7"/>
    <w:qFormat/>
    <w:rsid w:val="00725CAF"/>
    <w:pPr>
      <w:ind w:left="448"/>
    </w:pPr>
  </w:style>
  <w:style w:type="character" w:customStyle="1" w:styleId="Heading2Char">
    <w:name w:val="Heading 2 Char"/>
    <w:basedOn w:val="DefaultParagraphFont"/>
    <w:link w:val="Heading2"/>
    <w:uiPriority w:val="2"/>
    <w:rsid w:val="00725CAF"/>
    <w:rPr>
      <w:rFonts w:ascii="Arial" w:eastAsiaTheme="majorEastAsia" w:hAnsi="Arial" w:cstheme="majorBidi"/>
      <w:b/>
      <w:i/>
      <w:sz w:val="20"/>
      <w:szCs w:val="26"/>
    </w:rPr>
  </w:style>
  <w:style w:type="paragraph" w:customStyle="1" w:styleId="SubHNotes">
    <w:name w:val="SubH Notes"/>
    <w:basedOn w:val="Sub-header"/>
    <w:next w:val="NotesBody"/>
    <w:uiPriority w:val="8"/>
    <w:qFormat/>
    <w:rsid w:val="00725CAF"/>
    <w:pPr>
      <w:ind w:left="448"/>
    </w:pPr>
  </w:style>
  <w:style w:type="paragraph" w:customStyle="1" w:styleId="TOC">
    <w:name w:val="TOC"/>
    <w:basedOn w:val="Normal"/>
    <w:uiPriority w:val="14"/>
    <w:qFormat/>
    <w:rsid w:val="00725CAF"/>
    <w:pPr>
      <w:tabs>
        <w:tab w:val="right" w:pos="7920"/>
      </w:tabs>
    </w:pPr>
  </w:style>
  <w:style w:type="paragraph" w:styleId="NoSpacing">
    <w:name w:val="No Spacing"/>
    <w:link w:val="NoSpacingChar"/>
    <w:uiPriority w:val="15"/>
    <w:qFormat/>
    <w:rsid w:val="00725CAF"/>
    <w:pPr>
      <w:spacing w:after="0" w:line="240" w:lineRule="auto"/>
    </w:pPr>
    <w:rPr>
      <w:rFonts w:ascii="Arial" w:hAnsi="Arial"/>
      <w:sz w:val="20"/>
    </w:rPr>
  </w:style>
  <w:style w:type="paragraph" w:styleId="Header">
    <w:name w:val="header"/>
    <w:basedOn w:val="Normal"/>
    <w:link w:val="HeaderChar"/>
    <w:uiPriority w:val="99"/>
    <w:unhideWhenUsed/>
    <w:rsid w:val="005035CE"/>
    <w:pPr>
      <w:tabs>
        <w:tab w:val="center" w:pos="4513"/>
        <w:tab w:val="right" w:pos="9026"/>
      </w:tabs>
    </w:pPr>
  </w:style>
  <w:style w:type="character" w:customStyle="1" w:styleId="HeaderChar">
    <w:name w:val="Header Char"/>
    <w:basedOn w:val="DefaultParagraphFont"/>
    <w:link w:val="Header"/>
    <w:uiPriority w:val="99"/>
    <w:rsid w:val="005035CE"/>
    <w:rPr>
      <w:rFonts w:ascii="Arial" w:hAnsi="Arial"/>
      <w:sz w:val="20"/>
    </w:rPr>
  </w:style>
  <w:style w:type="paragraph" w:styleId="Footer">
    <w:name w:val="footer"/>
    <w:basedOn w:val="Normal"/>
    <w:link w:val="FooterChar"/>
    <w:uiPriority w:val="99"/>
    <w:unhideWhenUsed/>
    <w:rsid w:val="005035CE"/>
    <w:pPr>
      <w:tabs>
        <w:tab w:val="center" w:pos="4513"/>
        <w:tab w:val="right" w:pos="9026"/>
      </w:tabs>
    </w:pPr>
  </w:style>
  <w:style w:type="character" w:customStyle="1" w:styleId="FooterChar">
    <w:name w:val="Footer Char"/>
    <w:basedOn w:val="DefaultParagraphFont"/>
    <w:link w:val="Footer"/>
    <w:uiPriority w:val="99"/>
    <w:rsid w:val="005035CE"/>
    <w:rPr>
      <w:rFonts w:ascii="Arial" w:hAnsi="Arial"/>
      <w:sz w:val="20"/>
    </w:rPr>
  </w:style>
  <w:style w:type="table" w:styleId="TableGrid">
    <w:name w:val="Table Grid"/>
    <w:basedOn w:val="TableNormal"/>
    <w:uiPriority w:val="59"/>
    <w:rsid w:val="00FD1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3A8"/>
    <w:pPr>
      <w:ind w:left="720"/>
      <w:contextualSpacing/>
    </w:pPr>
  </w:style>
  <w:style w:type="paragraph" w:styleId="BalloonText">
    <w:name w:val="Balloon Text"/>
    <w:basedOn w:val="Normal"/>
    <w:link w:val="BalloonTextChar"/>
    <w:uiPriority w:val="99"/>
    <w:semiHidden/>
    <w:unhideWhenUsed/>
    <w:rsid w:val="00254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942"/>
    <w:rPr>
      <w:rFonts w:ascii="Segoe UI" w:hAnsi="Segoe UI" w:cs="Segoe UI"/>
      <w:sz w:val="18"/>
      <w:szCs w:val="18"/>
    </w:rPr>
  </w:style>
  <w:style w:type="paragraph" w:styleId="BodyText">
    <w:name w:val="Body Text"/>
    <w:basedOn w:val="Normal"/>
    <w:link w:val="BodyTextChar"/>
    <w:uiPriority w:val="1"/>
    <w:rsid w:val="00D4100C"/>
    <w:pPr>
      <w:widowControl w:val="0"/>
      <w:ind w:left="139"/>
    </w:pPr>
    <w:rPr>
      <w:rFonts w:ascii="Times New Roman" w:eastAsia="Times New Roman" w:hAnsi="Times New Roman"/>
      <w:szCs w:val="20"/>
      <w:lang w:val="en-US"/>
    </w:rPr>
  </w:style>
  <w:style w:type="character" w:customStyle="1" w:styleId="BodyTextChar">
    <w:name w:val="Body Text Char"/>
    <w:basedOn w:val="DefaultParagraphFont"/>
    <w:link w:val="BodyText"/>
    <w:uiPriority w:val="1"/>
    <w:rsid w:val="00D4100C"/>
    <w:rPr>
      <w:rFonts w:ascii="Times New Roman" w:eastAsia="Times New Roman" w:hAnsi="Times New Roman"/>
      <w:sz w:val="20"/>
      <w:szCs w:val="20"/>
      <w:lang w:val="en-US"/>
    </w:rPr>
  </w:style>
  <w:style w:type="paragraph" w:customStyle="1" w:styleId="Companyname0">
    <w:name w:val="Company name"/>
    <w:basedOn w:val="Normal"/>
    <w:rsid w:val="00D03CE1"/>
    <w:rPr>
      <w:rFonts w:ascii="Times" w:eastAsia="Calibri" w:hAnsi="Times" w:cs="Times New Roman"/>
      <w:sz w:val="36"/>
      <w:lang w:eastAsia="en-IE"/>
    </w:rPr>
  </w:style>
  <w:style w:type="character" w:customStyle="1" w:styleId="ACSectionTOCHeadingChar">
    <w:name w:val="AC Section TOC Heading Char"/>
    <w:link w:val="ACSectionTOCHeading"/>
    <w:uiPriority w:val="11"/>
    <w:rsid w:val="00D03CE1"/>
    <w:rPr>
      <w:rFonts w:ascii="Arial" w:hAnsi="Arial"/>
      <w:sz w:val="26"/>
    </w:rPr>
  </w:style>
  <w:style w:type="character" w:customStyle="1" w:styleId="Sub-headerChar">
    <w:name w:val="Sub-header Char"/>
    <w:link w:val="Sub-header"/>
    <w:uiPriority w:val="3"/>
    <w:rsid w:val="00D03CE1"/>
    <w:rPr>
      <w:rFonts w:ascii="Arial" w:hAnsi="Arial"/>
      <w:i/>
      <w:sz w:val="20"/>
    </w:rPr>
  </w:style>
  <w:style w:type="character" w:styleId="Hyperlink">
    <w:name w:val="Hyperlink"/>
    <w:uiPriority w:val="99"/>
    <w:unhideWhenUsed/>
    <w:rsid w:val="00D03CE1"/>
    <w:rPr>
      <w:color w:val="0563C1"/>
      <w:u w:val="single"/>
    </w:rPr>
  </w:style>
  <w:style w:type="paragraph" w:customStyle="1" w:styleId="TableParagraph">
    <w:name w:val="Table Paragraph"/>
    <w:basedOn w:val="Normal"/>
    <w:uiPriority w:val="1"/>
    <w:rsid w:val="00F47F3F"/>
    <w:pPr>
      <w:widowControl w:val="0"/>
      <w:autoSpaceDE w:val="0"/>
      <w:autoSpaceDN w:val="0"/>
      <w:adjustRightInd w:val="0"/>
    </w:pPr>
    <w:rPr>
      <w:rFonts w:ascii="Times New Roman" w:eastAsiaTheme="minorEastAsia" w:hAnsi="Times New Roman" w:cs="Times New Roman"/>
      <w:sz w:val="24"/>
      <w:szCs w:val="24"/>
      <w:lang w:val="en-GB" w:eastAsia="en-GB"/>
    </w:rPr>
  </w:style>
  <w:style w:type="character" w:customStyle="1" w:styleId="block1">
    <w:name w:val="block1"/>
    <w:basedOn w:val="DefaultParagraphFont"/>
    <w:rsid w:val="004A36C0"/>
    <w:rPr>
      <w:rFonts w:ascii="Tahoma" w:hAnsi="Tahoma" w:cs="Tahoma" w:hint="default"/>
      <w:vanish/>
      <w:webHidden w:val="0"/>
      <w:sz w:val="20"/>
      <w:szCs w:val="20"/>
      <w:specVanish/>
    </w:rPr>
  </w:style>
  <w:style w:type="paragraph" w:customStyle="1" w:styleId="Bullet">
    <w:name w:val="Bullet"/>
    <w:basedOn w:val="Normal"/>
    <w:link w:val="BulletChar"/>
    <w:rsid w:val="004A36C0"/>
    <w:pPr>
      <w:numPr>
        <w:numId w:val="1"/>
      </w:numPr>
      <w:spacing w:after="130"/>
    </w:pPr>
    <w:rPr>
      <w:rFonts w:ascii="Times New Roman" w:hAnsi="Times New Roman" w:cs="Times New Roman"/>
      <w:sz w:val="22"/>
      <w:lang w:val="en-GB"/>
    </w:rPr>
  </w:style>
  <w:style w:type="paragraph" w:customStyle="1" w:styleId="Text">
    <w:name w:val="Text"/>
    <w:aliases w:val="t1,b,t"/>
    <w:basedOn w:val="Normal"/>
    <w:link w:val="TextChar"/>
    <w:rsid w:val="004A36C0"/>
    <w:pPr>
      <w:overflowPunct w:val="0"/>
      <w:autoSpaceDE w:val="0"/>
      <w:autoSpaceDN w:val="0"/>
      <w:adjustRightInd w:val="0"/>
      <w:spacing w:after="260"/>
      <w:textAlignment w:val="baseline"/>
    </w:pPr>
    <w:rPr>
      <w:rFonts w:ascii="Times New Roman" w:eastAsia="Times New Roman" w:hAnsi="Times New Roman" w:cs="Times New Roman"/>
      <w:sz w:val="22"/>
      <w:szCs w:val="20"/>
      <w:lang w:val="en-GB"/>
    </w:rPr>
  </w:style>
  <w:style w:type="character" w:customStyle="1" w:styleId="TextChar">
    <w:name w:val="Text Char"/>
    <w:basedOn w:val="DefaultParagraphFont"/>
    <w:link w:val="Text"/>
    <w:rsid w:val="004A36C0"/>
    <w:rPr>
      <w:rFonts w:ascii="Times New Roman" w:eastAsia="Times New Roman" w:hAnsi="Times New Roman" w:cs="Times New Roman"/>
      <w:szCs w:val="20"/>
      <w:lang w:val="en-GB"/>
    </w:rPr>
  </w:style>
  <w:style w:type="character" w:customStyle="1" w:styleId="BulletChar">
    <w:name w:val="Bullet Char"/>
    <w:link w:val="Bullet"/>
    <w:rsid w:val="004A36C0"/>
    <w:rPr>
      <w:rFonts w:ascii="Times New Roman" w:hAnsi="Times New Roman" w:cs="Times New Roman"/>
      <w:lang w:val="en-GB"/>
    </w:rPr>
  </w:style>
  <w:style w:type="character" w:customStyle="1" w:styleId="KAMKItalics">
    <w:name w:val="KAMKItalics"/>
    <w:basedOn w:val="DefaultParagraphFont"/>
    <w:uiPriority w:val="1"/>
    <w:rsid w:val="004A36C0"/>
    <w:rPr>
      <w:i/>
    </w:rPr>
  </w:style>
  <w:style w:type="paragraph" w:styleId="TOC1">
    <w:name w:val="toc 1"/>
    <w:basedOn w:val="Normal"/>
    <w:next w:val="Normal"/>
    <w:autoRedefine/>
    <w:uiPriority w:val="39"/>
    <w:unhideWhenUsed/>
    <w:rsid w:val="00A53385"/>
    <w:pPr>
      <w:tabs>
        <w:tab w:val="right" w:pos="7920"/>
      </w:tabs>
    </w:pPr>
    <w:rPr>
      <w:lang w:eastAsia="en-IE"/>
    </w:rPr>
  </w:style>
  <w:style w:type="character" w:styleId="CommentReference">
    <w:name w:val="annotation reference"/>
    <w:basedOn w:val="DefaultParagraphFont"/>
    <w:rsid w:val="00890DE2"/>
    <w:rPr>
      <w:sz w:val="16"/>
    </w:rPr>
  </w:style>
  <w:style w:type="paragraph" w:styleId="CommentText">
    <w:name w:val="annotation text"/>
    <w:basedOn w:val="Normal"/>
    <w:link w:val="CommentTextChar"/>
    <w:rsid w:val="00890DE2"/>
    <w:pPr>
      <w:overflowPunct w:val="0"/>
      <w:autoSpaceDE w:val="0"/>
      <w:autoSpaceDN w:val="0"/>
      <w:adjustRightInd w:val="0"/>
      <w:textAlignment w:val="baseline"/>
    </w:pPr>
    <w:rPr>
      <w:rFonts w:ascii="Times New Roman" w:eastAsia="Times New Roman" w:hAnsi="Times New Roman" w:cs="Times New Roman"/>
      <w:szCs w:val="20"/>
      <w:lang w:val="en-GB"/>
    </w:rPr>
  </w:style>
  <w:style w:type="character" w:customStyle="1" w:styleId="CommentTextChar">
    <w:name w:val="Comment Text Char"/>
    <w:basedOn w:val="DefaultParagraphFont"/>
    <w:link w:val="CommentText"/>
    <w:rsid w:val="00890DE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07D49"/>
    <w:pPr>
      <w:overflowPunct/>
      <w:autoSpaceDE/>
      <w:autoSpaceDN/>
      <w:adjustRightInd/>
      <w:textAlignment w:val="auto"/>
    </w:pPr>
    <w:rPr>
      <w:rFonts w:ascii="Arial" w:eastAsiaTheme="minorHAnsi" w:hAnsi="Arial" w:cstheme="minorBidi"/>
      <w:b/>
      <w:bCs/>
      <w:lang w:val="en-IE"/>
    </w:rPr>
  </w:style>
  <w:style w:type="character" w:customStyle="1" w:styleId="CommentSubjectChar">
    <w:name w:val="Comment Subject Char"/>
    <w:basedOn w:val="CommentTextChar"/>
    <w:link w:val="CommentSubject"/>
    <w:uiPriority w:val="99"/>
    <w:semiHidden/>
    <w:rsid w:val="00A07D49"/>
    <w:rPr>
      <w:rFonts w:ascii="Arial" w:eastAsia="Times New Roman" w:hAnsi="Arial" w:cs="Times New Roman"/>
      <w:b/>
      <w:bCs/>
      <w:sz w:val="20"/>
      <w:szCs w:val="20"/>
      <w:lang w:val="en-GB"/>
    </w:rPr>
  </w:style>
  <w:style w:type="character" w:customStyle="1" w:styleId="NoSpacingChar">
    <w:name w:val="No Spacing Char"/>
    <w:basedOn w:val="DefaultParagraphFont"/>
    <w:link w:val="NoSpacing"/>
    <w:uiPriority w:val="15"/>
    <w:rsid w:val="00B1244B"/>
    <w:rPr>
      <w:rFonts w:ascii="Arial" w:hAnsi="Arial"/>
      <w:sz w:val="20"/>
    </w:rPr>
  </w:style>
  <w:style w:type="paragraph" w:customStyle="1" w:styleId="Text1bullet">
    <w:name w:val="Text 1 bullet"/>
    <w:basedOn w:val="Normal"/>
    <w:locked/>
    <w:rsid w:val="006336E4"/>
    <w:pPr>
      <w:overflowPunct w:val="0"/>
      <w:autoSpaceDE w:val="0"/>
      <w:autoSpaceDN w:val="0"/>
      <w:spacing w:before="100"/>
      <w:ind w:left="440" w:right="300" w:hanging="440"/>
      <w:jc w:val="both"/>
    </w:pPr>
    <w:rPr>
      <w:rFonts w:ascii="Times" w:eastAsia="Times New Roman" w:hAnsi="Times" w:cs="Times New Roman"/>
      <w:color w:val="093161"/>
      <w:szCs w:val="20"/>
      <w:lang w:eastAsia="en-IE"/>
    </w:rPr>
  </w:style>
  <w:style w:type="paragraph" w:customStyle="1" w:styleId="CM19">
    <w:name w:val="CM19"/>
    <w:basedOn w:val="Normal"/>
    <w:uiPriority w:val="99"/>
    <w:rsid w:val="00715C88"/>
    <w:pPr>
      <w:autoSpaceDE w:val="0"/>
      <w:autoSpaceDN w:val="0"/>
    </w:pPr>
    <w:rPr>
      <w:rFonts w:cs="Arial"/>
      <w:sz w:val="24"/>
      <w:szCs w:val="24"/>
    </w:rPr>
  </w:style>
  <w:style w:type="paragraph" w:customStyle="1" w:styleId="Body1ALG">
    <w:name w:val="Body 1 ALG"/>
    <w:uiPriority w:val="1"/>
    <w:qFormat/>
    <w:rsid w:val="00744ABD"/>
    <w:pPr>
      <w:spacing w:before="240" w:after="0" w:line="288" w:lineRule="auto"/>
      <w:ind w:left="624"/>
      <w:jc w:val="both"/>
    </w:pPr>
    <w:rPr>
      <w:rFonts w:ascii="Arial" w:hAnsi="Arial"/>
      <w:sz w:val="19"/>
      <w:szCs w:val="19"/>
    </w:rPr>
  </w:style>
  <w:style w:type="paragraph" w:customStyle="1" w:styleId="ALGNo1">
    <w:name w:val="ALG No 1"/>
    <w:uiPriority w:val="1"/>
    <w:qFormat/>
    <w:rsid w:val="00994FDB"/>
    <w:pPr>
      <w:numPr>
        <w:numId w:val="3"/>
      </w:numPr>
      <w:spacing w:before="240" w:after="0" w:line="288" w:lineRule="auto"/>
      <w:jc w:val="both"/>
    </w:pPr>
    <w:rPr>
      <w:rFonts w:ascii="Arial" w:hAnsi="Arial"/>
      <w:sz w:val="19"/>
      <w:szCs w:val="19"/>
    </w:rPr>
  </w:style>
  <w:style w:type="paragraph" w:customStyle="1" w:styleId="ALGNo2">
    <w:name w:val="ALG No 2"/>
    <w:uiPriority w:val="1"/>
    <w:qFormat/>
    <w:rsid w:val="00994FDB"/>
    <w:pPr>
      <w:numPr>
        <w:ilvl w:val="1"/>
        <w:numId w:val="3"/>
      </w:numPr>
      <w:spacing w:before="240" w:after="0" w:line="288" w:lineRule="auto"/>
      <w:jc w:val="both"/>
    </w:pPr>
    <w:rPr>
      <w:rFonts w:ascii="Arial" w:hAnsi="Arial"/>
      <w:sz w:val="19"/>
      <w:szCs w:val="19"/>
    </w:rPr>
  </w:style>
  <w:style w:type="paragraph" w:customStyle="1" w:styleId="ALGNo3">
    <w:name w:val="ALG No 3"/>
    <w:uiPriority w:val="1"/>
    <w:qFormat/>
    <w:rsid w:val="00994FDB"/>
    <w:pPr>
      <w:numPr>
        <w:ilvl w:val="2"/>
        <w:numId w:val="3"/>
      </w:numPr>
      <w:spacing w:before="240" w:after="0" w:line="288" w:lineRule="auto"/>
      <w:jc w:val="both"/>
    </w:pPr>
    <w:rPr>
      <w:rFonts w:ascii="Arial" w:hAnsi="Arial"/>
      <w:sz w:val="19"/>
      <w:szCs w:val="19"/>
    </w:rPr>
  </w:style>
  <w:style w:type="paragraph" w:customStyle="1" w:styleId="ALGNo4">
    <w:name w:val="ALG No 4"/>
    <w:uiPriority w:val="1"/>
    <w:qFormat/>
    <w:rsid w:val="00994FDB"/>
    <w:pPr>
      <w:numPr>
        <w:ilvl w:val="3"/>
        <w:numId w:val="3"/>
      </w:numPr>
      <w:spacing w:before="240" w:after="0" w:line="288" w:lineRule="auto"/>
      <w:jc w:val="both"/>
    </w:pPr>
    <w:rPr>
      <w:rFonts w:ascii="Arial" w:hAnsi="Arial"/>
      <w:sz w:val="19"/>
      <w:szCs w:val="19"/>
    </w:rPr>
  </w:style>
  <w:style w:type="paragraph" w:customStyle="1" w:styleId="ALGNo5">
    <w:name w:val="ALG No 5"/>
    <w:uiPriority w:val="1"/>
    <w:qFormat/>
    <w:rsid w:val="00994FDB"/>
    <w:pPr>
      <w:numPr>
        <w:ilvl w:val="4"/>
        <w:numId w:val="3"/>
      </w:numPr>
      <w:spacing w:before="240" w:after="0" w:line="288" w:lineRule="auto"/>
      <w:jc w:val="both"/>
    </w:pPr>
    <w:rPr>
      <w:rFonts w:ascii="Arial" w:hAnsi="Arial"/>
      <w:sz w:val="19"/>
      <w:szCs w:val="19"/>
    </w:rPr>
  </w:style>
  <w:style w:type="paragraph" w:customStyle="1" w:styleId="ALGNo6">
    <w:name w:val="ALG No 6"/>
    <w:uiPriority w:val="1"/>
    <w:unhideWhenUsed/>
    <w:qFormat/>
    <w:rsid w:val="00994FDB"/>
    <w:pPr>
      <w:numPr>
        <w:ilvl w:val="5"/>
        <w:numId w:val="3"/>
      </w:numPr>
      <w:spacing w:before="240" w:after="0" w:line="288" w:lineRule="auto"/>
      <w:jc w:val="both"/>
    </w:pPr>
    <w:rPr>
      <w:rFonts w:ascii="Arial" w:hAnsi="Arial"/>
      <w:sz w:val="19"/>
      <w:szCs w:val="19"/>
    </w:rPr>
  </w:style>
  <w:style w:type="paragraph" w:customStyle="1" w:styleId="ALGNo7">
    <w:name w:val="ALG No 7"/>
    <w:uiPriority w:val="1"/>
    <w:unhideWhenUsed/>
    <w:qFormat/>
    <w:rsid w:val="00994FDB"/>
    <w:pPr>
      <w:numPr>
        <w:ilvl w:val="6"/>
        <w:numId w:val="3"/>
      </w:numPr>
      <w:spacing w:before="240" w:after="0" w:line="288" w:lineRule="auto"/>
      <w:jc w:val="both"/>
    </w:pPr>
    <w:rPr>
      <w:rFonts w:ascii="Arial" w:hAnsi="Arial"/>
      <w:sz w:val="19"/>
      <w:szCs w:val="19"/>
    </w:rPr>
  </w:style>
  <w:style w:type="table" w:styleId="TableGridLight">
    <w:name w:val="Grid Table Light"/>
    <w:basedOn w:val="TableNormal"/>
    <w:uiPriority w:val="40"/>
    <w:rsid w:val="007C3F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7C3F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1C43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C43CD"/>
    <w:rPr>
      <w:vertAlign w:val="superscript"/>
    </w:rPr>
  </w:style>
  <w:style w:type="paragraph" w:styleId="FootnoteText">
    <w:name w:val="footnote text"/>
    <w:aliases w:val="ARM footnote Text,Footnote Text Char2,Footnote Text Char11,Footnote Text Char3,Footnote Text Char4,Footnote Text Char5,Footnote Text Char6,Footnote Text Char12,Footnote Text Char21,Footnote Text Char31,Footnote New,Ch"/>
    <w:basedOn w:val="Normal"/>
    <w:link w:val="FootnoteTextChar"/>
    <w:semiHidden/>
    <w:unhideWhenUsed/>
    <w:rsid w:val="001C43CD"/>
    <w:rPr>
      <w:rFonts w:ascii="Calibri" w:hAnsi="Calibri"/>
      <w:szCs w:val="20"/>
      <w:lang w:val="en-GB"/>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h Char"/>
    <w:basedOn w:val="DefaultParagraphFont"/>
    <w:link w:val="FootnoteText"/>
    <w:semiHidden/>
    <w:rsid w:val="001C43CD"/>
    <w:rPr>
      <w:rFonts w:ascii="Calibri" w:hAnsi="Calibri"/>
      <w:sz w:val="20"/>
      <w:szCs w:val="20"/>
      <w:lang w:val="en-GB"/>
    </w:rPr>
  </w:style>
  <w:style w:type="character" w:customStyle="1" w:styleId="Heading3Char">
    <w:name w:val="Heading 3 Char"/>
    <w:basedOn w:val="DefaultParagraphFont"/>
    <w:link w:val="Heading3"/>
    <w:uiPriority w:val="15"/>
    <w:rsid w:val="008D6B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5"/>
    <w:semiHidden/>
    <w:rsid w:val="00615486"/>
    <w:rPr>
      <w:rFonts w:asciiTheme="majorHAnsi" w:eastAsiaTheme="majorEastAsia" w:hAnsiTheme="majorHAnsi" w:cstheme="majorBidi"/>
      <w:i/>
      <w:iCs/>
      <w:color w:val="2E74B5" w:themeColor="accent1" w:themeShade="BF"/>
      <w:sz w:val="20"/>
    </w:rPr>
  </w:style>
  <w:style w:type="character" w:customStyle="1" w:styleId="Heading5Char">
    <w:name w:val="Heading 5 Char"/>
    <w:basedOn w:val="DefaultParagraphFont"/>
    <w:link w:val="Heading5"/>
    <w:uiPriority w:val="15"/>
    <w:semiHidden/>
    <w:rsid w:val="00615486"/>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15"/>
    <w:semiHidden/>
    <w:rsid w:val="00615486"/>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15"/>
    <w:semiHidden/>
    <w:rsid w:val="00615486"/>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15"/>
    <w:semiHidden/>
    <w:rsid w:val="006154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5"/>
    <w:semiHidden/>
    <w:rsid w:val="00615486"/>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615486"/>
  </w:style>
  <w:style w:type="paragraph" w:styleId="BlockText">
    <w:name w:val="Block Text"/>
    <w:basedOn w:val="Normal"/>
    <w:uiPriority w:val="99"/>
    <w:semiHidden/>
    <w:unhideWhenUsed/>
    <w:rsid w:val="0061548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2">
    <w:name w:val="Body Text 2"/>
    <w:basedOn w:val="Normal"/>
    <w:link w:val="BodyText2Char"/>
    <w:uiPriority w:val="99"/>
    <w:semiHidden/>
    <w:unhideWhenUsed/>
    <w:rsid w:val="00615486"/>
    <w:pPr>
      <w:spacing w:after="120" w:line="480" w:lineRule="auto"/>
    </w:pPr>
  </w:style>
  <w:style w:type="character" w:customStyle="1" w:styleId="BodyText2Char">
    <w:name w:val="Body Text 2 Char"/>
    <w:basedOn w:val="DefaultParagraphFont"/>
    <w:link w:val="BodyText2"/>
    <w:uiPriority w:val="99"/>
    <w:semiHidden/>
    <w:rsid w:val="00615486"/>
    <w:rPr>
      <w:rFonts w:ascii="Arial" w:hAnsi="Arial"/>
      <w:sz w:val="20"/>
    </w:rPr>
  </w:style>
  <w:style w:type="paragraph" w:styleId="BodyText3">
    <w:name w:val="Body Text 3"/>
    <w:basedOn w:val="Normal"/>
    <w:link w:val="BodyText3Char"/>
    <w:uiPriority w:val="99"/>
    <w:semiHidden/>
    <w:unhideWhenUsed/>
    <w:rsid w:val="00615486"/>
    <w:pPr>
      <w:spacing w:after="120"/>
    </w:pPr>
    <w:rPr>
      <w:sz w:val="16"/>
      <w:szCs w:val="16"/>
    </w:rPr>
  </w:style>
  <w:style w:type="character" w:customStyle="1" w:styleId="BodyText3Char">
    <w:name w:val="Body Text 3 Char"/>
    <w:basedOn w:val="DefaultParagraphFont"/>
    <w:link w:val="BodyText3"/>
    <w:uiPriority w:val="99"/>
    <w:semiHidden/>
    <w:rsid w:val="00615486"/>
    <w:rPr>
      <w:rFonts w:ascii="Arial" w:hAnsi="Arial"/>
      <w:sz w:val="16"/>
      <w:szCs w:val="16"/>
    </w:rPr>
  </w:style>
  <w:style w:type="paragraph" w:styleId="BodyTextFirstIndent">
    <w:name w:val="Body Text First Indent"/>
    <w:basedOn w:val="BodyText"/>
    <w:link w:val="BodyTextFirstIndentChar"/>
    <w:uiPriority w:val="99"/>
    <w:semiHidden/>
    <w:unhideWhenUsed/>
    <w:rsid w:val="00615486"/>
    <w:pPr>
      <w:widowControl/>
      <w:ind w:left="0" w:firstLine="360"/>
    </w:pPr>
    <w:rPr>
      <w:rFonts w:ascii="Arial" w:eastAsiaTheme="minorHAnsi" w:hAnsi="Arial"/>
      <w:szCs w:val="22"/>
      <w:lang w:val="en-IE"/>
    </w:rPr>
  </w:style>
  <w:style w:type="character" w:customStyle="1" w:styleId="BodyTextFirstIndentChar">
    <w:name w:val="Body Text First Indent Char"/>
    <w:basedOn w:val="BodyTextChar"/>
    <w:link w:val="BodyTextFirstIndent"/>
    <w:uiPriority w:val="99"/>
    <w:semiHidden/>
    <w:rsid w:val="00615486"/>
    <w:rPr>
      <w:rFonts w:ascii="Arial" w:eastAsia="Times New Roman" w:hAnsi="Arial"/>
      <w:sz w:val="20"/>
      <w:szCs w:val="20"/>
      <w:lang w:val="en-US"/>
    </w:rPr>
  </w:style>
  <w:style w:type="paragraph" w:styleId="BodyTextIndent">
    <w:name w:val="Body Text Indent"/>
    <w:basedOn w:val="Normal"/>
    <w:link w:val="BodyTextIndentChar"/>
    <w:uiPriority w:val="99"/>
    <w:semiHidden/>
    <w:unhideWhenUsed/>
    <w:rsid w:val="00615486"/>
    <w:pPr>
      <w:spacing w:after="120"/>
      <w:ind w:left="283"/>
    </w:pPr>
  </w:style>
  <w:style w:type="character" w:customStyle="1" w:styleId="BodyTextIndentChar">
    <w:name w:val="Body Text Indent Char"/>
    <w:basedOn w:val="DefaultParagraphFont"/>
    <w:link w:val="BodyTextIndent"/>
    <w:uiPriority w:val="99"/>
    <w:semiHidden/>
    <w:rsid w:val="00615486"/>
    <w:rPr>
      <w:rFonts w:ascii="Arial" w:hAnsi="Arial"/>
      <w:sz w:val="20"/>
    </w:rPr>
  </w:style>
  <w:style w:type="paragraph" w:styleId="BodyTextFirstIndent2">
    <w:name w:val="Body Text First Indent 2"/>
    <w:basedOn w:val="BodyTextIndent"/>
    <w:link w:val="BodyTextFirstIndent2Char"/>
    <w:uiPriority w:val="99"/>
    <w:semiHidden/>
    <w:unhideWhenUsed/>
    <w:rsid w:val="00615486"/>
    <w:pPr>
      <w:spacing w:after="0"/>
      <w:ind w:left="360" w:firstLine="360"/>
    </w:pPr>
  </w:style>
  <w:style w:type="character" w:customStyle="1" w:styleId="BodyTextFirstIndent2Char">
    <w:name w:val="Body Text First Indent 2 Char"/>
    <w:basedOn w:val="BodyTextIndentChar"/>
    <w:link w:val="BodyTextFirstIndent2"/>
    <w:uiPriority w:val="99"/>
    <w:semiHidden/>
    <w:rsid w:val="00615486"/>
    <w:rPr>
      <w:rFonts w:ascii="Arial" w:hAnsi="Arial"/>
      <w:sz w:val="20"/>
    </w:rPr>
  </w:style>
  <w:style w:type="paragraph" w:styleId="BodyTextIndent2">
    <w:name w:val="Body Text Indent 2"/>
    <w:basedOn w:val="Normal"/>
    <w:link w:val="BodyTextIndent2Char"/>
    <w:uiPriority w:val="99"/>
    <w:semiHidden/>
    <w:unhideWhenUsed/>
    <w:rsid w:val="00615486"/>
    <w:pPr>
      <w:spacing w:after="120" w:line="480" w:lineRule="auto"/>
      <w:ind w:left="283"/>
    </w:pPr>
  </w:style>
  <w:style w:type="character" w:customStyle="1" w:styleId="BodyTextIndent2Char">
    <w:name w:val="Body Text Indent 2 Char"/>
    <w:basedOn w:val="DefaultParagraphFont"/>
    <w:link w:val="BodyTextIndent2"/>
    <w:uiPriority w:val="99"/>
    <w:semiHidden/>
    <w:rsid w:val="00615486"/>
    <w:rPr>
      <w:rFonts w:ascii="Arial" w:hAnsi="Arial"/>
      <w:sz w:val="20"/>
    </w:rPr>
  </w:style>
  <w:style w:type="paragraph" w:styleId="BodyTextIndent3">
    <w:name w:val="Body Text Indent 3"/>
    <w:basedOn w:val="Normal"/>
    <w:link w:val="BodyTextIndent3Char"/>
    <w:uiPriority w:val="99"/>
    <w:semiHidden/>
    <w:unhideWhenUsed/>
    <w:rsid w:val="0061548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15486"/>
    <w:rPr>
      <w:rFonts w:ascii="Arial" w:hAnsi="Arial"/>
      <w:sz w:val="16"/>
      <w:szCs w:val="16"/>
    </w:rPr>
  </w:style>
  <w:style w:type="paragraph" w:styleId="Caption">
    <w:name w:val="caption"/>
    <w:basedOn w:val="Normal"/>
    <w:next w:val="Normal"/>
    <w:uiPriority w:val="35"/>
    <w:semiHidden/>
    <w:unhideWhenUsed/>
    <w:qFormat/>
    <w:rsid w:val="00615486"/>
    <w:pPr>
      <w:spacing w:after="200"/>
    </w:pPr>
    <w:rPr>
      <w:i/>
      <w:iCs/>
      <w:color w:val="44546A" w:themeColor="text2"/>
      <w:sz w:val="18"/>
      <w:szCs w:val="18"/>
    </w:rPr>
  </w:style>
  <w:style w:type="paragraph" w:styleId="Closing">
    <w:name w:val="Closing"/>
    <w:basedOn w:val="Normal"/>
    <w:link w:val="ClosingChar"/>
    <w:uiPriority w:val="99"/>
    <w:semiHidden/>
    <w:unhideWhenUsed/>
    <w:rsid w:val="00615486"/>
    <w:pPr>
      <w:ind w:left="4252"/>
    </w:pPr>
  </w:style>
  <w:style w:type="character" w:customStyle="1" w:styleId="ClosingChar">
    <w:name w:val="Closing Char"/>
    <w:basedOn w:val="DefaultParagraphFont"/>
    <w:link w:val="Closing"/>
    <w:uiPriority w:val="99"/>
    <w:semiHidden/>
    <w:rsid w:val="00615486"/>
    <w:rPr>
      <w:rFonts w:ascii="Arial" w:hAnsi="Arial"/>
      <w:sz w:val="20"/>
    </w:rPr>
  </w:style>
  <w:style w:type="paragraph" w:styleId="Date">
    <w:name w:val="Date"/>
    <w:basedOn w:val="Normal"/>
    <w:next w:val="Normal"/>
    <w:link w:val="DateChar"/>
    <w:uiPriority w:val="99"/>
    <w:semiHidden/>
    <w:unhideWhenUsed/>
    <w:rsid w:val="00615486"/>
  </w:style>
  <w:style w:type="character" w:customStyle="1" w:styleId="DateChar">
    <w:name w:val="Date Char"/>
    <w:basedOn w:val="DefaultParagraphFont"/>
    <w:link w:val="Date"/>
    <w:uiPriority w:val="99"/>
    <w:semiHidden/>
    <w:rsid w:val="00615486"/>
    <w:rPr>
      <w:rFonts w:ascii="Arial" w:hAnsi="Arial"/>
      <w:sz w:val="20"/>
    </w:rPr>
  </w:style>
  <w:style w:type="paragraph" w:styleId="DocumentMap">
    <w:name w:val="Document Map"/>
    <w:basedOn w:val="Normal"/>
    <w:link w:val="DocumentMapChar"/>
    <w:uiPriority w:val="99"/>
    <w:semiHidden/>
    <w:unhideWhenUsed/>
    <w:rsid w:val="0061548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15486"/>
    <w:rPr>
      <w:rFonts w:ascii="Segoe UI" w:hAnsi="Segoe UI" w:cs="Segoe UI"/>
      <w:sz w:val="16"/>
      <w:szCs w:val="16"/>
    </w:rPr>
  </w:style>
  <w:style w:type="paragraph" w:styleId="E-mailSignature">
    <w:name w:val="E-mail Signature"/>
    <w:basedOn w:val="Normal"/>
    <w:link w:val="E-mailSignatureChar"/>
    <w:uiPriority w:val="99"/>
    <w:semiHidden/>
    <w:unhideWhenUsed/>
    <w:rsid w:val="00615486"/>
  </w:style>
  <w:style w:type="character" w:customStyle="1" w:styleId="E-mailSignatureChar">
    <w:name w:val="E-mail Signature Char"/>
    <w:basedOn w:val="DefaultParagraphFont"/>
    <w:link w:val="E-mailSignature"/>
    <w:uiPriority w:val="99"/>
    <w:semiHidden/>
    <w:rsid w:val="00615486"/>
    <w:rPr>
      <w:rFonts w:ascii="Arial" w:hAnsi="Arial"/>
      <w:sz w:val="20"/>
    </w:rPr>
  </w:style>
  <w:style w:type="paragraph" w:styleId="EndnoteText">
    <w:name w:val="endnote text"/>
    <w:basedOn w:val="Normal"/>
    <w:link w:val="EndnoteTextChar"/>
    <w:uiPriority w:val="99"/>
    <w:semiHidden/>
    <w:unhideWhenUsed/>
    <w:rsid w:val="00615486"/>
    <w:rPr>
      <w:szCs w:val="20"/>
    </w:rPr>
  </w:style>
  <w:style w:type="character" w:customStyle="1" w:styleId="EndnoteTextChar">
    <w:name w:val="Endnote Text Char"/>
    <w:basedOn w:val="DefaultParagraphFont"/>
    <w:link w:val="EndnoteText"/>
    <w:uiPriority w:val="99"/>
    <w:semiHidden/>
    <w:rsid w:val="00615486"/>
    <w:rPr>
      <w:rFonts w:ascii="Arial" w:hAnsi="Arial"/>
      <w:sz w:val="20"/>
      <w:szCs w:val="20"/>
    </w:rPr>
  </w:style>
  <w:style w:type="paragraph" w:styleId="EnvelopeAddress">
    <w:name w:val="envelope address"/>
    <w:basedOn w:val="Normal"/>
    <w:uiPriority w:val="99"/>
    <w:semiHidden/>
    <w:unhideWhenUsed/>
    <w:rsid w:val="00125AF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15486"/>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615486"/>
    <w:rPr>
      <w:i/>
      <w:iCs/>
    </w:rPr>
  </w:style>
  <w:style w:type="character" w:customStyle="1" w:styleId="HTMLAddressChar">
    <w:name w:val="HTML Address Char"/>
    <w:basedOn w:val="DefaultParagraphFont"/>
    <w:link w:val="HTMLAddress"/>
    <w:uiPriority w:val="99"/>
    <w:semiHidden/>
    <w:rsid w:val="00615486"/>
    <w:rPr>
      <w:rFonts w:ascii="Arial" w:hAnsi="Arial"/>
      <w:i/>
      <w:iCs/>
      <w:sz w:val="20"/>
    </w:rPr>
  </w:style>
  <w:style w:type="paragraph" w:styleId="HTMLPreformatted">
    <w:name w:val="HTML Preformatted"/>
    <w:basedOn w:val="Normal"/>
    <w:link w:val="HTMLPreformattedChar"/>
    <w:uiPriority w:val="99"/>
    <w:semiHidden/>
    <w:unhideWhenUsed/>
    <w:rsid w:val="00615486"/>
    <w:rPr>
      <w:rFonts w:ascii="Consolas" w:hAnsi="Consolas"/>
      <w:szCs w:val="20"/>
    </w:rPr>
  </w:style>
  <w:style w:type="character" w:customStyle="1" w:styleId="HTMLPreformattedChar">
    <w:name w:val="HTML Preformatted Char"/>
    <w:basedOn w:val="DefaultParagraphFont"/>
    <w:link w:val="HTMLPreformatted"/>
    <w:uiPriority w:val="99"/>
    <w:semiHidden/>
    <w:rsid w:val="00615486"/>
    <w:rPr>
      <w:rFonts w:ascii="Consolas" w:hAnsi="Consolas"/>
      <w:sz w:val="20"/>
      <w:szCs w:val="20"/>
    </w:rPr>
  </w:style>
  <w:style w:type="paragraph" w:styleId="Index1">
    <w:name w:val="index 1"/>
    <w:basedOn w:val="Normal"/>
    <w:next w:val="Normal"/>
    <w:autoRedefine/>
    <w:uiPriority w:val="99"/>
    <w:semiHidden/>
    <w:unhideWhenUsed/>
    <w:rsid w:val="00615486"/>
    <w:pPr>
      <w:ind w:left="200" w:hanging="200"/>
    </w:pPr>
  </w:style>
  <w:style w:type="paragraph" w:styleId="Index2">
    <w:name w:val="index 2"/>
    <w:basedOn w:val="Normal"/>
    <w:next w:val="Normal"/>
    <w:autoRedefine/>
    <w:uiPriority w:val="99"/>
    <w:semiHidden/>
    <w:unhideWhenUsed/>
    <w:rsid w:val="00615486"/>
    <w:pPr>
      <w:ind w:left="400" w:hanging="200"/>
    </w:pPr>
  </w:style>
  <w:style w:type="paragraph" w:styleId="Index3">
    <w:name w:val="index 3"/>
    <w:basedOn w:val="Normal"/>
    <w:next w:val="Normal"/>
    <w:autoRedefine/>
    <w:uiPriority w:val="99"/>
    <w:semiHidden/>
    <w:unhideWhenUsed/>
    <w:rsid w:val="00615486"/>
    <w:pPr>
      <w:ind w:left="600" w:hanging="200"/>
    </w:pPr>
  </w:style>
  <w:style w:type="paragraph" w:styleId="Index4">
    <w:name w:val="index 4"/>
    <w:basedOn w:val="Normal"/>
    <w:next w:val="Normal"/>
    <w:autoRedefine/>
    <w:uiPriority w:val="99"/>
    <w:semiHidden/>
    <w:unhideWhenUsed/>
    <w:rsid w:val="00615486"/>
    <w:pPr>
      <w:ind w:left="800" w:hanging="200"/>
    </w:pPr>
  </w:style>
  <w:style w:type="paragraph" w:styleId="Index5">
    <w:name w:val="index 5"/>
    <w:basedOn w:val="Normal"/>
    <w:next w:val="Normal"/>
    <w:autoRedefine/>
    <w:uiPriority w:val="99"/>
    <w:semiHidden/>
    <w:unhideWhenUsed/>
    <w:rsid w:val="00615486"/>
    <w:pPr>
      <w:ind w:left="1000" w:hanging="200"/>
    </w:pPr>
  </w:style>
  <w:style w:type="paragraph" w:styleId="Index6">
    <w:name w:val="index 6"/>
    <w:basedOn w:val="Normal"/>
    <w:next w:val="Normal"/>
    <w:autoRedefine/>
    <w:uiPriority w:val="99"/>
    <w:semiHidden/>
    <w:unhideWhenUsed/>
    <w:rsid w:val="00615486"/>
    <w:pPr>
      <w:ind w:left="1200" w:hanging="200"/>
    </w:pPr>
  </w:style>
  <w:style w:type="paragraph" w:styleId="Index7">
    <w:name w:val="index 7"/>
    <w:basedOn w:val="Normal"/>
    <w:next w:val="Normal"/>
    <w:autoRedefine/>
    <w:uiPriority w:val="99"/>
    <w:semiHidden/>
    <w:unhideWhenUsed/>
    <w:rsid w:val="00615486"/>
    <w:pPr>
      <w:ind w:left="1400" w:hanging="200"/>
    </w:pPr>
  </w:style>
  <w:style w:type="paragraph" w:styleId="Index8">
    <w:name w:val="index 8"/>
    <w:basedOn w:val="Normal"/>
    <w:next w:val="Normal"/>
    <w:autoRedefine/>
    <w:uiPriority w:val="99"/>
    <w:semiHidden/>
    <w:unhideWhenUsed/>
    <w:rsid w:val="00615486"/>
    <w:pPr>
      <w:ind w:left="1600" w:hanging="200"/>
    </w:pPr>
  </w:style>
  <w:style w:type="paragraph" w:styleId="Index9">
    <w:name w:val="index 9"/>
    <w:basedOn w:val="Normal"/>
    <w:next w:val="Normal"/>
    <w:autoRedefine/>
    <w:uiPriority w:val="99"/>
    <w:semiHidden/>
    <w:unhideWhenUsed/>
    <w:rsid w:val="00615486"/>
    <w:pPr>
      <w:ind w:left="1800" w:hanging="200"/>
    </w:pPr>
  </w:style>
  <w:style w:type="paragraph" w:styleId="IndexHeading">
    <w:name w:val="index heading"/>
    <w:basedOn w:val="Normal"/>
    <w:next w:val="Index1"/>
    <w:uiPriority w:val="99"/>
    <w:semiHidden/>
    <w:unhideWhenUsed/>
    <w:rsid w:val="0061548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1548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15486"/>
    <w:rPr>
      <w:rFonts w:ascii="Arial" w:hAnsi="Arial"/>
      <w:i/>
      <w:iCs/>
      <w:color w:val="5B9BD5" w:themeColor="accent1"/>
      <w:sz w:val="20"/>
    </w:rPr>
  </w:style>
  <w:style w:type="paragraph" w:styleId="List">
    <w:name w:val="List"/>
    <w:basedOn w:val="Normal"/>
    <w:uiPriority w:val="99"/>
    <w:semiHidden/>
    <w:unhideWhenUsed/>
    <w:rsid w:val="00615486"/>
    <w:pPr>
      <w:ind w:left="283" w:hanging="283"/>
      <w:contextualSpacing/>
    </w:pPr>
  </w:style>
  <w:style w:type="paragraph" w:styleId="List2">
    <w:name w:val="List 2"/>
    <w:basedOn w:val="Normal"/>
    <w:uiPriority w:val="99"/>
    <w:semiHidden/>
    <w:unhideWhenUsed/>
    <w:rsid w:val="00615486"/>
    <w:pPr>
      <w:ind w:left="566" w:hanging="283"/>
      <w:contextualSpacing/>
    </w:pPr>
  </w:style>
  <w:style w:type="paragraph" w:styleId="List3">
    <w:name w:val="List 3"/>
    <w:basedOn w:val="Normal"/>
    <w:uiPriority w:val="99"/>
    <w:semiHidden/>
    <w:unhideWhenUsed/>
    <w:rsid w:val="00615486"/>
    <w:pPr>
      <w:ind w:left="849" w:hanging="283"/>
      <w:contextualSpacing/>
    </w:pPr>
  </w:style>
  <w:style w:type="paragraph" w:styleId="List4">
    <w:name w:val="List 4"/>
    <w:basedOn w:val="Normal"/>
    <w:uiPriority w:val="99"/>
    <w:semiHidden/>
    <w:unhideWhenUsed/>
    <w:rsid w:val="00615486"/>
    <w:pPr>
      <w:ind w:left="1132" w:hanging="283"/>
      <w:contextualSpacing/>
    </w:pPr>
  </w:style>
  <w:style w:type="paragraph" w:styleId="List5">
    <w:name w:val="List 5"/>
    <w:basedOn w:val="Normal"/>
    <w:uiPriority w:val="99"/>
    <w:semiHidden/>
    <w:unhideWhenUsed/>
    <w:rsid w:val="00615486"/>
    <w:pPr>
      <w:ind w:left="1415" w:hanging="283"/>
      <w:contextualSpacing/>
    </w:pPr>
  </w:style>
  <w:style w:type="paragraph" w:styleId="ListBullet">
    <w:name w:val="List Bullet"/>
    <w:basedOn w:val="Normal"/>
    <w:uiPriority w:val="99"/>
    <w:semiHidden/>
    <w:unhideWhenUsed/>
    <w:rsid w:val="00125AFF"/>
    <w:pPr>
      <w:numPr>
        <w:numId w:val="8"/>
      </w:numPr>
      <w:contextualSpacing/>
    </w:pPr>
  </w:style>
  <w:style w:type="paragraph" w:styleId="ListBullet2">
    <w:name w:val="List Bullet 2"/>
    <w:basedOn w:val="Normal"/>
    <w:uiPriority w:val="99"/>
    <w:semiHidden/>
    <w:unhideWhenUsed/>
    <w:rsid w:val="00125AFF"/>
    <w:pPr>
      <w:numPr>
        <w:numId w:val="9"/>
      </w:numPr>
      <w:contextualSpacing/>
    </w:pPr>
  </w:style>
  <w:style w:type="paragraph" w:styleId="ListBullet3">
    <w:name w:val="List Bullet 3"/>
    <w:basedOn w:val="Normal"/>
    <w:uiPriority w:val="99"/>
    <w:semiHidden/>
    <w:unhideWhenUsed/>
    <w:rsid w:val="00125AFF"/>
    <w:pPr>
      <w:numPr>
        <w:numId w:val="10"/>
      </w:numPr>
      <w:contextualSpacing/>
    </w:pPr>
  </w:style>
  <w:style w:type="paragraph" w:styleId="ListBullet4">
    <w:name w:val="List Bullet 4"/>
    <w:basedOn w:val="Normal"/>
    <w:uiPriority w:val="99"/>
    <w:semiHidden/>
    <w:unhideWhenUsed/>
    <w:rsid w:val="00125AFF"/>
    <w:pPr>
      <w:numPr>
        <w:numId w:val="11"/>
      </w:numPr>
      <w:contextualSpacing/>
    </w:pPr>
  </w:style>
  <w:style w:type="paragraph" w:styleId="ListBullet5">
    <w:name w:val="List Bullet 5"/>
    <w:basedOn w:val="Normal"/>
    <w:uiPriority w:val="99"/>
    <w:semiHidden/>
    <w:unhideWhenUsed/>
    <w:rsid w:val="00125AFF"/>
    <w:pPr>
      <w:numPr>
        <w:numId w:val="12"/>
      </w:numPr>
      <w:contextualSpacing/>
    </w:pPr>
  </w:style>
  <w:style w:type="paragraph" w:styleId="ListContinue">
    <w:name w:val="List Continue"/>
    <w:basedOn w:val="Normal"/>
    <w:uiPriority w:val="99"/>
    <w:semiHidden/>
    <w:unhideWhenUsed/>
    <w:rsid w:val="00615486"/>
    <w:pPr>
      <w:spacing w:after="120"/>
      <w:ind w:left="283"/>
      <w:contextualSpacing/>
    </w:pPr>
  </w:style>
  <w:style w:type="paragraph" w:styleId="ListContinue2">
    <w:name w:val="List Continue 2"/>
    <w:basedOn w:val="Normal"/>
    <w:uiPriority w:val="99"/>
    <w:semiHidden/>
    <w:unhideWhenUsed/>
    <w:rsid w:val="00615486"/>
    <w:pPr>
      <w:spacing w:after="120"/>
      <w:ind w:left="566"/>
      <w:contextualSpacing/>
    </w:pPr>
  </w:style>
  <w:style w:type="paragraph" w:styleId="ListContinue3">
    <w:name w:val="List Continue 3"/>
    <w:basedOn w:val="Normal"/>
    <w:uiPriority w:val="99"/>
    <w:semiHidden/>
    <w:unhideWhenUsed/>
    <w:rsid w:val="00615486"/>
    <w:pPr>
      <w:spacing w:after="120"/>
      <w:ind w:left="849"/>
      <w:contextualSpacing/>
    </w:pPr>
  </w:style>
  <w:style w:type="paragraph" w:styleId="ListContinue4">
    <w:name w:val="List Continue 4"/>
    <w:basedOn w:val="Normal"/>
    <w:uiPriority w:val="99"/>
    <w:semiHidden/>
    <w:unhideWhenUsed/>
    <w:rsid w:val="00615486"/>
    <w:pPr>
      <w:spacing w:after="120"/>
      <w:ind w:left="1132"/>
      <w:contextualSpacing/>
    </w:pPr>
  </w:style>
  <w:style w:type="paragraph" w:styleId="ListContinue5">
    <w:name w:val="List Continue 5"/>
    <w:basedOn w:val="Normal"/>
    <w:uiPriority w:val="99"/>
    <w:semiHidden/>
    <w:unhideWhenUsed/>
    <w:rsid w:val="00615486"/>
    <w:pPr>
      <w:spacing w:after="120"/>
      <w:ind w:left="1415"/>
      <w:contextualSpacing/>
    </w:pPr>
  </w:style>
  <w:style w:type="paragraph" w:styleId="ListNumber">
    <w:name w:val="List Number"/>
    <w:basedOn w:val="Normal"/>
    <w:uiPriority w:val="99"/>
    <w:semiHidden/>
    <w:unhideWhenUsed/>
    <w:rsid w:val="00125AFF"/>
    <w:pPr>
      <w:numPr>
        <w:numId w:val="13"/>
      </w:numPr>
      <w:contextualSpacing/>
    </w:pPr>
  </w:style>
  <w:style w:type="paragraph" w:styleId="ListNumber2">
    <w:name w:val="List Number 2"/>
    <w:basedOn w:val="Normal"/>
    <w:uiPriority w:val="99"/>
    <w:semiHidden/>
    <w:unhideWhenUsed/>
    <w:rsid w:val="00125AFF"/>
    <w:pPr>
      <w:numPr>
        <w:numId w:val="14"/>
      </w:numPr>
      <w:contextualSpacing/>
    </w:pPr>
  </w:style>
  <w:style w:type="paragraph" w:styleId="ListNumber3">
    <w:name w:val="List Number 3"/>
    <w:basedOn w:val="Normal"/>
    <w:uiPriority w:val="99"/>
    <w:semiHidden/>
    <w:unhideWhenUsed/>
    <w:rsid w:val="00125AFF"/>
    <w:pPr>
      <w:numPr>
        <w:numId w:val="15"/>
      </w:numPr>
      <w:contextualSpacing/>
    </w:pPr>
  </w:style>
  <w:style w:type="paragraph" w:styleId="ListNumber4">
    <w:name w:val="List Number 4"/>
    <w:basedOn w:val="Normal"/>
    <w:uiPriority w:val="99"/>
    <w:semiHidden/>
    <w:unhideWhenUsed/>
    <w:rsid w:val="00125AFF"/>
    <w:pPr>
      <w:numPr>
        <w:numId w:val="16"/>
      </w:numPr>
      <w:contextualSpacing/>
    </w:pPr>
  </w:style>
  <w:style w:type="paragraph" w:styleId="ListNumber5">
    <w:name w:val="List Number 5"/>
    <w:basedOn w:val="Normal"/>
    <w:uiPriority w:val="99"/>
    <w:semiHidden/>
    <w:unhideWhenUsed/>
    <w:rsid w:val="00125AFF"/>
    <w:pPr>
      <w:numPr>
        <w:numId w:val="17"/>
      </w:numPr>
      <w:contextualSpacing/>
    </w:pPr>
  </w:style>
  <w:style w:type="paragraph" w:styleId="MacroText">
    <w:name w:val="macro"/>
    <w:link w:val="MacroTextChar"/>
    <w:uiPriority w:val="99"/>
    <w:semiHidden/>
    <w:unhideWhenUsed/>
    <w:rsid w:val="0061548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15486"/>
    <w:rPr>
      <w:rFonts w:ascii="Consolas" w:hAnsi="Consolas"/>
      <w:sz w:val="20"/>
      <w:szCs w:val="20"/>
    </w:rPr>
  </w:style>
  <w:style w:type="paragraph" w:styleId="MessageHeader">
    <w:name w:val="Message Header"/>
    <w:basedOn w:val="Normal"/>
    <w:link w:val="MessageHeaderChar"/>
    <w:uiPriority w:val="99"/>
    <w:semiHidden/>
    <w:unhideWhenUsed/>
    <w:rsid w:val="0061548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1548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15486"/>
    <w:rPr>
      <w:rFonts w:ascii="Times New Roman" w:hAnsi="Times New Roman" w:cs="Times New Roman"/>
      <w:sz w:val="24"/>
      <w:szCs w:val="24"/>
    </w:rPr>
  </w:style>
  <w:style w:type="paragraph" w:styleId="NormalIndent">
    <w:name w:val="Normal Indent"/>
    <w:basedOn w:val="Normal"/>
    <w:uiPriority w:val="99"/>
    <w:semiHidden/>
    <w:unhideWhenUsed/>
    <w:rsid w:val="00615486"/>
    <w:pPr>
      <w:ind w:left="720"/>
    </w:pPr>
  </w:style>
  <w:style w:type="paragraph" w:styleId="NoteHeading">
    <w:name w:val="Note Heading"/>
    <w:basedOn w:val="Normal"/>
    <w:next w:val="Normal"/>
    <w:link w:val="NoteHeadingChar"/>
    <w:uiPriority w:val="99"/>
    <w:semiHidden/>
    <w:unhideWhenUsed/>
    <w:rsid w:val="00615486"/>
  </w:style>
  <w:style w:type="character" w:customStyle="1" w:styleId="NoteHeadingChar">
    <w:name w:val="Note Heading Char"/>
    <w:basedOn w:val="DefaultParagraphFont"/>
    <w:link w:val="NoteHeading"/>
    <w:uiPriority w:val="99"/>
    <w:semiHidden/>
    <w:rsid w:val="00615486"/>
    <w:rPr>
      <w:rFonts w:ascii="Arial" w:hAnsi="Arial"/>
      <w:sz w:val="20"/>
    </w:rPr>
  </w:style>
  <w:style w:type="paragraph" w:styleId="PlainText">
    <w:name w:val="Plain Text"/>
    <w:basedOn w:val="Normal"/>
    <w:link w:val="PlainTextChar"/>
    <w:uiPriority w:val="99"/>
    <w:semiHidden/>
    <w:unhideWhenUsed/>
    <w:rsid w:val="00615486"/>
    <w:rPr>
      <w:rFonts w:ascii="Consolas" w:hAnsi="Consolas"/>
      <w:sz w:val="21"/>
      <w:szCs w:val="21"/>
    </w:rPr>
  </w:style>
  <w:style w:type="character" w:customStyle="1" w:styleId="PlainTextChar">
    <w:name w:val="Plain Text Char"/>
    <w:basedOn w:val="DefaultParagraphFont"/>
    <w:link w:val="PlainText"/>
    <w:uiPriority w:val="99"/>
    <w:semiHidden/>
    <w:rsid w:val="00615486"/>
    <w:rPr>
      <w:rFonts w:ascii="Consolas" w:hAnsi="Consolas"/>
      <w:sz w:val="21"/>
      <w:szCs w:val="21"/>
    </w:rPr>
  </w:style>
  <w:style w:type="paragraph" w:styleId="Quote">
    <w:name w:val="Quote"/>
    <w:basedOn w:val="Normal"/>
    <w:next w:val="Normal"/>
    <w:link w:val="QuoteChar"/>
    <w:uiPriority w:val="29"/>
    <w:qFormat/>
    <w:rsid w:val="0061548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5486"/>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615486"/>
  </w:style>
  <w:style w:type="character" w:customStyle="1" w:styleId="SalutationChar">
    <w:name w:val="Salutation Char"/>
    <w:basedOn w:val="DefaultParagraphFont"/>
    <w:link w:val="Salutation"/>
    <w:uiPriority w:val="99"/>
    <w:semiHidden/>
    <w:rsid w:val="00615486"/>
    <w:rPr>
      <w:rFonts w:ascii="Arial" w:hAnsi="Arial"/>
      <w:sz w:val="20"/>
    </w:rPr>
  </w:style>
  <w:style w:type="paragraph" w:styleId="Signature">
    <w:name w:val="Signature"/>
    <w:basedOn w:val="Normal"/>
    <w:link w:val="SignatureChar"/>
    <w:uiPriority w:val="99"/>
    <w:semiHidden/>
    <w:unhideWhenUsed/>
    <w:rsid w:val="00615486"/>
    <w:pPr>
      <w:ind w:left="4252"/>
    </w:pPr>
  </w:style>
  <w:style w:type="character" w:customStyle="1" w:styleId="SignatureChar">
    <w:name w:val="Signature Char"/>
    <w:basedOn w:val="DefaultParagraphFont"/>
    <w:link w:val="Signature"/>
    <w:uiPriority w:val="99"/>
    <w:semiHidden/>
    <w:rsid w:val="00615486"/>
    <w:rPr>
      <w:rFonts w:ascii="Arial" w:hAnsi="Arial"/>
      <w:sz w:val="20"/>
    </w:rPr>
  </w:style>
  <w:style w:type="paragraph" w:styleId="Subtitle">
    <w:name w:val="Subtitle"/>
    <w:basedOn w:val="Normal"/>
    <w:next w:val="Normal"/>
    <w:link w:val="SubtitleChar"/>
    <w:uiPriority w:val="15"/>
    <w:qFormat/>
    <w:rsid w:val="00615486"/>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5"/>
    <w:rsid w:val="0061548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15486"/>
    <w:pPr>
      <w:ind w:left="200" w:hanging="200"/>
    </w:pPr>
  </w:style>
  <w:style w:type="paragraph" w:styleId="TableofFigures">
    <w:name w:val="table of figures"/>
    <w:basedOn w:val="Normal"/>
    <w:next w:val="Normal"/>
    <w:uiPriority w:val="99"/>
    <w:semiHidden/>
    <w:unhideWhenUsed/>
    <w:rsid w:val="00615486"/>
  </w:style>
  <w:style w:type="paragraph" w:styleId="Title">
    <w:name w:val="Title"/>
    <w:basedOn w:val="Normal"/>
    <w:next w:val="Normal"/>
    <w:link w:val="TitleChar"/>
    <w:uiPriority w:val="15"/>
    <w:qFormat/>
    <w:rsid w:val="006154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5"/>
    <w:rsid w:val="0061548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15486"/>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615486"/>
    <w:pPr>
      <w:spacing w:after="100"/>
      <w:ind w:left="200"/>
    </w:pPr>
  </w:style>
  <w:style w:type="paragraph" w:styleId="TOC3">
    <w:name w:val="toc 3"/>
    <w:basedOn w:val="Normal"/>
    <w:next w:val="Normal"/>
    <w:autoRedefine/>
    <w:uiPriority w:val="39"/>
    <w:semiHidden/>
    <w:unhideWhenUsed/>
    <w:rsid w:val="00615486"/>
    <w:pPr>
      <w:spacing w:after="100"/>
      <w:ind w:left="400"/>
    </w:pPr>
  </w:style>
  <w:style w:type="paragraph" w:styleId="TOC4">
    <w:name w:val="toc 4"/>
    <w:basedOn w:val="Normal"/>
    <w:next w:val="Normal"/>
    <w:autoRedefine/>
    <w:uiPriority w:val="39"/>
    <w:semiHidden/>
    <w:unhideWhenUsed/>
    <w:rsid w:val="00615486"/>
    <w:pPr>
      <w:spacing w:after="100"/>
      <w:ind w:left="600"/>
    </w:pPr>
  </w:style>
  <w:style w:type="paragraph" w:styleId="TOC5">
    <w:name w:val="toc 5"/>
    <w:basedOn w:val="Normal"/>
    <w:next w:val="Normal"/>
    <w:autoRedefine/>
    <w:uiPriority w:val="39"/>
    <w:semiHidden/>
    <w:unhideWhenUsed/>
    <w:rsid w:val="00615486"/>
    <w:pPr>
      <w:spacing w:after="100"/>
      <w:ind w:left="800"/>
    </w:pPr>
  </w:style>
  <w:style w:type="paragraph" w:styleId="TOC6">
    <w:name w:val="toc 6"/>
    <w:basedOn w:val="Normal"/>
    <w:next w:val="Normal"/>
    <w:autoRedefine/>
    <w:uiPriority w:val="39"/>
    <w:semiHidden/>
    <w:unhideWhenUsed/>
    <w:rsid w:val="00615486"/>
    <w:pPr>
      <w:spacing w:after="100"/>
      <w:ind w:left="1000"/>
    </w:pPr>
  </w:style>
  <w:style w:type="paragraph" w:styleId="TOC7">
    <w:name w:val="toc 7"/>
    <w:basedOn w:val="Normal"/>
    <w:next w:val="Normal"/>
    <w:autoRedefine/>
    <w:uiPriority w:val="39"/>
    <w:semiHidden/>
    <w:unhideWhenUsed/>
    <w:rsid w:val="00615486"/>
    <w:pPr>
      <w:spacing w:after="100"/>
      <w:ind w:left="1200"/>
    </w:pPr>
  </w:style>
  <w:style w:type="paragraph" w:styleId="TOC8">
    <w:name w:val="toc 8"/>
    <w:basedOn w:val="Normal"/>
    <w:next w:val="Normal"/>
    <w:autoRedefine/>
    <w:uiPriority w:val="39"/>
    <w:semiHidden/>
    <w:unhideWhenUsed/>
    <w:rsid w:val="00615486"/>
    <w:pPr>
      <w:spacing w:after="100"/>
      <w:ind w:left="1400"/>
    </w:pPr>
  </w:style>
  <w:style w:type="paragraph" w:styleId="TOC9">
    <w:name w:val="toc 9"/>
    <w:basedOn w:val="Normal"/>
    <w:next w:val="Normal"/>
    <w:autoRedefine/>
    <w:uiPriority w:val="39"/>
    <w:semiHidden/>
    <w:unhideWhenUsed/>
    <w:rsid w:val="00615486"/>
    <w:pPr>
      <w:spacing w:after="100"/>
      <w:ind w:left="1600"/>
    </w:pPr>
  </w:style>
  <w:style w:type="paragraph" w:styleId="TOCHeading">
    <w:name w:val="TOC Heading"/>
    <w:basedOn w:val="Heading1"/>
    <w:next w:val="Normal"/>
    <w:uiPriority w:val="39"/>
    <w:semiHidden/>
    <w:unhideWhenUsed/>
    <w:qFormat/>
    <w:rsid w:val="00615486"/>
    <w:pPr>
      <w:keepNext/>
      <w:keepLines/>
      <w:spacing w:before="240"/>
      <w:outlineLvl w:val="9"/>
    </w:pPr>
    <w:rPr>
      <w:rFonts w:asciiTheme="majorHAnsi" w:hAnsiTheme="majorHAnsi"/>
      <w:b w:val="0"/>
      <w:color w:val="2E74B5" w:themeColor="accent1" w:themeShade="BF"/>
      <w:sz w:val="32"/>
    </w:rPr>
  </w:style>
  <w:style w:type="paragraph" w:styleId="Revision">
    <w:name w:val="Revision"/>
    <w:hidden/>
    <w:uiPriority w:val="99"/>
    <w:semiHidden/>
    <w:rsid w:val="00DA17DC"/>
    <w:pPr>
      <w:spacing w:after="0" w:line="240" w:lineRule="auto"/>
    </w:pPr>
    <w:rPr>
      <w:rFonts w:ascii="Arial" w:hAnsi="Arial"/>
      <w:sz w:val="20"/>
    </w:rPr>
  </w:style>
  <w:style w:type="character" w:styleId="UnresolvedMention">
    <w:name w:val="Unresolved Mention"/>
    <w:basedOn w:val="DefaultParagraphFont"/>
    <w:uiPriority w:val="99"/>
    <w:unhideWhenUsed/>
    <w:rsid w:val="00BE17FF"/>
    <w:rPr>
      <w:color w:val="605E5C"/>
      <w:shd w:val="clear" w:color="auto" w:fill="E1DFDD"/>
    </w:rPr>
  </w:style>
  <w:style w:type="character" w:styleId="Mention">
    <w:name w:val="Mention"/>
    <w:basedOn w:val="DefaultParagraphFont"/>
    <w:uiPriority w:val="99"/>
    <w:unhideWhenUsed/>
    <w:rsid w:val="00BE17FF"/>
    <w:rPr>
      <w:color w:val="2B579A"/>
      <w:shd w:val="clear" w:color="auto" w:fill="E1DFDD"/>
    </w:rPr>
  </w:style>
  <w:style w:type="paragraph" w:customStyle="1" w:styleId="paragraph">
    <w:name w:val="paragraph"/>
    <w:basedOn w:val="Normal"/>
    <w:rsid w:val="00746AB2"/>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746AB2"/>
  </w:style>
  <w:style w:type="character" w:customStyle="1" w:styleId="eop">
    <w:name w:val="eop"/>
    <w:basedOn w:val="DefaultParagraphFont"/>
    <w:rsid w:val="0074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4480">
      <w:bodyDiv w:val="1"/>
      <w:marLeft w:val="0"/>
      <w:marRight w:val="0"/>
      <w:marTop w:val="0"/>
      <w:marBottom w:val="0"/>
      <w:divBdr>
        <w:top w:val="none" w:sz="0" w:space="0" w:color="auto"/>
        <w:left w:val="none" w:sz="0" w:space="0" w:color="auto"/>
        <w:bottom w:val="none" w:sz="0" w:space="0" w:color="auto"/>
        <w:right w:val="none" w:sz="0" w:space="0" w:color="auto"/>
      </w:divBdr>
    </w:div>
    <w:div w:id="176625313">
      <w:bodyDiv w:val="1"/>
      <w:marLeft w:val="0"/>
      <w:marRight w:val="0"/>
      <w:marTop w:val="0"/>
      <w:marBottom w:val="0"/>
      <w:divBdr>
        <w:top w:val="none" w:sz="0" w:space="0" w:color="auto"/>
        <w:left w:val="none" w:sz="0" w:space="0" w:color="auto"/>
        <w:bottom w:val="none" w:sz="0" w:space="0" w:color="auto"/>
        <w:right w:val="none" w:sz="0" w:space="0" w:color="auto"/>
      </w:divBdr>
    </w:div>
    <w:div w:id="178593627">
      <w:bodyDiv w:val="1"/>
      <w:marLeft w:val="0"/>
      <w:marRight w:val="0"/>
      <w:marTop w:val="0"/>
      <w:marBottom w:val="0"/>
      <w:divBdr>
        <w:top w:val="none" w:sz="0" w:space="0" w:color="auto"/>
        <w:left w:val="none" w:sz="0" w:space="0" w:color="auto"/>
        <w:bottom w:val="none" w:sz="0" w:space="0" w:color="auto"/>
        <w:right w:val="none" w:sz="0" w:space="0" w:color="auto"/>
      </w:divBdr>
    </w:div>
    <w:div w:id="189883849">
      <w:bodyDiv w:val="1"/>
      <w:marLeft w:val="0"/>
      <w:marRight w:val="0"/>
      <w:marTop w:val="0"/>
      <w:marBottom w:val="0"/>
      <w:divBdr>
        <w:top w:val="none" w:sz="0" w:space="0" w:color="auto"/>
        <w:left w:val="none" w:sz="0" w:space="0" w:color="auto"/>
        <w:bottom w:val="none" w:sz="0" w:space="0" w:color="auto"/>
        <w:right w:val="none" w:sz="0" w:space="0" w:color="auto"/>
      </w:divBdr>
    </w:div>
    <w:div w:id="210581980">
      <w:bodyDiv w:val="1"/>
      <w:marLeft w:val="0"/>
      <w:marRight w:val="0"/>
      <w:marTop w:val="0"/>
      <w:marBottom w:val="0"/>
      <w:divBdr>
        <w:top w:val="none" w:sz="0" w:space="0" w:color="auto"/>
        <w:left w:val="none" w:sz="0" w:space="0" w:color="auto"/>
        <w:bottom w:val="none" w:sz="0" w:space="0" w:color="auto"/>
        <w:right w:val="none" w:sz="0" w:space="0" w:color="auto"/>
      </w:divBdr>
    </w:div>
    <w:div w:id="210656511">
      <w:bodyDiv w:val="1"/>
      <w:marLeft w:val="0"/>
      <w:marRight w:val="0"/>
      <w:marTop w:val="0"/>
      <w:marBottom w:val="0"/>
      <w:divBdr>
        <w:top w:val="none" w:sz="0" w:space="0" w:color="auto"/>
        <w:left w:val="none" w:sz="0" w:space="0" w:color="auto"/>
        <w:bottom w:val="none" w:sz="0" w:space="0" w:color="auto"/>
        <w:right w:val="none" w:sz="0" w:space="0" w:color="auto"/>
      </w:divBdr>
    </w:div>
    <w:div w:id="246034431">
      <w:bodyDiv w:val="1"/>
      <w:marLeft w:val="0"/>
      <w:marRight w:val="0"/>
      <w:marTop w:val="0"/>
      <w:marBottom w:val="0"/>
      <w:divBdr>
        <w:top w:val="none" w:sz="0" w:space="0" w:color="auto"/>
        <w:left w:val="none" w:sz="0" w:space="0" w:color="auto"/>
        <w:bottom w:val="none" w:sz="0" w:space="0" w:color="auto"/>
        <w:right w:val="none" w:sz="0" w:space="0" w:color="auto"/>
      </w:divBdr>
    </w:div>
    <w:div w:id="319774397">
      <w:bodyDiv w:val="1"/>
      <w:marLeft w:val="0"/>
      <w:marRight w:val="0"/>
      <w:marTop w:val="0"/>
      <w:marBottom w:val="0"/>
      <w:divBdr>
        <w:top w:val="none" w:sz="0" w:space="0" w:color="auto"/>
        <w:left w:val="none" w:sz="0" w:space="0" w:color="auto"/>
        <w:bottom w:val="none" w:sz="0" w:space="0" w:color="auto"/>
        <w:right w:val="none" w:sz="0" w:space="0" w:color="auto"/>
      </w:divBdr>
    </w:div>
    <w:div w:id="320889489">
      <w:bodyDiv w:val="1"/>
      <w:marLeft w:val="0"/>
      <w:marRight w:val="0"/>
      <w:marTop w:val="0"/>
      <w:marBottom w:val="0"/>
      <w:divBdr>
        <w:top w:val="none" w:sz="0" w:space="0" w:color="auto"/>
        <w:left w:val="none" w:sz="0" w:space="0" w:color="auto"/>
        <w:bottom w:val="none" w:sz="0" w:space="0" w:color="auto"/>
        <w:right w:val="none" w:sz="0" w:space="0" w:color="auto"/>
      </w:divBdr>
    </w:div>
    <w:div w:id="381372176">
      <w:bodyDiv w:val="1"/>
      <w:marLeft w:val="0"/>
      <w:marRight w:val="0"/>
      <w:marTop w:val="0"/>
      <w:marBottom w:val="0"/>
      <w:divBdr>
        <w:top w:val="none" w:sz="0" w:space="0" w:color="auto"/>
        <w:left w:val="none" w:sz="0" w:space="0" w:color="auto"/>
        <w:bottom w:val="none" w:sz="0" w:space="0" w:color="auto"/>
        <w:right w:val="none" w:sz="0" w:space="0" w:color="auto"/>
      </w:divBdr>
    </w:div>
    <w:div w:id="412901190">
      <w:bodyDiv w:val="1"/>
      <w:marLeft w:val="0"/>
      <w:marRight w:val="0"/>
      <w:marTop w:val="0"/>
      <w:marBottom w:val="0"/>
      <w:divBdr>
        <w:top w:val="none" w:sz="0" w:space="0" w:color="auto"/>
        <w:left w:val="none" w:sz="0" w:space="0" w:color="auto"/>
        <w:bottom w:val="none" w:sz="0" w:space="0" w:color="auto"/>
        <w:right w:val="none" w:sz="0" w:space="0" w:color="auto"/>
      </w:divBdr>
    </w:div>
    <w:div w:id="452481707">
      <w:bodyDiv w:val="1"/>
      <w:marLeft w:val="0"/>
      <w:marRight w:val="0"/>
      <w:marTop w:val="0"/>
      <w:marBottom w:val="0"/>
      <w:divBdr>
        <w:top w:val="none" w:sz="0" w:space="0" w:color="auto"/>
        <w:left w:val="none" w:sz="0" w:space="0" w:color="auto"/>
        <w:bottom w:val="none" w:sz="0" w:space="0" w:color="auto"/>
        <w:right w:val="none" w:sz="0" w:space="0" w:color="auto"/>
      </w:divBdr>
    </w:div>
    <w:div w:id="462044907">
      <w:bodyDiv w:val="1"/>
      <w:marLeft w:val="0"/>
      <w:marRight w:val="0"/>
      <w:marTop w:val="0"/>
      <w:marBottom w:val="0"/>
      <w:divBdr>
        <w:top w:val="none" w:sz="0" w:space="0" w:color="auto"/>
        <w:left w:val="none" w:sz="0" w:space="0" w:color="auto"/>
        <w:bottom w:val="none" w:sz="0" w:space="0" w:color="auto"/>
        <w:right w:val="none" w:sz="0" w:space="0" w:color="auto"/>
      </w:divBdr>
    </w:div>
    <w:div w:id="499127632">
      <w:bodyDiv w:val="1"/>
      <w:marLeft w:val="0"/>
      <w:marRight w:val="0"/>
      <w:marTop w:val="0"/>
      <w:marBottom w:val="0"/>
      <w:divBdr>
        <w:top w:val="none" w:sz="0" w:space="0" w:color="auto"/>
        <w:left w:val="none" w:sz="0" w:space="0" w:color="auto"/>
        <w:bottom w:val="none" w:sz="0" w:space="0" w:color="auto"/>
        <w:right w:val="none" w:sz="0" w:space="0" w:color="auto"/>
      </w:divBdr>
    </w:div>
    <w:div w:id="528956948">
      <w:bodyDiv w:val="1"/>
      <w:marLeft w:val="0"/>
      <w:marRight w:val="0"/>
      <w:marTop w:val="0"/>
      <w:marBottom w:val="0"/>
      <w:divBdr>
        <w:top w:val="none" w:sz="0" w:space="0" w:color="auto"/>
        <w:left w:val="none" w:sz="0" w:space="0" w:color="auto"/>
        <w:bottom w:val="none" w:sz="0" w:space="0" w:color="auto"/>
        <w:right w:val="none" w:sz="0" w:space="0" w:color="auto"/>
      </w:divBdr>
    </w:div>
    <w:div w:id="629942386">
      <w:bodyDiv w:val="1"/>
      <w:marLeft w:val="0"/>
      <w:marRight w:val="0"/>
      <w:marTop w:val="0"/>
      <w:marBottom w:val="0"/>
      <w:divBdr>
        <w:top w:val="none" w:sz="0" w:space="0" w:color="auto"/>
        <w:left w:val="none" w:sz="0" w:space="0" w:color="auto"/>
        <w:bottom w:val="none" w:sz="0" w:space="0" w:color="auto"/>
        <w:right w:val="none" w:sz="0" w:space="0" w:color="auto"/>
      </w:divBdr>
    </w:div>
    <w:div w:id="822039034">
      <w:bodyDiv w:val="1"/>
      <w:marLeft w:val="0"/>
      <w:marRight w:val="0"/>
      <w:marTop w:val="0"/>
      <w:marBottom w:val="0"/>
      <w:divBdr>
        <w:top w:val="none" w:sz="0" w:space="0" w:color="auto"/>
        <w:left w:val="none" w:sz="0" w:space="0" w:color="auto"/>
        <w:bottom w:val="none" w:sz="0" w:space="0" w:color="auto"/>
        <w:right w:val="none" w:sz="0" w:space="0" w:color="auto"/>
      </w:divBdr>
    </w:div>
    <w:div w:id="823856664">
      <w:bodyDiv w:val="1"/>
      <w:marLeft w:val="0"/>
      <w:marRight w:val="0"/>
      <w:marTop w:val="0"/>
      <w:marBottom w:val="0"/>
      <w:divBdr>
        <w:top w:val="none" w:sz="0" w:space="0" w:color="auto"/>
        <w:left w:val="none" w:sz="0" w:space="0" w:color="auto"/>
        <w:bottom w:val="none" w:sz="0" w:space="0" w:color="auto"/>
        <w:right w:val="none" w:sz="0" w:space="0" w:color="auto"/>
      </w:divBdr>
    </w:div>
    <w:div w:id="988556638">
      <w:bodyDiv w:val="1"/>
      <w:marLeft w:val="0"/>
      <w:marRight w:val="0"/>
      <w:marTop w:val="0"/>
      <w:marBottom w:val="0"/>
      <w:divBdr>
        <w:top w:val="none" w:sz="0" w:space="0" w:color="auto"/>
        <w:left w:val="none" w:sz="0" w:space="0" w:color="auto"/>
        <w:bottom w:val="none" w:sz="0" w:space="0" w:color="auto"/>
        <w:right w:val="none" w:sz="0" w:space="0" w:color="auto"/>
      </w:divBdr>
    </w:div>
    <w:div w:id="995761200">
      <w:bodyDiv w:val="1"/>
      <w:marLeft w:val="0"/>
      <w:marRight w:val="0"/>
      <w:marTop w:val="0"/>
      <w:marBottom w:val="0"/>
      <w:divBdr>
        <w:top w:val="none" w:sz="0" w:space="0" w:color="auto"/>
        <w:left w:val="none" w:sz="0" w:space="0" w:color="auto"/>
        <w:bottom w:val="none" w:sz="0" w:space="0" w:color="auto"/>
        <w:right w:val="none" w:sz="0" w:space="0" w:color="auto"/>
      </w:divBdr>
    </w:div>
    <w:div w:id="1068722188">
      <w:bodyDiv w:val="1"/>
      <w:marLeft w:val="0"/>
      <w:marRight w:val="0"/>
      <w:marTop w:val="0"/>
      <w:marBottom w:val="0"/>
      <w:divBdr>
        <w:top w:val="none" w:sz="0" w:space="0" w:color="auto"/>
        <w:left w:val="none" w:sz="0" w:space="0" w:color="auto"/>
        <w:bottom w:val="none" w:sz="0" w:space="0" w:color="auto"/>
        <w:right w:val="none" w:sz="0" w:space="0" w:color="auto"/>
      </w:divBdr>
    </w:div>
    <w:div w:id="1084692714">
      <w:bodyDiv w:val="1"/>
      <w:marLeft w:val="0"/>
      <w:marRight w:val="0"/>
      <w:marTop w:val="0"/>
      <w:marBottom w:val="0"/>
      <w:divBdr>
        <w:top w:val="none" w:sz="0" w:space="0" w:color="auto"/>
        <w:left w:val="none" w:sz="0" w:space="0" w:color="auto"/>
        <w:bottom w:val="none" w:sz="0" w:space="0" w:color="auto"/>
        <w:right w:val="none" w:sz="0" w:space="0" w:color="auto"/>
      </w:divBdr>
    </w:div>
    <w:div w:id="1142964555">
      <w:bodyDiv w:val="1"/>
      <w:marLeft w:val="0"/>
      <w:marRight w:val="0"/>
      <w:marTop w:val="0"/>
      <w:marBottom w:val="0"/>
      <w:divBdr>
        <w:top w:val="none" w:sz="0" w:space="0" w:color="auto"/>
        <w:left w:val="none" w:sz="0" w:space="0" w:color="auto"/>
        <w:bottom w:val="none" w:sz="0" w:space="0" w:color="auto"/>
        <w:right w:val="none" w:sz="0" w:space="0" w:color="auto"/>
      </w:divBdr>
    </w:div>
    <w:div w:id="1274366682">
      <w:bodyDiv w:val="1"/>
      <w:marLeft w:val="0"/>
      <w:marRight w:val="0"/>
      <w:marTop w:val="0"/>
      <w:marBottom w:val="0"/>
      <w:divBdr>
        <w:top w:val="none" w:sz="0" w:space="0" w:color="auto"/>
        <w:left w:val="none" w:sz="0" w:space="0" w:color="auto"/>
        <w:bottom w:val="none" w:sz="0" w:space="0" w:color="auto"/>
        <w:right w:val="none" w:sz="0" w:space="0" w:color="auto"/>
      </w:divBdr>
    </w:div>
    <w:div w:id="1277063392">
      <w:bodyDiv w:val="1"/>
      <w:marLeft w:val="0"/>
      <w:marRight w:val="0"/>
      <w:marTop w:val="0"/>
      <w:marBottom w:val="0"/>
      <w:divBdr>
        <w:top w:val="none" w:sz="0" w:space="0" w:color="auto"/>
        <w:left w:val="none" w:sz="0" w:space="0" w:color="auto"/>
        <w:bottom w:val="none" w:sz="0" w:space="0" w:color="auto"/>
        <w:right w:val="none" w:sz="0" w:space="0" w:color="auto"/>
      </w:divBdr>
    </w:div>
    <w:div w:id="1293944468">
      <w:bodyDiv w:val="1"/>
      <w:marLeft w:val="0"/>
      <w:marRight w:val="0"/>
      <w:marTop w:val="0"/>
      <w:marBottom w:val="0"/>
      <w:divBdr>
        <w:top w:val="none" w:sz="0" w:space="0" w:color="auto"/>
        <w:left w:val="none" w:sz="0" w:space="0" w:color="auto"/>
        <w:bottom w:val="none" w:sz="0" w:space="0" w:color="auto"/>
        <w:right w:val="none" w:sz="0" w:space="0" w:color="auto"/>
      </w:divBdr>
    </w:div>
    <w:div w:id="1303729872">
      <w:bodyDiv w:val="1"/>
      <w:marLeft w:val="0"/>
      <w:marRight w:val="0"/>
      <w:marTop w:val="0"/>
      <w:marBottom w:val="0"/>
      <w:divBdr>
        <w:top w:val="none" w:sz="0" w:space="0" w:color="auto"/>
        <w:left w:val="none" w:sz="0" w:space="0" w:color="auto"/>
        <w:bottom w:val="none" w:sz="0" w:space="0" w:color="auto"/>
        <w:right w:val="none" w:sz="0" w:space="0" w:color="auto"/>
      </w:divBdr>
    </w:div>
    <w:div w:id="1416124829">
      <w:bodyDiv w:val="1"/>
      <w:marLeft w:val="0"/>
      <w:marRight w:val="0"/>
      <w:marTop w:val="0"/>
      <w:marBottom w:val="0"/>
      <w:divBdr>
        <w:top w:val="none" w:sz="0" w:space="0" w:color="auto"/>
        <w:left w:val="none" w:sz="0" w:space="0" w:color="auto"/>
        <w:bottom w:val="none" w:sz="0" w:space="0" w:color="auto"/>
        <w:right w:val="none" w:sz="0" w:space="0" w:color="auto"/>
      </w:divBdr>
    </w:div>
    <w:div w:id="1451978128">
      <w:bodyDiv w:val="1"/>
      <w:marLeft w:val="0"/>
      <w:marRight w:val="0"/>
      <w:marTop w:val="0"/>
      <w:marBottom w:val="0"/>
      <w:divBdr>
        <w:top w:val="none" w:sz="0" w:space="0" w:color="auto"/>
        <w:left w:val="none" w:sz="0" w:space="0" w:color="auto"/>
        <w:bottom w:val="none" w:sz="0" w:space="0" w:color="auto"/>
        <w:right w:val="none" w:sz="0" w:space="0" w:color="auto"/>
      </w:divBdr>
    </w:div>
    <w:div w:id="1495493059">
      <w:bodyDiv w:val="1"/>
      <w:marLeft w:val="0"/>
      <w:marRight w:val="0"/>
      <w:marTop w:val="0"/>
      <w:marBottom w:val="0"/>
      <w:divBdr>
        <w:top w:val="none" w:sz="0" w:space="0" w:color="auto"/>
        <w:left w:val="none" w:sz="0" w:space="0" w:color="auto"/>
        <w:bottom w:val="none" w:sz="0" w:space="0" w:color="auto"/>
        <w:right w:val="none" w:sz="0" w:space="0" w:color="auto"/>
      </w:divBdr>
    </w:div>
    <w:div w:id="1553155466">
      <w:bodyDiv w:val="1"/>
      <w:marLeft w:val="0"/>
      <w:marRight w:val="0"/>
      <w:marTop w:val="0"/>
      <w:marBottom w:val="0"/>
      <w:divBdr>
        <w:top w:val="none" w:sz="0" w:space="0" w:color="auto"/>
        <w:left w:val="none" w:sz="0" w:space="0" w:color="auto"/>
        <w:bottom w:val="none" w:sz="0" w:space="0" w:color="auto"/>
        <w:right w:val="none" w:sz="0" w:space="0" w:color="auto"/>
      </w:divBdr>
    </w:div>
    <w:div w:id="1583681002">
      <w:bodyDiv w:val="1"/>
      <w:marLeft w:val="0"/>
      <w:marRight w:val="0"/>
      <w:marTop w:val="0"/>
      <w:marBottom w:val="0"/>
      <w:divBdr>
        <w:top w:val="none" w:sz="0" w:space="0" w:color="auto"/>
        <w:left w:val="none" w:sz="0" w:space="0" w:color="auto"/>
        <w:bottom w:val="none" w:sz="0" w:space="0" w:color="auto"/>
        <w:right w:val="none" w:sz="0" w:space="0" w:color="auto"/>
      </w:divBdr>
    </w:div>
    <w:div w:id="1656640832">
      <w:bodyDiv w:val="1"/>
      <w:marLeft w:val="0"/>
      <w:marRight w:val="0"/>
      <w:marTop w:val="0"/>
      <w:marBottom w:val="0"/>
      <w:divBdr>
        <w:top w:val="none" w:sz="0" w:space="0" w:color="auto"/>
        <w:left w:val="none" w:sz="0" w:space="0" w:color="auto"/>
        <w:bottom w:val="none" w:sz="0" w:space="0" w:color="auto"/>
        <w:right w:val="none" w:sz="0" w:space="0" w:color="auto"/>
      </w:divBdr>
    </w:div>
    <w:div w:id="1704864505">
      <w:bodyDiv w:val="1"/>
      <w:marLeft w:val="0"/>
      <w:marRight w:val="0"/>
      <w:marTop w:val="0"/>
      <w:marBottom w:val="0"/>
      <w:divBdr>
        <w:top w:val="none" w:sz="0" w:space="0" w:color="auto"/>
        <w:left w:val="none" w:sz="0" w:space="0" w:color="auto"/>
        <w:bottom w:val="none" w:sz="0" w:space="0" w:color="auto"/>
        <w:right w:val="none" w:sz="0" w:space="0" w:color="auto"/>
      </w:divBdr>
    </w:div>
    <w:div w:id="1722173502">
      <w:bodyDiv w:val="1"/>
      <w:marLeft w:val="0"/>
      <w:marRight w:val="0"/>
      <w:marTop w:val="0"/>
      <w:marBottom w:val="0"/>
      <w:divBdr>
        <w:top w:val="none" w:sz="0" w:space="0" w:color="auto"/>
        <w:left w:val="none" w:sz="0" w:space="0" w:color="auto"/>
        <w:bottom w:val="none" w:sz="0" w:space="0" w:color="auto"/>
        <w:right w:val="none" w:sz="0" w:space="0" w:color="auto"/>
      </w:divBdr>
    </w:div>
    <w:div w:id="1752921554">
      <w:bodyDiv w:val="1"/>
      <w:marLeft w:val="0"/>
      <w:marRight w:val="0"/>
      <w:marTop w:val="0"/>
      <w:marBottom w:val="0"/>
      <w:divBdr>
        <w:top w:val="none" w:sz="0" w:space="0" w:color="auto"/>
        <w:left w:val="none" w:sz="0" w:space="0" w:color="auto"/>
        <w:bottom w:val="none" w:sz="0" w:space="0" w:color="auto"/>
        <w:right w:val="none" w:sz="0" w:space="0" w:color="auto"/>
      </w:divBdr>
    </w:div>
    <w:div w:id="1764837503">
      <w:bodyDiv w:val="1"/>
      <w:marLeft w:val="0"/>
      <w:marRight w:val="0"/>
      <w:marTop w:val="0"/>
      <w:marBottom w:val="0"/>
      <w:divBdr>
        <w:top w:val="none" w:sz="0" w:space="0" w:color="auto"/>
        <w:left w:val="none" w:sz="0" w:space="0" w:color="auto"/>
        <w:bottom w:val="none" w:sz="0" w:space="0" w:color="auto"/>
        <w:right w:val="none" w:sz="0" w:space="0" w:color="auto"/>
      </w:divBdr>
    </w:div>
    <w:div w:id="1799951583">
      <w:bodyDiv w:val="1"/>
      <w:marLeft w:val="0"/>
      <w:marRight w:val="0"/>
      <w:marTop w:val="0"/>
      <w:marBottom w:val="0"/>
      <w:divBdr>
        <w:top w:val="none" w:sz="0" w:space="0" w:color="auto"/>
        <w:left w:val="none" w:sz="0" w:space="0" w:color="auto"/>
        <w:bottom w:val="none" w:sz="0" w:space="0" w:color="auto"/>
        <w:right w:val="none" w:sz="0" w:space="0" w:color="auto"/>
      </w:divBdr>
    </w:div>
    <w:div w:id="1825317534">
      <w:bodyDiv w:val="1"/>
      <w:marLeft w:val="0"/>
      <w:marRight w:val="0"/>
      <w:marTop w:val="0"/>
      <w:marBottom w:val="0"/>
      <w:divBdr>
        <w:top w:val="none" w:sz="0" w:space="0" w:color="auto"/>
        <w:left w:val="none" w:sz="0" w:space="0" w:color="auto"/>
        <w:bottom w:val="none" w:sz="0" w:space="0" w:color="auto"/>
        <w:right w:val="none" w:sz="0" w:space="0" w:color="auto"/>
      </w:divBdr>
    </w:div>
    <w:div w:id="1967199057">
      <w:bodyDiv w:val="1"/>
      <w:marLeft w:val="0"/>
      <w:marRight w:val="0"/>
      <w:marTop w:val="0"/>
      <w:marBottom w:val="0"/>
      <w:divBdr>
        <w:top w:val="none" w:sz="0" w:space="0" w:color="auto"/>
        <w:left w:val="none" w:sz="0" w:space="0" w:color="auto"/>
        <w:bottom w:val="none" w:sz="0" w:space="0" w:color="auto"/>
        <w:right w:val="none" w:sz="0" w:space="0" w:color="auto"/>
      </w:divBdr>
    </w:div>
    <w:div w:id="1993413204">
      <w:bodyDiv w:val="1"/>
      <w:marLeft w:val="0"/>
      <w:marRight w:val="0"/>
      <w:marTop w:val="0"/>
      <w:marBottom w:val="0"/>
      <w:divBdr>
        <w:top w:val="none" w:sz="0" w:space="0" w:color="auto"/>
        <w:left w:val="none" w:sz="0" w:space="0" w:color="auto"/>
        <w:bottom w:val="none" w:sz="0" w:space="0" w:color="auto"/>
        <w:right w:val="none" w:sz="0" w:space="0" w:color="auto"/>
      </w:divBdr>
    </w:div>
    <w:div w:id="1994488379">
      <w:bodyDiv w:val="1"/>
      <w:marLeft w:val="0"/>
      <w:marRight w:val="0"/>
      <w:marTop w:val="0"/>
      <w:marBottom w:val="0"/>
      <w:divBdr>
        <w:top w:val="none" w:sz="0" w:space="0" w:color="auto"/>
        <w:left w:val="none" w:sz="0" w:space="0" w:color="auto"/>
        <w:bottom w:val="none" w:sz="0" w:space="0" w:color="auto"/>
        <w:right w:val="none" w:sz="0" w:space="0" w:color="auto"/>
      </w:divBdr>
    </w:div>
    <w:div w:id="2005430930">
      <w:bodyDiv w:val="1"/>
      <w:marLeft w:val="0"/>
      <w:marRight w:val="0"/>
      <w:marTop w:val="0"/>
      <w:marBottom w:val="0"/>
      <w:divBdr>
        <w:top w:val="none" w:sz="0" w:space="0" w:color="auto"/>
        <w:left w:val="none" w:sz="0" w:space="0" w:color="auto"/>
        <w:bottom w:val="none" w:sz="0" w:space="0" w:color="auto"/>
        <w:right w:val="none" w:sz="0" w:space="0" w:color="auto"/>
      </w:divBdr>
    </w:div>
    <w:div w:id="21124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http://www.glenveagh.ie/" TargetMode="External"/><Relationship Id="rId42" Type="http://schemas.openxmlformats.org/officeDocument/2006/relationships/footer" Target="footer14.xml"/><Relationship Id="rId47" Type="http://schemas.openxmlformats.org/officeDocument/2006/relationships/header" Target="header13.xml"/><Relationship Id="rId63" Type="http://schemas.openxmlformats.org/officeDocument/2006/relationships/footer" Target="footer26.xml"/><Relationship Id="rId68" Type="http://schemas.openxmlformats.org/officeDocument/2006/relationships/header" Target="header21.xml"/><Relationship Id="rId16" Type="http://schemas.openxmlformats.org/officeDocument/2006/relationships/hyperlink" Target="http://www.glenveagh.ie" TargetMode="Externa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8.xml"/><Relationship Id="rId40" Type="http://schemas.openxmlformats.org/officeDocument/2006/relationships/footer" Target="footer13.xml"/><Relationship Id="rId45" Type="http://schemas.openxmlformats.org/officeDocument/2006/relationships/footer" Target="footer15.xml"/><Relationship Id="rId53" Type="http://schemas.openxmlformats.org/officeDocument/2006/relationships/header" Target="header15.xml"/><Relationship Id="rId58" Type="http://schemas.openxmlformats.org/officeDocument/2006/relationships/header" Target="header16.xml"/><Relationship Id="rId66" Type="http://schemas.openxmlformats.org/officeDocument/2006/relationships/footer" Target="footer27.xml"/><Relationship Id="rId74" Type="http://schemas.openxmlformats.org/officeDocument/2006/relationships/header" Target="header24.xml"/><Relationship Id="rId5" Type="http://schemas.openxmlformats.org/officeDocument/2006/relationships/numbering" Target="numbering.xml"/><Relationship Id="rId61" Type="http://schemas.openxmlformats.org/officeDocument/2006/relationships/footer" Target="footer25.xml"/><Relationship Id="rId19" Type="http://schemas.openxmlformats.org/officeDocument/2006/relationships/hyperlink" Target="mailto:investors@glenveagh.ie" TargetMode="Externa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7.xml"/><Relationship Id="rId35" Type="http://schemas.openxmlformats.org/officeDocument/2006/relationships/footer" Target="footer10.xml"/><Relationship Id="rId43" Type="http://schemas.openxmlformats.org/officeDocument/2006/relationships/header" Target="header11.xml"/><Relationship Id="rId48" Type="http://schemas.openxmlformats.org/officeDocument/2006/relationships/footer" Target="footer17.xml"/><Relationship Id="rId56" Type="http://schemas.openxmlformats.org/officeDocument/2006/relationships/footer" Target="footer23.xml"/><Relationship Id="rId64" Type="http://schemas.openxmlformats.org/officeDocument/2006/relationships/header" Target="header19.xml"/><Relationship Id="rId69" Type="http://schemas.openxmlformats.org/officeDocument/2006/relationships/footer" Target="footer29.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9.xml"/><Relationship Id="rId72" Type="http://schemas.openxmlformats.org/officeDocument/2006/relationships/footer" Target="footer3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vent.loopup.com/SelfRegistration/registration.aspx?booking=AhYHOtFvqbvzeqGtOi2AI8EFz2dBS9skoyeerolZ1Tw=&amp;b=528f7d33-d6cf-439e-b143-56d7da6b8e57" TargetMode="Externa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footer" Target="footer16.xml"/><Relationship Id="rId59" Type="http://schemas.openxmlformats.org/officeDocument/2006/relationships/header" Target="header17.xml"/><Relationship Id="rId67" Type="http://schemas.openxmlformats.org/officeDocument/2006/relationships/footer" Target="footer28.xml"/><Relationship Id="rId20" Type="http://schemas.openxmlformats.org/officeDocument/2006/relationships/hyperlink" Target="mailto:glenveagh@gordonmrm.ie" TargetMode="External"/><Relationship Id="rId41" Type="http://schemas.openxmlformats.org/officeDocument/2006/relationships/header" Target="header10.xml"/><Relationship Id="rId54" Type="http://schemas.openxmlformats.org/officeDocument/2006/relationships/footer" Target="footer21.xml"/><Relationship Id="rId62" Type="http://schemas.openxmlformats.org/officeDocument/2006/relationships/header" Target="header18.xml"/><Relationship Id="rId70" Type="http://schemas.openxmlformats.org/officeDocument/2006/relationships/header" Target="header22.xml"/><Relationship Id="rId75" Type="http://schemas.openxmlformats.org/officeDocument/2006/relationships/footer" Target="footer3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lenveagh.ie" TargetMode="Externa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footer" Target="footer11.xml"/><Relationship Id="rId49" Type="http://schemas.openxmlformats.org/officeDocument/2006/relationships/header" Target="header14.xml"/><Relationship Id="rId57" Type="http://schemas.openxmlformats.org/officeDocument/2006/relationships/hyperlink" Target="https://glenveagh.ie/" TargetMode="External"/><Relationship Id="rId10" Type="http://schemas.openxmlformats.org/officeDocument/2006/relationships/endnotes" Target="endnotes.xml"/><Relationship Id="rId31" Type="http://schemas.openxmlformats.org/officeDocument/2006/relationships/header" Target="header6.xml"/><Relationship Id="rId44" Type="http://schemas.openxmlformats.org/officeDocument/2006/relationships/header" Target="header12.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0.xml"/><Relationship Id="rId73" Type="http://schemas.openxmlformats.org/officeDocument/2006/relationships/footer" Target="footer3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channel.royalcast.com/landingpage/glenveagh/20250925_1/" TargetMode="External"/><Relationship Id="rId39" Type="http://schemas.openxmlformats.org/officeDocument/2006/relationships/footer" Target="footer12.xml"/><Relationship Id="rId34" Type="http://schemas.openxmlformats.org/officeDocument/2006/relationships/footer" Target="footer9.xml"/><Relationship Id="rId50" Type="http://schemas.openxmlformats.org/officeDocument/2006/relationships/footer" Target="footer18.xml"/><Relationship Id="rId55" Type="http://schemas.openxmlformats.org/officeDocument/2006/relationships/footer" Target="footer22.xm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23.xml"/><Relationship Id="rId2" Type="http://schemas.openxmlformats.org/officeDocument/2006/relationships/customXml" Target="../customXml/item2.xml"/><Relationship Id="rId29"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a3cf6-255d-4ff5-98fe-b4415afa84b5">
      <UserInfo>
        <DisplayName>Luke O'Connor</DisplayName>
        <AccountId>23</AccountId>
        <AccountType/>
      </UserInfo>
      <UserInfo>
        <DisplayName>Ger Barry</DisplayName>
        <AccountId>14</AccountId>
        <AccountType/>
      </UserInfo>
      <UserInfo>
        <DisplayName>Richard Leonard</DisplayName>
        <AccountId>15</AccountId>
        <AccountType/>
      </UserInfo>
      <UserInfo>
        <DisplayName>Lisa Kelly</DisplayName>
        <AccountId>16</AccountId>
        <AccountType/>
      </UserInfo>
      <UserInfo>
        <DisplayName>Nicole Reynolds</DisplayName>
        <AccountId>728</AccountId>
        <AccountType/>
      </UserInfo>
      <UserInfo>
        <DisplayName>Liam Joyce</DisplayName>
        <AccountId>190</AccountId>
        <AccountType/>
      </UserInfo>
    </SharedWithUsers>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2025-09-25T15:47:53+00:00</DateRece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69E8E-03D6-403C-9871-005005E236F9}">
  <ds:schemaRefs>
    <ds:schemaRef ds:uri="http://schemas.microsoft.com/office/2006/metadata/properties"/>
    <ds:schemaRef ds:uri="http://schemas.microsoft.com/office/infopath/2007/PartnerControls"/>
    <ds:schemaRef ds:uri="http://schemas.microsoft.com/sharepoint/v3/fields"/>
    <ds:schemaRef ds:uri="fe0c3630-fa09-45a6-a559-66d694d4b1e7"/>
    <ds:schemaRef ds:uri="48b4bfcc-2271-4d16-90ef-b8fdd386b85f"/>
  </ds:schemaRefs>
</ds:datastoreItem>
</file>

<file path=customXml/itemProps2.xml><?xml version="1.0" encoding="utf-8"?>
<ds:datastoreItem xmlns:ds="http://schemas.openxmlformats.org/officeDocument/2006/customXml" ds:itemID="{9A4B8B65-1CD5-4578-8CF3-4B2BC65BFEE4}">
  <ds:schemaRefs>
    <ds:schemaRef ds:uri="http://schemas.microsoft.com/sharepoint/v3/contenttype/forms"/>
  </ds:schemaRefs>
</ds:datastoreItem>
</file>

<file path=customXml/itemProps3.xml><?xml version="1.0" encoding="utf-8"?>
<ds:datastoreItem xmlns:ds="http://schemas.openxmlformats.org/officeDocument/2006/customXml" ds:itemID="{EFB39114-12E5-4C54-BB0A-EE03B6AB734D}">
  <ds:schemaRefs>
    <ds:schemaRef ds:uri="http://schemas.openxmlformats.org/officeDocument/2006/bibliography"/>
  </ds:schemaRefs>
</ds:datastoreItem>
</file>

<file path=customXml/itemProps4.xml><?xml version="1.0" encoding="utf-8"?>
<ds:datastoreItem xmlns:ds="http://schemas.openxmlformats.org/officeDocument/2006/customXml" ds:itemID="{48862970-75FB-447E-9AED-72FFE028E379}"/>
</file>

<file path=docProps/app.xml><?xml version="1.0" encoding="utf-8"?>
<Properties xmlns="http://schemas.openxmlformats.org/officeDocument/2006/extended-properties" xmlns:vt="http://schemas.openxmlformats.org/officeDocument/2006/docPropsVTypes">
  <Template>Normal</Template>
  <TotalTime>36</TotalTime>
  <Pages>41</Pages>
  <Words>13581</Words>
  <Characters>77416</Characters>
  <Application>Microsoft Office Word</Application>
  <DocSecurity>0</DocSecurity>
  <Lines>645</Lines>
  <Paragraphs>181</Paragraphs>
  <ScaleCrop>false</ScaleCrop>
  <Company>KPMG</Company>
  <LinksUpToDate>false</LinksUpToDate>
  <CharactersWithSpaces>90816</CharactersWithSpaces>
  <SharedDoc>false</SharedDoc>
  <HLinks>
    <vt:vector size="24" baseType="variant">
      <vt:variant>
        <vt:i4>5898324</vt:i4>
      </vt:variant>
      <vt:variant>
        <vt:i4>6</vt:i4>
      </vt:variant>
      <vt:variant>
        <vt:i4>0</vt:i4>
      </vt:variant>
      <vt:variant>
        <vt:i4>5</vt:i4>
      </vt:variant>
      <vt:variant>
        <vt:lpwstr>https://glenveagh.ie/</vt:lpwstr>
      </vt:variant>
      <vt:variant>
        <vt:lpwstr/>
      </vt:variant>
      <vt:variant>
        <vt:i4>5767227</vt:i4>
      </vt:variant>
      <vt:variant>
        <vt:i4>6</vt:i4>
      </vt:variant>
      <vt:variant>
        <vt:i4>0</vt:i4>
      </vt:variant>
      <vt:variant>
        <vt:i4>5</vt:i4>
      </vt:variant>
      <vt:variant>
        <vt:lpwstr>mailto:jiahui.dai@glenveagh.ie</vt:lpwstr>
      </vt:variant>
      <vt:variant>
        <vt:lpwstr/>
      </vt:variant>
      <vt:variant>
        <vt:i4>5767227</vt:i4>
      </vt:variant>
      <vt:variant>
        <vt:i4>3</vt:i4>
      </vt:variant>
      <vt:variant>
        <vt:i4>0</vt:i4>
      </vt:variant>
      <vt:variant>
        <vt:i4>5</vt:i4>
      </vt:variant>
      <vt:variant>
        <vt:lpwstr>mailto:jiahui.dai@glenveagh.ie</vt:lpwstr>
      </vt:variant>
      <vt:variant>
        <vt:lpwstr/>
      </vt:variant>
      <vt:variant>
        <vt:i4>5767227</vt:i4>
      </vt:variant>
      <vt:variant>
        <vt:i4>0</vt:i4>
      </vt:variant>
      <vt:variant>
        <vt:i4>0</vt:i4>
      </vt:variant>
      <vt:variant>
        <vt:i4>5</vt:i4>
      </vt:variant>
      <vt:variant>
        <vt:lpwstr>mailto:jiahui.dai@glenveagh.ie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jenniferjack</dc:creator>
  <cp:keywords/>
  <dc:description/>
  <cp:lastModifiedBy>Daniel Vard</cp:lastModifiedBy>
  <cp:revision>51</cp:revision>
  <cp:lastPrinted>2025-09-24T15:26:00Z</cp:lastPrinted>
  <dcterms:created xsi:type="dcterms:W3CDTF">2025-09-24T14:39:00Z</dcterms:created>
  <dcterms:modified xsi:type="dcterms:W3CDTF">2025-09-24T15:39:00Z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Order">
    <vt:r8>5568200</vt:r8>
  </property>
  <property fmtid="{D5CDD505-2E9C-101B-9397-08002B2CF9AE}" pid="4" name="MediaServiceImageTags">
    <vt:lpwstr/>
  </property>
  <property fmtid="{D5CDD505-2E9C-101B-9397-08002B2CF9AE}" pid="5" name="ClassificationContentMarkingFooterShapeIds">
    <vt:lpwstr>5ff5d456,39b6c8ae,49ca000a,4fee3897,10398170,528bb6a,329f8531,4805a31c,76c703a6,1286fc31,78aeed49,49a18cdd,138a72c7,3de6c64f,1ae6ddde,5837f2ac,9561984,28758364,4bc0c3d5,1fcdc125,2cdb31d2,7ce754a5,67e7c4f8</vt:lpwstr>
  </property>
  <property fmtid="{D5CDD505-2E9C-101B-9397-08002B2CF9AE}" pid="6" name="ClassificationContentMarkingFooterShapeIds-1">
    <vt:lpwstr>6e0553b1,4d88eff2,2404e185,24e3f861,329ae7f9,69758b0b,7553bcc3</vt:lpwstr>
  </property>
  <property fmtid="{D5CDD505-2E9C-101B-9397-08002B2CF9AE}" pid="7" name="ClassificationContentMarkingFooterFontProps">
    <vt:lpwstr>#000000,10,Calibri</vt:lpwstr>
  </property>
  <property fmtid="{D5CDD505-2E9C-101B-9397-08002B2CF9AE}" pid="8" name="ClassificationContentMarkingFooterText">
    <vt:lpwstr>This File is Classified: Confidential </vt:lpwstr>
  </property>
  <property fmtid="{D5CDD505-2E9C-101B-9397-08002B2CF9AE}" pid="9" name="MSIP_Label_e9488c07-39e2-4d38-b818-37fe9faba8cd_Enabled">
    <vt:lpwstr>true</vt:lpwstr>
  </property>
  <property fmtid="{D5CDD505-2E9C-101B-9397-08002B2CF9AE}" pid="10" name="MSIP_Label_e9488c07-39e2-4d38-b818-37fe9faba8cd_SetDate">
    <vt:lpwstr>2024-08-13T10:22:08Z</vt:lpwstr>
  </property>
  <property fmtid="{D5CDD505-2E9C-101B-9397-08002B2CF9AE}" pid="11" name="MSIP_Label_e9488c07-39e2-4d38-b818-37fe9faba8cd_Method">
    <vt:lpwstr>Privileged</vt:lpwstr>
  </property>
  <property fmtid="{D5CDD505-2E9C-101B-9397-08002B2CF9AE}" pid="12" name="MSIP_Label_e9488c07-39e2-4d38-b818-37fe9faba8cd_Name">
    <vt:lpwstr>Confidential</vt:lpwstr>
  </property>
  <property fmtid="{D5CDD505-2E9C-101B-9397-08002B2CF9AE}" pid="13" name="MSIP_Label_e9488c07-39e2-4d38-b818-37fe9faba8cd_SiteId">
    <vt:lpwstr>3e2f9b6b-9455-420a-a1a0-f829901024d7</vt:lpwstr>
  </property>
  <property fmtid="{D5CDD505-2E9C-101B-9397-08002B2CF9AE}" pid="14" name="MSIP_Label_e9488c07-39e2-4d38-b818-37fe9faba8cd_ActionId">
    <vt:lpwstr>c50035ec-4ff1-46c2-a802-42f681cb5d55</vt:lpwstr>
  </property>
  <property fmtid="{D5CDD505-2E9C-101B-9397-08002B2CF9AE}" pid="15" name="MSIP_Label_e9488c07-39e2-4d38-b818-37fe9faba8cd_ContentBits">
    <vt:lpwstr>2</vt:lpwstr>
  </property>
  <property fmtid="{D5CDD505-2E9C-101B-9397-08002B2CF9AE}" pid="16" name="docLang">
    <vt:lpwstr>en</vt:lpwstr>
  </property>
</Properties>
</file>