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9C19"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D8B4C56"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75ED959" w14:textId="77777777" w:rsidTr="00F1736C">
        <w:trPr>
          <w:trHeight w:val="422"/>
        </w:trPr>
        <w:tc>
          <w:tcPr>
            <w:tcW w:w="10620" w:type="dxa"/>
            <w:gridSpan w:val="6"/>
            <w:vAlign w:val="center"/>
          </w:tcPr>
          <w:p w14:paraId="43FC769A"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4B75D0E6" w14:textId="77777777" w:rsidTr="00C055A5">
        <w:trPr>
          <w:trHeight w:val="325"/>
        </w:trPr>
        <w:tc>
          <w:tcPr>
            <w:tcW w:w="10620" w:type="dxa"/>
            <w:gridSpan w:val="6"/>
            <w:tcBorders>
              <w:left w:val="nil"/>
              <w:right w:val="nil"/>
            </w:tcBorders>
            <w:vAlign w:val="center"/>
          </w:tcPr>
          <w:p w14:paraId="1CC4F849" w14:textId="77777777" w:rsidR="00C5065C" w:rsidRPr="00C055A5" w:rsidRDefault="00C5065C" w:rsidP="00C055A5">
            <w:pPr>
              <w:spacing w:after="0"/>
              <w:rPr>
                <w:rFonts w:ascii="Helvetica" w:hAnsi="Helvetica" w:cs="Helvetica"/>
                <w:lang w:val="en-GB"/>
              </w:rPr>
            </w:pPr>
          </w:p>
        </w:tc>
      </w:tr>
      <w:tr w:rsidR="00C5065C" w:rsidRPr="00C055A5" w14:paraId="49B18828" w14:textId="77777777" w:rsidTr="00F1736C">
        <w:trPr>
          <w:trHeight w:val="732"/>
        </w:trPr>
        <w:tc>
          <w:tcPr>
            <w:tcW w:w="10620" w:type="dxa"/>
            <w:gridSpan w:val="6"/>
            <w:vAlign w:val="center"/>
          </w:tcPr>
          <w:p w14:paraId="01DBF33B" w14:textId="53250E61" w:rsidR="00C5065C" w:rsidRPr="000C1CAC"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7762CD">
              <w:rPr>
                <w:rFonts w:ascii="Helvetica" w:hAnsi="Helvetica" w:cs="Helvetica"/>
                <w:lang w:val="en-GB"/>
              </w:rPr>
              <w:t>Cairn Homes plc</w:t>
            </w:r>
          </w:p>
          <w:p w14:paraId="6E0ED295" w14:textId="77777777" w:rsidR="00C5065C" w:rsidRPr="00C055A5" w:rsidRDefault="00C5065C" w:rsidP="00D2326B">
            <w:pPr>
              <w:spacing w:after="0"/>
              <w:rPr>
                <w:rFonts w:ascii="Helvetica" w:hAnsi="Helvetica" w:cs="Helvetica"/>
                <w:lang w:val="en-GB"/>
              </w:rPr>
            </w:pPr>
          </w:p>
        </w:tc>
      </w:tr>
      <w:tr w:rsidR="00C5065C" w:rsidRPr="00C055A5" w14:paraId="2FA35CEC" w14:textId="77777777" w:rsidTr="00D2326B">
        <w:trPr>
          <w:trHeight w:val="2109"/>
        </w:trPr>
        <w:tc>
          <w:tcPr>
            <w:tcW w:w="10620" w:type="dxa"/>
            <w:gridSpan w:val="6"/>
            <w:vAlign w:val="center"/>
          </w:tcPr>
          <w:p w14:paraId="3AC131D6"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0A1A746" w14:textId="05C1C74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B0192">
              <w:rPr>
                <w:rFonts w:ascii="Helvetica" w:hAnsi="Helvetica" w:cs="Helvetica"/>
                <w:lang w:val="en-GB"/>
              </w:rPr>
              <w:t>X</w:t>
            </w:r>
            <w:r w:rsidRPr="00C055A5">
              <w:rPr>
                <w:rFonts w:ascii="Helvetica" w:hAnsi="Helvetica" w:cs="Helvetica"/>
                <w:lang w:val="en-GB"/>
              </w:rPr>
              <w:t>] An acquisition or disposal of voting rights</w:t>
            </w:r>
          </w:p>
          <w:p w14:paraId="749AFBAC" w14:textId="2900261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78B5EE1E" w14:textId="308FD27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767CDFD1" w14:textId="16A23E7F"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0C1CAC">
              <w:t xml:space="preserve"> </w:t>
            </w:r>
          </w:p>
        </w:tc>
      </w:tr>
      <w:tr w:rsidR="00C5065C" w:rsidRPr="00C055A5" w14:paraId="4828A549" w14:textId="77777777" w:rsidTr="00F1736C">
        <w:trPr>
          <w:trHeight w:val="390"/>
        </w:trPr>
        <w:tc>
          <w:tcPr>
            <w:tcW w:w="10620" w:type="dxa"/>
            <w:gridSpan w:val="6"/>
            <w:tcBorders>
              <w:bottom w:val="nil"/>
            </w:tcBorders>
            <w:vAlign w:val="center"/>
          </w:tcPr>
          <w:p w14:paraId="293097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17B00632" w14:textId="77777777" w:rsidTr="00F1736C">
        <w:trPr>
          <w:trHeight w:val="390"/>
        </w:trPr>
        <w:tc>
          <w:tcPr>
            <w:tcW w:w="4151" w:type="dxa"/>
            <w:gridSpan w:val="2"/>
            <w:tcBorders>
              <w:top w:val="nil"/>
            </w:tcBorders>
          </w:tcPr>
          <w:p w14:paraId="5A59AC39"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EE522D" w:rsidRPr="00EE522D">
              <w:rPr>
                <w:rFonts w:ascii="Helvetica" w:hAnsi="Helvetica" w:cs="Helvetica"/>
                <w:lang w:val="en-GB"/>
              </w:rPr>
              <w:t>JPMorgan Asset Management Holdings Inc.</w:t>
            </w:r>
          </w:p>
        </w:tc>
        <w:tc>
          <w:tcPr>
            <w:tcW w:w="6469" w:type="dxa"/>
            <w:gridSpan w:val="4"/>
            <w:tcBorders>
              <w:top w:val="nil"/>
            </w:tcBorders>
            <w:vAlign w:val="center"/>
          </w:tcPr>
          <w:p w14:paraId="3D30E438" w14:textId="77777777" w:rsidR="00C5065C" w:rsidRPr="00C055A5"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r w:rsidR="000024BF">
              <w:t xml:space="preserve"> </w:t>
            </w:r>
            <w:r w:rsidR="00EE522D" w:rsidRPr="00EE522D">
              <w:rPr>
                <w:rFonts w:ascii="Helvetica" w:hAnsi="Helvetica" w:cs="Helvetica"/>
                <w:lang w:val="en-GB"/>
              </w:rPr>
              <w:t>Wilmington, United States of America</w:t>
            </w:r>
          </w:p>
        </w:tc>
      </w:tr>
      <w:tr w:rsidR="00C5065C" w:rsidRPr="00C055A5" w14:paraId="7BDD2E12" w14:textId="77777777" w:rsidTr="00F1736C">
        <w:trPr>
          <w:trHeight w:val="537"/>
        </w:trPr>
        <w:tc>
          <w:tcPr>
            <w:tcW w:w="10620" w:type="dxa"/>
            <w:gridSpan w:val="6"/>
            <w:vAlign w:val="center"/>
          </w:tcPr>
          <w:p w14:paraId="56EA7B70" w14:textId="77777777" w:rsidR="00C5065C" w:rsidRDefault="00C5065C" w:rsidP="00F4675B">
            <w:pPr>
              <w:spacing w:after="10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7C8E5844" w14:textId="77777777" w:rsidR="000024BF" w:rsidRPr="00C055A5" w:rsidRDefault="00092E94" w:rsidP="004F06C1">
            <w:pPr>
              <w:spacing w:after="100" w:line="240" w:lineRule="auto"/>
              <w:rPr>
                <w:rFonts w:ascii="Helvetica" w:hAnsi="Helvetica" w:cs="Helvetica"/>
                <w:lang w:val="en-GB"/>
              </w:rPr>
            </w:pPr>
            <w:r w:rsidRPr="000C1CAC">
              <w:rPr>
                <w:rFonts w:ascii="Helvetica" w:hAnsi="Helvetica" w:cs="Helvetica"/>
                <w:lang w:val="en-GB"/>
              </w:rPr>
              <w:t>JPMorgan Asset Management (UK) Limited</w:t>
            </w:r>
          </w:p>
        </w:tc>
      </w:tr>
      <w:tr w:rsidR="00C5065C" w:rsidRPr="00C055A5" w14:paraId="0440C612" w14:textId="77777777" w:rsidTr="00F1736C">
        <w:trPr>
          <w:trHeight w:val="419"/>
        </w:trPr>
        <w:tc>
          <w:tcPr>
            <w:tcW w:w="10620" w:type="dxa"/>
            <w:gridSpan w:val="6"/>
            <w:vAlign w:val="center"/>
          </w:tcPr>
          <w:p w14:paraId="6F3D7507" w14:textId="635791AB"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0C1CAC">
              <w:rPr>
                <w:rFonts w:ascii="Helvetica" w:hAnsi="Helvetica" w:cs="Helvetica"/>
                <w:b/>
                <w:lang w:val="en-GB"/>
              </w:rPr>
              <w:t xml:space="preserve"> </w:t>
            </w:r>
            <w:r w:rsidR="00875992">
              <w:rPr>
                <w:rFonts w:ascii="Helvetica" w:hAnsi="Helvetica" w:cs="Helvetica"/>
                <w:b/>
                <w:lang w:val="en-GB"/>
              </w:rPr>
              <w:t>0</w:t>
            </w:r>
            <w:r w:rsidR="00666C77">
              <w:rPr>
                <w:rFonts w:ascii="Helvetica" w:hAnsi="Helvetica" w:cs="Helvetica"/>
                <w:b/>
                <w:lang w:val="en-GB"/>
              </w:rPr>
              <w:t>3</w:t>
            </w:r>
            <w:r w:rsidR="003B0192">
              <w:rPr>
                <w:rFonts w:ascii="Helvetica" w:hAnsi="Helvetica" w:cs="Helvetica"/>
                <w:b/>
                <w:lang w:val="en-GB"/>
              </w:rPr>
              <w:t xml:space="preserve"> </w:t>
            </w:r>
            <w:r w:rsidR="00875992">
              <w:rPr>
                <w:rFonts w:ascii="Helvetica" w:hAnsi="Helvetica" w:cs="Helvetica"/>
                <w:b/>
                <w:lang w:val="en-GB"/>
              </w:rPr>
              <w:t>July</w:t>
            </w:r>
            <w:r w:rsidR="003B0192">
              <w:rPr>
                <w:rFonts w:ascii="Helvetica" w:hAnsi="Helvetica" w:cs="Helvetica"/>
                <w:b/>
                <w:lang w:val="en-GB"/>
              </w:rPr>
              <w:t xml:space="preserve"> 2025</w:t>
            </w:r>
          </w:p>
          <w:p w14:paraId="23BF7D90" w14:textId="77777777" w:rsidR="00BA72A7" w:rsidRPr="00C055A5" w:rsidRDefault="00BA72A7" w:rsidP="00BA72A7">
            <w:pPr>
              <w:spacing w:after="0"/>
              <w:rPr>
                <w:rFonts w:ascii="Helvetica" w:hAnsi="Helvetica" w:cs="Helvetica"/>
                <w:lang w:val="en-GB"/>
              </w:rPr>
            </w:pPr>
          </w:p>
        </w:tc>
      </w:tr>
      <w:tr w:rsidR="00521E70" w:rsidRPr="00C055A5" w14:paraId="4CB57921" w14:textId="77777777" w:rsidTr="00420F6C">
        <w:trPr>
          <w:trHeight w:val="548"/>
        </w:trPr>
        <w:tc>
          <w:tcPr>
            <w:tcW w:w="10620" w:type="dxa"/>
            <w:gridSpan w:val="6"/>
            <w:vAlign w:val="center"/>
          </w:tcPr>
          <w:p w14:paraId="1DF7F66D" w14:textId="076A6971" w:rsidR="00D2326B" w:rsidRPr="00C055A5" w:rsidRDefault="00521E70" w:rsidP="00D2326B">
            <w:pPr>
              <w:spacing w:after="0"/>
              <w:rPr>
                <w:rFonts w:ascii="Helvetica" w:hAnsi="Helvetica" w:cs="Helvetica"/>
                <w:b/>
                <w:lang w:val="en-GB"/>
              </w:rPr>
            </w:pPr>
            <w:r>
              <w:rPr>
                <w:rFonts w:ascii="Helvetica" w:hAnsi="Helvetica" w:cs="Helvetica"/>
                <w:b/>
                <w:lang w:val="en-GB"/>
              </w:rPr>
              <w:t>6. Date on which issuer notified:</w:t>
            </w:r>
            <w:r w:rsidR="000C1CAC">
              <w:rPr>
                <w:rFonts w:ascii="Helvetica" w:hAnsi="Helvetica" w:cs="Helvetica"/>
                <w:b/>
                <w:lang w:val="en-GB"/>
              </w:rPr>
              <w:t xml:space="preserve"> </w:t>
            </w:r>
            <w:r w:rsidR="00875992">
              <w:rPr>
                <w:rFonts w:ascii="Helvetica" w:hAnsi="Helvetica" w:cs="Helvetica"/>
                <w:b/>
                <w:lang w:val="en-GB"/>
              </w:rPr>
              <w:t>0</w:t>
            </w:r>
            <w:r w:rsidR="00666C77">
              <w:rPr>
                <w:rFonts w:ascii="Helvetica" w:hAnsi="Helvetica" w:cs="Helvetica"/>
                <w:b/>
                <w:lang w:val="en-GB"/>
              </w:rPr>
              <w:t>4</w:t>
            </w:r>
            <w:r w:rsidR="00875992">
              <w:rPr>
                <w:rFonts w:ascii="Helvetica" w:hAnsi="Helvetica" w:cs="Helvetica"/>
                <w:b/>
                <w:lang w:val="en-GB"/>
              </w:rPr>
              <w:t xml:space="preserve"> July 2025</w:t>
            </w:r>
          </w:p>
        </w:tc>
      </w:tr>
      <w:tr w:rsidR="00521E70" w:rsidRPr="00C055A5" w14:paraId="01BF97D8" w14:textId="77777777" w:rsidTr="00306839">
        <w:trPr>
          <w:trHeight w:val="419"/>
        </w:trPr>
        <w:tc>
          <w:tcPr>
            <w:tcW w:w="10620" w:type="dxa"/>
            <w:gridSpan w:val="6"/>
            <w:vAlign w:val="center"/>
          </w:tcPr>
          <w:p w14:paraId="68F4D668" w14:textId="5095D7E2"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0C1CAC">
              <w:rPr>
                <w:rFonts w:ascii="Helvetica" w:hAnsi="Helvetica" w:cs="Helvetica"/>
                <w:b/>
                <w:lang w:val="en-GB"/>
              </w:rPr>
              <w:t xml:space="preserve"> </w:t>
            </w:r>
            <w:r w:rsidR="00875992">
              <w:rPr>
                <w:rFonts w:ascii="Helvetica" w:hAnsi="Helvetica" w:cs="Helvetica"/>
                <w:b/>
                <w:lang w:val="en-GB"/>
              </w:rPr>
              <w:t>8</w:t>
            </w:r>
            <w:r w:rsidR="00D73CE1">
              <w:rPr>
                <w:rFonts w:ascii="Helvetica" w:hAnsi="Helvetica" w:cs="Helvetica"/>
                <w:b/>
                <w:lang w:val="en-GB"/>
              </w:rPr>
              <w:t>%</w:t>
            </w:r>
            <w:r w:rsidR="00EE522D">
              <w:rPr>
                <w:rFonts w:ascii="Helvetica" w:hAnsi="Helvetica" w:cs="Helvetica"/>
                <w:b/>
                <w:lang w:val="en-GB"/>
              </w:rPr>
              <w:t xml:space="preserve"> </w:t>
            </w:r>
          </w:p>
          <w:p w14:paraId="13D23172" w14:textId="77777777" w:rsidR="00D2326B" w:rsidRPr="00C055A5" w:rsidRDefault="00D2326B" w:rsidP="00D2326B">
            <w:pPr>
              <w:spacing w:after="0"/>
              <w:rPr>
                <w:rFonts w:ascii="Helvetica" w:hAnsi="Helvetica" w:cs="Helvetica"/>
                <w:b/>
                <w:lang w:val="en-GB"/>
              </w:rPr>
            </w:pPr>
          </w:p>
        </w:tc>
      </w:tr>
      <w:tr w:rsidR="00C5065C" w:rsidRPr="00C055A5" w14:paraId="232D520D" w14:textId="77777777" w:rsidTr="00F1736C">
        <w:trPr>
          <w:trHeight w:val="555"/>
        </w:trPr>
        <w:tc>
          <w:tcPr>
            <w:tcW w:w="10620" w:type="dxa"/>
            <w:gridSpan w:val="6"/>
            <w:vAlign w:val="center"/>
          </w:tcPr>
          <w:p w14:paraId="2E30DA24"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255FBD6" w14:textId="77777777" w:rsidTr="00F1736C">
        <w:trPr>
          <w:trHeight w:val="555"/>
        </w:trPr>
        <w:tc>
          <w:tcPr>
            <w:tcW w:w="2124" w:type="dxa"/>
            <w:vAlign w:val="center"/>
          </w:tcPr>
          <w:p w14:paraId="1CB18555" w14:textId="77777777" w:rsidR="00C5065C" w:rsidRPr="00C055A5" w:rsidRDefault="00C5065C" w:rsidP="00C5065C">
            <w:pPr>
              <w:rPr>
                <w:rFonts w:ascii="Helvetica" w:hAnsi="Helvetica" w:cs="Helvetica"/>
                <w:lang w:val="en-GB"/>
              </w:rPr>
            </w:pPr>
          </w:p>
        </w:tc>
        <w:tc>
          <w:tcPr>
            <w:tcW w:w="2124" w:type="dxa"/>
            <w:gridSpan w:val="2"/>
            <w:vAlign w:val="center"/>
          </w:tcPr>
          <w:p w14:paraId="6154C1B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0B98F116"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5659DC8"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662AB6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F19FF" w:rsidRPr="00C055A5" w14:paraId="5AF8B731" w14:textId="77777777" w:rsidTr="00F1736C">
        <w:trPr>
          <w:trHeight w:val="555"/>
        </w:trPr>
        <w:tc>
          <w:tcPr>
            <w:tcW w:w="2124" w:type="dxa"/>
            <w:vAlign w:val="center"/>
          </w:tcPr>
          <w:p w14:paraId="27AB18C9" w14:textId="77777777" w:rsidR="00CF19FF" w:rsidRPr="008F18BE" w:rsidRDefault="00CF19FF" w:rsidP="00CF19FF">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69E29AE7" w14:textId="2366ABCE" w:rsidR="00CF19FF" w:rsidRPr="00C055A5" w:rsidRDefault="00666C77" w:rsidP="00CF19FF">
            <w:pPr>
              <w:jc w:val="center"/>
              <w:rPr>
                <w:rFonts w:ascii="Helvetica" w:hAnsi="Helvetica" w:cs="Helvetica"/>
                <w:lang w:val="en-GB"/>
              </w:rPr>
            </w:pPr>
            <w:r w:rsidRPr="00666C77">
              <w:rPr>
                <w:rFonts w:ascii="Helvetica" w:hAnsi="Helvetica" w:cs="Helvetica"/>
                <w:lang w:val="en-GB"/>
              </w:rPr>
              <w:t>6.73</w:t>
            </w:r>
            <w:r w:rsidR="00CF19FF">
              <w:rPr>
                <w:rFonts w:ascii="Helvetica" w:hAnsi="Helvetica" w:cs="Helvetica"/>
                <w:lang w:val="en-GB"/>
              </w:rPr>
              <w:t>%</w:t>
            </w:r>
          </w:p>
        </w:tc>
        <w:tc>
          <w:tcPr>
            <w:tcW w:w="2313" w:type="dxa"/>
            <w:vAlign w:val="center"/>
          </w:tcPr>
          <w:p w14:paraId="355D7F7D" w14:textId="2B974D76" w:rsidR="00CF19FF" w:rsidRPr="00C055A5" w:rsidRDefault="00CF19FF" w:rsidP="00CF19FF">
            <w:pPr>
              <w:jc w:val="center"/>
              <w:rPr>
                <w:rFonts w:ascii="Helvetica" w:hAnsi="Helvetica" w:cs="Helvetica"/>
                <w:lang w:val="en-GB"/>
              </w:rPr>
            </w:pPr>
            <w:r w:rsidRPr="00F678E8">
              <w:rPr>
                <w:rFonts w:ascii="Helvetica" w:hAnsi="Helvetica" w:cs="Helvetica"/>
                <w:lang w:val="en-GB"/>
              </w:rPr>
              <w:t>1.</w:t>
            </w:r>
            <w:r>
              <w:rPr>
                <w:rFonts w:ascii="Helvetica" w:hAnsi="Helvetica" w:cs="Helvetica"/>
                <w:lang w:val="en-GB"/>
              </w:rPr>
              <w:t>2</w:t>
            </w:r>
            <w:r w:rsidR="00875992">
              <w:rPr>
                <w:rFonts w:ascii="Helvetica" w:hAnsi="Helvetica" w:cs="Helvetica"/>
                <w:lang w:val="en-GB"/>
              </w:rPr>
              <w:t>4</w:t>
            </w:r>
            <w:r>
              <w:rPr>
                <w:rFonts w:ascii="Helvetica" w:hAnsi="Helvetica" w:cs="Helvetica"/>
                <w:lang w:val="en-GB"/>
              </w:rPr>
              <w:t>%</w:t>
            </w:r>
          </w:p>
        </w:tc>
        <w:tc>
          <w:tcPr>
            <w:tcW w:w="2126" w:type="dxa"/>
            <w:vAlign w:val="center"/>
          </w:tcPr>
          <w:p w14:paraId="5EF0A3A4" w14:textId="440AF4B9" w:rsidR="00CF19FF" w:rsidRPr="00C055A5" w:rsidRDefault="00666C77" w:rsidP="00CF19FF">
            <w:pPr>
              <w:jc w:val="center"/>
              <w:rPr>
                <w:rFonts w:ascii="Helvetica" w:hAnsi="Helvetica" w:cs="Helvetica"/>
                <w:lang w:val="en-GB"/>
              </w:rPr>
            </w:pPr>
            <w:r>
              <w:rPr>
                <w:rFonts w:ascii="Helvetica" w:hAnsi="Helvetica" w:cs="Helvetica"/>
                <w:lang w:val="en-GB"/>
              </w:rPr>
              <w:t>7.97</w:t>
            </w:r>
            <w:r w:rsidR="00CF19FF">
              <w:rPr>
                <w:rFonts w:ascii="Helvetica" w:hAnsi="Helvetica" w:cs="Helvetica"/>
                <w:lang w:val="en-GB"/>
              </w:rPr>
              <w:t>%</w:t>
            </w:r>
          </w:p>
        </w:tc>
        <w:tc>
          <w:tcPr>
            <w:tcW w:w="1933" w:type="dxa"/>
            <w:vAlign w:val="center"/>
          </w:tcPr>
          <w:p w14:paraId="50C2C47C" w14:textId="51FABFA9" w:rsidR="00CF19FF" w:rsidRPr="00C055A5" w:rsidRDefault="00CF19FF" w:rsidP="00CF19FF">
            <w:pPr>
              <w:jc w:val="center"/>
              <w:rPr>
                <w:rFonts w:ascii="Helvetica" w:hAnsi="Helvetica" w:cs="Helvetica"/>
                <w:lang w:val="en-GB"/>
              </w:rPr>
            </w:pPr>
            <w:r w:rsidRPr="004774B5">
              <w:rPr>
                <w:rFonts w:ascii="Helvetica" w:hAnsi="Helvetica" w:cs="Helvetica"/>
                <w:lang w:val="en-GB"/>
              </w:rPr>
              <w:t>625</w:t>
            </w:r>
            <w:r>
              <w:rPr>
                <w:rFonts w:ascii="Helvetica" w:hAnsi="Helvetica" w:cs="Helvetica"/>
                <w:lang w:val="en-GB"/>
              </w:rPr>
              <w:t>,</w:t>
            </w:r>
            <w:r w:rsidRPr="004774B5">
              <w:rPr>
                <w:rFonts w:ascii="Helvetica" w:hAnsi="Helvetica" w:cs="Helvetica"/>
                <w:lang w:val="en-GB"/>
              </w:rPr>
              <w:t>576</w:t>
            </w:r>
            <w:r>
              <w:rPr>
                <w:rFonts w:ascii="Helvetica" w:hAnsi="Helvetica" w:cs="Helvetica"/>
                <w:lang w:val="en-GB"/>
              </w:rPr>
              <w:t>,</w:t>
            </w:r>
            <w:r w:rsidRPr="004774B5">
              <w:rPr>
                <w:rFonts w:ascii="Helvetica" w:hAnsi="Helvetica" w:cs="Helvetica"/>
                <w:lang w:val="en-GB"/>
              </w:rPr>
              <w:t>122</w:t>
            </w:r>
          </w:p>
        </w:tc>
      </w:tr>
      <w:tr w:rsidR="00666C77" w:rsidRPr="00C055A5" w14:paraId="6159CA45" w14:textId="77777777" w:rsidTr="00F1736C">
        <w:trPr>
          <w:trHeight w:val="555"/>
        </w:trPr>
        <w:tc>
          <w:tcPr>
            <w:tcW w:w="2124" w:type="dxa"/>
            <w:vAlign w:val="center"/>
          </w:tcPr>
          <w:p w14:paraId="1298AD18" w14:textId="77777777" w:rsidR="00666C77" w:rsidRPr="008F18BE" w:rsidRDefault="00666C77" w:rsidP="00666C77">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635207A" w14:textId="2E5B71A6" w:rsidR="00666C77" w:rsidRPr="00C055A5" w:rsidRDefault="00666C77" w:rsidP="00666C77">
            <w:pPr>
              <w:jc w:val="center"/>
              <w:rPr>
                <w:rFonts w:ascii="Helvetica" w:hAnsi="Helvetica" w:cs="Helvetica"/>
                <w:lang w:val="en-GB"/>
              </w:rPr>
            </w:pPr>
            <w:r>
              <w:rPr>
                <w:rFonts w:ascii="Helvetica" w:hAnsi="Helvetica" w:cs="Helvetica"/>
                <w:lang w:val="en-GB"/>
              </w:rPr>
              <w:t>6</w:t>
            </w:r>
            <w:r w:rsidRPr="00F678E8">
              <w:rPr>
                <w:rFonts w:ascii="Helvetica" w:hAnsi="Helvetica" w:cs="Helvetica"/>
                <w:lang w:val="en-GB"/>
              </w:rPr>
              <w:t>.</w:t>
            </w:r>
            <w:r>
              <w:rPr>
                <w:rFonts w:ascii="Helvetica" w:hAnsi="Helvetica" w:cs="Helvetica"/>
                <w:lang w:val="en-GB"/>
              </w:rPr>
              <w:t>79%</w:t>
            </w:r>
          </w:p>
        </w:tc>
        <w:tc>
          <w:tcPr>
            <w:tcW w:w="2313" w:type="dxa"/>
            <w:vAlign w:val="center"/>
          </w:tcPr>
          <w:p w14:paraId="3F2BA8FC" w14:textId="44CD33F4" w:rsidR="00666C77" w:rsidRPr="00C055A5" w:rsidRDefault="00666C77" w:rsidP="00666C77">
            <w:pPr>
              <w:jc w:val="center"/>
              <w:rPr>
                <w:rFonts w:ascii="Helvetica" w:hAnsi="Helvetica" w:cs="Helvetica"/>
                <w:lang w:val="en-GB"/>
              </w:rPr>
            </w:pPr>
            <w:r w:rsidRPr="00F678E8">
              <w:rPr>
                <w:rFonts w:ascii="Helvetica" w:hAnsi="Helvetica" w:cs="Helvetica"/>
                <w:lang w:val="en-GB"/>
              </w:rPr>
              <w:t>1.</w:t>
            </w:r>
            <w:r>
              <w:rPr>
                <w:rFonts w:ascii="Helvetica" w:hAnsi="Helvetica" w:cs="Helvetica"/>
                <w:lang w:val="en-GB"/>
              </w:rPr>
              <w:t>24%</w:t>
            </w:r>
          </w:p>
        </w:tc>
        <w:tc>
          <w:tcPr>
            <w:tcW w:w="2126" w:type="dxa"/>
            <w:vAlign w:val="center"/>
          </w:tcPr>
          <w:p w14:paraId="08FE9C06" w14:textId="64E5D295" w:rsidR="00666C77" w:rsidRPr="00C055A5" w:rsidRDefault="00666C77" w:rsidP="00666C77">
            <w:pPr>
              <w:jc w:val="center"/>
              <w:rPr>
                <w:rFonts w:ascii="Helvetica" w:hAnsi="Helvetica" w:cs="Helvetica"/>
                <w:lang w:val="en-GB"/>
              </w:rPr>
            </w:pPr>
            <w:r>
              <w:rPr>
                <w:rFonts w:ascii="Helvetica" w:hAnsi="Helvetica" w:cs="Helvetica"/>
                <w:lang w:val="en-GB"/>
              </w:rPr>
              <w:t>8.03%</w:t>
            </w:r>
          </w:p>
        </w:tc>
        <w:tc>
          <w:tcPr>
            <w:tcW w:w="1933" w:type="dxa"/>
            <w:shd w:val="thinDiagStripe" w:color="auto" w:fill="auto"/>
            <w:vAlign w:val="center"/>
          </w:tcPr>
          <w:p w14:paraId="2AB448CE" w14:textId="77777777" w:rsidR="00666C77" w:rsidRPr="00C055A5" w:rsidRDefault="00666C77" w:rsidP="00666C77">
            <w:pPr>
              <w:rPr>
                <w:rFonts w:ascii="Helvetica" w:hAnsi="Helvetica" w:cs="Helvetica"/>
                <w:lang w:val="en-GB"/>
              </w:rPr>
            </w:pPr>
          </w:p>
        </w:tc>
      </w:tr>
    </w:tbl>
    <w:p w14:paraId="4CB1A530"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64EB1A5A" w14:textId="77777777" w:rsidTr="00092E94">
        <w:trPr>
          <w:trHeight w:val="326"/>
          <w:jc w:val="center"/>
        </w:trPr>
        <w:tc>
          <w:tcPr>
            <w:tcW w:w="10620" w:type="dxa"/>
            <w:gridSpan w:val="11"/>
            <w:tcBorders>
              <w:top w:val="single" w:sz="4" w:space="0" w:color="auto"/>
              <w:bottom w:val="single" w:sz="4" w:space="0" w:color="auto"/>
            </w:tcBorders>
          </w:tcPr>
          <w:p w14:paraId="561B006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lastRenderedPageBreak/>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1B5DC24" w14:textId="77777777" w:rsidTr="00092E94">
        <w:trPr>
          <w:trHeight w:val="458"/>
          <w:jc w:val="center"/>
        </w:trPr>
        <w:tc>
          <w:tcPr>
            <w:tcW w:w="10620" w:type="dxa"/>
            <w:gridSpan w:val="11"/>
            <w:tcBorders>
              <w:top w:val="single" w:sz="4" w:space="0" w:color="auto"/>
              <w:bottom w:val="single" w:sz="4" w:space="0" w:color="auto"/>
            </w:tcBorders>
            <w:vAlign w:val="center"/>
          </w:tcPr>
          <w:p w14:paraId="2A5ECB9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6383B3F5"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08CB1AF6"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2D60696"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7C7A3A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60DEEF0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125D5DB"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E9B997E"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25C484C" w14:textId="77777777" w:rsidR="00F26D04" w:rsidRDefault="00F26D04" w:rsidP="00C055A5">
            <w:pPr>
              <w:spacing w:after="0"/>
              <w:jc w:val="center"/>
              <w:rPr>
                <w:rFonts w:ascii="Helvetica" w:hAnsi="Helvetica" w:cs="Helvetica"/>
                <w:b/>
                <w:sz w:val="20"/>
                <w:szCs w:val="20"/>
                <w:lang w:val="en-GB"/>
              </w:rPr>
            </w:pPr>
          </w:p>
          <w:p w14:paraId="694E570F"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D6ED747"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45B029" w14:textId="77777777" w:rsidR="00F26D04" w:rsidRDefault="00F26D04" w:rsidP="00C055A5">
            <w:pPr>
              <w:spacing w:after="0"/>
              <w:jc w:val="center"/>
              <w:rPr>
                <w:rFonts w:ascii="Helvetica" w:hAnsi="Helvetica" w:cs="Helvetica"/>
                <w:b/>
                <w:sz w:val="20"/>
                <w:szCs w:val="20"/>
                <w:lang w:val="en-GB"/>
              </w:rPr>
            </w:pPr>
          </w:p>
          <w:p w14:paraId="2C83E7F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5B67BF9B"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62E9053" w14:textId="77777777" w:rsidR="00F26D04" w:rsidRDefault="00F26D04" w:rsidP="00C055A5">
            <w:pPr>
              <w:spacing w:after="0"/>
              <w:jc w:val="center"/>
              <w:rPr>
                <w:rFonts w:ascii="Helvetica" w:hAnsi="Helvetica" w:cs="Helvetica"/>
                <w:b/>
                <w:sz w:val="20"/>
                <w:szCs w:val="20"/>
                <w:lang w:val="en-GB"/>
              </w:rPr>
            </w:pPr>
          </w:p>
          <w:p w14:paraId="3363930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E0C22F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2A6837A" w14:textId="77777777" w:rsidR="00F26D04" w:rsidRDefault="00F26D04" w:rsidP="00C055A5">
            <w:pPr>
              <w:spacing w:after="0"/>
              <w:jc w:val="center"/>
              <w:rPr>
                <w:rFonts w:ascii="Helvetica" w:hAnsi="Helvetica" w:cs="Helvetica"/>
                <w:b/>
                <w:sz w:val="20"/>
                <w:szCs w:val="20"/>
                <w:lang w:val="en-GB"/>
              </w:rPr>
            </w:pPr>
          </w:p>
          <w:p w14:paraId="490E8AB4"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EBFBC0" w14:textId="77777777" w:rsidR="00C5065C" w:rsidRPr="000A44F2" w:rsidRDefault="00C5065C" w:rsidP="00B47EB3">
            <w:pPr>
              <w:spacing w:after="0"/>
              <w:jc w:val="center"/>
              <w:rPr>
                <w:rFonts w:ascii="Helvetica" w:hAnsi="Helvetica" w:cs="Helvetica"/>
                <w:b/>
                <w:sz w:val="16"/>
                <w:szCs w:val="16"/>
                <w:lang w:val="en-GB"/>
              </w:rPr>
            </w:pPr>
          </w:p>
        </w:tc>
      </w:tr>
      <w:tr w:rsidR="003B0192" w:rsidRPr="00C055A5" w14:paraId="1EDC5F47"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38A1BFB" w14:textId="4D9F515E" w:rsidR="003B0192" w:rsidRPr="00C055A5" w:rsidRDefault="003B0192" w:rsidP="003B0192">
            <w:pPr>
              <w:rPr>
                <w:rFonts w:ascii="Helvetica" w:hAnsi="Helvetica" w:cs="Helvetica"/>
                <w:lang w:val="en-GB"/>
              </w:rPr>
            </w:pPr>
            <w:r w:rsidRPr="007762CD">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74605BE6" w14:textId="77777777" w:rsidR="003B0192" w:rsidRPr="00C055A5" w:rsidRDefault="003B0192" w:rsidP="003B0192">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FB28017" w14:textId="76984345" w:rsidR="003B0192" w:rsidRPr="00C055A5" w:rsidRDefault="00666C77" w:rsidP="003B0192">
            <w:pPr>
              <w:jc w:val="center"/>
              <w:rPr>
                <w:rFonts w:ascii="Helvetica" w:hAnsi="Helvetica" w:cs="Helvetica"/>
                <w:lang w:val="en-GB"/>
              </w:rPr>
            </w:pPr>
            <w:r w:rsidRPr="00666C77">
              <w:rPr>
                <w:rFonts w:ascii="Helvetica" w:hAnsi="Helvetica" w:cs="Helvetica"/>
                <w:lang w:val="en-GB"/>
              </w:rPr>
              <w:t>42,111,889</w:t>
            </w:r>
          </w:p>
        </w:tc>
        <w:tc>
          <w:tcPr>
            <w:tcW w:w="2347" w:type="dxa"/>
            <w:gridSpan w:val="2"/>
            <w:tcBorders>
              <w:top w:val="single" w:sz="4" w:space="0" w:color="auto"/>
              <w:left w:val="single" w:sz="4" w:space="0" w:color="auto"/>
              <w:bottom w:val="single" w:sz="4" w:space="0" w:color="auto"/>
              <w:right w:val="single" w:sz="4" w:space="0" w:color="auto"/>
            </w:tcBorders>
          </w:tcPr>
          <w:p w14:paraId="6DE8BDCE" w14:textId="77777777" w:rsidR="003B0192" w:rsidRPr="00C055A5" w:rsidRDefault="003B0192" w:rsidP="003B0192">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C684AB" w14:textId="3E4A642F" w:rsidR="003B0192" w:rsidRPr="000436EE" w:rsidRDefault="00666C77" w:rsidP="003B0192">
            <w:pPr>
              <w:jc w:val="center"/>
              <w:rPr>
                <w:rFonts w:ascii="Helvetica" w:hAnsi="Helvetica" w:cs="Helvetica"/>
                <w:lang w:val="en-GB"/>
              </w:rPr>
            </w:pPr>
            <w:r w:rsidRPr="00666C77">
              <w:rPr>
                <w:rFonts w:ascii="Helvetica" w:hAnsi="Helvetica" w:cs="Helvetica"/>
                <w:lang w:val="en-GB"/>
              </w:rPr>
              <w:t>6.73</w:t>
            </w:r>
            <w:r w:rsidR="003B0192">
              <w:rPr>
                <w:rFonts w:ascii="Helvetica" w:hAnsi="Helvetica" w:cs="Helvetica"/>
                <w:lang w:val="en-GB"/>
              </w:rPr>
              <w:t>%</w:t>
            </w:r>
          </w:p>
        </w:tc>
      </w:tr>
      <w:tr w:rsidR="003B0192" w:rsidRPr="00C055A5" w14:paraId="359C86F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3FE164"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8B66E74"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B829AA"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9232A36"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5173016" w14:textId="77777777" w:rsidR="003B0192" w:rsidRPr="00C055A5" w:rsidRDefault="003B0192" w:rsidP="003B0192">
            <w:pPr>
              <w:rPr>
                <w:rFonts w:ascii="Helvetica" w:hAnsi="Helvetica" w:cs="Helvetica"/>
                <w:lang w:val="en-GB"/>
              </w:rPr>
            </w:pPr>
          </w:p>
        </w:tc>
      </w:tr>
      <w:tr w:rsidR="003B0192" w:rsidRPr="00C055A5" w14:paraId="03771B7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0F3B7A8"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0D98BC3"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D3889D"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22CC188"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A0957B8" w14:textId="77777777" w:rsidR="003B0192" w:rsidRPr="00C055A5" w:rsidRDefault="003B0192" w:rsidP="003B0192">
            <w:pPr>
              <w:rPr>
                <w:rFonts w:ascii="Helvetica" w:hAnsi="Helvetica" w:cs="Helvetica"/>
                <w:lang w:val="en-GB"/>
              </w:rPr>
            </w:pPr>
          </w:p>
        </w:tc>
      </w:tr>
      <w:tr w:rsidR="003B0192" w:rsidRPr="00C055A5" w14:paraId="1802211D"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B65741C" w14:textId="77777777" w:rsidR="003B0192" w:rsidRPr="00C055A5" w:rsidRDefault="003B0192" w:rsidP="003B0192">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4E23FB69"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bottom w:val="single" w:sz="4" w:space="0" w:color="auto"/>
              <w:right w:val="single" w:sz="4" w:space="0" w:color="auto"/>
            </w:tcBorders>
          </w:tcPr>
          <w:p w14:paraId="5570CF8C" w14:textId="0CCBBE98" w:rsidR="003B0192" w:rsidRPr="00505E02" w:rsidRDefault="00666C77" w:rsidP="003B0192">
            <w:pPr>
              <w:jc w:val="center"/>
              <w:rPr>
                <w:rFonts w:ascii="Helvetica" w:hAnsi="Helvetica" w:cs="Helvetica"/>
                <w:b/>
                <w:bCs/>
                <w:lang w:val="en-GB"/>
              </w:rPr>
            </w:pPr>
            <w:r w:rsidRPr="00666C77">
              <w:rPr>
                <w:b/>
                <w:bCs/>
              </w:rPr>
              <w:t>42,111,889</w:t>
            </w:r>
          </w:p>
        </w:tc>
        <w:tc>
          <w:tcPr>
            <w:tcW w:w="2347" w:type="dxa"/>
            <w:gridSpan w:val="2"/>
            <w:tcBorders>
              <w:top w:val="single" w:sz="4" w:space="0" w:color="auto"/>
              <w:left w:val="single" w:sz="4" w:space="0" w:color="auto"/>
              <w:bottom w:val="single" w:sz="4" w:space="0" w:color="auto"/>
            </w:tcBorders>
          </w:tcPr>
          <w:p w14:paraId="63D716FB" w14:textId="60AAD08A" w:rsidR="003B0192" w:rsidRPr="00505E02" w:rsidRDefault="003B0192" w:rsidP="003B0192">
            <w:pPr>
              <w:rPr>
                <w:b/>
                <w:bCs/>
              </w:rPr>
            </w:pPr>
          </w:p>
        </w:tc>
        <w:tc>
          <w:tcPr>
            <w:tcW w:w="2186" w:type="dxa"/>
            <w:gridSpan w:val="3"/>
            <w:tcBorders>
              <w:top w:val="single" w:sz="4" w:space="0" w:color="auto"/>
              <w:bottom w:val="single" w:sz="4" w:space="0" w:color="auto"/>
              <w:right w:val="single" w:sz="4" w:space="0" w:color="auto"/>
            </w:tcBorders>
          </w:tcPr>
          <w:p w14:paraId="4D999551" w14:textId="7AB881D7" w:rsidR="003B0192" w:rsidRPr="00505E02" w:rsidRDefault="00666C77" w:rsidP="003B0192">
            <w:pPr>
              <w:jc w:val="center"/>
              <w:rPr>
                <w:b/>
                <w:bCs/>
              </w:rPr>
            </w:pPr>
            <w:r w:rsidRPr="00666C77">
              <w:rPr>
                <w:b/>
                <w:bCs/>
              </w:rPr>
              <w:t>6.73</w:t>
            </w:r>
            <w:r w:rsidR="003B0192" w:rsidRPr="007E44BF">
              <w:rPr>
                <w:b/>
                <w:bCs/>
              </w:rPr>
              <w:t>%</w:t>
            </w:r>
          </w:p>
        </w:tc>
      </w:tr>
      <w:tr w:rsidR="00C5065C" w:rsidRPr="00C055A5" w14:paraId="07063C1D"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4BD2376" w14:textId="77777777" w:rsidR="00420F6C" w:rsidRPr="00C055A5" w:rsidRDefault="00420F6C" w:rsidP="00C5065C">
            <w:pPr>
              <w:rPr>
                <w:rFonts w:ascii="Helvetica" w:hAnsi="Helvetica" w:cs="Helvetica"/>
                <w:lang w:val="en-GB"/>
              </w:rPr>
            </w:pPr>
          </w:p>
        </w:tc>
      </w:tr>
      <w:tr w:rsidR="00C5065C" w:rsidRPr="00C055A5" w14:paraId="5A9C583C" w14:textId="77777777" w:rsidTr="00092E94">
        <w:trPr>
          <w:trHeight w:val="530"/>
          <w:jc w:val="center"/>
        </w:trPr>
        <w:tc>
          <w:tcPr>
            <w:tcW w:w="10620" w:type="dxa"/>
            <w:gridSpan w:val="11"/>
            <w:tcBorders>
              <w:top w:val="single" w:sz="4" w:space="0" w:color="auto"/>
              <w:bottom w:val="single" w:sz="4" w:space="0" w:color="auto"/>
            </w:tcBorders>
            <w:vAlign w:val="center"/>
          </w:tcPr>
          <w:p w14:paraId="153CDAA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7AC84ABD"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3AF1D86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B07C2C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C7501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05749A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FB195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C055A5" w14:paraId="507C44D4" w14:textId="77777777" w:rsidTr="00B273C0">
        <w:trPr>
          <w:trHeight w:val="481"/>
          <w:jc w:val="center"/>
        </w:trPr>
        <w:tc>
          <w:tcPr>
            <w:tcW w:w="2081" w:type="dxa"/>
            <w:gridSpan w:val="2"/>
            <w:tcBorders>
              <w:top w:val="single" w:sz="4" w:space="0" w:color="auto"/>
              <w:bottom w:val="single" w:sz="4" w:space="0" w:color="auto"/>
              <w:right w:val="single" w:sz="4" w:space="0" w:color="auto"/>
            </w:tcBorders>
            <w:vAlign w:val="center"/>
          </w:tcPr>
          <w:p w14:paraId="70E831A3" w14:textId="4605E326" w:rsidR="003B0192" w:rsidRPr="00C055A5" w:rsidRDefault="003B0192" w:rsidP="003B0192">
            <w:pPr>
              <w:jc w:val="center"/>
              <w:rPr>
                <w:rFonts w:ascii="Helvetica" w:hAnsi="Helvetica" w:cs="Helvetica"/>
                <w:lang w:val="en-GB"/>
              </w:rPr>
            </w:pPr>
            <w:r>
              <w:rPr>
                <w:rFonts w:ascii="Verdana" w:eastAsia="Times New Roman" w:hAnsi="Verdana"/>
              </w:rPr>
              <w:t xml:space="preserve">Right to Recall </w:t>
            </w:r>
          </w:p>
        </w:tc>
        <w:tc>
          <w:tcPr>
            <w:tcW w:w="1437" w:type="dxa"/>
            <w:tcBorders>
              <w:top w:val="single" w:sz="4" w:space="0" w:color="auto"/>
              <w:left w:val="single" w:sz="4" w:space="0" w:color="auto"/>
              <w:bottom w:val="single" w:sz="4" w:space="0" w:color="auto"/>
              <w:right w:val="single" w:sz="4" w:space="0" w:color="auto"/>
            </w:tcBorders>
            <w:vAlign w:val="center"/>
          </w:tcPr>
          <w:p w14:paraId="16C53985" w14:textId="6AE801F8" w:rsidR="003B0192" w:rsidRPr="00C055A5" w:rsidRDefault="003B0192" w:rsidP="003B0192">
            <w:pPr>
              <w:jc w:val="center"/>
              <w:rPr>
                <w:rFonts w:ascii="Helvetica" w:hAnsi="Helvetica" w:cs="Helvetica"/>
                <w:lang w:val="en-GB"/>
              </w:rPr>
            </w:pPr>
            <w:r>
              <w:rPr>
                <w:rFonts w:ascii="Verdana" w:eastAsia="Times New Roman" w:hAnsi="Verdana"/>
              </w:rPr>
              <w:t xml:space="preserve">N/A </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73C6E2C" w14:textId="61A066C7" w:rsidR="003B0192" w:rsidRPr="00C055A5" w:rsidRDefault="003B0192" w:rsidP="003B0192">
            <w:pPr>
              <w:jc w:val="center"/>
              <w:rPr>
                <w:rFonts w:ascii="Helvetica" w:hAnsi="Helvetica" w:cs="Helvetica"/>
                <w:lang w:val="en-GB"/>
              </w:rPr>
            </w:pPr>
            <w:r>
              <w:rPr>
                <w:rFonts w:ascii="Verdana" w:eastAsia="Times New Roman" w:hAnsi="Verdana"/>
              </w:rPr>
              <w:t xml:space="preserve">N/A </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45B5311" w14:textId="089E0573" w:rsidR="003B0192" w:rsidRPr="00C055A5" w:rsidRDefault="00875992" w:rsidP="003B0192">
            <w:pPr>
              <w:jc w:val="center"/>
              <w:rPr>
                <w:rFonts w:ascii="Helvetica" w:hAnsi="Helvetica" w:cs="Helvetica"/>
                <w:lang w:val="en-GB"/>
              </w:rPr>
            </w:pPr>
            <w:r w:rsidRPr="00875992">
              <w:rPr>
                <w:rFonts w:ascii="Helvetica" w:hAnsi="Helvetica" w:cs="Helvetica"/>
                <w:lang w:val="en-GB"/>
              </w:rPr>
              <w:t>1,624,752</w:t>
            </w:r>
          </w:p>
        </w:tc>
        <w:tc>
          <w:tcPr>
            <w:tcW w:w="2077" w:type="dxa"/>
            <w:gridSpan w:val="2"/>
            <w:tcBorders>
              <w:top w:val="single" w:sz="4" w:space="0" w:color="auto"/>
              <w:left w:val="single" w:sz="4" w:space="0" w:color="auto"/>
              <w:bottom w:val="single" w:sz="4" w:space="0" w:color="auto"/>
            </w:tcBorders>
            <w:vAlign w:val="center"/>
          </w:tcPr>
          <w:p w14:paraId="4E8E9F26" w14:textId="550B2E82" w:rsidR="003B0192" w:rsidRPr="00C055A5" w:rsidRDefault="003B0192" w:rsidP="003B0192">
            <w:pPr>
              <w:jc w:val="center"/>
              <w:rPr>
                <w:rFonts w:ascii="Helvetica" w:hAnsi="Helvetica" w:cs="Helvetica"/>
                <w:lang w:val="en-GB"/>
              </w:rPr>
            </w:pPr>
            <w:r w:rsidRPr="00D7084A">
              <w:rPr>
                <w:rFonts w:ascii="Helvetica" w:hAnsi="Helvetica" w:cs="Helvetica"/>
                <w:lang w:val="en-GB"/>
              </w:rPr>
              <w:t>0.</w:t>
            </w:r>
            <w:r w:rsidR="00961A6C">
              <w:rPr>
                <w:rFonts w:ascii="Helvetica" w:hAnsi="Helvetica" w:cs="Helvetica"/>
                <w:lang w:val="en-GB"/>
              </w:rPr>
              <w:t>2</w:t>
            </w:r>
            <w:r w:rsidR="00FB1AD4">
              <w:rPr>
                <w:rFonts w:ascii="Helvetica" w:hAnsi="Helvetica" w:cs="Helvetica"/>
                <w:lang w:val="en-GB"/>
              </w:rPr>
              <w:t>6</w:t>
            </w:r>
            <w:r>
              <w:rPr>
                <w:rFonts w:ascii="Helvetica" w:hAnsi="Helvetica" w:cs="Helvetica"/>
                <w:lang w:val="en-GB"/>
              </w:rPr>
              <w:t>%</w:t>
            </w:r>
          </w:p>
        </w:tc>
      </w:tr>
      <w:tr w:rsidR="003B0192" w:rsidRPr="00C055A5" w14:paraId="63F77220"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A69528E" w14:textId="77777777" w:rsidR="003B0192" w:rsidRPr="00C055A5" w:rsidRDefault="003B0192" w:rsidP="003B0192">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590EDBF"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3FDA242" w14:textId="77777777" w:rsidR="003B0192" w:rsidRPr="00C055A5" w:rsidRDefault="003B0192" w:rsidP="003B0192">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46B112" w14:textId="77777777" w:rsidR="003B0192" w:rsidRPr="00C055A5" w:rsidRDefault="003B0192" w:rsidP="003B0192">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703B303" w14:textId="77777777" w:rsidR="003B0192" w:rsidRPr="00C055A5" w:rsidRDefault="003B0192" w:rsidP="003B0192">
            <w:pPr>
              <w:rPr>
                <w:rFonts w:ascii="Helvetica" w:hAnsi="Helvetica" w:cs="Helvetica"/>
                <w:lang w:val="en-GB"/>
              </w:rPr>
            </w:pPr>
          </w:p>
        </w:tc>
      </w:tr>
      <w:tr w:rsidR="003B0192" w:rsidRPr="00C055A5" w14:paraId="78489E9E" w14:textId="77777777" w:rsidTr="00AC522D">
        <w:trPr>
          <w:trHeight w:val="481"/>
          <w:jc w:val="center"/>
        </w:trPr>
        <w:tc>
          <w:tcPr>
            <w:tcW w:w="2081" w:type="dxa"/>
            <w:gridSpan w:val="2"/>
            <w:tcBorders>
              <w:top w:val="single" w:sz="4" w:space="0" w:color="auto"/>
              <w:left w:val="nil"/>
              <w:bottom w:val="nil"/>
              <w:right w:val="nil"/>
            </w:tcBorders>
          </w:tcPr>
          <w:p w14:paraId="26E20F2B" w14:textId="77777777" w:rsidR="003B0192" w:rsidRPr="00C055A5" w:rsidRDefault="003B0192" w:rsidP="003B0192">
            <w:pPr>
              <w:rPr>
                <w:rFonts w:ascii="Helvetica" w:hAnsi="Helvetica" w:cs="Helvetica"/>
                <w:lang w:val="en-GB"/>
              </w:rPr>
            </w:pPr>
          </w:p>
        </w:tc>
        <w:tc>
          <w:tcPr>
            <w:tcW w:w="1437" w:type="dxa"/>
            <w:tcBorders>
              <w:top w:val="single" w:sz="4" w:space="0" w:color="auto"/>
              <w:left w:val="nil"/>
              <w:bottom w:val="nil"/>
              <w:right w:val="single" w:sz="4" w:space="0" w:color="auto"/>
            </w:tcBorders>
          </w:tcPr>
          <w:p w14:paraId="496C9A6B"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666CE4BE" w14:textId="3C095A5F" w:rsidR="003B0192" w:rsidRPr="00C055A5" w:rsidRDefault="003B0192" w:rsidP="003B0192">
            <w:pPr>
              <w:rPr>
                <w:rFonts w:ascii="Helvetica" w:hAnsi="Helvetica" w:cs="Helvetica"/>
                <w:b/>
                <w:lang w:val="en-GB"/>
              </w:rPr>
            </w:pPr>
            <w:r w:rsidRPr="00C055A5">
              <w:rPr>
                <w:rFonts w:ascii="Helvetica" w:hAnsi="Helvetica" w:cs="Helvetica"/>
                <w:b/>
                <w:lang w:val="en-GB"/>
              </w:rPr>
              <w:t>SUBTOTAL B.</w:t>
            </w:r>
            <w:r>
              <w:rPr>
                <w:rFonts w:ascii="Helvetica" w:hAnsi="Helvetica" w:cs="Helvetica"/>
                <w:b/>
                <w:lang w:val="en-GB"/>
              </w:rPr>
              <w:t>1</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A90401C" w14:textId="2F615D32" w:rsidR="003B0192" w:rsidRPr="00A51009" w:rsidRDefault="00875992" w:rsidP="003B0192">
            <w:pPr>
              <w:jc w:val="center"/>
              <w:rPr>
                <w:b/>
                <w:bCs/>
              </w:rPr>
            </w:pPr>
            <w:r w:rsidRPr="00875992">
              <w:rPr>
                <w:b/>
                <w:bCs/>
              </w:rPr>
              <w:t>1,624,752</w:t>
            </w:r>
          </w:p>
        </w:tc>
        <w:tc>
          <w:tcPr>
            <w:tcW w:w="2077" w:type="dxa"/>
            <w:gridSpan w:val="2"/>
            <w:tcBorders>
              <w:top w:val="single" w:sz="4" w:space="0" w:color="auto"/>
              <w:left w:val="single" w:sz="4" w:space="0" w:color="auto"/>
              <w:bottom w:val="single" w:sz="4" w:space="0" w:color="auto"/>
            </w:tcBorders>
            <w:vAlign w:val="center"/>
          </w:tcPr>
          <w:p w14:paraId="0AF87261" w14:textId="1EE0D20B" w:rsidR="003B0192" w:rsidRPr="00A51009" w:rsidRDefault="003B0192" w:rsidP="003B0192">
            <w:pPr>
              <w:jc w:val="center"/>
              <w:rPr>
                <w:b/>
                <w:bCs/>
              </w:rPr>
            </w:pPr>
            <w:r w:rsidRPr="008E3062">
              <w:rPr>
                <w:b/>
                <w:bCs/>
              </w:rPr>
              <w:t>0.</w:t>
            </w:r>
            <w:r w:rsidR="00961A6C">
              <w:rPr>
                <w:b/>
                <w:bCs/>
              </w:rPr>
              <w:t>2</w:t>
            </w:r>
            <w:r w:rsidR="00FB1AD4">
              <w:rPr>
                <w:b/>
                <w:bCs/>
              </w:rPr>
              <w:t>6</w:t>
            </w:r>
            <w:r w:rsidRPr="008E3062">
              <w:rPr>
                <w:b/>
                <w:bCs/>
              </w:rPr>
              <w:t>%</w:t>
            </w:r>
          </w:p>
        </w:tc>
      </w:tr>
      <w:tr w:rsidR="00362101" w:rsidRPr="00C055A5" w14:paraId="59C8E18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4FA1A1F" w14:textId="77777777" w:rsidR="00362101" w:rsidRPr="00C055A5" w:rsidRDefault="00362101" w:rsidP="00362101">
            <w:pPr>
              <w:rPr>
                <w:rFonts w:ascii="Helvetica" w:hAnsi="Helvetica" w:cs="Helvetica"/>
                <w:lang w:val="en-GB"/>
              </w:rPr>
            </w:pPr>
          </w:p>
        </w:tc>
      </w:tr>
      <w:tr w:rsidR="00362101" w:rsidRPr="00C055A5" w14:paraId="79CA0307" w14:textId="77777777" w:rsidTr="00092E94">
        <w:trPr>
          <w:trHeight w:val="408"/>
          <w:jc w:val="center"/>
        </w:trPr>
        <w:tc>
          <w:tcPr>
            <w:tcW w:w="10620" w:type="dxa"/>
            <w:gridSpan w:val="11"/>
            <w:tcBorders>
              <w:top w:val="single" w:sz="4" w:space="0" w:color="auto"/>
              <w:bottom w:val="single" w:sz="4" w:space="0" w:color="auto"/>
            </w:tcBorders>
            <w:vAlign w:val="center"/>
          </w:tcPr>
          <w:p w14:paraId="0A805F05" w14:textId="77777777" w:rsidR="00362101" w:rsidRPr="00C055A5" w:rsidRDefault="00362101" w:rsidP="00362101">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Pr>
                <w:rFonts w:ascii="Helvetica" w:hAnsi="Helvetica" w:cs="Helvetica"/>
                <w:b/>
                <w:lang w:val="en-GB"/>
              </w:rPr>
              <w:t>Regulation 17(1)(b) of the Regulations</w:t>
            </w:r>
          </w:p>
        </w:tc>
      </w:tr>
      <w:tr w:rsidR="00362101" w:rsidRPr="00C055A5" w14:paraId="2B6B5B90" w14:textId="77777777" w:rsidTr="00092E94">
        <w:trPr>
          <w:jc w:val="center"/>
        </w:trPr>
        <w:tc>
          <w:tcPr>
            <w:tcW w:w="1861" w:type="dxa"/>
            <w:tcBorders>
              <w:top w:val="single" w:sz="4" w:space="0" w:color="auto"/>
              <w:bottom w:val="single" w:sz="4" w:space="0" w:color="auto"/>
              <w:right w:val="single" w:sz="4" w:space="0" w:color="auto"/>
            </w:tcBorders>
            <w:vAlign w:val="center"/>
          </w:tcPr>
          <w:p w14:paraId="55E316EE"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3F39E2D"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07E58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FD93A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74167A88"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D679FD4"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EE522D" w14:paraId="6C4D0BD4" w14:textId="77777777" w:rsidTr="0016463E">
        <w:trPr>
          <w:trHeight w:val="557"/>
          <w:jc w:val="center"/>
        </w:trPr>
        <w:tc>
          <w:tcPr>
            <w:tcW w:w="1861" w:type="dxa"/>
            <w:tcBorders>
              <w:top w:val="single" w:sz="4" w:space="0" w:color="auto"/>
              <w:bottom w:val="single" w:sz="4" w:space="0" w:color="auto"/>
              <w:right w:val="single" w:sz="4" w:space="0" w:color="auto"/>
            </w:tcBorders>
            <w:vAlign w:val="center"/>
          </w:tcPr>
          <w:p w14:paraId="50A46B18" w14:textId="62AA5119" w:rsidR="003B0192" w:rsidRPr="00A63B41" w:rsidRDefault="003B0192" w:rsidP="003B0192">
            <w:pPr>
              <w:jc w:val="center"/>
              <w:rPr>
                <w:rFonts w:ascii="Helvetica" w:hAnsi="Helvetica" w:cs="Helvetica"/>
                <w:lang w:val="en-GB"/>
              </w:rPr>
            </w:pPr>
            <w:r>
              <w:rPr>
                <w:rFonts w:ascii="Arial" w:hAnsi="Arial" w:cs="Arial"/>
              </w:rPr>
              <w:t>Cash Settled – Equity Swaps</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AD5202" w14:textId="0931CFD4"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2FEBD8" w14:textId="3A50D700"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B77A47F" w14:textId="33338A98" w:rsidR="003B0192" w:rsidRPr="00A63B41" w:rsidRDefault="003B0192" w:rsidP="003B0192">
            <w:pPr>
              <w:jc w:val="center"/>
              <w:rPr>
                <w:rFonts w:ascii="Helvetica" w:hAnsi="Helvetica" w:cs="Helvetica"/>
                <w:lang w:val="en-GB"/>
              </w:rPr>
            </w:pPr>
            <w:r>
              <w:rPr>
                <w:rFonts w:ascii="Arial" w:hAnsi="Arial" w:cs="Arial"/>
              </w:rPr>
              <w:t>CASH</w:t>
            </w:r>
          </w:p>
        </w:tc>
        <w:tc>
          <w:tcPr>
            <w:tcW w:w="1535" w:type="dxa"/>
            <w:gridSpan w:val="3"/>
            <w:tcBorders>
              <w:top w:val="single" w:sz="4" w:space="0" w:color="auto"/>
              <w:left w:val="single" w:sz="4" w:space="0" w:color="auto"/>
              <w:bottom w:val="single" w:sz="4" w:space="0" w:color="auto"/>
            </w:tcBorders>
            <w:vAlign w:val="center"/>
          </w:tcPr>
          <w:p w14:paraId="47EE6C9C" w14:textId="7F656742" w:rsidR="003B0192" w:rsidRPr="00A63B41" w:rsidRDefault="00875992" w:rsidP="003B0192">
            <w:pPr>
              <w:jc w:val="center"/>
              <w:rPr>
                <w:rFonts w:ascii="Helvetica" w:hAnsi="Helvetica" w:cs="Helvetica"/>
                <w:lang w:val="en-GB"/>
              </w:rPr>
            </w:pPr>
            <w:r w:rsidRPr="00875992">
              <w:rPr>
                <w:rFonts w:ascii="Helvetica" w:hAnsi="Helvetica" w:cs="Helvetica"/>
                <w:lang w:val="en-GB"/>
              </w:rPr>
              <w:t>6,110,059</w:t>
            </w:r>
          </w:p>
        </w:tc>
        <w:tc>
          <w:tcPr>
            <w:tcW w:w="1992" w:type="dxa"/>
            <w:tcBorders>
              <w:top w:val="single" w:sz="4" w:space="0" w:color="auto"/>
              <w:left w:val="single" w:sz="4" w:space="0" w:color="auto"/>
              <w:bottom w:val="single" w:sz="4" w:space="0" w:color="auto"/>
            </w:tcBorders>
            <w:vAlign w:val="center"/>
          </w:tcPr>
          <w:p w14:paraId="20C979A9" w14:textId="643D0669" w:rsidR="003B0192" w:rsidRPr="00A63B41" w:rsidRDefault="00731F79" w:rsidP="003B0192">
            <w:pPr>
              <w:jc w:val="center"/>
              <w:rPr>
                <w:rFonts w:ascii="Helvetica" w:hAnsi="Helvetica" w:cs="Helvetica"/>
                <w:lang w:val="en-GB"/>
              </w:rPr>
            </w:pPr>
            <w:r>
              <w:rPr>
                <w:rFonts w:ascii="Helvetica" w:hAnsi="Helvetica" w:cs="Helvetica"/>
                <w:lang w:val="en-GB"/>
              </w:rPr>
              <w:t>0.9</w:t>
            </w:r>
            <w:r w:rsidR="00875992">
              <w:rPr>
                <w:rFonts w:ascii="Helvetica" w:hAnsi="Helvetica" w:cs="Helvetica"/>
                <w:lang w:val="en-GB"/>
              </w:rPr>
              <w:t>8</w:t>
            </w:r>
            <w:r w:rsidR="003B0192">
              <w:rPr>
                <w:rFonts w:ascii="Helvetica" w:hAnsi="Helvetica" w:cs="Helvetica"/>
                <w:lang w:val="en-GB"/>
              </w:rPr>
              <w:t>%</w:t>
            </w:r>
          </w:p>
        </w:tc>
      </w:tr>
      <w:tr w:rsidR="003B0192" w:rsidRPr="00C055A5" w14:paraId="60EBCB39" w14:textId="77777777" w:rsidTr="00092E94">
        <w:trPr>
          <w:trHeight w:val="481"/>
          <w:jc w:val="center"/>
        </w:trPr>
        <w:tc>
          <w:tcPr>
            <w:tcW w:w="1861" w:type="dxa"/>
            <w:tcBorders>
              <w:top w:val="single" w:sz="4" w:space="0" w:color="auto"/>
              <w:left w:val="nil"/>
              <w:bottom w:val="nil"/>
              <w:right w:val="nil"/>
            </w:tcBorders>
          </w:tcPr>
          <w:p w14:paraId="62CBB023" w14:textId="77777777" w:rsidR="003B0192" w:rsidRPr="00C055A5" w:rsidRDefault="003B0192" w:rsidP="003B0192">
            <w:pPr>
              <w:rPr>
                <w:rFonts w:ascii="Helvetica" w:hAnsi="Helvetica" w:cs="Helvetica"/>
                <w:lang w:val="en-GB"/>
              </w:rPr>
            </w:pPr>
          </w:p>
        </w:tc>
        <w:tc>
          <w:tcPr>
            <w:tcW w:w="1657" w:type="dxa"/>
            <w:gridSpan w:val="2"/>
            <w:tcBorders>
              <w:top w:val="single" w:sz="4" w:space="0" w:color="auto"/>
              <w:left w:val="nil"/>
              <w:bottom w:val="nil"/>
              <w:right w:val="nil"/>
            </w:tcBorders>
          </w:tcPr>
          <w:p w14:paraId="3B310CC0" w14:textId="77777777" w:rsidR="003B0192" w:rsidRPr="00C055A5" w:rsidRDefault="003B0192" w:rsidP="003B0192">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63C2FA03" w14:textId="77777777" w:rsidR="003B0192" w:rsidRPr="00C055A5" w:rsidRDefault="003B0192" w:rsidP="003B0192">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9FE443E" w14:textId="77777777" w:rsidR="003B0192" w:rsidRPr="00C055A5" w:rsidRDefault="003B0192" w:rsidP="003B0192">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3A8CE1BB" w14:textId="4E695DFC" w:rsidR="003B0192" w:rsidRPr="00A63B41" w:rsidRDefault="00875992" w:rsidP="003B0192">
            <w:pPr>
              <w:jc w:val="center"/>
              <w:rPr>
                <w:rFonts w:ascii="Helvetica" w:hAnsi="Helvetica" w:cs="Helvetica"/>
                <w:b/>
                <w:bCs/>
                <w:lang w:val="en-GB"/>
              </w:rPr>
            </w:pPr>
            <w:r w:rsidRPr="00875992">
              <w:rPr>
                <w:rFonts w:ascii="Helvetica" w:hAnsi="Helvetica" w:cs="Helvetica"/>
                <w:b/>
                <w:bCs/>
                <w:lang w:val="en-GB"/>
              </w:rPr>
              <w:t>6,110,059</w:t>
            </w:r>
          </w:p>
        </w:tc>
        <w:tc>
          <w:tcPr>
            <w:tcW w:w="1992" w:type="dxa"/>
            <w:tcBorders>
              <w:top w:val="single" w:sz="4" w:space="0" w:color="auto"/>
              <w:left w:val="single" w:sz="4" w:space="0" w:color="auto"/>
              <w:bottom w:val="single" w:sz="4" w:space="0" w:color="auto"/>
              <w:right w:val="single" w:sz="4" w:space="0" w:color="auto"/>
            </w:tcBorders>
          </w:tcPr>
          <w:p w14:paraId="49BC894A" w14:textId="7300F30E" w:rsidR="003B0192" w:rsidRPr="00A63B41" w:rsidRDefault="00731F79" w:rsidP="003B0192">
            <w:pPr>
              <w:jc w:val="center"/>
              <w:rPr>
                <w:rFonts w:ascii="Helvetica" w:hAnsi="Helvetica" w:cs="Helvetica"/>
                <w:b/>
                <w:bCs/>
                <w:lang w:val="en-GB"/>
              </w:rPr>
            </w:pPr>
            <w:r>
              <w:rPr>
                <w:rFonts w:ascii="Helvetica" w:hAnsi="Helvetica" w:cs="Helvetica"/>
                <w:b/>
                <w:bCs/>
                <w:lang w:val="en-GB"/>
              </w:rPr>
              <w:t>0.9</w:t>
            </w:r>
            <w:r w:rsidR="00875992">
              <w:rPr>
                <w:rFonts w:ascii="Helvetica" w:hAnsi="Helvetica" w:cs="Helvetica"/>
                <w:b/>
                <w:bCs/>
                <w:lang w:val="en-GB"/>
              </w:rPr>
              <w:t>8</w:t>
            </w:r>
            <w:r w:rsidR="003B0192" w:rsidRPr="007762CD">
              <w:rPr>
                <w:rFonts w:ascii="Helvetica" w:hAnsi="Helvetica" w:cs="Helvetica"/>
                <w:b/>
                <w:bCs/>
                <w:lang w:val="en-GB"/>
              </w:rPr>
              <w:t>%</w:t>
            </w:r>
          </w:p>
        </w:tc>
      </w:tr>
    </w:tbl>
    <w:p w14:paraId="50E046C3" w14:textId="77777777" w:rsidR="00C5065C" w:rsidRDefault="00C5065C">
      <w:pPr>
        <w:rPr>
          <w:rFonts w:ascii="Helvetica" w:hAnsi="Helvetica" w:cs="Helvetica"/>
        </w:rPr>
      </w:pPr>
    </w:p>
    <w:p w14:paraId="470786BF" w14:textId="77777777" w:rsidR="00420F6C" w:rsidRDefault="00420F6C">
      <w:pPr>
        <w:rPr>
          <w:rFonts w:ascii="Helvetica" w:hAnsi="Helvetica" w:cs="Helvetica"/>
        </w:rPr>
      </w:pPr>
    </w:p>
    <w:p w14:paraId="06C93A69" w14:textId="77777777" w:rsidR="00420F6C" w:rsidRDefault="00420F6C">
      <w:pPr>
        <w:rPr>
          <w:rFonts w:ascii="Helvetica" w:hAnsi="Helvetica" w:cs="Helvetica"/>
        </w:rPr>
      </w:pPr>
    </w:p>
    <w:tbl>
      <w:tblPr>
        <w:tblW w:w="105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634"/>
        <w:gridCol w:w="2634"/>
        <w:gridCol w:w="2634"/>
      </w:tblGrid>
      <w:tr w:rsidR="00C5065C" w:rsidRPr="00C055A5" w14:paraId="16592FA4" w14:textId="77777777" w:rsidTr="00420F6C">
        <w:trPr>
          <w:trHeight w:val="972"/>
        </w:trPr>
        <w:tc>
          <w:tcPr>
            <w:tcW w:w="10536" w:type="dxa"/>
            <w:gridSpan w:val="4"/>
            <w:tcBorders>
              <w:bottom w:val="nil"/>
            </w:tcBorders>
          </w:tcPr>
          <w:p w14:paraId="70D28CA2"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86A0F6C"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77DE83B7" w14:textId="77777777" w:rsidR="00C5065C" w:rsidRPr="008F18BE" w:rsidRDefault="00C5065C" w:rsidP="008F18BE">
            <w:pPr>
              <w:spacing w:after="0"/>
              <w:rPr>
                <w:rFonts w:ascii="Helvetica" w:hAnsi="Helvetica" w:cs="Helvetica"/>
                <w:b/>
                <w:lang w:val="en-GB"/>
              </w:rPr>
            </w:pPr>
          </w:p>
          <w:p w14:paraId="2E6FE962" w14:textId="77777777" w:rsidR="00C5065C" w:rsidRPr="00C055A5" w:rsidRDefault="000C1CAC" w:rsidP="00420F6C">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tc>
      </w:tr>
      <w:tr w:rsidR="00C5065C" w:rsidRPr="00C055A5" w14:paraId="428267E2" w14:textId="77777777" w:rsidTr="00420F6C">
        <w:trPr>
          <w:trHeight w:val="1212"/>
        </w:trPr>
        <w:tc>
          <w:tcPr>
            <w:tcW w:w="2634" w:type="dxa"/>
            <w:tcBorders>
              <w:top w:val="nil"/>
            </w:tcBorders>
            <w:vAlign w:val="center"/>
          </w:tcPr>
          <w:p w14:paraId="768574A7"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34" w:type="dxa"/>
            <w:tcBorders>
              <w:top w:val="nil"/>
            </w:tcBorders>
            <w:vAlign w:val="center"/>
          </w:tcPr>
          <w:p w14:paraId="78D90E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34" w:type="dxa"/>
            <w:tcBorders>
              <w:top w:val="nil"/>
            </w:tcBorders>
            <w:vAlign w:val="center"/>
          </w:tcPr>
          <w:p w14:paraId="3A1B6F21"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34" w:type="dxa"/>
            <w:tcBorders>
              <w:top w:val="nil"/>
            </w:tcBorders>
            <w:vAlign w:val="center"/>
          </w:tcPr>
          <w:p w14:paraId="498305C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933960" w:rsidRPr="00C055A5" w14:paraId="7D16F452" w14:textId="77777777" w:rsidTr="00A77B5E">
        <w:trPr>
          <w:trHeight w:val="1212"/>
        </w:trPr>
        <w:tc>
          <w:tcPr>
            <w:tcW w:w="2634" w:type="dxa"/>
            <w:tcBorders>
              <w:top w:val="nil"/>
            </w:tcBorders>
            <w:vAlign w:val="center"/>
          </w:tcPr>
          <w:p w14:paraId="01647C67" w14:textId="0F81C680" w:rsidR="00933960" w:rsidRPr="008F18BE" w:rsidRDefault="00933960" w:rsidP="00933960">
            <w:pPr>
              <w:rPr>
                <w:rFonts w:ascii="Helvetica" w:hAnsi="Helvetica" w:cs="Helvetica"/>
                <w:b/>
                <w:sz w:val="20"/>
                <w:szCs w:val="20"/>
                <w:lang w:val="en-GB"/>
              </w:rPr>
            </w:pPr>
            <w:r w:rsidRPr="00AD3C87">
              <w:rPr>
                <w:rFonts w:ascii="Arial" w:hAnsi="Arial" w:cs="Arial"/>
              </w:rPr>
              <w:t>JPMorgan Asset Management Holdings Inc.</w:t>
            </w:r>
          </w:p>
        </w:tc>
        <w:tc>
          <w:tcPr>
            <w:tcW w:w="2634" w:type="dxa"/>
            <w:tcBorders>
              <w:top w:val="nil"/>
            </w:tcBorders>
            <w:vAlign w:val="center"/>
          </w:tcPr>
          <w:p w14:paraId="07051AF7"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69E83B4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D367443" w14:textId="77777777" w:rsidR="00933960" w:rsidRPr="008F18BE" w:rsidRDefault="00933960" w:rsidP="00A77B5E">
            <w:pPr>
              <w:jc w:val="center"/>
              <w:rPr>
                <w:rFonts w:ascii="Helvetica" w:hAnsi="Helvetica" w:cs="Helvetica"/>
                <w:b/>
                <w:sz w:val="20"/>
                <w:szCs w:val="20"/>
                <w:lang w:val="en-GB"/>
              </w:rPr>
            </w:pPr>
          </w:p>
        </w:tc>
      </w:tr>
      <w:tr w:rsidR="00933960" w:rsidRPr="00C055A5" w14:paraId="6EB467C8" w14:textId="77777777" w:rsidTr="00A77B5E">
        <w:trPr>
          <w:trHeight w:val="1212"/>
        </w:trPr>
        <w:tc>
          <w:tcPr>
            <w:tcW w:w="2634" w:type="dxa"/>
            <w:tcBorders>
              <w:top w:val="nil"/>
            </w:tcBorders>
            <w:vAlign w:val="center"/>
          </w:tcPr>
          <w:p w14:paraId="412DC769" w14:textId="00A8C710" w:rsidR="00933960" w:rsidRPr="008F18BE" w:rsidRDefault="00933960" w:rsidP="00933960">
            <w:pPr>
              <w:rPr>
                <w:rFonts w:ascii="Helvetica" w:hAnsi="Helvetica" w:cs="Helvetica"/>
                <w:b/>
                <w:sz w:val="20"/>
                <w:szCs w:val="20"/>
                <w:lang w:val="en-GB"/>
              </w:rPr>
            </w:pPr>
            <w:r w:rsidRPr="00AD3C87">
              <w:rPr>
                <w:rFonts w:ascii="Arial" w:hAnsi="Arial" w:cs="Arial"/>
              </w:rPr>
              <w:t>J.P. Morgan Investment Management Inc.</w:t>
            </w:r>
          </w:p>
        </w:tc>
        <w:tc>
          <w:tcPr>
            <w:tcW w:w="2634" w:type="dxa"/>
            <w:tcBorders>
              <w:top w:val="nil"/>
            </w:tcBorders>
            <w:vAlign w:val="center"/>
          </w:tcPr>
          <w:p w14:paraId="1447E628"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255557C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56149567" w14:textId="77777777" w:rsidR="00933960" w:rsidRPr="008F18BE" w:rsidRDefault="00933960" w:rsidP="00A77B5E">
            <w:pPr>
              <w:jc w:val="center"/>
              <w:rPr>
                <w:rFonts w:ascii="Helvetica" w:hAnsi="Helvetica" w:cs="Helvetica"/>
                <w:b/>
                <w:sz w:val="20"/>
                <w:szCs w:val="20"/>
                <w:lang w:val="en-GB"/>
              </w:rPr>
            </w:pPr>
          </w:p>
        </w:tc>
      </w:tr>
      <w:tr w:rsidR="00933960" w:rsidRPr="00C055A5" w14:paraId="61BB107C" w14:textId="77777777" w:rsidTr="00762E92">
        <w:trPr>
          <w:trHeight w:val="548"/>
        </w:trPr>
        <w:tc>
          <w:tcPr>
            <w:tcW w:w="2634" w:type="dxa"/>
            <w:tcBorders>
              <w:top w:val="nil"/>
            </w:tcBorders>
            <w:vAlign w:val="center"/>
          </w:tcPr>
          <w:p w14:paraId="62D16577" w14:textId="77777777" w:rsidR="00933960" w:rsidRPr="008F18BE" w:rsidRDefault="00933960" w:rsidP="00933960">
            <w:pPr>
              <w:rPr>
                <w:rFonts w:ascii="Helvetica" w:hAnsi="Helvetica" w:cs="Helvetica"/>
                <w:b/>
                <w:sz w:val="20"/>
                <w:szCs w:val="20"/>
                <w:lang w:val="en-GB"/>
              </w:rPr>
            </w:pPr>
          </w:p>
        </w:tc>
        <w:tc>
          <w:tcPr>
            <w:tcW w:w="2634" w:type="dxa"/>
            <w:tcBorders>
              <w:top w:val="nil"/>
            </w:tcBorders>
            <w:vAlign w:val="center"/>
          </w:tcPr>
          <w:p w14:paraId="162E7966"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FF3F881"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1D91140E" w14:textId="77777777" w:rsidR="00933960" w:rsidRPr="008F18BE" w:rsidRDefault="00933960" w:rsidP="00A77B5E">
            <w:pPr>
              <w:jc w:val="center"/>
              <w:rPr>
                <w:rFonts w:ascii="Helvetica" w:hAnsi="Helvetica" w:cs="Helvetica"/>
                <w:b/>
                <w:sz w:val="20"/>
                <w:szCs w:val="20"/>
                <w:lang w:val="en-GB"/>
              </w:rPr>
            </w:pPr>
          </w:p>
        </w:tc>
      </w:tr>
      <w:tr w:rsidR="00933960" w:rsidRPr="00C055A5" w14:paraId="41BE975C" w14:textId="77777777" w:rsidTr="00A77B5E">
        <w:trPr>
          <w:trHeight w:val="408"/>
        </w:trPr>
        <w:tc>
          <w:tcPr>
            <w:tcW w:w="2634" w:type="dxa"/>
            <w:vAlign w:val="center"/>
          </w:tcPr>
          <w:p w14:paraId="1FD81DD9" w14:textId="77777777" w:rsidR="00933960" w:rsidRPr="00DA3C49" w:rsidRDefault="00933960" w:rsidP="00933960">
            <w:pPr>
              <w:rPr>
                <w:rFonts w:ascii="Arial" w:hAnsi="Arial" w:cs="Arial"/>
              </w:rPr>
            </w:pPr>
            <w:r w:rsidRPr="00DA6D52">
              <w:rPr>
                <w:rFonts w:ascii="Arial" w:hAnsi="Arial" w:cs="Arial"/>
              </w:rPr>
              <w:t xml:space="preserve">JPMorgan Asset Management Holdings Inc. </w:t>
            </w:r>
          </w:p>
        </w:tc>
        <w:tc>
          <w:tcPr>
            <w:tcW w:w="2634" w:type="dxa"/>
            <w:vAlign w:val="center"/>
          </w:tcPr>
          <w:p w14:paraId="40FDD204" w14:textId="77777777" w:rsidR="00933960" w:rsidRPr="003472CF" w:rsidRDefault="00933960" w:rsidP="00A77B5E">
            <w:pPr>
              <w:jc w:val="center"/>
              <w:rPr>
                <w:rFonts w:ascii="Helvetica" w:hAnsi="Helvetica" w:cs="Helvetica"/>
                <w:lang w:val="en-GB"/>
              </w:rPr>
            </w:pPr>
          </w:p>
        </w:tc>
        <w:tc>
          <w:tcPr>
            <w:tcW w:w="2634" w:type="dxa"/>
            <w:vAlign w:val="center"/>
          </w:tcPr>
          <w:p w14:paraId="646EC888" w14:textId="77777777" w:rsidR="00933960" w:rsidRPr="00C055A5" w:rsidRDefault="00933960" w:rsidP="00A77B5E">
            <w:pPr>
              <w:jc w:val="center"/>
              <w:rPr>
                <w:rFonts w:ascii="Helvetica" w:hAnsi="Helvetica" w:cs="Helvetica"/>
                <w:b/>
                <w:lang w:val="en-GB"/>
              </w:rPr>
            </w:pPr>
          </w:p>
        </w:tc>
        <w:tc>
          <w:tcPr>
            <w:tcW w:w="2634" w:type="dxa"/>
            <w:vAlign w:val="center"/>
          </w:tcPr>
          <w:p w14:paraId="090FE486" w14:textId="77777777" w:rsidR="00933960" w:rsidRDefault="00933960" w:rsidP="00A77B5E">
            <w:pPr>
              <w:jc w:val="center"/>
            </w:pPr>
          </w:p>
        </w:tc>
      </w:tr>
      <w:tr w:rsidR="00933960" w:rsidRPr="00C055A5" w14:paraId="671F2C06" w14:textId="77777777" w:rsidTr="00A77B5E">
        <w:trPr>
          <w:trHeight w:val="408"/>
        </w:trPr>
        <w:tc>
          <w:tcPr>
            <w:tcW w:w="2634" w:type="dxa"/>
            <w:vAlign w:val="center"/>
          </w:tcPr>
          <w:p w14:paraId="47C1847B" w14:textId="77777777" w:rsidR="00933960" w:rsidRPr="00DA3C49" w:rsidRDefault="00933960" w:rsidP="00933960">
            <w:pPr>
              <w:rPr>
                <w:rFonts w:ascii="Arial" w:hAnsi="Arial" w:cs="Arial"/>
              </w:rPr>
            </w:pPr>
            <w:r w:rsidRPr="00DA6D52">
              <w:rPr>
                <w:rFonts w:ascii="Arial" w:hAnsi="Arial" w:cs="Arial"/>
              </w:rPr>
              <w:t xml:space="preserve">JPMorgan Asset Management International Limited </w:t>
            </w:r>
          </w:p>
        </w:tc>
        <w:tc>
          <w:tcPr>
            <w:tcW w:w="2634" w:type="dxa"/>
            <w:vAlign w:val="center"/>
          </w:tcPr>
          <w:p w14:paraId="66043747" w14:textId="77777777" w:rsidR="00933960" w:rsidRPr="00C055A5" w:rsidRDefault="00933960" w:rsidP="00A77B5E">
            <w:pPr>
              <w:jc w:val="center"/>
              <w:rPr>
                <w:rFonts w:ascii="Helvetica" w:hAnsi="Helvetica" w:cs="Helvetica"/>
                <w:b/>
                <w:lang w:val="en-GB"/>
              </w:rPr>
            </w:pPr>
          </w:p>
        </w:tc>
        <w:tc>
          <w:tcPr>
            <w:tcW w:w="2634" w:type="dxa"/>
            <w:vAlign w:val="center"/>
          </w:tcPr>
          <w:p w14:paraId="4AC97B67" w14:textId="77777777" w:rsidR="00933960" w:rsidRPr="00C055A5" w:rsidRDefault="00933960" w:rsidP="00A77B5E">
            <w:pPr>
              <w:jc w:val="center"/>
              <w:rPr>
                <w:rFonts w:ascii="Helvetica" w:hAnsi="Helvetica" w:cs="Helvetica"/>
                <w:b/>
                <w:lang w:val="en-GB"/>
              </w:rPr>
            </w:pPr>
          </w:p>
        </w:tc>
        <w:tc>
          <w:tcPr>
            <w:tcW w:w="2634" w:type="dxa"/>
            <w:vAlign w:val="center"/>
          </w:tcPr>
          <w:p w14:paraId="2E900BBD" w14:textId="77777777" w:rsidR="00933960" w:rsidRDefault="00933960" w:rsidP="00A77B5E">
            <w:pPr>
              <w:jc w:val="center"/>
            </w:pPr>
          </w:p>
        </w:tc>
      </w:tr>
      <w:tr w:rsidR="000D1B00" w:rsidRPr="00C055A5" w14:paraId="251E1162" w14:textId="77777777" w:rsidTr="00A77B5E">
        <w:trPr>
          <w:trHeight w:val="408"/>
        </w:trPr>
        <w:tc>
          <w:tcPr>
            <w:tcW w:w="2634" w:type="dxa"/>
            <w:vAlign w:val="center"/>
          </w:tcPr>
          <w:p w14:paraId="084788D5" w14:textId="77777777" w:rsidR="000D1B00" w:rsidRPr="00DA3C49" w:rsidRDefault="000D1B00" w:rsidP="000D1B00">
            <w:pPr>
              <w:rPr>
                <w:rFonts w:ascii="Arial" w:hAnsi="Arial" w:cs="Arial"/>
              </w:rPr>
            </w:pPr>
            <w:r w:rsidRPr="00DA6D52">
              <w:rPr>
                <w:rFonts w:ascii="Arial" w:hAnsi="Arial" w:cs="Arial"/>
              </w:rPr>
              <w:t>JPMorgan Asset Management (UK) Limited</w:t>
            </w:r>
          </w:p>
        </w:tc>
        <w:tc>
          <w:tcPr>
            <w:tcW w:w="2634" w:type="dxa"/>
            <w:vAlign w:val="center"/>
          </w:tcPr>
          <w:p w14:paraId="3B58F95E" w14:textId="79271240" w:rsidR="000D1B00" w:rsidRPr="00C055A5" w:rsidRDefault="00666C77" w:rsidP="000D1B00">
            <w:pPr>
              <w:jc w:val="center"/>
              <w:rPr>
                <w:rFonts w:ascii="Helvetica" w:hAnsi="Helvetica" w:cs="Helvetica"/>
                <w:b/>
                <w:lang w:val="en-GB"/>
              </w:rPr>
            </w:pPr>
            <w:r w:rsidRPr="00666C77">
              <w:rPr>
                <w:rFonts w:ascii="Helvetica" w:hAnsi="Helvetica" w:cs="Helvetica"/>
                <w:b/>
                <w:lang w:val="en-GB"/>
              </w:rPr>
              <w:t>5.99</w:t>
            </w:r>
            <w:r w:rsidR="000D1B00">
              <w:rPr>
                <w:rFonts w:ascii="Helvetica" w:hAnsi="Helvetica" w:cs="Helvetica"/>
                <w:b/>
                <w:lang w:val="en-GB"/>
              </w:rPr>
              <w:t>%</w:t>
            </w:r>
          </w:p>
        </w:tc>
        <w:tc>
          <w:tcPr>
            <w:tcW w:w="2634" w:type="dxa"/>
            <w:vAlign w:val="center"/>
          </w:tcPr>
          <w:p w14:paraId="5F636882" w14:textId="77777777" w:rsidR="000D1B00" w:rsidRPr="00C055A5" w:rsidRDefault="000D1B00" w:rsidP="000D1B00">
            <w:pPr>
              <w:jc w:val="center"/>
              <w:rPr>
                <w:rFonts w:ascii="Helvetica" w:hAnsi="Helvetica" w:cs="Helvetica"/>
                <w:b/>
                <w:lang w:val="en-GB"/>
              </w:rPr>
            </w:pPr>
          </w:p>
        </w:tc>
        <w:tc>
          <w:tcPr>
            <w:tcW w:w="2634" w:type="dxa"/>
            <w:vAlign w:val="center"/>
          </w:tcPr>
          <w:p w14:paraId="03AD2982" w14:textId="0E6D5AEE" w:rsidR="000D1B00" w:rsidRPr="00A77B5E" w:rsidRDefault="00666C77" w:rsidP="000D1B00">
            <w:pPr>
              <w:jc w:val="center"/>
              <w:rPr>
                <w:rFonts w:ascii="Helvetica" w:hAnsi="Helvetica" w:cs="Helvetica"/>
                <w:b/>
                <w:lang w:val="en-GB"/>
              </w:rPr>
            </w:pPr>
            <w:r w:rsidRPr="00666C77">
              <w:rPr>
                <w:rFonts w:ascii="Helvetica" w:hAnsi="Helvetica" w:cs="Helvetica"/>
                <w:b/>
                <w:lang w:val="en-GB"/>
              </w:rPr>
              <w:t>7.22</w:t>
            </w:r>
            <w:r w:rsidR="000D1B00">
              <w:rPr>
                <w:rFonts w:ascii="Helvetica" w:hAnsi="Helvetica" w:cs="Helvetica"/>
                <w:b/>
                <w:lang w:val="en-GB"/>
              </w:rPr>
              <w:t>%</w:t>
            </w:r>
          </w:p>
        </w:tc>
      </w:tr>
      <w:tr w:rsidR="007762CD" w:rsidRPr="00C055A5" w14:paraId="37058C84" w14:textId="77777777" w:rsidTr="00A77B5E">
        <w:trPr>
          <w:trHeight w:val="408"/>
        </w:trPr>
        <w:tc>
          <w:tcPr>
            <w:tcW w:w="2634" w:type="dxa"/>
            <w:vAlign w:val="center"/>
          </w:tcPr>
          <w:p w14:paraId="232EA35E" w14:textId="77777777" w:rsidR="007762CD" w:rsidRPr="00DA6D52" w:rsidRDefault="007762CD" w:rsidP="00933960">
            <w:pPr>
              <w:rPr>
                <w:rFonts w:ascii="Arial" w:hAnsi="Arial" w:cs="Arial"/>
              </w:rPr>
            </w:pPr>
          </w:p>
        </w:tc>
        <w:tc>
          <w:tcPr>
            <w:tcW w:w="2634" w:type="dxa"/>
            <w:vAlign w:val="center"/>
          </w:tcPr>
          <w:p w14:paraId="4F3E05B8" w14:textId="77777777" w:rsidR="007762CD" w:rsidRPr="00C055A5" w:rsidRDefault="007762CD" w:rsidP="00A77B5E">
            <w:pPr>
              <w:jc w:val="center"/>
              <w:rPr>
                <w:rFonts w:ascii="Helvetica" w:hAnsi="Helvetica" w:cs="Helvetica"/>
                <w:b/>
                <w:lang w:val="en-GB"/>
              </w:rPr>
            </w:pPr>
          </w:p>
        </w:tc>
        <w:tc>
          <w:tcPr>
            <w:tcW w:w="2634" w:type="dxa"/>
            <w:vAlign w:val="center"/>
          </w:tcPr>
          <w:p w14:paraId="196E4301" w14:textId="77777777" w:rsidR="007762CD" w:rsidRPr="00C055A5" w:rsidRDefault="007762CD" w:rsidP="00A77B5E">
            <w:pPr>
              <w:jc w:val="center"/>
              <w:rPr>
                <w:rFonts w:ascii="Helvetica" w:hAnsi="Helvetica" w:cs="Helvetica"/>
                <w:b/>
                <w:lang w:val="en-GB"/>
              </w:rPr>
            </w:pPr>
          </w:p>
        </w:tc>
        <w:tc>
          <w:tcPr>
            <w:tcW w:w="2634" w:type="dxa"/>
            <w:vAlign w:val="center"/>
          </w:tcPr>
          <w:p w14:paraId="360D4B11" w14:textId="77777777" w:rsidR="007762CD" w:rsidRPr="00A00843" w:rsidRDefault="007762CD" w:rsidP="00A77B5E">
            <w:pPr>
              <w:jc w:val="center"/>
              <w:rPr>
                <w:rFonts w:ascii="Helvetica" w:hAnsi="Helvetica" w:cs="Helvetica"/>
                <w:b/>
                <w:lang w:val="en-GB"/>
              </w:rPr>
            </w:pPr>
          </w:p>
        </w:tc>
      </w:tr>
      <w:tr w:rsidR="007762CD" w:rsidRPr="00C055A5" w14:paraId="4E2564C4" w14:textId="77777777" w:rsidTr="00A77B5E">
        <w:trPr>
          <w:trHeight w:val="408"/>
        </w:trPr>
        <w:tc>
          <w:tcPr>
            <w:tcW w:w="2634" w:type="dxa"/>
            <w:vAlign w:val="center"/>
          </w:tcPr>
          <w:p w14:paraId="016A0716" w14:textId="36B8FE63" w:rsidR="007762CD" w:rsidRPr="00DA6D52" w:rsidRDefault="00595CA3" w:rsidP="00933960">
            <w:pPr>
              <w:rPr>
                <w:rFonts w:ascii="Arial" w:hAnsi="Arial" w:cs="Arial"/>
              </w:rPr>
            </w:pPr>
            <w:r w:rsidRPr="00595CA3">
              <w:rPr>
                <w:rFonts w:ascii="Arial" w:hAnsi="Arial" w:cs="Arial"/>
              </w:rPr>
              <w:t>JPMorgan Asset Management Holdings Inc.</w:t>
            </w:r>
          </w:p>
        </w:tc>
        <w:tc>
          <w:tcPr>
            <w:tcW w:w="2634" w:type="dxa"/>
            <w:vAlign w:val="center"/>
          </w:tcPr>
          <w:p w14:paraId="5B9E9388" w14:textId="77777777" w:rsidR="007762CD" w:rsidRPr="00C055A5" w:rsidRDefault="007762CD" w:rsidP="00A77B5E">
            <w:pPr>
              <w:jc w:val="center"/>
              <w:rPr>
                <w:rFonts w:ascii="Helvetica" w:hAnsi="Helvetica" w:cs="Helvetica"/>
                <w:b/>
                <w:lang w:val="en-GB"/>
              </w:rPr>
            </w:pPr>
          </w:p>
        </w:tc>
        <w:tc>
          <w:tcPr>
            <w:tcW w:w="2634" w:type="dxa"/>
            <w:vAlign w:val="center"/>
          </w:tcPr>
          <w:p w14:paraId="6D8EBF9E" w14:textId="77777777" w:rsidR="007762CD" w:rsidRPr="00C055A5" w:rsidRDefault="007762CD" w:rsidP="00A77B5E">
            <w:pPr>
              <w:jc w:val="center"/>
              <w:rPr>
                <w:rFonts w:ascii="Helvetica" w:hAnsi="Helvetica" w:cs="Helvetica"/>
                <w:b/>
                <w:lang w:val="en-GB"/>
              </w:rPr>
            </w:pPr>
          </w:p>
        </w:tc>
        <w:tc>
          <w:tcPr>
            <w:tcW w:w="2634" w:type="dxa"/>
            <w:vAlign w:val="center"/>
          </w:tcPr>
          <w:p w14:paraId="1859F554" w14:textId="77777777" w:rsidR="007762CD" w:rsidRPr="00A00843" w:rsidRDefault="007762CD" w:rsidP="00A77B5E">
            <w:pPr>
              <w:jc w:val="center"/>
              <w:rPr>
                <w:rFonts w:ascii="Helvetica" w:hAnsi="Helvetica" w:cs="Helvetica"/>
                <w:b/>
                <w:lang w:val="en-GB"/>
              </w:rPr>
            </w:pPr>
          </w:p>
        </w:tc>
      </w:tr>
      <w:tr w:rsidR="00595CA3" w:rsidRPr="00C055A5" w14:paraId="49E7E176" w14:textId="77777777" w:rsidTr="00A77B5E">
        <w:trPr>
          <w:trHeight w:val="408"/>
        </w:trPr>
        <w:tc>
          <w:tcPr>
            <w:tcW w:w="2634" w:type="dxa"/>
            <w:vAlign w:val="center"/>
          </w:tcPr>
          <w:p w14:paraId="4742E733" w14:textId="23013040" w:rsidR="00595CA3" w:rsidRPr="00595CA3" w:rsidRDefault="00595CA3" w:rsidP="00595CA3">
            <w:pPr>
              <w:rPr>
                <w:rFonts w:ascii="Arial" w:hAnsi="Arial" w:cs="Arial"/>
              </w:rPr>
            </w:pPr>
            <w:r w:rsidRPr="00595CA3">
              <w:rPr>
                <w:rFonts w:ascii="Arial" w:hAnsi="Arial" w:cs="Arial"/>
              </w:rPr>
              <w:t>J</w:t>
            </w:r>
            <w:r>
              <w:rPr>
                <w:rFonts w:ascii="Arial" w:hAnsi="Arial" w:cs="Arial"/>
              </w:rPr>
              <w:t>PM</w:t>
            </w:r>
            <w:r w:rsidRPr="00595CA3">
              <w:rPr>
                <w:rFonts w:ascii="Arial" w:hAnsi="Arial" w:cs="Arial"/>
              </w:rPr>
              <w:t>organ Asset Management (China) Company Limited</w:t>
            </w:r>
          </w:p>
          <w:p w14:paraId="57EAC2D2" w14:textId="41C20C37" w:rsidR="00595CA3" w:rsidRPr="00DA6D52" w:rsidRDefault="00595CA3" w:rsidP="00933960">
            <w:pPr>
              <w:rPr>
                <w:rFonts w:ascii="Arial" w:hAnsi="Arial" w:cs="Arial"/>
              </w:rPr>
            </w:pPr>
          </w:p>
        </w:tc>
        <w:tc>
          <w:tcPr>
            <w:tcW w:w="2634" w:type="dxa"/>
            <w:vAlign w:val="center"/>
          </w:tcPr>
          <w:p w14:paraId="6440CC93" w14:textId="77777777" w:rsidR="00595CA3" w:rsidRPr="00C055A5" w:rsidRDefault="00595CA3" w:rsidP="00A77B5E">
            <w:pPr>
              <w:jc w:val="center"/>
              <w:rPr>
                <w:rFonts w:ascii="Helvetica" w:hAnsi="Helvetica" w:cs="Helvetica"/>
                <w:b/>
                <w:lang w:val="en-GB"/>
              </w:rPr>
            </w:pPr>
          </w:p>
        </w:tc>
        <w:tc>
          <w:tcPr>
            <w:tcW w:w="2634" w:type="dxa"/>
            <w:vAlign w:val="center"/>
          </w:tcPr>
          <w:p w14:paraId="24F51EE3" w14:textId="77777777" w:rsidR="00595CA3" w:rsidRPr="00C055A5" w:rsidRDefault="00595CA3" w:rsidP="00A77B5E">
            <w:pPr>
              <w:jc w:val="center"/>
              <w:rPr>
                <w:rFonts w:ascii="Helvetica" w:hAnsi="Helvetica" w:cs="Helvetica"/>
                <w:b/>
                <w:lang w:val="en-GB"/>
              </w:rPr>
            </w:pPr>
          </w:p>
        </w:tc>
        <w:tc>
          <w:tcPr>
            <w:tcW w:w="2634" w:type="dxa"/>
            <w:vAlign w:val="center"/>
          </w:tcPr>
          <w:p w14:paraId="6AAEAB20" w14:textId="77777777" w:rsidR="00595CA3" w:rsidRPr="00A00843" w:rsidRDefault="00595CA3" w:rsidP="00A77B5E">
            <w:pPr>
              <w:jc w:val="center"/>
              <w:rPr>
                <w:rFonts w:ascii="Helvetica" w:hAnsi="Helvetica" w:cs="Helvetica"/>
                <w:b/>
                <w:lang w:val="en-GB"/>
              </w:rPr>
            </w:pPr>
          </w:p>
        </w:tc>
      </w:tr>
      <w:tr w:rsidR="00C2158F" w:rsidRPr="00C055A5" w14:paraId="22EB4EF9" w14:textId="77777777" w:rsidTr="00A77B5E">
        <w:trPr>
          <w:trHeight w:val="408"/>
        </w:trPr>
        <w:tc>
          <w:tcPr>
            <w:tcW w:w="2634" w:type="dxa"/>
            <w:vAlign w:val="center"/>
          </w:tcPr>
          <w:p w14:paraId="4A6ED4A6" w14:textId="4C5B84AE" w:rsidR="00C2158F" w:rsidRPr="00595CA3" w:rsidRDefault="00C2158F" w:rsidP="00595CA3">
            <w:pPr>
              <w:rPr>
                <w:rFonts w:ascii="Arial" w:hAnsi="Arial" w:cs="Arial"/>
              </w:rPr>
            </w:pPr>
            <w:r w:rsidRPr="00AD3C87">
              <w:rPr>
                <w:rFonts w:ascii="Arial" w:hAnsi="Arial" w:cs="Arial"/>
              </w:rPr>
              <w:lastRenderedPageBreak/>
              <w:t>JPMorgan Asset Management Holdings Inc.</w:t>
            </w:r>
          </w:p>
        </w:tc>
        <w:tc>
          <w:tcPr>
            <w:tcW w:w="2634" w:type="dxa"/>
            <w:vAlign w:val="center"/>
          </w:tcPr>
          <w:p w14:paraId="18E0B9F3" w14:textId="77777777" w:rsidR="00C2158F" w:rsidRPr="00C055A5" w:rsidRDefault="00C2158F" w:rsidP="00A77B5E">
            <w:pPr>
              <w:jc w:val="center"/>
              <w:rPr>
                <w:rFonts w:ascii="Helvetica" w:hAnsi="Helvetica" w:cs="Helvetica"/>
                <w:b/>
                <w:lang w:val="en-GB"/>
              </w:rPr>
            </w:pPr>
          </w:p>
        </w:tc>
        <w:tc>
          <w:tcPr>
            <w:tcW w:w="2634" w:type="dxa"/>
            <w:vAlign w:val="center"/>
          </w:tcPr>
          <w:p w14:paraId="004A6A5C" w14:textId="77777777" w:rsidR="00C2158F" w:rsidRPr="00C055A5" w:rsidRDefault="00C2158F" w:rsidP="00A77B5E">
            <w:pPr>
              <w:jc w:val="center"/>
              <w:rPr>
                <w:rFonts w:ascii="Helvetica" w:hAnsi="Helvetica" w:cs="Helvetica"/>
                <w:b/>
                <w:lang w:val="en-GB"/>
              </w:rPr>
            </w:pPr>
          </w:p>
        </w:tc>
        <w:tc>
          <w:tcPr>
            <w:tcW w:w="2634" w:type="dxa"/>
            <w:vAlign w:val="center"/>
          </w:tcPr>
          <w:p w14:paraId="41DEFF0C" w14:textId="77777777" w:rsidR="00C2158F" w:rsidRPr="00A00843" w:rsidRDefault="00C2158F" w:rsidP="00A77B5E">
            <w:pPr>
              <w:jc w:val="center"/>
              <w:rPr>
                <w:rFonts w:ascii="Helvetica" w:hAnsi="Helvetica" w:cs="Helvetica"/>
                <w:b/>
                <w:lang w:val="en-GB"/>
              </w:rPr>
            </w:pPr>
          </w:p>
        </w:tc>
      </w:tr>
      <w:tr w:rsidR="00595CA3" w:rsidRPr="00C055A5" w14:paraId="136D3B2F" w14:textId="77777777" w:rsidTr="00A77B5E">
        <w:trPr>
          <w:trHeight w:val="408"/>
        </w:trPr>
        <w:tc>
          <w:tcPr>
            <w:tcW w:w="2634" w:type="dxa"/>
            <w:vAlign w:val="center"/>
          </w:tcPr>
          <w:p w14:paraId="47BA4F6D" w14:textId="33EF9E42" w:rsidR="00595CA3" w:rsidRPr="00595CA3" w:rsidRDefault="00595CA3" w:rsidP="00595CA3">
            <w:pPr>
              <w:rPr>
                <w:rFonts w:ascii="Arial" w:hAnsi="Arial" w:cs="Arial"/>
              </w:rPr>
            </w:pPr>
            <w:r w:rsidRPr="00595CA3">
              <w:rPr>
                <w:rFonts w:ascii="Arial" w:hAnsi="Arial" w:cs="Arial"/>
              </w:rPr>
              <w:t>JPMorgan Asset Management (Asia) Inc.</w:t>
            </w:r>
          </w:p>
        </w:tc>
        <w:tc>
          <w:tcPr>
            <w:tcW w:w="2634" w:type="dxa"/>
            <w:vAlign w:val="center"/>
          </w:tcPr>
          <w:p w14:paraId="5185D1F4" w14:textId="77777777" w:rsidR="00595CA3" w:rsidRPr="00C055A5" w:rsidRDefault="00595CA3" w:rsidP="00A77B5E">
            <w:pPr>
              <w:jc w:val="center"/>
              <w:rPr>
                <w:rFonts w:ascii="Helvetica" w:hAnsi="Helvetica" w:cs="Helvetica"/>
                <w:b/>
                <w:lang w:val="en-GB"/>
              </w:rPr>
            </w:pPr>
          </w:p>
        </w:tc>
        <w:tc>
          <w:tcPr>
            <w:tcW w:w="2634" w:type="dxa"/>
            <w:vAlign w:val="center"/>
          </w:tcPr>
          <w:p w14:paraId="15D450D0" w14:textId="77777777" w:rsidR="00595CA3" w:rsidRPr="00C055A5" w:rsidRDefault="00595CA3" w:rsidP="00A77B5E">
            <w:pPr>
              <w:jc w:val="center"/>
              <w:rPr>
                <w:rFonts w:ascii="Helvetica" w:hAnsi="Helvetica" w:cs="Helvetica"/>
                <w:b/>
                <w:lang w:val="en-GB"/>
              </w:rPr>
            </w:pPr>
          </w:p>
        </w:tc>
        <w:tc>
          <w:tcPr>
            <w:tcW w:w="2634" w:type="dxa"/>
            <w:vAlign w:val="center"/>
          </w:tcPr>
          <w:p w14:paraId="0D2D06DE" w14:textId="77777777" w:rsidR="00595CA3" w:rsidRPr="00A00843" w:rsidRDefault="00595CA3" w:rsidP="00A77B5E">
            <w:pPr>
              <w:jc w:val="center"/>
              <w:rPr>
                <w:rFonts w:ascii="Helvetica" w:hAnsi="Helvetica" w:cs="Helvetica"/>
                <w:b/>
                <w:lang w:val="en-GB"/>
              </w:rPr>
            </w:pPr>
          </w:p>
        </w:tc>
      </w:tr>
      <w:tr w:rsidR="00595CA3" w:rsidRPr="00C055A5" w14:paraId="2B5F1E6D" w14:textId="77777777" w:rsidTr="00A77B5E">
        <w:trPr>
          <w:trHeight w:val="408"/>
        </w:trPr>
        <w:tc>
          <w:tcPr>
            <w:tcW w:w="2634" w:type="dxa"/>
            <w:vAlign w:val="center"/>
          </w:tcPr>
          <w:p w14:paraId="095CBE11" w14:textId="476930A1" w:rsidR="00595CA3" w:rsidRPr="00595CA3" w:rsidRDefault="00595CA3" w:rsidP="00595CA3">
            <w:pPr>
              <w:rPr>
                <w:rFonts w:ascii="Arial" w:hAnsi="Arial" w:cs="Arial"/>
              </w:rPr>
            </w:pPr>
            <w:r w:rsidRPr="00595CA3">
              <w:rPr>
                <w:rFonts w:ascii="Arial" w:hAnsi="Arial" w:cs="Arial"/>
              </w:rPr>
              <w:t>JPMorgan Asset Management (Taiwan) Limited</w:t>
            </w:r>
          </w:p>
        </w:tc>
        <w:tc>
          <w:tcPr>
            <w:tcW w:w="2634" w:type="dxa"/>
            <w:vAlign w:val="center"/>
          </w:tcPr>
          <w:p w14:paraId="45F43F35" w14:textId="77777777" w:rsidR="00595CA3" w:rsidRPr="00C055A5" w:rsidRDefault="00595CA3" w:rsidP="00A77B5E">
            <w:pPr>
              <w:jc w:val="center"/>
              <w:rPr>
                <w:rFonts w:ascii="Helvetica" w:hAnsi="Helvetica" w:cs="Helvetica"/>
                <w:b/>
                <w:lang w:val="en-GB"/>
              </w:rPr>
            </w:pPr>
          </w:p>
        </w:tc>
        <w:tc>
          <w:tcPr>
            <w:tcW w:w="2634" w:type="dxa"/>
            <w:vAlign w:val="center"/>
          </w:tcPr>
          <w:p w14:paraId="4629B476" w14:textId="77777777" w:rsidR="00595CA3" w:rsidRPr="00C055A5" w:rsidRDefault="00595CA3" w:rsidP="00A77B5E">
            <w:pPr>
              <w:jc w:val="center"/>
              <w:rPr>
                <w:rFonts w:ascii="Helvetica" w:hAnsi="Helvetica" w:cs="Helvetica"/>
                <w:b/>
                <w:lang w:val="en-GB"/>
              </w:rPr>
            </w:pPr>
          </w:p>
        </w:tc>
        <w:tc>
          <w:tcPr>
            <w:tcW w:w="2634" w:type="dxa"/>
            <w:vAlign w:val="center"/>
          </w:tcPr>
          <w:p w14:paraId="48FCF566" w14:textId="77777777" w:rsidR="00595CA3" w:rsidRPr="00A00843" w:rsidRDefault="00595CA3" w:rsidP="00A77B5E">
            <w:pPr>
              <w:jc w:val="center"/>
              <w:rPr>
                <w:rFonts w:ascii="Helvetica" w:hAnsi="Helvetica" w:cs="Helvetica"/>
                <w:b/>
                <w:lang w:val="en-GB"/>
              </w:rPr>
            </w:pPr>
          </w:p>
        </w:tc>
      </w:tr>
      <w:tr w:rsidR="00933960" w:rsidRPr="00420F6C" w14:paraId="0BC31698" w14:textId="77777777" w:rsidTr="00420F6C">
        <w:trPr>
          <w:trHeight w:val="659"/>
        </w:trPr>
        <w:tc>
          <w:tcPr>
            <w:tcW w:w="10536" w:type="dxa"/>
            <w:gridSpan w:val="4"/>
            <w:tcBorders>
              <w:left w:val="nil"/>
              <w:right w:val="nil"/>
            </w:tcBorders>
          </w:tcPr>
          <w:p w14:paraId="0D8D9613" w14:textId="77777777" w:rsidR="00933960" w:rsidRPr="00420F6C" w:rsidRDefault="00933960" w:rsidP="00933960">
            <w:pPr>
              <w:rPr>
                <w:rFonts w:ascii="Helvetica" w:hAnsi="Helvetica" w:cs="Helvetica"/>
                <w:b/>
                <w:sz w:val="16"/>
                <w:szCs w:val="16"/>
                <w:lang w:val="en-GB"/>
              </w:rPr>
            </w:pPr>
          </w:p>
        </w:tc>
      </w:tr>
      <w:tr w:rsidR="00933960" w:rsidRPr="00C055A5" w14:paraId="6AD5BC36" w14:textId="77777777" w:rsidTr="00420F6C">
        <w:trPr>
          <w:trHeight w:val="644"/>
        </w:trPr>
        <w:tc>
          <w:tcPr>
            <w:tcW w:w="10536" w:type="dxa"/>
            <w:gridSpan w:val="4"/>
            <w:vAlign w:val="center"/>
          </w:tcPr>
          <w:p w14:paraId="564687D4" w14:textId="77777777" w:rsidR="00933960" w:rsidRPr="00C055A5" w:rsidRDefault="00933960" w:rsidP="00933960">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933960" w:rsidRPr="00C055A5" w14:paraId="00C5F01D" w14:textId="77777777" w:rsidTr="00420F6C">
        <w:trPr>
          <w:trHeight w:val="492"/>
        </w:trPr>
        <w:tc>
          <w:tcPr>
            <w:tcW w:w="10536" w:type="dxa"/>
            <w:gridSpan w:val="4"/>
            <w:tcBorders>
              <w:left w:val="nil"/>
              <w:bottom w:val="nil"/>
              <w:right w:val="nil"/>
            </w:tcBorders>
            <w:vAlign w:val="center"/>
          </w:tcPr>
          <w:p w14:paraId="24A2488C" w14:textId="77777777" w:rsidR="00933960" w:rsidRPr="00C055A5" w:rsidRDefault="00933960" w:rsidP="00933960">
            <w:pPr>
              <w:rPr>
                <w:rFonts w:ascii="Helvetica" w:hAnsi="Helvetica" w:cs="Helvetica"/>
                <w:lang w:val="en-GB"/>
              </w:rPr>
            </w:pPr>
          </w:p>
        </w:tc>
      </w:tr>
      <w:tr w:rsidR="00933960" w:rsidRPr="00C055A5" w14:paraId="3B806177" w14:textId="77777777" w:rsidTr="00420F6C">
        <w:trPr>
          <w:trHeight w:val="882"/>
        </w:trPr>
        <w:tc>
          <w:tcPr>
            <w:tcW w:w="10536" w:type="dxa"/>
            <w:gridSpan w:val="4"/>
          </w:tcPr>
          <w:p w14:paraId="4499466D" w14:textId="77777777" w:rsidR="00933960" w:rsidRDefault="00933960" w:rsidP="00933960">
            <w:pPr>
              <w:spacing w:line="240" w:lineRule="auto"/>
              <w:rPr>
                <w:rFonts w:ascii="Helvetica" w:hAnsi="Helvetica" w:cs="Helvetica"/>
                <w:b/>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472F9EC9" w14:textId="77777777" w:rsidR="00933960" w:rsidRDefault="00933960" w:rsidP="00933960">
            <w:pPr>
              <w:spacing w:line="240" w:lineRule="auto"/>
              <w:rPr>
                <w:rFonts w:ascii="Arial" w:hAnsi="Arial" w:cs="Arial"/>
              </w:rPr>
            </w:pPr>
            <w:r w:rsidRPr="001B2D9E">
              <w:rPr>
                <w:rFonts w:ascii="Arial" w:hAnsi="Arial" w:cs="Arial"/>
                <w:b/>
              </w:rPr>
              <w:t>Chain of controlled undertakings</w:t>
            </w:r>
            <w:r>
              <w:rPr>
                <w:rFonts w:ascii="Arial" w:hAnsi="Arial" w:cs="Arial"/>
              </w:rPr>
              <w:t>:</w:t>
            </w:r>
          </w:p>
          <w:p w14:paraId="18CEB886" w14:textId="51D01831" w:rsidR="00933960" w:rsidRPr="00CC1EB8" w:rsidRDefault="00933960" w:rsidP="00933960">
            <w:pPr>
              <w:rPr>
                <w:rFonts w:ascii="Arial" w:hAnsi="Arial" w:cs="Arial"/>
                <w:noProof/>
                <w:lang w:eastAsia="fi-FI"/>
              </w:rPr>
            </w:pPr>
            <w:r w:rsidRPr="00CC1EB8">
              <w:rPr>
                <w:rFonts w:ascii="Arial" w:hAnsi="Arial" w:cs="Arial"/>
                <w:noProof/>
                <w:lang w:eastAsia="fi-FI"/>
              </w:rPr>
              <w:t>JPMorgan Asset Management Holdings Inc.</w:t>
            </w:r>
          </w:p>
          <w:p w14:paraId="77A432B6" w14:textId="77777777" w:rsidR="002C64A8" w:rsidRDefault="00933960" w:rsidP="00933960">
            <w:pPr>
              <w:rPr>
                <w:rFonts w:ascii="Arial" w:hAnsi="Arial" w:cs="Arial"/>
                <w:noProof/>
                <w:lang w:eastAsia="fi-FI"/>
              </w:rPr>
            </w:pPr>
            <w:r w:rsidRPr="00CC1EB8">
              <w:rPr>
                <w:rFonts w:ascii="Arial" w:hAnsi="Arial" w:cs="Arial"/>
                <w:noProof/>
                <w:lang w:eastAsia="fi-FI"/>
              </w:rPr>
              <w:t>J.P. Morgan Investment Management Inc. (100%)</w:t>
            </w:r>
          </w:p>
          <w:p w14:paraId="66DA6F3A" w14:textId="77777777" w:rsidR="002C64A8" w:rsidRDefault="002C64A8" w:rsidP="00933960">
            <w:pPr>
              <w:rPr>
                <w:rFonts w:ascii="Arial" w:hAnsi="Arial" w:cs="Arial"/>
                <w:noProof/>
                <w:lang w:eastAsia="fi-FI"/>
              </w:rPr>
            </w:pPr>
          </w:p>
          <w:p w14:paraId="6A29F85E" w14:textId="713A5BA3" w:rsidR="00933960" w:rsidRPr="00C11836" w:rsidRDefault="00933960" w:rsidP="00933960">
            <w:pPr>
              <w:rPr>
                <w:rFonts w:ascii="Arial" w:hAnsi="Arial" w:cs="Arial"/>
              </w:rPr>
            </w:pPr>
            <w:r w:rsidRPr="00C11836">
              <w:rPr>
                <w:rFonts w:ascii="Arial" w:hAnsi="Arial" w:cs="Arial"/>
              </w:rPr>
              <w:t>JPMorgan Asset Management Holdings Inc.</w:t>
            </w:r>
          </w:p>
          <w:p w14:paraId="672A1207" w14:textId="77777777" w:rsidR="00933960" w:rsidRPr="00C11836" w:rsidRDefault="00933960" w:rsidP="00933960">
            <w:pPr>
              <w:rPr>
                <w:rFonts w:ascii="Arial" w:hAnsi="Arial" w:cs="Arial"/>
              </w:rPr>
            </w:pPr>
            <w:r w:rsidRPr="00C11836">
              <w:rPr>
                <w:rFonts w:ascii="Arial" w:hAnsi="Arial" w:cs="Arial"/>
              </w:rPr>
              <w:t>JPMorgan Asset Management International Limited</w:t>
            </w:r>
            <w:r>
              <w:rPr>
                <w:rFonts w:ascii="Arial" w:hAnsi="Arial" w:cs="Arial"/>
              </w:rPr>
              <w:t xml:space="preserve"> (100%)</w:t>
            </w:r>
          </w:p>
          <w:p w14:paraId="54027540" w14:textId="0DEDAEE7" w:rsidR="00933960" w:rsidRDefault="00933960" w:rsidP="00933960">
            <w:pPr>
              <w:rPr>
                <w:rFonts w:ascii="Arial" w:hAnsi="Arial" w:cs="Arial"/>
              </w:rPr>
            </w:pPr>
            <w:r w:rsidRPr="00C11836">
              <w:rPr>
                <w:rFonts w:ascii="Arial" w:hAnsi="Arial" w:cs="Arial"/>
              </w:rPr>
              <w:t>JPMorgan Asset Management (UK) Limited</w:t>
            </w:r>
            <w:r>
              <w:rPr>
                <w:rFonts w:ascii="Arial" w:hAnsi="Arial" w:cs="Arial"/>
              </w:rPr>
              <w:t xml:space="preserve"> (100%)</w:t>
            </w:r>
          </w:p>
          <w:p w14:paraId="725B80B9" w14:textId="3B662AE0" w:rsidR="00DA786C" w:rsidRDefault="00DA786C" w:rsidP="00933960">
            <w:pPr>
              <w:rPr>
                <w:rFonts w:ascii="Arial" w:hAnsi="Arial" w:cs="Arial"/>
              </w:rPr>
            </w:pPr>
          </w:p>
          <w:p w14:paraId="4277C666" w14:textId="77777777" w:rsidR="00DA786C" w:rsidRDefault="00DA786C" w:rsidP="00DA786C">
            <w:pPr>
              <w:rPr>
                <w:rFonts w:ascii="Arial" w:hAnsi="Arial" w:cs="Arial"/>
              </w:rPr>
            </w:pPr>
            <w:r w:rsidRPr="0019538C">
              <w:rPr>
                <w:rFonts w:ascii="Arial" w:hAnsi="Arial" w:cs="Arial"/>
              </w:rPr>
              <w:t>JPMorgan Asset Management Holdings Inc.</w:t>
            </w:r>
          </w:p>
          <w:p w14:paraId="08030535" w14:textId="77777777" w:rsidR="00DA786C" w:rsidRDefault="00DA786C" w:rsidP="00DA786C">
            <w:pPr>
              <w:rPr>
                <w:rFonts w:ascii="Arial" w:hAnsi="Arial" w:cs="Arial"/>
              </w:rPr>
            </w:pPr>
            <w:r w:rsidRPr="0019538C">
              <w:rPr>
                <w:rFonts w:ascii="Arial" w:hAnsi="Arial" w:cs="Arial"/>
              </w:rPr>
              <w:t>JPMorgan Asset Management (China) Company Limited</w:t>
            </w:r>
            <w:r>
              <w:rPr>
                <w:rFonts w:ascii="Arial" w:hAnsi="Arial" w:cs="Arial"/>
              </w:rPr>
              <w:t xml:space="preserve"> (100%)</w:t>
            </w:r>
          </w:p>
          <w:p w14:paraId="76EB8709" w14:textId="77777777" w:rsidR="00DA786C" w:rsidRDefault="00DA786C" w:rsidP="00DA786C">
            <w:pPr>
              <w:rPr>
                <w:rFonts w:ascii="Arial" w:hAnsi="Arial" w:cs="Arial"/>
              </w:rPr>
            </w:pPr>
          </w:p>
          <w:p w14:paraId="44A85ABB" w14:textId="77777777" w:rsidR="00DA786C" w:rsidRDefault="00DA786C" w:rsidP="00DA786C">
            <w:pPr>
              <w:rPr>
                <w:rFonts w:ascii="Arial" w:hAnsi="Arial" w:cs="Arial"/>
              </w:rPr>
            </w:pPr>
            <w:r w:rsidRPr="002A7758">
              <w:rPr>
                <w:rFonts w:ascii="Arial" w:hAnsi="Arial" w:cs="Arial"/>
              </w:rPr>
              <w:t>JPMorgan Asset Management Holdings Inc.</w:t>
            </w:r>
          </w:p>
          <w:p w14:paraId="09AD9885" w14:textId="77777777" w:rsidR="00DA786C" w:rsidRDefault="00DA786C" w:rsidP="00DA786C">
            <w:pPr>
              <w:rPr>
                <w:rFonts w:ascii="Arial" w:hAnsi="Arial" w:cs="Arial"/>
              </w:rPr>
            </w:pPr>
            <w:r w:rsidRPr="002A7758">
              <w:rPr>
                <w:rFonts w:ascii="Arial" w:hAnsi="Arial" w:cs="Arial"/>
              </w:rPr>
              <w:t>JPMorgan Asset Management (Asia) Inc.</w:t>
            </w:r>
            <w:r>
              <w:rPr>
                <w:rFonts w:ascii="Arial" w:hAnsi="Arial" w:cs="Arial"/>
              </w:rPr>
              <w:t xml:space="preserve"> (100%)</w:t>
            </w:r>
          </w:p>
          <w:p w14:paraId="3C76FACD" w14:textId="702B211E" w:rsidR="00933960" w:rsidRPr="00EE522D" w:rsidRDefault="00DA786C" w:rsidP="004F1CC0">
            <w:pPr>
              <w:rPr>
                <w:rFonts w:ascii="Arial" w:hAnsi="Arial" w:cs="Arial"/>
              </w:rPr>
            </w:pPr>
            <w:r w:rsidRPr="002A7758">
              <w:rPr>
                <w:rFonts w:ascii="Arial" w:hAnsi="Arial" w:cs="Arial"/>
              </w:rPr>
              <w:t>JPMorgan Asset Management (Taiwan) Limited</w:t>
            </w:r>
            <w:r>
              <w:rPr>
                <w:rFonts w:ascii="Arial" w:hAnsi="Arial" w:cs="Arial"/>
              </w:rPr>
              <w:t xml:space="preserve"> (100%)</w:t>
            </w:r>
          </w:p>
        </w:tc>
      </w:tr>
    </w:tbl>
    <w:p w14:paraId="4727E7A6" w14:textId="77777777" w:rsidR="00C5065C" w:rsidRPr="00C055A5" w:rsidRDefault="00C5065C" w:rsidP="00C5065C">
      <w:pPr>
        <w:rPr>
          <w:rFonts w:ascii="Helvetica" w:hAnsi="Helvetica" w:cs="Helvetica"/>
          <w:lang w:val="en-GB"/>
        </w:rPr>
      </w:pPr>
    </w:p>
    <w:p w14:paraId="0DAB0E9D" w14:textId="5E8DBF7B" w:rsidR="00844206" w:rsidRPr="006D5F96" w:rsidRDefault="000C1CAC" w:rsidP="0004396E">
      <w:pPr>
        <w:rPr>
          <w:rFonts w:ascii="Helvetica" w:hAnsi="Helvetica" w:cs="Helvetica"/>
          <w:lang w:val="en-GB"/>
        </w:rPr>
      </w:pPr>
      <w:r>
        <w:rPr>
          <w:rFonts w:ascii="Helvetica" w:hAnsi="Helvetica" w:cs="Helvetica"/>
          <w:lang w:val="en-GB"/>
        </w:rPr>
        <w:t xml:space="preserve">Done </w:t>
      </w:r>
      <w:r w:rsidR="00825DD6">
        <w:rPr>
          <w:rFonts w:ascii="Helvetica" w:hAnsi="Helvetica" w:cs="Helvetica"/>
          <w:lang w:val="en-GB"/>
        </w:rPr>
        <w:t xml:space="preserve">at </w:t>
      </w:r>
      <w:r w:rsidR="00A00843">
        <w:rPr>
          <w:rFonts w:ascii="Helvetica" w:hAnsi="Helvetica" w:cs="Helvetica"/>
          <w:lang w:val="en-GB"/>
        </w:rPr>
        <w:t>Hyderabad</w:t>
      </w:r>
      <w:r>
        <w:rPr>
          <w:rFonts w:ascii="Helvetica" w:hAnsi="Helvetica" w:cs="Helvetica"/>
          <w:lang w:val="en-GB"/>
        </w:rPr>
        <w:t xml:space="preserve"> </w:t>
      </w:r>
      <w:r w:rsidR="00C5065C" w:rsidRPr="00C055A5">
        <w:rPr>
          <w:rFonts w:ascii="Helvetica" w:hAnsi="Helvetica" w:cs="Helvetica"/>
          <w:lang w:val="en-GB"/>
        </w:rPr>
        <w:t xml:space="preserve">on </w:t>
      </w:r>
      <w:r w:rsidR="00875992">
        <w:rPr>
          <w:rFonts w:ascii="Helvetica" w:hAnsi="Helvetica" w:cs="Helvetica"/>
          <w:lang w:val="en-GB"/>
        </w:rPr>
        <w:t>0</w:t>
      </w:r>
      <w:r w:rsidR="00666C77">
        <w:rPr>
          <w:rFonts w:ascii="Helvetica" w:hAnsi="Helvetica" w:cs="Helvetica"/>
          <w:lang w:val="en-GB"/>
        </w:rPr>
        <w:t>4</w:t>
      </w:r>
      <w:r w:rsidR="00DB3C69">
        <w:rPr>
          <w:rFonts w:ascii="Helvetica" w:hAnsi="Helvetica" w:cs="Helvetica"/>
          <w:lang w:val="en-GB"/>
        </w:rPr>
        <w:t xml:space="preserve"> </w:t>
      </w:r>
      <w:r w:rsidR="00875992">
        <w:rPr>
          <w:rFonts w:ascii="Helvetica" w:hAnsi="Helvetica" w:cs="Helvetica"/>
          <w:lang w:val="en-GB"/>
        </w:rPr>
        <w:t>July</w:t>
      </w:r>
      <w:r w:rsidR="00DB3C69">
        <w:rPr>
          <w:rFonts w:ascii="Helvetica" w:hAnsi="Helvetica" w:cs="Helvetica"/>
          <w:lang w:val="en-GB"/>
        </w:rPr>
        <w:t xml:space="preserve"> 2025</w:t>
      </w:r>
    </w:p>
    <w:p w14:paraId="3757CC4A"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3E44FBF0"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lastRenderedPageBreak/>
        <w:t>i</w:t>
      </w:r>
      <w:proofErr w:type="spellEnd"/>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778203D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1DA779E" w14:textId="77777777" w:rsidR="00C5065C" w:rsidRPr="008F18BE" w:rsidRDefault="00C5065C" w:rsidP="00FD17CE">
      <w:pPr>
        <w:spacing w:after="0"/>
        <w:ind w:left="-709" w:right="-896"/>
        <w:jc w:val="both"/>
        <w:rPr>
          <w:rFonts w:ascii="Helvetica" w:hAnsi="Helvetica" w:cs="Helvetica"/>
          <w:i/>
          <w:sz w:val="18"/>
          <w:szCs w:val="18"/>
          <w:lang w:val="en-GB"/>
        </w:rPr>
      </w:pPr>
    </w:p>
    <w:p w14:paraId="452BD5DE"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Other</w:t>
      </w:r>
      <w:proofErr w:type="gramEnd"/>
      <w:r w:rsidRPr="008F18BE">
        <w:rPr>
          <w:rFonts w:ascii="Helvetica" w:hAnsi="Helvetica" w:cs="Helvetica"/>
          <w:i/>
          <w:sz w:val="18"/>
          <w:szCs w:val="18"/>
          <w:lang w:val="en-GB"/>
        </w:rPr>
        <w:t xml:space="preserve"> reason for the notification could be voluntary notifications, changes of attribution of the nature of the holding (e.g. expiring of financial instruments) or acting in concert.</w:t>
      </w:r>
    </w:p>
    <w:p w14:paraId="3DB88DF3" w14:textId="77777777" w:rsidR="00C5065C" w:rsidRPr="008F18BE" w:rsidRDefault="00C5065C" w:rsidP="00FD17CE">
      <w:pPr>
        <w:spacing w:after="0"/>
        <w:ind w:left="-709" w:right="-896"/>
        <w:jc w:val="both"/>
        <w:rPr>
          <w:rFonts w:ascii="Helvetica" w:hAnsi="Helvetica" w:cs="Helvetica"/>
          <w:i/>
          <w:sz w:val="18"/>
          <w:szCs w:val="18"/>
          <w:lang w:val="en-GB"/>
        </w:rPr>
      </w:pPr>
    </w:p>
    <w:p w14:paraId="6C2A771F"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3428C3EB" w14:textId="77777777" w:rsidR="00C5065C" w:rsidRPr="008F18BE" w:rsidRDefault="00C5065C" w:rsidP="00FD17CE">
      <w:pPr>
        <w:spacing w:after="0"/>
        <w:ind w:left="-709" w:right="-896"/>
        <w:jc w:val="both"/>
        <w:rPr>
          <w:rFonts w:ascii="Helvetica" w:hAnsi="Helvetica" w:cs="Helvetica"/>
          <w:i/>
          <w:sz w:val="18"/>
          <w:szCs w:val="18"/>
          <w:lang w:val="en-GB"/>
        </w:rPr>
      </w:pPr>
    </w:p>
    <w:p w14:paraId="1AF0D85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24A7CCB5" w14:textId="77777777" w:rsidR="00C5065C" w:rsidRPr="008F18BE" w:rsidRDefault="00C5065C" w:rsidP="00FD17CE">
      <w:pPr>
        <w:spacing w:after="0"/>
        <w:ind w:left="-709" w:right="-896"/>
        <w:jc w:val="both"/>
        <w:rPr>
          <w:rFonts w:ascii="Helvetica" w:hAnsi="Helvetica" w:cs="Helvetica"/>
          <w:i/>
          <w:sz w:val="18"/>
          <w:szCs w:val="18"/>
          <w:lang w:val="en-GB"/>
        </w:rPr>
      </w:pPr>
    </w:p>
    <w:p w14:paraId="54650C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439B89AB" w14:textId="77777777" w:rsidR="00C5065C" w:rsidRPr="008F18BE" w:rsidRDefault="00C5065C" w:rsidP="00FD17CE">
      <w:pPr>
        <w:spacing w:after="0"/>
        <w:ind w:left="-709" w:right="-896"/>
        <w:jc w:val="both"/>
        <w:rPr>
          <w:rFonts w:ascii="Helvetica" w:hAnsi="Helvetica" w:cs="Helvetica"/>
          <w:i/>
          <w:sz w:val="18"/>
          <w:szCs w:val="18"/>
          <w:lang w:val="en-GB"/>
        </w:rPr>
      </w:pPr>
    </w:p>
    <w:p w14:paraId="40FD428F"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acquires the voting rights and is entitled to exercise them under the agreement and the natural person or legal entity who is transferring temporarily for consideration the voting </w:t>
      </w:r>
      <w:proofErr w:type="gramStart"/>
      <w:r w:rsidRPr="008F18BE">
        <w:rPr>
          <w:rFonts w:ascii="Helvetica" w:hAnsi="Helvetica" w:cs="Helvetica"/>
          <w:i/>
          <w:sz w:val="18"/>
          <w:szCs w:val="18"/>
          <w:lang w:val="en-GB"/>
        </w:rPr>
        <w:t>rights;</w:t>
      </w:r>
      <w:proofErr w:type="gramEnd"/>
    </w:p>
    <w:p w14:paraId="4EEF2ED5" w14:textId="77777777" w:rsidR="008F18BE" w:rsidRDefault="008F18BE" w:rsidP="00FD17CE">
      <w:pPr>
        <w:spacing w:after="0"/>
        <w:ind w:left="-426" w:right="-896" w:hanging="283"/>
        <w:jc w:val="both"/>
        <w:rPr>
          <w:rFonts w:ascii="Helvetica" w:hAnsi="Helvetica" w:cs="Helvetica"/>
          <w:i/>
          <w:sz w:val="18"/>
          <w:szCs w:val="18"/>
          <w:lang w:val="en-GB"/>
        </w:rPr>
      </w:pPr>
    </w:p>
    <w:p w14:paraId="48E474C6"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xml:space="preserve">, the natural person or legal entity holding the collateral, provided the person or entity controls the voting rights and declares its intention of exercising them, and natural person or legal entity lodging the collateral under these </w:t>
      </w:r>
      <w:proofErr w:type="gramStart"/>
      <w:r w:rsidR="00C5065C" w:rsidRPr="008F18BE">
        <w:rPr>
          <w:rFonts w:ascii="Helvetica" w:hAnsi="Helvetica" w:cs="Helvetica"/>
          <w:i/>
          <w:sz w:val="18"/>
          <w:szCs w:val="18"/>
          <w:lang w:val="en-GB"/>
        </w:rPr>
        <w:t>conditions;</w:t>
      </w:r>
      <w:proofErr w:type="gramEnd"/>
    </w:p>
    <w:p w14:paraId="7F60B022" w14:textId="77777777" w:rsidR="00C5065C" w:rsidRPr="008F18BE" w:rsidRDefault="00C5065C" w:rsidP="00FD17CE">
      <w:pPr>
        <w:spacing w:after="0"/>
        <w:ind w:right="-896" w:hanging="426"/>
        <w:jc w:val="both"/>
        <w:rPr>
          <w:rFonts w:ascii="Helvetica" w:hAnsi="Helvetica" w:cs="Helvetica"/>
          <w:i/>
          <w:sz w:val="18"/>
          <w:szCs w:val="18"/>
          <w:lang w:val="en-GB"/>
        </w:rPr>
      </w:pPr>
    </w:p>
    <w:p w14:paraId="3B52113F"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who has a life interest in shares if that person or entity is entitled to exercise the voting rights attached to the shares and the natural person or legal entity who is disposing of the voting rights when the life interest is </w:t>
      </w:r>
      <w:proofErr w:type="gramStart"/>
      <w:r w:rsidRPr="008F18BE">
        <w:rPr>
          <w:rFonts w:ascii="Helvetica" w:hAnsi="Helvetica" w:cs="Helvetica"/>
          <w:i/>
          <w:sz w:val="18"/>
          <w:szCs w:val="18"/>
          <w:lang w:val="en-GB"/>
        </w:rPr>
        <w:t>created;</w:t>
      </w:r>
      <w:proofErr w:type="gramEnd"/>
    </w:p>
    <w:p w14:paraId="566C7254"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196AF58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375B17C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CAC53A2"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deposit taker of the shares, if he can exercise the voting rights attached to the shares deposited with him at his discretion, and the depositor of the shares allowing the deposit taker to exercise the voting rights at his </w:t>
      </w:r>
      <w:proofErr w:type="gramStart"/>
      <w:r w:rsidRPr="008F18BE">
        <w:rPr>
          <w:rFonts w:ascii="Helvetica" w:hAnsi="Helvetica" w:cs="Helvetica"/>
          <w:i/>
          <w:sz w:val="18"/>
          <w:szCs w:val="18"/>
          <w:lang w:val="en-GB"/>
        </w:rPr>
        <w:t>discretion;</w:t>
      </w:r>
      <w:proofErr w:type="gramEnd"/>
    </w:p>
    <w:p w14:paraId="3A1150F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55C92F0"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controls the voting </w:t>
      </w:r>
      <w:proofErr w:type="gramStart"/>
      <w:r w:rsidRPr="008F18BE">
        <w:rPr>
          <w:rFonts w:ascii="Helvetica" w:hAnsi="Helvetica" w:cs="Helvetica"/>
          <w:i/>
          <w:sz w:val="18"/>
          <w:szCs w:val="18"/>
          <w:lang w:val="en-GB"/>
        </w:rPr>
        <w:t>rights;</w:t>
      </w:r>
      <w:proofErr w:type="gramEnd"/>
    </w:p>
    <w:p w14:paraId="0B7DCE4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745FC333"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18D05EF6" w14:textId="77777777" w:rsidR="00C5065C" w:rsidRPr="008F18BE" w:rsidRDefault="00C5065C" w:rsidP="00FD17CE">
      <w:pPr>
        <w:spacing w:after="0"/>
        <w:ind w:left="-709" w:right="-896"/>
        <w:jc w:val="both"/>
        <w:rPr>
          <w:rFonts w:ascii="Helvetica" w:hAnsi="Helvetica" w:cs="Helvetica"/>
          <w:i/>
          <w:sz w:val="18"/>
          <w:szCs w:val="18"/>
          <w:lang w:val="en-GB"/>
        </w:rPr>
      </w:pPr>
    </w:p>
    <w:p w14:paraId="0CD7B85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4AC7CB8E" w14:textId="77777777" w:rsidR="00C5065C" w:rsidRPr="008F18BE" w:rsidRDefault="00C5065C" w:rsidP="00FD17CE">
      <w:pPr>
        <w:spacing w:after="0"/>
        <w:ind w:left="-709" w:right="-896"/>
        <w:jc w:val="both"/>
        <w:rPr>
          <w:rFonts w:ascii="Helvetica" w:hAnsi="Helvetica" w:cs="Helvetica"/>
          <w:i/>
          <w:sz w:val="18"/>
          <w:szCs w:val="18"/>
          <w:lang w:val="en-GB"/>
        </w:rPr>
      </w:pPr>
    </w:p>
    <w:p w14:paraId="6DD8DA4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333AD1E0" w14:textId="77777777" w:rsidR="00C5065C" w:rsidRPr="008F18BE" w:rsidRDefault="00C5065C" w:rsidP="00FD17CE">
      <w:pPr>
        <w:spacing w:after="0"/>
        <w:ind w:left="-709" w:right="-896"/>
        <w:jc w:val="both"/>
        <w:rPr>
          <w:rFonts w:ascii="Helvetica" w:hAnsi="Helvetica" w:cs="Helvetica"/>
          <w:i/>
          <w:sz w:val="18"/>
          <w:szCs w:val="18"/>
          <w:lang w:val="en-GB"/>
        </w:rPr>
      </w:pPr>
    </w:p>
    <w:p w14:paraId="7292506B"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total number of voting rights shall be composed of all the shares, including depository receipts representing shares, to which voting rights are attached even if the exercise thereof is suspended.</w:t>
      </w:r>
    </w:p>
    <w:p w14:paraId="72241519" w14:textId="77777777" w:rsidR="0015068A" w:rsidRPr="008F18BE" w:rsidRDefault="0015068A" w:rsidP="00FD17CE">
      <w:pPr>
        <w:spacing w:after="0"/>
        <w:ind w:left="-709" w:right="-896"/>
        <w:jc w:val="both"/>
        <w:rPr>
          <w:rFonts w:ascii="Helvetica" w:hAnsi="Helvetica" w:cs="Helvetica"/>
          <w:i/>
          <w:sz w:val="18"/>
          <w:szCs w:val="18"/>
          <w:lang w:val="en-GB"/>
        </w:rPr>
      </w:pPr>
    </w:p>
    <w:p w14:paraId="6D4A669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w:t>
      </w:r>
      <w:proofErr w:type="gramStart"/>
      <w:r w:rsidR="00D2417E">
        <w:rPr>
          <w:rFonts w:ascii="Helvetica" w:hAnsi="Helvetica" w:cs="Helvetica"/>
          <w:i/>
          <w:sz w:val="18"/>
          <w:szCs w:val="18"/>
          <w:lang w:val="en-GB"/>
        </w:rPr>
        <w:t xml:space="preserve">Rules  </w:t>
      </w:r>
      <w:r w:rsidR="00D31F60">
        <w:rPr>
          <w:rFonts w:ascii="Helvetica" w:hAnsi="Helvetica" w:cs="Helvetica"/>
          <w:i/>
          <w:sz w:val="18"/>
          <w:szCs w:val="18"/>
          <w:lang w:val="en-GB"/>
        </w:rPr>
        <w:t>the</w:t>
      </w:r>
      <w:proofErr w:type="gramEnd"/>
      <w:r w:rsidR="00D31F60">
        <w:rPr>
          <w:rFonts w:ascii="Helvetica" w:hAnsi="Helvetica" w:cs="Helvetica"/>
          <w:i/>
          <w:sz w:val="18"/>
          <w:szCs w:val="18"/>
          <w:lang w:val="en-GB"/>
        </w:rPr>
        <w:t xml:space="preserv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5A4E1767" w14:textId="77777777" w:rsidR="00C5065C" w:rsidRPr="008F18BE" w:rsidRDefault="00C5065C" w:rsidP="00FD17CE">
      <w:pPr>
        <w:spacing w:after="0"/>
        <w:ind w:left="-709" w:right="-896"/>
        <w:jc w:val="both"/>
        <w:rPr>
          <w:rFonts w:ascii="Helvetica" w:hAnsi="Helvetica" w:cs="Helvetica"/>
          <w:i/>
          <w:sz w:val="18"/>
          <w:szCs w:val="18"/>
          <w:lang w:val="en-GB"/>
        </w:rPr>
      </w:pPr>
    </w:p>
    <w:p w14:paraId="00E4A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5F58BFD1" w14:textId="77777777" w:rsidR="00C5065C" w:rsidRPr="008F18BE" w:rsidRDefault="00C5065C" w:rsidP="00FD17CE">
      <w:pPr>
        <w:spacing w:after="0"/>
        <w:ind w:left="-709" w:right="-896"/>
        <w:jc w:val="both"/>
        <w:rPr>
          <w:rFonts w:ascii="Helvetica" w:hAnsi="Helvetica" w:cs="Helvetica"/>
          <w:i/>
          <w:sz w:val="18"/>
          <w:szCs w:val="18"/>
          <w:lang w:val="en-GB"/>
        </w:rPr>
      </w:pPr>
    </w:p>
    <w:p w14:paraId="6AC3AE6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7005DBC3" w14:textId="77777777" w:rsidR="00C5065C" w:rsidRPr="008F18BE" w:rsidRDefault="00C5065C" w:rsidP="00FD17CE">
      <w:pPr>
        <w:spacing w:after="0"/>
        <w:ind w:left="-709" w:right="-896"/>
        <w:jc w:val="both"/>
        <w:rPr>
          <w:rFonts w:ascii="Helvetica" w:hAnsi="Helvetica" w:cs="Helvetica"/>
          <w:i/>
          <w:sz w:val="18"/>
          <w:szCs w:val="18"/>
          <w:lang w:val="en-GB"/>
        </w:rPr>
      </w:pPr>
    </w:p>
    <w:p w14:paraId="2BCCB2D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66F5A444" w14:textId="77777777" w:rsidR="00C5065C" w:rsidRPr="008F18BE" w:rsidRDefault="00C5065C" w:rsidP="00FD17CE">
      <w:pPr>
        <w:spacing w:after="0"/>
        <w:ind w:left="-709" w:right="-896"/>
        <w:jc w:val="both"/>
        <w:rPr>
          <w:rFonts w:ascii="Helvetica" w:hAnsi="Helvetica" w:cs="Helvetica"/>
          <w:i/>
          <w:sz w:val="18"/>
          <w:szCs w:val="18"/>
          <w:lang w:val="en-GB"/>
        </w:rPr>
      </w:pPr>
    </w:p>
    <w:p w14:paraId="78ABAD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D2A126E" w14:textId="77777777" w:rsidR="00C5065C" w:rsidRPr="008F18BE" w:rsidRDefault="00C5065C" w:rsidP="00FD17CE">
      <w:pPr>
        <w:spacing w:after="0"/>
        <w:ind w:left="-709" w:right="-896"/>
        <w:jc w:val="both"/>
        <w:rPr>
          <w:rFonts w:ascii="Helvetica" w:hAnsi="Helvetica" w:cs="Helvetica"/>
          <w:i/>
          <w:sz w:val="18"/>
          <w:szCs w:val="18"/>
          <w:lang w:val="en-GB"/>
        </w:rPr>
      </w:pPr>
    </w:p>
    <w:p w14:paraId="0211F75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064A249D" w14:textId="77777777" w:rsidR="00C5065C" w:rsidRPr="008F18BE" w:rsidRDefault="00C5065C" w:rsidP="00FD17CE">
      <w:pPr>
        <w:spacing w:after="0"/>
        <w:ind w:left="-709" w:right="-896"/>
        <w:jc w:val="both"/>
        <w:rPr>
          <w:rFonts w:ascii="Helvetica" w:hAnsi="Helvetica" w:cs="Helvetica"/>
          <w:i/>
          <w:sz w:val="18"/>
          <w:szCs w:val="18"/>
          <w:lang w:val="en-GB"/>
        </w:rPr>
      </w:pPr>
    </w:p>
    <w:p w14:paraId="656B5F5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w:t>
      </w:r>
      <w:proofErr w:type="gramStart"/>
      <w:r w:rsidRPr="008F18BE">
        <w:rPr>
          <w:rFonts w:ascii="Helvetica" w:hAnsi="Helvetica" w:cs="Helvetica"/>
          <w:i/>
          <w:sz w:val="18"/>
          <w:szCs w:val="18"/>
          <w:lang w:val="en-GB"/>
        </w:rPr>
        <w:t>have to</w:t>
      </w:r>
      <w:proofErr w:type="gramEnd"/>
      <w:r w:rsidRPr="008F18BE">
        <w:rPr>
          <w:rFonts w:ascii="Helvetica" w:hAnsi="Helvetica" w:cs="Helvetica"/>
          <w:i/>
          <w:sz w:val="18"/>
          <w:szCs w:val="18"/>
          <w:lang w:val="en-GB"/>
        </w:rPr>
        <w:t xml:space="preserve"> be presented chain by chain leaving a row free between different chains (e.g.: A, B, C, free row, A, B, D, free row, A, E, F etc.).</w:t>
      </w:r>
    </w:p>
    <w:p w14:paraId="6336A328" w14:textId="77777777" w:rsidR="00C5065C" w:rsidRPr="008F18BE" w:rsidRDefault="00C5065C" w:rsidP="00FD17CE">
      <w:pPr>
        <w:spacing w:after="0"/>
        <w:ind w:left="-709" w:right="-896"/>
        <w:jc w:val="both"/>
        <w:rPr>
          <w:rFonts w:ascii="Helvetica" w:hAnsi="Helvetica" w:cs="Helvetica"/>
          <w:i/>
          <w:sz w:val="18"/>
          <w:szCs w:val="18"/>
          <w:lang w:val="en-GB"/>
        </w:rPr>
      </w:pPr>
    </w:p>
    <w:p w14:paraId="421E166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74EB508" w14:textId="77777777" w:rsidR="00C5065C" w:rsidRPr="008F18BE" w:rsidRDefault="00C5065C" w:rsidP="00FD17CE">
      <w:pPr>
        <w:spacing w:after="0"/>
        <w:ind w:left="-709" w:right="-896"/>
        <w:jc w:val="both"/>
        <w:rPr>
          <w:rFonts w:ascii="Helvetica" w:hAnsi="Helvetica" w:cs="Helvetica"/>
          <w:i/>
          <w:sz w:val="18"/>
          <w:szCs w:val="18"/>
          <w:lang w:val="en-GB"/>
        </w:rPr>
      </w:pPr>
    </w:p>
    <w:p w14:paraId="4183A33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2183383" w14:textId="77777777" w:rsidR="00C5065C" w:rsidRPr="00C5065C" w:rsidRDefault="00C5065C" w:rsidP="00FD17CE">
      <w:pPr>
        <w:jc w:val="both"/>
        <w:rPr>
          <w:lang w:val="en-GB"/>
        </w:rPr>
      </w:pPr>
    </w:p>
    <w:sectPr w:rsidR="00C5065C" w:rsidRPr="00C5065C" w:rsidSect="00F4675B">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D8E8" w14:textId="77777777" w:rsidR="00271F8B" w:rsidRDefault="00271F8B" w:rsidP="00A63B41">
      <w:pPr>
        <w:spacing w:after="0" w:line="240" w:lineRule="auto"/>
      </w:pPr>
      <w:r>
        <w:separator/>
      </w:r>
    </w:p>
  </w:endnote>
  <w:endnote w:type="continuationSeparator" w:id="0">
    <w:p w14:paraId="47C8F582" w14:textId="77777777" w:rsidR="00271F8B" w:rsidRDefault="00271F8B" w:rsidP="00A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DE21" w14:textId="77777777" w:rsidR="00271F8B" w:rsidRDefault="00271F8B" w:rsidP="00A63B41">
      <w:pPr>
        <w:spacing w:after="0" w:line="240" w:lineRule="auto"/>
      </w:pPr>
      <w:r>
        <w:separator/>
      </w:r>
    </w:p>
  </w:footnote>
  <w:footnote w:type="continuationSeparator" w:id="0">
    <w:p w14:paraId="7D9E4CAA" w14:textId="77777777" w:rsidR="00271F8B" w:rsidRDefault="00271F8B" w:rsidP="00A63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24BF"/>
    <w:rsid w:val="00006813"/>
    <w:rsid w:val="000436EE"/>
    <w:rsid w:val="0004396E"/>
    <w:rsid w:val="00045841"/>
    <w:rsid w:val="00057E68"/>
    <w:rsid w:val="00073229"/>
    <w:rsid w:val="00077BE3"/>
    <w:rsid w:val="00092E94"/>
    <w:rsid w:val="000A127E"/>
    <w:rsid w:val="000A44F2"/>
    <w:rsid w:val="000C1CAC"/>
    <w:rsid w:val="000D1B00"/>
    <w:rsid w:val="000D23F7"/>
    <w:rsid w:val="000E4914"/>
    <w:rsid w:val="000F47A3"/>
    <w:rsid w:val="00105544"/>
    <w:rsid w:val="001174FA"/>
    <w:rsid w:val="00132453"/>
    <w:rsid w:val="0013496E"/>
    <w:rsid w:val="0015068A"/>
    <w:rsid w:val="00180A5E"/>
    <w:rsid w:val="0019644E"/>
    <w:rsid w:val="001B1ADC"/>
    <w:rsid w:val="001B374D"/>
    <w:rsid w:val="001C15D3"/>
    <w:rsid w:val="001D12BD"/>
    <w:rsid w:val="001D4D09"/>
    <w:rsid w:val="001F1A04"/>
    <w:rsid w:val="00201E8C"/>
    <w:rsid w:val="002059DD"/>
    <w:rsid w:val="00207021"/>
    <w:rsid w:val="002177A2"/>
    <w:rsid w:val="002177A9"/>
    <w:rsid w:val="002573EF"/>
    <w:rsid w:val="002578D6"/>
    <w:rsid w:val="00264FCF"/>
    <w:rsid w:val="00271F8B"/>
    <w:rsid w:val="002746F0"/>
    <w:rsid w:val="002772AA"/>
    <w:rsid w:val="002C0751"/>
    <w:rsid w:val="002C64A8"/>
    <w:rsid w:val="002D0C79"/>
    <w:rsid w:val="002D464A"/>
    <w:rsid w:val="002D7AA4"/>
    <w:rsid w:val="002E08F1"/>
    <w:rsid w:val="002F2C2F"/>
    <w:rsid w:val="003472CF"/>
    <w:rsid w:val="00347AA4"/>
    <w:rsid w:val="00362101"/>
    <w:rsid w:val="00370C11"/>
    <w:rsid w:val="003777FC"/>
    <w:rsid w:val="00384C63"/>
    <w:rsid w:val="003B0192"/>
    <w:rsid w:val="003C2D94"/>
    <w:rsid w:val="003D3F3E"/>
    <w:rsid w:val="003D6890"/>
    <w:rsid w:val="003E36E8"/>
    <w:rsid w:val="003E5348"/>
    <w:rsid w:val="00413475"/>
    <w:rsid w:val="00420F6C"/>
    <w:rsid w:val="00427002"/>
    <w:rsid w:val="00434D15"/>
    <w:rsid w:val="004774B5"/>
    <w:rsid w:val="00485978"/>
    <w:rsid w:val="004953AC"/>
    <w:rsid w:val="004A5924"/>
    <w:rsid w:val="004A72AD"/>
    <w:rsid w:val="004E4FE0"/>
    <w:rsid w:val="004F06C1"/>
    <w:rsid w:val="004F1CC0"/>
    <w:rsid w:val="004F440A"/>
    <w:rsid w:val="00505E02"/>
    <w:rsid w:val="005126DD"/>
    <w:rsid w:val="00521E70"/>
    <w:rsid w:val="00546F8D"/>
    <w:rsid w:val="00562111"/>
    <w:rsid w:val="00562726"/>
    <w:rsid w:val="005644AF"/>
    <w:rsid w:val="00566D82"/>
    <w:rsid w:val="005713EC"/>
    <w:rsid w:val="005826E0"/>
    <w:rsid w:val="00591EE3"/>
    <w:rsid w:val="00592C4E"/>
    <w:rsid w:val="00595CA3"/>
    <w:rsid w:val="005F6E88"/>
    <w:rsid w:val="00617FDA"/>
    <w:rsid w:val="00627F09"/>
    <w:rsid w:val="00630E34"/>
    <w:rsid w:val="00653B0A"/>
    <w:rsid w:val="00657ABD"/>
    <w:rsid w:val="00666C77"/>
    <w:rsid w:val="006877CA"/>
    <w:rsid w:val="00690B18"/>
    <w:rsid w:val="00692996"/>
    <w:rsid w:val="006D5F96"/>
    <w:rsid w:val="006E5403"/>
    <w:rsid w:val="0070184B"/>
    <w:rsid w:val="00704AAA"/>
    <w:rsid w:val="00712AB8"/>
    <w:rsid w:val="00720166"/>
    <w:rsid w:val="00721B2D"/>
    <w:rsid w:val="007260DF"/>
    <w:rsid w:val="00731F79"/>
    <w:rsid w:val="00734BA9"/>
    <w:rsid w:val="00736972"/>
    <w:rsid w:val="00737B55"/>
    <w:rsid w:val="0074010A"/>
    <w:rsid w:val="007626FA"/>
    <w:rsid w:val="00762E92"/>
    <w:rsid w:val="007762CD"/>
    <w:rsid w:val="00777D9E"/>
    <w:rsid w:val="007839CD"/>
    <w:rsid w:val="00795C4F"/>
    <w:rsid w:val="007B5DE7"/>
    <w:rsid w:val="007C162B"/>
    <w:rsid w:val="007C1F85"/>
    <w:rsid w:val="007C271C"/>
    <w:rsid w:val="007D323A"/>
    <w:rsid w:val="007E44BF"/>
    <w:rsid w:val="007F3867"/>
    <w:rsid w:val="008052FE"/>
    <w:rsid w:val="008132B2"/>
    <w:rsid w:val="00825DD6"/>
    <w:rsid w:val="008307CA"/>
    <w:rsid w:val="00837E23"/>
    <w:rsid w:val="00844206"/>
    <w:rsid w:val="008673CF"/>
    <w:rsid w:val="00871618"/>
    <w:rsid w:val="00875992"/>
    <w:rsid w:val="008778CE"/>
    <w:rsid w:val="00882380"/>
    <w:rsid w:val="008B139D"/>
    <w:rsid w:val="008B5F85"/>
    <w:rsid w:val="008D1C27"/>
    <w:rsid w:val="008E7B3F"/>
    <w:rsid w:val="008F0998"/>
    <w:rsid w:val="008F18BE"/>
    <w:rsid w:val="008F2685"/>
    <w:rsid w:val="009052FC"/>
    <w:rsid w:val="009054B6"/>
    <w:rsid w:val="00920804"/>
    <w:rsid w:val="00933960"/>
    <w:rsid w:val="00940D9D"/>
    <w:rsid w:val="00941061"/>
    <w:rsid w:val="00957F01"/>
    <w:rsid w:val="00961A6C"/>
    <w:rsid w:val="009755DE"/>
    <w:rsid w:val="00980A29"/>
    <w:rsid w:val="009B3679"/>
    <w:rsid w:val="009D2607"/>
    <w:rsid w:val="00A00843"/>
    <w:rsid w:val="00A069B6"/>
    <w:rsid w:val="00A13B89"/>
    <w:rsid w:val="00A31253"/>
    <w:rsid w:val="00A507AD"/>
    <w:rsid w:val="00A50EAE"/>
    <w:rsid w:val="00A51009"/>
    <w:rsid w:val="00A63B41"/>
    <w:rsid w:val="00A66C0D"/>
    <w:rsid w:val="00A77B5E"/>
    <w:rsid w:val="00A817E8"/>
    <w:rsid w:val="00A85C2E"/>
    <w:rsid w:val="00A9509D"/>
    <w:rsid w:val="00AA1EE1"/>
    <w:rsid w:val="00AA7C01"/>
    <w:rsid w:val="00AB29D3"/>
    <w:rsid w:val="00AC7780"/>
    <w:rsid w:val="00AD5A51"/>
    <w:rsid w:val="00B02C64"/>
    <w:rsid w:val="00B03E66"/>
    <w:rsid w:val="00B041C5"/>
    <w:rsid w:val="00B433C7"/>
    <w:rsid w:val="00B47EB3"/>
    <w:rsid w:val="00B7470F"/>
    <w:rsid w:val="00B7715B"/>
    <w:rsid w:val="00B878F3"/>
    <w:rsid w:val="00B92360"/>
    <w:rsid w:val="00BA42D8"/>
    <w:rsid w:val="00BA72A7"/>
    <w:rsid w:val="00BD522B"/>
    <w:rsid w:val="00BD6683"/>
    <w:rsid w:val="00BE706C"/>
    <w:rsid w:val="00BF4D26"/>
    <w:rsid w:val="00C055A5"/>
    <w:rsid w:val="00C2158F"/>
    <w:rsid w:val="00C5065C"/>
    <w:rsid w:val="00C71B51"/>
    <w:rsid w:val="00CC41EB"/>
    <w:rsid w:val="00CC5D92"/>
    <w:rsid w:val="00CD1195"/>
    <w:rsid w:val="00CD289C"/>
    <w:rsid w:val="00CD4D4B"/>
    <w:rsid w:val="00CF106C"/>
    <w:rsid w:val="00CF19FF"/>
    <w:rsid w:val="00D2326B"/>
    <w:rsid w:val="00D2417E"/>
    <w:rsid w:val="00D31F60"/>
    <w:rsid w:val="00D3231F"/>
    <w:rsid w:val="00D363B8"/>
    <w:rsid w:val="00D701D8"/>
    <w:rsid w:val="00D7084A"/>
    <w:rsid w:val="00D73CE1"/>
    <w:rsid w:val="00D94B07"/>
    <w:rsid w:val="00DA5340"/>
    <w:rsid w:val="00DA786C"/>
    <w:rsid w:val="00DB0DBE"/>
    <w:rsid w:val="00DB3C69"/>
    <w:rsid w:val="00DC22F2"/>
    <w:rsid w:val="00DE6ED4"/>
    <w:rsid w:val="00DF01C4"/>
    <w:rsid w:val="00DF3301"/>
    <w:rsid w:val="00E362CA"/>
    <w:rsid w:val="00E528F0"/>
    <w:rsid w:val="00E767F1"/>
    <w:rsid w:val="00E943F5"/>
    <w:rsid w:val="00EA74F5"/>
    <w:rsid w:val="00EB362A"/>
    <w:rsid w:val="00EB7EA5"/>
    <w:rsid w:val="00EE522D"/>
    <w:rsid w:val="00F044D1"/>
    <w:rsid w:val="00F11EE0"/>
    <w:rsid w:val="00F12A4C"/>
    <w:rsid w:val="00F21891"/>
    <w:rsid w:val="00F21FBB"/>
    <w:rsid w:val="00F26D04"/>
    <w:rsid w:val="00F32B37"/>
    <w:rsid w:val="00F34BEE"/>
    <w:rsid w:val="00F445F4"/>
    <w:rsid w:val="00F4675B"/>
    <w:rsid w:val="00F66AF3"/>
    <w:rsid w:val="00F73DCA"/>
    <w:rsid w:val="00F82213"/>
    <w:rsid w:val="00F830E0"/>
    <w:rsid w:val="00F870F3"/>
    <w:rsid w:val="00F96BB9"/>
    <w:rsid w:val="00FB1AD4"/>
    <w:rsid w:val="00FD124B"/>
    <w:rsid w:val="00FD17CE"/>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38A6"/>
  <w15:docId w15:val="{4387BAEF-396E-49DC-BD0E-86BD3E0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A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41"/>
  </w:style>
  <w:style w:type="paragraph" w:styleId="Footer">
    <w:name w:val="footer"/>
    <w:basedOn w:val="Normal"/>
    <w:link w:val="FooterChar"/>
    <w:uiPriority w:val="99"/>
    <w:unhideWhenUsed/>
    <w:rsid w:val="00A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723">
      <w:bodyDiv w:val="1"/>
      <w:marLeft w:val="0"/>
      <w:marRight w:val="0"/>
      <w:marTop w:val="0"/>
      <w:marBottom w:val="0"/>
      <w:divBdr>
        <w:top w:val="none" w:sz="0" w:space="0" w:color="auto"/>
        <w:left w:val="none" w:sz="0" w:space="0" w:color="auto"/>
        <w:bottom w:val="none" w:sz="0" w:space="0" w:color="auto"/>
        <w:right w:val="none" w:sz="0" w:space="0" w:color="auto"/>
      </w:divBdr>
    </w:div>
    <w:div w:id="109010407">
      <w:bodyDiv w:val="1"/>
      <w:marLeft w:val="0"/>
      <w:marRight w:val="0"/>
      <w:marTop w:val="0"/>
      <w:marBottom w:val="0"/>
      <w:divBdr>
        <w:top w:val="none" w:sz="0" w:space="0" w:color="auto"/>
        <w:left w:val="none" w:sz="0" w:space="0" w:color="auto"/>
        <w:bottom w:val="none" w:sz="0" w:space="0" w:color="auto"/>
        <w:right w:val="none" w:sz="0" w:space="0" w:color="auto"/>
      </w:divBdr>
    </w:div>
    <w:div w:id="112676711">
      <w:bodyDiv w:val="1"/>
      <w:marLeft w:val="0"/>
      <w:marRight w:val="0"/>
      <w:marTop w:val="0"/>
      <w:marBottom w:val="0"/>
      <w:divBdr>
        <w:top w:val="none" w:sz="0" w:space="0" w:color="auto"/>
        <w:left w:val="none" w:sz="0" w:space="0" w:color="auto"/>
        <w:bottom w:val="none" w:sz="0" w:space="0" w:color="auto"/>
        <w:right w:val="none" w:sz="0" w:space="0" w:color="auto"/>
      </w:divBdr>
    </w:div>
    <w:div w:id="154033531">
      <w:bodyDiv w:val="1"/>
      <w:marLeft w:val="0"/>
      <w:marRight w:val="0"/>
      <w:marTop w:val="0"/>
      <w:marBottom w:val="0"/>
      <w:divBdr>
        <w:top w:val="none" w:sz="0" w:space="0" w:color="auto"/>
        <w:left w:val="none" w:sz="0" w:space="0" w:color="auto"/>
        <w:bottom w:val="none" w:sz="0" w:space="0" w:color="auto"/>
        <w:right w:val="none" w:sz="0" w:space="0" w:color="auto"/>
      </w:divBdr>
    </w:div>
    <w:div w:id="204483833">
      <w:bodyDiv w:val="1"/>
      <w:marLeft w:val="0"/>
      <w:marRight w:val="0"/>
      <w:marTop w:val="0"/>
      <w:marBottom w:val="0"/>
      <w:divBdr>
        <w:top w:val="none" w:sz="0" w:space="0" w:color="auto"/>
        <w:left w:val="none" w:sz="0" w:space="0" w:color="auto"/>
        <w:bottom w:val="none" w:sz="0" w:space="0" w:color="auto"/>
        <w:right w:val="none" w:sz="0" w:space="0" w:color="auto"/>
      </w:divBdr>
    </w:div>
    <w:div w:id="254437649">
      <w:bodyDiv w:val="1"/>
      <w:marLeft w:val="0"/>
      <w:marRight w:val="0"/>
      <w:marTop w:val="0"/>
      <w:marBottom w:val="0"/>
      <w:divBdr>
        <w:top w:val="none" w:sz="0" w:space="0" w:color="auto"/>
        <w:left w:val="none" w:sz="0" w:space="0" w:color="auto"/>
        <w:bottom w:val="none" w:sz="0" w:space="0" w:color="auto"/>
        <w:right w:val="none" w:sz="0" w:space="0" w:color="auto"/>
      </w:divBdr>
    </w:div>
    <w:div w:id="354160408">
      <w:bodyDiv w:val="1"/>
      <w:marLeft w:val="0"/>
      <w:marRight w:val="0"/>
      <w:marTop w:val="0"/>
      <w:marBottom w:val="0"/>
      <w:divBdr>
        <w:top w:val="none" w:sz="0" w:space="0" w:color="auto"/>
        <w:left w:val="none" w:sz="0" w:space="0" w:color="auto"/>
        <w:bottom w:val="none" w:sz="0" w:space="0" w:color="auto"/>
        <w:right w:val="none" w:sz="0" w:space="0" w:color="auto"/>
      </w:divBdr>
    </w:div>
    <w:div w:id="375661438">
      <w:bodyDiv w:val="1"/>
      <w:marLeft w:val="0"/>
      <w:marRight w:val="0"/>
      <w:marTop w:val="0"/>
      <w:marBottom w:val="0"/>
      <w:divBdr>
        <w:top w:val="none" w:sz="0" w:space="0" w:color="auto"/>
        <w:left w:val="none" w:sz="0" w:space="0" w:color="auto"/>
        <w:bottom w:val="none" w:sz="0" w:space="0" w:color="auto"/>
        <w:right w:val="none" w:sz="0" w:space="0" w:color="auto"/>
      </w:divBdr>
    </w:div>
    <w:div w:id="436602928">
      <w:bodyDiv w:val="1"/>
      <w:marLeft w:val="0"/>
      <w:marRight w:val="0"/>
      <w:marTop w:val="0"/>
      <w:marBottom w:val="0"/>
      <w:divBdr>
        <w:top w:val="none" w:sz="0" w:space="0" w:color="auto"/>
        <w:left w:val="none" w:sz="0" w:space="0" w:color="auto"/>
        <w:bottom w:val="none" w:sz="0" w:space="0" w:color="auto"/>
        <w:right w:val="none" w:sz="0" w:space="0" w:color="auto"/>
      </w:divBdr>
    </w:div>
    <w:div w:id="463737858">
      <w:bodyDiv w:val="1"/>
      <w:marLeft w:val="0"/>
      <w:marRight w:val="0"/>
      <w:marTop w:val="0"/>
      <w:marBottom w:val="0"/>
      <w:divBdr>
        <w:top w:val="none" w:sz="0" w:space="0" w:color="auto"/>
        <w:left w:val="none" w:sz="0" w:space="0" w:color="auto"/>
        <w:bottom w:val="none" w:sz="0" w:space="0" w:color="auto"/>
        <w:right w:val="none" w:sz="0" w:space="0" w:color="auto"/>
      </w:divBdr>
    </w:div>
    <w:div w:id="520703024">
      <w:bodyDiv w:val="1"/>
      <w:marLeft w:val="0"/>
      <w:marRight w:val="0"/>
      <w:marTop w:val="0"/>
      <w:marBottom w:val="0"/>
      <w:divBdr>
        <w:top w:val="none" w:sz="0" w:space="0" w:color="auto"/>
        <w:left w:val="none" w:sz="0" w:space="0" w:color="auto"/>
        <w:bottom w:val="none" w:sz="0" w:space="0" w:color="auto"/>
        <w:right w:val="none" w:sz="0" w:space="0" w:color="auto"/>
      </w:divBdr>
    </w:div>
    <w:div w:id="678846857">
      <w:bodyDiv w:val="1"/>
      <w:marLeft w:val="0"/>
      <w:marRight w:val="0"/>
      <w:marTop w:val="0"/>
      <w:marBottom w:val="0"/>
      <w:divBdr>
        <w:top w:val="none" w:sz="0" w:space="0" w:color="auto"/>
        <w:left w:val="none" w:sz="0" w:space="0" w:color="auto"/>
        <w:bottom w:val="none" w:sz="0" w:space="0" w:color="auto"/>
        <w:right w:val="none" w:sz="0" w:space="0" w:color="auto"/>
      </w:divBdr>
    </w:div>
    <w:div w:id="698698276">
      <w:bodyDiv w:val="1"/>
      <w:marLeft w:val="0"/>
      <w:marRight w:val="0"/>
      <w:marTop w:val="0"/>
      <w:marBottom w:val="0"/>
      <w:divBdr>
        <w:top w:val="none" w:sz="0" w:space="0" w:color="auto"/>
        <w:left w:val="none" w:sz="0" w:space="0" w:color="auto"/>
        <w:bottom w:val="none" w:sz="0" w:space="0" w:color="auto"/>
        <w:right w:val="none" w:sz="0" w:space="0" w:color="auto"/>
      </w:divBdr>
    </w:div>
    <w:div w:id="739710643">
      <w:bodyDiv w:val="1"/>
      <w:marLeft w:val="0"/>
      <w:marRight w:val="0"/>
      <w:marTop w:val="0"/>
      <w:marBottom w:val="0"/>
      <w:divBdr>
        <w:top w:val="none" w:sz="0" w:space="0" w:color="auto"/>
        <w:left w:val="none" w:sz="0" w:space="0" w:color="auto"/>
        <w:bottom w:val="none" w:sz="0" w:space="0" w:color="auto"/>
        <w:right w:val="none" w:sz="0" w:space="0" w:color="auto"/>
      </w:divBdr>
    </w:div>
    <w:div w:id="745952552">
      <w:bodyDiv w:val="1"/>
      <w:marLeft w:val="0"/>
      <w:marRight w:val="0"/>
      <w:marTop w:val="0"/>
      <w:marBottom w:val="0"/>
      <w:divBdr>
        <w:top w:val="none" w:sz="0" w:space="0" w:color="auto"/>
        <w:left w:val="none" w:sz="0" w:space="0" w:color="auto"/>
        <w:bottom w:val="none" w:sz="0" w:space="0" w:color="auto"/>
        <w:right w:val="none" w:sz="0" w:space="0" w:color="auto"/>
      </w:divBdr>
    </w:div>
    <w:div w:id="773599150">
      <w:bodyDiv w:val="1"/>
      <w:marLeft w:val="0"/>
      <w:marRight w:val="0"/>
      <w:marTop w:val="0"/>
      <w:marBottom w:val="0"/>
      <w:divBdr>
        <w:top w:val="none" w:sz="0" w:space="0" w:color="auto"/>
        <w:left w:val="none" w:sz="0" w:space="0" w:color="auto"/>
        <w:bottom w:val="none" w:sz="0" w:space="0" w:color="auto"/>
        <w:right w:val="none" w:sz="0" w:space="0" w:color="auto"/>
      </w:divBdr>
    </w:div>
    <w:div w:id="778766601">
      <w:bodyDiv w:val="1"/>
      <w:marLeft w:val="0"/>
      <w:marRight w:val="0"/>
      <w:marTop w:val="0"/>
      <w:marBottom w:val="0"/>
      <w:divBdr>
        <w:top w:val="none" w:sz="0" w:space="0" w:color="auto"/>
        <w:left w:val="none" w:sz="0" w:space="0" w:color="auto"/>
        <w:bottom w:val="none" w:sz="0" w:space="0" w:color="auto"/>
        <w:right w:val="none" w:sz="0" w:space="0" w:color="auto"/>
      </w:divBdr>
    </w:div>
    <w:div w:id="780994450">
      <w:bodyDiv w:val="1"/>
      <w:marLeft w:val="0"/>
      <w:marRight w:val="0"/>
      <w:marTop w:val="0"/>
      <w:marBottom w:val="0"/>
      <w:divBdr>
        <w:top w:val="none" w:sz="0" w:space="0" w:color="auto"/>
        <w:left w:val="none" w:sz="0" w:space="0" w:color="auto"/>
        <w:bottom w:val="none" w:sz="0" w:space="0" w:color="auto"/>
        <w:right w:val="none" w:sz="0" w:space="0" w:color="auto"/>
      </w:divBdr>
    </w:div>
    <w:div w:id="804006002">
      <w:bodyDiv w:val="1"/>
      <w:marLeft w:val="0"/>
      <w:marRight w:val="0"/>
      <w:marTop w:val="0"/>
      <w:marBottom w:val="0"/>
      <w:divBdr>
        <w:top w:val="none" w:sz="0" w:space="0" w:color="auto"/>
        <w:left w:val="none" w:sz="0" w:space="0" w:color="auto"/>
        <w:bottom w:val="none" w:sz="0" w:space="0" w:color="auto"/>
        <w:right w:val="none" w:sz="0" w:space="0" w:color="auto"/>
      </w:divBdr>
    </w:div>
    <w:div w:id="869883012">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
    <w:div w:id="944457626">
      <w:bodyDiv w:val="1"/>
      <w:marLeft w:val="0"/>
      <w:marRight w:val="0"/>
      <w:marTop w:val="0"/>
      <w:marBottom w:val="0"/>
      <w:divBdr>
        <w:top w:val="none" w:sz="0" w:space="0" w:color="auto"/>
        <w:left w:val="none" w:sz="0" w:space="0" w:color="auto"/>
        <w:bottom w:val="none" w:sz="0" w:space="0" w:color="auto"/>
        <w:right w:val="none" w:sz="0" w:space="0" w:color="auto"/>
      </w:divBdr>
    </w:div>
    <w:div w:id="961809910">
      <w:bodyDiv w:val="1"/>
      <w:marLeft w:val="0"/>
      <w:marRight w:val="0"/>
      <w:marTop w:val="0"/>
      <w:marBottom w:val="0"/>
      <w:divBdr>
        <w:top w:val="none" w:sz="0" w:space="0" w:color="auto"/>
        <w:left w:val="none" w:sz="0" w:space="0" w:color="auto"/>
        <w:bottom w:val="none" w:sz="0" w:space="0" w:color="auto"/>
        <w:right w:val="none" w:sz="0" w:space="0" w:color="auto"/>
      </w:divBdr>
    </w:div>
    <w:div w:id="976567363">
      <w:bodyDiv w:val="1"/>
      <w:marLeft w:val="0"/>
      <w:marRight w:val="0"/>
      <w:marTop w:val="0"/>
      <w:marBottom w:val="0"/>
      <w:divBdr>
        <w:top w:val="none" w:sz="0" w:space="0" w:color="auto"/>
        <w:left w:val="none" w:sz="0" w:space="0" w:color="auto"/>
        <w:bottom w:val="none" w:sz="0" w:space="0" w:color="auto"/>
        <w:right w:val="none" w:sz="0" w:space="0" w:color="auto"/>
      </w:divBdr>
    </w:div>
    <w:div w:id="978804945">
      <w:bodyDiv w:val="1"/>
      <w:marLeft w:val="0"/>
      <w:marRight w:val="0"/>
      <w:marTop w:val="0"/>
      <w:marBottom w:val="0"/>
      <w:divBdr>
        <w:top w:val="none" w:sz="0" w:space="0" w:color="auto"/>
        <w:left w:val="none" w:sz="0" w:space="0" w:color="auto"/>
        <w:bottom w:val="none" w:sz="0" w:space="0" w:color="auto"/>
        <w:right w:val="none" w:sz="0" w:space="0" w:color="auto"/>
      </w:divBdr>
    </w:div>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031884479">
      <w:bodyDiv w:val="1"/>
      <w:marLeft w:val="0"/>
      <w:marRight w:val="0"/>
      <w:marTop w:val="0"/>
      <w:marBottom w:val="0"/>
      <w:divBdr>
        <w:top w:val="none" w:sz="0" w:space="0" w:color="auto"/>
        <w:left w:val="none" w:sz="0" w:space="0" w:color="auto"/>
        <w:bottom w:val="none" w:sz="0" w:space="0" w:color="auto"/>
        <w:right w:val="none" w:sz="0" w:space="0" w:color="auto"/>
      </w:divBdr>
    </w:div>
    <w:div w:id="1053768221">
      <w:bodyDiv w:val="1"/>
      <w:marLeft w:val="0"/>
      <w:marRight w:val="0"/>
      <w:marTop w:val="0"/>
      <w:marBottom w:val="0"/>
      <w:divBdr>
        <w:top w:val="none" w:sz="0" w:space="0" w:color="auto"/>
        <w:left w:val="none" w:sz="0" w:space="0" w:color="auto"/>
        <w:bottom w:val="none" w:sz="0" w:space="0" w:color="auto"/>
        <w:right w:val="none" w:sz="0" w:space="0" w:color="auto"/>
      </w:divBdr>
    </w:div>
    <w:div w:id="1064647120">
      <w:bodyDiv w:val="1"/>
      <w:marLeft w:val="0"/>
      <w:marRight w:val="0"/>
      <w:marTop w:val="0"/>
      <w:marBottom w:val="0"/>
      <w:divBdr>
        <w:top w:val="none" w:sz="0" w:space="0" w:color="auto"/>
        <w:left w:val="none" w:sz="0" w:space="0" w:color="auto"/>
        <w:bottom w:val="none" w:sz="0" w:space="0" w:color="auto"/>
        <w:right w:val="none" w:sz="0" w:space="0" w:color="auto"/>
      </w:divBdr>
    </w:div>
    <w:div w:id="1214120217">
      <w:bodyDiv w:val="1"/>
      <w:marLeft w:val="0"/>
      <w:marRight w:val="0"/>
      <w:marTop w:val="0"/>
      <w:marBottom w:val="0"/>
      <w:divBdr>
        <w:top w:val="none" w:sz="0" w:space="0" w:color="auto"/>
        <w:left w:val="none" w:sz="0" w:space="0" w:color="auto"/>
        <w:bottom w:val="none" w:sz="0" w:space="0" w:color="auto"/>
        <w:right w:val="none" w:sz="0" w:space="0" w:color="auto"/>
      </w:divBdr>
    </w:div>
    <w:div w:id="1233271607">
      <w:bodyDiv w:val="1"/>
      <w:marLeft w:val="0"/>
      <w:marRight w:val="0"/>
      <w:marTop w:val="0"/>
      <w:marBottom w:val="0"/>
      <w:divBdr>
        <w:top w:val="none" w:sz="0" w:space="0" w:color="auto"/>
        <w:left w:val="none" w:sz="0" w:space="0" w:color="auto"/>
        <w:bottom w:val="none" w:sz="0" w:space="0" w:color="auto"/>
        <w:right w:val="none" w:sz="0" w:space="0" w:color="auto"/>
      </w:divBdr>
    </w:div>
    <w:div w:id="1363552817">
      <w:bodyDiv w:val="1"/>
      <w:marLeft w:val="0"/>
      <w:marRight w:val="0"/>
      <w:marTop w:val="0"/>
      <w:marBottom w:val="0"/>
      <w:divBdr>
        <w:top w:val="none" w:sz="0" w:space="0" w:color="auto"/>
        <w:left w:val="none" w:sz="0" w:space="0" w:color="auto"/>
        <w:bottom w:val="none" w:sz="0" w:space="0" w:color="auto"/>
        <w:right w:val="none" w:sz="0" w:space="0" w:color="auto"/>
      </w:divBdr>
    </w:div>
    <w:div w:id="1377319581">
      <w:bodyDiv w:val="1"/>
      <w:marLeft w:val="0"/>
      <w:marRight w:val="0"/>
      <w:marTop w:val="0"/>
      <w:marBottom w:val="0"/>
      <w:divBdr>
        <w:top w:val="none" w:sz="0" w:space="0" w:color="auto"/>
        <w:left w:val="none" w:sz="0" w:space="0" w:color="auto"/>
        <w:bottom w:val="none" w:sz="0" w:space="0" w:color="auto"/>
        <w:right w:val="none" w:sz="0" w:space="0" w:color="auto"/>
      </w:divBdr>
    </w:div>
    <w:div w:id="1421754855">
      <w:bodyDiv w:val="1"/>
      <w:marLeft w:val="0"/>
      <w:marRight w:val="0"/>
      <w:marTop w:val="0"/>
      <w:marBottom w:val="0"/>
      <w:divBdr>
        <w:top w:val="none" w:sz="0" w:space="0" w:color="auto"/>
        <w:left w:val="none" w:sz="0" w:space="0" w:color="auto"/>
        <w:bottom w:val="none" w:sz="0" w:space="0" w:color="auto"/>
        <w:right w:val="none" w:sz="0" w:space="0" w:color="auto"/>
      </w:divBdr>
    </w:div>
    <w:div w:id="1422023138">
      <w:bodyDiv w:val="1"/>
      <w:marLeft w:val="0"/>
      <w:marRight w:val="0"/>
      <w:marTop w:val="0"/>
      <w:marBottom w:val="0"/>
      <w:divBdr>
        <w:top w:val="none" w:sz="0" w:space="0" w:color="auto"/>
        <w:left w:val="none" w:sz="0" w:space="0" w:color="auto"/>
        <w:bottom w:val="none" w:sz="0" w:space="0" w:color="auto"/>
        <w:right w:val="none" w:sz="0" w:space="0" w:color="auto"/>
      </w:divBdr>
    </w:div>
    <w:div w:id="1481655217">
      <w:bodyDiv w:val="1"/>
      <w:marLeft w:val="0"/>
      <w:marRight w:val="0"/>
      <w:marTop w:val="0"/>
      <w:marBottom w:val="0"/>
      <w:divBdr>
        <w:top w:val="none" w:sz="0" w:space="0" w:color="auto"/>
        <w:left w:val="none" w:sz="0" w:space="0" w:color="auto"/>
        <w:bottom w:val="none" w:sz="0" w:space="0" w:color="auto"/>
        <w:right w:val="none" w:sz="0" w:space="0" w:color="auto"/>
      </w:divBdr>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
    <w:div w:id="1533573058">
      <w:bodyDiv w:val="1"/>
      <w:marLeft w:val="0"/>
      <w:marRight w:val="0"/>
      <w:marTop w:val="0"/>
      <w:marBottom w:val="0"/>
      <w:divBdr>
        <w:top w:val="none" w:sz="0" w:space="0" w:color="auto"/>
        <w:left w:val="none" w:sz="0" w:space="0" w:color="auto"/>
        <w:bottom w:val="none" w:sz="0" w:space="0" w:color="auto"/>
        <w:right w:val="none" w:sz="0" w:space="0" w:color="auto"/>
      </w:divBdr>
    </w:div>
    <w:div w:id="1626352963">
      <w:bodyDiv w:val="1"/>
      <w:marLeft w:val="0"/>
      <w:marRight w:val="0"/>
      <w:marTop w:val="0"/>
      <w:marBottom w:val="0"/>
      <w:divBdr>
        <w:top w:val="none" w:sz="0" w:space="0" w:color="auto"/>
        <w:left w:val="none" w:sz="0" w:space="0" w:color="auto"/>
        <w:bottom w:val="none" w:sz="0" w:space="0" w:color="auto"/>
        <w:right w:val="none" w:sz="0" w:space="0" w:color="auto"/>
      </w:divBdr>
    </w:div>
    <w:div w:id="1695496308">
      <w:bodyDiv w:val="1"/>
      <w:marLeft w:val="0"/>
      <w:marRight w:val="0"/>
      <w:marTop w:val="0"/>
      <w:marBottom w:val="0"/>
      <w:divBdr>
        <w:top w:val="none" w:sz="0" w:space="0" w:color="auto"/>
        <w:left w:val="none" w:sz="0" w:space="0" w:color="auto"/>
        <w:bottom w:val="none" w:sz="0" w:space="0" w:color="auto"/>
        <w:right w:val="none" w:sz="0" w:space="0" w:color="auto"/>
      </w:divBdr>
    </w:div>
    <w:div w:id="1698969870">
      <w:bodyDiv w:val="1"/>
      <w:marLeft w:val="0"/>
      <w:marRight w:val="0"/>
      <w:marTop w:val="0"/>
      <w:marBottom w:val="0"/>
      <w:divBdr>
        <w:top w:val="none" w:sz="0" w:space="0" w:color="auto"/>
        <w:left w:val="none" w:sz="0" w:space="0" w:color="auto"/>
        <w:bottom w:val="none" w:sz="0" w:space="0" w:color="auto"/>
        <w:right w:val="none" w:sz="0" w:space="0" w:color="auto"/>
      </w:divBdr>
    </w:div>
    <w:div w:id="1710716751">
      <w:bodyDiv w:val="1"/>
      <w:marLeft w:val="0"/>
      <w:marRight w:val="0"/>
      <w:marTop w:val="0"/>
      <w:marBottom w:val="0"/>
      <w:divBdr>
        <w:top w:val="none" w:sz="0" w:space="0" w:color="auto"/>
        <w:left w:val="none" w:sz="0" w:space="0" w:color="auto"/>
        <w:bottom w:val="none" w:sz="0" w:space="0" w:color="auto"/>
        <w:right w:val="none" w:sz="0" w:space="0" w:color="auto"/>
      </w:divBdr>
    </w:div>
    <w:div w:id="1755391254">
      <w:bodyDiv w:val="1"/>
      <w:marLeft w:val="0"/>
      <w:marRight w:val="0"/>
      <w:marTop w:val="0"/>
      <w:marBottom w:val="0"/>
      <w:divBdr>
        <w:top w:val="none" w:sz="0" w:space="0" w:color="auto"/>
        <w:left w:val="none" w:sz="0" w:space="0" w:color="auto"/>
        <w:bottom w:val="none" w:sz="0" w:space="0" w:color="auto"/>
        <w:right w:val="none" w:sz="0" w:space="0" w:color="auto"/>
      </w:divBdr>
    </w:div>
    <w:div w:id="1788085799">
      <w:bodyDiv w:val="1"/>
      <w:marLeft w:val="0"/>
      <w:marRight w:val="0"/>
      <w:marTop w:val="0"/>
      <w:marBottom w:val="0"/>
      <w:divBdr>
        <w:top w:val="none" w:sz="0" w:space="0" w:color="auto"/>
        <w:left w:val="none" w:sz="0" w:space="0" w:color="auto"/>
        <w:bottom w:val="none" w:sz="0" w:space="0" w:color="auto"/>
        <w:right w:val="none" w:sz="0" w:space="0" w:color="auto"/>
      </w:divBdr>
    </w:div>
    <w:div w:id="1792430912">
      <w:bodyDiv w:val="1"/>
      <w:marLeft w:val="0"/>
      <w:marRight w:val="0"/>
      <w:marTop w:val="0"/>
      <w:marBottom w:val="0"/>
      <w:divBdr>
        <w:top w:val="none" w:sz="0" w:space="0" w:color="auto"/>
        <w:left w:val="none" w:sz="0" w:space="0" w:color="auto"/>
        <w:bottom w:val="none" w:sz="0" w:space="0" w:color="auto"/>
        <w:right w:val="none" w:sz="0" w:space="0" w:color="auto"/>
      </w:divBdr>
    </w:div>
    <w:div w:id="1889414013">
      <w:bodyDiv w:val="1"/>
      <w:marLeft w:val="0"/>
      <w:marRight w:val="0"/>
      <w:marTop w:val="0"/>
      <w:marBottom w:val="0"/>
      <w:divBdr>
        <w:top w:val="none" w:sz="0" w:space="0" w:color="auto"/>
        <w:left w:val="none" w:sz="0" w:space="0" w:color="auto"/>
        <w:bottom w:val="none" w:sz="0" w:space="0" w:color="auto"/>
        <w:right w:val="none" w:sz="0" w:space="0" w:color="auto"/>
      </w:divBdr>
    </w:div>
    <w:div w:id="1987121528">
      <w:bodyDiv w:val="1"/>
      <w:marLeft w:val="0"/>
      <w:marRight w:val="0"/>
      <w:marTop w:val="0"/>
      <w:marBottom w:val="0"/>
      <w:divBdr>
        <w:top w:val="none" w:sz="0" w:space="0" w:color="auto"/>
        <w:left w:val="none" w:sz="0" w:space="0" w:color="auto"/>
        <w:bottom w:val="none" w:sz="0" w:space="0" w:color="auto"/>
        <w:right w:val="none" w:sz="0" w:space="0" w:color="auto"/>
      </w:divBdr>
    </w:div>
    <w:div w:id="2026324692">
      <w:bodyDiv w:val="1"/>
      <w:marLeft w:val="0"/>
      <w:marRight w:val="0"/>
      <w:marTop w:val="0"/>
      <w:marBottom w:val="0"/>
      <w:divBdr>
        <w:top w:val="none" w:sz="0" w:space="0" w:color="auto"/>
        <w:left w:val="none" w:sz="0" w:space="0" w:color="auto"/>
        <w:bottom w:val="none" w:sz="0" w:space="0" w:color="auto"/>
        <w:right w:val="none" w:sz="0" w:space="0" w:color="auto"/>
      </w:divBdr>
    </w:div>
    <w:div w:id="2098285552">
      <w:bodyDiv w:val="1"/>
      <w:marLeft w:val="0"/>
      <w:marRight w:val="0"/>
      <w:marTop w:val="0"/>
      <w:marBottom w:val="0"/>
      <w:divBdr>
        <w:top w:val="none" w:sz="0" w:space="0" w:color="auto"/>
        <w:left w:val="none" w:sz="0" w:space="0" w:color="auto"/>
        <w:bottom w:val="none" w:sz="0" w:space="0" w:color="auto"/>
        <w:right w:val="none" w:sz="0" w:space="0" w:color="auto"/>
      </w:divBdr>
    </w:div>
    <w:div w:id="21280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2025-07-07T14:00:47+00:00</DateReceived>
  </documentManagement>
</p:properties>
</file>

<file path=customXml/itemProps1.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2.xml><?xml version="1.0" encoding="utf-8"?>
<ds:datastoreItem xmlns:ds="http://schemas.openxmlformats.org/officeDocument/2006/customXml" ds:itemID="{5786B00B-1240-4E22-B9AC-A360D1304B17}"/>
</file>

<file path=customXml/itemProps3.xml><?xml version="1.0" encoding="utf-8"?>
<ds:datastoreItem xmlns:ds="http://schemas.openxmlformats.org/officeDocument/2006/customXml" ds:itemID="{F14C14C4-AE62-4278-AEE0-9FDAB892FD4A}">
  <ds:schemaRefs>
    <ds:schemaRef ds:uri="http://schemas.openxmlformats.org/officeDocument/2006/bibliography"/>
  </ds:schemaRefs>
</ds:datastoreItem>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cp:lastPrinted>2017-10-17T12:03:00Z</cp:lastPrinted>
  <dcterms:created xsi:type="dcterms:W3CDTF">2025-07-07T13:20:00Z</dcterms:created>
  <dcterms:modified xsi:type="dcterms:W3CDTF">2025-07-07T13:29:00Z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ies>
</file>