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B7AB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 </w:t>
      </w:r>
    </w:p>
    <w:p w14:paraId="49D24389" w14:textId="77777777" w:rsidR="001D59B8" w:rsidRPr="009D2939" w:rsidRDefault="001D59B8" w:rsidP="003B69C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 xml:space="preserve">CRH plc </w:t>
      </w:r>
    </w:p>
    <w:p w14:paraId="0A78F291" w14:textId="4BF9D0F6" w:rsidR="001D59B8" w:rsidRPr="009D2939" w:rsidRDefault="001D59B8" w:rsidP="003B69C7">
      <w:pPr>
        <w:spacing w:after="0" w:line="240" w:lineRule="auto"/>
        <w:ind w:left="-142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(the "Company</w:t>
      </w:r>
      <w:r w:rsidRPr="00BF0A8D">
        <w:rPr>
          <w:rFonts w:eastAsia="Times New Roman" w:cstheme="minorHAnsi"/>
          <w:b/>
          <w:bCs/>
          <w:sz w:val="20"/>
          <w:szCs w:val="20"/>
          <w:lang w:eastAsia="en-IE"/>
        </w:rPr>
        <w:t>"</w:t>
      </w: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)</w:t>
      </w:r>
    </w:p>
    <w:p w14:paraId="5CFE572D" w14:textId="77777777" w:rsidR="001D59B8" w:rsidRPr="009D2939" w:rsidRDefault="001D59B8" w:rsidP="003B69C7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</w:t>
      </w:r>
    </w:p>
    <w:p w14:paraId="24634386" w14:textId="48D233F5" w:rsidR="001D59B8" w:rsidRPr="009D2939" w:rsidRDefault="00293792" w:rsidP="003B69C7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b/>
          <w:bCs/>
          <w:sz w:val="20"/>
          <w:szCs w:val="20"/>
          <w:lang w:eastAsia="en-IE"/>
        </w:rPr>
        <w:t>11</w:t>
      </w:r>
      <w:r w:rsidR="004525BD">
        <w:rPr>
          <w:rFonts w:eastAsia="Times New Roman" w:cstheme="minorHAnsi"/>
          <w:b/>
          <w:bCs/>
          <w:sz w:val="20"/>
          <w:szCs w:val="20"/>
          <w:lang w:eastAsia="en-IE"/>
        </w:rPr>
        <w:t xml:space="preserve"> </w:t>
      </w:r>
      <w:r w:rsidR="00904E55">
        <w:rPr>
          <w:rFonts w:eastAsia="Times New Roman" w:cstheme="minorHAnsi"/>
          <w:b/>
          <w:bCs/>
          <w:sz w:val="20"/>
          <w:szCs w:val="20"/>
          <w:lang w:eastAsia="en-IE"/>
        </w:rPr>
        <w:t>July</w:t>
      </w:r>
      <w:r w:rsidR="001D59B8"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202</w:t>
      </w:r>
      <w:r w:rsidR="004525BD">
        <w:rPr>
          <w:rFonts w:eastAsia="Times New Roman" w:cstheme="minorHAnsi"/>
          <w:b/>
          <w:bCs/>
          <w:sz w:val="20"/>
          <w:szCs w:val="20"/>
          <w:lang w:eastAsia="en-IE"/>
        </w:rPr>
        <w:t>3</w:t>
      </w:r>
    </w:p>
    <w:p w14:paraId="44383473" w14:textId="77777777" w:rsidR="0056452A" w:rsidRDefault="0056452A" w:rsidP="003B69C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</w:p>
    <w:p w14:paraId="61E0CF53" w14:textId="16EC8C68" w:rsidR="001D59B8" w:rsidRPr="009D2939" w:rsidRDefault="001D59B8" w:rsidP="003B69C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</w:t>
      </w:r>
      <w:r w:rsidR="00904E55">
        <w:rPr>
          <w:rFonts w:eastAsia="Times New Roman" w:cstheme="minorHAnsi"/>
          <w:b/>
          <w:bCs/>
          <w:sz w:val="20"/>
          <w:szCs w:val="20"/>
          <w:lang w:eastAsia="en-IE"/>
        </w:rPr>
        <w:t>APPROVAL OF THE SCHEME OF ARRANGEMENT BY THE IRISH HIGH COURT</w:t>
      </w:r>
      <w:r w:rsidR="00BF0A8D">
        <w:rPr>
          <w:rFonts w:eastAsia="Times New Roman" w:cstheme="minorHAnsi"/>
          <w:b/>
          <w:bCs/>
          <w:sz w:val="20"/>
          <w:szCs w:val="20"/>
          <w:lang w:eastAsia="en-IE"/>
        </w:rPr>
        <w:t xml:space="preserve"> </w:t>
      </w:r>
    </w:p>
    <w:p w14:paraId="087E920D" w14:textId="55DF67CD" w:rsidR="001D59B8" w:rsidRDefault="001D59B8" w:rsidP="003B69C7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</w:t>
      </w:r>
    </w:p>
    <w:p w14:paraId="463586DD" w14:textId="77777777" w:rsidR="008000BE" w:rsidRDefault="008000BE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</w:p>
    <w:p w14:paraId="136E80FF" w14:textId="15EC6C55" w:rsidR="00565FB9" w:rsidRDefault="00DE4F89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  <w:r>
        <w:rPr>
          <w:rStyle w:val="ad"/>
          <w:rFonts w:asciiTheme="minorHAnsi" w:hAnsiTheme="minorHAnsi" w:cstheme="minorHAnsi"/>
          <w:b w:val="0"/>
          <w:bCs w:val="0"/>
        </w:rPr>
        <w:t xml:space="preserve">At the Irish High Court hearing held earlier today, </w:t>
      </w:r>
      <w:r w:rsidR="00293792">
        <w:rPr>
          <w:rStyle w:val="ad"/>
          <w:rFonts w:asciiTheme="minorHAnsi" w:hAnsiTheme="minorHAnsi" w:cstheme="minorHAnsi"/>
          <w:b w:val="0"/>
          <w:bCs w:val="0"/>
        </w:rPr>
        <w:t>11</w:t>
      </w:r>
      <w:r>
        <w:rPr>
          <w:rStyle w:val="ad"/>
          <w:rFonts w:asciiTheme="minorHAnsi" w:hAnsiTheme="minorHAnsi" w:cstheme="minorHAnsi"/>
          <w:b w:val="0"/>
          <w:bCs w:val="0"/>
        </w:rPr>
        <w:t xml:space="preserve"> July 2023, the </w:t>
      </w:r>
      <w:r w:rsidR="008000BE">
        <w:rPr>
          <w:rStyle w:val="ad"/>
          <w:rFonts w:asciiTheme="minorHAnsi" w:hAnsiTheme="minorHAnsi" w:cstheme="minorHAnsi"/>
          <w:b w:val="0"/>
          <w:bCs w:val="0"/>
        </w:rPr>
        <w:t xml:space="preserve">Irish High Court approved the 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 xml:space="preserve">scheme of arrangement to effect the migration of the settlement system applicable to the Company’s ordinary shares from Euroclear Bank to the Depositary Trust </w:t>
      </w:r>
      <w:r w:rsidR="00BF0A8D" w:rsidRPr="00F55B9F">
        <w:rPr>
          <w:rStyle w:val="ad"/>
          <w:rFonts w:asciiTheme="minorHAnsi" w:hAnsiTheme="minorHAnsi" w:cstheme="minorHAnsi"/>
          <w:b w:val="0"/>
          <w:bCs w:val="0"/>
        </w:rPr>
        <w:t xml:space="preserve">Company 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>(the “Scheme”)</w:t>
      </w:r>
      <w:r w:rsidR="008A3585">
        <w:rPr>
          <w:rStyle w:val="ad"/>
          <w:rFonts w:asciiTheme="minorHAnsi" w:hAnsiTheme="minorHAnsi" w:cstheme="minorHAnsi"/>
          <w:b w:val="0"/>
          <w:bCs w:val="0"/>
        </w:rPr>
        <w:t xml:space="preserve"> in </w:t>
      </w:r>
      <w:r w:rsidR="008A3585" w:rsidRPr="00D52AA0">
        <w:rPr>
          <w:rStyle w:val="ad"/>
          <w:rFonts w:asciiTheme="minorHAnsi" w:hAnsiTheme="minorHAnsi" w:cstheme="minorHAnsi"/>
          <w:b w:val="0"/>
          <w:bCs w:val="0"/>
        </w:rPr>
        <w:t>connection with the proposal to transfer the Company’s primary listing to the New York Stock Exchange</w:t>
      </w:r>
      <w:r w:rsidR="008A3585">
        <w:rPr>
          <w:rStyle w:val="ad"/>
          <w:rFonts w:asciiTheme="minorHAnsi" w:hAnsiTheme="minorHAnsi" w:cstheme="minorHAnsi"/>
          <w:b w:val="0"/>
          <w:bCs w:val="0"/>
        </w:rPr>
        <w:t xml:space="preserve"> </w:t>
      </w:r>
      <w:r w:rsidR="008A3585" w:rsidRPr="00D52AA0">
        <w:rPr>
          <w:rStyle w:val="ad"/>
          <w:rFonts w:asciiTheme="minorHAnsi" w:hAnsiTheme="minorHAnsi" w:cstheme="minorHAnsi"/>
          <w:b w:val="0"/>
          <w:bCs w:val="0"/>
        </w:rPr>
        <w:t>and the transfer of the Company’s listing category of ordinary shares on the London Stock Exchange from a premium listing to a standard listing</w:t>
      </w:r>
      <w:r w:rsidR="00A517CB" w:rsidRPr="00A517CB">
        <w:rPr>
          <w:rStyle w:val="ad"/>
          <w:rFonts w:asciiTheme="minorHAnsi" w:hAnsiTheme="minorHAnsi" w:cstheme="minorHAnsi"/>
          <w:b w:val="0"/>
          <w:bCs w:val="0"/>
        </w:rPr>
        <w:t>.</w:t>
      </w:r>
    </w:p>
    <w:p w14:paraId="502A605C" w14:textId="77777777" w:rsidR="00AC1C1D" w:rsidRDefault="00AC1C1D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</w:p>
    <w:p w14:paraId="62830136" w14:textId="49701244" w:rsidR="00565FB9" w:rsidRDefault="00D95962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  <w:r>
        <w:rPr>
          <w:rStyle w:val="ad"/>
          <w:rFonts w:asciiTheme="minorHAnsi" w:hAnsiTheme="minorHAnsi" w:cstheme="minorHAnsi"/>
          <w:b w:val="0"/>
          <w:bCs w:val="0"/>
        </w:rPr>
        <w:t>T</w:t>
      </w:r>
      <w:r w:rsidR="00BC3BEC">
        <w:rPr>
          <w:rStyle w:val="ad"/>
          <w:rFonts w:asciiTheme="minorHAnsi" w:hAnsiTheme="minorHAnsi" w:cstheme="minorHAnsi"/>
          <w:b w:val="0"/>
          <w:bCs w:val="0"/>
        </w:rPr>
        <w:t>he</w:t>
      </w:r>
      <w:r w:rsidR="0043138B" w:rsidRPr="0043138B">
        <w:rPr>
          <w:rStyle w:val="ad"/>
          <w:rFonts w:asciiTheme="minorHAnsi" w:hAnsiTheme="minorHAnsi" w:cstheme="minorHAnsi"/>
          <w:b w:val="0"/>
          <w:bCs w:val="0"/>
        </w:rPr>
        <w:t xml:space="preserve"> Scheme will become effective on 25 September 2023</w:t>
      </w:r>
      <w:r w:rsidR="00BC3BEC">
        <w:rPr>
          <w:rStyle w:val="ad"/>
          <w:rFonts w:asciiTheme="minorHAnsi" w:hAnsiTheme="minorHAnsi" w:cstheme="minorHAnsi"/>
          <w:b w:val="0"/>
          <w:bCs w:val="0"/>
        </w:rPr>
        <w:t>,</w:t>
      </w:r>
      <w:r w:rsidR="0043138B" w:rsidRPr="0043138B">
        <w:rPr>
          <w:rStyle w:val="ad"/>
          <w:rFonts w:asciiTheme="minorHAnsi" w:hAnsiTheme="minorHAnsi" w:cstheme="minorHAnsi"/>
          <w:b w:val="0"/>
          <w:bCs w:val="0"/>
        </w:rPr>
        <w:t xml:space="preserve"> with the migration of the settlement system pursuant to the Scheme expected to take effect on the same date</w:t>
      </w:r>
      <w:r w:rsidR="00904E55">
        <w:rPr>
          <w:rStyle w:val="ad"/>
          <w:rFonts w:asciiTheme="minorHAnsi" w:hAnsiTheme="minorHAnsi" w:cstheme="minorHAnsi"/>
          <w:b w:val="0"/>
          <w:bCs w:val="0"/>
        </w:rPr>
        <w:t>.</w:t>
      </w:r>
    </w:p>
    <w:p w14:paraId="7FA73610" w14:textId="77777777" w:rsidR="00B43088" w:rsidRDefault="00B43088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</w:p>
    <w:p w14:paraId="6D5C94D7" w14:textId="2E3F97AD" w:rsidR="001F75D5" w:rsidRDefault="001F75D5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  <w:r>
        <w:rPr>
          <w:rStyle w:val="ad"/>
          <w:rFonts w:asciiTheme="minorHAnsi" w:hAnsiTheme="minorHAnsi" w:cstheme="minorHAnsi"/>
          <w:b w:val="0"/>
          <w:bCs w:val="0"/>
        </w:rPr>
        <w:t xml:space="preserve">Further details </w:t>
      </w:r>
      <w:r w:rsidR="00470721">
        <w:rPr>
          <w:rStyle w:val="ad"/>
          <w:rFonts w:asciiTheme="minorHAnsi" w:hAnsiTheme="minorHAnsi" w:cstheme="minorHAnsi"/>
          <w:b w:val="0"/>
          <w:bCs w:val="0"/>
        </w:rPr>
        <w:t xml:space="preserve">of the Scheme and the expected timetable of principal events for the implementation of the Scheme are set out in the </w:t>
      </w:r>
      <w:r w:rsidR="002072FE">
        <w:rPr>
          <w:rStyle w:val="ad"/>
          <w:rFonts w:asciiTheme="minorHAnsi" w:hAnsiTheme="minorHAnsi" w:cstheme="minorHAnsi"/>
          <w:b w:val="0"/>
          <w:bCs w:val="0"/>
        </w:rPr>
        <w:t xml:space="preserve">circular published on 9 </w:t>
      </w:r>
      <w:r w:rsidR="00CB7951">
        <w:rPr>
          <w:rStyle w:val="ad"/>
          <w:rFonts w:asciiTheme="minorHAnsi" w:hAnsiTheme="minorHAnsi" w:cstheme="minorHAnsi"/>
          <w:b w:val="0"/>
          <w:bCs w:val="0"/>
        </w:rPr>
        <w:t>May</w:t>
      </w:r>
      <w:r w:rsidR="002072FE">
        <w:rPr>
          <w:rStyle w:val="ad"/>
          <w:rFonts w:asciiTheme="minorHAnsi" w:hAnsiTheme="minorHAnsi" w:cstheme="minorHAnsi"/>
          <w:b w:val="0"/>
          <w:bCs w:val="0"/>
        </w:rPr>
        <w:t xml:space="preserve"> 2023.</w:t>
      </w:r>
    </w:p>
    <w:p w14:paraId="33594E5F" w14:textId="609B9A83" w:rsidR="001D59B8" w:rsidRPr="009D2939" w:rsidRDefault="001D59B8" w:rsidP="003B69C7">
      <w:pPr>
        <w:spacing w:after="0" w:line="240" w:lineRule="auto"/>
        <w:jc w:val="both"/>
        <w:rPr>
          <w:rStyle w:val="Hyperlink"/>
          <w:rFonts w:cstheme="minorHAnsi"/>
          <w:sz w:val="20"/>
          <w:szCs w:val="20"/>
        </w:rPr>
      </w:pPr>
    </w:p>
    <w:p w14:paraId="5560DA9B" w14:textId="284FE610" w:rsidR="00574677" w:rsidRPr="009D2939" w:rsidRDefault="001D59B8" w:rsidP="003B69C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 </w:t>
      </w:r>
    </w:p>
    <w:p w14:paraId="34ADE186" w14:textId="49D4E754" w:rsidR="001D59B8" w:rsidRPr="009D2939" w:rsidRDefault="001D59B8" w:rsidP="00D32638">
      <w:pPr>
        <w:tabs>
          <w:tab w:val="left" w:pos="741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Enquiries</w:t>
      </w:r>
      <w:r w:rsidR="00D32638">
        <w:rPr>
          <w:rFonts w:eastAsia="Times New Roman" w:cstheme="minorHAnsi"/>
          <w:sz w:val="20"/>
          <w:szCs w:val="20"/>
          <w:lang w:eastAsia="en-IE"/>
        </w:rPr>
        <w:tab/>
      </w:r>
    </w:p>
    <w:p w14:paraId="752A722F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 </w:t>
      </w:r>
    </w:p>
    <w:p w14:paraId="786B5C79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Contact</w:t>
      </w:r>
    </w:p>
    <w:p w14:paraId="49C78145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Neil Colgan</w:t>
      </w:r>
    </w:p>
    <w:p w14:paraId="05B722E4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Company Secretary</w:t>
      </w:r>
    </w:p>
    <w:p w14:paraId="36EE2C78" w14:textId="65C07C5D" w:rsidR="00B5527B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Tel: 00 3531 6344340</w:t>
      </w:r>
    </w:p>
    <w:p w14:paraId="246FFA0B" w14:textId="76D82DF1" w:rsidR="00B43088" w:rsidRPr="00B43088" w:rsidRDefault="00B4308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</w:p>
    <w:p w14:paraId="2B19E64E" w14:textId="77777777" w:rsidR="00B43088" w:rsidRDefault="00B43088" w:rsidP="00B43088">
      <w:pPr>
        <w:pStyle w:val="SQMParagraph"/>
        <w:rPr>
          <w:rFonts w:asciiTheme="minorHAnsi" w:hAnsiTheme="minorHAnsi" w:cstheme="minorHAnsi"/>
          <w:b/>
          <w:sz w:val="16"/>
          <w:szCs w:val="16"/>
        </w:rPr>
      </w:pPr>
    </w:p>
    <w:p w14:paraId="22A10171" w14:textId="77777777" w:rsidR="00B43088" w:rsidRDefault="00B43088" w:rsidP="00B43088">
      <w:pPr>
        <w:pStyle w:val="SQMParagraph"/>
        <w:rPr>
          <w:rFonts w:asciiTheme="minorHAnsi" w:hAnsiTheme="minorHAnsi" w:cstheme="minorHAnsi"/>
          <w:b/>
          <w:sz w:val="16"/>
          <w:szCs w:val="16"/>
        </w:rPr>
      </w:pPr>
    </w:p>
    <w:p w14:paraId="2C05C274" w14:textId="77777777" w:rsidR="00B43088" w:rsidRDefault="00B43088" w:rsidP="00B43088">
      <w:pPr>
        <w:pStyle w:val="SQMParagraph"/>
        <w:rPr>
          <w:rFonts w:asciiTheme="minorHAnsi" w:hAnsiTheme="minorHAnsi" w:cstheme="minorHAnsi"/>
          <w:b/>
          <w:sz w:val="16"/>
          <w:szCs w:val="16"/>
        </w:rPr>
      </w:pPr>
    </w:p>
    <w:p w14:paraId="7D2E5834" w14:textId="77777777" w:rsidR="00B43088" w:rsidRDefault="00B43088" w:rsidP="00B43088">
      <w:pPr>
        <w:pStyle w:val="SQMParagraph"/>
        <w:rPr>
          <w:rFonts w:asciiTheme="minorHAnsi" w:hAnsiTheme="minorHAnsi" w:cstheme="minorHAnsi"/>
          <w:b/>
          <w:sz w:val="16"/>
          <w:szCs w:val="16"/>
        </w:rPr>
      </w:pPr>
    </w:p>
    <w:p w14:paraId="2D46E20F" w14:textId="77777777" w:rsidR="00B43088" w:rsidRDefault="00B43088" w:rsidP="00B43088">
      <w:pPr>
        <w:pStyle w:val="SQMParagraph"/>
        <w:rPr>
          <w:rFonts w:asciiTheme="minorHAnsi" w:hAnsiTheme="minorHAnsi" w:cstheme="minorHAnsi"/>
          <w:b/>
          <w:sz w:val="16"/>
          <w:szCs w:val="16"/>
        </w:rPr>
      </w:pPr>
    </w:p>
    <w:p w14:paraId="287021BC" w14:textId="77777777" w:rsidR="00B43088" w:rsidRDefault="00B43088" w:rsidP="00B43088">
      <w:pPr>
        <w:pStyle w:val="SQMParagraph"/>
        <w:rPr>
          <w:rFonts w:asciiTheme="minorHAnsi" w:hAnsiTheme="minorHAnsi" w:cstheme="minorHAnsi"/>
          <w:b/>
          <w:sz w:val="16"/>
          <w:szCs w:val="16"/>
        </w:rPr>
      </w:pPr>
    </w:p>
    <w:p w14:paraId="355B7D60" w14:textId="77777777" w:rsidR="00B43088" w:rsidRDefault="00B43088" w:rsidP="00B43088">
      <w:pPr>
        <w:pStyle w:val="SQMParagraph"/>
        <w:rPr>
          <w:rFonts w:asciiTheme="minorHAnsi" w:hAnsiTheme="minorHAnsi" w:cstheme="minorHAnsi"/>
          <w:b/>
          <w:sz w:val="16"/>
          <w:szCs w:val="16"/>
        </w:rPr>
      </w:pPr>
    </w:p>
    <w:p w14:paraId="7B99D266" w14:textId="08D959DB" w:rsidR="00B43088" w:rsidRPr="00B43088" w:rsidRDefault="00B43088" w:rsidP="00B43088">
      <w:pPr>
        <w:pStyle w:val="SQMParagraph"/>
        <w:rPr>
          <w:rFonts w:asciiTheme="minorHAnsi" w:hAnsiTheme="minorHAnsi" w:cstheme="minorHAnsi"/>
        </w:rPr>
      </w:pPr>
      <w:r w:rsidRPr="00B43088">
        <w:rPr>
          <w:rFonts w:asciiTheme="minorHAnsi" w:hAnsiTheme="minorHAnsi" w:cstheme="minorHAnsi"/>
          <w:b/>
          <w:sz w:val="16"/>
          <w:szCs w:val="16"/>
        </w:rPr>
        <w:t xml:space="preserve">Note: </w:t>
      </w:r>
      <w:r w:rsidRPr="00B43088">
        <w:rPr>
          <w:rFonts w:asciiTheme="minorHAnsi" w:hAnsiTheme="minorHAnsi" w:cstheme="minorHAnsi"/>
          <w:sz w:val="16"/>
          <w:szCs w:val="16"/>
        </w:rPr>
        <w:t>These dates are given on the basis of the Board’s current expectations and are subject to change. If any of the above times and/or dates change, the revised times and/or dates will be notified to Shareholders by announcement through a Regulatory Information Service of the London Stock Exchange.</w:t>
      </w:r>
    </w:p>
    <w:p w14:paraId="5E676E5C" w14:textId="77777777" w:rsidR="00B43088" w:rsidRPr="009D2939" w:rsidRDefault="00B43088" w:rsidP="003B69C7">
      <w:pPr>
        <w:spacing w:after="0" w:line="240" w:lineRule="auto"/>
        <w:rPr>
          <w:rFonts w:cstheme="minorHAnsi"/>
          <w:sz w:val="20"/>
          <w:szCs w:val="20"/>
        </w:rPr>
      </w:pPr>
    </w:p>
    <w:sectPr w:rsidR="00B43088" w:rsidRPr="009D293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E9F4" w14:textId="77777777" w:rsidR="00DC344E" w:rsidRDefault="00DC344E" w:rsidP="001D59B8">
      <w:pPr>
        <w:spacing w:after="0" w:line="240" w:lineRule="auto"/>
      </w:pPr>
      <w:r>
        <w:separator/>
      </w:r>
    </w:p>
  </w:endnote>
  <w:endnote w:type="continuationSeparator" w:id="0">
    <w:p w14:paraId="4C91B369" w14:textId="77777777" w:rsidR="00DC344E" w:rsidRDefault="00DC344E" w:rsidP="001D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14F2" w14:textId="77777777" w:rsidR="00DC344E" w:rsidRDefault="00DC344E" w:rsidP="001D59B8">
      <w:pPr>
        <w:spacing w:after="0" w:line="240" w:lineRule="auto"/>
      </w:pPr>
      <w:r>
        <w:separator/>
      </w:r>
    </w:p>
  </w:footnote>
  <w:footnote w:type="continuationSeparator" w:id="0">
    <w:p w14:paraId="7293921E" w14:textId="77777777" w:rsidR="00DC344E" w:rsidRDefault="00DC344E" w:rsidP="001D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6402" w14:textId="2DD15C22" w:rsidR="00CB7951" w:rsidRDefault="00CB7951" w:rsidP="008C02DE">
    <w:pPr>
      <w:pStyle w:val="Header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B8"/>
    <w:rsid w:val="00014235"/>
    <w:rsid w:val="00025B4E"/>
    <w:rsid w:val="00040307"/>
    <w:rsid w:val="00065B1A"/>
    <w:rsid w:val="000939B0"/>
    <w:rsid w:val="000C4F14"/>
    <w:rsid w:val="000F48A0"/>
    <w:rsid w:val="00101D8C"/>
    <w:rsid w:val="00120F9D"/>
    <w:rsid w:val="001344C8"/>
    <w:rsid w:val="00146C98"/>
    <w:rsid w:val="00160567"/>
    <w:rsid w:val="0017029E"/>
    <w:rsid w:val="0018102B"/>
    <w:rsid w:val="001821DC"/>
    <w:rsid w:val="001A71BD"/>
    <w:rsid w:val="001C4EEE"/>
    <w:rsid w:val="001D59B8"/>
    <w:rsid w:val="001F67C0"/>
    <w:rsid w:val="001F75D5"/>
    <w:rsid w:val="002072FE"/>
    <w:rsid w:val="00211776"/>
    <w:rsid w:val="002143E8"/>
    <w:rsid w:val="0021597E"/>
    <w:rsid w:val="0023352D"/>
    <w:rsid w:val="00250AC3"/>
    <w:rsid w:val="0027510F"/>
    <w:rsid w:val="00293792"/>
    <w:rsid w:val="002A687C"/>
    <w:rsid w:val="002B3456"/>
    <w:rsid w:val="002E40E4"/>
    <w:rsid w:val="00307C71"/>
    <w:rsid w:val="0032137C"/>
    <w:rsid w:val="00323922"/>
    <w:rsid w:val="0038736E"/>
    <w:rsid w:val="003A2934"/>
    <w:rsid w:val="003B69C7"/>
    <w:rsid w:val="003C0F9A"/>
    <w:rsid w:val="003D7C7F"/>
    <w:rsid w:val="00410605"/>
    <w:rsid w:val="00413677"/>
    <w:rsid w:val="0043138B"/>
    <w:rsid w:val="00437DE7"/>
    <w:rsid w:val="004525BD"/>
    <w:rsid w:val="0046788B"/>
    <w:rsid w:val="00470721"/>
    <w:rsid w:val="004A5269"/>
    <w:rsid w:val="004B76A1"/>
    <w:rsid w:val="004D600B"/>
    <w:rsid w:val="00517AFD"/>
    <w:rsid w:val="00531C9B"/>
    <w:rsid w:val="00554179"/>
    <w:rsid w:val="0056452A"/>
    <w:rsid w:val="00565FB9"/>
    <w:rsid w:val="00574677"/>
    <w:rsid w:val="005C600D"/>
    <w:rsid w:val="005E4A10"/>
    <w:rsid w:val="0066462A"/>
    <w:rsid w:val="006A550B"/>
    <w:rsid w:val="006C6D61"/>
    <w:rsid w:val="006D778F"/>
    <w:rsid w:val="00701E28"/>
    <w:rsid w:val="00704741"/>
    <w:rsid w:val="0071441D"/>
    <w:rsid w:val="00731237"/>
    <w:rsid w:val="00766712"/>
    <w:rsid w:val="00770CA4"/>
    <w:rsid w:val="00794140"/>
    <w:rsid w:val="007E07A9"/>
    <w:rsid w:val="007E6347"/>
    <w:rsid w:val="008000BE"/>
    <w:rsid w:val="00814EF5"/>
    <w:rsid w:val="008217D2"/>
    <w:rsid w:val="0083599A"/>
    <w:rsid w:val="008406A2"/>
    <w:rsid w:val="0084639B"/>
    <w:rsid w:val="00867AC9"/>
    <w:rsid w:val="008A3585"/>
    <w:rsid w:val="008C02DE"/>
    <w:rsid w:val="008C2921"/>
    <w:rsid w:val="008D06E8"/>
    <w:rsid w:val="00904E55"/>
    <w:rsid w:val="00926F46"/>
    <w:rsid w:val="0093481C"/>
    <w:rsid w:val="00935D47"/>
    <w:rsid w:val="00942BAB"/>
    <w:rsid w:val="00982E95"/>
    <w:rsid w:val="009914A6"/>
    <w:rsid w:val="009970BC"/>
    <w:rsid w:val="009B17C9"/>
    <w:rsid w:val="009B35C1"/>
    <w:rsid w:val="009C02E4"/>
    <w:rsid w:val="009C75D0"/>
    <w:rsid w:val="009D2939"/>
    <w:rsid w:val="009F2D40"/>
    <w:rsid w:val="00A241F6"/>
    <w:rsid w:val="00A24C58"/>
    <w:rsid w:val="00A32845"/>
    <w:rsid w:val="00A37BEA"/>
    <w:rsid w:val="00A517CB"/>
    <w:rsid w:val="00A52B31"/>
    <w:rsid w:val="00A80A46"/>
    <w:rsid w:val="00AA416B"/>
    <w:rsid w:val="00AC1C1D"/>
    <w:rsid w:val="00AD1F5D"/>
    <w:rsid w:val="00AD3E02"/>
    <w:rsid w:val="00B43088"/>
    <w:rsid w:val="00B45DFC"/>
    <w:rsid w:val="00B5527B"/>
    <w:rsid w:val="00B66B32"/>
    <w:rsid w:val="00B92CBA"/>
    <w:rsid w:val="00BA46FF"/>
    <w:rsid w:val="00BC111D"/>
    <w:rsid w:val="00BC3BEC"/>
    <w:rsid w:val="00BE02D2"/>
    <w:rsid w:val="00BF0A8D"/>
    <w:rsid w:val="00C00999"/>
    <w:rsid w:val="00C074E9"/>
    <w:rsid w:val="00C10573"/>
    <w:rsid w:val="00C33338"/>
    <w:rsid w:val="00C45138"/>
    <w:rsid w:val="00C5000F"/>
    <w:rsid w:val="00CA7684"/>
    <w:rsid w:val="00CB7951"/>
    <w:rsid w:val="00CF7CB2"/>
    <w:rsid w:val="00D03951"/>
    <w:rsid w:val="00D10068"/>
    <w:rsid w:val="00D20144"/>
    <w:rsid w:val="00D32638"/>
    <w:rsid w:val="00D33360"/>
    <w:rsid w:val="00D5132D"/>
    <w:rsid w:val="00D52AA0"/>
    <w:rsid w:val="00D71325"/>
    <w:rsid w:val="00D86DD1"/>
    <w:rsid w:val="00D95962"/>
    <w:rsid w:val="00DC344E"/>
    <w:rsid w:val="00DE4F89"/>
    <w:rsid w:val="00E27145"/>
    <w:rsid w:val="00E272F9"/>
    <w:rsid w:val="00E34404"/>
    <w:rsid w:val="00E44D0D"/>
    <w:rsid w:val="00E51A0C"/>
    <w:rsid w:val="00E773BC"/>
    <w:rsid w:val="00E82B31"/>
    <w:rsid w:val="00EE00CA"/>
    <w:rsid w:val="00EF35BE"/>
    <w:rsid w:val="00F06F81"/>
    <w:rsid w:val="00F35397"/>
    <w:rsid w:val="00F55B9F"/>
    <w:rsid w:val="00F767BD"/>
    <w:rsid w:val="00F82179"/>
    <w:rsid w:val="00F90E71"/>
    <w:rsid w:val="00FB7894"/>
    <w:rsid w:val="00FC3A96"/>
    <w:rsid w:val="00FD3B79"/>
    <w:rsid w:val="00FE3DFF"/>
    <w:rsid w:val="00FE6B54"/>
    <w:rsid w:val="00FE7271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7BF4"/>
  <w15:chartTrackingRefBased/>
  <w15:docId w15:val="{8BF20B3A-9305-4C3D-B974-DEE15D33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517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9B8"/>
    <w:rPr>
      <w:color w:val="0000FF"/>
      <w:u w:val="single"/>
    </w:rPr>
  </w:style>
  <w:style w:type="paragraph" w:customStyle="1" w:styleId="aj">
    <w:name w:val="aj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k">
    <w:name w:val="ak"/>
    <w:basedOn w:val="DefaultParagraphFont"/>
    <w:rsid w:val="001D59B8"/>
  </w:style>
  <w:style w:type="paragraph" w:customStyle="1" w:styleId="h">
    <w:name w:val="h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i">
    <w:name w:val="i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l">
    <w:name w:val="al"/>
    <w:basedOn w:val="DefaultParagraphFont"/>
    <w:rsid w:val="001D59B8"/>
  </w:style>
  <w:style w:type="paragraph" w:customStyle="1" w:styleId="g">
    <w:name w:val="g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j">
    <w:name w:val="j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m">
    <w:name w:val="am"/>
    <w:basedOn w:val="DefaultParagraphFont"/>
    <w:rsid w:val="001D59B8"/>
  </w:style>
  <w:style w:type="paragraph" w:customStyle="1" w:styleId="k">
    <w:name w:val="k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e">
    <w:name w:val="ae"/>
    <w:basedOn w:val="DefaultParagraphFont"/>
    <w:rsid w:val="001D59B8"/>
  </w:style>
  <w:style w:type="paragraph" w:customStyle="1" w:styleId="l">
    <w:name w:val="l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d">
    <w:name w:val="ad"/>
    <w:basedOn w:val="DefaultParagraphFont"/>
    <w:rsid w:val="001D59B8"/>
  </w:style>
  <w:style w:type="character" w:customStyle="1" w:styleId="an">
    <w:name w:val="an"/>
    <w:basedOn w:val="DefaultParagraphFont"/>
    <w:rsid w:val="001D59B8"/>
  </w:style>
  <w:style w:type="character" w:customStyle="1" w:styleId="ao">
    <w:name w:val="ao"/>
    <w:basedOn w:val="DefaultParagraphFont"/>
    <w:rsid w:val="001D59B8"/>
  </w:style>
  <w:style w:type="character" w:customStyle="1" w:styleId="s">
    <w:name w:val="s"/>
    <w:basedOn w:val="DefaultParagraphFont"/>
    <w:rsid w:val="001D59B8"/>
  </w:style>
  <w:style w:type="paragraph" w:customStyle="1" w:styleId="m">
    <w:name w:val="m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">
    <w:name w:val="ap"/>
    <w:basedOn w:val="DefaultParagraphFont"/>
    <w:rsid w:val="001D59B8"/>
  </w:style>
  <w:style w:type="paragraph" w:customStyle="1" w:styleId="a">
    <w:name w:val="a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termslinkcontainer">
    <w:name w:val="termslinkcontainer"/>
    <w:basedOn w:val="DefaultParagraphFont"/>
    <w:rsid w:val="001D59B8"/>
  </w:style>
  <w:style w:type="character" w:customStyle="1" w:styleId="cookielinkcontainer">
    <w:name w:val="cookielinkcontainer"/>
    <w:basedOn w:val="DefaultParagraphFont"/>
    <w:rsid w:val="001D59B8"/>
  </w:style>
  <w:style w:type="paragraph" w:styleId="Header">
    <w:name w:val="header"/>
    <w:basedOn w:val="Normal"/>
    <w:link w:val="HeaderChar"/>
    <w:uiPriority w:val="99"/>
    <w:unhideWhenUsed/>
    <w:rsid w:val="001D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B8"/>
  </w:style>
  <w:style w:type="paragraph" w:styleId="Footer">
    <w:name w:val="footer"/>
    <w:basedOn w:val="Normal"/>
    <w:link w:val="FooterChar"/>
    <w:uiPriority w:val="99"/>
    <w:unhideWhenUsed/>
    <w:rsid w:val="001D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F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7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1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3E02"/>
    <w:rPr>
      <w:color w:val="605E5C"/>
      <w:shd w:val="clear" w:color="auto" w:fill="E1DFDD"/>
    </w:rPr>
  </w:style>
  <w:style w:type="character" w:customStyle="1" w:styleId="aa">
    <w:name w:val="aa"/>
    <w:basedOn w:val="DefaultParagraphFont"/>
    <w:rsid w:val="002B3456"/>
  </w:style>
  <w:style w:type="character" w:customStyle="1" w:styleId="au">
    <w:name w:val="au"/>
    <w:basedOn w:val="DefaultParagraphFont"/>
    <w:rsid w:val="002B3456"/>
    <w:rPr>
      <w:sz w:val="20"/>
      <w:szCs w:val="20"/>
    </w:rPr>
  </w:style>
  <w:style w:type="paragraph" w:customStyle="1" w:styleId="bm">
    <w:name w:val="bm"/>
    <w:basedOn w:val="Normal"/>
    <w:rsid w:val="00F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h">
    <w:name w:val="bh"/>
    <w:basedOn w:val="DefaultParagraphFont"/>
    <w:rsid w:val="00FB7894"/>
  </w:style>
  <w:style w:type="paragraph" w:customStyle="1" w:styleId="bo">
    <w:name w:val="bo"/>
    <w:basedOn w:val="Normal"/>
    <w:rsid w:val="00F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5Char">
    <w:name w:val="Heading 5 Char"/>
    <w:basedOn w:val="DefaultParagraphFont"/>
    <w:link w:val="Heading5"/>
    <w:uiPriority w:val="9"/>
    <w:rsid w:val="00A517C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table" w:styleId="TableGrid">
    <w:name w:val="Table Grid"/>
    <w:basedOn w:val="TableNormal"/>
    <w:uiPriority w:val="39"/>
    <w:rsid w:val="0084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6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2A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2AA0"/>
    <w:pPr>
      <w:spacing w:after="0" w:line="240" w:lineRule="auto"/>
    </w:pPr>
  </w:style>
  <w:style w:type="paragraph" w:customStyle="1" w:styleId="SQMParagraph">
    <w:name w:val="SQM Paragraph"/>
    <w:uiPriority w:val="10"/>
    <w:rsid w:val="00B43088"/>
    <w:pPr>
      <w:spacing w:after="113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2344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42">
              <w:marLeft w:val="1440"/>
              <w:marRight w:val="144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2023-07-11T12:10:32+00:00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4D8AEA3-A5A3-4EE1-A8E9-EE0A5BD93429}"/>
</file>

<file path=customXml/itemProps2.xml><?xml version="1.0" encoding="utf-8"?>
<ds:datastoreItem xmlns:ds="http://schemas.openxmlformats.org/officeDocument/2006/customXml" ds:itemID="{489F90EF-9E49-41D8-B970-CB1915513DBE}"/>
</file>

<file path=customXml/itemProps3.xml><?xml version="1.0" encoding="utf-8"?>
<ds:datastoreItem xmlns:ds="http://schemas.openxmlformats.org/officeDocument/2006/customXml" ds:itemID="{175BBB86-30D7-4D29-8010-348919D90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Enright, Diarmuid</dc:creator>
  <cp:keywords/>
  <dc:description/>
  <cp:lastModifiedBy>Price, Daniel</cp:lastModifiedBy>
  <cp:revision>10</cp:revision>
  <dcterms:created xsi:type="dcterms:W3CDTF">2023-06-26T15:55:00Z</dcterms:created>
  <dcterms:modified xsi:type="dcterms:W3CDTF">2023-07-05T10:47:00Z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AC#46671172.5</vt:lpwstr>
  </property>
  <property fmtid="{D5CDD505-2E9C-101B-9397-08002B2CF9AE}" pid="3" name="ACDocType">
    <vt:lpwstr>DOCUMENT</vt:lpwstr>
  </property>
  <property fmtid="{D5CDD505-2E9C-101B-9397-08002B2CF9AE}" pid="4" name="ACMatter">
    <vt:lpwstr>40755/362/</vt:lpwstr>
  </property>
  <property fmtid="{D5CDD505-2E9C-101B-9397-08002B2CF9AE}" pid="5" name="ContentTypeId">
    <vt:lpwstr>0x010100BE156B1CF39149A8843C57AB06C49AFE0011B886BEF4CCD94F85F46E94360FD412</vt:lpwstr>
  </property>
</Properties>
</file>