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2271" w14:textId="122E087E" w:rsidR="000E6587" w:rsidRPr="008E6264" w:rsidRDefault="008E6264" w:rsidP="008E6264">
      <w:pPr>
        <w:spacing w:after="0" w:line="240" w:lineRule="auto"/>
        <w:jc w:val="center"/>
        <w:rPr>
          <w:b/>
          <w:bCs/>
        </w:rPr>
      </w:pPr>
      <w:r w:rsidRPr="008E6264">
        <w:rPr>
          <w:b/>
          <w:bCs/>
        </w:rPr>
        <w:t>CRH plc</w:t>
      </w:r>
      <w:r>
        <w:rPr>
          <w:b/>
          <w:bCs/>
        </w:rPr>
        <w:t xml:space="preserve"> (the “Company”)</w:t>
      </w:r>
    </w:p>
    <w:p w14:paraId="00839210" w14:textId="42C75647" w:rsidR="008E6264" w:rsidRDefault="008E6264" w:rsidP="008E6264">
      <w:pPr>
        <w:spacing w:after="0" w:line="240" w:lineRule="auto"/>
        <w:jc w:val="center"/>
        <w:rPr>
          <w:b/>
          <w:bCs/>
        </w:rPr>
      </w:pPr>
      <w:r w:rsidRPr="008E6264">
        <w:rPr>
          <w:b/>
          <w:bCs/>
        </w:rPr>
        <w:t>2025 Annual General Meeting – 8</w:t>
      </w:r>
      <w:r w:rsidRPr="008E6264">
        <w:rPr>
          <w:b/>
          <w:bCs/>
          <w:vertAlign w:val="superscript"/>
        </w:rPr>
        <w:t>th</w:t>
      </w:r>
      <w:r w:rsidRPr="008E6264">
        <w:rPr>
          <w:b/>
          <w:bCs/>
        </w:rPr>
        <w:t xml:space="preserve"> May 2025</w:t>
      </w:r>
    </w:p>
    <w:p w14:paraId="554F282E" w14:textId="77777777" w:rsidR="008E6264" w:rsidRPr="008E6264" w:rsidRDefault="008E6264" w:rsidP="008E6264">
      <w:pPr>
        <w:spacing w:after="0" w:line="240" w:lineRule="auto"/>
        <w:jc w:val="center"/>
        <w:rPr>
          <w:b/>
          <w:bCs/>
        </w:rPr>
      </w:pPr>
    </w:p>
    <w:p w14:paraId="318706AD" w14:textId="0927F24E" w:rsidR="008E6264" w:rsidRDefault="008E6264" w:rsidP="008E6264">
      <w:pPr>
        <w:spacing w:after="0" w:line="240" w:lineRule="auto"/>
      </w:pPr>
      <w:r>
        <w:t xml:space="preserve">At the Annual </w:t>
      </w:r>
      <w:r w:rsidR="00F45F90">
        <w:t>G</w:t>
      </w:r>
      <w:r>
        <w:t>eneral Meeting of the Company held on 8</w:t>
      </w:r>
      <w:r w:rsidRPr="008E6264">
        <w:rPr>
          <w:vertAlign w:val="superscript"/>
        </w:rPr>
        <w:t>th</w:t>
      </w:r>
      <w:r>
        <w:t xml:space="preserve"> May 2025 the following items of Special Business were approved by shareholders:</w:t>
      </w:r>
    </w:p>
    <w:p w14:paraId="14241CEF" w14:textId="77777777" w:rsidR="008E6264" w:rsidRDefault="008E6264" w:rsidP="008E6264">
      <w:pPr>
        <w:spacing w:after="0" w:line="240" w:lineRule="auto"/>
      </w:pPr>
    </w:p>
    <w:p w14:paraId="3E9311EA" w14:textId="20F12DD1" w:rsidR="008E6264" w:rsidRPr="008E6264" w:rsidRDefault="008E6264" w:rsidP="008E6264">
      <w:pPr>
        <w:spacing w:after="0" w:line="240" w:lineRule="auto"/>
        <w:rPr>
          <w:b/>
          <w:bCs/>
          <w:u w:val="single"/>
        </w:rPr>
      </w:pPr>
      <w:r w:rsidRPr="008E6264">
        <w:rPr>
          <w:b/>
          <w:bCs/>
          <w:u w:val="single"/>
        </w:rPr>
        <w:t>Proposal 2</w:t>
      </w:r>
    </w:p>
    <w:p w14:paraId="032AF30C" w14:textId="77777777" w:rsidR="008E6264" w:rsidRDefault="008E6264" w:rsidP="008E6264">
      <w:pPr>
        <w:spacing w:after="0" w:line="240" w:lineRule="auto"/>
      </w:pPr>
    </w:p>
    <w:p w14:paraId="175C1B0C" w14:textId="73EF75D1" w:rsidR="008E6264" w:rsidRDefault="008E6264" w:rsidP="008E6264">
      <w:pPr>
        <w:spacing w:after="0" w:line="240" w:lineRule="auto"/>
      </w:pPr>
      <w:r w:rsidRPr="008E6264">
        <w:t>“That, on an advisory basis, the compensation of the Company’s Named Executive Officers as disclosed in the Notice of Meeting and Proxy Statement for the 2025 AGM on pages 49 to 79 under the heading “Compensation Discussion &amp; Analysis” is approved.”</w:t>
      </w:r>
    </w:p>
    <w:p w14:paraId="0ED18F11" w14:textId="77777777" w:rsidR="008E6264" w:rsidRDefault="008E6264" w:rsidP="008E6264">
      <w:pPr>
        <w:spacing w:after="0" w:line="240" w:lineRule="auto"/>
      </w:pPr>
    </w:p>
    <w:p w14:paraId="3C483AAA" w14:textId="5250F51E" w:rsidR="008E6264" w:rsidRPr="008E6264" w:rsidRDefault="008E6264" w:rsidP="008E6264">
      <w:pPr>
        <w:spacing w:after="0" w:line="240" w:lineRule="auto"/>
        <w:rPr>
          <w:b/>
          <w:bCs/>
          <w:u w:val="single"/>
        </w:rPr>
      </w:pPr>
      <w:r w:rsidRPr="008E6264">
        <w:rPr>
          <w:b/>
          <w:bCs/>
          <w:u w:val="single"/>
        </w:rPr>
        <w:t>Proposal 3</w:t>
      </w:r>
    </w:p>
    <w:p w14:paraId="3852F2AA" w14:textId="77777777" w:rsidR="008E6264" w:rsidRDefault="008E6264" w:rsidP="008E6264">
      <w:pPr>
        <w:spacing w:after="0" w:line="240" w:lineRule="auto"/>
      </w:pPr>
    </w:p>
    <w:p w14:paraId="2B6B50EC" w14:textId="450243B8" w:rsidR="008E6264" w:rsidRDefault="008E6264" w:rsidP="008E6264">
      <w:pPr>
        <w:spacing w:after="0" w:line="240" w:lineRule="auto"/>
      </w:pPr>
      <w:r w:rsidRPr="008E6264">
        <w:t>“That, on an advisory basis, the proposal that future shareholder votes on the compensation of the Company’s Named Executive Officers be held annually is approved.”</w:t>
      </w:r>
    </w:p>
    <w:p w14:paraId="526647DD" w14:textId="77777777" w:rsidR="008E6264" w:rsidRDefault="008E6264" w:rsidP="008E6264">
      <w:pPr>
        <w:spacing w:after="0" w:line="240" w:lineRule="auto"/>
      </w:pPr>
    </w:p>
    <w:p w14:paraId="7BBAC662" w14:textId="07F2C46C" w:rsidR="008E6264" w:rsidRPr="008E6264" w:rsidRDefault="008E6264" w:rsidP="008E6264">
      <w:pPr>
        <w:spacing w:after="0" w:line="240" w:lineRule="auto"/>
        <w:rPr>
          <w:b/>
          <w:bCs/>
          <w:u w:val="single"/>
        </w:rPr>
      </w:pPr>
      <w:r w:rsidRPr="008E6264">
        <w:rPr>
          <w:b/>
          <w:bCs/>
          <w:u w:val="single"/>
        </w:rPr>
        <w:t>Proposal 4</w:t>
      </w:r>
    </w:p>
    <w:p w14:paraId="74B57C70" w14:textId="77777777" w:rsidR="008E6264" w:rsidRDefault="008E6264" w:rsidP="008E6264">
      <w:pPr>
        <w:spacing w:after="0" w:line="240" w:lineRule="auto"/>
      </w:pPr>
    </w:p>
    <w:p w14:paraId="035944FA" w14:textId="5C87506F" w:rsidR="008E6264" w:rsidRDefault="008E6264" w:rsidP="008E6264">
      <w:pPr>
        <w:spacing w:after="0" w:line="240" w:lineRule="auto"/>
      </w:pPr>
      <w:r w:rsidRPr="008E6264">
        <w:t xml:space="preserve"> “That the CRH plc Equity Incentive Plan as disclosed in the Notice of General Meeting and Proxy Statement for the 2025 AGM under Annex B is approved.”</w:t>
      </w:r>
    </w:p>
    <w:p w14:paraId="2AFF64D9" w14:textId="77777777" w:rsidR="008E6264" w:rsidRDefault="008E6264" w:rsidP="008E6264">
      <w:pPr>
        <w:spacing w:after="0" w:line="240" w:lineRule="auto"/>
      </w:pPr>
    </w:p>
    <w:p w14:paraId="20F24D8A" w14:textId="68286C69" w:rsidR="008E6264" w:rsidRPr="00721782" w:rsidRDefault="008E6264" w:rsidP="008E6264">
      <w:pPr>
        <w:spacing w:after="0" w:line="240" w:lineRule="auto"/>
        <w:rPr>
          <w:b/>
          <w:bCs/>
          <w:u w:val="single"/>
        </w:rPr>
      </w:pPr>
      <w:r w:rsidRPr="00721782">
        <w:rPr>
          <w:b/>
          <w:bCs/>
          <w:u w:val="single"/>
        </w:rPr>
        <w:t>Proposal 10</w:t>
      </w:r>
    </w:p>
    <w:p w14:paraId="6A23A48A" w14:textId="77777777" w:rsidR="008E6264" w:rsidRDefault="008E6264" w:rsidP="008E6264">
      <w:pPr>
        <w:spacing w:after="0" w:line="240" w:lineRule="auto"/>
      </w:pPr>
    </w:p>
    <w:p w14:paraId="731AE9E2" w14:textId="00578A9C" w:rsidR="008E6264" w:rsidRDefault="008E6264" w:rsidP="008E6264">
      <w:pPr>
        <w:spacing w:after="0" w:line="240" w:lineRule="auto"/>
      </w:pPr>
      <w:r w:rsidRPr="008E6264">
        <w:t>“As a special resolution, that the Articles of Association be and are hereby amended in the manner provided in Annex C of the Notice of Meeting and Proxy Statement for the 2025 AGM.”</w:t>
      </w:r>
    </w:p>
    <w:p w14:paraId="5DB19836" w14:textId="77777777" w:rsidR="008E6264" w:rsidRDefault="008E6264" w:rsidP="008E6264">
      <w:pPr>
        <w:spacing w:after="0" w:line="240" w:lineRule="auto"/>
      </w:pPr>
    </w:p>
    <w:p w14:paraId="24059538" w14:textId="76823960" w:rsidR="008E6264" w:rsidRPr="00721782" w:rsidRDefault="008E6264" w:rsidP="008E6264">
      <w:pPr>
        <w:spacing w:after="0" w:line="240" w:lineRule="auto"/>
        <w:rPr>
          <w:b/>
          <w:bCs/>
          <w:u w:val="single"/>
        </w:rPr>
      </w:pPr>
      <w:r w:rsidRPr="00721782">
        <w:rPr>
          <w:b/>
          <w:bCs/>
          <w:u w:val="single"/>
        </w:rPr>
        <w:t>Proposal 11(a)</w:t>
      </w:r>
    </w:p>
    <w:p w14:paraId="38AFEF8D" w14:textId="77777777" w:rsidR="008E6264" w:rsidRDefault="008E6264" w:rsidP="008E6264">
      <w:pPr>
        <w:spacing w:after="0" w:line="240" w:lineRule="auto"/>
      </w:pPr>
    </w:p>
    <w:p w14:paraId="394D4154" w14:textId="4C53847C" w:rsidR="008E6264" w:rsidRDefault="00721782" w:rsidP="008E6264">
      <w:pPr>
        <w:spacing w:after="0" w:line="240" w:lineRule="auto"/>
      </w:pPr>
      <w:r w:rsidRPr="00721782">
        <w:t>“As a special resolution, that, subject to the approval of Proposal 11(b), the Articles of Association be and are hereby amended in the manner provided in Annex D of the Notice of Meeting and Proxy Statement for the 2025 AGM.”</w:t>
      </w:r>
    </w:p>
    <w:p w14:paraId="4627FD95" w14:textId="77777777" w:rsidR="00721782" w:rsidRDefault="00721782" w:rsidP="008E6264">
      <w:pPr>
        <w:spacing w:after="0" w:line="240" w:lineRule="auto"/>
      </w:pPr>
    </w:p>
    <w:p w14:paraId="0C29AD0A" w14:textId="452CD7CC" w:rsidR="00721782" w:rsidRPr="00721782" w:rsidRDefault="00721782" w:rsidP="008E6264">
      <w:pPr>
        <w:spacing w:after="0" w:line="240" w:lineRule="auto"/>
        <w:rPr>
          <w:b/>
          <w:bCs/>
          <w:u w:val="single"/>
        </w:rPr>
      </w:pPr>
      <w:r w:rsidRPr="00721782">
        <w:rPr>
          <w:b/>
          <w:bCs/>
          <w:u w:val="single"/>
        </w:rPr>
        <w:t>Proposal 11(b)</w:t>
      </w:r>
    </w:p>
    <w:p w14:paraId="3F39306A" w14:textId="77777777" w:rsidR="00721782" w:rsidRDefault="00721782" w:rsidP="008E6264">
      <w:pPr>
        <w:spacing w:after="0" w:line="240" w:lineRule="auto"/>
      </w:pPr>
    </w:p>
    <w:p w14:paraId="66DA0C35" w14:textId="32D063BF" w:rsidR="00721782" w:rsidRDefault="00721782" w:rsidP="008E6264">
      <w:pPr>
        <w:spacing w:after="0" w:line="240" w:lineRule="auto"/>
      </w:pPr>
      <w:r w:rsidRPr="00721782">
        <w:t>“As a special resolution, that, subject to the approval of Proposal 11(a), the Articles of Association be and are hereby amended in the manner provided in Annex E of the Notice of Meeting and Proxy Statement for the 2025 AGM.”</w:t>
      </w:r>
    </w:p>
    <w:p w14:paraId="15C3FA4E" w14:textId="77777777" w:rsidR="00721782" w:rsidRDefault="00721782" w:rsidP="008E6264">
      <w:pPr>
        <w:spacing w:after="0" w:line="240" w:lineRule="auto"/>
      </w:pPr>
    </w:p>
    <w:p w14:paraId="607E4376" w14:textId="13C6104A" w:rsidR="00721782" w:rsidRPr="00721782" w:rsidRDefault="00721782" w:rsidP="008E6264">
      <w:pPr>
        <w:spacing w:after="0" w:line="240" w:lineRule="auto"/>
        <w:rPr>
          <w:b/>
          <w:bCs/>
          <w:u w:val="single"/>
        </w:rPr>
      </w:pPr>
      <w:r w:rsidRPr="00721782">
        <w:rPr>
          <w:b/>
          <w:bCs/>
          <w:u w:val="single"/>
        </w:rPr>
        <w:t>Proposal 12</w:t>
      </w:r>
    </w:p>
    <w:p w14:paraId="2BA3065F" w14:textId="77777777" w:rsidR="00721782" w:rsidRDefault="00721782" w:rsidP="008E6264">
      <w:pPr>
        <w:spacing w:after="0" w:line="240" w:lineRule="auto"/>
      </w:pPr>
    </w:p>
    <w:p w14:paraId="0E3369F2" w14:textId="3A3A66F1" w:rsidR="00721782" w:rsidRDefault="00721782" w:rsidP="008E6264">
      <w:pPr>
        <w:spacing w:after="0" w:line="240" w:lineRule="auto"/>
      </w:pPr>
      <w:r w:rsidRPr="00721782">
        <w:t>“As a special resolution, that the Articles of Association be and are hereby amended as provided in Annex F of the Notice of Meeting and Proxy Statement for the 2025 AGM and in the manner described under the sub-heading titled “Administrative Updates” on page 38 of the Notice of Meeting and Proxy Statement for the 2025 AGM.”</w:t>
      </w:r>
    </w:p>
    <w:sectPr w:rsidR="00721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64"/>
    <w:rsid w:val="000E6587"/>
    <w:rsid w:val="003070BF"/>
    <w:rsid w:val="006F60E4"/>
    <w:rsid w:val="00721782"/>
    <w:rsid w:val="008764F5"/>
    <w:rsid w:val="008E5433"/>
    <w:rsid w:val="008E6264"/>
    <w:rsid w:val="00982CB3"/>
    <w:rsid w:val="00B84A49"/>
    <w:rsid w:val="00CC7F1E"/>
    <w:rsid w:val="00F45F90"/>
    <w:rsid w:val="00F62A75"/>
    <w:rsid w:val="00F922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A21DD"/>
  <w15:chartTrackingRefBased/>
  <w15:docId w15:val="{9A1E06A4-F9BA-47CF-9C3F-F9B48798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2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2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2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2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2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2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2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64"/>
    <w:rPr>
      <w:rFonts w:eastAsiaTheme="majorEastAsia" w:cstheme="majorBidi"/>
      <w:color w:val="272727" w:themeColor="text1" w:themeTint="D8"/>
    </w:rPr>
  </w:style>
  <w:style w:type="paragraph" w:styleId="Title">
    <w:name w:val="Title"/>
    <w:basedOn w:val="Normal"/>
    <w:next w:val="Normal"/>
    <w:link w:val="TitleChar"/>
    <w:uiPriority w:val="10"/>
    <w:qFormat/>
    <w:rsid w:val="008E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6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64"/>
    <w:rPr>
      <w:i/>
      <w:iCs/>
      <w:color w:val="404040" w:themeColor="text1" w:themeTint="BF"/>
    </w:rPr>
  </w:style>
  <w:style w:type="paragraph" w:styleId="ListParagraph">
    <w:name w:val="List Paragraph"/>
    <w:basedOn w:val="Normal"/>
    <w:uiPriority w:val="34"/>
    <w:qFormat/>
    <w:rsid w:val="008E6264"/>
    <w:pPr>
      <w:ind w:left="720"/>
      <w:contextualSpacing/>
    </w:pPr>
  </w:style>
  <w:style w:type="character" w:styleId="IntenseEmphasis">
    <w:name w:val="Intense Emphasis"/>
    <w:basedOn w:val="DefaultParagraphFont"/>
    <w:uiPriority w:val="21"/>
    <w:qFormat/>
    <w:rsid w:val="008E6264"/>
    <w:rPr>
      <w:i/>
      <w:iCs/>
      <w:color w:val="2F5496" w:themeColor="accent1" w:themeShade="BF"/>
    </w:rPr>
  </w:style>
  <w:style w:type="paragraph" w:styleId="IntenseQuote">
    <w:name w:val="Intense Quote"/>
    <w:basedOn w:val="Normal"/>
    <w:next w:val="Normal"/>
    <w:link w:val="IntenseQuoteChar"/>
    <w:uiPriority w:val="30"/>
    <w:qFormat/>
    <w:rsid w:val="008E6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264"/>
    <w:rPr>
      <w:i/>
      <w:iCs/>
      <w:color w:val="2F5496" w:themeColor="accent1" w:themeShade="BF"/>
    </w:rPr>
  </w:style>
  <w:style w:type="character" w:styleId="IntenseReference">
    <w:name w:val="Intense Reference"/>
    <w:basedOn w:val="DefaultParagraphFont"/>
    <w:uiPriority w:val="32"/>
    <w:qFormat/>
    <w:rsid w:val="008E6264"/>
    <w:rPr>
      <w:b/>
      <w:bCs/>
      <w:smallCaps/>
      <w:color w:val="2F5496" w:themeColor="accent1" w:themeShade="BF"/>
      <w:spacing w:val="5"/>
    </w:rPr>
  </w:style>
  <w:style w:type="paragraph" w:styleId="Revision">
    <w:name w:val="Revision"/>
    <w:hidden/>
    <w:uiPriority w:val="99"/>
    <w:semiHidden/>
    <w:rsid w:val="00F45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am Document" ma:contentTypeID="0x010100FB1B327D2987B64198AC735AD3AAF04F00B17B5A6E8EDBE94F84C81B425858C3AC" ma:contentTypeVersion="18" ma:contentTypeDescription="" ma:contentTypeScope="" ma:versionID="120256f523a6914ba3df130a854b0c5f">
  <xsd:schema xmlns:xsd="http://www.w3.org/2001/XMLSchema" xmlns:xs="http://www.w3.org/2001/XMLSchema" xmlns:p="http://schemas.microsoft.com/office/2006/metadata/properties" xmlns:ns2="9478a2f9-3855-41bc-9e46-72b35019f8c4" xmlns:ns3="9548d79b-1627-4f49-9f89-ab3efdc8ab6b" targetNamespace="http://schemas.microsoft.com/office/2006/metadata/properties" ma:root="true" ma:fieldsID="8259d31e0c60efa0c8104e8581b8d4fd" ns2:_="" ns3:_="">
    <xsd:import namespace="9478a2f9-3855-41bc-9e46-72b35019f8c4"/>
    <xsd:import namespace="9548d79b-1627-4f49-9f89-ab3efdc8ab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8a2f9-3855-41bc-9e46-72b35019f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862f0c-d964-4a1e-b73c-1ea1c71740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48d79b-1627-4f49-9f89-ab3efdc8ab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48ea49c-fd97-4513-92f2-edc85e4b9f97}" ma:internalName="TaxCatchAll" ma:showField="CatchAllData" ma:web="9548d79b-1627-4f49-9f89-ab3efdc8a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48d79b-1627-4f49-9f89-ab3efdc8ab6b" xsi:nil="true"/>
    <lcf76f155ced4ddcb4097134ff3c332f xmlns="9478a2f9-3855-41bc-9e46-72b35019f8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5E05E5-8C62-421D-A655-8BC0DC1166D1}">
  <ds:schemaRefs>
    <ds:schemaRef ds:uri="http://schemas.microsoft.com/sharepoint/v3/contenttype/forms"/>
  </ds:schemaRefs>
</ds:datastoreItem>
</file>

<file path=customXml/itemProps2.xml><?xml version="1.0" encoding="utf-8"?>
<ds:datastoreItem xmlns:ds="http://schemas.openxmlformats.org/officeDocument/2006/customXml" ds:itemID="{D600861D-70C4-4BD5-B8B9-F941D3676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8a2f9-3855-41bc-9e46-72b35019f8c4"/>
    <ds:schemaRef ds:uri="9548d79b-1627-4f49-9f89-ab3efdc8a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14ED5-EBDA-42C1-8F66-E60BE4F01A87}">
  <ds:schemaRefs>
    <ds:schemaRef ds:uri="http://schemas.microsoft.com/office/2006/metadata/properties"/>
    <ds:schemaRef ds:uri="http://schemas.microsoft.com/office/infopath/2007/PartnerControls"/>
    <ds:schemaRef ds:uri="9548d79b-1627-4f49-9f89-ab3efdc8ab6b"/>
    <ds:schemaRef ds:uri="9478a2f9-3855-41bc-9e46-72b35019f8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Enright, Diarmuid</dc:creator>
  <cp:keywords/>
  <dc:description/>
  <cp:lastModifiedBy>Enright, Diarmuid</cp:lastModifiedBy>
  <cp:revision>3</cp:revision>
  <dcterms:created xsi:type="dcterms:W3CDTF">2025-05-07T16:28:00Z</dcterms:created>
  <dcterms:modified xsi:type="dcterms:W3CDTF">2025-05-08T14:59:00Z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0x010100FB1B327D2987B64198AC735AD3AAF04F00B17B5A6E8EDBE94F84C81B425858C3AC</vt:lpwstr>
  </property>
</Properties>
</file>