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26" w:rsidRPr="00BF08D3" w:rsidRDefault="00CF4EDF" w:rsidP="00197D62">
      <w:pPr>
        <w:pStyle w:val="NoSpacing"/>
        <w:spacing w:before="0"/>
      </w:pPr>
      <w:r>
        <w:t xml:space="preserve">Good </w:t>
      </w:r>
      <w:r w:rsidR="00851946">
        <w:t xml:space="preserve">Third quarter performance </w:t>
      </w:r>
    </w:p>
    <w:p w:rsidR="001B3726" w:rsidRPr="00B338CF" w:rsidRDefault="00BF08D3" w:rsidP="001B0C29">
      <w:pPr>
        <w:pStyle w:val="Heading2"/>
      </w:pPr>
      <w:r>
        <w:t>Profit after taxes USD 85.8 million, as compared to USD 65.3 million in the preceding year</w:t>
      </w:r>
    </w:p>
    <w:p w:rsidR="001B3726" w:rsidRPr="00B338CF" w:rsidRDefault="001B3726" w:rsidP="001B0C29">
      <w:pPr>
        <w:pStyle w:val="Heading2"/>
      </w:pPr>
      <w:r>
        <w:t xml:space="preserve">EBITDA at USD 123.9 million, as compared to USD 102.2 million in the preceding year </w:t>
      </w:r>
    </w:p>
    <w:p w:rsidR="006B67FE" w:rsidRPr="00B338CF" w:rsidRDefault="006B67FE" w:rsidP="001B0C29">
      <w:pPr>
        <w:pStyle w:val="Heading2"/>
      </w:pPr>
      <w:r>
        <w:t>Total revenue increased by 13%</w:t>
      </w:r>
    </w:p>
    <w:p w:rsidR="001B3726" w:rsidRPr="00B338CF" w:rsidRDefault="00AD72C8" w:rsidP="001B0C29">
      <w:pPr>
        <w:pStyle w:val="Heading2"/>
      </w:pPr>
      <w:r>
        <w:t>Equity ratio 46% at the end of September</w:t>
      </w:r>
    </w:p>
    <w:p w:rsidR="001B3726" w:rsidRPr="00B338CF" w:rsidRDefault="001B3726" w:rsidP="001B0C29">
      <w:pPr>
        <w:pStyle w:val="Heading2"/>
      </w:pPr>
      <w:r>
        <w:t>Net cash provided by operating activities USD 5.8 million, as compared to USD 30.3 million in the preceding year</w:t>
      </w:r>
    </w:p>
    <w:p w:rsidR="002D0575" w:rsidRPr="000F0B3A" w:rsidRDefault="002D0575">
      <w:pPr>
        <w:spacing w:after="200"/>
        <w:rPr>
          <w:highlight w:val="yellow"/>
        </w:rPr>
      </w:pPr>
    </w:p>
    <w:tbl>
      <w:tblPr>
        <w:tblW w:w="9740" w:type="dxa"/>
        <w:tblInd w:w="55" w:type="dxa"/>
        <w:tblCellMar>
          <w:left w:w="70" w:type="dxa"/>
          <w:right w:w="70" w:type="dxa"/>
        </w:tblCellMar>
        <w:tblLook w:val="04A0" w:firstRow="1" w:lastRow="0" w:firstColumn="1" w:lastColumn="0" w:noHBand="0" w:noVBand="1"/>
      </w:tblPr>
      <w:tblGrid>
        <w:gridCol w:w="3280"/>
        <w:gridCol w:w="780"/>
        <w:gridCol w:w="780"/>
        <w:gridCol w:w="780"/>
        <w:gridCol w:w="780"/>
        <w:gridCol w:w="220"/>
        <w:gridCol w:w="780"/>
        <w:gridCol w:w="780"/>
        <w:gridCol w:w="780"/>
        <w:gridCol w:w="780"/>
      </w:tblGrid>
      <w:tr w:rsidR="00072236" w:rsidRPr="006958F2" w:rsidTr="00072236">
        <w:trPr>
          <w:trHeight w:val="225"/>
        </w:trPr>
        <w:tc>
          <w:tcPr>
            <w:tcW w:w="3280" w:type="dxa"/>
            <w:tcBorders>
              <w:top w:val="nil"/>
              <w:left w:val="nil"/>
              <w:bottom w:val="single" w:sz="4" w:space="0" w:color="808080"/>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USD thousands</w:t>
            </w:r>
          </w:p>
        </w:tc>
        <w:tc>
          <w:tcPr>
            <w:tcW w:w="780" w:type="dxa"/>
            <w:tcBorders>
              <w:top w:val="nil"/>
              <w:left w:val="nil"/>
              <w:bottom w:val="single" w:sz="4" w:space="0" w:color="808080"/>
              <w:right w:val="nil"/>
            </w:tcBorders>
            <w:shd w:val="clear" w:color="000000" w:fill="EBECEC"/>
            <w:vAlign w:val="bottom"/>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2014</w:t>
            </w:r>
          </w:p>
        </w:tc>
        <w:tc>
          <w:tcPr>
            <w:tcW w:w="780" w:type="dxa"/>
            <w:tcBorders>
              <w:top w:val="nil"/>
              <w:left w:val="nil"/>
              <w:bottom w:val="single" w:sz="4" w:space="0" w:color="808080"/>
              <w:right w:val="nil"/>
            </w:tcBorders>
            <w:shd w:val="clear" w:color="auto" w:fill="auto"/>
            <w:vAlign w:val="bottom"/>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w:t>
            </w:r>
            <w:r w:rsidRPr="006958F2">
              <w:rPr>
                <w:rFonts w:eastAsia="Times New Roman" w:cs="Arial"/>
                <w:b/>
                <w:bCs/>
                <w:color w:val="595959"/>
                <w:sz w:val="16"/>
                <w:szCs w:val="16"/>
                <w:lang w:eastAsia="is-IS"/>
              </w:rPr>
              <w:br/>
              <w:t>2013</w:t>
            </w:r>
          </w:p>
        </w:tc>
        <w:tc>
          <w:tcPr>
            <w:tcW w:w="780" w:type="dxa"/>
            <w:tcBorders>
              <w:top w:val="nil"/>
              <w:left w:val="nil"/>
              <w:bottom w:val="single" w:sz="4" w:space="0" w:color="808080"/>
              <w:right w:val="nil"/>
            </w:tcBorders>
            <w:shd w:val="clear" w:color="auto" w:fill="auto"/>
            <w:vAlign w:val="bottom"/>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Chg.</w:t>
            </w:r>
          </w:p>
        </w:tc>
        <w:tc>
          <w:tcPr>
            <w:tcW w:w="780" w:type="dxa"/>
            <w:tcBorders>
              <w:top w:val="nil"/>
              <w:left w:val="nil"/>
              <w:bottom w:val="single" w:sz="4" w:space="0" w:color="808080"/>
              <w:right w:val="nil"/>
            </w:tcBorders>
            <w:shd w:val="clear" w:color="auto" w:fill="auto"/>
            <w:vAlign w:val="bottom"/>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Chg.</w:t>
            </w:r>
          </w:p>
        </w:tc>
        <w:tc>
          <w:tcPr>
            <w:tcW w:w="220" w:type="dxa"/>
            <w:tcBorders>
              <w:top w:val="nil"/>
              <w:left w:val="nil"/>
              <w:bottom w:val="single" w:sz="4" w:space="0" w:color="808080"/>
              <w:right w:val="nil"/>
            </w:tcBorders>
            <w:shd w:val="clear" w:color="auto" w:fill="auto"/>
            <w:vAlign w:val="bottom"/>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single" w:sz="4" w:space="0" w:color="808080"/>
              <w:right w:val="nil"/>
            </w:tcBorders>
            <w:shd w:val="clear" w:color="000000" w:fill="EBECEC"/>
            <w:vAlign w:val="bottom"/>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9M</w:t>
            </w:r>
            <w:r w:rsidRPr="006958F2">
              <w:rPr>
                <w:rFonts w:eastAsia="Times New Roman" w:cs="Arial"/>
                <w:b/>
                <w:bCs/>
                <w:color w:val="595959"/>
                <w:sz w:val="16"/>
                <w:szCs w:val="16"/>
                <w:lang w:eastAsia="is-IS"/>
              </w:rPr>
              <w:br/>
              <w:t>2014</w:t>
            </w:r>
          </w:p>
        </w:tc>
        <w:tc>
          <w:tcPr>
            <w:tcW w:w="780" w:type="dxa"/>
            <w:tcBorders>
              <w:top w:val="nil"/>
              <w:left w:val="nil"/>
              <w:bottom w:val="single" w:sz="4" w:space="0" w:color="808080"/>
              <w:right w:val="nil"/>
            </w:tcBorders>
            <w:shd w:val="clear" w:color="auto" w:fill="auto"/>
            <w:vAlign w:val="bottom"/>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9M</w:t>
            </w:r>
            <w:r w:rsidRPr="006958F2">
              <w:rPr>
                <w:rFonts w:eastAsia="Times New Roman" w:cs="Arial"/>
                <w:b/>
                <w:bCs/>
                <w:color w:val="595959"/>
                <w:sz w:val="16"/>
                <w:szCs w:val="16"/>
                <w:lang w:eastAsia="is-IS"/>
              </w:rPr>
              <w:br/>
              <w:t>2013</w:t>
            </w:r>
          </w:p>
        </w:tc>
        <w:tc>
          <w:tcPr>
            <w:tcW w:w="780" w:type="dxa"/>
            <w:tcBorders>
              <w:top w:val="nil"/>
              <w:left w:val="nil"/>
              <w:bottom w:val="single" w:sz="4" w:space="0" w:color="808080"/>
              <w:right w:val="nil"/>
            </w:tcBorders>
            <w:shd w:val="clear" w:color="auto" w:fill="auto"/>
            <w:vAlign w:val="bottom"/>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Chg.</w:t>
            </w:r>
          </w:p>
        </w:tc>
        <w:tc>
          <w:tcPr>
            <w:tcW w:w="780" w:type="dxa"/>
            <w:tcBorders>
              <w:top w:val="nil"/>
              <w:left w:val="nil"/>
              <w:bottom w:val="single" w:sz="4" w:space="0" w:color="808080"/>
              <w:right w:val="nil"/>
            </w:tcBorders>
            <w:shd w:val="clear" w:color="auto" w:fill="auto"/>
            <w:vAlign w:val="bottom"/>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Chg.</w:t>
            </w:r>
          </w:p>
        </w:tc>
      </w:tr>
      <w:tr w:rsidR="00072236" w:rsidRPr="006958F2" w:rsidTr="00072236">
        <w:trPr>
          <w:trHeight w:val="225"/>
        </w:trPr>
        <w:tc>
          <w:tcPr>
            <w:tcW w:w="32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22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r>
      <w:tr w:rsidR="00072236" w:rsidRPr="006958F2" w:rsidTr="00072236">
        <w:trPr>
          <w:trHeight w:val="225"/>
        </w:trPr>
        <w:tc>
          <w:tcPr>
            <w:tcW w:w="32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Operating results</w:t>
            </w:r>
          </w:p>
        </w:tc>
        <w:tc>
          <w:tcPr>
            <w:tcW w:w="780" w:type="dxa"/>
            <w:tcBorders>
              <w:top w:val="nil"/>
              <w:left w:val="nil"/>
              <w:bottom w:val="nil"/>
              <w:right w:val="nil"/>
            </w:tcBorders>
            <w:shd w:val="clear" w:color="000000" w:fill="EBECEC"/>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22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bottom"/>
            <w:hideMark/>
          </w:tcPr>
          <w:p w:rsidR="00072236" w:rsidRPr="006958F2" w:rsidRDefault="00072236" w:rsidP="00072236">
            <w:pPr>
              <w:spacing w:after="0" w:line="240" w:lineRule="auto"/>
              <w:jc w:val="left"/>
              <w:rPr>
                <w:rFonts w:eastAsia="Times New Roman" w:cs="Arial"/>
                <w:color w:val="595959"/>
                <w:sz w:val="16"/>
                <w:szCs w:val="16"/>
                <w:lang w:eastAsia="is-IS"/>
              </w:rPr>
            </w:pPr>
          </w:p>
        </w:tc>
      </w:tr>
      <w:tr w:rsidR="00072236" w:rsidRPr="006958F2" w:rsidTr="00072236">
        <w:trPr>
          <w:trHeight w:val="225"/>
        </w:trPr>
        <w:tc>
          <w:tcPr>
            <w:tcW w:w="32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Total income</w:t>
            </w:r>
          </w:p>
        </w:tc>
        <w:tc>
          <w:tcPr>
            <w:tcW w:w="780" w:type="dxa"/>
            <w:tcBorders>
              <w:top w:val="dotted" w:sz="4" w:space="0" w:color="808080"/>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418,746</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371,662</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47,084</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w:t>
            </w:r>
          </w:p>
        </w:tc>
        <w:tc>
          <w:tcPr>
            <w:tcW w:w="22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dotted" w:sz="4" w:space="0" w:color="808080"/>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907,816</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810,307</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97,509</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EBITDAR</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134,541</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114,316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20,225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18%</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186,322</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173,049</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13,273</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123,883</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102,243</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21,640</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155,819</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136,865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18,954</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14%</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102,515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82,170</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20,345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25%</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97,765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83,941</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13,824</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16%</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EBT</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106,189</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81,851</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24,338</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30%</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97,603</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82,233</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15,370</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19%</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Profit for the period</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85,801</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65,325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20,476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31%</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81,473</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65,526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15,947</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24%</w:t>
            </w:r>
          </w:p>
        </w:tc>
      </w:tr>
      <w:tr w:rsidR="00072236" w:rsidRPr="006958F2" w:rsidTr="00072236">
        <w:trPr>
          <w:trHeight w:val="225"/>
        </w:trPr>
        <w:tc>
          <w:tcPr>
            <w:tcW w:w="32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22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r>
      <w:tr w:rsidR="00072236" w:rsidRPr="006958F2" w:rsidTr="00072236">
        <w:trPr>
          <w:trHeight w:val="225"/>
        </w:trPr>
        <w:tc>
          <w:tcPr>
            <w:tcW w:w="32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Balance sheet</w:t>
            </w:r>
          </w:p>
        </w:tc>
        <w:tc>
          <w:tcPr>
            <w:tcW w:w="78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22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r>
      <w:tr w:rsidR="00072236" w:rsidRPr="006958F2" w:rsidTr="00072236">
        <w:trPr>
          <w:trHeight w:val="225"/>
        </w:trPr>
        <w:tc>
          <w:tcPr>
            <w:tcW w:w="32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Total assets</w:t>
            </w:r>
          </w:p>
        </w:tc>
        <w:tc>
          <w:tcPr>
            <w:tcW w:w="780" w:type="dxa"/>
            <w:tcBorders>
              <w:top w:val="dotted" w:sz="4" w:space="0" w:color="808080"/>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dotted" w:sz="4" w:space="0" w:color="808080"/>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877,233</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877,490</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-257</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0%</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Total equity</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403,607</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352,226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51,381</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Interest bearing debt</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55,469</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128,462</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-72,993</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-57%</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Cash and marketable securities</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254,695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218,336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36,359</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17%</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Net interest bearing debt</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-199,226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-89,874</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-109,352</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122%</w:t>
            </w:r>
          </w:p>
        </w:tc>
      </w:tr>
      <w:tr w:rsidR="00072236" w:rsidRPr="006958F2" w:rsidTr="00072236">
        <w:trPr>
          <w:trHeight w:val="225"/>
        </w:trPr>
        <w:tc>
          <w:tcPr>
            <w:tcW w:w="32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22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r>
      <w:tr w:rsidR="00072236" w:rsidRPr="006958F2" w:rsidTr="00072236">
        <w:trPr>
          <w:trHeight w:val="225"/>
        </w:trPr>
        <w:tc>
          <w:tcPr>
            <w:tcW w:w="32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Cash flow</w:t>
            </w:r>
          </w:p>
        </w:tc>
        <w:tc>
          <w:tcPr>
            <w:tcW w:w="78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22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r>
      <w:tr w:rsidR="00072236" w:rsidRPr="006958F2" w:rsidTr="00072236">
        <w:trPr>
          <w:trHeight w:val="225"/>
        </w:trPr>
        <w:tc>
          <w:tcPr>
            <w:tcW w:w="32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Working capital from operations</w:t>
            </w:r>
          </w:p>
        </w:tc>
        <w:tc>
          <w:tcPr>
            <w:tcW w:w="780" w:type="dxa"/>
            <w:tcBorders>
              <w:top w:val="dotted" w:sz="4" w:space="0" w:color="808080"/>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135,211</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111,138</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24,073</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22%</w:t>
            </w:r>
          </w:p>
        </w:tc>
        <w:tc>
          <w:tcPr>
            <w:tcW w:w="22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dotted" w:sz="4" w:space="0" w:color="808080"/>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172,932</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157,811</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15,121</w:t>
            </w:r>
          </w:p>
        </w:tc>
        <w:tc>
          <w:tcPr>
            <w:tcW w:w="780" w:type="dxa"/>
            <w:tcBorders>
              <w:top w:val="dotted" w:sz="4" w:space="0" w:color="808080"/>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Net cash from operating activities</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5,767</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30,272</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-24,505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-81%</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210,763</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215,161</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-4,398</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Net cash used in investing activities</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-38,383</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-24,288</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-14,095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58%</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-86,338</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-80,560</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-5,778</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Net cash used in financing activities</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-3,622</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-10,361</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6,739</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-65%</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-85,676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-37,290</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-48,386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130%</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Cash and cash equivalents end of period</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227,576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215,484</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12,092</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227,576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BA0922" w:rsidP="00A209EA">
            <w:pPr>
              <w:spacing w:after="0" w:line="240" w:lineRule="auto"/>
              <w:jc w:val="right"/>
              <w:rPr>
                <w:rFonts w:eastAsia="Times New Roman" w:cs="Arial"/>
                <w:color w:val="595959"/>
                <w:sz w:val="16"/>
                <w:szCs w:val="16"/>
                <w:lang w:eastAsia="is-IS"/>
              </w:rPr>
            </w:pPr>
            <w:r>
              <w:rPr>
                <w:rFonts w:eastAsia="Times New Roman" w:cs="Arial"/>
                <w:color w:val="595959"/>
                <w:sz w:val="16"/>
                <w:szCs w:val="16"/>
                <w:lang w:eastAsia="is-IS"/>
              </w:rPr>
              <w:t>215,48</w:t>
            </w:r>
            <w:r w:rsidR="00A209EA">
              <w:rPr>
                <w:rFonts w:eastAsia="Times New Roman" w:cs="Arial"/>
                <w:color w:val="595959"/>
                <w:sz w:val="16"/>
                <w:szCs w:val="16"/>
                <w:lang w:eastAsia="is-IS"/>
              </w:rPr>
              <w:t>4</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BA0922" w:rsidP="00A209EA">
            <w:pPr>
              <w:spacing w:after="0" w:line="240" w:lineRule="auto"/>
              <w:jc w:val="right"/>
              <w:rPr>
                <w:rFonts w:eastAsia="Times New Roman" w:cs="Arial"/>
                <w:color w:val="595959"/>
                <w:sz w:val="16"/>
                <w:szCs w:val="16"/>
                <w:lang w:eastAsia="is-IS"/>
              </w:rPr>
            </w:pPr>
            <w:r>
              <w:rPr>
                <w:rFonts w:eastAsia="Times New Roman" w:cs="Arial"/>
                <w:color w:val="595959"/>
                <w:sz w:val="16"/>
                <w:szCs w:val="16"/>
                <w:lang w:eastAsia="is-IS"/>
              </w:rPr>
              <w:t>12,09</w:t>
            </w:r>
            <w:r w:rsidR="00A209EA">
              <w:rPr>
                <w:rFonts w:eastAsia="Times New Roman" w:cs="Arial"/>
                <w:color w:val="595959"/>
                <w:sz w:val="16"/>
                <w:szCs w:val="16"/>
                <w:lang w:eastAsia="is-IS"/>
              </w:rPr>
              <w:t>2</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w:t>
            </w:r>
          </w:p>
        </w:tc>
      </w:tr>
      <w:tr w:rsidR="00072236" w:rsidRPr="006958F2" w:rsidTr="00072236">
        <w:trPr>
          <w:trHeight w:val="225"/>
        </w:trPr>
        <w:tc>
          <w:tcPr>
            <w:tcW w:w="32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22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 xml:space="preserve">Key Ratios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22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Earnings per share expressed in USD Cent</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1.73</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1.32</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0.41</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31%</w:t>
            </w:r>
          </w:p>
        </w:tc>
        <w:tc>
          <w:tcPr>
            <w:tcW w:w="22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1.64</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1.32</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0.32</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24%</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Intrinsic value</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9.95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8.68</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1.27</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Equity ratio</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46%</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40%</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xml:space="preserve">5.9 </w:t>
            </w:r>
            <w:proofErr w:type="spellStart"/>
            <w:r w:rsidRPr="006958F2">
              <w:rPr>
                <w:rFonts w:eastAsia="Times New Roman" w:cs="Arial"/>
                <w:color w:val="595959"/>
                <w:sz w:val="16"/>
                <w:szCs w:val="16"/>
                <w:lang w:eastAsia="is-IS"/>
              </w:rPr>
              <w:t>ppt</w:t>
            </w:r>
            <w:proofErr w:type="spellEnd"/>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Current ratio</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1.03</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0.98</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0.05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w:t>
            </w:r>
          </w:p>
        </w:tc>
      </w:tr>
      <w:tr w:rsidR="00072236" w:rsidRPr="006958F2" w:rsidTr="00072236">
        <w:trPr>
          <w:trHeight w:val="225"/>
        </w:trPr>
        <w:tc>
          <w:tcPr>
            <w:tcW w:w="32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CAPEX USD thousand</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28,27</w:t>
            </w:r>
            <w:r w:rsidR="00A209EA">
              <w:rPr>
                <w:rFonts w:eastAsia="Times New Roman" w:cs="Arial"/>
                <w:color w:val="595959"/>
                <w:sz w:val="16"/>
                <w:szCs w:val="16"/>
                <w:lang w:eastAsia="is-IS"/>
              </w:rPr>
              <w:t>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23,376</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4,89</w:t>
            </w:r>
            <w:r w:rsidR="00A209EA">
              <w:rPr>
                <w:rFonts w:eastAsia="Times New Roman" w:cs="Arial"/>
                <w:color w:val="595959"/>
                <w:sz w:val="16"/>
                <w:szCs w:val="16"/>
                <w:lang w:eastAsia="is-IS"/>
              </w:rPr>
              <w:t>9</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w:t>
            </w:r>
          </w:p>
        </w:tc>
        <w:tc>
          <w:tcPr>
            <w:tcW w:w="22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noWrap/>
            <w:vAlign w:val="center"/>
            <w:hideMark/>
          </w:tcPr>
          <w:p w:rsidR="00072236" w:rsidRPr="006958F2" w:rsidRDefault="00072236" w:rsidP="00A209EA">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69,87</w:t>
            </w:r>
            <w:r w:rsidR="00A209EA">
              <w:rPr>
                <w:rFonts w:eastAsia="Times New Roman" w:cs="Arial"/>
                <w:color w:val="595959"/>
                <w:sz w:val="16"/>
                <w:szCs w:val="16"/>
                <w:lang w:eastAsia="is-IS"/>
              </w:rPr>
              <w:t>6</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93,707</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A209EA">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-23,83</w:t>
            </w:r>
            <w:r w:rsidR="00A209EA">
              <w:rPr>
                <w:rFonts w:eastAsia="Times New Roman" w:cs="Arial"/>
                <w:color w:val="595959"/>
                <w:sz w:val="16"/>
                <w:szCs w:val="16"/>
                <w:lang w:eastAsia="is-IS"/>
              </w:rPr>
              <w:t>1</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-25%</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Transport revenue as % of total revenues</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77%</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71%</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xml:space="preserve">5.5 </w:t>
            </w:r>
            <w:proofErr w:type="spellStart"/>
            <w:r w:rsidRPr="006958F2">
              <w:rPr>
                <w:rFonts w:eastAsia="Times New Roman" w:cs="Arial"/>
                <w:color w:val="595959"/>
                <w:sz w:val="16"/>
                <w:szCs w:val="16"/>
                <w:lang w:eastAsia="is-IS"/>
              </w:rPr>
              <w:t>ppt</w:t>
            </w:r>
            <w:proofErr w:type="spellEnd"/>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73%</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69%</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xml:space="preserve">3.5 </w:t>
            </w:r>
            <w:proofErr w:type="spellStart"/>
            <w:r w:rsidRPr="006958F2">
              <w:rPr>
                <w:rFonts w:eastAsia="Times New Roman" w:cs="Arial"/>
                <w:color w:val="595959"/>
                <w:sz w:val="16"/>
                <w:szCs w:val="16"/>
                <w:lang w:eastAsia="is-IS"/>
              </w:rPr>
              <w:t>ppt</w:t>
            </w:r>
            <w:proofErr w:type="spellEnd"/>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EBITDAR ratio</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32.1%</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30.8%</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xml:space="preserve">1.4 </w:t>
            </w:r>
            <w:proofErr w:type="spellStart"/>
            <w:r w:rsidRPr="006958F2">
              <w:rPr>
                <w:rFonts w:eastAsia="Times New Roman" w:cs="Arial"/>
                <w:color w:val="595959"/>
                <w:sz w:val="16"/>
                <w:szCs w:val="16"/>
                <w:lang w:eastAsia="is-IS"/>
              </w:rPr>
              <w:t>ppt</w:t>
            </w:r>
            <w:proofErr w:type="spellEnd"/>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20.5%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21.4%</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xml:space="preserve">-0.8 </w:t>
            </w:r>
            <w:proofErr w:type="spellStart"/>
            <w:r w:rsidRPr="006958F2">
              <w:rPr>
                <w:rFonts w:eastAsia="Times New Roman" w:cs="Arial"/>
                <w:color w:val="595959"/>
                <w:sz w:val="16"/>
                <w:szCs w:val="16"/>
                <w:lang w:eastAsia="is-IS"/>
              </w:rPr>
              <w:t>ppt</w:t>
            </w:r>
            <w:proofErr w:type="spellEnd"/>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 ratio</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29.6%</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27.5%</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xml:space="preserve">2.1 </w:t>
            </w:r>
            <w:proofErr w:type="spellStart"/>
            <w:r w:rsidRPr="006958F2">
              <w:rPr>
                <w:rFonts w:eastAsia="Times New Roman" w:cs="Arial"/>
                <w:color w:val="595959"/>
                <w:sz w:val="16"/>
                <w:szCs w:val="16"/>
                <w:lang w:eastAsia="is-IS"/>
              </w:rPr>
              <w:t>ppt</w:t>
            </w:r>
            <w:proofErr w:type="spellEnd"/>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17.2%</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16.9%</w:t>
            </w:r>
          </w:p>
        </w:tc>
        <w:tc>
          <w:tcPr>
            <w:tcW w:w="7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xml:space="preserve">0.3 </w:t>
            </w:r>
            <w:proofErr w:type="spellStart"/>
            <w:r w:rsidRPr="006958F2">
              <w:rPr>
                <w:rFonts w:eastAsia="Times New Roman" w:cs="Arial"/>
                <w:color w:val="595959"/>
                <w:sz w:val="16"/>
                <w:szCs w:val="16"/>
                <w:lang w:eastAsia="is-IS"/>
              </w:rPr>
              <w:t>ppt</w:t>
            </w:r>
            <w:proofErr w:type="spellEnd"/>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r>
      <w:tr w:rsidR="00072236" w:rsidRPr="006958F2" w:rsidTr="00072236">
        <w:trPr>
          <w:trHeight w:val="225"/>
        </w:trPr>
        <w:tc>
          <w:tcPr>
            <w:tcW w:w="3280" w:type="dxa"/>
            <w:tcBorders>
              <w:top w:val="nil"/>
              <w:left w:val="nil"/>
              <w:bottom w:val="nil"/>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p>
        </w:tc>
        <w:tc>
          <w:tcPr>
            <w:tcW w:w="780" w:type="dxa"/>
            <w:tcBorders>
              <w:top w:val="nil"/>
              <w:left w:val="nil"/>
              <w:bottom w:val="nil"/>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220" w:type="dxa"/>
            <w:tcBorders>
              <w:top w:val="nil"/>
              <w:left w:val="nil"/>
              <w:bottom w:val="nil"/>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nil"/>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c>
          <w:tcPr>
            <w:tcW w:w="780" w:type="dxa"/>
            <w:tcBorders>
              <w:top w:val="nil"/>
              <w:left w:val="nil"/>
              <w:bottom w:val="nil"/>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Share information ISK</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22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Highest price in period</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18.85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15.30</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3.55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23%</w:t>
            </w:r>
          </w:p>
        </w:tc>
        <w:tc>
          <w:tcPr>
            <w:tcW w:w="22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19.95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15.30</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4.65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30%</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Lowest price in period</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16.85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13.00</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3.85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30%</w:t>
            </w:r>
          </w:p>
        </w:tc>
        <w:tc>
          <w:tcPr>
            <w:tcW w:w="22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16.45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8.28</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8.17</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99%</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 xml:space="preserve">Price at period end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17.35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15.20</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2.15</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14%</w:t>
            </w:r>
          </w:p>
        </w:tc>
      </w:tr>
      <w:tr w:rsidR="00072236" w:rsidRPr="006958F2" w:rsidTr="00072236">
        <w:trPr>
          <w:trHeight w:val="225"/>
        </w:trPr>
        <w:tc>
          <w:tcPr>
            <w:tcW w:w="32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Market Cap at period end (millions)</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c>
          <w:tcPr>
            <w:tcW w:w="22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w:t>
            </w:r>
          </w:p>
        </w:tc>
        <w:tc>
          <w:tcPr>
            <w:tcW w:w="780" w:type="dxa"/>
            <w:tcBorders>
              <w:top w:val="nil"/>
              <w:left w:val="nil"/>
              <w:bottom w:val="dotted" w:sz="4" w:space="0" w:color="808080"/>
              <w:right w:val="nil"/>
            </w:tcBorders>
            <w:shd w:val="clear" w:color="000000" w:fill="EBECEC"/>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86,750</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76,000</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10,750</w:t>
            </w:r>
          </w:p>
        </w:tc>
        <w:tc>
          <w:tcPr>
            <w:tcW w:w="780" w:type="dxa"/>
            <w:tcBorders>
              <w:top w:val="nil"/>
              <w:left w:val="nil"/>
              <w:bottom w:val="dotted" w:sz="4" w:space="0" w:color="808080"/>
              <w:right w:val="nil"/>
            </w:tcBorders>
            <w:shd w:val="clear" w:color="auto" w:fill="auto"/>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14%</w:t>
            </w:r>
          </w:p>
        </w:tc>
      </w:tr>
    </w:tbl>
    <w:p w:rsidR="00F36538" w:rsidRPr="000F0B3A" w:rsidRDefault="00F36538">
      <w:pPr>
        <w:spacing w:after="200"/>
        <w:rPr>
          <w:highlight w:val="yellow"/>
        </w:rPr>
      </w:pPr>
    </w:p>
    <w:p w:rsidR="005D3FCF" w:rsidRPr="000F0B3A" w:rsidRDefault="005D3FCF">
      <w:pPr>
        <w:spacing w:after="200"/>
        <w:rPr>
          <w:b/>
          <w:caps/>
          <w:highlight w:val="yellow"/>
        </w:rPr>
      </w:pPr>
      <w:r>
        <w:br w:type="page"/>
      </w:r>
    </w:p>
    <w:p w:rsidR="001B3726" w:rsidRPr="00E455C6" w:rsidRDefault="001B3726" w:rsidP="004F4138">
      <w:pPr>
        <w:pStyle w:val="NoSpacing"/>
      </w:pPr>
      <w:r>
        <w:lastRenderedPageBreak/>
        <w:t xml:space="preserve">BJÖRGÓLFUR JÓHANNSSON, </w:t>
      </w:r>
      <w:r w:rsidR="00996C55">
        <w:t xml:space="preserve">PRESIDENT AND </w:t>
      </w:r>
      <w:r>
        <w:t>CEO</w:t>
      </w:r>
    </w:p>
    <w:p w:rsidR="00525FA1" w:rsidRDefault="000B496E" w:rsidP="00525FA1">
      <w:r>
        <w:t>“</w:t>
      </w:r>
      <w:r w:rsidR="002E7F8F" w:rsidRPr="00001BDD">
        <w:t>The Company's international flight operations were successful in the third quarter</w:t>
      </w:r>
      <w:r w:rsidR="00CF4EDF">
        <w:t xml:space="preserve"> and </w:t>
      </w:r>
      <w:r w:rsidR="003C1BC7">
        <w:t>the results were</w:t>
      </w:r>
      <w:r w:rsidR="002E7F8F" w:rsidRPr="00001BDD">
        <w:t xml:space="preserve"> </w:t>
      </w:r>
      <w:r w:rsidR="00CF4EDF">
        <w:t>good</w:t>
      </w:r>
      <w:bookmarkStart w:id="0" w:name="_GoBack"/>
      <w:bookmarkEnd w:id="0"/>
      <w:r w:rsidR="002E7F8F" w:rsidRPr="00001BDD">
        <w:t>. Capacity in the Route Network was increased by 19% from the preceding year. The passenger load factor was 84.2%, up by 0.7 percentage points between years. A</w:t>
      </w:r>
      <w:r w:rsidR="00C326D4">
        <w:t>round</w:t>
      </w:r>
      <w:r w:rsidR="002E7F8F" w:rsidRPr="00001BDD">
        <w:t xml:space="preserve"> 970 thousand passengers travelled with the Company over the quarter, a record high. The increased </w:t>
      </w:r>
      <w:r w:rsidR="00001BDD" w:rsidRPr="00001BDD">
        <w:t>scope of the</w:t>
      </w:r>
      <w:r w:rsidR="002E7F8F" w:rsidRPr="00001BDD">
        <w:t xml:space="preserve"> international flight operations, together with the significant increase in the number of tourists to Iceland, had a positive </w:t>
      </w:r>
      <w:r w:rsidR="008B6A9E" w:rsidRPr="00001BDD">
        <w:t xml:space="preserve">effect </w:t>
      </w:r>
      <w:r w:rsidR="002E7F8F" w:rsidRPr="00001BDD">
        <w:t>on other business activities of the Group.</w:t>
      </w:r>
    </w:p>
    <w:p w:rsidR="00525FA1" w:rsidRDefault="00525FA1" w:rsidP="00525FA1">
      <w:pPr>
        <w:rPr>
          <w:rFonts w:cs="Arial"/>
          <w:bCs/>
          <w:szCs w:val="20"/>
        </w:rPr>
      </w:pPr>
      <w:r>
        <w:t>The Company's third-quarter profit amounted to USD 85.8 million, up by USD 20.5 million from the preceding year. Financially, the Company is strong and well prepared to take on future challenges; an announcement has already been made of a projected 12% growth in international flight operations next year.</w:t>
      </w:r>
    </w:p>
    <w:p w:rsidR="00525FA1" w:rsidRPr="004239BB" w:rsidRDefault="00525FA1" w:rsidP="00525FA1">
      <w:r>
        <w:t xml:space="preserve">As </w:t>
      </w:r>
      <w:r w:rsidR="009156D3">
        <w:t xml:space="preserve">a </w:t>
      </w:r>
      <w:r>
        <w:t>result of the third-quarter success we are no</w:t>
      </w:r>
      <w:r w:rsidR="00C326D4">
        <w:t>w projecting our EBITDA for 2014</w:t>
      </w:r>
      <w:r>
        <w:t xml:space="preserve"> in the range of USD 150-155 million, up from the earnings estimate published earlier this year.</w:t>
      </w:r>
      <w:r w:rsidR="000B496E">
        <w:t>”</w:t>
      </w:r>
    </w:p>
    <w:p w:rsidR="00CB1ACE" w:rsidRDefault="00CB1ACE" w:rsidP="00525FA1"/>
    <w:p w:rsidR="00EC02A0" w:rsidRPr="00EC02A0" w:rsidRDefault="00EC02A0" w:rsidP="00851946"/>
    <w:p w:rsidR="001F276B" w:rsidRDefault="001F276B">
      <w:pPr>
        <w:spacing w:after="200"/>
        <w:jc w:val="left"/>
        <w:rPr>
          <w:b/>
          <w:caps/>
        </w:rPr>
      </w:pPr>
      <w:r>
        <w:br w:type="page"/>
      </w:r>
    </w:p>
    <w:p w:rsidR="001B3726" w:rsidRPr="00753FAB" w:rsidRDefault="001B3726" w:rsidP="004F4138">
      <w:pPr>
        <w:pStyle w:val="NoSpacing"/>
      </w:pPr>
      <w:r>
        <w:lastRenderedPageBreak/>
        <w:t>THIRD QUARTER TRANSPORT FIGURES</w:t>
      </w:r>
    </w:p>
    <w:p w:rsidR="001B3726" w:rsidRPr="00753FAB" w:rsidRDefault="001B3726" w:rsidP="001B0C29">
      <w:pPr>
        <w:pStyle w:val="Heading2"/>
      </w:pPr>
      <w:r>
        <w:t>Passengers on international flights approximately 970 thousand, up by 18% between years</w:t>
      </w:r>
    </w:p>
    <w:p w:rsidR="00234F22" w:rsidRPr="00753FAB" w:rsidRDefault="001B3726" w:rsidP="00234F22">
      <w:pPr>
        <w:pStyle w:val="Heading2"/>
      </w:pPr>
      <w:r>
        <w:t>Sold block hours in charter projects down by 28% between years</w:t>
      </w:r>
    </w:p>
    <w:p w:rsidR="00234F22" w:rsidRPr="00753FAB" w:rsidRDefault="00234F22" w:rsidP="00F477E8">
      <w:pPr>
        <w:pStyle w:val="Heading2"/>
        <w:spacing w:after="240"/>
        <w:ind w:left="357" w:hanging="357"/>
      </w:pPr>
      <w:r>
        <w:t>The number of sold nights in the Company's hotels increased by 5% between years</w:t>
      </w:r>
    </w:p>
    <w:tbl>
      <w:tblPr>
        <w:tblW w:w="5426" w:type="dxa"/>
        <w:tblInd w:w="55" w:type="dxa"/>
        <w:tblCellMar>
          <w:left w:w="70" w:type="dxa"/>
          <w:right w:w="70" w:type="dxa"/>
        </w:tblCellMar>
        <w:tblLook w:val="04A0" w:firstRow="1" w:lastRow="0" w:firstColumn="1" w:lastColumn="0" w:noHBand="0" w:noVBand="1"/>
      </w:tblPr>
      <w:tblGrid>
        <w:gridCol w:w="3106"/>
        <w:gridCol w:w="1080"/>
        <w:gridCol w:w="1080"/>
        <w:gridCol w:w="727"/>
      </w:tblGrid>
      <w:tr w:rsidR="00072236" w:rsidRPr="0075792F" w:rsidTr="00072236">
        <w:trPr>
          <w:trHeight w:val="227"/>
        </w:trPr>
        <w:tc>
          <w:tcPr>
            <w:tcW w:w="3106" w:type="dxa"/>
            <w:tcBorders>
              <w:top w:val="nil"/>
              <w:left w:val="nil"/>
              <w:bottom w:val="single" w:sz="4" w:space="0" w:color="808080"/>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b/>
                <w:bCs/>
                <w:color w:val="595959"/>
                <w:sz w:val="16"/>
                <w:szCs w:val="16"/>
                <w:lang w:eastAsia="is-IS"/>
              </w:rPr>
            </w:pPr>
            <w:r w:rsidRPr="0075792F">
              <w:rPr>
                <w:rFonts w:eastAsia="Times New Roman" w:cs="Arial"/>
                <w:b/>
                <w:bCs/>
                <w:color w:val="595959"/>
                <w:sz w:val="16"/>
                <w:szCs w:val="16"/>
                <w:lang w:eastAsia="is-IS"/>
              </w:rPr>
              <w:t> </w:t>
            </w:r>
          </w:p>
        </w:tc>
        <w:tc>
          <w:tcPr>
            <w:tcW w:w="1080" w:type="dxa"/>
            <w:tcBorders>
              <w:top w:val="nil"/>
              <w:left w:val="nil"/>
              <w:bottom w:val="single" w:sz="4" w:space="0" w:color="808080"/>
              <w:right w:val="nil"/>
            </w:tcBorders>
            <w:shd w:val="clear" w:color="auto" w:fill="auto"/>
            <w:noWrap/>
            <w:vAlign w:val="center"/>
            <w:hideMark/>
          </w:tcPr>
          <w:p w:rsidR="00072236" w:rsidRPr="0075792F" w:rsidRDefault="00072236" w:rsidP="00BA0922">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Q3 201</w:t>
            </w:r>
            <w:r w:rsidR="00BA0922">
              <w:rPr>
                <w:rFonts w:eastAsia="Times New Roman" w:cs="Arial"/>
                <w:b/>
                <w:bCs/>
                <w:color w:val="595959"/>
                <w:sz w:val="16"/>
                <w:szCs w:val="16"/>
                <w:lang w:eastAsia="is-IS"/>
              </w:rPr>
              <w:t>4</w:t>
            </w:r>
          </w:p>
        </w:tc>
        <w:tc>
          <w:tcPr>
            <w:tcW w:w="1080" w:type="dxa"/>
            <w:tcBorders>
              <w:top w:val="nil"/>
              <w:left w:val="nil"/>
              <w:bottom w:val="single" w:sz="4" w:space="0" w:color="808080"/>
              <w:right w:val="nil"/>
            </w:tcBorders>
            <w:shd w:val="clear" w:color="auto" w:fill="auto"/>
            <w:noWrap/>
            <w:vAlign w:val="center"/>
            <w:hideMark/>
          </w:tcPr>
          <w:p w:rsidR="00072236" w:rsidRPr="0075792F" w:rsidRDefault="00072236" w:rsidP="00BA0922">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Q3 201</w:t>
            </w:r>
            <w:r w:rsidR="00BA0922">
              <w:rPr>
                <w:rFonts w:eastAsia="Times New Roman" w:cs="Arial"/>
                <w:b/>
                <w:bCs/>
                <w:color w:val="595959"/>
                <w:sz w:val="16"/>
                <w:szCs w:val="16"/>
                <w:lang w:eastAsia="is-IS"/>
              </w:rPr>
              <w:t>3</w:t>
            </w:r>
          </w:p>
        </w:tc>
        <w:tc>
          <w:tcPr>
            <w:tcW w:w="160" w:type="dxa"/>
            <w:tcBorders>
              <w:top w:val="nil"/>
              <w:left w:val="nil"/>
              <w:bottom w:val="single"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Change</w:t>
            </w:r>
          </w:p>
        </w:tc>
      </w:tr>
      <w:tr w:rsidR="00072236" w:rsidRPr="0075792F" w:rsidTr="00072236">
        <w:trPr>
          <w:trHeight w:val="227"/>
        </w:trPr>
        <w:tc>
          <w:tcPr>
            <w:tcW w:w="3106" w:type="dxa"/>
            <w:tcBorders>
              <w:top w:val="nil"/>
              <w:left w:val="nil"/>
              <w:bottom w:val="nil"/>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b/>
                <w:bCs/>
                <w:color w:val="5A5A5A"/>
                <w:sz w:val="16"/>
                <w:szCs w:val="16"/>
                <w:lang w:eastAsia="is-IS"/>
              </w:rPr>
            </w:pPr>
            <w:r w:rsidRPr="0075792F">
              <w:rPr>
                <w:rFonts w:eastAsia="Times New Roman" w:cs="Arial"/>
                <w:b/>
                <w:bCs/>
                <w:color w:val="5A5A5A"/>
                <w:sz w:val="16"/>
                <w:szCs w:val="16"/>
                <w:lang w:eastAsia="is-IS"/>
              </w:rPr>
              <w:t>INTERNATIONAL FLIGHTS</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60"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Number of passengers (´000)</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969.2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821.4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18%</w:t>
            </w:r>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Load factor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84.2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83.5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xml:space="preserve">0.7 </w:t>
            </w:r>
            <w:proofErr w:type="spellStart"/>
            <w:r w:rsidRPr="0075792F">
              <w:rPr>
                <w:rFonts w:eastAsia="Times New Roman" w:cs="Arial"/>
                <w:color w:val="595959"/>
                <w:sz w:val="16"/>
                <w:szCs w:val="16"/>
                <w:lang w:eastAsia="is-IS"/>
              </w:rPr>
              <w:t>ppt</w:t>
            </w:r>
            <w:proofErr w:type="spellEnd"/>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xml:space="preserve">Available seat </w:t>
            </w:r>
            <w:r w:rsidR="00CB6A89" w:rsidRPr="0075792F">
              <w:rPr>
                <w:rFonts w:eastAsia="Times New Roman" w:cs="Arial"/>
                <w:color w:val="5A5A5A"/>
                <w:sz w:val="16"/>
                <w:szCs w:val="16"/>
                <w:lang w:eastAsia="is-IS"/>
              </w:rPr>
              <w:t>kilometres</w:t>
            </w:r>
            <w:r w:rsidRPr="0075792F">
              <w:rPr>
                <w:rFonts w:eastAsia="Times New Roman" w:cs="Arial"/>
                <w:color w:val="5A5A5A"/>
                <w:sz w:val="16"/>
                <w:szCs w:val="16"/>
                <w:lang w:eastAsia="is-IS"/>
              </w:rPr>
              <w:t xml:space="preserve"> (ASK´000,000)</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3,444.8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2,885.7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19%</w:t>
            </w:r>
          </w:p>
        </w:tc>
      </w:tr>
      <w:tr w:rsidR="00072236" w:rsidRPr="0075792F" w:rsidTr="00072236">
        <w:trPr>
          <w:trHeight w:val="227"/>
        </w:trPr>
        <w:tc>
          <w:tcPr>
            <w:tcW w:w="3106"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60"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r>
      <w:tr w:rsidR="00072236" w:rsidRPr="0075792F" w:rsidTr="00072236">
        <w:trPr>
          <w:trHeight w:val="227"/>
        </w:trPr>
        <w:tc>
          <w:tcPr>
            <w:tcW w:w="3106" w:type="dxa"/>
            <w:tcBorders>
              <w:top w:val="nil"/>
              <w:left w:val="nil"/>
              <w:bottom w:val="nil"/>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b/>
                <w:bCs/>
                <w:color w:val="5A5A5A"/>
                <w:sz w:val="16"/>
                <w:szCs w:val="16"/>
                <w:lang w:eastAsia="is-IS"/>
              </w:rPr>
            </w:pPr>
            <w:r w:rsidRPr="0075792F">
              <w:rPr>
                <w:rFonts w:eastAsia="Times New Roman" w:cs="Arial"/>
                <w:b/>
                <w:bCs/>
                <w:color w:val="5A5A5A"/>
                <w:sz w:val="16"/>
                <w:szCs w:val="16"/>
                <w:lang w:eastAsia="is-IS"/>
              </w:rPr>
              <w:t xml:space="preserve">REGIONAL- AND GREENLAND FLIGHTS </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60"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Number of passengers (´000)</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90.7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90.4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0%</w:t>
            </w:r>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Load factor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73.6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73.0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xml:space="preserve">0.6 </w:t>
            </w:r>
            <w:proofErr w:type="spellStart"/>
            <w:r w:rsidRPr="0075792F">
              <w:rPr>
                <w:rFonts w:eastAsia="Times New Roman" w:cs="Arial"/>
                <w:color w:val="595959"/>
                <w:sz w:val="16"/>
                <w:szCs w:val="16"/>
                <w:lang w:eastAsia="is-IS"/>
              </w:rPr>
              <w:t>ppt</w:t>
            </w:r>
            <w:proofErr w:type="spellEnd"/>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xml:space="preserve">Available seat </w:t>
            </w:r>
            <w:r w:rsidR="00CB6A89" w:rsidRPr="0075792F">
              <w:rPr>
                <w:rFonts w:eastAsia="Times New Roman" w:cs="Arial"/>
                <w:color w:val="5A5A5A"/>
                <w:sz w:val="16"/>
                <w:szCs w:val="16"/>
                <w:lang w:eastAsia="is-IS"/>
              </w:rPr>
              <w:t>kilometres</w:t>
            </w:r>
            <w:r w:rsidRPr="0075792F">
              <w:rPr>
                <w:rFonts w:eastAsia="Times New Roman" w:cs="Arial"/>
                <w:color w:val="5A5A5A"/>
                <w:sz w:val="16"/>
                <w:szCs w:val="16"/>
                <w:lang w:eastAsia="is-IS"/>
              </w:rPr>
              <w:t xml:space="preserve"> (ASK´000,000)</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54.0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53.9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0%</w:t>
            </w:r>
          </w:p>
        </w:tc>
      </w:tr>
      <w:tr w:rsidR="00072236" w:rsidRPr="0075792F" w:rsidTr="00072236">
        <w:trPr>
          <w:trHeight w:val="227"/>
        </w:trPr>
        <w:tc>
          <w:tcPr>
            <w:tcW w:w="3106"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60"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r>
      <w:tr w:rsidR="00072236" w:rsidRPr="0075792F" w:rsidTr="00072236">
        <w:trPr>
          <w:trHeight w:val="227"/>
        </w:trPr>
        <w:tc>
          <w:tcPr>
            <w:tcW w:w="3106" w:type="dxa"/>
            <w:tcBorders>
              <w:top w:val="nil"/>
              <w:left w:val="nil"/>
              <w:bottom w:val="nil"/>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b/>
                <w:bCs/>
                <w:color w:val="5A5A5A"/>
                <w:sz w:val="16"/>
                <w:szCs w:val="16"/>
                <w:lang w:eastAsia="is-IS"/>
              </w:rPr>
            </w:pPr>
            <w:r w:rsidRPr="0075792F">
              <w:rPr>
                <w:rFonts w:eastAsia="Times New Roman" w:cs="Arial"/>
                <w:b/>
                <w:bCs/>
                <w:color w:val="5A5A5A"/>
                <w:sz w:val="16"/>
                <w:szCs w:val="16"/>
                <w:lang w:eastAsia="is-IS"/>
              </w:rPr>
              <w:t>CHARTER FLIGHTS</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60"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Fleet Utilization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88.0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95.7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xml:space="preserve">-7.7 </w:t>
            </w:r>
            <w:proofErr w:type="spellStart"/>
            <w:r w:rsidRPr="0075792F">
              <w:rPr>
                <w:rFonts w:eastAsia="Times New Roman" w:cs="Arial"/>
                <w:color w:val="595959"/>
                <w:sz w:val="16"/>
                <w:szCs w:val="16"/>
                <w:lang w:eastAsia="is-IS"/>
              </w:rPr>
              <w:t>ppt</w:t>
            </w:r>
            <w:proofErr w:type="spellEnd"/>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Sold Block Hours</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5,298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7,325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-28%</w:t>
            </w:r>
          </w:p>
        </w:tc>
      </w:tr>
      <w:tr w:rsidR="00072236" w:rsidRPr="0075792F" w:rsidTr="00072236">
        <w:trPr>
          <w:trHeight w:val="227"/>
        </w:trPr>
        <w:tc>
          <w:tcPr>
            <w:tcW w:w="3106"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60"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r>
      <w:tr w:rsidR="00072236" w:rsidRPr="0075792F" w:rsidTr="00072236">
        <w:trPr>
          <w:trHeight w:val="227"/>
        </w:trPr>
        <w:tc>
          <w:tcPr>
            <w:tcW w:w="3106" w:type="dxa"/>
            <w:tcBorders>
              <w:top w:val="nil"/>
              <w:left w:val="nil"/>
              <w:bottom w:val="nil"/>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b/>
                <w:bCs/>
                <w:color w:val="5A5A5A"/>
                <w:sz w:val="16"/>
                <w:szCs w:val="16"/>
                <w:lang w:eastAsia="is-IS"/>
              </w:rPr>
            </w:pPr>
            <w:r w:rsidRPr="0075792F">
              <w:rPr>
                <w:rFonts w:eastAsia="Times New Roman" w:cs="Arial"/>
                <w:b/>
                <w:bCs/>
                <w:color w:val="5A5A5A"/>
                <w:sz w:val="16"/>
                <w:szCs w:val="16"/>
                <w:lang w:eastAsia="is-IS"/>
              </w:rPr>
              <w:t>CARGO</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60"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xml:space="preserve">Available Tonne </w:t>
            </w:r>
            <w:r w:rsidR="00CB6A89" w:rsidRPr="0075792F">
              <w:rPr>
                <w:rFonts w:eastAsia="Times New Roman" w:cs="Arial"/>
                <w:color w:val="5A5A5A"/>
                <w:sz w:val="16"/>
                <w:szCs w:val="16"/>
                <w:lang w:eastAsia="is-IS"/>
              </w:rPr>
              <w:t>Kilometres</w:t>
            </w:r>
            <w:r w:rsidRPr="0075792F">
              <w:rPr>
                <w:rFonts w:eastAsia="Times New Roman" w:cs="Arial"/>
                <w:color w:val="5A5A5A"/>
                <w:sz w:val="16"/>
                <w:szCs w:val="16"/>
                <w:lang w:eastAsia="is-IS"/>
              </w:rPr>
              <w:t xml:space="preserve"> (ATK´000)</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68,092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62,055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10%</w:t>
            </w:r>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xml:space="preserve">Freight Tonne </w:t>
            </w:r>
            <w:r w:rsidR="00CB6A89" w:rsidRPr="0075792F">
              <w:rPr>
                <w:rFonts w:eastAsia="Times New Roman" w:cs="Arial"/>
                <w:color w:val="5A5A5A"/>
                <w:sz w:val="16"/>
                <w:szCs w:val="16"/>
                <w:lang w:eastAsia="is-IS"/>
              </w:rPr>
              <w:t>Kilometres</w:t>
            </w:r>
            <w:r w:rsidRPr="0075792F">
              <w:rPr>
                <w:rFonts w:eastAsia="Times New Roman" w:cs="Arial"/>
                <w:color w:val="5A5A5A"/>
                <w:sz w:val="16"/>
                <w:szCs w:val="16"/>
                <w:lang w:eastAsia="is-IS"/>
              </w:rPr>
              <w:t xml:space="preserve"> (FTK´000)</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23,732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23,209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r>
      <w:tr w:rsidR="00072236" w:rsidRPr="0075792F" w:rsidTr="00072236">
        <w:trPr>
          <w:trHeight w:val="227"/>
        </w:trPr>
        <w:tc>
          <w:tcPr>
            <w:tcW w:w="3106"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60"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r>
      <w:tr w:rsidR="00072236" w:rsidRPr="0075792F" w:rsidTr="00072236">
        <w:trPr>
          <w:trHeight w:val="227"/>
        </w:trPr>
        <w:tc>
          <w:tcPr>
            <w:tcW w:w="3106" w:type="dxa"/>
            <w:tcBorders>
              <w:top w:val="nil"/>
              <w:left w:val="nil"/>
              <w:bottom w:val="nil"/>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b/>
                <w:bCs/>
                <w:color w:val="5A5A5A"/>
                <w:sz w:val="16"/>
                <w:szCs w:val="16"/>
                <w:lang w:eastAsia="is-IS"/>
              </w:rPr>
            </w:pPr>
            <w:r w:rsidRPr="0075792F">
              <w:rPr>
                <w:rFonts w:eastAsia="Times New Roman" w:cs="Arial"/>
                <w:b/>
                <w:bCs/>
                <w:color w:val="5A5A5A"/>
                <w:sz w:val="16"/>
                <w:szCs w:val="16"/>
                <w:lang w:eastAsia="is-IS"/>
              </w:rPr>
              <w:t>HOTELS</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080" w:type="dxa"/>
            <w:tcBorders>
              <w:top w:val="nil"/>
              <w:left w:val="nil"/>
              <w:bottom w:val="nil"/>
              <w:right w:val="nil"/>
            </w:tcBorders>
            <w:shd w:val="clear" w:color="000000" w:fill="EBECEC"/>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 </w:t>
            </w:r>
          </w:p>
        </w:tc>
        <w:tc>
          <w:tcPr>
            <w:tcW w:w="160" w:type="dxa"/>
            <w:tcBorders>
              <w:top w:val="nil"/>
              <w:left w:val="nil"/>
              <w:bottom w:val="nil"/>
              <w:right w:val="nil"/>
            </w:tcBorders>
            <w:shd w:val="clear" w:color="auto" w:fill="auto"/>
            <w:noWrap/>
            <w:vAlign w:val="bottom"/>
            <w:hideMark/>
          </w:tcPr>
          <w:p w:rsidR="00072236" w:rsidRPr="0075792F" w:rsidRDefault="00072236" w:rsidP="00072236">
            <w:pPr>
              <w:spacing w:after="0" w:line="240" w:lineRule="auto"/>
              <w:jc w:val="left"/>
              <w:rPr>
                <w:rFonts w:ascii="Calibri" w:eastAsia="Times New Roman" w:hAnsi="Calibri" w:cs="Arial"/>
                <w:color w:val="auto"/>
                <w:sz w:val="22"/>
                <w:lang w:eastAsia="is-IS"/>
              </w:rPr>
            </w:pPr>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Available Hotel Room Nights</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100,532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98,907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Sold Hotel Room Nights</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87,476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83,420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5%</w:t>
            </w:r>
          </w:p>
        </w:tc>
      </w:tr>
      <w:tr w:rsidR="00072236" w:rsidRPr="0075792F" w:rsidTr="00072236">
        <w:trPr>
          <w:trHeight w:val="227"/>
        </w:trPr>
        <w:tc>
          <w:tcPr>
            <w:tcW w:w="3106" w:type="dxa"/>
            <w:tcBorders>
              <w:top w:val="nil"/>
              <w:left w:val="nil"/>
              <w:bottom w:val="dotted" w:sz="4" w:space="0" w:color="7F7F7F"/>
              <w:right w:val="nil"/>
            </w:tcBorders>
            <w:shd w:val="clear" w:color="auto" w:fill="auto"/>
            <w:noWrap/>
            <w:vAlign w:val="center"/>
            <w:hideMark/>
          </w:tcPr>
          <w:p w:rsidR="00072236" w:rsidRPr="0075792F" w:rsidRDefault="00072236" w:rsidP="00072236">
            <w:pPr>
              <w:spacing w:after="0" w:line="240" w:lineRule="auto"/>
              <w:jc w:val="left"/>
              <w:rPr>
                <w:rFonts w:eastAsia="Times New Roman" w:cs="Arial"/>
                <w:color w:val="5A5A5A"/>
                <w:sz w:val="16"/>
                <w:szCs w:val="16"/>
                <w:lang w:eastAsia="is-IS"/>
              </w:rPr>
            </w:pPr>
            <w:r w:rsidRPr="0075792F">
              <w:rPr>
                <w:rFonts w:eastAsia="Times New Roman" w:cs="Arial"/>
                <w:color w:val="5A5A5A"/>
                <w:sz w:val="16"/>
                <w:szCs w:val="16"/>
                <w:lang w:eastAsia="is-IS"/>
              </w:rPr>
              <w:t>Utilization of Hotel Rooms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87.0 </w:t>
            </w:r>
          </w:p>
        </w:tc>
        <w:tc>
          <w:tcPr>
            <w:tcW w:w="1080" w:type="dxa"/>
            <w:tcBorders>
              <w:top w:val="nil"/>
              <w:left w:val="nil"/>
              <w:bottom w:val="dotted" w:sz="4" w:space="0" w:color="7F7F7F"/>
              <w:right w:val="nil"/>
            </w:tcBorders>
            <w:shd w:val="clear" w:color="000000" w:fill="EBECEC"/>
            <w:noWrap/>
            <w:vAlign w:val="center"/>
            <w:hideMark/>
          </w:tcPr>
          <w:p w:rsidR="00072236" w:rsidRPr="0075792F" w:rsidRDefault="00072236" w:rsidP="00072236">
            <w:pPr>
              <w:spacing w:after="0" w:line="240" w:lineRule="auto"/>
              <w:jc w:val="right"/>
              <w:rPr>
                <w:rFonts w:eastAsia="Times New Roman" w:cs="Arial"/>
                <w:color w:val="5A5A5A"/>
                <w:sz w:val="16"/>
                <w:szCs w:val="16"/>
                <w:lang w:eastAsia="is-IS"/>
              </w:rPr>
            </w:pPr>
            <w:r w:rsidRPr="0075792F">
              <w:rPr>
                <w:rFonts w:eastAsia="Times New Roman" w:cs="Arial"/>
                <w:color w:val="5A5A5A"/>
                <w:sz w:val="16"/>
                <w:szCs w:val="16"/>
                <w:lang w:eastAsia="is-IS"/>
              </w:rPr>
              <w:t xml:space="preserve">84.3 </w:t>
            </w:r>
          </w:p>
        </w:tc>
        <w:tc>
          <w:tcPr>
            <w:tcW w:w="160" w:type="dxa"/>
            <w:tcBorders>
              <w:top w:val="nil"/>
              <w:left w:val="nil"/>
              <w:bottom w:val="dotted" w:sz="4" w:space="0" w:color="808080"/>
              <w:right w:val="nil"/>
            </w:tcBorders>
            <w:shd w:val="clear" w:color="auto" w:fill="auto"/>
            <w:noWrap/>
            <w:vAlign w:val="center"/>
            <w:hideMark/>
          </w:tcPr>
          <w:p w:rsidR="00072236" w:rsidRPr="0075792F" w:rsidRDefault="00072236" w:rsidP="00072236">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xml:space="preserve">2.7 </w:t>
            </w:r>
            <w:proofErr w:type="spellStart"/>
            <w:r w:rsidRPr="0075792F">
              <w:rPr>
                <w:rFonts w:eastAsia="Times New Roman" w:cs="Arial"/>
                <w:color w:val="595959"/>
                <w:sz w:val="16"/>
                <w:szCs w:val="16"/>
                <w:lang w:eastAsia="is-IS"/>
              </w:rPr>
              <w:t>ppt</w:t>
            </w:r>
            <w:proofErr w:type="spellEnd"/>
          </w:p>
        </w:tc>
      </w:tr>
    </w:tbl>
    <w:p w:rsidR="004305BA" w:rsidRPr="00753FAB" w:rsidRDefault="00C326D4" w:rsidP="004305BA">
      <w:pPr>
        <w:spacing w:before="240"/>
      </w:pPr>
      <w:r>
        <w:t>C</w:t>
      </w:r>
      <w:r w:rsidR="004305BA">
        <w:t xml:space="preserve">apacity on international flights increased by 19% in the third quarter, and passenger numbers over the same period increased by 18%. Passenger numbers increased in all markets, with the largest increase in the North Atlantic market, at 25%. Passengers in the North Atlantic market accounted for a large majority, or 55.4% of total passengers in the third quarter. The passenger load factor was 84.2%, up from the corresponding period of last year by 0.7 percentage points. </w:t>
      </w:r>
    </w:p>
    <w:p w:rsidR="004305BA" w:rsidRPr="003443E6" w:rsidRDefault="004305BA" w:rsidP="004305BA">
      <w:r>
        <w:t>The number of passengers on domestic flights and flights to Greenland was just short of 91 thousand over the quarter. The capacity was unchanged from the corresponding quarter of last year. The passenger load factor was 73.6%, up by 0.6 percentage points between years. The number of sold block hours on charter flights over the quarter decreased between years by 28%,</w:t>
      </w:r>
      <w:r w:rsidR="009156D3">
        <w:t xml:space="preserve"> </w:t>
      </w:r>
      <w:r>
        <w:t xml:space="preserve">and the fleet utilisation in chartering projects was 88%. The decrease in utilisation in comparison with last year resulted from aircraft maintenance checks. </w:t>
      </w:r>
      <w:r w:rsidR="009156D3">
        <w:t>Volume of f</w:t>
      </w:r>
      <w:r>
        <w:t xml:space="preserve">reight on </w:t>
      </w:r>
      <w:r w:rsidR="00001BDD">
        <w:t>scheduled flights</w:t>
      </w:r>
      <w:r>
        <w:t xml:space="preserve"> increased by 2% from the preceding</w:t>
      </w:r>
      <w:r w:rsidR="000B496E">
        <w:t xml:space="preserve"> </w:t>
      </w:r>
      <w:r>
        <w:t>year. The number of sold hotel room nights increased by 5% in the third quarter. The utilisation of hotel rooms was 87.0%, as compared to 84.3% at the same time last year.</w:t>
      </w:r>
    </w:p>
    <w:p w:rsidR="001F276B" w:rsidRDefault="001F276B">
      <w:pPr>
        <w:spacing w:after="200"/>
        <w:jc w:val="left"/>
        <w:rPr>
          <w:b/>
          <w:caps/>
        </w:rPr>
      </w:pPr>
      <w:r>
        <w:br w:type="page"/>
      </w:r>
    </w:p>
    <w:p w:rsidR="001B3726" w:rsidRPr="00B70D69" w:rsidRDefault="001B3726" w:rsidP="004F4138">
      <w:pPr>
        <w:pStyle w:val="NoSpacing"/>
      </w:pPr>
      <w:r>
        <w:lastRenderedPageBreak/>
        <w:t>THIRD QUARTER OPERATIONS</w:t>
      </w:r>
    </w:p>
    <w:tbl>
      <w:tblPr>
        <w:tblW w:w="7920" w:type="dxa"/>
        <w:tblInd w:w="55" w:type="dxa"/>
        <w:tblCellMar>
          <w:left w:w="70" w:type="dxa"/>
          <w:right w:w="70" w:type="dxa"/>
        </w:tblCellMar>
        <w:tblLook w:val="04A0" w:firstRow="1" w:lastRow="0" w:firstColumn="1" w:lastColumn="0" w:noHBand="0" w:noVBand="1"/>
      </w:tblPr>
      <w:tblGrid>
        <w:gridCol w:w="3440"/>
        <w:gridCol w:w="1120"/>
        <w:gridCol w:w="1120"/>
        <w:gridCol w:w="1120"/>
        <w:gridCol w:w="1120"/>
      </w:tblGrid>
      <w:tr w:rsidR="00072236" w:rsidRPr="006958F2" w:rsidTr="00072236">
        <w:trPr>
          <w:trHeight w:val="225"/>
        </w:trPr>
        <w:tc>
          <w:tcPr>
            <w:tcW w:w="344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USD thousand</w:t>
            </w:r>
          </w:p>
        </w:tc>
        <w:tc>
          <w:tcPr>
            <w:tcW w:w="1120" w:type="dxa"/>
            <w:tcBorders>
              <w:top w:val="nil"/>
              <w:left w:val="nil"/>
              <w:bottom w:val="single"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2014</w:t>
            </w:r>
          </w:p>
        </w:tc>
        <w:tc>
          <w:tcPr>
            <w:tcW w:w="112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2013</w:t>
            </w:r>
          </w:p>
        </w:tc>
        <w:tc>
          <w:tcPr>
            <w:tcW w:w="112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Change</w:t>
            </w:r>
          </w:p>
        </w:tc>
        <w:tc>
          <w:tcPr>
            <w:tcW w:w="112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Change</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EBITDAR</w:t>
            </w:r>
          </w:p>
        </w:tc>
        <w:tc>
          <w:tcPr>
            <w:tcW w:w="112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134,541</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114,316</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20,225</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18%</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w:t>
            </w:r>
          </w:p>
        </w:tc>
        <w:tc>
          <w:tcPr>
            <w:tcW w:w="112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123,883</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102,243</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21,640</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w:t>
            </w:r>
          </w:p>
        </w:tc>
        <w:tc>
          <w:tcPr>
            <w:tcW w:w="112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102,515</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82,170</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20,345</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25%</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EBT</w:t>
            </w:r>
          </w:p>
        </w:tc>
        <w:tc>
          <w:tcPr>
            <w:tcW w:w="112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106,189</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81,851</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24,338</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30%</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Profit for the period</w:t>
            </w:r>
          </w:p>
        </w:tc>
        <w:tc>
          <w:tcPr>
            <w:tcW w:w="112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85,801</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65,325</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20,476</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31%</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EBITDAR %</w:t>
            </w:r>
          </w:p>
        </w:tc>
        <w:tc>
          <w:tcPr>
            <w:tcW w:w="112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32.1%</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30.8%</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xml:space="preserve">1.4 </w:t>
            </w:r>
            <w:proofErr w:type="spellStart"/>
            <w:r w:rsidRPr="006958F2">
              <w:rPr>
                <w:rFonts w:eastAsia="Times New Roman" w:cs="Arial"/>
                <w:color w:val="595959"/>
                <w:sz w:val="16"/>
                <w:szCs w:val="16"/>
                <w:lang w:eastAsia="is-IS"/>
              </w:rPr>
              <w:t>ppt</w:t>
            </w:r>
            <w:proofErr w:type="spellEnd"/>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 %</w:t>
            </w:r>
          </w:p>
        </w:tc>
        <w:tc>
          <w:tcPr>
            <w:tcW w:w="112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29.6%</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27.5%</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xml:space="preserve">2.1 </w:t>
            </w:r>
            <w:proofErr w:type="spellStart"/>
            <w:r w:rsidRPr="006958F2">
              <w:rPr>
                <w:rFonts w:eastAsia="Times New Roman" w:cs="Arial"/>
                <w:color w:val="595959"/>
                <w:sz w:val="16"/>
                <w:szCs w:val="16"/>
                <w:lang w:eastAsia="is-IS"/>
              </w:rPr>
              <w:t>ppt</w:t>
            </w:r>
            <w:proofErr w:type="spellEnd"/>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r>
    </w:tbl>
    <w:p w:rsidR="00FB253E" w:rsidRDefault="00AD72C8" w:rsidP="008C70A9">
      <w:pPr>
        <w:spacing w:before="240"/>
      </w:pPr>
      <w:r>
        <w:t xml:space="preserve">Profit after taxes came to USD 85.8 million, as compared to a profit of USD 65.3 million in the corresponding quarter of last year. EBITDAR amounted to USD 134.5 million, as compared to USD 114.3 million in the </w:t>
      </w:r>
      <w:r w:rsidR="00E75D4E">
        <w:t>third</w:t>
      </w:r>
      <w:r>
        <w:t xml:space="preserve"> quarter of 2013. </w:t>
      </w:r>
      <w:proofErr w:type="gramStart"/>
      <w:r>
        <w:t>The EBITDAR ratio increased by 1.4 percentage points, up to 32.1%.</w:t>
      </w:r>
      <w:proofErr w:type="gramEnd"/>
      <w:r>
        <w:t xml:space="preserve"> </w:t>
      </w:r>
    </w:p>
    <w:p w:rsidR="001B3726" w:rsidRDefault="00766713" w:rsidP="008C70A9">
      <w:pPr>
        <w:spacing w:before="240"/>
      </w:pPr>
      <w:r>
        <w:t xml:space="preserve">EBITDA was positive by USD 123.9 million, up by USD 21.6 million between years. The EBITDA ratio was 29.6% in the third quarter, as compared to 27.5% over the same period in 2013. The cost of maintenance and re-delivery checks of cargo aircraft, together with a reversal of earlier bad-debt provisions in the Company's accounts, had some impact on the results of the quarter.  The EBITDA </w:t>
      </w:r>
      <w:proofErr w:type="gramStart"/>
      <w:r>
        <w:t>bridge</w:t>
      </w:r>
      <w:proofErr w:type="gramEnd"/>
      <w:r>
        <w:t xml:space="preserve"> below shows the main deviations between years.   </w:t>
      </w:r>
    </w:p>
    <w:tbl>
      <w:tblPr>
        <w:tblW w:w="4920" w:type="dxa"/>
        <w:tblInd w:w="55" w:type="dxa"/>
        <w:tblCellMar>
          <w:left w:w="70" w:type="dxa"/>
          <w:right w:w="70" w:type="dxa"/>
        </w:tblCellMar>
        <w:tblLook w:val="04A0" w:firstRow="1" w:lastRow="0" w:firstColumn="1" w:lastColumn="0" w:noHBand="0" w:noVBand="1"/>
      </w:tblPr>
      <w:tblGrid>
        <w:gridCol w:w="3680"/>
        <w:gridCol w:w="1240"/>
      </w:tblGrid>
      <w:tr w:rsidR="00072236" w:rsidRPr="006958F2" w:rsidTr="00072236">
        <w:trPr>
          <w:trHeight w:val="227"/>
        </w:trPr>
        <w:tc>
          <w:tcPr>
            <w:tcW w:w="368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USD thousand</w:t>
            </w:r>
          </w:p>
        </w:tc>
        <w:tc>
          <w:tcPr>
            <w:tcW w:w="124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r>
      <w:tr w:rsidR="00072236" w:rsidRPr="006958F2" w:rsidTr="00072236">
        <w:trPr>
          <w:trHeight w:val="227"/>
        </w:trPr>
        <w:tc>
          <w:tcPr>
            <w:tcW w:w="36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 Q3 2013</w:t>
            </w:r>
          </w:p>
        </w:tc>
        <w:tc>
          <w:tcPr>
            <w:tcW w:w="124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102,243</w:t>
            </w:r>
          </w:p>
        </w:tc>
      </w:tr>
      <w:tr w:rsidR="00072236" w:rsidRPr="006958F2" w:rsidTr="00072236">
        <w:trPr>
          <w:trHeight w:val="227"/>
        </w:trPr>
        <w:tc>
          <w:tcPr>
            <w:tcW w:w="3680" w:type="dxa"/>
            <w:tcBorders>
              <w:top w:val="nil"/>
              <w:left w:val="nil"/>
              <w:bottom w:val="dotted" w:sz="4" w:space="0" w:color="808080"/>
              <w:right w:val="nil"/>
            </w:tcBorders>
            <w:shd w:val="clear" w:color="auto" w:fill="auto"/>
            <w:noWrap/>
            <w:vAlign w:val="center"/>
            <w:hideMark/>
          </w:tcPr>
          <w:p w:rsidR="00072236" w:rsidRPr="006958F2" w:rsidRDefault="00072236" w:rsidP="005F5D41">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Allowance for bad debt - change</w:t>
            </w:r>
          </w:p>
        </w:tc>
        <w:tc>
          <w:tcPr>
            <w:tcW w:w="124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2,903</w:t>
            </w:r>
          </w:p>
        </w:tc>
      </w:tr>
      <w:tr w:rsidR="00072236" w:rsidRPr="006958F2" w:rsidTr="00072236">
        <w:trPr>
          <w:trHeight w:val="227"/>
        </w:trPr>
        <w:tc>
          <w:tcPr>
            <w:tcW w:w="36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Maintenance</w:t>
            </w:r>
            <w:r w:rsidR="00A209EA">
              <w:rPr>
                <w:rFonts w:eastAsia="Times New Roman" w:cs="Arial"/>
                <w:color w:val="595959"/>
                <w:sz w:val="16"/>
                <w:szCs w:val="16"/>
                <w:lang w:eastAsia="is-IS"/>
              </w:rPr>
              <w:t xml:space="preserve"> and redelivery</w:t>
            </w:r>
            <w:r w:rsidRPr="006958F2">
              <w:rPr>
                <w:rFonts w:eastAsia="Times New Roman" w:cs="Arial"/>
                <w:color w:val="595959"/>
                <w:sz w:val="16"/>
                <w:szCs w:val="16"/>
                <w:lang w:eastAsia="is-IS"/>
              </w:rPr>
              <w:t xml:space="preserve"> cost - Cargo aircraft</w:t>
            </w:r>
          </w:p>
        </w:tc>
        <w:tc>
          <w:tcPr>
            <w:tcW w:w="124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-5,707</w:t>
            </w:r>
          </w:p>
        </w:tc>
      </w:tr>
      <w:tr w:rsidR="00072236" w:rsidRPr="006958F2" w:rsidTr="00072236">
        <w:trPr>
          <w:trHeight w:val="227"/>
        </w:trPr>
        <w:tc>
          <w:tcPr>
            <w:tcW w:w="36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 change - Tourism Services</w:t>
            </w:r>
          </w:p>
        </w:tc>
        <w:tc>
          <w:tcPr>
            <w:tcW w:w="124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1,273</w:t>
            </w:r>
          </w:p>
        </w:tc>
      </w:tr>
      <w:tr w:rsidR="00072236" w:rsidRPr="006958F2" w:rsidTr="00072236">
        <w:trPr>
          <w:trHeight w:val="227"/>
        </w:trPr>
        <w:tc>
          <w:tcPr>
            <w:tcW w:w="36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 change - Route Network excl. Icelandair</w:t>
            </w:r>
          </w:p>
        </w:tc>
        <w:tc>
          <w:tcPr>
            <w:tcW w:w="124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4,487</w:t>
            </w:r>
          </w:p>
        </w:tc>
      </w:tr>
      <w:tr w:rsidR="00072236" w:rsidRPr="006958F2" w:rsidTr="00072236">
        <w:trPr>
          <w:trHeight w:val="227"/>
        </w:trPr>
        <w:tc>
          <w:tcPr>
            <w:tcW w:w="368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EBITDA change - Icelandair</w:t>
            </w:r>
          </w:p>
        </w:tc>
        <w:tc>
          <w:tcPr>
            <w:tcW w:w="124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18,582</w:t>
            </w:r>
          </w:p>
        </w:tc>
      </w:tr>
      <w:tr w:rsidR="00072236" w:rsidRPr="006958F2" w:rsidTr="00072236">
        <w:trPr>
          <w:trHeight w:val="227"/>
        </w:trPr>
        <w:tc>
          <w:tcPr>
            <w:tcW w:w="3680" w:type="dxa"/>
            <w:tcBorders>
              <w:top w:val="nil"/>
              <w:left w:val="nil"/>
              <w:bottom w:val="nil"/>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Other</w:t>
            </w:r>
          </w:p>
        </w:tc>
        <w:tc>
          <w:tcPr>
            <w:tcW w:w="124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102</w:t>
            </w:r>
          </w:p>
        </w:tc>
      </w:tr>
      <w:tr w:rsidR="00072236" w:rsidRPr="006958F2" w:rsidTr="00072236">
        <w:trPr>
          <w:trHeight w:val="227"/>
        </w:trPr>
        <w:tc>
          <w:tcPr>
            <w:tcW w:w="3680" w:type="dxa"/>
            <w:tcBorders>
              <w:top w:val="single" w:sz="4" w:space="0" w:color="808080"/>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EBITDA Q3 2014</w:t>
            </w:r>
          </w:p>
        </w:tc>
        <w:tc>
          <w:tcPr>
            <w:tcW w:w="1240" w:type="dxa"/>
            <w:tcBorders>
              <w:top w:val="single" w:sz="4" w:space="0" w:color="808080"/>
              <w:left w:val="nil"/>
              <w:bottom w:val="single"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123,883</w:t>
            </w:r>
          </w:p>
        </w:tc>
      </w:tr>
    </w:tbl>
    <w:p w:rsidR="001B3726" w:rsidRPr="00A04926" w:rsidRDefault="001B3726" w:rsidP="004F4138">
      <w:pPr>
        <w:pStyle w:val="NoSpacing"/>
      </w:pPr>
      <w:r>
        <w:t>INCOME</w:t>
      </w:r>
    </w:p>
    <w:p w:rsidR="001B3726" w:rsidRPr="00A04926" w:rsidRDefault="001B3726" w:rsidP="001B0C29">
      <w:pPr>
        <w:pStyle w:val="Heading2"/>
      </w:pPr>
      <w:r>
        <w:t>Total income 13% in excess of the third quarter of 2013</w:t>
      </w:r>
    </w:p>
    <w:p w:rsidR="001B3726" w:rsidRPr="00A04926" w:rsidRDefault="00BC55AD" w:rsidP="001B0C29">
      <w:pPr>
        <w:pStyle w:val="Heading2"/>
      </w:pPr>
      <w:r>
        <w:t>Passenger revenue increased by 22% between years</w:t>
      </w:r>
    </w:p>
    <w:p w:rsidR="001B3726" w:rsidRPr="00A04926" w:rsidRDefault="00B70D69" w:rsidP="00670B19">
      <w:pPr>
        <w:pStyle w:val="Heading2"/>
        <w:spacing w:after="240"/>
        <w:ind w:left="357" w:hanging="357"/>
      </w:pPr>
      <w:r>
        <w:t>Income from aircraft lease down by 41% from last year</w:t>
      </w:r>
    </w:p>
    <w:tbl>
      <w:tblPr>
        <w:tblW w:w="9040" w:type="dxa"/>
        <w:tblInd w:w="55" w:type="dxa"/>
        <w:tblCellMar>
          <w:left w:w="70" w:type="dxa"/>
          <w:right w:w="70" w:type="dxa"/>
        </w:tblCellMar>
        <w:tblLook w:val="04A0" w:firstRow="1" w:lastRow="0" w:firstColumn="1" w:lastColumn="0" w:noHBand="0" w:noVBand="1"/>
      </w:tblPr>
      <w:tblGrid>
        <w:gridCol w:w="3440"/>
        <w:gridCol w:w="1120"/>
        <w:gridCol w:w="1120"/>
        <w:gridCol w:w="1120"/>
        <w:gridCol w:w="1120"/>
        <w:gridCol w:w="1120"/>
      </w:tblGrid>
      <w:tr w:rsidR="00072236" w:rsidRPr="006958F2" w:rsidTr="00072236">
        <w:trPr>
          <w:trHeight w:val="225"/>
        </w:trPr>
        <w:tc>
          <w:tcPr>
            <w:tcW w:w="344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USD thousand</w:t>
            </w:r>
          </w:p>
        </w:tc>
        <w:tc>
          <w:tcPr>
            <w:tcW w:w="1120" w:type="dxa"/>
            <w:tcBorders>
              <w:top w:val="nil"/>
              <w:left w:val="nil"/>
              <w:bottom w:val="single"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2014</w:t>
            </w:r>
          </w:p>
        </w:tc>
        <w:tc>
          <w:tcPr>
            <w:tcW w:w="112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2013</w:t>
            </w:r>
          </w:p>
        </w:tc>
        <w:tc>
          <w:tcPr>
            <w:tcW w:w="112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Change</w:t>
            </w:r>
          </w:p>
        </w:tc>
        <w:tc>
          <w:tcPr>
            <w:tcW w:w="112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Change</w:t>
            </w:r>
          </w:p>
        </w:tc>
        <w:tc>
          <w:tcPr>
            <w:tcW w:w="1120" w:type="dxa"/>
            <w:tcBorders>
              <w:top w:val="nil"/>
              <w:left w:val="nil"/>
              <w:bottom w:val="single"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of rev. ´14</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Transport revenue:</w:t>
            </w:r>
          </w:p>
        </w:tc>
        <w:tc>
          <w:tcPr>
            <w:tcW w:w="112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320,775</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264,430</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56,345</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77%</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E75D4E" w:rsidRDefault="00E75D4E" w:rsidP="00072236">
            <w:pPr>
              <w:spacing w:after="0" w:line="240" w:lineRule="auto"/>
              <w:jc w:val="left"/>
              <w:rPr>
                <w:rFonts w:eastAsia="Times New Roman" w:cs="Arial"/>
                <w:color w:val="595959"/>
                <w:sz w:val="14"/>
                <w:szCs w:val="14"/>
                <w:lang w:eastAsia="is-IS"/>
              </w:rPr>
            </w:pPr>
            <w:r w:rsidRPr="00E75D4E">
              <w:rPr>
                <w:rFonts w:eastAsia="Times New Roman" w:cs="Arial"/>
                <w:color w:val="595959"/>
                <w:sz w:val="14"/>
                <w:szCs w:val="14"/>
                <w:lang w:eastAsia="is-IS"/>
              </w:rPr>
              <w:t xml:space="preserve">  </w:t>
            </w:r>
            <w:r w:rsidR="00072236" w:rsidRPr="00E75D4E">
              <w:rPr>
                <w:rFonts w:eastAsia="Times New Roman" w:cs="Arial"/>
                <w:color w:val="595959"/>
                <w:sz w:val="14"/>
                <w:szCs w:val="14"/>
                <w:lang w:eastAsia="is-IS"/>
              </w:rPr>
              <w:t>Passengers</w:t>
            </w:r>
          </w:p>
        </w:tc>
        <w:tc>
          <w:tcPr>
            <w:tcW w:w="1120" w:type="dxa"/>
            <w:tcBorders>
              <w:top w:val="nil"/>
              <w:left w:val="nil"/>
              <w:bottom w:val="dotted" w:sz="4" w:space="0" w:color="808080"/>
              <w:right w:val="nil"/>
            </w:tcBorders>
            <w:shd w:val="clear" w:color="000000" w:fill="EBECEC"/>
            <w:noWrap/>
            <w:vAlign w:val="center"/>
            <w:hideMark/>
          </w:tcPr>
          <w:p w:rsidR="00072236" w:rsidRPr="00E75D4E" w:rsidRDefault="00072236" w:rsidP="00072236">
            <w:pPr>
              <w:spacing w:after="0" w:line="240" w:lineRule="auto"/>
              <w:jc w:val="right"/>
              <w:rPr>
                <w:rFonts w:eastAsia="Times New Roman" w:cs="Arial"/>
                <w:color w:val="595959"/>
                <w:sz w:val="14"/>
                <w:szCs w:val="14"/>
                <w:lang w:eastAsia="is-IS"/>
              </w:rPr>
            </w:pPr>
            <w:r w:rsidRPr="00E75D4E">
              <w:rPr>
                <w:rFonts w:eastAsia="Times New Roman" w:cs="Arial"/>
                <w:color w:val="595959"/>
                <w:sz w:val="14"/>
                <w:szCs w:val="14"/>
                <w:lang w:eastAsia="is-IS"/>
              </w:rPr>
              <w:t>309,758</w:t>
            </w:r>
          </w:p>
        </w:tc>
        <w:tc>
          <w:tcPr>
            <w:tcW w:w="1120" w:type="dxa"/>
            <w:tcBorders>
              <w:top w:val="nil"/>
              <w:left w:val="nil"/>
              <w:bottom w:val="dotted" w:sz="4" w:space="0" w:color="808080"/>
              <w:right w:val="nil"/>
            </w:tcBorders>
            <w:shd w:val="clear" w:color="auto" w:fill="auto"/>
            <w:noWrap/>
            <w:vAlign w:val="center"/>
            <w:hideMark/>
          </w:tcPr>
          <w:p w:rsidR="00072236" w:rsidRPr="00E75D4E" w:rsidRDefault="00072236" w:rsidP="00072236">
            <w:pPr>
              <w:spacing w:after="0" w:line="240" w:lineRule="auto"/>
              <w:jc w:val="right"/>
              <w:rPr>
                <w:rFonts w:eastAsia="Times New Roman" w:cs="Arial"/>
                <w:color w:val="595959"/>
                <w:sz w:val="14"/>
                <w:szCs w:val="14"/>
                <w:lang w:eastAsia="is-IS"/>
              </w:rPr>
            </w:pPr>
            <w:r w:rsidRPr="00E75D4E">
              <w:rPr>
                <w:rFonts w:eastAsia="Times New Roman" w:cs="Arial"/>
                <w:color w:val="595959"/>
                <w:sz w:val="14"/>
                <w:szCs w:val="14"/>
                <w:lang w:eastAsia="is-IS"/>
              </w:rPr>
              <w:t>254,085</w:t>
            </w:r>
          </w:p>
        </w:tc>
        <w:tc>
          <w:tcPr>
            <w:tcW w:w="1120" w:type="dxa"/>
            <w:tcBorders>
              <w:top w:val="nil"/>
              <w:left w:val="nil"/>
              <w:bottom w:val="dotted" w:sz="4" w:space="0" w:color="808080"/>
              <w:right w:val="nil"/>
            </w:tcBorders>
            <w:shd w:val="clear" w:color="auto" w:fill="auto"/>
            <w:noWrap/>
            <w:vAlign w:val="center"/>
            <w:hideMark/>
          </w:tcPr>
          <w:p w:rsidR="00072236" w:rsidRPr="00E75D4E" w:rsidRDefault="00072236" w:rsidP="00072236">
            <w:pPr>
              <w:spacing w:after="0" w:line="240" w:lineRule="auto"/>
              <w:jc w:val="right"/>
              <w:rPr>
                <w:rFonts w:eastAsia="Times New Roman" w:cs="Arial"/>
                <w:color w:val="595959"/>
                <w:sz w:val="14"/>
                <w:szCs w:val="14"/>
                <w:lang w:eastAsia="is-IS"/>
              </w:rPr>
            </w:pPr>
            <w:r w:rsidRPr="00E75D4E">
              <w:rPr>
                <w:rFonts w:eastAsia="Times New Roman" w:cs="Arial"/>
                <w:color w:val="595959"/>
                <w:sz w:val="14"/>
                <w:szCs w:val="14"/>
                <w:lang w:eastAsia="is-IS"/>
              </w:rPr>
              <w:t>55,673</w:t>
            </w:r>
          </w:p>
        </w:tc>
        <w:tc>
          <w:tcPr>
            <w:tcW w:w="1120" w:type="dxa"/>
            <w:tcBorders>
              <w:top w:val="nil"/>
              <w:left w:val="nil"/>
              <w:bottom w:val="dotted" w:sz="4" w:space="0" w:color="808080"/>
              <w:right w:val="nil"/>
            </w:tcBorders>
            <w:shd w:val="clear" w:color="auto" w:fill="auto"/>
            <w:noWrap/>
            <w:vAlign w:val="center"/>
            <w:hideMark/>
          </w:tcPr>
          <w:p w:rsidR="00072236" w:rsidRPr="00E75D4E" w:rsidRDefault="00072236" w:rsidP="00072236">
            <w:pPr>
              <w:spacing w:after="0" w:line="240" w:lineRule="auto"/>
              <w:jc w:val="right"/>
              <w:rPr>
                <w:rFonts w:eastAsia="Times New Roman" w:cs="Arial"/>
                <w:color w:val="595959"/>
                <w:sz w:val="14"/>
                <w:szCs w:val="14"/>
                <w:lang w:eastAsia="is-IS"/>
              </w:rPr>
            </w:pPr>
            <w:r w:rsidRPr="00E75D4E">
              <w:rPr>
                <w:rFonts w:eastAsia="Times New Roman" w:cs="Arial"/>
                <w:color w:val="595959"/>
                <w:sz w:val="14"/>
                <w:szCs w:val="14"/>
                <w:lang w:eastAsia="is-IS"/>
              </w:rPr>
              <w:t>22%</w:t>
            </w:r>
          </w:p>
        </w:tc>
        <w:tc>
          <w:tcPr>
            <w:tcW w:w="1120" w:type="dxa"/>
            <w:tcBorders>
              <w:top w:val="nil"/>
              <w:left w:val="nil"/>
              <w:bottom w:val="dotted" w:sz="4" w:space="0" w:color="808080"/>
              <w:right w:val="nil"/>
            </w:tcBorders>
            <w:shd w:val="clear" w:color="auto" w:fill="auto"/>
            <w:noWrap/>
            <w:vAlign w:val="center"/>
            <w:hideMark/>
          </w:tcPr>
          <w:p w:rsidR="00072236" w:rsidRPr="00E75D4E" w:rsidRDefault="00072236" w:rsidP="00072236">
            <w:pPr>
              <w:spacing w:after="0" w:line="240" w:lineRule="auto"/>
              <w:jc w:val="right"/>
              <w:rPr>
                <w:rFonts w:eastAsia="Times New Roman" w:cs="Arial"/>
                <w:color w:val="595959"/>
                <w:sz w:val="14"/>
                <w:szCs w:val="14"/>
                <w:lang w:eastAsia="is-IS"/>
              </w:rPr>
            </w:pPr>
            <w:r w:rsidRPr="00E75D4E">
              <w:rPr>
                <w:rFonts w:eastAsia="Times New Roman" w:cs="Arial"/>
                <w:color w:val="595959"/>
                <w:sz w:val="14"/>
                <w:szCs w:val="14"/>
                <w:lang w:eastAsia="is-IS"/>
              </w:rPr>
              <w:t>74%</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E75D4E" w:rsidRDefault="00E75D4E" w:rsidP="00072236">
            <w:pPr>
              <w:spacing w:after="0" w:line="240" w:lineRule="auto"/>
              <w:jc w:val="left"/>
              <w:rPr>
                <w:rFonts w:eastAsia="Times New Roman" w:cs="Arial"/>
                <w:color w:val="595959"/>
                <w:sz w:val="14"/>
                <w:szCs w:val="14"/>
                <w:lang w:eastAsia="is-IS"/>
              </w:rPr>
            </w:pPr>
            <w:r w:rsidRPr="00E75D4E">
              <w:rPr>
                <w:rFonts w:eastAsia="Times New Roman" w:cs="Arial"/>
                <w:color w:val="595959"/>
                <w:sz w:val="14"/>
                <w:szCs w:val="14"/>
                <w:lang w:eastAsia="is-IS"/>
              </w:rPr>
              <w:t xml:space="preserve">  </w:t>
            </w:r>
            <w:r w:rsidR="00072236" w:rsidRPr="00E75D4E">
              <w:rPr>
                <w:rFonts w:eastAsia="Times New Roman" w:cs="Arial"/>
                <w:color w:val="595959"/>
                <w:sz w:val="14"/>
                <w:szCs w:val="14"/>
                <w:lang w:eastAsia="is-IS"/>
              </w:rPr>
              <w:t>Cargo and mail</w:t>
            </w:r>
          </w:p>
        </w:tc>
        <w:tc>
          <w:tcPr>
            <w:tcW w:w="1120" w:type="dxa"/>
            <w:tcBorders>
              <w:top w:val="nil"/>
              <w:left w:val="nil"/>
              <w:bottom w:val="dotted" w:sz="4" w:space="0" w:color="808080"/>
              <w:right w:val="nil"/>
            </w:tcBorders>
            <w:shd w:val="clear" w:color="000000" w:fill="EBECEC"/>
            <w:noWrap/>
            <w:vAlign w:val="center"/>
            <w:hideMark/>
          </w:tcPr>
          <w:p w:rsidR="00072236" w:rsidRPr="00E75D4E" w:rsidRDefault="00072236" w:rsidP="00072236">
            <w:pPr>
              <w:spacing w:after="0" w:line="240" w:lineRule="auto"/>
              <w:jc w:val="right"/>
              <w:rPr>
                <w:rFonts w:eastAsia="Times New Roman" w:cs="Arial"/>
                <w:color w:val="595959"/>
                <w:sz w:val="14"/>
                <w:szCs w:val="14"/>
                <w:lang w:eastAsia="is-IS"/>
              </w:rPr>
            </w:pPr>
            <w:r w:rsidRPr="00E75D4E">
              <w:rPr>
                <w:rFonts w:eastAsia="Times New Roman" w:cs="Arial"/>
                <w:color w:val="595959"/>
                <w:sz w:val="14"/>
                <w:szCs w:val="14"/>
                <w:lang w:eastAsia="is-IS"/>
              </w:rPr>
              <w:t>11,017</w:t>
            </w:r>
          </w:p>
        </w:tc>
        <w:tc>
          <w:tcPr>
            <w:tcW w:w="1120" w:type="dxa"/>
            <w:tcBorders>
              <w:top w:val="nil"/>
              <w:left w:val="nil"/>
              <w:bottom w:val="dotted" w:sz="4" w:space="0" w:color="808080"/>
              <w:right w:val="nil"/>
            </w:tcBorders>
            <w:shd w:val="clear" w:color="auto" w:fill="auto"/>
            <w:noWrap/>
            <w:vAlign w:val="center"/>
            <w:hideMark/>
          </w:tcPr>
          <w:p w:rsidR="00072236" w:rsidRPr="00E75D4E" w:rsidRDefault="00072236" w:rsidP="00072236">
            <w:pPr>
              <w:spacing w:after="0" w:line="240" w:lineRule="auto"/>
              <w:jc w:val="right"/>
              <w:rPr>
                <w:rFonts w:eastAsia="Times New Roman" w:cs="Arial"/>
                <w:color w:val="595959"/>
                <w:sz w:val="14"/>
                <w:szCs w:val="14"/>
                <w:lang w:eastAsia="is-IS"/>
              </w:rPr>
            </w:pPr>
            <w:r w:rsidRPr="00E75D4E">
              <w:rPr>
                <w:rFonts w:eastAsia="Times New Roman" w:cs="Arial"/>
                <w:color w:val="595959"/>
                <w:sz w:val="14"/>
                <w:szCs w:val="14"/>
                <w:lang w:eastAsia="is-IS"/>
              </w:rPr>
              <w:t>10,345</w:t>
            </w:r>
          </w:p>
        </w:tc>
        <w:tc>
          <w:tcPr>
            <w:tcW w:w="1120" w:type="dxa"/>
            <w:tcBorders>
              <w:top w:val="nil"/>
              <w:left w:val="nil"/>
              <w:bottom w:val="dotted" w:sz="4" w:space="0" w:color="808080"/>
              <w:right w:val="nil"/>
            </w:tcBorders>
            <w:shd w:val="clear" w:color="auto" w:fill="auto"/>
            <w:noWrap/>
            <w:vAlign w:val="center"/>
            <w:hideMark/>
          </w:tcPr>
          <w:p w:rsidR="00072236" w:rsidRPr="00E75D4E" w:rsidRDefault="00072236" w:rsidP="00072236">
            <w:pPr>
              <w:spacing w:after="0" w:line="240" w:lineRule="auto"/>
              <w:jc w:val="right"/>
              <w:rPr>
                <w:rFonts w:eastAsia="Times New Roman" w:cs="Arial"/>
                <w:color w:val="595959"/>
                <w:sz w:val="14"/>
                <w:szCs w:val="14"/>
                <w:lang w:eastAsia="is-IS"/>
              </w:rPr>
            </w:pPr>
            <w:r w:rsidRPr="00E75D4E">
              <w:rPr>
                <w:rFonts w:eastAsia="Times New Roman" w:cs="Arial"/>
                <w:color w:val="595959"/>
                <w:sz w:val="14"/>
                <w:szCs w:val="14"/>
                <w:lang w:eastAsia="is-IS"/>
              </w:rPr>
              <w:t>672</w:t>
            </w:r>
          </w:p>
        </w:tc>
        <w:tc>
          <w:tcPr>
            <w:tcW w:w="1120" w:type="dxa"/>
            <w:tcBorders>
              <w:top w:val="nil"/>
              <w:left w:val="nil"/>
              <w:bottom w:val="dotted" w:sz="4" w:space="0" w:color="808080"/>
              <w:right w:val="nil"/>
            </w:tcBorders>
            <w:shd w:val="clear" w:color="auto" w:fill="auto"/>
            <w:noWrap/>
            <w:vAlign w:val="center"/>
            <w:hideMark/>
          </w:tcPr>
          <w:p w:rsidR="00072236" w:rsidRPr="00E75D4E" w:rsidRDefault="00072236" w:rsidP="00072236">
            <w:pPr>
              <w:spacing w:after="0" w:line="240" w:lineRule="auto"/>
              <w:jc w:val="right"/>
              <w:rPr>
                <w:rFonts w:eastAsia="Times New Roman" w:cs="Arial"/>
                <w:color w:val="595959"/>
                <w:sz w:val="14"/>
                <w:szCs w:val="14"/>
                <w:lang w:eastAsia="is-IS"/>
              </w:rPr>
            </w:pPr>
            <w:r w:rsidRPr="00E75D4E">
              <w:rPr>
                <w:rFonts w:eastAsia="Times New Roman" w:cs="Arial"/>
                <w:color w:val="595959"/>
                <w:sz w:val="14"/>
                <w:szCs w:val="14"/>
                <w:lang w:eastAsia="is-IS"/>
              </w:rPr>
              <w:t>6%</w:t>
            </w:r>
          </w:p>
        </w:tc>
        <w:tc>
          <w:tcPr>
            <w:tcW w:w="1120" w:type="dxa"/>
            <w:tcBorders>
              <w:top w:val="nil"/>
              <w:left w:val="nil"/>
              <w:bottom w:val="dotted" w:sz="4" w:space="0" w:color="808080"/>
              <w:right w:val="nil"/>
            </w:tcBorders>
            <w:shd w:val="clear" w:color="auto" w:fill="auto"/>
            <w:noWrap/>
            <w:vAlign w:val="center"/>
            <w:hideMark/>
          </w:tcPr>
          <w:p w:rsidR="00072236" w:rsidRPr="00E75D4E" w:rsidRDefault="00072236" w:rsidP="00072236">
            <w:pPr>
              <w:spacing w:after="0" w:line="240" w:lineRule="auto"/>
              <w:jc w:val="right"/>
              <w:rPr>
                <w:rFonts w:eastAsia="Times New Roman" w:cs="Arial"/>
                <w:color w:val="595959"/>
                <w:sz w:val="14"/>
                <w:szCs w:val="14"/>
                <w:lang w:eastAsia="is-IS"/>
              </w:rPr>
            </w:pPr>
            <w:r w:rsidRPr="00E75D4E">
              <w:rPr>
                <w:rFonts w:eastAsia="Times New Roman" w:cs="Arial"/>
                <w:color w:val="595959"/>
                <w:sz w:val="14"/>
                <w:szCs w:val="14"/>
                <w:lang w:eastAsia="is-IS"/>
              </w:rPr>
              <w:t>3%</w:t>
            </w:r>
          </w:p>
        </w:tc>
      </w:tr>
      <w:tr w:rsidR="00072236" w:rsidRPr="006958F2" w:rsidTr="00072236">
        <w:trPr>
          <w:trHeight w:val="225"/>
        </w:trPr>
        <w:tc>
          <w:tcPr>
            <w:tcW w:w="3440" w:type="dxa"/>
            <w:tcBorders>
              <w:top w:val="nil"/>
              <w:left w:val="nil"/>
              <w:bottom w:val="dotted" w:sz="4" w:space="0" w:color="808080"/>
              <w:right w:val="nil"/>
            </w:tcBorders>
            <w:shd w:val="clear" w:color="auto" w:fill="auto"/>
            <w:noWrap/>
            <w:vAlign w:val="center"/>
            <w:hideMark/>
          </w:tcPr>
          <w:p w:rsidR="00072236" w:rsidRPr="006958F2" w:rsidRDefault="00072236" w:rsidP="00672AF9">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Aircraft lease</w:t>
            </w:r>
          </w:p>
        </w:tc>
        <w:tc>
          <w:tcPr>
            <w:tcW w:w="1120" w:type="dxa"/>
            <w:tcBorders>
              <w:top w:val="nil"/>
              <w:left w:val="nil"/>
              <w:bottom w:val="dotted" w:sz="4" w:space="0" w:color="808080"/>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17,060</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28,829</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-11,769</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-41%</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w:t>
            </w:r>
          </w:p>
        </w:tc>
      </w:tr>
      <w:tr w:rsidR="00072236" w:rsidRPr="006958F2" w:rsidTr="00072236">
        <w:trPr>
          <w:trHeight w:val="225"/>
        </w:trPr>
        <w:tc>
          <w:tcPr>
            <w:tcW w:w="3440" w:type="dxa"/>
            <w:tcBorders>
              <w:top w:val="nil"/>
              <w:left w:val="nil"/>
              <w:bottom w:val="single" w:sz="4" w:space="0" w:color="969696"/>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Other operating revenue</w:t>
            </w:r>
          </w:p>
        </w:tc>
        <w:tc>
          <w:tcPr>
            <w:tcW w:w="1120" w:type="dxa"/>
            <w:tcBorders>
              <w:top w:val="nil"/>
              <w:left w:val="nil"/>
              <w:bottom w:val="nil"/>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80,911</w:t>
            </w:r>
          </w:p>
        </w:tc>
        <w:tc>
          <w:tcPr>
            <w:tcW w:w="1120" w:type="dxa"/>
            <w:tcBorders>
              <w:top w:val="nil"/>
              <w:left w:val="nil"/>
              <w:bottom w:val="single" w:sz="4" w:space="0" w:color="969696"/>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78,403</w:t>
            </w:r>
          </w:p>
        </w:tc>
        <w:tc>
          <w:tcPr>
            <w:tcW w:w="1120" w:type="dxa"/>
            <w:tcBorders>
              <w:top w:val="nil"/>
              <w:left w:val="nil"/>
              <w:bottom w:val="single" w:sz="4" w:space="0" w:color="969696"/>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2,508</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w:t>
            </w:r>
          </w:p>
        </w:tc>
        <w:tc>
          <w:tcPr>
            <w:tcW w:w="1120" w:type="dxa"/>
            <w:tcBorders>
              <w:top w:val="nil"/>
              <w:left w:val="nil"/>
              <w:bottom w:val="dotted" w:sz="4" w:space="0" w:color="808080"/>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19%</w:t>
            </w:r>
          </w:p>
        </w:tc>
      </w:tr>
      <w:tr w:rsidR="00072236" w:rsidRPr="006958F2" w:rsidTr="00072236">
        <w:trPr>
          <w:trHeight w:val="225"/>
        </w:trPr>
        <w:tc>
          <w:tcPr>
            <w:tcW w:w="3440" w:type="dxa"/>
            <w:tcBorders>
              <w:top w:val="nil"/>
              <w:left w:val="nil"/>
              <w:bottom w:val="single" w:sz="4" w:space="0" w:color="969696"/>
              <w:right w:val="nil"/>
            </w:tcBorders>
            <w:shd w:val="clear" w:color="auto" w:fill="auto"/>
            <w:noWrap/>
            <w:vAlign w:val="center"/>
            <w:hideMark/>
          </w:tcPr>
          <w:p w:rsidR="00072236" w:rsidRPr="006958F2" w:rsidRDefault="00072236" w:rsidP="00072236">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Total</w:t>
            </w:r>
          </w:p>
        </w:tc>
        <w:tc>
          <w:tcPr>
            <w:tcW w:w="1120" w:type="dxa"/>
            <w:tcBorders>
              <w:top w:val="single" w:sz="4" w:space="0" w:color="969696"/>
              <w:left w:val="nil"/>
              <w:bottom w:val="single" w:sz="4" w:space="0" w:color="969696"/>
              <w:right w:val="nil"/>
            </w:tcBorders>
            <w:shd w:val="clear" w:color="000000" w:fill="EBECEC"/>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418,746</w:t>
            </w:r>
          </w:p>
        </w:tc>
        <w:tc>
          <w:tcPr>
            <w:tcW w:w="1120" w:type="dxa"/>
            <w:tcBorders>
              <w:top w:val="nil"/>
              <w:left w:val="nil"/>
              <w:bottom w:val="single" w:sz="4" w:space="0" w:color="969696"/>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371,662</w:t>
            </w:r>
          </w:p>
        </w:tc>
        <w:tc>
          <w:tcPr>
            <w:tcW w:w="1120" w:type="dxa"/>
            <w:tcBorders>
              <w:top w:val="nil"/>
              <w:left w:val="nil"/>
              <w:bottom w:val="single" w:sz="4" w:space="0" w:color="969696"/>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47,084</w:t>
            </w:r>
          </w:p>
        </w:tc>
        <w:tc>
          <w:tcPr>
            <w:tcW w:w="1120" w:type="dxa"/>
            <w:tcBorders>
              <w:top w:val="single" w:sz="4" w:space="0" w:color="969696"/>
              <w:left w:val="nil"/>
              <w:bottom w:val="single" w:sz="4" w:space="0" w:color="969696"/>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13%</w:t>
            </w:r>
          </w:p>
        </w:tc>
        <w:tc>
          <w:tcPr>
            <w:tcW w:w="1120" w:type="dxa"/>
            <w:tcBorders>
              <w:top w:val="single" w:sz="4" w:space="0" w:color="969696"/>
              <w:left w:val="nil"/>
              <w:bottom w:val="single" w:sz="4" w:space="0" w:color="969696"/>
              <w:right w:val="nil"/>
            </w:tcBorders>
            <w:shd w:val="clear" w:color="auto" w:fill="auto"/>
            <w:noWrap/>
            <w:vAlign w:val="center"/>
            <w:hideMark/>
          </w:tcPr>
          <w:p w:rsidR="00072236" w:rsidRPr="006958F2" w:rsidRDefault="00072236" w:rsidP="00072236">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100%</w:t>
            </w:r>
          </w:p>
        </w:tc>
      </w:tr>
    </w:tbl>
    <w:p w:rsidR="001B3726" w:rsidRDefault="007C79DE" w:rsidP="00670B19">
      <w:pPr>
        <w:spacing w:before="240"/>
      </w:pPr>
      <w:r>
        <w:t>Transport revenue increased by USD 56.3 million; of this figure, passenger revenue increased by USD 55.7 million. Income from aircraft lease fell by USD 11.8 million and amounted to USD 17.1 million. Other operating revenues amounted to USD 80.9, up by USD 2.5 million, or 3%, as compared to the third quarter of 2013. Income from sales at hotels and air</w:t>
      </w:r>
      <w:r w:rsidR="00672AF9">
        <w:t>ports</w:t>
      </w:r>
      <w:r>
        <w:t xml:space="preserve"> and on board aircraft increased by USD 3.0 million from the corresponding period last year, and income from tourist services increased by USD 6.8 million. Income from sold maintenance services fell by USD 7.8 million. The third quarter of last year showed considerable income from sold consultancy and work on the installation of a new </w:t>
      </w:r>
      <w:r>
        <w:lastRenderedPageBreak/>
        <w:t xml:space="preserve">entertainment system and seats for customers' aircraft, whereas no such project was undertaken this year. The table below shows </w:t>
      </w:r>
      <w:r w:rsidR="00813A87">
        <w:t>a breakdown</w:t>
      </w:r>
      <w:r>
        <w:t xml:space="preserve"> of other revenue.</w:t>
      </w:r>
    </w:p>
    <w:tbl>
      <w:tblPr>
        <w:tblW w:w="7920" w:type="dxa"/>
        <w:tblInd w:w="55" w:type="dxa"/>
        <w:tblCellMar>
          <w:left w:w="70" w:type="dxa"/>
          <w:right w:w="70" w:type="dxa"/>
        </w:tblCellMar>
        <w:tblLook w:val="04A0" w:firstRow="1" w:lastRow="0" w:firstColumn="1" w:lastColumn="0" w:noHBand="0" w:noVBand="1"/>
      </w:tblPr>
      <w:tblGrid>
        <w:gridCol w:w="3440"/>
        <w:gridCol w:w="1120"/>
        <w:gridCol w:w="1120"/>
        <w:gridCol w:w="1120"/>
        <w:gridCol w:w="1120"/>
      </w:tblGrid>
      <w:tr w:rsidR="004E3BAF" w:rsidRPr="004E3BAF" w:rsidTr="004E3BAF">
        <w:trPr>
          <w:trHeight w:val="225"/>
        </w:trPr>
        <w:tc>
          <w:tcPr>
            <w:tcW w:w="3440" w:type="dxa"/>
            <w:tcBorders>
              <w:top w:val="nil"/>
              <w:left w:val="nil"/>
              <w:bottom w:val="single" w:sz="4" w:space="0" w:color="808080"/>
              <w:right w:val="nil"/>
            </w:tcBorders>
            <w:shd w:val="clear" w:color="auto" w:fill="auto"/>
            <w:noWrap/>
            <w:vAlign w:val="center"/>
            <w:hideMark/>
          </w:tcPr>
          <w:p w:rsidR="004E3BAF" w:rsidRPr="004E3BAF" w:rsidRDefault="004E3BAF" w:rsidP="004E3BAF">
            <w:pPr>
              <w:spacing w:after="0" w:line="240" w:lineRule="auto"/>
              <w:jc w:val="left"/>
              <w:rPr>
                <w:rFonts w:eastAsia="Times New Roman" w:cs="Arial"/>
                <w:b/>
                <w:bCs/>
                <w:color w:val="595959"/>
                <w:sz w:val="16"/>
                <w:szCs w:val="16"/>
                <w:lang w:eastAsia="is-IS" w:bidi="ar-SA"/>
              </w:rPr>
            </w:pPr>
            <w:r w:rsidRPr="004E3BAF">
              <w:rPr>
                <w:rFonts w:eastAsia="Times New Roman" w:cs="Arial"/>
                <w:b/>
                <w:bCs/>
                <w:color w:val="595959"/>
                <w:sz w:val="16"/>
                <w:szCs w:val="16"/>
                <w:lang w:eastAsia="is-IS" w:bidi="ar-SA"/>
              </w:rPr>
              <w:t>USD thousand</w:t>
            </w:r>
          </w:p>
        </w:tc>
        <w:tc>
          <w:tcPr>
            <w:tcW w:w="1120" w:type="dxa"/>
            <w:tcBorders>
              <w:top w:val="nil"/>
              <w:left w:val="nil"/>
              <w:bottom w:val="single" w:sz="4" w:space="0" w:color="808080"/>
              <w:right w:val="nil"/>
            </w:tcBorders>
            <w:shd w:val="clear" w:color="000000" w:fill="EBECEC"/>
            <w:noWrap/>
            <w:vAlign w:val="center"/>
            <w:hideMark/>
          </w:tcPr>
          <w:p w:rsidR="004E3BAF" w:rsidRPr="004E3BAF" w:rsidRDefault="004E3BAF" w:rsidP="004E3BAF">
            <w:pPr>
              <w:spacing w:after="0" w:line="240" w:lineRule="auto"/>
              <w:jc w:val="right"/>
              <w:rPr>
                <w:rFonts w:eastAsia="Times New Roman" w:cs="Arial"/>
                <w:b/>
                <w:bCs/>
                <w:color w:val="595959"/>
                <w:sz w:val="16"/>
                <w:szCs w:val="16"/>
                <w:lang w:eastAsia="is-IS" w:bidi="ar-SA"/>
              </w:rPr>
            </w:pPr>
            <w:r w:rsidRPr="004E3BAF">
              <w:rPr>
                <w:rFonts w:eastAsia="Times New Roman" w:cs="Arial"/>
                <w:b/>
                <w:bCs/>
                <w:color w:val="595959"/>
                <w:sz w:val="16"/>
                <w:szCs w:val="16"/>
                <w:lang w:eastAsia="is-IS" w:bidi="ar-SA"/>
              </w:rPr>
              <w:t>Q3 2014</w:t>
            </w:r>
          </w:p>
        </w:tc>
        <w:tc>
          <w:tcPr>
            <w:tcW w:w="1120" w:type="dxa"/>
            <w:tcBorders>
              <w:top w:val="nil"/>
              <w:left w:val="nil"/>
              <w:bottom w:val="single"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b/>
                <w:bCs/>
                <w:color w:val="595959"/>
                <w:sz w:val="16"/>
                <w:szCs w:val="16"/>
                <w:lang w:eastAsia="is-IS" w:bidi="ar-SA"/>
              </w:rPr>
            </w:pPr>
            <w:r w:rsidRPr="004E3BAF">
              <w:rPr>
                <w:rFonts w:eastAsia="Times New Roman" w:cs="Arial"/>
                <w:b/>
                <w:bCs/>
                <w:color w:val="595959"/>
                <w:sz w:val="16"/>
                <w:szCs w:val="16"/>
                <w:lang w:eastAsia="is-IS" w:bidi="ar-SA"/>
              </w:rPr>
              <w:t>Q3 2013</w:t>
            </w:r>
          </w:p>
        </w:tc>
        <w:tc>
          <w:tcPr>
            <w:tcW w:w="1120" w:type="dxa"/>
            <w:tcBorders>
              <w:top w:val="nil"/>
              <w:left w:val="nil"/>
              <w:bottom w:val="single"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b/>
                <w:bCs/>
                <w:color w:val="595959"/>
                <w:sz w:val="16"/>
                <w:szCs w:val="16"/>
                <w:lang w:eastAsia="is-IS" w:bidi="ar-SA"/>
              </w:rPr>
            </w:pPr>
            <w:r w:rsidRPr="004E3BAF">
              <w:rPr>
                <w:rFonts w:eastAsia="Times New Roman" w:cs="Arial"/>
                <w:b/>
                <w:bCs/>
                <w:color w:val="595959"/>
                <w:sz w:val="16"/>
                <w:szCs w:val="16"/>
                <w:lang w:eastAsia="is-IS" w:bidi="ar-SA"/>
              </w:rPr>
              <w:t>Change</w:t>
            </w:r>
          </w:p>
        </w:tc>
        <w:tc>
          <w:tcPr>
            <w:tcW w:w="1120" w:type="dxa"/>
            <w:tcBorders>
              <w:top w:val="nil"/>
              <w:left w:val="nil"/>
              <w:bottom w:val="single"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b/>
                <w:bCs/>
                <w:color w:val="595959"/>
                <w:sz w:val="16"/>
                <w:szCs w:val="16"/>
                <w:lang w:eastAsia="is-IS" w:bidi="ar-SA"/>
              </w:rPr>
            </w:pPr>
            <w:r w:rsidRPr="004E3BAF">
              <w:rPr>
                <w:rFonts w:eastAsia="Times New Roman" w:cs="Arial"/>
                <w:b/>
                <w:bCs/>
                <w:color w:val="595959"/>
                <w:sz w:val="16"/>
                <w:szCs w:val="16"/>
                <w:lang w:eastAsia="is-IS" w:bidi="ar-SA"/>
              </w:rPr>
              <w:t>% Change</w:t>
            </w:r>
          </w:p>
        </w:tc>
      </w:tr>
      <w:tr w:rsidR="004E3BAF" w:rsidRPr="004E3BAF" w:rsidTr="004E3BAF">
        <w:trPr>
          <w:trHeight w:val="225"/>
        </w:trPr>
        <w:tc>
          <w:tcPr>
            <w:tcW w:w="3440" w:type="dxa"/>
            <w:tcBorders>
              <w:top w:val="nil"/>
              <w:left w:val="nil"/>
              <w:bottom w:val="dotted" w:sz="4" w:space="0" w:color="808080"/>
              <w:right w:val="nil"/>
            </w:tcBorders>
            <w:shd w:val="clear" w:color="auto" w:fill="auto"/>
            <w:noWrap/>
            <w:vAlign w:val="center"/>
            <w:hideMark/>
          </w:tcPr>
          <w:p w:rsidR="004E3BAF" w:rsidRPr="004E3BAF" w:rsidRDefault="00BA0922" w:rsidP="004E3BAF">
            <w:pPr>
              <w:spacing w:after="0" w:line="240" w:lineRule="auto"/>
              <w:jc w:val="left"/>
              <w:rPr>
                <w:rFonts w:eastAsia="Times New Roman" w:cs="Arial"/>
                <w:color w:val="595959"/>
                <w:sz w:val="16"/>
                <w:szCs w:val="16"/>
                <w:lang w:eastAsia="is-IS" w:bidi="ar-SA"/>
              </w:rPr>
            </w:pPr>
            <w:r>
              <w:rPr>
                <w:rFonts w:eastAsia="Times New Roman" w:cs="Arial"/>
                <w:color w:val="595959"/>
                <w:sz w:val="16"/>
                <w:szCs w:val="16"/>
                <w:lang w:eastAsia="is-IS" w:bidi="ar-SA"/>
              </w:rPr>
              <w:t xml:space="preserve">Sale at airports, </w:t>
            </w:r>
            <w:r w:rsidR="004E3BAF" w:rsidRPr="004E3BAF">
              <w:rPr>
                <w:rFonts w:eastAsia="Times New Roman" w:cs="Arial"/>
                <w:color w:val="595959"/>
                <w:sz w:val="16"/>
                <w:szCs w:val="16"/>
                <w:lang w:eastAsia="is-IS" w:bidi="ar-SA"/>
              </w:rPr>
              <w:t>hotels</w:t>
            </w:r>
            <w:r>
              <w:rPr>
                <w:rFonts w:eastAsia="Times New Roman" w:cs="Arial"/>
                <w:color w:val="595959"/>
                <w:sz w:val="16"/>
                <w:szCs w:val="16"/>
                <w:lang w:eastAsia="is-IS" w:bidi="ar-SA"/>
              </w:rPr>
              <w:t xml:space="preserve"> and aircraft</w:t>
            </w:r>
          </w:p>
        </w:tc>
        <w:tc>
          <w:tcPr>
            <w:tcW w:w="1120" w:type="dxa"/>
            <w:tcBorders>
              <w:top w:val="nil"/>
              <w:left w:val="nil"/>
              <w:bottom w:val="dotted" w:sz="4" w:space="0" w:color="808080"/>
              <w:right w:val="nil"/>
            </w:tcBorders>
            <w:shd w:val="clear" w:color="000000" w:fill="EBECEC"/>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26,899</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23,893</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3,006</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13%</w:t>
            </w:r>
          </w:p>
        </w:tc>
      </w:tr>
      <w:tr w:rsidR="004E3BAF" w:rsidRPr="004E3BAF" w:rsidTr="004E3BAF">
        <w:trPr>
          <w:trHeight w:val="225"/>
        </w:trPr>
        <w:tc>
          <w:tcPr>
            <w:tcW w:w="344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left"/>
              <w:rPr>
                <w:rFonts w:eastAsia="Times New Roman" w:cs="Arial"/>
                <w:color w:val="595959"/>
                <w:sz w:val="16"/>
                <w:szCs w:val="16"/>
                <w:lang w:eastAsia="is-IS" w:bidi="ar-SA"/>
              </w:rPr>
            </w:pPr>
            <w:r w:rsidRPr="004E3BAF">
              <w:rPr>
                <w:rFonts w:eastAsia="Times New Roman" w:cs="Arial"/>
                <w:color w:val="595959"/>
                <w:sz w:val="16"/>
                <w:szCs w:val="16"/>
                <w:lang w:eastAsia="is-IS" w:bidi="ar-SA"/>
              </w:rPr>
              <w:t>Revenue from tourism</w:t>
            </w:r>
          </w:p>
        </w:tc>
        <w:tc>
          <w:tcPr>
            <w:tcW w:w="1120" w:type="dxa"/>
            <w:tcBorders>
              <w:top w:val="nil"/>
              <w:left w:val="nil"/>
              <w:bottom w:val="dotted" w:sz="4" w:space="0" w:color="808080"/>
              <w:right w:val="nil"/>
            </w:tcBorders>
            <w:shd w:val="clear" w:color="000000" w:fill="EBECEC"/>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39,326</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32,559</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6,767</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21%</w:t>
            </w:r>
          </w:p>
        </w:tc>
      </w:tr>
      <w:tr w:rsidR="004E3BAF" w:rsidRPr="004E3BAF" w:rsidTr="004E3BAF">
        <w:trPr>
          <w:trHeight w:val="225"/>
        </w:trPr>
        <w:tc>
          <w:tcPr>
            <w:tcW w:w="344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left"/>
              <w:rPr>
                <w:rFonts w:eastAsia="Times New Roman" w:cs="Arial"/>
                <w:color w:val="595959"/>
                <w:sz w:val="16"/>
                <w:szCs w:val="16"/>
                <w:lang w:eastAsia="is-IS" w:bidi="ar-SA"/>
              </w:rPr>
            </w:pPr>
            <w:r w:rsidRPr="004E3BAF">
              <w:rPr>
                <w:rFonts w:eastAsia="Times New Roman" w:cs="Arial"/>
                <w:color w:val="595959"/>
                <w:sz w:val="16"/>
                <w:szCs w:val="16"/>
                <w:lang w:eastAsia="is-IS" w:bidi="ar-SA"/>
              </w:rPr>
              <w:t>Aircraft and cargo handling services</w:t>
            </w:r>
          </w:p>
        </w:tc>
        <w:tc>
          <w:tcPr>
            <w:tcW w:w="1120" w:type="dxa"/>
            <w:tcBorders>
              <w:top w:val="nil"/>
              <w:left w:val="nil"/>
              <w:bottom w:val="dotted" w:sz="4" w:space="0" w:color="808080"/>
              <w:right w:val="nil"/>
            </w:tcBorders>
            <w:shd w:val="clear" w:color="000000" w:fill="EBECEC"/>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8,757</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8,246</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511</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6%</w:t>
            </w:r>
          </w:p>
        </w:tc>
      </w:tr>
      <w:tr w:rsidR="004E3BAF" w:rsidRPr="004E3BAF" w:rsidTr="004E3BAF">
        <w:trPr>
          <w:trHeight w:val="225"/>
        </w:trPr>
        <w:tc>
          <w:tcPr>
            <w:tcW w:w="344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left"/>
              <w:rPr>
                <w:rFonts w:eastAsia="Times New Roman" w:cs="Arial"/>
                <w:color w:val="595959"/>
                <w:sz w:val="16"/>
                <w:szCs w:val="16"/>
                <w:lang w:eastAsia="is-IS" w:bidi="ar-SA"/>
              </w:rPr>
            </w:pPr>
            <w:r w:rsidRPr="004E3BAF">
              <w:rPr>
                <w:rFonts w:eastAsia="Times New Roman" w:cs="Arial"/>
                <w:color w:val="595959"/>
                <w:sz w:val="16"/>
                <w:szCs w:val="16"/>
                <w:lang w:eastAsia="is-IS" w:bidi="ar-SA"/>
              </w:rPr>
              <w:t>Maintenance revenue</w:t>
            </w:r>
          </w:p>
        </w:tc>
        <w:tc>
          <w:tcPr>
            <w:tcW w:w="1120" w:type="dxa"/>
            <w:tcBorders>
              <w:top w:val="nil"/>
              <w:left w:val="nil"/>
              <w:bottom w:val="dotted" w:sz="4" w:space="0" w:color="808080"/>
              <w:right w:val="nil"/>
            </w:tcBorders>
            <w:shd w:val="clear" w:color="000000" w:fill="EBECEC"/>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1,892</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9,729</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-7,837</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-81%</w:t>
            </w:r>
          </w:p>
        </w:tc>
      </w:tr>
      <w:tr w:rsidR="004E3BAF" w:rsidRPr="004E3BAF" w:rsidTr="004E3BAF">
        <w:trPr>
          <w:trHeight w:val="225"/>
        </w:trPr>
        <w:tc>
          <w:tcPr>
            <w:tcW w:w="344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left"/>
              <w:rPr>
                <w:rFonts w:eastAsia="Times New Roman" w:cs="Arial"/>
                <w:color w:val="595959"/>
                <w:sz w:val="16"/>
                <w:szCs w:val="16"/>
                <w:lang w:eastAsia="is-IS" w:bidi="ar-SA"/>
              </w:rPr>
            </w:pPr>
            <w:r w:rsidRPr="004E3BAF">
              <w:rPr>
                <w:rFonts w:eastAsia="Times New Roman" w:cs="Arial"/>
                <w:color w:val="595959"/>
                <w:sz w:val="16"/>
                <w:szCs w:val="16"/>
                <w:lang w:eastAsia="is-IS" w:bidi="ar-SA"/>
              </w:rPr>
              <w:t>Gain on sale of operating assets</w:t>
            </w:r>
          </w:p>
        </w:tc>
        <w:tc>
          <w:tcPr>
            <w:tcW w:w="1120" w:type="dxa"/>
            <w:tcBorders>
              <w:top w:val="nil"/>
              <w:left w:val="nil"/>
              <w:bottom w:val="dotted" w:sz="4" w:space="0" w:color="808080"/>
              <w:right w:val="nil"/>
            </w:tcBorders>
            <w:shd w:val="clear" w:color="000000" w:fill="EBECEC"/>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75</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307</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-232</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-76%</w:t>
            </w:r>
          </w:p>
        </w:tc>
      </w:tr>
      <w:tr w:rsidR="004E3BAF" w:rsidRPr="004E3BAF" w:rsidTr="004E3BAF">
        <w:trPr>
          <w:trHeight w:val="225"/>
        </w:trPr>
        <w:tc>
          <w:tcPr>
            <w:tcW w:w="3440" w:type="dxa"/>
            <w:tcBorders>
              <w:top w:val="nil"/>
              <w:left w:val="nil"/>
              <w:bottom w:val="nil"/>
              <w:right w:val="nil"/>
            </w:tcBorders>
            <w:shd w:val="clear" w:color="auto" w:fill="auto"/>
            <w:noWrap/>
            <w:vAlign w:val="center"/>
            <w:hideMark/>
          </w:tcPr>
          <w:p w:rsidR="004E3BAF" w:rsidRPr="004E3BAF" w:rsidRDefault="004E3BAF" w:rsidP="004E3BAF">
            <w:pPr>
              <w:spacing w:after="0" w:line="240" w:lineRule="auto"/>
              <w:jc w:val="left"/>
              <w:rPr>
                <w:rFonts w:eastAsia="Times New Roman" w:cs="Arial"/>
                <w:color w:val="595959"/>
                <w:sz w:val="16"/>
                <w:szCs w:val="16"/>
                <w:lang w:eastAsia="is-IS" w:bidi="ar-SA"/>
              </w:rPr>
            </w:pPr>
            <w:r w:rsidRPr="004E3BAF">
              <w:rPr>
                <w:rFonts w:eastAsia="Times New Roman" w:cs="Arial"/>
                <w:color w:val="595959"/>
                <w:sz w:val="16"/>
                <w:szCs w:val="16"/>
                <w:lang w:eastAsia="is-IS" w:bidi="ar-SA"/>
              </w:rPr>
              <w:t>Other operating revenue</w:t>
            </w:r>
          </w:p>
        </w:tc>
        <w:tc>
          <w:tcPr>
            <w:tcW w:w="1120" w:type="dxa"/>
            <w:tcBorders>
              <w:top w:val="nil"/>
              <w:left w:val="nil"/>
              <w:bottom w:val="nil"/>
              <w:right w:val="nil"/>
            </w:tcBorders>
            <w:shd w:val="clear" w:color="000000" w:fill="EBECEC"/>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3,962</w:t>
            </w:r>
          </w:p>
        </w:tc>
        <w:tc>
          <w:tcPr>
            <w:tcW w:w="1120" w:type="dxa"/>
            <w:tcBorders>
              <w:top w:val="nil"/>
              <w:left w:val="nil"/>
              <w:bottom w:val="nil"/>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3,669</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293</w:t>
            </w:r>
          </w:p>
        </w:tc>
        <w:tc>
          <w:tcPr>
            <w:tcW w:w="1120" w:type="dxa"/>
            <w:tcBorders>
              <w:top w:val="nil"/>
              <w:left w:val="nil"/>
              <w:bottom w:val="dotted" w:sz="4" w:space="0" w:color="808080"/>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color w:val="595959"/>
                <w:sz w:val="16"/>
                <w:szCs w:val="16"/>
                <w:lang w:eastAsia="is-IS" w:bidi="ar-SA"/>
              </w:rPr>
            </w:pPr>
            <w:r w:rsidRPr="004E3BAF">
              <w:rPr>
                <w:rFonts w:eastAsia="Times New Roman" w:cs="Arial"/>
                <w:color w:val="595959"/>
                <w:sz w:val="16"/>
                <w:szCs w:val="16"/>
                <w:lang w:eastAsia="is-IS" w:bidi="ar-SA"/>
              </w:rPr>
              <w:t>8%</w:t>
            </w:r>
          </w:p>
        </w:tc>
      </w:tr>
      <w:tr w:rsidR="004E3BAF" w:rsidRPr="004E3BAF" w:rsidTr="004E3BAF">
        <w:trPr>
          <w:trHeight w:val="225"/>
        </w:trPr>
        <w:tc>
          <w:tcPr>
            <w:tcW w:w="3440" w:type="dxa"/>
            <w:tcBorders>
              <w:top w:val="single" w:sz="4" w:space="0" w:color="969696"/>
              <w:left w:val="nil"/>
              <w:bottom w:val="single" w:sz="4" w:space="0" w:color="969696"/>
              <w:right w:val="nil"/>
            </w:tcBorders>
            <w:shd w:val="clear" w:color="auto" w:fill="auto"/>
            <w:noWrap/>
            <w:vAlign w:val="center"/>
            <w:hideMark/>
          </w:tcPr>
          <w:p w:rsidR="004E3BAF" w:rsidRPr="004E3BAF" w:rsidRDefault="004E3BAF" w:rsidP="004E3BAF">
            <w:pPr>
              <w:spacing w:after="0" w:line="240" w:lineRule="auto"/>
              <w:jc w:val="left"/>
              <w:rPr>
                <w:rFonts w:eastAsia="Times New Roman" w:cs="Arial"/>
                <w:b/>
                <w:bCs/>
                <w:color w:val="595959"/>
                <w:sz w:val="16"/>
                <w:szCs w:val="16"/>
                <w:lang w:eastAsia="is-IS" w:bidi="ar-SA"/>
              </w:rPr>
            </w:pPr>
            <w:r w:rsidRPr="004E3BAF">
              <w:rPr>
                <w:rFonts w:eastAsia="Times New Roman" w:cs="Arial"/>
                <w:b/>
                <w:bCs/>
                <w:color w:val="595959"/>
                <w:sz w:val="16"/>
                <w:szCs w:val="16"/>
                <w:lang w:eastAsia="is-IS" w:bidi="ar-SA"/>
              </w:rPr>
              <w:t>Total</w:t>
            </w:r>
          </w:p>
        </w:tc>
        <w:tc>
          <w:tcPr>
            <w:tcW w:w="1120" w:type="dxa"/>
            <w:tcBorders>
              <w:top w:val="single" w:sz="4" w:space="0" w:color="969696"/>
              <w:left w:val="nil"/>
              <w:bottom w:val="single" w:sz="4" w:space="0" w:color="969696"/>
              <w:right w:val="nil"/>
            </w:tcBorders>
            <w:shd w:val="clear" w:color="000000" w:fill="EBECEC"/>
            <w:noWrap/>
            <w:vAlign w:val="center"/>
            <w:hideMark/>
          </w:tcPr>
          <w:p w:rsidR="004E3BAF" w:rsidRPr="004E3BAF" w:rsidRDefault="004E3BAF" w:rsidP="004E3BAF">
            <w:pPr>
              <w:spacing w:after="0" w:line="240" w:lineRule="auto"/>
              <w:jc w:val="right"/>
              <w:rPr>
                <w:rFonts w:eastAsia="Times New Roman" w:cs="Arial"/>
                <w:b/>
                <w:bCs/>
                <w:color w:val="595959"/>
                <w:sz w:val="16"/>
                <w:szCs w:val="16"/>
                <w:lang w:eastAsia="is-IS" w:bidi="ar-SA"/>
              </w:rPr>
            </w:pPr>
            <w:r w:rsidRPr="004E3BAF">
              <w:rPr>
                <w:rFonts w:eastAsia="Times New Roman" w:cs="Arial"/>
                <w:b/>
                <w:bCs/>
                <w:color w:val="595959"/>
                <w:sz w:val="16"/>
                <w:szCs w:val="16"/>
                <w:lang w:eastAsia="is-IS" w:bidi="ar-SA"/>
              </w:rPr>
              <w:t>80,911</w:t>
            </w:r>
          </w:p>
        </w:tc>
        <w:tc>
          <w:tcPr>
            <w:tcW w:w="1120" w:type="dxa"/>
            <w:tcBorders>
              <w:top w:val="single" w:sz="4" w:space="0" w:color="969696"/>
              <w:left w:val="nil"/>
              <w:bottom w:val="single" w:sz="4" w:space="0" w:color="969696"/>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b/>
                <w:bCs/>
                <w:color w:val="595959"/>
                <w:sz w:val="16"/>
                <w:szCs w:val="16"/>
                <w:lang w:eastAsia="is-IS" w:bidi="ar-SA"/>
              </w:rPr>
            </w:pPr>
            <w:r w:rsidRPr="004E3BAF">
              <w:rPr>
                <w:rFonts w:eastAsia="Times New Roman" w:cs="Arial"/>
                <w:b/>
                <w:bCs/>
                <w:color w:val="595959"/>
                <w:sz w:val="16"/>
                <w:szCs w:val="16"/>
                <w:lang w:eastAsia="is-IS" w:bidi="ar-SA"/>
              </w:rPr>
              <w:t>78,403</w:t>
            </w:r>
          </w:p>
        </w:tc>
        <w:tc>
          <w:tcPr>
            <w:tcW w:w="1120" w:type="dxa"/>
            <w:tcBorders>
              <w:top w:val="single" w:sz="4" w:space="0" w:color="969696"/>
              <w:left w:val="nil"/>
              <w:bottom w:val="single" w:sz="4" w:space="0" w:color="969696"/>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b/>
                <w:bCs/>
                <w:color w:val="595959"/>
                <w:sz w:val="16"/>
                <w:szCs w:val="16"/>
                <w:lang w:eastAsia="is-IS" w:bidi="ar-SA"/>
              </w:rPr>
            </w:pPr>
            <w:r w:rsidRPr="004E3BAF">
              <w:rPr>
                <w:rFonts w:eastAsia="Times New Roman" w:cs="Arial"/>
                <w:b/>
                <w:bCs/>
                <w:color w:val="595959"/>
                <w:sz w:val="16"/>
                <w:szCs w:val="16"/>
                <w:lang w:eastAsia="is-IS" w:bidi="ar-SA"/>
              </w:rPr>
              <w:t>2,508</w:t>
            </w:r>
          </w:p>
        </w:tc>
        <w:tc>
          <w:tcPr>
            <w:tcW w:w="1120" w:type="dxa"/>
            <w:tcBorders>
              <w:top w:val="single" w:sz="4" w:space="0" w:color="969696"/>
              <w:left w:val="nil"/>
              <w:bottom w:val="single" w:sz="4" w:space="0" w:color="969696"/>
              <w:right w:val="nil"/>
            </w:tcBorders>
            <w:shd w:val="clear" w:color="auto" w:fill="auto"/>
            <w:noWrap/>
            <w:vAlign w:val="center"/>
            <w:hideMark/>
          </w:tcPr>
          <w:p w:rsidR="004E3BAF" w:rsidRPr="004E3BAF" w:rsidRDefault="004E3BAF" w:rsidP="004E3BAF">
            <w:pPr>
              <w:spacing w:after="0" w:line="240" w:lineRule="auto"/>
              <w:jc w:val="right"/>
              <w:rPr>
                <w:rFonts w:eastAsia="Times New Roman" w:cs="Arial"/>
                <w:b/>
                <w:bCs/>
                <w:color w:val="595959"/>
                <w:sz w:val="16"/>
                <w:szCs w:val="16"/>
                <w:lang w:eastAsia="is-IS" w:bidi="ar-SA"/>
              </w:rPr>
            </w:pPr>
            <w:r w:rsidRPr="004E3BAF">
              <w:rPr>
                <w:rFonts w:eastAsia="Times New Roman" w:cs="Arial"/>
                <w:b/>
                <w:bCs/>
                <w:color w:val="595959"/>
                <w:sz w:val="16"/>
                <w:szCs w:val="16"/>
                <w:lang w:eastAsia="is-IS" w:bidi="ar-SA"/>
              </w:rPr>
              <w:t>3%</w:t>
            </w:r>
          </w:p>
        </w:tc>
      </w:tr>
    </w:tbl>
    <w:p w:rsidR="001B3726" w:rsidRPr="00D74FC8" w:rsidRDefault="001B3726" w:rsidP="001823F4">
      <w:pPr>
        <w:pStyle w:val="NoSpacing"/>
        <w:rPr>
          <w:highlight w:val="yellow"/>
        </w:rPr>
      </w:pPr>
      <w:r>
        <w:t>EXPENSES</w:t>
      </w:r>
    </w:p>
    <w:p w:rsidR="001B3726" w:rsidRPr="00A04926" w:rsidRDefault="0067551A" w:rsidP="001B0C29">
      <w:pPr>
        <w:pStyle w:val="Heading2"/>
      </w:pPr>
      <w:r>
        <w:t>Total expenses amounted to USD 294.9 million</w:t>
      </w:r>
    </w:p>
    <w:p w:rsidR="001B3726" w:rsidRPr="00A04926" w:rsidRDefault="001B3726" w:rsidP="001B0C29">
      <w:pPr>
        <w:pStyle w:val="Heading2"/>
      </w:pPr>
      <w:r>
        <w:t>Cost increases mostly a result of increased capacity on international flights and increased tourist-related services in Iceland</w:t>
      </w:r>
    </w:p>
    <w:p w:rsidR="001B3726" w:rsidRDefault="001B3726" w:rsidP="00670B19">
      <w:pPr>
        <w:pStyle w:val="Heading2"/>
        <w:spacing w:after="240"/>
        <w:ind w:left="357" w:hanging="357"/>
      </w:pPr>
      <w:r>
        <w:t>Income from aircraft lease fell as a result of the reduced number of aircraft on lease in addition to a fall in lease prices</w:t>
      </w:r>
    </w:p>
    <w:tbl>
      <w:tblPr>
        <w:tblW w:w="9040" w:type="dxa"/>
        <w:tblInd w:w="55" w:type="dxa"/>
        <w:tblCellMar>
          <w:left w:w="70" w:type="dxa"/>
          <w:right w:w="70" w:type="dxa"/>
        </w:tblCellMar>
        <w:tblLook w:val="04A0" w:firstRow="1" w:lastRow="0" w:firstColumn="1" w:lastColumn="0" w:noHBand="0" w:noVBand="1"/>
      </w:tblPr>
      <w:tblGrid>
        <w:gridCol w:w="3440"/>
        <w:gridCol w:w="1120"/>
        <w:gridCol w:w="1120"/>
        <w:gridCol w:w="1120"/>
        <w:gridCol w:w="1120"/>
        <w:gridCol w:w="1120"/>
      </w:tblGrid>
      <w:tr w:rsidR="00813A87" w:rsidRPr="006958F2" w:rsidTr="008716A0">
        <w:trPr>
          <w:trHeight w:val="225"/>
        </w:trPr>
        <w:tc>
          <w:tcPr>
            <w:tcW w:w="344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USD thousand</w:t>
            </w:r>
          </w:p>
        </w:tc>
        <w:tc>
          <w:tcPr>
            <w:tcW w:w="1120" w:type="dxa"/>
            <w:tcBorders>
              <w:top w:val="nil"/>
              <w:left w:val="nil"/>
              <w:bottom w:val="single"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2014</w:t>
            </w:r>
          </w:p>
        </w:tc>
        <w:tc>
          <w:tcPr>
            <w:tcW w:w="11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2013</w:t>
            </w:r>
          </w:p>
        </w:tc>
        <w:tc>
          <w:tcPr>
            <w:tcW w:w="11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Change</w:t>
            </w:r>
          </w:p>
        </w:tc>
        <w:tc>
          <w:tcPr>
            <w:tcW w:w="11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Change</w:t>
            </w:r>
          </w:p>
        </w:tc>
        <w:tc>
          <w:tcPr>
            <w:tcW w:w="11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of exp. ´14</w:t>
            </w:r>
          </w:p>
        </w:tc>
      </w:tr>
      <w:tr w:rsidR="00813A87" w:rsidRPr="006958F2" w:rsidTr="008716A0">
        <w:trPr>
          <w:trHeight w:val="225"/>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Salaries and other personnel expenses</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69,753</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61,519</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8,234</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24%</w:t>
            </w:r>
          </w:p>
        </w:tc>
      </w:tr>
      <w:tr w:rsidR="00813A87" w:rsidRPr="006958F2" w:rsidTr="008716A0">
        <w:trPr>
          <w:trHeight w:val="225"/>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Aircraft fuel</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95,783</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80,605</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15,178</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19%</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32%</w:t>
            </w:r>
          </w:p>
        </w:tc>
      </w:tr>
      <w:tr w:rsidR="00813A87" w:rsidRPr="006958F2" w:rsidTr="008716A0">
        <w:trPr>
          <w:trHeight w:val="225"/>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Aircraft lease</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5,732</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8,927</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-3,195</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-36%</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w:t>
            </w:r>
          </w:p>
        </w:tc>
      </w:tr>
      <w:tr w:rsidR="00813A87" w:rsidRPr="006958F2" w:rsidTr="008716A0">
        <w:trPr>
          <w:trHeight w:val="225"/>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Aircraft handling, landing and communication</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29,357</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25,532</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3,825</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15%</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w:t>
            </w:r>
          </w:p>
        </w:tc>
      </w:tr>
      <w:tr w:rsidR="00813A87" w:rsidRPr="006958F2" w:rsidTr="008716A0">
        <w:trPr>
          <w:trHeight w:val="225"/>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Aircraft maintenance expenses</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21,647</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26,744</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-5,097</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-19%</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w:t>
            </w:r>
          </w:p>
        </w:tc>
      </w:tr>
      <w:tr w:rsidR="00813A87" w:rsidRPr="006958F2" w:rsidTr="008716A0">
        <w:trPr>
          <w:trHeight w:val="225"/>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Other operating expenses</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72,591</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66,092</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6,499</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25%</w:t>
            </w:r>
          </w:p>
        </w:tc>
      </w:tr>
      <w:tr w:rsidR="00813A87" w:rsidRPr="006958F2" w:rsidTr="008716A0">
        <w:trPr>
          <w:trHeight w:val="225"/>
        </w:trPr>
        <w:tc>
          <w:tcPr>
            <w:tcW w:w="344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Total</w:t>
            </w:r>
          </w:p>
        </w:tc>
        <w:tc>
          <w:tcPr>
            <w:tcW w:w="1120" w:type="dxa"/>
            <w:tcBorders>
              <w:top w:val="single" w:sz="4" w:space="0" w:color="969696"/>
              <w:left w:val="nil"/>
              <w:bottom w:val="single" w:sz="4" w:space="0" w:color="969696"/>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294,863</w:t>
            </w:r>
          </w:p>
        </w:tc>
        <w:tc>
          <w:tcPr>
            <w:tcW w:w="112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269,419</w:t>
            </w:r>
          </w:p>
        </w:tc>
        <w:tc>
          <w:tcPr>
            <w:tcW w:w="112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25,444</w:t>
            </w:r>
          </w:p>
        </w:tc>
        <w:tc>
          <w:tcPr>
            <w:tcW w:w="112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9%</w:t>
            </w:r>
          </w:p>
        </w:tc>
        <w:tc>
          <w:tcPr>
            <w:tcW w:w="112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100%</w:t>
            </w:r>
          </w:p>
        </w:tc>
      </w:tr>
    </w:tbl>
    <w:p w:rsidR="001B3726" w:rsidRPr="0067551A" w:rsidRDefault="001B3726" w:rsidP="00670B19">
      <w:pPr>
        <w:spacing w:before="240"/>
      </w:pPr>
      <w:r>
        <w:t xml:space="preserve">Salaries and other personnel expenses increased by USD 8.2 million, or 13%, in comparison with the third quarter of 2013. The increase was a result of the expanded scope of the Company's business, in addition to the impact of contractual wage increases. </w:t>
      </w:r>
    </w:p>
    <w:p w:rsidR="006156D8" w:rsidRDefault="001B3726" w:rsidP="001B3726">
      <w:r>
        <w:t xml:space="preserve">Fuel costs amounted to USD 95.8 million, up by USD 15.2 million, which represents an increase of 19% from the preceding year and reflects the increased </w:t>
      </w:r>
      <w:r w:rsidR="003508EA">
        <w:t>capacity on international flights</w:t>
      </w:r>
      <w:r>
        <w:t xml:space="preserve">. The world market price of fuel has been falling in 2014; The price was on average USD 938/ton in the third quarter of 2014, as compared to USD 995/ton over the same period in 2013. </w:t>
      </w:r>
    </w:p>
    <w:p w:rsidR="001B3726" w:rsidRPr="00A04926" w:rsidRDefault="001B3726" w:rsidP="001B3726">
      <w:r>
        <w:t xml:space="preserve">Aircraft lease decreased in comparison with the third quarter of 2013 by USD 3.2 million, or 36%, </w:t>
      </w:r>
      <w:proofErr w:type="gramStart"/>
      <w:r>
        <w:t>The</w:t>
      </w:r>
      <w:proofErr w:type="gramEnd"/>
      <w:r>
        <w:t xml:space="preserve"> reason is that fewer aircraft were on lease and lease prices were lower. </w:t>
      </w:r>
    </w:p>
    <w:p w:rsidR="001F276B" w:rsidRDefault="003508EA" w:rsidP="007D7980">
      <w:proofErr w:type="gramStart"/>
      <w:r>
        <w:t>Aircraft</w:t>
      </w:r>
      <w:r w:rsidR="001B3726">
        <w:t xml:space="preserve"> handling</w:t>
      </w:r>
      <w:r>
        <w:t>, landing</w:t>
      </w:r>
      <w:r w:rsidR="001B3726">
        <w:t xml:space="preserve"> and navigation expenses increased by USD 3.8 million between years, or 15%, as a result of increased capacity and general price increases.</w:t>
      </w:r>
      <w:proofErr w:type="gramEnd"/>
      <w:r w:rsidR="001B3726">
        <w:t xml:space="preserve"> Maintenance expenses amounted to USD 21.6 million, USD 5.1 million lower than last year. Notwithstanding the high maintenance expense of cargo aircraft this year the cost fell between years.  The explanation is </w:t>
      </w:r>
      <w:r w:rsidR="005F5D41">
        <w:t xml:space="preserve">mainly </w:t>
      </w:r>
      <w:r w:rsidR="001B3726">
        <w:t>the lower cost resulting from maintenance work for customers, as revealed in the explanation of reduced income from maintenance services above. Other operating expenses amounted to USD 72.6 million, increasing by USD 6.5 million between years. Reassessment of bad debts reduced expenses by the amount of USD 3.4 million over the quarter. The table below shows a breakdown of principal items and trends between years.</w:t>
      </w:r>
    </w:p>
    <w:p w:rsidR="00D0394E" w:rsidRDefault="00D0394E" w:rsidP="007D7980"/>
    <w:tbl>
      <w:tblPr>
        <w:tblW w:w="7920" w:type="dxa"/>
        <w:tblInd w:w="55" w:type="dxa"/>
        <w:tblCellMar>
          <w:left w:w="70" w:type="dxa"/>
          <w:right w:w="70" w:type="dxa"/>
        </w:tblCellMar>
        <w:tblLook w:val="04A0" w:firstRow="1" w:lastRow="0" w:firstColumn="1" w:lastColumn="0" w:noHBand="0" w:noVBand="1"/>
      </w:tblPr>
      <w:tblGrid>
        <w:gridCol w:w="3440"/>
        <w:gridCol w:w="1120"/>
        <w:gridCol w:w="1120"/>
        <w:gridCol w:w="1120"/>
        <w:gridCol w:w="1120"/>
      </w:tblGrid>
      <w:tr w:rsidR="00813A87" w:rsidRPr="006958F2" w:rsidTr="008716A0">
        <w:trPr>
          <w:trHeight w:val="227"/>
        </w:trPr>
        <w:tc>
          <w:tcPr>
            <w:tcW w:w="344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lastRenderedPageBreak/>
              <w:t>USD thousand</w:t>
            </w:r>
          </w:p>
        </w:tc>
        <w:tc>
          <w:tcPr>
            <w:tcW w:w="1120" w:type="dxa"/>
            <w:tcBorders>
              <w:top w:val="nil"/>
              <w:left w:val="nil"/>
              <w:bottom w:val="single"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2014</w:t>
            </w:r>
          </w:p>
        </w:tc>
        <w:tc>
          <w:tcPr>
            <w:tcW w:w="11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2013</w:t>
            </w:r>
          </w:p>
        </w:tc>
        <w:tc>
          <w:tcPr>
            <w:tcW w:w="11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Change</w:t>
            </w:r>
          </w:p>
        </w:tc>
        <w:tc>
          <w:tcPr>
            <w:tcW w:w="11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Change</w:t>
            </w:r>
          </w:p>
        </w:tc>
      </w:tr>
      <w:tr w:rsidR="00813A87" w:rsidRPr="006958F2" w:rsidTr="008716A0">
        <w:trPr>
          <w:trHeight w:val="227"/>
        </w:trPr>
        <w:tc>
          <w:tcPr>
            <w:tcW w:w="3440" w:type="dxa"/>
            <w:tcBorders>
              <w:top w:val="nil"/>
              <w:left w:val="nil"/>
              <w:bottom w:val="nil"/>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Operating cost of real estate and fixtures</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6,212</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6,098</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114</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w:t>
            </w:r>
          </w:p>
        </w:tc>
      </w:tr>
      <w:tr w:rsidR="00813A87" w:rsidRPr="006958F2" w:rsidTr="008716A0">
        <w:trPr>
          <w:trHeight w:val="227"/>
        </w:trPr>
        <w:tc>
          <w:tcPr>
            <w:tcW w:w="3440" w:type="dxa"/>
            <w:tcBorders>
              <w:top w:val="dotted" w:sz="4" w:space="0" w:color="808080"/>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Communication</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4,166</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3,257</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909</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28%</w:t>
            </w:r>
          </w:p>
        </w:tc>
      </w:tr>
      <w:tr w:rsidR="00813A87" w:rsidRPr="006958F2" w:rsidTr="008716A0">
        <w:trPr>
          <w:trHeight w:val="227"/>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Advertising</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5,991</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5,291</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700</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13%</w:t>
            </w:r>
          </w:p>
        </w:tc>
      </w:tr>
      <w:tr w:rsidR="00813A87" w:rsidRPr="006958F2" w:rsidTr="008716A0">
        <w:trPr>
          <w:trHeight w:val="227"/>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Booking fees and commission expenses</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12,485</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11,210</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1,275</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11%</w:t>
            </w:r>
          </w:p>
        </w:tc>
      </w:tr>
      <w:tr w:rsidR="00813A87" w:rsidRPr="006958F2" w:rsidTr="008716A0">
        <w:trPr>
          <w:trHeight w:val="227"/>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Cost of goods sold</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7,560</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6,290</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1,270</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20%</w:t>
            </w:r>
          </w:p>
        </w:tc>
      </w:tr>
      <w:tr w:rsidR="00813A87" w:rsidRPr="006958F2" w:rsidTr="008716A0">
        <w:trPr>
          <w:trHeight w:val="227"/>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Customer services</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7,270</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5,790</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1,480</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26%</w:t>
            </w:r>
          </w:p>
        </w:tc>
      </w:tr>
      <w:tr w:rsidR="00813A87" w:rsidRPr="006958F2" w:rsidTr="008716A0">
        <w:trPr>
          <w:trHeight w:val="227"/>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Tourism expenses</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25,492</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21,415</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4,077</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19%</w:t>
            </w:r>
          </w:p>
        </w:tc>
      </w:tr>
      <w:tr w:rsidR="00813A87" w:rsidRPr="006958F2" w:rsidTr="008716A0">
        <w:trPr>
          <w:trHeight w:val="227"/>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Allowance for bad debt</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-3,367</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-464</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-2,903</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5C1D67" w:rsidP="008716A0">
            <w:pPr>
              <w:spacing w:after="0" w:line="240" w:lineRule="auto"/>
              <w:jc w:val="right"/>
              <w:rPr>
                <w:rFonts w:eastAsia="Times New Roman" w:cs="Arial"/>
                <w:color w:val="595959"/>
                <w:sz w:val="16"/>
                <w:szCs w:val="16"/>
                <w:lang w:eastAsia="is-IS"/>
              </w:rPr>
            </w:pPr>
            <w:r>
              <w:rPr>
                <w:rFonts w:eastAsia="Times New Roman" w:cs="Arial"/>
                <w:color w:val="595959"/>
                <w:sz w:val="16"/>
                <w:szCs w:val="16"/>
                <w:lang w:eastAsia="is-IS"/>
              </w:rPr>
              <w:t>-</w:t>
            </w:r>
          </w:p>
        </w:tc>
      </w:tr>
      <w:tr w:rsidR="00813A87" w:rsidRPr="006958F2" w:rsidTr="008716A0">
        <w:trPr>
          <w:trHeight w:val="227"/>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Other operating expenses</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6,782</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7,205</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-423</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w:t>
            </w:r>
          </w:p>
        </w:tc>
      </w:tr>
      <w:tr w:rsidR="00813A87" w:rsidRPr="006958F2" w:rsidTr="008716A0">
        <w:trPr>
          <w:trHeight w:val="227"/>
        </w:trPr>
        <w:tc>
          <w:tcPr>
            <w:tcW w:w="344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Total other operating expenses</w:t>
            </w:r>
          </w:p>
        </w:tc>
        <w:tc>
          <w:tcPr>
            <w:tcW w:w="1120" w:type="dxa"/>
            <w:tcBorders>
              <w:top w:val="single" w:sz="4" w:space="0" w:color="969696"/>
              <w:left w:val="nil"/>
              <w:bottom w:val="single" w:sz="4" w:space="0" w:color="969696"/>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72,591</w:t>
            </w:r>
          </w:p>
        </w:tc>
        <w:tc>
          <w:tcPr>
            <w:tcW w:w="112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66,092</w:t>
            </w:r>
          </w:p>
        </w:tc>
        <w:tc>
          <w:tcPr>
            <w:tcW w:w="112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6,499</w:t>
            </w:r>
          </w:p>
        </w:tc>
        <w:tc>
          <w:tcPr>
            <w:tcW w:w="112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10%</w:t>
            </w:r>
          </w:p>
        </w:tc>
      </w:tr>
    </w:tbl>
    <w:p w:rsidR="001B3726" w:rsidRPr="003B6D4C" w:rsidRDefault="001B3726" w:rsidP="00F97530">
      <w:pPr>
        <w:pStyle w:val="NoSpacing"/>
      </w:pPr>
      <w:r>
        <w:t>FINANCIALS</w:t>
      </w:r>
    </w:p>
    <w:p w:rsidR="00256679" w:rsidRPr="003B6D4C" w:rsidRDefault="001B3726" w:rsidP="00977CEF">
      <w:pPr>
        <w:pStyle w:val="Heading2"/>
        <w:spacing w:after="240"/>
        <w:ind w:left="357" w:hanging="357"/>
      </w:pPr>
      <w:r>
        <w:t>Financial items were positive over the quarter</w:t>
      </w:r>
    </w:p>
    <w:tbl>
      <w:tblPr>
        <w:tblW w:w="7920" w:type="dxa"/>
        <w:tblInd w:w="55" w:type="dxa"/>
        <w:tblCellMar>
          <w:left w:w="70" w:type="dxa"/>
          <w:right w:w="70" w:type="dxa"/>
        </w:tblCellMar>
        <w:tblLook w:val="04A0" w:firstRow="1" w:lastRow="0" w:firstColumn="1" w:lastColumn="0" w:noHBand="0" w:noVBand="1"/>
      </w:tblPr>
      <w:tblGrid>
        <w:gridCol w:w="3440"/>
        <w:gridCol w:w="1120"/>
        <w:gridCol w:w="1120"/>
        <w:gridCol w:w="1120"/>
        <w:gridCol w:w="1120"/>
      </w:tblGrid>
      <w:tr w:rsidR="00813A87" w:rsidRPr="006958F2" w:rsidTr="008716A0">
        <w:trPr>
          <w:trHeight w:val="225"/>
        </w:trPr>
        <w:tc>
          <w:tcPr>
            <w:tcW w:w="344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USD thousand</w:t>
            </w:r>
          </w:p>
        </w:tc>
        <w:tc>
          <w:tcPr>
            <w:tcW w:w="1120" w:type="dxa"/>
            <w:tcBorders>
              <w:top w:val="nil"/>
              <w:left w:val="nil"/>
              <w:bottom w:val="single"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2014</w:t>
            </w:r>
          </w:p>
        </w:tc>
        <w:tc>
          <w:tcPr>
            <w:tcW w:w="11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2013</w:t>
            </w:r>
          </w:p>
        </w:tc>
        <w:tc>
          <w:tcPr>
            <w:tcW w:w="11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Change</w:t>
            </w:r>
          </w:p>
        </w:tc>
        <w:tc>
          <w:tcPr>
            <w:tcW w:w="11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 Change</w:t>
            </w:r>
          </w:p>
        </w:tc>
      </w:tr>
      <w:tr w:rsidR="00813A87" w:rsidRPr="006958F2" w:rsidTr="008716A0">
        <w:trPr>
          <w:trHeight w:val="225"/>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Interest income</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295</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313</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-18</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w:t>
            </w:r>
          </w:p>
        </w:tc>
      </w:tr>
      <w:tr w:rsidR="00813A87" w:rsidRPr="006958F2" w:rsidTr="008716A0">
        <w:trPr>
          <w:trHeight w:val="225"/>
        </w:trPr>
        <w:tc>
          <w:tcPr>
            <w:tcW w:w="344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Interest expenses</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-1,109</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-2,038</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929</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-46%</w:t>
            </w:r>
          </w:p>
        </w:tc>
      </w:tr>
      <w:tr w:rsidR="00813A87" w:rsidRPr="006958F2" w:rsidTr="008716A0">
        <w:trPr>
          <w:trHeight w:val="225"/>
        </w:trPr>
        <w:tc>
          <w:tcPr>
            <w:tcW w:w="3440" w:type="dxa"/>
            <w:tcBorders>
              <w:top w:val="nil"/>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Currency effect</w:t>
            </w:r>
          </w:p>
        </w:tc>
        <w:tc>
          <w:tcPr>
            <w:tcW w:w="112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4,460</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1,419</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3,041</w:t>
            </w:r>
          </w:p>
        </w:tc>
        <w:tc>
          <w:tcPr>
            <w:tcW w:w="11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w:t>
            </w:r>
          </w:p>
        </w:tc>
      </w:tr>
      <w:tr w:rsidR="00813A87" w:rsidRPr="006958F2" w:rsidTr="008716A0">
        <w:trPr>
          <w:trHeight w:val="225"/>
        </w:trPr>
        <w:tc>
          <w:tcPr>
            <w:tcW w:w="3440" w:type="dxa"/>
            <w:tcBorders>
              <w:top w:val="nil"/>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Net finance income</w:t>
            </w:r>
          </w:p>
        </w:tc>
        <w:tc>
          <w:tcPr>
            <w:tcW w:w="1120" w:type="dxa"/>
            <w:tcBorders>
              <w:top w:val="single" w:sz="4" w:space="0" w:color="969696"/>
              <w:left w:val="nil"/>
              <w:bottom w:val="single" w:sz="4" w:space="0" w:color="969696"/>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3,646</w:t>
            </w:r>
          </w:p>
        </w:tc>
        <w:tc>
          <w:tcPr>
            <w:tcW w:w="112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-306</w:t>
            </w:r>
          </w:p>
        </w:tc>
        <w:tc>
          <w:tcPr>
            <w:tcW w:w="112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3,952</w:t>
            </w:r>
          </w:p>
        </w:tc>
        <w:tc>
          <w:tcPr>
            <w:tcW w:w="1120" w:type="dxa"/>
            <w:tcBorders>
              <w:top w:val="single" w:sz="4" w:space="0" w:color="969696"/>
              <w:left w:val="nil"/>
              <w:bottom w:val="single" w:sz="4" w:space="0" w:color="969696"/>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w:t>
            </w:r>
          </w:p>
        </w:tc>
      </w:tr>
    </w:tbl>
    <w:p w:rsidR="00F57843" w:rsidRDefault="001B3726" w:rsidP="00F57843">
      <w:pPr>
        <w:spacing w:before="240"/>
      </w:pPr>
      <w:r>
        <w:t>Financial income amounted to USD 0.3 million in the third quarter. Financial expenses amounted to USD 1.1 million over the quarter, down by 46% year on year. The currency effect was positive by USD 4.5 million over the quarter. The principal reason was the strengthening of the USD against the ISK.</w:t>
      </w:r>
    </w:p>
    <w:p w:rsidR="001B3726" w:rsidRPr="00256679" w:rsidRDefault="001B3726" w:rsidP="00F57843">
      <w:pPr>
        <w:pStyle w:val="NoSpacing"/>
      </w:pPr>
      <w:r>
        <w:t>BALANCE SHEET AND FINANCIAL POSITION</w:t>
      </w:r>
    </w:p>
    <w:p w:rsidR="001B3726" w:rsidRPr="00D74FC8" w:rsidRDefault="00256679" w:rsidP="001B0C29">
      <w:pPr>
        <w:pStyle w:val="Heading2"/>
      </w:pPr>
      <w:r>
        <w:t>Total assets amounted to USD 877.2 million at the end of the third quarter</w:t>
      </w:r>
    </w:p>
    <w:p w:rsidR="001B3726" w:rsidRPr="00D74FC8" w:rsidRDefault="00753FAB" w:rsidP="001B0C29">
      <w:pPr>
        <w:pStyle w:val="Heading2"/>
      </w:pPr>
      <w:r>
        <w:t>The equity ratio was 46%</w:t>
      </w:r>
    </w:p>
    <w:p w:rsidR="001B3726" w:rsidRPr="00D74FC8" w:rsidRDefault="001B3726" w:rsidP="00670B19">
      <w:pPr>
        <w:pStyle w:val="Heading2"/>
        <w:spacing w:after="240"/>
        <w:ind w:left="357" w:hanging="357"/>
      </w:pPr>
      <w:r>
        <w:t>Interest-bearing debt amounted to USD 55.5 million, down from the level of the beginning of the year</w:t>
      </w:r>
    </w:p>
    <w:tbl>
      <w:tblPr>
        <w:tblW w:w="8180" w:type="dxa"/>
        <w:tblInd w:w="55" w:type="dxa"/>
        <w:tblCellMar>
          <w:left w:w="70" w:type="dxa"/>
          <w:right w:w="70" w:type="dxa"/>
        </w:tblCellMar>
        <w:tblLook w:val="04A0" w:firstRow="1" w:lastRow="0" w:firstColumn="1" w:lastColumn="0" w:noHBand="0" w:noVBand="1"/>
      </w:tblPr>
      <w:tblGrid>
        <w:gridCol w:w="3860"/>
        <w:gridCol w:w="1080"/>
        <w:gridCol w:w="1080"/>
        <w:gridCol w:w="1080"/>
        <w:gridCol w:w="1080"/>
      </w:tblGrid>
      <w:tr w:rsidR="00813A87" w:rsidRPr="006958F2" w:rsidTr="008716A0">
        <w:trPr>
          <w:trHeight w:val="225"/>
        </w:trPr>
        <w:tc>
          <w:tcPr>
            <w:tcW w:w="386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USD thousands</w:t>
            </w:r>
          </w:p>
        </w:tc>
        <w:tc>
          <w:tcPr>
            <w:tcW w:w="1080" w:type="dxa"/>
            <w:tcBorders>
              <w:top w:val="nil"/>
              <w:left w:val="nil"/>
              <w:bottom w:val="single"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30.09.2014</w:t>
            </w:r>
          </w:p>
        </w:tc>
        <w:tc>
          <w:tcPr>
            <w:tcW w:w="108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31.12.2013</w:t>
            </w:r>
          </w:p>
        </w:tc>
        <w:tc>
          <w:tcPr>
            <w:tcW w:w="108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Change</w:t>
            </w:r>
          </w:p>
        </w:tc>
        <w:tc>
          <w:tcPr>
            <w:tcW w:w="108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30.09.2013</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Total assets</w:t>
            </w:r>
          </w:p>
        </w:tc>
        <w:tc>
          <w:tcPr>
            <w:tcW w:w="108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877,233</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832,875</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44,358</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877,490</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Total equity</w:t>
            </w:r>
          </w:p>
        </w:tc>
        <w:tc>
          <w:tcPr>
            <w:tcW w:w="108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403,607</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346,082</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57,525</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352,226</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Interest bearing debt</w:t>
            </w:r>
          </w:p>
        </w:tc>
        <w:tc>
          <w:tcPr>
            <w:tcW w:w="108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55,469</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122,017</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-66,548</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128,462</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Net interest bearing debt</w:t>
            </w:r>
          </w:p>
        </w:tc>
        <w:tc>
          <w:tcPr>
            <w:tcW w:w="108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-199,226</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-77,476</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-121,750</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-89,874</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Cash and marketable securities</w:t>
            </w:r>
          </w:p>
        </w:tc>
        <w:tc>
          <w:tcPr>
            <w:tcW w:w="108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254,695</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199,493</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55,202</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218,336</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Equity ratio</w:t>
            </w:r>
          </w:p>
        </w:tc>
        <w:tc>
          <w:tcPr>
            <w:tcW w:w="108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46%</w:t>
            </w:r>
          </w:p>
        </w:tc>
        <w:tc>
          <w:tcPr>
            <w:tcW w:w="1080" w:type="dxa"/>
            <w:tcBorders>
              <w:top w:val="nil"/>
              <w:left w:val="nil"/>
              <w:bottom w:val="dotted" w:sz="4" w:space="0" w:color="808080"/>
              <w:right w:val="nil"/>
            </w:tcBorders>
            <w:shd w:val="clear" w:color="auto" w:fill="auto"/>
            <w:noWrap/>
            <w:vAlign w:val="bottom"/>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42%</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 xml:space="preserve">4 </w:t>
            </w:r>
            <w:proofErr w:type="spellStart"/>
            <w:r w:rsidRPr="006958F2">
              <w:rPr>
                <w:rFonts w:eastAsia="Times New Roman" w:cs="Arial"/>
                <w:color w:val="595959"/>
                <w:sz w:val="16"/>
                <w:szCs w:val="16"/>
                <w:lang w:eastAsia="is-IS"/>
              </w:rPr>
              <w:t>ppt</w:t>
            </w:r>
            <w:proofErr w:type="spellEnd"/>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40%</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595959"/>
                <w:sz w:val="16"/>
                <w:szCs w:val="16"/>
                <w:lang w:eastAsia="is-IS"/>
              </w:rPr>
            </w:pPr>
            <w:r w:rsidRPr="006958F2">
              <w:rPr>
                <w:rFonts w:eastAsia="Times New Roman" w:cs="Arial"/>
                <w:color w:val="595959"/>
                <w:sz w:val="16"/>
                <w:szCs w:val="16"/>
                <w:lang w:eastAsia="is-IS"/>
              </w:rPr>
              <w:t>Current ratio</w:t>
            </w:r>
          </w:p>
        </w:tc>
        <w:tc>
          <w:tcPr>
            <w:tcW w:w="108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1.03</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0.94</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10%</w:t>
            </w:r>
          </w:p>
        </w:tc>
        <w:tc>
          <w:tcPr>
            <w:tcW w:w="108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595959"/>
                <w:sz w:val="16"/>
                <w:szCs w:val="16"/>
                <w:lang w:eastAsia="is-IS"/>
              </w:rPr>
            </w:pPr>
            <w:r w:rsidRPr="006958F2">
              <w:rPr>
                <w:rFonts w:eastAsia="Times New Roman" w:cs="Arial"/>
                <w:color w:val="595959"/>
                <w:sz w:val="16"/>
                <w:szCs w:val="16"/>
                <w:lang w:eastAsia="is-IS"/>
              </w:rPr>
              <w:t>0.98</w:t>
            </w:r>
          </w:p>
        </w:tc>
      </w:tr>
    </w:tbl>
    <w:p w:rsidR="001B3726" w:rsidRDefault="001B3726" w:rsidP="00670B19">
      <w:pPr>
        <w:spacing w:before="240"/>
      </w:pPr>
      <w:r>
        <w:t xml:space="preserve">Operating assets amounted to USD 297.6 million, down by USD 1.6 million from the beginning of the year. For a further discussion of investments in operating assets see the section on cash flow and investments. The Company's largest asset is its fleet of aircraft. The table below shows an overview of the Company's fleet at the end of September. The fleet comprised a total of 36 aircraft, of which 27 are owned by the Company.  </w:t>
      </w:r>
    </w:p>
    <w:p w:rsidR="00D0394E" w:rsidRDefault="00D0394E" w:rsidP="00670B19">
      <w:pPr>
        <w:spacing w:before="240"/>
      </w:pPr>
    </w:p>
    <w:p w:rsidR="00D0394E" w:rsidRDefault="00D0394E" w:rsidP="00670B19">
      <w:pPr>
        <w:spacing w:before="240"/>
      </w:pPr>
    </w:p>
    <w:tbl>
      <w:tblPr>
        <w:tblW w:w="8773" w:type="dxa"/>
        <w:tblInd w:w="55" w:type="dxa"/>
        <w:tblCellMar>
          <w:left w:w="70" w:type="dxa"/>
          <w:right w:w="70" w:type="dxa"/>
        </w:tblCellMar>
        <w:tblLook w:val="04A0" w:firstRow="1" w:lastRow="0" w:firstColumn="1" w:lastColumn="0" w:noHBand="0" w:noVBand="1"/>
      </w:tblPr>
      <w:tblGrid>
        <w:gridCol w:w="1320"/>
        <w:gridCol w:w="888"/>
        <w:gridCol w:w="820"/>
        <w:gridCol w:w="825"/>
        <w:gridCol w:w="820"/>
        <w:gridCol w:w="820"/>
        <w:gridCol w:w="820"/>
        <w:gridCol w:w="820"/>
        <w:gridCol w:w="820"/>
        <w:gridCol w:w="820"/>
      </w:tblGrid>
      <w:tr w:rsidR="00813A87" w:rsidRPr="0075792F" w:rsidTr="008716A0">
        <w:trPr>
          <w:trHeight w:val="690"/>
        </w:trPr>
        <w:tc>
          <w:tcPr>
            <w:tcW w:w="1320" w:type="dxa"/>
            <w:tcBorders>
              <w:top w:val="nil"/>
              <w:left w:val="nil"/>
              <w:bottom w:val="single" w:sz="4" w:space="0" w:color="808080"/>
              <w:right w:val="nil"/>
            </w:tcBorders>
            <w:shd w:val="clear" w:color="auto" w:fill="auto"/>
            <w:noWrap/>
            <w:vAlign w:val="bottom"/>
            <w:hideMark/>
          </w:tcPr>
          <w:p w:rsidR="00813A87" w:rsidRPr="0075792F" w:rsidRDefault="00813A87" w:rsidP="008716A0">
            <w:pPr>
              <w:spacing w:after="0" w:line="240" w:lineRule="auto"/>
              <w:jc w:val="left"/>
              <w:rPr>
                <w:rFonts w:eastAsia="Times New Roman" w:cs="Arial"/>
                <w:b/>
                <w:bCs/>
                <w:color w:val="595959"/>
                <w:sz w:val="16"/>
                <w:szCs w:val="16"/>
                <w:lang w:eastAsia="is-IS"/>
              </w:rPr>
            </w:pPr>
            <w:r w:rsidRPr="0075792F">
              <w:rPr>
                <w:rFonts w:eastAsia="Times New Roman" w:cs="Arial"/>
                <w:b/>
                <w:bCs/>
                <w:color w:val="595959"/>
                <w:sz w:val="16"/>
                <w:szCs w:val="16"/>
                <w:lang w:eastAsia="is-IS"/>
              </w:rPr>
              <w:lastRenderedPageBreak/>
              <w:t>Type</w:t>
            </w:r>
          </w:p>
        </w:tc>
        <w:tc>
          <w:tcPr>
            <w:tcW w:w="888" w:type="dxa"/>
            <w:tcBorders>
              <w:top w:val="nil"/>
              <w:left w:val="nil"/>
              <w:bottom w:val="single" w:sz="4" w:space="0" w:color="808080"/>
              <w:right w:val="nil"/>
            </w:tcBorders>
            <w:shd w:val="clear" w:color="auto" w:fill="auto"/>
            <w:noWrap/>
            <w:vAlign w:val="bottom"/>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Icelandair</w:t>
            </w:r>
          </w:p>
        </w:tc>
        <w:tc>
          <w:tcPr>
            <w:tcW w:w="820" w:type="dxa"/>
            <w:tcBorders>
              <w:top w:val="nil"/>
              <w:left w:val="nil"/>
              <w:bottom w:val="single" w:sz="4" w:space="0" w:color="808080"/>
              <w:right w:val="nil"/>
            </w:tcBorders>
            <w:shd w:val="clear" w:color="auto" w:fill="auto"/>
            <w:noWrap/>
            <w:vAlign w:val="bottom"/>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Cargo</w:t>
            </w:r>
          </w:p>
        </w:tc>
        <w:tc>
          <w:tcPr>
            <w:tcW w:w="825" w:type="dxa"/>
            <w:tcBorders>
              <w:top w:val="nil"/>
              <w:left w:val="nil"/>
              <w:bottom w:val="single" w:sz="4" w:space="0" w:color="808080"/>
              <w:right w:val="nil"/>
            </w:tcBorders>
            <w:shd w:val="clear" w:color="auto" w:fill="auto"/>
            <w:noWrap/>
            <w:vAlign w:val="bottom"/>
            <w:hideMark/>
          </w:tcPr>
          <w:p w:rsidR="00813A87" w:rsidRPr="0075792F" w:rsidRDefault="00813A87" w:rsidP="008716A0">
            <w:pPr>
              <w:spacing w:after="0" w:line="240" w:lineRule="auto"/>
              <w:jc w:val="right"/>
              <w:rPr>
                <w:rFonts w:eastAsia="Times New Roman" w:cs="Arial"/>
                <w:b/>
                <w:bCs/>
                <w:color w:val="595959"/>
                <w:sz w:val="16"/>
                <w:szCs w:val="16"/>
                <w:lang w:eastAsia="is-IS"/>
              </w:rPr>
            </w:pPr>
            <w:proofErr w:type="spellStart"/>
            <w:r w:rsidRPr="0075792F">
              <w:rPr>
                <w:rFonts w:eastAsia="Times New Roman" w:cs="Arial"/>
                <w:b/>
                <w:bCs/>
                <w:color w:val="595959"/>
                <w:sz w:val="16"/>
                <w:szCs w:val="16"/>
                <w:lang w:eastAsia="is-IS"/>
              </w:rPr>
              <w:t>Loftleiðir</w:t>
            </w:r>
            <w:proofErr w:type="spellEnd"/>
          </w:p>
        </w:tc>
        <w:tc>
          <w:tcPr>
            <w:tcW w:w="820" w:type="dxa"/>
            <w:tcBorders>
              <w:top w:val="nil"/>
              <w:left w:val="nil"/>
              <w:bottom w:val="single" w:sz="4" w:space="0" w:color="808080"/>
              <w:right w:val="nil"/>
            </w:tcBorders>
            <w:shd w:val="clear" w:color="auto" w:fill="auto"/>
            <w:vAlign w:val="bottom"/>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Air         Iceland</w:t>
            </w:r>
          </w:p>
        </w:tc>
        <w:tc>
          <w:tcPr>
            <w:tcW w:w="820" w:type="dxa"/>
            <w:tcBorders>
              <w:top w:val="nil"/>
              <w:left w:val="nil"/>
              <w:bottom w:val="single" w:sz="4" w:space="0" w:color="808080"/>
              <w:right w:val="nil"/>
            </w:tcBorders>
            <w:shd w:val="clear" w:color="auto" w:fill="auto"/>
            <w:vAlign w:val="bottom"/>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Group fleet 30.09.14</w:t>
            </w:r>
          </w:p>
        </w:tc>
        <w:tc>
          <w:tcPr>
            <w:tcW w:w="820" w:type="dxa"/>
            <w:tcBorders>
              <w:top w:val="nil"/>
              <w:left w:val="nil"/>
              <w:bottom w:val="single" w:sz="4" w:space="0" w:color="808080"/>
              <w:right w:val="nil"/>
            </w:tcBorders>
            <w:shd w:val="clear" w:color="auto" w:fill="auto"/>
            <w:vAlign w:val="bottom"/>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Group fleet 31.12.13</w:t>
            </w:r>
          </w:p>
        </w:tc>
        <w:tc>
          <w:tcPr>
            <w:tcW w:w="820" w:type="dxa"/>
            <w:tcBorders>
              <w:top w:val="nil"/>
              <w:left w:val="nil"/>
              <w:bottom w:val="single" w:sz="4" w:space="0" w:color="808080"/>
              <w:right w:val="nil"/>
            </w:tcBorders>
            <w:shd w:val="clear" w:color="auto" w:fill="auto"/>
            <w:vAlign w:val="bottom"/>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Of which own</w:t>
            </w:r>
          </w:p>
        </w:tc>
        <w:tc>
          <w:tcPr>
            <w:tcW w:w="820" w:type="dxa"/>
            <w:tcBorders>
              <w:top w:val="nil"/>
              <w:left w:val="nil"/>
              <w:bottom w:val="single" w:sz="4" w:space="0" w:color="808080"/>
              <w:right w:val="nil"/>
            </w:tcBorders>
            <w:shd w:val="clear" w:color="auto" w:fill="auto"/>
            <w:vAlign w:val="bottom"/>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Of which leased</w:t>
            </w:r>
          </w:p>
        </w:tc>
        <w:tc>
          <w:tcPr>
            <w:tcW w:w="820" w:type="dxa"/>
            <w:tcBorders>
              <w:top w:val="nil"/>
              <w:left w:val="nil"/>
              <w:bottom w:val="single" w:sz="4" w:space="0" w:color="808080"/>
              <w:right w:val="nil"/>
            </w:tcBorders>
            <w:shd w:val="clear" w:color="auto" w:fill="auto"/>
            <w:vAlign w:val="bottom"/>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Ch. as of 31.12.13</w:t>
            </w:r>
          </w:p>
        </w:tc>
      </w:tr>
      <w:tr w:rsidR="00813A87" w:rsidRPr="0075792F" w:rsidTr="008716A0">
        <w:trPr>
          <w:trHeight w:val="227"/>
        </w:trPr>
        <w:tc>
          <w:tcPr>
            <w:tcW w:w="1320" w:type="dxa"/>
            <w:tcBorders>
              <w:top w:val="nil"/>
              <w:left w:val="nil"/>
              <w:bottom w:val="dotted" w:sz="4" w:space="0" w:color="808080"/>
              <w:right w:val="nil"/>
            </w:tcBorders>
            <w:shd w:val="clear" w:color="auto" w:fill="auto"/>
            <w:noWrap/>
            <w:vAlign w:val="center"/>
            <w:hideMark/>
          </w:tcPr>
          <w:p w:rsidR="00813A87" w:rsidRPr="0075792F" w:rsidRDefault="00813A87" w:rsidP="008716A0">
            <w:pPr>
              <w:spacing w:after="0" w:line="240" w:lineRule="auto"/>
              <w:jc w:val="left"/>
              <w:rPr>
                <w:rFonts w:eastAsia="Times New Roman" w:cs="Arial"/>
                <w:color w:val="595959"/>
                <w:sz w:val="16"/>
                <w:szCs w:val="16"/>
                <w:lang w:eastAsia="is-IS"/>
              </w:rPr>
            </w:pPr>
            <w:r w:rsidRPr="0075792F">
              <w:rPr>
                <w:rFonts w:eastAsia="Times New Roman" w:cs="Arial"/>
                <w:color w:val="595959"/>
                <w:sz w:val="16"/>
                <w:szCs w:val="16"/>
                <w:lang w:eastAsia="is-IS"/>
              </w:rPr>
              <w:t>B757 200</w:t>
            </w:r>
          </w:p>
        </w:tc>
        <w:tc>
          <w:tcPr>
            <w:tcW w:w="888" w:type="dxa"/>
            <w:tcBorders>
              <w:top w:val="nil"/>
              <w:left w:val="single" w:sz="4" w:space="0" w:color="D9D9D9"/>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20</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5"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23</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23</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19</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36246D" w:rsidP="008716A0">
            <w:pPr>
              <w:spacing w:after="0" w:line="240" w:lineRule="auto"/>
              <w:jc w:val="right"/>
              <w:rPr>
                <w:rFonts w:eastAsia="Times New Roman" w:cs="Arial"/>
                <w:color w:val="595959"/>
                <w:sz w:val="16"/>
                <w:szCs w:val="16"/>
                <w:lang w:eastAsia="is-IS"/>
              </w:rPr>
            </w:pPr>
            <w:r>
              <w:rPr>
                <w:rFonts w:eastAsia="Times New Roman" w:cs="Arial"/>
                <w:color w:val="595959"/>
                <w:sz w:val="16"/>
                <w:szCs w:val="16"/>
                <w:lang w:eastAsia="is-IS"/>
              </w:rPr>
              <w:t>4</w:t>
            </w:r>
          </w:p>
        </w:tc>
        <w:tc>
          <w:tcPr>
            <w:tcW w:w="820" w:type="dxa"/>
            <w:tcBorders>
              <w:top w:val="nil"/>
              <w:left w:val="nil"/>
              <w:bottom w:val="dotted" w:sz="4" w:space="0" w:color="808080"/>
              <w:right w:val="nil"/>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0</w:t>
            </w:r>
          </w:p>
        </w:tc>
      </w:tr>
      <w:tr w:rsidR="00813A87" w:rsidRPr="0075792F" w:rsidTr="008716A0">
        <w:trPr>
          <w:trHeight w:val="227"/>
        </w:trPr>
        <w:tc>
          <w:tcPr>
            <w:tcW w:w="1320" w:type="dxa"/>
            <w:tcBorders>
              <w:top w:val="nil"/>
              <w:left w:val="nil"/>
              <w:bottom w:val="dotted" w:sz="4" w:space="0" w:color="808080"/>
              <w:right w:val="nil"/>
            </w:tcBorders>
            <w:shd w:val="clear" w:color="auto" w:fill="auto"/>
            <w:noWrap/>
            <w:vAlign w:val="center"/>
            <w:hideMark/>
          </w:tcPr>
          <w:p w:rsidR="00813A87" w:rsidRPr="0075792F" w:rsidRDefault="00813A87" w:rsidP="008716A0">
            <w:pPr>
              <w:spacing w:after="0" w:line="240" w:lineRule="auto"/>
              <w:jc w:val="left"/>
              <w:rPr>
                <w:rFonts w:eastAsia="Times New Roman" w:cs="Arial"/>
                <w:color w:val="595959"/>
                <w:sz w:val="16"/>
                <w:szCs w:val="16"/>
                <w:lang w:eastAsia="is-IS"/>
              </w:rPr>
            </w:pPr>
            <w:r w:rsidRPr="0075792F">
              <w:rPr>
                <w:rFonts w:eastAsia="Times New Roman" w:cs="Arial"/>
                <w:color w:val="595959"/>
                <w:sz w:val="16"/>
                <w:szCs w:val="16"/>
                <w:lang w:eastAsia="is-IS"/>
              </w:rPr>
              <w:t>B757 300</w:t>
            </w:r>
          </w:p>
        </w:tc>
        <w:tc>
          <w:tcPr>
            <w:tcW w:w="888" w:type="dxa"/>
            <w:tcBorders>
              <w:top w:val="nil"/>
              <w:left w:val="single" w:sz="4" w:space="0" w:color="D9D9D9"/>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5"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nil"/>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0</w:t>
            </w:r>
          </w:p>
        </w:tc>
      </w:tr>
      <w:tr w:rsidR="00813A87" w:rsidRPr="0075792F" w:rsidTr="008716A0">
        <w:trPr>
          <w:trHeight w:val="227"/>
        </w:trPr>
        <w:tc>
          <w:tcPr>
            <w:tcW w:w="1320" w:type="dxa"/>
            <w:tcBorders>
              <w:top w:val="nil"/>
              <w:left w:val="nil"/>
              <w:bottom w:val="dotted" w:sz="4" w:space="0" w:color="808080"/>
              <w:right w:val="nil"/>
            </w:tcBorders>
            <w:shd w:val="clear" w:color="auto" w:fill="auto"/>
            <w:noWrap/>
            <w:vAlign w:val="center"/>
            <w:hideMark/>
          </w:tcPr>
          <w:p w:rsidR="00813A87" w:rsidRPr="0075792F" w:rsidRDefault="00813A87" w:rsidP="008716A0">
            <w:pPr>
              <w:spacing w:after="0" w:line="240" w:lineRule="auto"/>
              <w:jc w:val="left"/>
              <w:rPr>
                <w:rFonts w:eastAsia="Times New Roman" w:cs="Arial"/>
                <w:color w:val="595959"/>
                <w:sz w:val="16"/>
                <w:szCs w:val="16"/>
                <w:lang w:eastAsia="is-IS"/>
              </w:rPr>
            </w:pPr>
            <w:r w:rsidRPr="0075792F">
              <w:rPr>
                <w:rFonts w:eastAsia="Times New Roman" w:cs="Arial"/>
                <w:color w:val="595959"/>
                <w:sz w:val="16"/>
                <w:szCs w:val="16"/>
                <w:lang w:eastAsia="is-IS"/>
              </w:rPr>
              <w:t>B767 300</w:t>
            </w:r>
          </w:p>
        </w:tc>
        <w:tc>
          <w:tcPr>
            <w:tcW w:w="888" w:type="dxa"/>
            <w:tcBorders>
              <w:top w:val="nil"/>
              <w:left w:val="single" w:sz="4" w:space="0" w:color="D9D9D9"/>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5"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3</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nil"/>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w:t>
            </w:r>
          </w:p>
        </w:tc>
      </w:tr>
      <w:tr w:rsidR="00813A87" w:rsidRPr="0075792F" w:rsidTr="008716A0">
        <w:trPr>
          <w:trHeight w:val="227"/>
        </w:trPr>
        <w:tc>
          <w:tcPr>
            <w:tcW w:w="1320" w:type="dxa"/>
            <w:tcBorders>
              <w:top w:val="nil"/>
              <w:left w:val="nil"/>
              <w:bottom w:val="dotted" w:sz="4" w:space="0" w:color="808080"/>
              <w:right w:val="nil"/>
            </w:tcBorders>
            <w:shd w:val="clear" w:color="auto" w:fill="auto"/>
            <w:noWrap/>
            <w:vAlign w:val="center"/>
            <w:hideMark/>
          </w:tcPr>
          <w:p w:rsidR="00813A87" w:rsidRPr="0075792F" w:rsidRDefault="00813A87" w:rsidP="008716A0">
            <w:pPr>
              <w:spacing w:after="0" w:line="240" w:lineRule="auto"/>
              <w:jc w:val="left"/>
              <w:rPr>
                <w:rFonts w:eastAsia="Times New Roman" w:cs="Arial"/>
                <w:color w:val="595959"/>
                <w:sz w:val="16"/>
                <w:szCs w:val="16"/>
                <w:lang w:eastAsia="is-IS"/>
              </w:rPr>
            </w:pPr>
            <w:r w:rsidRPr="0075792F">
              <w:rPr>
                <w:rFonts w:eastAsia="Times New Roman" w:cs="Arial"/>
                <w:color w:val="595959"/>
                <w:sz w:val="16"/>
                <w:szCs w:val="16"/>
                <w:lang w:eastAsia="is-IS"/>
              </w:rPr>
              <w:t>B737 700</w:t>
            </w:r>
          </w:p>
        </w:tc>
        <w:tc>
          <w:tcPr>
            <w:tcW w:w="888" w:type="dxa"/>
            <w:tcBorders>
              <w:top w:val="nil"/>
              <w:left w:val="single" w:sz="4" w:space="0" w:color="D9D9D9"/>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5"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1</w:t>
            </w:r>
          </w:p>
        </w:tc>
        <w:tc>
          <w:tcPr>
            <w:tcW w:w="820" w:type="dxa"/>
            <w:tcBorders>
              <w:top w:val="nil"/>
              <w:left w:val="nil"/>
              <w:bottom w:val="dotted" w:sz="4" w:space="0" w:color="808080"/>
              <w:right w:val="nil"/>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0</w:t>
            </w:r>
          </w:p>
        </w:tc>
      </w:tr>
      <w:tr w:rsidR="00813A87" w:rsidRPr="0075792F" w:rsidTr="008716A0">
        <w:trPr>
          <w:trHeight w:val="227"/>
        </w:trPr>
        <w:tc>
          <w:tcPr>
            <w:tcW w:w="1320" w:type="dxa"/>
            <w:tcBorders>
              <w:top w:val="nil"/>
              <w:left w:val="nil"/>
              <w:bottom w:val="dotted" w:sz="4" w:space="0" w:color="808080"/>
              <w:right w:val="nil"/>
            </w:tcBorders>
            <w:shd w:val="clear" w:color="auto" w:fill="auto"/>
            <w:noWrap/>
            <w:vAlign w:val="center"/>
            <w:hideMark/>
          </w:tcPr>
          <w:p w:rsidR="00813A87" w:rsidRPr="0075792F" w:rsidRDefault="00813A87" w:rsidP="008716A0">
            <w:pPr>
              <w:spacing w:after="0" w:line="240" w:lineRule="auto"/>
              <w:jc w:val="left"/>
              <w:rPr>
                <w:rFonts w:eastAsia="Times New Roman" w:cs="Arial"/>
                <w:color w:val="595959"/>
                <w:sz w:val="16"/>
                <w:szCs w:val="16"/>
                <w:lang w:eastAsia="is-IS"/>
              </w:rPr>
            </w:pPr>
            <w:r w:rsidRPr="0075792F">
              <w:rPr>
                <w:rFonts w:eastAsia="Times New Roman" w:cs="Arial"/>
                <w:color w:val="595959"/>
                <w:sz w:val="16"/>
                <w:szCs w:val="16"/>
                <w:lang w:eastAsia="is-IS"/>
              </w:rPr>
              <w:t>B737 800</w:t>
            </w:r>
          </w:p>
        </w:tc>
        <w:tc>
          <w:tcPr>
            <w:tcW w:w="888" w:type="dxa"/>
            <w:tcBorders>
              <w:top w:val="nil"/>
              <w:left w:val="single" w:sz="4" w:space="0" w:color="D9D9D9"/>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5"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nil"/>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0</w:t>
            </w:r>
          </w:p>
        </w:tc>
      </w:tr>
      <w:tr w:rsidR="00813A87" w:rsidRPr="0075792F" w:rsidTr="008716A0">
        <w:trPr>
          <w:trHeight w:val="227"/>
        </w:trPr>
        <w:tc>
          <w:tcPr>
            <w:tcW w:w="1320" w:type="dxa"/>
            <w:tcBorders>
              <w:top w:val="nil"/>
              <w:left w:val="nil"/>
              <w:bottom w:val="dotted" w:sz="4" w:space="0" w:color="808080"/>
              <w:right w:val="nil"/>
            </w:tcBorders>
            <w:shd w:val="clear" w:color="auto" w:fill="auto"/>
            <w:noWrap/>
            <w:vAlign w:val="center"/>
            <w:hideMark/>
          </w:tcPr>
          <w:p w:rsidR="00813A87" w:rsidRPr="0075792F" w:rsidRDefault="00813A87" w:rsidP="008716A0">
            <w:pPr>
              <w:spacing w:after="0" w:line="240" w:lineRule="auto"/>
              <w:jc w:val="left"/>
              <w:rPr>
                <w:rFonts w:eastAsia="Times New Roman" w:cs="Arial"/>
                <w:color w:val="595959"/>
                <w:sz w:val="16"/>
                <w:szCs w:val="16"/>
                <w:lang w:eastAsia="is-IS"/>
              </w:rPr>
            </w:pPr>
            <w:r w:rsidRPr="0075792F">
              <w:rPr>
                <w:rFonts w:eastAsia="Times New Roman" w:cs="Arial"/>
                <w:color w:val="595959"/>
                <w:sz w:val="16"/>
                <w:szCs w:val="16"/>
                <w:lang w:eastAsia="is-IS"/>
              </w:rPr>
              <w:t>Fokker F-50</w:t>
            </w:r>
          </w:p>
        </w:tc>
        <w:tc>
          <w:tcPr>
            <w:tcW w:w="888" w:type="dxa"/>
            <w:tcBorders>
              <w:top w:val="nil"/>
              <w:left w:val="single" w:sz="4" w:space="0" w:color="D9D9D9"/>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5"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5</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5</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5</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5</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nil"/>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0</w:t>
            </w:r>
          </w:p>
        </w:tc>
      </w:tr>
      <w:tr w:rsidR="00813A87" w:rsidRPr="0075792F" w:rsidTr="008716A0">
        <w:trPr>
          <w:trHeight w:val="227"/>
        </w:trPr>
        <w:tc>
          <w:tcPr>
            <w:tcW w:w="1320" w:type="dxa"/>
            <w:tcBorders>
              <w:top w:val="nil"/>
              <w:left w:val="nil"/>
              <w:bottom w:val="dotted" w:sz="4" w:space="0" w:color="808080"/>
              <w:right w:val="nil"/>
            </w:tcBorders>
            <w:shd w:val="clear" w:color="auto" w:fill="auto"/>
            <w:noWrap/>
            <w:vAlign w:val="center"/>
            <w:hideMark/>
          </w:tcPr>
          <w:p w:rsidR="00813A87" w:rsidRPr="0075792F" w:rsidRDefault="00813A87" w:rsidP="008716A0">
            <w:pPr>
              <w:spacing w:after="0" w:line="240" w:lineRule="auto"/>
              <w:jc w:val="left"/>
              <w:rPr>
                <w:rFonts w:eastAsia="Times New Roman" w:cs="Arial"/>
                <w:color w:val="595959"/>
                <w:sz w:val="16"/>
                <w:szCs w:val="16"/>
                <w:lang w:eastAsia="is-IS"/>
              </w:rPr>
            </w:pPr>
            <w:r w:rsidRPr="0075792F">
              <w:rPr>
                <w:rFonts w:eastAsia="Times New Roman" w:cs="Arial"/>
                <w:color w:val="595959"/>
                <w:sz w:val="16"/>
                <w:szCs w:val="16"/>
                <w:lang w:eastAsia="is-IS"/>
              </w:rPr>
              <w:t>Dash 8-200</w:t>
            </w:r>
          </w:p>
        </w:tc>
        <w:tc>
          <w:tcPr>
            <w:tcW w:w="888" w:type="dxa"/>
            <w:tcBorders>
              <w:top w:val="nil"/>
              <w:left w:val="single" w:sz="4" w:space="0" w:color="D9D9D9"/>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5"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2</w:t>
            </w:r>
          </w:p>
        </w:tc>
        <w:tc>
          <w:tcPr>
            <w:tcW w:w="820" w:type="dxa"/>
            <w:tcBorders>
              <w:top w:val="nil"/>
              <w:left w:val="nil"/>
              <w:bottom w:val="dotted"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 </w:t>
            </w:r>
          </w:p>
        </w:tc>
        <w:tc>
          <w:tcPr>
            <w:tcW w:w="820" w:type="dxa"/>
            <w:tcBorders>
              <w:top w:val="nil"/>
              <w:left w:val="nil"/>
              <w:bottom w:val="dotted" w:sz="4" w:space="0" w:color="808080"/>
              <w:right w:val="nil"/>
            </w:tcBorders>
            <w:shd w:val="clear" w:color="000000" w:fill="EBECEC"/>
            <w:noWrap/>
            <w:vAlign w:val="center"/>
            <w:hideMark/>
          </w:tcPr>
          <w:p w:rsidR="00813A87" w:rsidRPr="0075792F" w:rsidRDefault="00813A87" w:rsidP="008716A0">
            <w:pPr>
              <w:spacing w:after="0" w:line="240" w:lineRule="auto"/>
              <w:jc w:val="right"/>
              <w:rPr>
                <w:rFonts w:eastAsia="Times New Roman" w:cs="Arial"/>
                <w:color w:val="595959"/>
                <w:sz w:val="16"/>
                <w:szCs w:val="16"/>
                <w:lang w:eastAsia="is-IS"/>
              </w:rPr>
            </w:pPr>
            <w:r w:rsidRPr="0075792F">
              <w:rPr>
                <w:rFonts w:eastAsia="Times New Roman" w:cs="Arial"/>
                <w:color w:val="595959"/>
                <w:sz w:val="16"/>
                <w:szCs w:val="16"/>
                <w:lang w:eastAsia="is-IS"/>
              </w:rPr>
              <w:t>0</w:t>
            </w:r>
          </w:p>
        </w:tc>
      </w:tr>
      <w:tr w:rsidR="00813A87" w:rsidRPr="0075792F" w:rsidTr="008716A0">
        <w:trPr>
          <w:trHeight w:val="227"/>
        </w:trPr>
        <w:tc>
          <w:tcPr>
            <w:tcW w:w="1320" w:type="dxa"/>
            <w:tcBorders>
              <w:top w:val="single" w:sz="4" w:space="0" w:color="808080"/>
              <w:left w:val="nil"/>
              <w:bottom w:val="single" w:sz="4" w:space="0" w:color="808080"/>
              <w:right w:val="nil"/>
            </w:tcBorders>
            <w:shd w:val="clear" w:color="auto" w:fill="auto"/>
            <w:noWrap/>
            <w:vAlign w:val="center"/>
            <w:hideMark/>
          </w:tcPr>
          <w:p w:rsidR="00813A87" w:rsidRPr="0075792F" w:rsidRDefault="00CB6A89" w:rsidP="008716A0">
            <w:pPr>
              <w:spacing w:after="0" w:line="240" w:lineRule="auto"/>
              <w:jc w:val="left"/>
              <w:rPr>
                <w:rFonts w:eastAsia="Times New Roman" w:cs="Arial"/>
                <w:b/>
                <w:bCs/>
                <w:color w:val="595959"/>
                <w:sz w:val="16"/>
                <w:szCs w:val="16"/>
                <w:lang w:eastAsia="is-IS"/>
              </w:rPr>
            </w:pPr>
            <w:r>
              <w:rPr>
                <w:rFonts w:eastAsia="Times New Roman" w:cs="Arial"/>
                <w:b/>
                <w:bCs/>
                <w:color w:val="595959"/>
                <w:sz w:val="16"/>
                <w:szCs w:val="16"/>
                <w:lang w:val="is-IS" w:eastAsia="is-IS"/>
              </w:rPr>
              <w:t>Total</w:t>
            </w:r>
          </w:p>
        </w:tc>
        <w:tc>
          <w:tcPr>
            <w:tcW w:w="888" w:type="dxa"/>
            <w:tcBorders>
              <w:top w:val="single" w:sz="4" w:space="0" w:color="808080"/>
              <w:left w:val="single" w:sz="4" w:space="0" w:color="D9D9D9"/>
              <w:bottom w:val="single"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21</w:t>
            </w:r>
          </w:p>
        </w:tc>
        <w:tc>
          <w:tcPr>
            <w:tcW w:w="820" w:type="dxa"/>
            <w:tcBorders>
              <w:top w:val="single" w:sz="4" w:space="0" w:color="808080"/>
              <w:left w:val="nil"/>
              <w:bottom w:val="single"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2</w:t>
            </w:r>
          </w:p>
        </w:tc>
        <w:tc>
          <w:tcPr>
            <w:tcW w:w="825" w:type="dxa"/>
            <w:tcBorders>
              <w:top w:val="single" w:sz="4" w:space="0" w:color="808080"/>
              <w:left w:val="nil"/>
              <w:bottom w:val="single"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6</w:t>
            </w:r>
          </w:p>
        </w:tc>
        <w:tc>
          <w:tcPr>
            <w:tcW w:w="820" w:type="dxa"/>
            <w:tcBorders>
              <w:top w:val="single" w:sz="4" w:space="0" w:color="808080"/>
              <w:left w:val="nil"/>
              <w:bottom w:val="single"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7</w:t>
            </w:r>
          </w:p>
        </w:tc>
        <w:tc>
          <w:tcPr>
            <w:tcW w:w="820" w:type="dxa"/>
            <w:tcBorders>
              <w:top w:val="single" w:sz="4" w:space="0" w:color="808080"/>
              <w:left w:val="nil"/>
              <w:bottom w:val="single"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36</w:t>
            </w:r>
          </w:p>
        </w:tc>
        <w:tc>
          <w:tcPr>
            <w:tcW w:w="820" w:type="dxa"/>
            <w:tcBorders>
              <w:top w:val="single" w:sz="4" w:space="0" w:color="808080"/>
              <w:left w:val="nil"/>
              <w:bottom w:val="single" w:sz="4" w:space="0" w:color="808080"/>
              <w:right w:val="single" w:sz="4" w:space="0" w:color="D9D9D9"/>
            </w:tcBorders>
            <w:shd w:val="clear" w:color="000000" w:fill="EBECEC"/>
            <w:noWrap/>
            <w:vAlign w:val="center"/>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37</w:t>
            </w:r>
          </w:p>
        </w:tc>
        <w:tc>
          <w:tcPr>
            <w:tcW w:w="820" w:type="dxa"/>
            <w:tcBorders>
              <w:top w:val="single" w:sz="4" w:space="0" w:color="808080"/>
              <w:left w:val="nil"/>
              <w:bottom w:val="single"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27</w:t>
            </w:r>
          </w:p>
        </w:tc>
        <w:tc>
          <w:tcPr>
            <w:tcW w:w="820" w:type="dxa"/>
            <w:tcBorders>
              <w:top w:val="single" w:sz="4" w:space="0" w:color="808080"/>
              <w:left w:val="nil"/>
              <w:bottom w:val="single" w:sz="4" w:space="0" w:color="808080"/>
              <w:right w:val="single" w:sz="4" w:space="0" w:color="D9D9D9"/>
            </w:tcBorders>
            <w:shd w:val="clear" w:color="auto" w:fill="auto"/>
            <w:noWrap/>
            <w:vAlign w:val="center"/>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10</w:t>
            </w:r>
          </w:p>
        </w:tc>
        <w:tc>
          <w:tcPr>
            <w:tcW w:w="820" w:type="dxa"/>
            <w:tcBorders>
              <w:top w:val="single" w:sz="4" w:space="0" w:color="808080"/>
              <w:left w:val="nil"/>
              <w:bottom w:val="single" w:sz="4" w:space="0" w:color="808080"/>
              <w:right w:val="nil"/>
            </w:tcBorders>
            <w:shd w:val="clear" w:color="000000" w:fill="EBECEC"/>
            <w:noWrap/>
            <w:vAlign w:val="center"/>
            <w:hideMark/>
          </w:tcPr>
          <w:p w:rsidR="00813A87" w:rsidRPr="0075792F" w:rsidRDefault="00813A87" w:rsidP="008716A0">
            <w:pPr>
              <w:spacing w:after="0" w:line="240" w:lineRule="auto"/>
              <w:jc w:val="right"/>
              <w:rPr>
                <w:rFonts w:eastAsia="Times New Roman" w:cs="Arial"/>
                <w:b/>
                <w:bCs/>
                <w:color w:val="595959"/>
                <w:sz w:val="16"/>
                <w:szCs w:val="16"/>
                <w:lang w:eastAsia="is-IS"/>
              </w:rPr>
            </w:pPr>
            <w:r w:rsidRPr="0075792F">
              <w:rPr>
                <w:rFonts w:eastAsia="Times New Roman" w:cs="Arial"/>
                <w:b/>
                <w:bCs/>
                <w:color w:val="595959"/>
                <w:sz w:val="16"/>
                <w:szCs w:val="16"/>
                <w:lang w:eastAsia="is-IS"/>
              </w:rPr>
              <w:t>-1</w:t>
            </w:r>
          </w:p>
        </w:tc>
      </w:tr>
    </w:tbl>
    <w:p w:rsidR="001B3726" w:rsidRPr="00D74FC8" w:rsidRDefault="00374724" w:rsidP="00197D62">
      <w:pPr>
        <w:spacing w:before="240"/>
      </w:pPr>
      <w:r>
        <w:t>Equity amounted to USD 403.6 million at the end of the third quarter and the equity ratio was 46%, increasing in comparison with the end of the third quarter of 2013, when the ratio was 40%. The equity ratio at the end of 2013 was 42%.</w:t>
      </w:r>
    </w:p>
    <w:p w:rsidR="001B3726" w:rsidRDefault="00374724" w:rsidP="001B3726">
      <w:r>
        <w:t>Interest-bearing liabilities amounted to USD 55.5 million, as compared to USD 122.0 million at the beginning of the year. Payments on long-term debts in the third quarter amounted to USD 3.6 million. Cash and marketable securities amounted to a total of USD 254.7 million at the end of the third quarter of 2014, as compared to USD 199.5 million at the beginning of the year. Net interest-bearing debt therefore amounted to USD -199.2 million at the end of the quarter, down by USD 121.8 million from the turn of the year.</w:t>
      </w:r>
    </w:p>
    <w:tbl>
      <w:tblPr>
        <w:tblW w:w="8180" w:type="dxa"/>
        <w:tblInd w:w="55" w:type="dxa"/>
        <w:tblCellMar>
          <w:left w:w="70" w:type="dxa"/>
          <w:right w:w="70" w:type="dxa"/>
        </w:tblCellMar>
        <w:tblLook w:val="04A0" w:firstRow="1" w:lastRow="0" w:firstColumn="1" w:lastColumn="0" w:noHBand="0" w:noVBand="1"/>
      </w:tblPr>
      <w:tblGrid>
        <w:gridCol w:w="3860"/>
        <w:gridCol w:w="1080"/>
        <w:gridCol w:w="1080"/>
        <w:gridCol w:w="1080"/>
        <w:gridCol w:w="1080"/>
      </w:tblGrid>
      <w:tr w:rsidR="003508EA" w:rsidRPr="003508EA" w:rsidTr="003508EA">
        <w:trPr>
          <w:trHeight w:val="225"/>
        </w:trPr>
        <w:tc>
          <w:tcPr>
            <w:tcW w:w="3860" w:type="dxa"/>
            <w:tcBorders>
              <w:top w:val="nil"/>
              <w:left w:val="nil"/>
              <w:bottom w:val="single" w:sz="4" w:space="0" w:color="808080"/>
              <w:right w:val="nil"/>
            </w:tcBorders>
            <w:shd w:val="clear" w:color="auto" w:fill="auto"/>
            <w:noWrap/>
            <w:vAlign w:val="bottom"/>
            <w:hideMark/>
          </w:tcPr>
          <w:p w:rsidR="003508EA" w:rsidRPr="003508EA" w:rsidRDefault="003508EA" w:rsidP="003508EA">
            <w:pPr>
              <w:spacing w:after="0" w:line="240" w:lineRule="auto"/>
              <w:jc w:val="left"/>
              <w:rPr>
                <w:rFonts w:eastAsia="Times New Roman" w:cs="Arial"/>
                <w:b/>
                <w:bCs/>
                <w:color w:val="595959"/>
                <w:sz w:val="16"/>
                <w:szCs w:val="16"/>
                <w:lang w:eastAsia="is-IS" w:bidi="ar-SA"/>
              </w:rPr>
            </w:pPr>
            <w:r w:rsidRPr="003508EA">
              <w:rPr>
                <w:rFonts w:eastAsia="Times New Roman" w:cs="Arial"/>
                <w:b/>
                <w:bCs/>
                <w:color w:val="595959"/>
                <w:sz w:val="16"/>
                <w:szCs w:val="16"/>
                <w:lang w:eastAsia="is-IS" w:bidi="ar-SA"/>
              </w:rPr>
              <w:t>USD thousands</w:t>
            </w:r>
          </w:p>
        </w:tc>
        <w:tc>
          <w:tcPr>
            <w:tcW w:w="1080" w:type="dxa"/>
            <w:tcBorders>
              <w:top w:val="nil"/>
              <w:left w:val="nil"/>
              <w:bottom w:val="single" w:sz="4" w:space="0" w:color="808080"/>
              <w:right w:val="nil"/>
            </w:tcBorders>
            <w:shd w:val="clear" w:color="000000" w:fill="EBECEC"/>
            <w:noWrap/>
            <w:vAlign w:val="center"/>
            <w:hideMark/>
          </w:tcPr>
          <w:p w:rsidR="003508EA" w:rsidRPr="003508EA" w:rsidRDefault="003508EA" w:rsidP="003508EA">
            <w:pPr>
              <w:spacing w:after="0" w:line="240" w:lineRule="auto"/>
              <w:jc w:val="right"/>
              <w:rPr>
                <w:rFonts w:eastAsia="Times New Roman" w:cs="Arial"/>
                <w:b/>
                <w:bCs/>
                <w:color w:val="595959"/>
                <w:sz w:val="16"/>
                <w:szCs w:val="16"/>
                <w:lang w:eastAsia="is-IS" w:bidi="ar-SA"/>
              </w:rPr>
            </w:pPr>
            <w:r w:rsidRPr="003508EA">
              <w:rPr>
                <w:rFonts w:eastAsia="Times New Roman" w:cs="Arial"/>
                <w:b/>
                <w:bCs/>
                <w:color w:val="595959"/>
                <w:sz w:val="16"/>
                <w:szCs w:val="16"/>
                <w:lang w:eastAsia="is-IS" w:bidi="ar-SA"/>
              </w:rPr>
              <w:t>30.09.2014</w:t>
            </w:r>
          </w:p>
        </w:tc>
        <w:tc>
          <w:tcPr>
            <w:tcW w:w="1080" w:type="dxa"/>
            <w:tcBorders>
              <w:top w:val="nil"/>
              <w:left w:val="nil"/>
              <w:bottom w:val="single"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b/>
                <w:bCs/>
                <w:color w:val="595959"/>
                <w:sz w:val="16"/>
                <w:szCs w:val="16"/>
                <w:lang w:eastAsia="is-IS" w:bidi="ar-SA"/>
              </w:rPr>
            </w:pPr>
            <w:r w:rsidRPr="003508EA">
              <w:rPr>
                <w:rFonts w:eastAsia="Times New Roman" w:cs="Arial"/>
                <w:b/>
                <w:bCs/>
                <w:color w:val="595959"/>
                <w:sz w:val="16"/>
                <w:szCs w:val="16"/>
                <w:lang w:eastAsia="is-IS" w:bidi="ar-SA"/>
              </w:rPr>
              <w:t>31.12.2013</w:t>
            </w:r>
          </w:p>
        </w:tc>
        <w:tc>
          <w:tcPr>
            <w:tcW w:w="1080" w:type="dxa"/>
            <w:tcBorders>
              <w:top w:val="nil"/>
              <w:left w:val="nil"/>
              <w:bottom w:val="single"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b/>
                <w:bCs/>
                <w:color w:val="595959"/>
                <w:sz w:val="16"/>
                <w:szCs w:val="16"/>
                <w:lang w:eastAsia="is-IS" w:bidi="ar-SA"/>
              </w:rPr>
            </w:pPr>
            <w:r w:rsidRPr="003508EA">
              <w:rPr>
                <w:rFonts w:eastAsia="Times New Roman" w:cs="Arial"/>
                <w:b/>
                <w:bCs/>
                <w:color w:val="595959"/>
                <w:sz w:val="16"/>
                <w:szCs w:val="16"/>
                <w:lang w:eastAsia="is-IS" w:bidi="ar-SA"/>
              </w:rPr>
              <w:t>Change</w:t>
            </w:r>
          </w:p>
        </w:tc>
        <w:tc>
          <w:tcPr>
            <w:tcW w:w="1080" w:type="dxa"/>
            <w:tcBorders>
              <w:top w:val="nil"/>
              <w:left w:val="nil"/>
              <w:bottom w:val="single"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b/>
                <w:bCs/>
                <w:color w:val="595959"/>
                <w:sz w:val="16"/>
                <w:szCs w:val="16"/>
                <w:lang w:eastAsia="is-IS" w:bidi="ar-SA"/>
              </w:rPr>
            </w:pPr>
            <w:r w:rsidRPr="003508EA">
              <w:rPr>
                <w:rFonts w:eastAsia="Times New Roman" w:cs="Arial"/>
                <w:b/>
                <w:bCs/>
                <w:color w:val="595959"/>
                <w:sz w:val="16"/>
                <w:szCs w:val="16"/>
                <w:lang w:eastAsia="is-IS" w:bidi="ar-SA"/>
              </w:rPr>
              <w:t>30.09.2013</w:t>
            </w:r>
          </w:p>
        </w:tc>
      </w:tr>
      <w:tr w:rsidR="003508EA" w:rsidRPr="003508EA" w:rsidTr="003508EA">
        <w:trPr>
          <w:trHeight w:val="225"/>
        </w:trPr>
        <w:tc>
          <w:tcPr>
            <w:tcW w:w="386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left"/>
              <w:rPr>
                <w:rFonts w:eastAsia="Times New Roman" w:cs="Arial"/>
                <w:color w:val="595959"/>
                <w:sz w:val="16"/>
                <w:szCs w:val="16"/>
                <w:lang w:eastAsia="is-IS" w:bidi="ar-SA"/>
              </w:rPr>
            </w:pPr>
            <w:r w:rsidRPr="003508EA">
              <w:rPr>
                <w:rFonts w:eastAsia="Times New Roman" w:cs="Arial"/>
                <w:color w:val="595959"/>
                <w:sz w:val="16"/>
                <w:szCs w:val="16"/>
                <w:lang w:eastAsia="is-IS" w:bidi="ar-SA"/>
              </w:rPr>
              <w:t>Loans and borrowings non-current</w:t>
            </w:r>
          </w:p>
        </w:tc>
        <w:tc>
          <w:tcPr>
            <w:tcW w:w="1080" w:type="dxa"/>
            <w:tcBorders>
              <w:top w:val="nil"/>
              <w:left w:val="nil"/>
              <w:bottom w:val="dotted" w:sz="4" w:space="0" w:color="808080"/>
              <w:right w:val="nil"/>
            </w:tcBorders>
            <w:shd w:val="clear" w:color="000000" w:fill="EBECEC"/>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42,957</w:t>
            </w:r>
          </w:p>
        </w:tc>
        <w:tc>
          <w:tcPr>
            <w:tcW w:w="108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78,489</w:t>
            </w:r>
          </w:p>
        </w:tc>
        <w:tc>
          <w:tcPr>
            <w:tcW w:w="108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-35,532</w:t>
            </w:r>
          </w:p>
        </w:tc>
        <w:tc>
          <w:tcPr>
            <w:tcW w:w="108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83,553</w:t>
            </w:r>
          </w:p>
        </w:tc>
      </w:tr>
      <w:tr w:rsidR="003508EA" w:rsidRPr="003508EA" w:rsidTr="003508EA">
        <w:trPr>
          <w:trHeight w:val="225"/>
        </w:trPr>
        <w:tc>
          <w:tcPr>
            <w:tcW w:w="386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left"/>
              <w:rPr>
                <w:rFonts w:eastAsia="Times New Roman" w:cs="Arial"/>
                <w:color w:val="595959"/>
                <w:sz w:val="16"/>
                <w:szCs w:val="16"/>
                <w:lang w:eastAsia="is-IS" w:bidi="ar-SA"/>
              </w:rPr>
            </w:pPr>
            <w:r w:rsidRPr="003508EA">
              <w:rPr>
                <w:rFonts w:eastAsia="Times New Roman" w:cs="Arial"/>
                <w:color w:val="595959"/>
                <w:sz w:val="16"/>
                <w:szCs w:val="16"/>
                <w:lang w:eastAsia="is-IS" w:bidi="ar-SA"/>
              </w:rPr>
              <w:t>Loans and borrowings current</w:t>
            </w:r>
          </w:p>
        </w:tc>
        <w:tc>
          <w:tcPr>
            <w:tcW w:w="1080" w:type="dxa"/>
            <w:tcBorders>
              <w:top w:val="nil"/>
              <w:left w:val="nil"/>
              <w:bottom w:val="dotted" w:sz="4" w:space="0" w:color="808080"/>
              <w:right w:val="nil"/>
            </w:tcBorders>
            <w:shd w:val="clear" w:color="000000" w:fill="EBECEC"/>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12,512</w:t>
            </w:r>
          </w:p>
        </w:tc>
        <w:tc>
          <w:tcPr>
            <w:tcW w:w="108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43,528</w:t>
            </w:r>
          </w:p>
        </w:tc>
        <w:tc>
          <w:tcPr>
            <w:tcW w:w="108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-31,016</w:t>
            </w:r>
          </w:p>
        </w:tc>
        <w:tc>
          <w:tcPr>
            <w:tcW w:w="108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44,909</w:t>
            </w:r>
          </w:p>
        </w:tc>
      </w:tr>
      <w:tr w:rsidR="003508EA" w:rsidRPr="003508EA" w:rsidTr="003508EA">
        <w:trPr>
          <w:trHeight w:val="225"/>
        </w:trPr>
        <w:tc>
          <w:tcPr>
            <w:tcW w:w="386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left"/>
              <w:rPr>
                <w:rFonts w:eastAsia="Times New Roman" w:cs="Arial"/>
                <w:color w:val="595959"/>
                <w:sz w:val="16"/>
                <w:szCs w:val="16"/>
                <w:lang w:eastAsia="is-IS" w:bidi="ar-SA"/>
              </w:rPr>
            </w:pPr>
            <w:r w:rsidRPr="003508EA">
              <w:rPr>
                <w:rFonts w:eastAsia="Times New Roman" w:cs="Arial"/>
                <w:color w:val="595959"/>
                <w:sz w:val="16"/>
                <w:szCs w:val="16"/>
                <w:lang w:eastAsia="is-IS" w:bidi="ar-SA"/>
              </w:rPr>
              <w:t>Marketable securities</w:t>
            </w:r>
          </w:p>
        </w:tc>
        <w:tc>
          <w:tcPr>
            <w:tcW w:w="1080" w:type="dxa"/>
            <w:tcBorders>
              <w:top w:val="nil"/>
              <w:left w:val="nil"/>
              <w:bottom w:val="dotted" w:sz="4" w:space="0" w:color="808080"/>
              <w:right w:val="nil"/>
            </w:tcBorders>
            <w:shd w:val="clear" w:color="000000" w:fill="EBECEC"/>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27,119</w:t>
            </w:r>
          </w:p>
        </w:tc>
        <w:tc>
          <w:tcPr>
            <w:tcW w:w="108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7,955</w:t>
            </w:r>
          </w:p>
        </w:tc>
        <w:tc>
          <w:tcPr>
            <w:tcW w:w="108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19,164</w:t>
            </w:r>
          </w:p>
        </w:tc>
        <w:tc>
          <w:tcPr>
            <w:tcW w:w="108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2,852</w:t>
            </w:r>
          </w:p>
        </w:tc>
      </w:tr>
      <w:tr w:rsidR="003508EA" w:rsidRPr="003508EA" w:rsidTr="003508EA">
        <w:trPr>
          <w:trHeight w:val="225"/>
        </w:trPr>
        <w:tc>
          <w:tcPr>
            <w:tcW w:w="3860" w:type="dxa"/>
            <w:tcBorders>
              <w:top w:val="nil"/>
              <w:left w:val="nil"/>
              <w:bottom w:val="nil"/>
              <w:right w:val="nil"/>
            </w:tcBorders>
            <w:shd w:val="clear" w:color="auto" w:fill="auto"/>
            <w:noWrap/>
            <w:vAlign w:val="center"/>
            <w:hideMark/>
          </w:tcPr>
          <w:p w:rsidR="003508EA" w:rsidRPr="003508EA" w:rsidRDefault="003508EA" w:rsidP="003508EA">
            <w:pPr>
              <w:spacing w:after="0" w:line="240" w:lineRule="auto"/>
              <w:jc w:val="left"/>
              <w:rPr>
                <w:rFonts w:eastAsia="Times New Roman" w:cs="Arial"/>
                <w:color w:val="595959"/>
                <w:sz w:val="16"/>
                <w:szCs w:val="16"/>
                <w:lang w:eastAsia="is-IS" w:bidi="ar-SA"/>
              </w:rPr>
            </w:pPr>
            <w:r w:rsidRPr="003508EA">
              <w:rPr>
                <w:rFonts w:eastAsia="Times New Roman" w:cs="Arial"/>
                <w:color w:val="595959"/>
                <w:sz w:val="16"/>
                <w:szCs w:val="16"/>
                <w:lang w:eastAsia="is-IS" w:bidi="ar-SA"/>
              </w:rPr>
              <w:t>Cash and cash equivalents</w:t>
            </w:r>
          </w:p>
        </w:tc>
        <w:tc>
          <w:tcPr>
            <w:tcW w:w="1080" w:type="dxa"/>
            <w:tcBorders>
              <w:top w:val="nil"/>
              <w:left w:val="nil"/>
              <w:bottom w:val="nil"/>
              <w:right w:val="nil"/>
            </w:tcBorders>
            <w:shd w:val="clear" w:color="000000" w:fill="EBECEC"/>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227,576</w:t>
            </w:r>
          </w:p>
        </w:tc>
        <w:tc>
          <w:tcPr>
            <w:tcW w:w="1080" w:type="dxa"/>
            <w:tcBorders>
              <w:top w:val="nil"/>
              <w:left w:val="nil"/>
              <w:bottom w:val="nil"/>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191,538</w:t>
            </w:r>
          </w:p>
        </w:tc>
        <w:tc>
          <w:tcPr>
            <w:tcW w:w="1080" w:type="dxa"/>
            <w:tcBorders>
              <w:top w:val="nil"/>
              <w:left w:val="nil"/>
              <w:bottom w:val="dotted"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36,038</w:t>
            </w:r>
          </w:p>
        </w:tc>
        <w:tc>
          <w:tcPr>
            <w:tcW w:w="1080" w:type="dxa"/>
            <w:tcBorders>
              <w:top w:val="nil"/>
              <w:left w:val="nil"/>
              <w:bottom w:val="nil"/>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color w:val="595959"/>
                <w:sz w:val="16"/>
                <w:szCs w:val="16"/>
                <w:lang w:eastAsia="is-IS" w:bidi="ar-SA"/>
              </w:rPr>
            </w:pPr>
            <w:r w:rsidRPr="003508EA">
              <w:rPr>
                <w:rFonts w:eastAsia="Times New Roman" w:cs="Arial"/>
                <w:color w:val="595959"/>
                <w:sz w:val="16"/>
                <w:szCs w:val="16"/>
                <w:lang w:eastAsia="is-IS" w:bidi="ar-SA"/>
              </w:rPr>
              <w:t>215,484</w:t>
            </w:r>
          </w:p>
        </w:tc>
      </w:tr>
      <w:tr w:rsidR="003508EA" w:rsidRPr="003508EA" w:rsidTr="003508EA">
        <w:trPr>
          <w:trHeight w:val="225"/>
        </w:trPr>
        <w:tc>
          <w:tcPr>
            <w:tcW w:w="3860" w:type="dxa"/>
            <w:tcBorders>
              <w:top w:val="single" w:sz="4" w:space="0" w:color="808080"/>
              <w:left w:val="nil"/>
              <w:bottom w:val="single" w:sz="4" w:space="0" w:color="808080"/>
              <w:right w:val="nil"/>
            </w:tcBorders>
            <w:shd w:val="clear" w:color="auto" w:fill="auto"/>
            <w:noWrap/>
            <w:vAlign w:val="center"/>
            <w:hideMark/>
          </w:tcPr>
          <w:p w:rsidR="003508EA" w:rsidRPr="003508EA" w:rsidRDefault="003508EA" w:rsidP="003508EA">
            <w:pPr>
              <w:spacing w:after="0" w:line="240" w:lineRule="auto"/>
              <w:jc w:val="left"/>
              <w:rPr>
                <w:rFonts w:eastAsia="Times New Roman" w:cs="Arial"/>
                <w:b/>
                <w:bCs/>
                <w:color w:val="595959"/>
                <w:sz w:val="16"/>
                <w:szCs w:val="16"/>
                <w:lang w:eastAsia="is-IS" w:bidi="ar-SA"/>
              </w:rPr>
            </w:pPr>
            <w:r w:rsidRPr="003508EA">
              <w:rPr>
                <w:rFonts w:eastAsia="Times New Roman" w:cs="Arial"/>
                <w:b/>
                <w:bCs/>
                <w:color w:val="595959"/>
                <w:sz w:val="16"/>
                <w:szCs w:val="16"/>
                <w:lang w:eastAsia="is-IS" w:bidi="ar-SA"/>
              </w:rPr>
              <w:t>Net interest bearing debt</w:t>
            </w:r>
          </w:p>
        </w:tc>
        <w:tc>
          <w:tcPr>
            <w:tcW w:w="1080" w:type="dxa"/>
            <w:tcBorders>
              <w:top w:val="single" w:sz="4" w:space="0" w:color="808080"/>
              <w:left w:val="nil"/>
              <w:bottom w:val="single" w:sz="4" w:space="0" w:color="808080"/>
              <w:right w:val="nil"/>
            </w:tcBorders>
            <w:shd w:val="clear" w:color="000000" w:fill="EBECEC"/>
            <w:noWrap/>
            <w:vAlign w:val="center"/>
            <w:hideMark/>
          </w:tcPr>
          <w:p w:rsidR="003508EA" w:rsidRPr="003508EA" w:rsidRDefault="003508EA" w:rsidP="003508EA">
            <w:pPr>
              <w:spacing w:after="0" w:line="240" w:lineRule="auto"/>
              <w:jc w:val="right"/>
              <w:rPr>
                <w:rFonts w:eastAsia="Times New Roman" w:cs="Arial"/>
                <w:b/>
                <w:bCs/>
                <w:color w:val="595959"/>
                <w:sz w:val="16"/>
                <w:szCs w:val="16"/>
                <w:lang w:eastAsia="is-IS" w:bidi="ar-SA"/>
              </w:rPr>
            </w:pPr>
            <w:r w:rsidRPr="003508EA">
              <w:rPr>
                <w:rFonts w:eastAsia="Times New Roman" w:cs="Arial"/>
                <w:b/>
                <w:bCs/>
                <w:color w:val="595959"/>
                <w:sz w:val="16"/>
                <w:szCs w:val="16"/>
                <w:lang w:eastAsia="is-IS" w:bidi="ar-SA"/>
              </w:rPr>
              <w:t>-199,226</w:t>
            </w:r>
          </w:p>
        </w:tc>
        <w:tc>
          <w:tcPr>
            <w:tcW w:w="1080" w:type="dxa"/>
            <w:tcBorders>
              <w:top w:val="single" w:sz="4" w:space="0" w:color="808080"/>
              <w:left w:val="nil"/>
              <w:bottom w:val="single"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b/>
                <w:bCs/>
                <w:color w:val="595959"/>
                <w:sz w:val="16"/>
                <w:szCs w:val="16"/>
                <w:lang w:eastAsia="is-IS" w:bidi="ar-SA"/>
              </w:rPr>
            </w:pPr>
            <w:r w:rsidRPr="003508EA">
              <w:rPr>
                <w:rFonts w:eastAsia="Times New Roman" w:cs="Arial"/>
                <w:b/>
                <w:bCs/>
                <w:color w:val="595959"/>
                <w:sz w:val="16"/>
                <w:szCs w:val="16"/>
                <w:lang w:eastAsia="is-IS" w:bidi="ar-SA"/>
              </w:rPr>
              <w:t>-77,476</w:t>
            </w:r>
          </w:p>
        </w:tc>
        <w:tc>
          <w:tcPr>
            <w:tcW w:w="1080" w:type="dxa"/>
            <w:tcBorders>
              <w:top w:val="single" w:sz="4" w:space="0" w:color="808080"/>
              <w:left w:val="nil"/>
              <w:bottom w:val="single"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b/>
                <w:bCs/>
                <w:color w:val="595959"/>
                <w:sz w:val="16"/>
                <w:szCs w:val="16"/>
                <w:lang w:eastAsia="is-IS" w:bidi="ar-SA"/>
              </w:rPr>
            </w:pPr>
            <w:r w:rsidRPr="003508EA">
              <w:rPr>
                <w:rFonts w:eastAsia="Times New Roman" w:cs="Arial"/>
                <w:b/>
                <w:bCs/>
                <w:color w:val="595959"/>
                <w:sz w:val="16"/>
                <w:szCs w:val="16"/>
                <w:lang w:eastAsia="is-IS" w:bidi="ar-SA"/>
              </w:rPr>
              <w:t>-121,750</w:t>
            </w:r>
          </w:p>
        </w:tc>
        <w:tc>
          <w:tcPr>
            <w:tcW w:w="1080" w:type="dxa"/>
            <w:tcBorders>
              <w:top w:val="single" w:sz="4" w:space="0" w:color="808080"/>
              <w:left w:val="nil"/>
              <w:bottom w:val="single" w:sz="4" w:space="0" w:color="808080"/>
              <w:right w:val="nil"/>
            </w:tcBorders>
            <w:shd w:val="clear" w:color="auto" w:fill="auto"/>
            <w:noWrap/>
            <w:vAlign w:val="center"/>
            <w:hideMark/>
          </w:tcPr>
          <w:p w:rsidR="003508EA" w:rsidRPr="003508EA" w:rsidRDefault="003508EA" w:rsidP="003508EA">
            <w:pPr>
              <w:spacing w:after="0" w:line="240" w:lineRule="auto"/>
              <w:jc w:val="right"/>
              <w:rPr>
                <w:rFonts w:eastAsia="Times New Roman" w:cs="Arial"/>
                <w:b/>
                <w:bCs/>
                <w:color w:val="595959"/>
                <w:sz w:val="16"/>
                <w:szCs w:val="16"/>
                <w:lang w:eastAsia="is-IS" w:bidi="ar-SA"/>
              </w:rPr>
            </w:pPr>
            <w:r w:rsidRPr="003508EA">
              <w:rPr>
                <w:rFonts w:eastAsia="Times New Roman" w:cs="Arial"/>
                <w:b/>
                <w:bCs/>
                <w:color w:val="595959"/>
                <w:sz w:val="16"/>
                <w:szCs w:val="16"/>
                <w:lang w:eastAsia="is-IS" w:bidi="ar-SA"/>
              </w:rPr>
              <w:t>-89,874</w:t>
            </w:r>
          </w:p>
        </w:tc>
      </w:tr>
    </w:tbl>
    <w:p w:rsidR="003508EA" w:rsidRPr="00D74FC8" w:rsidRDefault="003508EA" w:rsidP="001B3726"/>
    <w:p w:rsidR="001B3726" w:rsidRPr="00D74FC8" w:rsidRDefault="001B3726" w:rsidP="004F4138">
      <w:pPr>
        <w:pStyle w:val="NoSpacing"/>
      </w:pPr>
      <w:r>
        <w:t>CASH FLOW AND INVESTMENTS</w:t>
      </w:r>
    </w:p>
    <w:p w:rsidR="001B3726" w:rsidRPr="00D74FC8" w:rsidRDefault="001B3726" w:rsidP="001B0C29">
      <w:pPr>
        <w:pStyle w:val="Heading2"/>
      </w:pPr>
      <w:r>
        <w:t>Cash and cash equivalents at the end of the third quarter amounted to USD 227.6 million</w:t>
      </w:r>
    </w:p>
    <w:p w:rsidR="001B3726" w:rsidRPr="0078747C" w:rsidRDefault="001B3726" w:rsidP="001B0C29">
      <w:pPr>
        <w:pStyle w:val="Heading2"/>
      </w:pPr>
      <w:r>
        <w:t>Investments amounted to USD 28.3 million</w:t>
      </w:r>
    </w:p>
    <w:p w:rsidR="001B3726" w:rsidRPr="00D74FC8" w:rsidRDefault="000030AB" w:rsidP="00670B19">
      <w:pPr>
        <w:pStyle w:val="Heading2"/>
        <w:spacing w:after="240"/>
        <w:ind w:left="357" w:hanging="357"/>
      </w:pPr>
      <w:r>
        <w:t>Payments on long-term liabilities amounted to USD 3.6 million</w:t>
      </w:r>
    </w:p>
    <w:tbl>
      <w:tblPr>
        <w:tblW w:w="6920" w:type="dxa"/>
        <w:tblInd w:w="55" w:type="dxa"/>
        <w:tblCellMar>
          <w:left w:w="70" w:type="dxa"/>
          <w:right w:w="70" w:type="dxa"/>
        </w:tblCellMar>
        <w:tblLook w:val="04A0" w:firstRow="1" w:lastRow="0" w:firstColumn="1" w:lastColumn="0" w:noHBand="0" w:noVBand="1"/>
      </w:tblPr>
      <w:tblGrid>
        <w:gridCol w:w="3860"/>
        <w:gridCol w:w="1040"/>
        <w:gridCol w:w="1020"/>
        <w:gridCol w:w="1000"/>
      </w:tblGrid>
      <w:tr w:rsidR="00813A87" w:rsidRPr="006958F2" w:rsidTr="008716A0">
        <w:trPr>
          <w:trHeight w:val="225"/>
        </w:trPr>
        <w:tc>
          <w:tcPr>
            <w:tcW w:w="386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USD thousand</w:t>
            </w:r>
          </w:p>
        </w:tc>
        <w:tc>
          <w:tcPr>
            <w:tcW w:w="1040" w:type="dxa"/>
            <w:tcBorders>
              <w:top w:val="nil"/>
              <w:left w:val="nil"/>
              <w:bottom w:val="single"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2014</w:t>
            </w:r>
          </w:p>
        </w:tc>
        <w:tc>
          <w:tcPr>
            <w:tcW w:w="102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Q3 2013</w:t>
            </w:r>
          </w:p>
        </w:tc>
        <w:tc>
          <w:tcPr>
            <w:tcW w:w="1000"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Change</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404040"/>
                <w:sz w:val="16"/>
                <w:szCs w:val="16"/>
                <w:lang w:eastAsia="is-IS"/>
              </w:rPr>
            </w:pPr>
            <w:r w:rsidRPr="006958F2">
              <w:rPr>
                <w:rFonts w:eastAsia="Times New Roman" w:cs="Arial"/>
                <w:color w:val="404040"/>
                <w:sz w:val="16"/>
                <w:szCs w:val="16"/>
                <w:lang w:eastAsia="is-IS"/>
              </w:rPr>
              <w:t>Working capital from operations</w:t>
            </w:r>
          </w:p>
        </w:tc>
        <w:tc>
          <w:tcPr>
            <w:tcW w:w="104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135,211</w:t>
            </w:r>
          </w:p>
        </w:tc>
        <w:tc>
          <w:tcPr>
            <w:tcW w:w="10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111,138</w:t>
            </w:r>
          </w:p>
        </w:tc>
        <w:tc>
          <w:tcPr>
            <w:tcW w:w="100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24,073</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404040"/>
                <w:sz w:val="16"/>
                <w:szCs w:val="16"/>
                <w:lang w:eastAsia="is-IS"/>
              </w:rPr>
            </w:pPr>
            <w:r w:rsidRPr="006958F2">
              <w:rPr>
                <w:rFonts w:eastAsia="Times New Roman" w:cs="Arial"/>
                <w:color w:val="404040"/>
                <w:sz w:val="16"/>
                <w:szCs w:val="16"/>
                <w:lang w:eastAsia="is-IS"/>
              </w:rPr>
              <w:t>Net cash from operating activities</w:t>
            </w:r>
          </w:p>
        </w:tc>
        <w:tc>
          <w:tcPr>
            <w:tcW w:w="104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5,767</w:t>
            </w:r>
          </w:p>
        </w:tc>
        <w:tc>
          <w:tcPr>
            <w:tcW w:w="10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30,272</w:t>
            </w:r>
          </w:p>
        </w:tc>
        <w:tc>
          <w:tcPr>
            <w:tcW w:w="100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-24,505</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404040"/>
                <w:sz w:val="16"/>
                <w:szCs w:val="16"/>
                <w:lang w:eastAsia="is-IS"/>
              </w:rPr>
            </w:pPr>
            <w:r w:rsidRPr="006958F2">
              <w:rPr>
                <w:rFonts w:eastAsia="Times New Roman" w:cs="Arial"/>
                <w:color w:val="404040"/>
                <w:sz w:val="16"/>
                <w:szCs w:val="16"/>
                <w:lang w:eastAsia="is-IS"/>
              </w:rPr>
              <w:t>Net cash used in investing activities</w:t>
            </w:r>
          </w:p>
        </w:tc>
        <w:tc>
          <w:tcPr>
            <w:tcW w:w="104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-38,383</w:t>
            </w:r>
          </w:p>
        </w:tc>
        <w:tc>
          <w:tcPr>
            <w:tcW w:w="10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-24,288</w:t>
            </w:r>
          </w:p>
        </w:tc>
        <w:tc>
          <w:tcPr>
            <w:tcW w:w="100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-14,095</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404040"/>
                <w:sz w:val="16"/>
                <w:szCs w:val="16"/>
                <w:lang w:eastAsia="is-IS"/>
              </w:rPr>
            </w:pPr>
            <w:r w:rsidRPr="006958F2">
              <w:rPr>
                <w:rFonts w:eastAsia="Times New Roman" w:cs="Arial"/>
                <w:color w:val="404040"/>
                <w:sz w:val="16"/>
                <w:szCs w:val="16"/>
                <w:lang w:eastAsia="is-IS"/>
              </w:rPr>
              <w:t>Net cash used in financing activities</w:t>
            </w:r>
          </w:p>
        </w:tc>
        <w:tc>
          <w:tcPr>
            <w:tcW w:w="104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-3,622</w:t>
            </w:r>
          </w:p>
        </w:tc>
        <w:tc>
          <w:tcPr>
            <w:tcW w:w="10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-10,361</w:t>
            </w:r>
          </w:p>
        </w:tc>
        <w:tc>
          <w:tcPr>
            <w:tcW w:w="100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6,739</w:t>
            </w:r>
          </w:p>
        </w:tc>
      </w:tr>
      <w:tr w:rsidR="00813A87" w:rsidRPr="006958F2" w:rsidTr="008716A0">
        <w:trPr>
          <w:trHeight w:val="225"/>
        </w:trPr>
        <w:tc>
          <w:tcPr>
            <w:tcW w:w="386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color w:val="404040"/>
                <w:sz w:val="16"/>
                <w:szCs w:val="16"/>
                <w:lang w:eastAsia="is-IS"/>
              </w:rPr>
            </w:pPr>
            <w:r w:rsidRPr="006958F2">
              <w:rPr>
                <w:rFonts w:eastAsia="Times New Roman" w:cs="Arial"/>
                <w:color w:val="404040"/>
                <w:sz w:val="16"/>
                <w:szCs w:val="16"/>
                <w:lang w:eastAsia="is-IS"/>
              </w:rPr>
              <w:t>Decrease in cash and cash equivalents</w:t>
            </w:r>
          </w:p>
        </w:tc>
        <w:tc>
          <w:tcPr>
            <w:tcW w:w="1040" w:type="dxa"/>
            <w:tcBorders>
              <w:top w:val="nil"/>
              <w:left w:val="nil"/>
              <w:bottom w:val="dotted"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-36,238</w:t>
            </w:r>
          </w:p>
        </w:tc>
        <w:tc>
          <w:tcPr>
            <w:tcW w:w="102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-4,377</w:t>
            </w:r>
          </w:p>
        </w:tc>
        <w:tc>
          <w:tcPr>
            <w:tcW w:w="1000" w:type="dxa"/>
            <w:tcBorders>
              <w:top w:val="nil"/>
              <w:left w:val="nil"/>
              <w:bottom w:val="dotted"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color w:val="404040"/>
                <w:sz w:val="16"/>
                <w:szCs w:val="16"/>
                <w:lang w:eastAsia="is-IS"/>
              </w:rPr>
            </w:pPr>
            <w:r w:rsidRPr="006958F2">
              <w:rPr>
                <w:rFonts w:eastAsia="Times New Roman" w:cs="Arial"/>
                <w:color w:val="404040"/>
                <w:sz w:val="16"/>
                <w:szCs w:val="16"/>
                <w:lang w:eastAsia="is-IS"/>
              </w:rPr>
              <w:t>-31,861</w:t>
            </w:r>
          </w:p>
        </w:tc>
      </w:tr>
      <w:tr w:rsidR="00813A87" w:rsidRPr="006958F2" w:rsidTr="008716A0">
        <w:trPr>
          <w:trHeight w:val="225"/>
        </w:trPr>
        <w:tc>
          <w:tcPr>
            <w:tcW w:w="3860" w:type="dxa"/>
            <w:tcBorders>
              <w:top w:val="single" w:sz="4" w:space="0" w:color="808080"/>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Cash and cash equivalents, end of period</w:t>
            </w:r>
          </w:p>
        </w:tc>
        <w:tc>
          <w:tcPr>
            <w:tcW w:w="1040" w:type="dxa"/>
            <w:tcBorders>
              <w:top w:val="single" w:sz="4" w:space="0" w:color="808080"/>
              <w:left w:val="nil"/>
              <w:bottom w:val="single" w:sz="4" w:space="0" w:color="808080"/>
              <w:right w:val="nil"/>
            </w:tcBorders>
            <w:shd w:val="clear" w:color="000000" w:fill="EBECEC"/>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227,576</w:t>
            </w:r>
          </w:p>
        </w:tc>
        <w:tc>
          <w:tcPr>
            <w:tcW w:w="1020" w:type="dxa"/>
            <w:tcBorders>
              <w:top w:val="single" w:sz="4" w:space="0" w:color="808080"/>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215,484</w:t>
            </w:r>
          </w:p>
        </w:tc>
        <w:tc>
          <w:tcPr>
            <w:tcW w:w="1000" w:type="dxa"/>
            <w:tcBorders>
              <w:top w:val="single" w:sz="4" w:space="0" w:color="808080"/>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right"/>
              <w:rPr>
                <w:rFonts w:eastAsia="Times New Roman" w:cs="Arial"/>
                <w:b/>
                <w:bCs/>
                <w:color w:val="595959"/>
                <w:sz w:val="16"/>
                <w:szCs w:val="16"/>
                <w:lang w:eastAsia="is-IS"/>
              </w:rPr>
            </w:pPr>
            <w:r w:rsidRPr="006958F2">
              <w:rPr>
                <w:rFonts w:eastAsia="Times New Roman" w:cs="Arial"/>
                <w:b/>
                <w:bCs/>
                <w:color w:val="595959"/>
                <w:sz w:val="16"/>
                <w:szCs w:val="16"/>
                <w:lang w:eastAsia="is-IS"/>
              </w:rPr>
              <w:t>12,092</w:t>
            </w:r>
          </w:p>
        </w:tc>
      </w:tr>
    </w:tbl>
    <w:p w:rsidR="001F19DC" w:rsidRDefault="001B3726" w:rsidP="0036752C">
      <w:pPr>
        <w:spacing w:before="240"/>
      </w:pPr>
      <w:r>
        <w:t xml:space="preserve">Net cash provided by operating activities in the third quarter amounted to USD 5.8 million, down by USD 24.5 million in comparison with the third quarter of 2013. Investments in operating assets amounted to USD 17.6 million. The table </w:t>
      </w:r>
      <w:r w:rsidR="003508EA">
        <w:t>on the next page</w:t>
      </w:r>
      <w:r>
        <w:t xml:space="preserve"> shows a breakdown of the Group's principal investments.</w:t>
      </w:r>
    </w:p>
    <w:p w:rsidR="003508EA" w:rsidRDefault="003508EA" w:rsidP="0036752C">
      <w:pPr>
        <w:spacing w:before="240"/>
      </w:pPr>
    </w:p>
    <w:p w:rsidR="003508EA" w:rsidRDefault="003508EA" w:rsidP="0036752C">
      <w:pPr>
        <w:spacing w:before="240"/>
      </w:pPr>
    </w:p>
    <w:tbl>
      <w:tblPr>
        <w:tblW w:w="3640" w:type="dxa"/>
        <w:tblInd w:w="55" w:type="dxa"/>
        <w:tblCellMar>
          <w:left w:w="70" w:type="dxa"/>
          <w:right w:w="70" w:type="dxa"/>
        </w:tblCellMar>
        <w:tblLook w:val="04A0" w:firstRow="1" w:lastRow="0" w:firstColumn="1" w:lastColumn="0" w:noHBand="0" w:noVBand="1"/>
      </w:tblPr>
      <w:tblGrid>
        <w:gridCol w:w="2620"/>
        <w:gridCol w:w="1020"/>
      </w:tblGrid>
      <w:tr w:rsidR="0036246D" w:rsidRPr="0036246D" w:rsidTr="0036246D">
        <w:trPr>
          <w:trHeight w:val="227"/>
        </w:trPr>
        <w:tc>
          <w:tcPr>
            <w:tcW w:w="2620" w:type="dxa"/>
            <w:tcBorders>
              <w:top w:val="nil"/>
              <w:left w:val="nil"/>
              <w:bottom w:val="single" w:sz="4" w:space="0" w:color="808080"/>
              <w:right w:val="nil"/>
            </w:tcBorders>
            <w:shd w:val="clear" w:color="auto" w:fill="auto"/>
            <w:noWrap/>
            <w:vAlign w:val="center"/>
            <w:hideMark/>
          </w:tcPr>
          <w:p w:rsidR="0036246D" w:rsidRPr="0036246D" w:rsidRDefault="0036246D" w:rsidP="0036246D">
            <w:pPr>
              <w:spacing w:after="0" w:line="240" w:lineRule="auto"/>
              <w:jc w:val="left"/>
              <w:rPr>
                <w:rFonts w:eastAsia="Times New Roman" w:cs="Arial"/>
                <w:b/>
                <w:bCs/>
                <w:color w:val="595959"/>
                <w:sz w:val="16"/>
                <w:szCs w:val="16"/>
                <w:lang w:eastAsia="is-IS" w:bidi="ar-SA"/>
              </w:rPr>
            </w:pPr>
            <w:r w:rsidRPr="0036246D">
              <w:rPr>
                <w:rFonts w:eastAsia="Times New Roman" w:cs="Arial"/>
                <w:b/>
                <w:bCs/>
                <w:color w:val="595959"/>
                <w:sz w:val="16"/>
                <w:szCs w:val="16"/>
                <w:lang w:eastAsia="is-IS" w:bidi="ar-SA"/>
              </w:rPr>
              <w:lastRenderedPageBreak/>
              <w:t>USD thousand</w:t>
            </w:r>
          </w:p>
        </w:tc>
        <w:tc>
          <w:tcPr>
            <w:tcW w:w="1020" w:type="dxa"/>
            <w:tcBorders>
              <w:top w:val="nil"/>
              <w:left w:val="nil"/>
              <w:bottom w:val="single" w:sz="4" w:space="0" w:color="808080"/>
              <w:right w:val="nil"/>
            </w:tcBorders>
            <w:shd w:val="clear" w:color="000000" w:fill="EBECEC"/>
            <w:noWrap/>
            <w:vAlign w:val="center"/>
            <w:hideMark/>
          </w:tcPr>
          <w:p w:rsidR="0036246D" w:rsidRPr="0036246D" w:rsidRDefault="0036246D" w:rsidP="0036246D">
            <w:pPr>
              <w:spacing w:after="0" w:line="240" w:lineRule="auto"/>
              <w:jc w:val="right"/>
              <w:rPr>
                <w:rFonts w:eastAsia="Times New Roman" w:cs="Arial"/>
                <w:b/>
                <w:bCs/>
                <w:color w:val="595959"/>
                <w:sz w:val="16"/>
                <w:szCs w:val="16"/>
                <w:lang w:eastAsia="is-IS" w:bidi="ar-SA"/>
              </w:rPr>
            </w:pPr>
            <w:r w:rsidRPr="0036246D">
              <w:rPr>
                <w:rFonts w:eastAsia="Times New Roman" w:cs="Arial"/>
                <w:b/>
                <w:bCs/>
                <w:color w:val="595959"/>
                <w:sz w:val="16"/>
                <w:szCs w:val="16"/>
                <w:lang w:eastAsia="is-IS" w:bidi="ar-SA"/>
              </w:rPr>
              <w:t>Q3 2014</w:t>
            </w:r>
          </w:p>
        </w:tc>
      </w:tr>
      <w:tr w:rsidR="0036246D" w:rsidRPr="0036246D" w:rsidTr="0036246D">
        <w:trPr>
          <w:trHeight w:val="227"/>
        </w:trPr>
        <w:tc>
          <w:tcPr>
            <w:tcW w:w="2620" w:type="dxa"/>
            <w:tcBorders>
              <w:top w:val="nil"/>
              <w:left w:val="nil"/>
              <w:bottom w:val="dotted" w:sz="4" w:space="0" w:color="808080"/>
              <w:right w:val="nil"/>
            </w:tcBorders>
            <w:shd w:val="clear" w:color="auto" w:fill="auto"/>
            <w:noWrap/>
            <w:vAlign w:val="center"/>
            <w:hideMark/>
          </w:tcPr>
          <w:p w:rsidR="0036246D" w:rsidRPr="0036246D" w:rsidRDefault="0036246D" w:rsidP="0036246D">
            <w:pPr>
              <w:spacing w:after="0" w:line="240" w:lineRule="auto"/>
              <w:jc w:val="left"/>
              <w:rPr>
                <w:rFonts w:eastAsia="Times New Roman" w:cs="Arial"/>
                <w:color w:val="595959"/>
                <w:sz w:val="16"/>
                <w:szCs w:val="16"/>
                <w:lang w:eastAsia="is-IS" w:bidi="ar-SA"/>
              </w:rPr>
            </w:pPr>
            <w:r w:rsidRPr="0036246D">
              <w:rPr>
                <w:rFonts w:eastAsia="Times New Roman" w:cs="Arial"/>
                <w:color w:val="595959"/>
                <w:sz w:val="16"/>
                <w:szCs w:val="16"/>
                <w:lang w:eastAsia="is-IS" w:bidi="ar-SA"/>
              </w:rPr>
              <w:t>Operating assets:</w:t>
            </w:r>
          </w:p>
        </w:tc>
        <w:tc>
          <w:tcPr>
            <w:tcW w:w="1020" w:type="dxa"/>
            <w:tcBorders>
              <w:top w:val="nil"/>
              <w:left w:val="nil"/>
              <w:bottom w:val="dotted" w:sz="4" w:space="0" w:color="808080"/>
              <w:right w:val="nil"/>
            </w:tcBorders>
            <w:shd w:val="clear" w:color="000000" w:fill="EBECEC"/>
            <w:noWrap/>
            <w:vAlign w:val="center"/>
            <w:hideMark/>
          </w:tcPr>
          <w:p w:rsidR="0036246D" w:rsidRPr="0036246D" w:rsidRDefault="0036246D" w:rsidP="0036246D">
            <w:pPr>
              <w:spacing w:after="0" w:line="240" w:lineRule="auto"/>
              <w:jc w:val="left"/>
              <w:rPr>
                <w:rFonts w:eastAsia="Times New Roman" w:cs="Arial"/>
                <w:color w:val="595959"/>
                <w:sz w:val="16"/>
                <w:szCs w:val="16"/>
                <w:lang w:eastAsia="is-IS" w:bidi="ar-SA"/>
              </w:rPr>
            </w:pPr>
            <w:r w:rsidRPr="0036246D">
              <w:rPr>
                <w:rFonts w:eastAsia="Times New Roman" w:cs="Arial"/>
                <w:color w:val="595959"/>
                <w:sz w:val="16"/>
                <w:szCs w:val="16"/>
                <w:lang w:eastAsia="is-IS" w:bidi="ar-SA"/>
              </w:rPr>
              <w:t> </w:t>
            </w:r>
          </w:p>
        </w:tc>
      </w:tr>
      <w:tr w:rsidR="0036246D" w:rsidRPr="0036246D" w:rsidTr="0036246D">
        <w:trPr>
          <w:trHeight w:val="227"/>
        </w:trPr>
        <w:tc>
          <w:tcPr>
            <w:tcW w:w="2620" w:type="dxa"/>
            <w:tcBorders>
              <w:top w:val="nil"/>
              <w:left w:val="nil"/>
              <w:bottom w:val="dotted" w:sz="4" w:space="0" w:color="808080"/>
              <w:right w:val="nil"/>
            </w:tcBorders>
            <w:shd w:val="clear" w:color="auto" w:fill="auto"/>
            <w:noWrap/>
            <w:vAlign w:val="center"/>
            <w:hideMark/>
          </w:tcPr>
          <w:p w:rsidR="0036246D" w:rsidRPr="0036246D" w:rsidRDefault="0036246D" w:rsidP="0036246D">
            <w:pPr>
              <w:spacing w:after="0" w:line="240" w:lineRule="auto"/>
              <w:jc w:val="left"/>
              <w:rPr>
                <w:rFonts w:eastAsia="Times New Roman" w:cs="Arial"/>
                <w:color w:val="595959"/>
                <w:sz w:val="16"/>
                <w:szCs w:val="16"/>
                <w:lang w:eastAsia="is-IS" w:bidi="ar-SA"/>
              </w:rPr>
            </w:pPr>
            <w:r w:rsidRPr="0036246D">
              <w:rPr>
                <w:rFonts w:eastAsia="Times New Roman" w:cs="Arial"/>
                <w:color w:val="595959"/>
                <w:sz w:val="16"/>
                <w:szCs w:val="16"/>
                <w:lang w:eastAsia="is-IS" w:bidi="ar-SA"/>
              </w:rPr>
              <w:t xml:space="preserve">  Aircraft and aircraft components</w:t>
            </w:r>
          </w:p>
        </w:tc>
        <w:tc>
          <w:tcPr>
            <w:tcW w:w="1020" w:type="dxa"/>
            <w:tcBorders>
              <w:top w:val="nil"/>
              <w:left w:val="nil"/>
              <w:bottom w:val="dotted" w:sz="4" w:space="0" w:color="808080"/>
              <w:right w:val="nil"/>
            </w:tcBorders>
            <w:shd w:val="clear" w:color="000000" w:fill="EBECEC"/>
            <w:noWrap/>
            <w:vAlign w:val="center"/>
            <w:hideMark/>
          </w:tcPr>
          <w:p w:rsidR="0036246D" w:rsidRPr="0036246D" w:rsidRDefault="0036246D" w:rsidP="0036246D">
            <w:pPr>
              <w:spacing w:after="0" w:line="240" w:lineRule="auto"/>
              <w:jc w:val="right"/>
              <w:rPr>
                <w:rFonts w:eastAsia="Times New Roman" w:cs="Arial"/>
                <w:color w:val="595959"/>
                <w:sz w:val="16"/>
                <w:szCs w:val="16"/>
                <w:lang w:eastAsia="is-IS" w:bidi="ar-SA"/>
              </w:rPr>
            </w:pPr>
            <w:r w:rsidRPr="0036246D">
              <w:rPr>
                <w:rFonts w:eastAsia="Times New Roman" w:cs="Arial"/>
                <w:color w:val="595959"/>
                <w:sz w:val="16"/>
                <w:szCs w:val="16"/>
                <w:lang w:eastAsia="is-IS" w:bidi="ar-SA"/>
              </w:rPr>
              <w:t>6.108</w:t>
            </w:r>
          </w:p>
        </w:tc>
      </w:tr>
      <w:tr w:rsidR="0036246D" w:rsidRPr="0036246D" w:rsidTr="0036246D">
        <w:trPr>
          <w:trHeight w:val="227"/>
        </w:trPr>
        <w:tc>
          <w:tcPr>
            <w:tcW w:w="2620" w:type="dxa"/>
            <w:tcBorders>
              <w:top w:val="nil"/>
              <w:left w:val="nil"/>
              <w:bottom w:val="dotted" w:sz="4" w:space="0" w:color="808080"/>
              <w:right w:val="nil"/>
            </w:tcBorders>
            <w:shd w:val="clear" w:color="auto" w:fill="auto"/>
            <w:noWrap/>
            <w:vAlign w:val="center"/>
            <w:hideMark/>
          </w:tcPr>
          <w:p w:rsidR="0036246D" w:rsidRPr="0036246D" w:rsidRDefault="0036246D" w:rsidP="0036246D">
            <w:pPr>
              <w:spacing w:after="0" w:line="240" w:lineRule="auto"/>
              <w:jc w:val="left"/>
              <w:rPr>
                <w:rFonts w:eastAsia="Times New Roman" w:cs="Arial"/>
                <w:color w:val="595959"/>
                <w:sz w:val="16"/>
                <w:szCs w:val="16"/>
                <w:lang w:eastAsia="is-IS" w:bidi="ar-SA"/>
              </w:rPr>
            </w:pPr>
            <w:r w:rsidRPr="0036246D">
              <w:rPr>
                <w:rFonts w:eastAsia="Times New Roman" w:cs="Arial"/>
                <w:color w:val="595959"/>
                <w:sz w:val="16"/>
                <w:szCs w:val="16"/>
                <w:lang w:eastAsia="is-IS" w:bidi="ar-SA"/>
              </w:rPr>
              <w:t xml:space="preserve">  Overhaul own aircraft</w:t>
            </w:r>
          </w:p>
        </w:tc>
        <w:tc>
          <w:tcPr>
            <w:tcW w:w="1020" w:type="dxa"/>
            <w:tcBorders>
              <w:top w:val="nil"/>
              <w:left w:val="nil"/>
              <w:bottom w:val="dotted" w:sz="4" w:space="0" w:color="808080"/>
              <w:right w:val="nil"/>
            </w:tcBorders>
            <w:shd w:val="clear" w:color="000000" w:fill="EBECEC"/>
            <w:noWrap/>
            <w:vAlign w:val="center"/>
            <w:hideMark/>
          </w:tcPr>
          <w:p w:rsidR="0036246D" w:rsidRPr="0036246D" w:rsidRDefault="0036246D" w:rsidP="0036246D">
            <w:pPr>
              <w:spacing w:after="0" w:line="240" w:lineRule="auto"/>
              <w:jc w:val="right"/>
              <w:rPr>
                <w:rFonts w:eastAsia="Times New Roman" w:cs="Arial"/>
                <w:color w:val="595959"/>
                <w:sz w:val="16"/>
                <w:szCs w:val="16"/>
                <w:lang w:eastAsia="is-IS" w:bidi="ar-SA"/>
              </w:rPr>
            </w:pPr>
            <w:r w:rsidRPr="0036246D">
              <w:rPr>
                <w:rFonts w:eastAsia="Times New Roman" w:cs="Arial"/>
                <w:color w:val="595959"/>
                <w:sz w:val="16"/>
                <w:szCs w:val="16"/>
                <w:lang w:eastAsia="is-IS" w:bidi="ar-SA"/>
              </w:rPr>
              <w:t>6.352</w:t>
            </w:r>
          </w:p>
        </w:tc>
      </w:tr>
      <w:tr w:rsidR="0036246D" w:rsidRPr="0036246D" w:rsidTr="0036246D">
        <w:trPr>
          <w:trHeight w:val="227"/>
        </w:trPr>
        <w:tc>
          <w:tcPr>
            <w:tcW w:w="2620" w:type="dxa"/>
            <w:tcBorders>
              <w:top w:val="nil"/>
              <w:left w:val="nil"/>
              <w:bottom w:val="single" w:sz="4" w:space="0" w:color="808080"/>
              <w:right w:val="nil"/>
            </w:tcBorders>
            <w:shd w:val="clear" w:color="auto" w:fill="auto"/>
            <w:noWrap/>
            <w:vAlign w:val="center"/>
            <w:hideMark/>
          </w:tcPr>
          <w:p w:rsidR="0036246D" w:rsidRPr="0036246D" w:rsidRDefault="0036246D" w:rsidP="0036246D">
            <w:pPr>
              <w:spacing w:after="0" w:line="240" w:lineRule="auto"/>
              <w:jc w:val="left"/>
              <w:rPr>
                <w:rFonts w:eastAsia="Times New Roman" w:cs="Arial"/>
                <w:color w:val="595959"/>
                <w:sz w:val="16"/>
                <w:szCs w:val="16"/>
                <w:lang w:eastAsia="is-IS" w:bidi="ar-SA"/>
              </w:rPr>
            </w:pPr>
            <w:r w:rsidRPr="0036246D">
              <w:rPr>
                <w:rFonts w:eastAsia="Times New Roman" w:cs="Arial"/>
                <w:color w:val="595959"/>
                <w:sz w:val="16"/>
                <w:szCs w:val="16"/>
                <w:lang w:eastAsia="is-IS" w:bidi="ar-SA"/>
              </w:rPr>
              <w:t xml:space="preserve">  Other</w:t>
            </w:r>
          </w:p>
        </w:tc>
        <w:tc>
          <w:tcPr>
            <w:tcW w:w="1020" w:type="dxa"/>
            <w:tcBorders>
              <w:top w:val="nil"/>
              <w:left w:val="nil"/>
              <w:bottom w:val="single" w:sz="4" w:space="0" w:color="808080"/>
              <w:right w:val="nil"/>
            </w:tcBorders>
            <w:shd w:val="clear" w:color="000000" w:fill="EBECEC"/>
            <w:noWrap/>
            <w:vAlign w:val="center"/>
            <w:hideMark/>
          </w:tcPr>
          <w:p w:rsidR="0036246D" w:rsidRPr="0036246D" w:rsidRDefault="0036246D" w:rsidP="00A209EA">
            <w:pPr>
              <w:spacing w:after="0" w:line="240" w:lineRule="auto"/>
              <w:jc w:val="right"/>
              <w:rPr>
                <w:rFonts w:eastAsia="Times New Roman" w:cs="Arial"/>
                <w:color w:val="595959"/>
                <w:sz w:val="16"/>
                <w:szCs w:val="16"/>
                <w:lang w:eastAsia="is-IS" w:bidi="ar-SA"/>
              </w:rPr>
            </w:pPr>
            <w:r w:rsidRPr="0036246D">
              <w:rPr>
                <w:rFonts w:eastAsia="Times New Roman" w:cs="Arial"/>
                <w:color w:val="595959"/>
                <w:sz w:val="16"/>
                <w:szCs w:val="16"/>
                <w:lang w:eastAsia="is-IS" w:bidi="ar-SA"/>
              </w:rPr>
              <w:t>5.12</w:t>
            </w:r>
            <w:r w:rsidR="00A209EA">
              <w:rPr>
                <w:rFonts w:eastAsia="Times New Roman" w:cs="Arial"/>
                <w:color w:val="595959"/>
                <w:sz w:val="16"/>
                <w:szCs w:val="16"/>
                <w:lang w:eastAsia="is-IS" w:bidi="ar-SA"/>
              </w:rPr>
              <w:t>9</w:t>
            </w:r>
          </w:p>
        </w:tc>
      </w:tr>
      <w:tr w:rsidR="0036246D" w:rsidRPr="0036246D" w:rsidTr="0036246D">
        <w:trPr>
          <w:trHeight w:val="227"/>
        </w:trPr>
        <w:tc>
          <w:tcPr>
            <w:tcW w:w="2620" w:type="dxa"/>
            <w:tcBorders>
              <w:top w:val="nil"/>
              <w:left w:val="nil"/>
              <w:bottom w:val="dotted" w:sz="4" w:space="0" w:color="808080"/>
              <w:right w:val="nil"/>
            </w:tcBorders>
            <w:shd w:val="clear" w:color="auto" w:fill="auto"/>
            <w:noWrap/>
            <w:vAlign w:val="center"/>
            <w:hideMark/>
          </w:tcPr>
          <w:p w:rsidR="0036246D" w:rsidRPr="0036246D" w:rsidRDefault="0036246D" w:rsidP="0036246D">
            <w:pPr>
              <w:spacing w:after="0" w:line="240" w:lineRule="auto"/>
              <w:jc w:val="left"/>
              <w:rPr>
                <w:rFonts w:eastAsia="Times New Roman" w:cs="Arial"/>
                <w:color w:val="595959"/>
                <w:sz w:val="16"/>
                <w:szCs w:val="16"/>
                <w:lang w:eastAsia="is-IS" w:bidi="ar-SA"/>
              </w:rPr>
            </w:pPr>
            <w:r w:rsidRPr="0036246D">
              <w:rPr>
                <w:rFonts w:eastAsia="Times New Roman" w:cs="Arial"/>
                <w:color w:val="595959"/>
                <w:sz w:val="16"/>
                <w:szCs w:val="16"/>
                <w:lang w:eastAsia="is-IS" w:bidi="ar-SA"/>
              </w:rPr>
              <w:t>Total operating assets</w:t>
            </w:r>
          </w:p>
        </w:tc>
        <w:tc>
          <w:tcPr>
            <w:tcW w:w="1020" w:type="dxa"/>
            <w:tcBorders>
              <w:top w:val="nil"/>
              <w:left w:val="nil"/>
              <w:bottom w:val="dotted" w:sz="4" w:space="0" w:color="808080"/>
              <w:right w:val="nil"/>
            </w:tcBorders>
            <w:shd w:val="clear" w:color="000000" w:fill="EBECEC"/>
            <w:noWrap/>
            <w:vAlign w:val="center"/>
            <w:hideMark/>
          </w:tcPr>
          <w:p w:rsidR="0036246D" w:rsidRPr="0036246D" w:rsidRDefault="0036246D" w:rsidP="0036246D">
            <w:pPr>
              <w:spacing w:after="0" w:line="240" w:lineRule="auto"/>
              <w:jc w:val="right"/>
              <w:rPr>
                <w:rFonts w:eastAsia="Times New Roman" w:cs="Arial"/>
                <w:color w:val="595959"/>
                <w:sz w:val="16"/>
                <w:szCs w:val="16"/>
                <w:lang w:eastAsia="is-IS" w:bidi="ar-SA"/>
              </w:rPr>
            </w:pPr>
            <w:r w:rsidRPr="0036246D">
              <w:rPr>
                <w:rFonts w:eastAsia="Times New Roman" w:cs="Arial"/>
                <w:color w:val="595959"/>
                <w:sz w:val="16"/>
                <w:szCs w:val="16"/>
                <w:lang w:eastAsia="is-IS" w:bidi="ar-SA"/>
              </w:rPr>
              <w:t>17.58</w:t>
            </w:r>
            <w:r w:rsidR="00A209EA">
              <w:rPr>
                <w:rFonts w:eastAsia="Times New Roman" w:cs="Arial"/>
                <w:color w:val="595959"/>
                <w:sz w:val="16"/>
                <w:szCs w:val="16"/>
                <w:lang w:eastAsia="is-IS" w:bidi="ar-SA"/>
              </w:rPr>
              <w:t>9</w:t>
            </w:r>
          </w:p>
        </w:tc>
      </w:tr>
      <w:tr w:rsidR="0036246D" w:rsidRPr="0036246D" w:rsidTr="0036246D">
        <w:trPr>
          <w:trHeight w:val="227"/>
        </w:trPr>
        <w:tc>
          <w:tcPr>
            <w:tcW w:w="2620" w:type="dxa"/>
            <w:tcBorders>
              <w:top w:val="nil"/>
              <w:left w:val="nil"/>
              <w:bottom w:val="dotted" w:sz="4" w:space="0" w:color="808080"/>
              <w:right w:val="nil"/>
            </w:tcBorders>
            <w:shd w:val="clear" w:color="auto" w:fill="auto"/>
            <w:noWrap/>
            <w:vAlign w:val="center"/>
            <w:hideMark/>
          </w:tcPr>
          <w:p w:rsidR="0036246D" w:rsidRPr="0036246D" w:rsidRDefault="0036246D" w:rsidP="0036246D">
            <w:pPr>
              <w:spacing w:after="0" w:line="240" w:lineRule="auto"/>
              <w:jc w:val="left"/>
              <w:rPr>
                <w:rFonts w:eastAsia="Times New Roman" w:cs="Arial"/>
                <w:color w:val="595959"/>
                <w:sz w:val="16"/>
                <w:szCs w:val="16"/>
                <w:lang w:eastAsia="is-IS" w:bidi="ar-SA"/>
              </w:rPr>
            </w:pPr>
            <w:r w:rsidRPr="0036246D">
              <w:rPr>
                <w:rFonts w:eastAsia="Times New Roman" w:cs="Arial"/>
                <w:color w:val="595959"/>
                <w:sz w:val="16"/>
                <w:szCs w:val="16"/>
                <w:lang w:eastAsia="is-IS" w:bidi="ar-SA"/>
              </w:rPr>
              <w:t>Long term cost</w:t>
            </w:r>
          </w:p>
        </w:tc>
        <w:tc>
          <w:tcPr>
            <w:tcW w:w="1020" w:type="dxa"/>
            <w:tcBorders>
              <w:top w:val="nil"/>
              <w:left w:val="nil"/>
              <w:bottom w:val="dotted" w:sz="4" w:space="0" w:color="808080"/>
              <w:right w:val="nil"/>
            </w:tcBorders>
            <w:shd w:val="clear" w:color="000000" w:fill="EBECEC"/>
            <w:noWrap/>
            <w:vAlign w:val="center"/>
            <w:hideMark/>
          </w:tcPr>
          <w:p w:rsidR="0036246D" w:rsidRPr="0036246D" w:rsidRDefault="0036246D" w:rsidP="0036246D">
            <w:pPr>
              <w:spacing w:after="0" w:line="240" w:lineRule="auto"/>
              <w:jc w:val="left"/>
              <w:rPr>
                <w:rFonts w:eastAsia="Times New Roman" w:cs="Arial"/>
                <w:color w:val="595959"/>
                <w:sz w:val="16"/>
                <w:szCs w:val="16"/>
                <w:lang w:eastAsia="is-IS" w:bidi="ar-SA"/>
              </w:rPr>
            </w:pPr>
            <w:r w:rsidRPr="0036246D">
              <w:rPr>
                <w:rFonts w:eastAsia="Times New Roman" w:cs="Arial"/>
                <w:color w:val="595959"/>
                <w:sz w:val="16"/>
                <w:szCs w:val="16"/>
                <w:lang w:eastAsia="is-IS" w:bidi="ar-SA"/>
              </w:rPr>
              <w:t> </w:t>
            </w:r>
          </w:p>
        </w:tc>
      </w:tr>
      <w:tr w:rsidR="0036246D" w:rsidRPr="0036246D" w:rsidTr="0036246D">
        <w:trPr>
          <w:trHeight w:val="227"/>
        </w:trPr>
        <w:tc>
          <w:tcPr>
            <w:tcW w:w="2620" w:type="dxa"/>
            <w:tcBorders>
              <w:top w:val="nil"/>
              <w:left w:val="nil"/>
              <w:bottom w:val="dotted" w:sz="4" w:space="0" w:color="808080"/>
              <w:right w:val="nil"/>
            </w:tcBorders>
            <w:shd w:val="clear" w:color="auto" w:fill="auto"/>
            <w:noWrap/>
            <w:vAlign w:val="center"/>
            <w:hideMark/>
          </w:tcPr>
          <w:p w:rsidR="0036246D" w:rsidRPr="0036246D" w:rsidRDefault="0036246D" w:rsidP="0036246D">
            <w:pPr>
              <w:spacing w:after="0" w:line="240" w:lineRule="auto"/>
              <w:jc w:val="left"/>
              <w:rPr>
                <w:rFonts w:eastAsia="Times New Roman" w:cs="Arial"/>
                <w:color w:val="595959"/>
                <w:sz w:val="16"/>
                <w:szCs w:val="16"/>
                <w:lang w:eastAsia="is-IS" w:bidi="ar-SA"/>
              </w:rPr>
            </w:pPr>
            <w:r w:rsidRPr="0036246D">
              <w:rPr>
                <w:rFonts w:eastAsia="Times New Roman" w:cs="Arial"/>
                <w:color w:val="595959"/>
                <w:sz w:val="16"/>
                <w:szCs w:val="16"/>
                <w:lang w:eastAsia="is-IS" w:bidi="ar-SA"/>
              </w:rPr>
              <w:t xml:space="preserve">  Overhaul leased aircraft</w:t>
            </w:r>
          </w:p>
        </w:tc>
        <w:tc>
          <w:tcPr>
            <w:tcW w:w="1020" w:type="dxa"/>
            <w:tcBorders>
              <w:top w:val="nil"/>
              <w:left w:val="nil"/>
              <w:bottom w:val="dotted" w:sz="4" w:space="0" w:color="808080"/>
              <w:right w:val="nil"/>
            </w:tcBorders>
            <w:shd w:val="clear" w:color="000000" w:fill="EBECEC"/>
            <w:noWrap/>
            <w:vAlign w:val="center"/>
            <w:hideMark/>
          </w:tcPr>
          <w:p w:rsidR="0036246D" w:rsidRPr="0036246D" w:rsidRDefault="0036246D" w:rsidP="0036246D">
            <w:pPr>
              <w:spacing w:after="0" w:line="240" w:lineRule="auto"/>
              <w:jc w:val="right"/>
              <w:rPr>
                <w:rFonts w:eastAsia="Times New Roman" w:cs="Arial"/>
                <w:color w:val="595959"/>
                <w:sz w:val="16"/>
                <w:szCs w:val="16"/>
                <w:lang w:eastAsia="is-IS" w:bidi="ar-SA"/>
              </w:rPr>
            </w:pPr>
            <w:r w:rsidRPr="0036246D">
              <w:rPr>
                <w:rFonts w:eastAsia="Times New Roman" w:cs="Arial"/>
                <w:color w:val="595959"/>
                <w:sz w:val="16"/>
                <w:szCs w:val="16"/>
                <w:lang w:eastAsia="is-IS" w:bidi="ar-SA"/>
              </w:rPr>
              <w:t>10.313</w:t>
            </w:r>
          </w:p>
        </w:tc>
      </w:tr>
      <w:tr w:rsidR="0036246D" w:rsidRPr="0036246D" w:rsidTr="0036246D">
        <w:trPr>
          <w:trHeight w:val="227"/>
        </w:trPr>
        <w:tc>
          <w:tcPr>
            <w:tcW w:w="2620" w:type="dxa"/>
            <w:tcBorders>
              <w:top w:val="nil"/>
              <w:left w:val="nil"/>
              <w:bottom w:val="dotted" w:sz="4" w:space="0" w:color="808080"/>
              <w:right w:val="nil"/>
            </w:tcBorders>
            <w:shd w:val="clear" w:color="auto" w:fill="auto"/>
            <w:noWrap/>
            <w:vAlign w:val="center"/>
            <w:hideMark/>
          </w:tcPr>
          <w:p w:rsidR="0036246D" w:rsidRPr="0036246D" w:rsidRDefault="0036246D" w:rsidP="0036246D">
            <w:pPr>
              <w:spacing w:after="0" w:line="240" w:lineRule="auto"/>
              <w:jc w:val="left"/>
              <w:rPr>
                <w:rFonts w:eastAsia="Times New Roman" w:cs="Arial"/>
                <w:color w:val="595959"/>
                <w:sz w:val="16"/>
                <w:szCs w:val="16"/>
                <w:lang w:eastAsia="is-IS" w:bidi="ar-SA"/>
              </w:rPr>
            </w:pPr>
            <w:r w:rsidRPr="0036246D">
              <w:rPr>
                <w:rFonts w:eastAsia="Times New Roman" w:cs="Arial"/>
                <w:color w:val="595959"/>
                <w:sz w:val="16"/>
                <w:szCs w:val="16"/>
                <w:lang w:eastAsia="is-IS" w:bidi="ar-SA"/>
              </w:rPr>
              <w:t>Intangible assets</w:t>
            </w:r>
          </w:p>
        </w:tc>
        <w:tc>
          <w:tcPr>
            <w:tcW w:w="1020" w:type="dxa"/>
            <w:tcBorders>
              <w:top w:val="nil"/>
              <w:left w:val="nil"/>
              <w:bottom w:val="dotted" w:sz="4" w:space="0" w:color="808080"/>
              <w:right w:val="nil"/>
            </w:tcBorders>
            <w:shd w:val="clear" w:color="000000" w:fill="EBECEC"/>
            <w:noWrap/>
            <w:vAlign w:val="center"/>
            <w:hideMark/>
          </w:tcPr>
          <w:p w:rsidR="0036246D" w:rsidRPr="0036246D" w:rsidRDefault="0036246D" w:rsidP="0036246D">
            <w:pPr>
              <w:spacing w:after="0" w:line="240" w:lineRule="auto"/>
              <w:jc w:val="right"/>
              <w:rPr>
                <w:rFonts w:eastAsia="Times New Roman" w:cs="Arial"/>
                <w:color w:val="595959"/>
                <w:sz w:val="16"/>
                <w:szCs w:val="16"/>
                <w:lang w:eastAsia="is-IS" w:bidi="ar-SA"/>
              </w:rPr>
            </w:pPr>
            <w:r w:rsidRPr="0036246D">
              <w:rPr>
                <w:rFonts w:eastAsia="Times New Roman" w:cs="Arial"/>
                <w:color w:val="595959"/>
                <w:sz w:val="16"/>
                <w:szCs w:val="16"/>
                <w:lang w:eastAsia="is-IS" w:bidi="ar-SA"/>
              </w:rPr>
              <w:t>373</w:t>
            </w:r>
          </w:p>
        </w:tc>
      </w:tr>
      <w:tr w:rsidR="0036246D" w:rsidRPr="0036246D" w:rsidTr="0036246D">
        <w:trPr>
          <w:trHeight w:val="227"/>
        </w:trPr>
        <w:tc>
          <w:tcPr>
            <w:tcW w:w="2620" w:type="dxa"/>
            <w:tcBorders>
              <w:top w:val="single" w:sz="4" w:space="0" w:color="808080"/>
              <w:left w:val="nil"/>
              <w:bottom w:val="single" w:sz="4" w:space="0" w:color="808080"/>
              <w:right w:val="nil"/>
            </w:tcBorders>
            <w:shd w:val="clear" w:color="auto" w:fill="auto"/>
            <w:noWrap/>
            <w:vAlign w:val="center"/>
            <w:hideMark/>
          </w:tcPr>
          <w:p w:rsidR="0036246D" w:rsidRPr="0036246D" w:rsidRDefault="0036246D" w:rsidP="0036246D">
            <w:pPr>
              <w:spacing w:after="0" w:line="240" w:lineRule="auto"/>
              <w:jc w:val="left"/>
              <w:rPr>
                <w:rFonts w:eastAsia="Times New Roman" w:cs="Arial"/>
                <w:b/>
                <w:bCs/>
                <w:color w:val="595959"/>
                <w:sz w:val="16"/>
                <w:szCs w:val="16"/>
                <w:lang w:eastAsia="is-IS" w:bidi="ar-SA"/>
              </w:rPr>
            </w:pPr>
            <w:r w:rsidRPr="0036246D">
              <w:rPr>
                <w:rFonts w:eastAsia="Times New Roman" w:cs="Arial"/>
                <w:b/>
                <w:bCs/>
                <w:color w:val="595959"/>
                <w:sz w:val="16"/>
                <w:szCs w:val="16"/>
                <w:lang w:eastAsia="is-IS" w:bidi="ar-SA"/>
              </w:rPr>
              <w:t>Total Capex</w:t>
            </w:r>
          </w:p>
        </w:tc>
        <w:tc>
          <w:tcPr>
            <w:tcW w:w="1020" w:type="dxa"/>
            <w:tcBorders>
              <w:top w:val="single" w:sz="4" w:space="0" w:color="808080"/>
              <w:left w:val="nil"/>
              <w:bottom w:val="single" w:sz="4" w:space="0" w:color="808080"/>
              <w:right w:val="nil"/>
            </w:tcBorders>
            <w:shd w:val="clear" w:color="000000" w:fill="EBECEC"/>
            <w:noWrap/>
            <w:vAlign w:val="center"/>
            <w:hideMark/>
          </w:tcPr>
          <w:p w:rsidR="0036246D" w:rsidRPr="0036246D" w:rsidRDefault="0036246D" w:rsidP="00A209EA">
            <w:pPr>
              <w:spacing w:after="0" w:line="240" w:lineRule="auto"/>
              <w:jc w:val="right"/>
              <w:rPr>
                <w:rFonts w:eastAsia="Times New Roman" w:cs="Arial"/>
                <w:b/>
                <w:bCs/>
                <w:color w:val="595959"/>
                <w:sz w:val="16"/>
                <w:szCs w:val="16"/>
                <w:lang w:eastAsia="is-IS" w:bidi="ar-SA"/>
              </w:rPr>
            </w:pPr>
            <w:r w:rsidRPr="0036246D">
              <w:rPr>
                <w:rFonts w:eastAsia="Times New Roman" w:cs="Arial"/>
                <w:b/>
                <w:bCs/>
                <w:color w:val="595959"/>
                <w:sz w:val="16"/>
                <w:szCs w:val="16"/>
                <w:lang w:eastAsia="is-IS" w:bidi="ar-SA"/>
              </w:rPr>
              <w:t>28.27</w:t>
            </w:r>
            <w:r w:rsidR="00A209EA">
              <w:rPr>
                <w:rFonts w:eastAsia="Times New Roman" w:cs="Arial"/>
                <w:b/>
                <w:bCs/>
                <w:color w:val="595959"/>
                <w:sz w:val="16"/>
                <w:szCs w:val="16"/>
                <w:lang w:eastAsia="is-IS" w:bidi="ar-SA"/>
              </w:rPr>
              <w:t>5</w:t>
            </w:r>
          </w:p>
        </w:tc>
      </w:tr>
    </w:tbl>
    <w:p w:rsidR="006C141F" w:rsidRDefault="00374724" w:rsidP="002D0575">
      <w:pPr>
        <w:spacing w:before="240"/>
      </w:pPr>
      <w:r>
        <w:t>Payments on long-term liabilities amounted to USD 3.6 million in the quarter. Cash decreased by USD 36.2 million, as compared to a decrease of USD 4.4 million over the same period last year.</w:t>
      </w:r>
    </w:p>
    <w:p w:rsidR="001B3726" w:rsidRPr="008B4E1D" w:rsidRDefault="001B3726" w:rsidP="00017C2E">
      <w:pPr>
        <w:pStyle w:val="NoSpacing"/>
      </w:pPr>
      <w:proofErr w:type="gramStart"/>
      <w:r>
        <w:t>OUTLOOK FOR ICELANDAIR GROUP HF.</w:t>
      </w:r>
      <w:proofErr w:type="gramEnd"/>
    </w:p>
    <w:p w:rsidR="00851946" w:rsidRPr="008B4E1D" w:rsidRDefault="00851946" w:rsidP="00851946">
      <w:pPr>
        <w:pStyle w:val="Heading2"/>
      </w:pPr>
      <w:r>
        <w:t xml:space="preserve">Continued organic growth </w:t>
      </w:r>
    </w:p>
    <w:p w:rsidR="00851946" w:rsidRPr="00D92955" w:rsidRDefault="00851946" w:rsidP="00851946">
      <w:pPr>
        <w:pStyle w:val="Heading2"/>
        <w:ind w:left="357" w:hanging="357"/>
      </w:pPr>
      <w:r>
        <w:t>New hotel to open at the start of 2016</w:t>
      </w:r>
    </w:p>
    <w:p w:rsidR="000B496E" w:rsidRDefault="000B496E" w:rsidP="000B496E">
      <w:pPr>
        <w:pStyle w:val="Heading2"/>
        <w:ind w:left="357" w:hanging="357"/>
      </w:pPr>
      <w:r w:rsidRPr="000B496E">
        <w:t xml:space="preserve">Wage negotiations with the Icelandic Airline Pilots </w:t>
      </w:r>
      <w:r w:rsidR="00A12C1F" w:rsidRPr="000B496E">
        <w:t>Association</w:t>
      </w:r>
      <w:r w:rsidRPr="000B496E">
        <w:t xml:space="preserve"> (FIA) are in progress</w:t>
      </w:r>
    </w:p>
    <w:p w:rsidR="000B496E" w:rsidRDefault="000B496E" w:rsidP="00851946">
      <w:pPr>
        <w:spacing w:after="200"/>
      </w:pPr>
    </w:p>
    <w:p w:rsidR="00851946" w:rsidRPr="003B6767" w:rsidRDefault="00851946" w:rsidP="00851946">
      <w:pPr>
        <w:spacing w:after="200"/>
        <w:rPr>
          <w:rFonts w:cs="Arial"/>
          <w:szCs w:val="20"/>
        </w:rPr>
      </w:pPr>
      <w:r>
        <w:t>The outlook for the Company’s international flight operations is favourable. In early September the Company announced its flight schedule for 2015, which will be the largest in the Company's history and about 12% larger than the 2014 schedule. Flights will be introduced to two new destinations, and the frequency of flights to various cities in North America and Europe will be increased. The new destinations will be Portland, Oregon, on the American west coast, and Birmingham in the United Kingdom. Flights to St. Petersburg will be discontinued. The number of passengers in 2015 is projected at 2.9 million, as compared to 2.6 million in the current year. A total of 23 Boeing 757 airc</w:t>
      </w:r>
      <w:r w:rsidR="00587B26">
        <w:t>raft will be used to serve the C</w:t>
      </w:r>
      <w:r>
        <w:t>ompany’s passenger routes next summer, two more than in the current year.</w:t>
      </w:r>
    </w:p>
    <w:p w:rsidR="00851946" w:rsidRPr="003B6767" w:rsidRDefault="00851946" w:rsidP="00851946">
      <w:pPr>
        <w:spacing w:after="200"/>
      </w:pPr>
      <w:r>
        <w:t xml:space="preserve">The Company's Route Network has been based primarily on the connecting hub at Keflavik Airport, with morning flights to European cities and afternoon flights to North America. In recent years the Company has created a secondary bank with departures </w:t>
      </w:r>
      <w:r w:rsidR="000B496E">
        <w:t xml:space="preserve">to North America </w:t>
      </w:r>
      <w:r>
        <w:t xml:space="preserve">shortly before noon. </w:t>
      </w:r>
      <w:r w:rsidR="000B496E">
        <w:t>In 2014</w:t>
      </w:r>
      <w:r>
        <w:t xml:space="preserve"> there are two daily departures in this bank to North America and four departures to Europe</w:t>
      </w:r>
      <w:r w:rsidR="000B496E">
        <w:t xml:space="preserve"> in the evening</w:t>
      </w:r>
      <w:r>
        <w:t xml:space="preserve">. </w:t>
      </w:r>
      <w:r w:rsidR="003508EA">
        <w:t>The flight schedule</w:t>
      </w:r>
      <w:r>
        <w:t xml:space="preserve"> for 2015 includes a third daily departure to North America and a fifth departure to Europe. The enlargement of this bank will provide an opportunity for two different depa</w:t>
      </w:r>
      <w:r w:rsidR="00001BDD">
        <w:t>rture times within the same day</w:t>
      </w:r>
      <w:r w:rsidRPr="00001BDD">
        <w:t>, which</w:t>
      </w:r>
      <w:r>
        <w:t xml:space="preserve"> will ease the congestion at Keflavik Airport and provide support fo</w:t>
      </w:r>
      <w:r w:rsidR="00B044D3">
        <w:t>r the Company's principal bank.</w:t>
      </w:r>
    </w:p>
    <w:p w:rsidR="00851946" w:rsidRPr="001F276B" w:rsidRDefault="00851946" w:rsidP="006D4B28">
      <w:pPr>
        <w:pStyle w:val="NormalWeb"/>
        <w:spacing w:line="276" w:lineRule="auto"/>
        <w:jc w:val="both"/>
        <w:rPr>
          <w:rFonts w:ascii="Arial" w:eastAsiaTheme="minorHAnsi" w:hAnsi="Arial" w:cs="Arial"/>
          <w:color w:val="595959" w:themeColor="text1" w:themeTint="A6"/>
          <w:sz w:val="20"/>
          <w:szCs w:val="20"/>
        </w:rPr>
      </w:pPr>
      <w:r>
        <w:rPr>
          <w:rFonts w:ascii="Arial" w:eastAsiaTheme="minorHAnsi" w:hAnsi="Arial"/>
          <w:color w:val="595959" w:themeColor="text1" w:themeTint="A6"/>
          <w:sz w:val="20"/>
        </w:rPr>
        <w:t xml:space="preserve">In late September further plans were announced for growth in the Company's hotel operations. A new hotel is scheduled for opening in Reykjavik City Centre in </w:t>
      </w:r>
      <w:r w:rsidR="007456CE">
        <w:rPr>
          <w:rFonts w:ascii="Arial" w:eastAsiaTheme="minorHAnsi" w:hAnsi="Arial"/>
          <w:color w:val="595959" w:themeColor="text1" w:themeTint="A6"/>
          <w:sz w:val="20"/>
        </w:rPr>
        <w:t>spring</w:t>
      </w:r>
      <w:r>
        <w:rPr>
          <w:rFonts w:ascii="Arial" w:eastAsiaTheme="minorHAnsi" w:hAnsi="Arial"/>
          <w:color w:val="595959" w:themeColor="text1" w:themeTint="A6"/>
          <w:sz w:val="20"/>
        </w:rPr>
        <w:t xml:space="preserve"> 2016 in a property that will be rebuilt from the ground up. The hotel will offer a total of 70 rooms. This addition, together with Icelandair Hotel Reykjavik </w:t>
      </w:r>
      <w:proofErr w:type="spellStart"/>
      <w:r>
        <w:rPr>
          <w:rFonts w:ascii="Arial" w:eastAsiaTheme="minorHAnsi" w:hAnsi="Arial"/>
          <w:color w:val="595959" w:themeColor="text1" w:themeTint="A6"/>
          <w:sz w:val="20"/>
        </w:rPr>
        <w:t>Kultura</w:t>
      </w:r>
      <w:proofErr w:type="spellEnd"/>
      <w:r>
        <w:rPr>
          <w:rFonts w:ascii="Arial" w:eastAsiaTheme="minorHAnsi" w:hAnsi="Arial"/>
          <w:color w:val="595959" w:themeColor="text1" w:themeTint="A6"/>
          <w:sz w:val="20"/>
        </w:rPr>
        <w:t xml:space="preserve"> on </w:t>
      </w:r>
      <w:proofErr w:type="spellStart"/>
      <w:r>
        <w:rPr>
          <w:rFonts w:ascii="Arial" w:eastAsiaTheme="minorHAnsi" w:hAnsi="Arial"/>
          <w:color w:val="595959" w:themeColor="text1" w:themeTint="A6"/>
          <w:sz w:val="20"/>
        </w:rPr>
        <w:t>Hverfisgata</w:t>
      </w:r>
      <w:proofErr w:type="spellEnd"/>
      <w:r>
        <w:rPr>
          <w:rFonts w:ascii="Arial" w:eastAsiaTheme="minorHAnsi" w:hAnsi="Arial"/>
          <w:color w:val="595959" w:themeColor="text1" w:themeTint="A6"/>
          <w:sz w:val="20"/>
        </w:rPr>
        <w:t xml:space="preserve"> near the City Centre and the enlargement of Icelandair Hotel Reykjavik Marina on Reykjavik Harbour, is in line with the Company's strategy of focusing its marketing efforts on more affluent passengers and thereby improving the profitability of the Company and of Icelandic tourist services in general.</w:t>
      </w:r>
    </w:p>
    <w:p w:rsidR="00851946" w:rsidRDefault="00851946" w:rsidP="00851946">
      <w:pPr>
        <w:spacing w:after="200"/>
      </w:pPr>
      <w:r>
        <w:t xml:space="preserve">The Group's operations in tourism-related services is showing success and growing in scope as the number of </w:t>
      </w:r>
      <w:r w:rsidR="00001BDD">
        <w:t>tourists</w:t>
      </w:r>
      <w:r>
        <w:t xml:space="preserve"> to Iceland increases and the Route Network grows. </w:t>
      </w:r>
      <w:r w:rsidR="000B496E">
        <w:t xml:space="preserve">The </w:t>
      </w:r>
      <w:proofErr w:type="gramStart"/>
      <w:r w:rsidR="000B496E">
        <w:t>outlook in the c</w:t>
      </w:r>
      <w:r>
        <w:t xml:space="preserve">argo </w:t>
      </w:r>
      <w:r w:rsidR="000B496E">
        <w:t xml:space="preserve">and charter </w:t>
      </w:r>
      <w:r>
        <w:t>operations are</w:t>
      </w:r>
      <w:proofErr w:type="gramEnd"/>
      <w:r>
        <w:t xml:space="preserve"> </w:t>
      </w:r>
      <w:r w:rsidR="000B496E">
        <w:t>also good for next year</w:t>
      </w:r>
      <w:r>
        <w:t xml:space="preserve">. </w:t>
      </w:r>
    </w:p>
    <w:p w:rsidR="00525FA1" w:rsidRDefault="00525FA1" w:rsidP="00072236">
      <w:r>
        <w:lastRenderedPageBreak/>
        <w:t xml:space="preserve">The agreement with the Icelandic Airline Pilots' Association expired at the end of September and negotiations on a new agreement have begun. </w:t>
      </w:r>
    </w:p>
    <w:p w:rsidR="00D0394E" w:rsidRDefault="00525FA1" w:rsidP="00525FA1">
      <w:r>
        <w:t xml:space="preserve">The Company's fuel hedging situation at the end of September is highlighted in the table below. The table shows that 40% of the projected use over the next twelve months (October 2014 – October 2015) has </w:t>
      </w:r>
      <w:r w:rsidR="00813A87">
        <w:t xml:space="preserve">been hedged through contracts. </w:t>
      </w:r>
    </w:p>
    <w:tbl>
      <w:tblPr>
        <w:tblW w:w="9087" w:type="dxa"/>
        <w:tblInd w:w="55" w:type="dxa"/>
        <w:tblCellMar>
          <w:left w:w="70" w:type="dxa"/>
          <w:right w:w="70" w:type="dxa"/>
        </w:tblCellMar>
        <w:tblLook w:val="04A0" w:firstRow="1" w:lastRow="0" w:firstColumn="1" w:lastColumn="0" w:noHBand="0" w:noVBand="1"/>
      </w:tblPr>
      <w:tblGrid>
        <w:gridCol w:w="761"/>
        <w:gridCol w:w="496"/>
        <w:gridCol w:w="978"/>
        <w:gridCol w:w="979"/>
        <w:gridCol w:w="979"/>
        <w:gridCol w:w="979"/>
        <w:gridCol w:w="978"/>
        <w:gridCol w:w="979"/>
        <w:gridCol w:w="979"/>
        <w:gridCol w:w="979"/>
      </w:tblGrid>
      <w:tr w:rsidR="00813A87" w:rsidRPr="006958F2" w:rsidTr="008716A0">
        <w:trPr>
          <w:trHeight w:val="510"/>
        </w:trPr>
        <w:tc>
          <w:tcPr>
            <w:tcW w:w="761"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Month</w:t>
            </w:r>
          </w:p>
        </w:tc>
        <w:tc>
          <w:tcPr>
            <w:tcW w:w="496" w:type="dxa"/>
            <w:tcBorders>
              <w:top w:val="nil"/>
              <w:left w:val="nil"/>
              <w:bottom w:val="single" w:sz="4" w:space="0" w:color="808080"/>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Year</w:t>
            </w:r>
          </w:p>
        </w:tc>
        <w:tc>
          <w:tcPr>
            <w:tcW w:w="978" w:type="dxa"/>
            <w:tcBorders>
              <w:top w:val="nil"/>
              <w:left w:val="nil"/>
              <w:bottom w:val="single" w:sz="4" w:space="0" w:color="808080"/>
              <w:right w:val="nil"/>
            </w:tcBorders>
            <w:shd w:val="clear" w:color="auto" w:fill="auto"/>
            <w:vAlign w:val="center"/>
            <w:hideMark/>
          </w:tcPr>
          <w:p w:rsidR="00813A87" w:rsidRPr="006958F2" w:rsidRDefault="00813A87" w:rsidP="008716A0">
            <w:pPr>
              <w:spacing w:after="0" w:line="240" w:lineRule="auto"/>
              <w:jc w:val="right"/>
              <w:rPr>
                <w:rFonts w:eastAsia="Times New Roman" w:cs="Arial"/>
                <w:b/>
                <w:bCs/>
                <w:color w:val="5A5A5A"/>
                <w:sz w:val="16"/>
                <w:szCs w:val="16"/>
                <w:lang w:eastAsia="is-IS"/>
              </w:rPr>
            </w:pPr>
            <w:r w:rsidRPr="006958F2">
              <w:rPr>
                <w:rFonts w:eastAsia="Times New Roman" w:cs="Arial"/>
                <w:b/>
                <w:bCs/>
                <w:color w:val="5A5A5A"/>
                <w:sz w:val="16"/>
                <w:szCs w:val="16"/>
                <w:lang w:eastAsia="is-IS"/>
              </w:rPr>
              <w:t>Estimated usage (tons)</w:t>
            </w:r>
          </w:p>
        </w:tc>
        <w:tc>
          <w:tcPr>
            <w:tcW w:w="979" w:type="dxa"/>
            <w:tcBorders>
              <w:top w:val="nil"/>
              <w:left w:val="nil"/>
              <w:bottom w:val="single" w:sz="4" w:space="0" w:color="808080"/>
              <w:right w:val="nil"/>
            </w:tcBorders>
            <w:shd w:val="clear" w:color="auto" w:fill="auto"/>
            <w:vAlign w:val="center"/>
            <w:hideMark/>
          </w:tcPr>
          <w:p w:rsidR="00813A87" w:rsidRPr="006958F2" w:rsidRDefault="00813A87" w:rsidP="008716A0">
            <w:pPr>
              <w:spacing w:after="0" w:line="240" w:lineRule="auto"/>
              <w:jc w:val="right"/>
              <w:rPr>
                <w:rFonts w:eastAsia="Times New Roman" w:cs="Arial"/>
                <w:b/>
                <w:bCs/>
                <w:color w:val="5A5A5A"/>
                <w:sz w:val="16"/>
                <w:szCs w:val="16"/>
                <w:lang w:eastAsia="is-IS"/>
              </w:rPr>
            </w:pPr>
            <w:r w:rsidRPr="006958F2">
              <w:rPr>
                <w:rFonts w:eastAsia="Times New Roman" w:cs="Arial"/>
                <w:b/>
                <w:bCs/>
                <w:color w:val="5A5A5A"/>
                <w:sz w:val="16"/>
                <w:szCs w:val="16"/>
                <w:lang w:eastAsia="is-IS"/>
              </w:rPr>
              <w:t>Option volume</w:t>
            </w:r>
          </w:p>
        </w:tc>
        <w:tc>
          <w:tcPr>
            <w:tcW w:w="979" w:type="dxa"/>
            <w:tcBorders>
              <w:top w:val="nil"/>
              <w:left w:val="nil"/>
              <w:bottom w:val="single" w:sz="4" w:space="0" w:color="808080"/>
              <w:right w:val="nil"/>
            </w:tcBorders>
            <w:shd w:val="clear" w:color="auto" w:fill="auto"/>
            <w:vAlign w:val="center"/>
            <w:hideMark/>
          </w:tcPr>
          <w:p w:rsidR="00813A87" w:rsidRPr="006958F2" w:rsidRDefault="00813A87" w:rsidP="008716A0">
            <w:pPr>
              <w:spacing w:after="0" w:line="240" w:lineRule="auto"/>
              <w:jc w:val="right"/>
              <w:rPr>
                <w:rFonts w:eastAsia="Times New Roman" w:cs="Arial"/>
                <w:b/>
                <w:bCs/>
                <w:color w:val="5A5A5A"/>
                <w:sz w:val="16"/>
                <w:szCs w:val="16"/>
                <w:lang w:eastAsia="is-IS"/>
              </w:rPr>
            </w:pPr>
            <w:r w:rsidRPr="006958F2">
              <w:rPr>
                <w:rFonts w:eastAsia="Times New Roman" w:cs="Arial"/>
                <w:b/>
                <w:bCs/>
                <w:color w:val="5A5A5A"/>
                <w:sz w:val="16"/>
                <w:szCs w:val="16"/>
                <w:lang w:eastAsia="is-IS"/>
              </w:rPr>
              <w:t>Swap volume</w:t>
            </w:r>
          </w:p>
        </w:tc>
        <w:tc>
          <w:tcPr>
            <w:tcW w:w="979" w:type="dxa"/>
            <w:tcBorders>
              <w:top w:val="nil"/>
              <w:left w:val="nil"/>
              <w:bottom w:val="single" w:sz="4" w:space="0" w:color="808080"/>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b/>
                <w:bCs/>
                <w:color w:val="5A5A5A"/>
                <w:sz w:val="16"/>
                <w:szCs w:val="16"/>
                <w:lang w:eastAsia="is-IS"/>
              </w:rPr>
            </w:pPr>
            <w:r w:rsidRPr="006958F2">
              <w:rPr>
                <w:rFonts w:eastAsia="Times New Roman" w:cs="Arial"/>
                <w:b/>
                <w:bCs/>
                <w:color w:val="5A5A5A"/>
                <w:sz w:val="16"/>
                <w:szCs w:val="16"/>
                <w:lang w:eastAsia="is-IS"/>
              </w:rPr>
              <w:t>Total swap and option contracts</w:t>
            </w:r>
          </w:p>
        </w:tc>
        <w:tc>
          <w:tcPr>
            <w:tcW w:w="978" w:type="dxa"/>
            <w:tcBorders>
              <w:top w:val="nil"/>
              <w:left w:val="nil"/>
              <w:bottom w:val="single" w:sz="4" w:space="0" w:color="808080"/>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b/>
                <w:bCs/>
                <w:color w:val="5A5A5A"/>
                <w:sz w:val="16"/>
                <w:szCs w:val="16"/>
                <w:lang w:eastAsia="is-IS"/>
              </w:rPr>
            </w:pPr>
            <w:r w:rsidRPr="006958F2">
              <w:rPr>
                <w:rFonts w:eastAsia="Times New Roman" w:cs="Arial"/>
                <w:b/>
                <w:bCs/>
                <w:color w:val="5A5A5A"/>
                <w:sz w:val="16"/>
                <w:szCs w:val="16"/>
                <w:lang w:eastAsia="is-IS"/>
              </w:rPr>
              <w:t>% hedged</w:t>
            </w:r>
          </w:p>
        </w:tc>
        <w:tc>
          <w:tcPr>
            <w:tcW w:w="979" w:type="dxa"/>
            <w:tcBorders>
              <w:top w:val="nil"/>
              <w:left w:val="nil"/>
              <w:bottom w:val="single" w:sz="4" w:space="0" w:color="808080"/>
              <w:right w:val="nil"/>
            </w:tcBorders>
            <w:shd w:val="clear" w:color="auto" w:fill="auto"/>
            <w:vAlign w:val="center"/>
            <w:hideMark/>
          </w:tcPr>
          <w:p w:rsidR="00813A87" w:rsidRPr="006958F2" w:rsidRDefault="00813A87" w:rsidP="008716A0">
            <w:pPr>
              <w:spacing w:after="0" w:line="240" w:lineRule="auto"/>
              <w:jc w:val="right"/>
              <w:rPr>
                <w:rFonts w:eastAsia="Times New Roman" w:cs="Arial"/>
                <w:b/>
                <w:bCs/>
                <w:color w:val="5A5A5A"/>
                <w:sz w:val="16"/>
                <w:szCs w:val="16"/>
                <w:lang w:eastAsia="is-IS"/>
              </w:rPr>
            </w:pPr>
            <w:r w:rsidRPr="006958F2">
              <w:rPr>
                <w:rFonts w:eastAsia="Times New Roman" w:cs="Arial"/>
                <w:b/>
                <w:bCs/>
                <w:color w:val="5A5A5A"/>
                <w:sz w:val="16"/>
                <w:szCs w:val="16"/>
                <w:lang w:eastAsia="is-IS"/>
              </w:rPr>
              <w:t>Av. Hedge price USD</w:t>
            </w:r>
          </w:p>
        </w:tc>
        <w:tc>
          <w:tcPr>
            <w:tcW w:w="979" w:type="dxa"/>
            <w:tcBorders>
              <w:top w:val="nil"/>
              <w:left w:val="nil"/>
              <w:bottom w:val="single" w:sz="4" w:space="0" w:color="808080"/>
              <w:right w:val="nil"/>
            </w:tcBorders>
            <w:shd w:val="clear" w:color="auto" w:fill="auto"/>
            <w:vAlign w:val="center"/>
            <w:hideMark/>
          </w:tcPr>
          <w:p w:rsidR="00813A87" w:rsidRPr="006958F2" w:rsidRDefault="00813A87" w:rsidP="008716A0">
            <w:pPr>
              <w:spacing w:after="0" w:line="240" w:lineRule="auto"/>
              <w:jc w:val="right"/>
              <w:rPr>
                <w:rFonts w:eastAsia="Times New Roman" w:cs="Arial"/>
                <w:b/>
                <w:bCs/>
                <w:color w:val="5A5A5A"/>
                <w:sz w:val="16"/>
                <w:szCs w:val="16"/>
                <w:lang w:eastAsia="is-IS"/>
              </w:rPr>
            </w:pPr>
            <w:r w:rsidRPr="006958F2">
              <w:rPr>
                <w:rFonts w:eastAsia="Times New Roman" w:cs="Arial"/>
                <w:b/>
                <w:bCs/>
                <w:color w:val="5A5A5A"/>
                <w:sz w:val="16"/>
                <w:szCs w:val="16"/>
                <w:lang w:eastAsia="is-IS"/>
              </w:rPr>
              <w:t>Bought call strike</w:t>
            </w:r>
          </w:p>
        </w:tc>
        <w:tc>
          <w:tcPr>
            <w:tcW w:w="979" w:type="dxa"/>
            <w:tcBorders>
              <w:top w:val="nil"/>
              <w:left w:val="nil"/>
              <w:bottom w:val="single" w:sz="4" w:space="0" w:color="808080"/>
              <w:right w:val="nil"/>
            </w:tcBorders>
            <w:shd w:val="clear" w:color="auto" w:fill="auto"/>
            <w:vAlign w:val="center"/>
            <w:hideMark/>
          </w:tcPr>
          <w:p w:rsidR="00813A87" w:rsidRPr="006958F2" w:rsidRDefault="00813A87" w:rsidP="008716A0">
            <w:pPr>
              <w:spacing w:after="0" w:line="240" w:lineRule="auto"/>
              <w:jc w:val="right"/>
              <w:rPr>
                <w:rFonts w:eastAsia="Times New Roman" w:cs="Arial"/>
                <w:b/>
                <w:bCs/>
                <w:color w:val="5A5A5A"/>
                <w:sz w:val="16"/>
                <w:szCs w:val="16"/>
                <w:lang w:eastAsia="is-IS"/>
              </w:rPr>
            </w:pPr>
            <w:r w:rsidRPr="006958F2">
              <w:rPr>
                <w:rFonts w:eastAsia="Times New Roman" w:cs="Arial"/>
                <w:b/>
                <w:bCs/>
                <w:color w:val="5A5A5A"/>
                <w:sz w:val="16"/>
                <w:szCs w:val="16"/>
                <w:lang w:eastAsia="is-IS"/>
              </w:rPr>
              <w:t>Sold put strike</w:t>
            </w:r>
          </w:p>
        </w:tc>
      </w:tr>
      <w:tr w:rsidR="00813A87" w:rsidRPr="006958F2" w:rsidTr="008716A0">
        <w:trPr>
          <w:trHeight w:val="227"/>
        </w:trPr>
        <w:tc>
          <w:tcPr>
            <w:tcW w:w="761" w:type="dxa"/>
            <w:tcBorders>
              <w:top w:val="dotted" w:sz="4" w:space="0" w:color="7F7F7F"/>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Oct</w:t>
            </w:r>
          </w:p>
        </w:tc>
        <w:tc>
          <w:tcPr>
            <w:tcW w:w="496" w:type="dxa"/>
            <w:tcBorders>
              <w:top w:val="dotted" w:sz="4" w:space="0" w:color="7F7F7F"/>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2014</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20,839</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6,000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4,200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10,200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49%</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990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937</w:t>
            </w:r>
          </w:p>
        </w:tc>
      </w:tr>
      <w:tr w:rsidR="00813A87" w:rsidRPr="006958F2" w:rsidTr="008716A0">
        <w:trPr>
          <w:trHeight w:val="227"/>
        </w:trPr>
        <w:tc>
          <w:tcPr>
            <w:tcW w:w="761"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Nov</w:t>
            </w:r>
          </w:p>
        </w:tc>
        <w:tc>
          <w:tcPr>
            <w:tcW w:w="496"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2014</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17,639</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5,200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8,200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46%</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972</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990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908</w:t>
            </w:r>
          </w:p>
        </w:tc>
      </w:tr>
      <w:tr w:rsidR="00813A87" w:rsidRPr="006958F2" w:rsidTr="008716A0">
        <w:trPr>
          <w:trHeight w:val="227"/>
        </w:trPr>
        <w:tc>
          <w:tcPr>
            <w:tcW w:w="761"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Dec</w:t>
            </w:r>
          </w:p>
        </w:tc>
        <w:tc>
          <w:tcPr>
            <w:tcW w:w="496"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2014</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16,393</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5,200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8,200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50%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964</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932</w:t>
            </w:r>
          </w:p>
        </w:tc>
      </w:tr>
      <w:tr w:rsidR="00813A87" w:rsidRPr="006958F2" w:rsidTr="008716A0">
        <w:trPr>
          <w:trHeight w:val="227"/>
        </w:trPr>
        <w:tc>
          <w:tcPr>
            <w:tcW w:w="761"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Jan</w:t>
            </w:r>
          </w:p>
        </w:tc>
        <w:tc>
          <w:tcPr>
            <w:tcW w:w="496"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2015</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13,958</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3,000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6,000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43%</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947</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929</w:t>
            </w:r>
          </w:p>
        </w:tc>
      </w:tr>
      <w:tr w:rsidR="00813A87" w:rsidRPr="006958F2" w:rsidTr="008716A0">
        <w:trPr>
          <w:trHeight w:val="227"/>
        </w:trPr>
        <w:tc>
          <w:tcPr>
            <w:tcW w:w="761"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Feb</w:t>
            </w:r>
          </w:p>
        </w:tc>
        <w:tc>
          <w:tcPr>
            <w:tcW w:w="496"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2015</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12,029</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2,000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6,000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50%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960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936</w:t>
            </w:r>
          </w:p>
        </w:tc>
      </w:tr>
      <w:tr w:rsidR="00813A87" w:rsidRPr="006958F2" w:rsidTr="008716A0">
        <w:trPr>
          <w:trHeight w:val="227"/>
        </w:trPr>
        <w:tc>
          <w:tcPr>
            <w:tcW w:w="761"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Mar</w:t>
            </w:r>
          </w:p>
        </w:tc>
        <w:tc>
          <w:tcPr>
            <w:tcW w:w="496"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2015</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16,147</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5,000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8,000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50%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981</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990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933</w:t>
            </w:r>
          </w:p>
        </w:tc>
      </w:tr>
      <w:tr w:rsidR="00813A87" w:rsidRPr="006958F2" w:rsidTr="008716A0">
        <w:trPr>
          <w:trHeight w:val="227"/>
        </w:trPr>
        <w:tc>
          <w:tcPr>
            <w:tcW w:w="761"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Apr</w:t>
            </w:r>
          </w:p>
        </w:tc>
        <w:tc>
          <w:tcPr>
            <w:tcW w:w="496"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2015</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17,204</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5,000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8,000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47%</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967</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892</w:t>
            </w:r>
          </w:p>
        </w:tc>
      </w:tr>
      <w:tr w:rsidR="00813A87" w:rsidRPr="006958F2" w:rsidTr="008716A0">
        <w:trPr>
          <w:trHeight w:val="227"/>
        </w:trPr>
        <w:tc>
          <w:tcPr>
            <w:tcW w:w="761"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May</w:t>
            </w:r>
          </w:p>
        </w:tc>
        <w:tc>
          <w:tcPr>
            <w:tcW w:w="496"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2015</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23,730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7,000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11,000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46%</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936</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932</w:t>
            </w:r>
          </w:p>
        </w:tc>
      </w:tr>
      <w:tr w:rsidR="00813A87" w:rsidRPr="006958F2" w:rsidTr="008716A0">
        <w:trPr>
          <w:trHeight w:val="227"/>
        </w:trPr>
        <w:tc>
          <w:tcPr>
            <w:tcW w:w="761"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Jun</w:t>
            </w:r>
          </w:p>
        </w:tc>
        <w:tc>
          <w:tcPr>
            <w:tcW w:w="496"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2015</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32,016</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6,000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7,000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13,000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41%</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934</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987</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883</w:t>
            </w:r>
          </w:p>
        </w:tc>
      </w:tr>
      <w:tr w:rsidR="00813A87" w:rsidRPr="006958F2" w:rsidTr="008716A0">
        <w:trPr>
          <w:trHeight w:val="227"/>
        </w:trPr>
        <w:tc>
          <w:tcPr>
            <w:tcW w:w="761"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Jul</w:t>
            </w:r>
          </w:p>
        </w:tc>
        <w:tc>
          <w:tcPr>
            <w:tcW w:w="496"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2015</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34,304</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6,000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5,000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11,000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32%</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915</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987</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871</w:t>
            </w:r>
          </w:p>
        </w:tc>
      </w:tr>
      <w:tr w:rsidR="00813A87" w:rsidRPr="006958F2" w:rsidTr="008716A0">
        <w:trPr>
          <w:trHeight w:val="227"/>
        </w:trPr>
        <w:tc>
          <w:tcPr>
            <w:tcW w:w="761"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Aug</w:t>
            </w:r>
          </w:p>
        </w:tc>
        <w:tc>
          <w:tcPr>
            <w:tcW w:w="496"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2015</w:t>
            </w:r>
          </w:p>
        </w:tc>
        <w:tc>
          <w:tcPr>
            <w:tcW w:w="978"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34,281</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6,000</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3,000</w:t>
            </w:r>
          </w:p>
        </w:tc>
        <w:tc>
          <w:tcPr>
            <w:tcW w:w="979"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9,000</w:t>
            </w:r>
          </w:p>
        </w:tc>
        <w:tc>
          <w:tcPr>
            <w:tcW w:w="978" w:type="dxa"/>
            <w:tcBorders>
              <w:top w:val="nil"/>
              <w:left w:val="nil"/>
              <w:bottom w:val="dotted" w:sz="4" w:space="0" w:color="7F7F7F"/>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26%</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919</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987</w:t>
            </w:r>
          </w:p>
        </w:tc>
        <w:tc>
          <w:tcPr>
            <w:tcW w:w="979" w:type="dxa"/>
            <w:tcBorders>
              <w:top w:val="nil"/>
              <w:left w:val="nil"/>
              <w:bottom w:val="dotted" w:sz="4" w:space="0" w:color="7F7F7F"/>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871</w:t>
            </w:r>
          </w:p>
        </w:tc>
      </w:tr>
      <w:tr w:rsidR="00813A87" w:rsidRPr="006958F2" w:rsidTr="008716A0">
        <w:trPr>
          <w:trHeight w:val="227"/>
        </w:trPr>
        <w:tc>
          <w:tcPr>
            <w:tcW w:w="761" w:type="dxa"/>
            <w:tcBorders>
              <w:top w:val="nil"/>
              <w:left w:val="nil"/>
              <w:bottom w:val="nil"/>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Sep</w:t>
            </w:r>
          </w:p>
        </w:tc>
        <w:tc>
          <w:tcPr>
            <w:tcW w:w="496" w:type="dxa"/>
            <w:tcBorders>
              <w:top w:val="nil"/>
              <w:left w:val="nil"/>
              <w:bottom w:val="nil"/>
              <w:right w:val="nil"/>
            </w:tcBorders>
            <w:shd w:val="clear" w:color="auto" w:fill="auto"/>
            <w:vAlign w:val="center"/>
            <w:hideMark/>
          </w:tcPr>
          <w:p w:rsidR="00813A87" w:rsidRPr="006958F2" w:rsidRDefault="00813A87" w:rsidP="008716A0">
            <w:pPr>
              <w:spacing w:after="0" w:line="240" w:lineRule="auto"/>
              <w:jc w:val="left"/>
              <w:rPr>
                <w:rFonts w:eastAsia="Times New Roman" w:cs="Arial"/>
                <w:color w:val="5A5A5A"/>
                <w:sz w:val="16"/>
                <w:szCs w:val="16"/>
                <w:lang w:eastAsia="is-IS"/>
              </w:rPr>
            </w:pPr>
            <w:r w:rsidRPr="006958F2">
              <w:rPr>
                <w:rFonts w:eastAsia="Times New Roman" w:cs="Arial"/>
                <w:color w:val="5A5A5A"/>
                <w:sz w:val="16"/>
                <w:szCs w:val="16"/>
                <w:lang w:eastAsia="is-IS"/>
              </w:rPr>
              <w:t>2015</w:t>
            </w:r>
          </w:p>
        </w:tc>
        <w:tc>
          <w:tcPr>
            <w:tcW w:w="978" w:type="dxa"/>
            <w:tcBorders>
              <w:top w:val="nil"/>
              <w:left w:val="nil"/>
              <w:bottom w:val="nil"/>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26,087</w:t>
            </w:r>
          </w:p>
        </w:tc>
        <w:tc>
          <w:tcPr>
            <w:tcW w:w="979" w:type="dxa"/>
            <w:tcBorders>
              <w:top w:val="nil"/>
              <w:left w:val="nil"/>
              <w:bottom w:val="nil"/>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4,000</w:t>
            </w:r>
          </w:p>
        </w:tc>
        <w:tc>
          <w:tcPr>
            <w:tcW w:w="979" w:type="dxa"/>
            <w:tcBorders>
              <w:top w:val="nil"/>
              <w:left w:val="nil"/>
              <w:bottom w:val="nil"/>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2,000</w:t>
            </w:r>
          </w:p>
        </w:tc>
        <w:tc>
          <w:tcPr>
            <w:tcW w:w="979" w:type="dxa"/>
            <w:tcBorders>
              <w:top w:val="nil"/>
              <w:left w:val="nil"/>
              <w:bottom w:val="nil"/>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6,000</w:t>
            </w:r>
          </w:p>
        </w:tc>
        <w:tc>
          <w:tcPr>
            <w:tcW w:w="978" w:type="dxa"/>
            <w:tcBorders>
              <w:top w:val="nil"/>
              <w:left w:val="nil"/>
              <w:bottom w:val="nil"/>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23%</w:t>
            </w:r>
          </w:p>
        </w:tc>
        <w:tc>
          <w:tcPr>
            <w:tcW w:w="979" w:type="dxa"/>
            <w:tcBorders>
              <w:top w:val="nil"/>
              <w:left w:val="nil"/>
              <w:bottom w:val="nil"/>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919</w:t>
            </w:r>
          </w:p>
        </w:tc>
        <w:tc>
          <w:tcPr>
            <w:tcW w:w="979" w:type="dxa"/>
            <w:tcBorders>
              <w:top w:val="nil"/>
              <w:left w:val="nil"/>
              <w:bottom w:val="nil"/>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990</w:t>
            </w:r>
          </w:p>
        </w:tc>
        <w:tc>
          <w:tcPr>
            <w:tcW w:w="979" w:type="dxa"/>
            <w:tcBorders>
              <w:top w:val="nil"/>
              <w:left w:val="nil"/>
              <w:bottom w:val="nil"/>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886</w:t>
            </w:r>
          </w:p>
        </w:tc>
      </w:tr>
      <w:tr w:rsidR="00813A87" w:rsidRPr="006958F2" w:rsidTr="008716A0">
        <w:trPr>
          <w:trHeight w:val="227"/>
        </w:trPr>
        <w:tc>
          <w:tcPr>
            <w:tcW w:w="761" w:type="dxa"/>
            <w:tcBorders>
              <w:top w:val="single" w:sz="4" w:space="0" w:color="auto"/>
              <w:left w:val="nil"/>
              <w:bottom w:val="single" w:sz="4" w:space="0" w:color="auto"/>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Total</w:t>
            </w:r>
          </w:p>
        </w:tc>
        <w:tc>
          <w:tcPr>
            <w:tcW w:w="496" w:type="dxa"/>
            <w:tcBorders>
              <w:top w:val="single" w:sz="4" w:space="0" w:color="auto"/>
              <w:left w:val="nil"/>
              <w:bottom w:val="single" w:sz="4" w:space="0" w:color="auto"/>
              <w:right w:val="nil"/>
            </w:tcBorders>
            <w:shd w:val="clear" w:color="auto" w:fill="auto"/>
            <w:noWrap/>
            <w:vAlign w:val="center"/>
            <w:hideMark/>
          </w:tcPr>
          <w:p w:rsidR="00813A87" w:rsidRPr="006958F2" w:rsidRDefault="00813A87" w:rsidP="008716A0">
            <w:pPr>
              <w:spacing w:after="0" w:line="240" w:lineRule="auto"/>
              <w:jc w:val="left"/>
              <w:rPr>
                <w:rFonts w:eastAsia="Times New Roman" w:cs="Arial"/>
                <w:b/>
                <w:bCs/>
                <w:color w:val="595959"/>
                <w:sz w:val="16"/>
                <w:szCs w:val="16"/>
                <w:lang w:eastAsia="is-IS"/>
              </w:rPr>
            </w:pPr>
            <w:r w:rsidRPr="006958F2">
              <w:rPr>
                <w:rFonts w:eastAsia="Times New Roman" w:cs="Arial"/>
                <w:b/>
                <w:bCs/>
                <w:color w:val="595959"/>
                <w:sz w:val="16"/>
                <w:szCs w:val="16"/>
                <w:lang w:eastAsia="is-IS"/>
              </w:rPr>
              <w:t> </w:t>
            </w:r>
          </w:p>
        </w:tc>
        <w:tc>
          <w:tcPr>
            <w:tcW w:w="978" w:type="dxa"/>
            <w:tcBorders>
              <w:top w:val="single" w:sz="4" w:space="0" w:color="auto"/>
              <w:left w:val="nil"/>
              <w:bottom w:val="single" w:sz="4" w:space="0" w:color="auto"/>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264,627</w:t>
            </w:r>
          </w:p>
        </w:tc>
        <w:tc>
          <w:tcPr>
            <w:tcW w:w="979" w:type="dxa"/>
            <w:tcBorders>
              <w:top w:val="single" w:sz="4" w:space="0" w:color="auto"/>
              <w:left w:val="nil"/>
              <w:bottom w:val="single" w:sz="4" w:space="0" w:color="auto"/>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51,000</w:t>
            </w:r>
          </w:p>
        </w:tc>
        <w:tc>
          <w:tcPr>
            <w:tcW w:w="979" w:type="dxa"/>
            <w:tcBorders>
              <w:top w:val="single" w:sz="4" w:space="0" w:color="auto"/>
              <w:left w:val="nil"/>
              <w:bottom w:val="single" w:sz="4" w:space="0" w:color="auto"/>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53,600</w:t>
            </w:r>
          </w:p>
        </w:tc>
        <w:tc>
          <w:tcPr>
            <w:tcW w:w="979" w:type="dxa"/>
            <w:tcBorders>
              <w:top w:val="single" w:sz="4" w:space="0" w:color="auto"/>
              <w:left w:val="nil"/>
              <w:bottom w:val="single" w:sz="4" w:space="0" w:color="auto"/>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104,600</w:t>
            </w:r>
          </w:p>
        </w:tc>
        <w:tc>
          <w:tcPr>
            <w:tcW w:w="978" w:type="dxa"/>
            <w:tcBorders>
              <w:top w:val="single" w:sz="4" w:space="0" w:color="auto"/>
              <w:left w:val="nil"/>
              <w:bottom w:val="single" w:sz="4" w:space="0" w:color="auto"/>
              <w:right w:val="nil"/>
            </w:tcBorders>
            <w:shd w:val="clear" w:color="000000" w:fill="EBECEC"/>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40%</w:t>
            </w:r>
          </w:p>
        </w:tc>
        <w:tc>
          <w:tcPr>
            <w:tcW w:w="979" w:type="dxa"/>
            <w:tcBorders>
              <w:top w:val="single" w:sz="4" w:space="0" w:color="auto"/>
              <w:left w:val="nil"/>
              <w:bottom w:val="single" w:sz="4" w:space="0" w:color="auto"/>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w:t>
            </w:r>
          </w:p>
        </w:tc>
        <w:tc>
          <w:tcPr>
            <w:tcW w:w="979" w:type="dxa"/>
            <w:tcBorders>
              <w:top w:val="single" w:sz="4" w:space="0" w:color="auto"/>
              <w:left w:val="nil"/>
              <w:bottom w:val="single" w:sz="4" w:space="0" w:color="auto"/>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w:t>
            </w:r>
          </w:p>
        </w:tc>
        <w:tc>
          <w:tcPr>
            <w:tcW w:w="979" w:type="dxa"/>
            <w:tcBorders>
              <w:top w:val="single" w:sz="4" w:space="0" w:color="auto"/>
              <w:left w:val="nil"/>
              <w:bottom w:val="single" w:sz="4" w:space="0" w:color="auto"/>
              <w:right w:val="nil"/>
            </w:tcBorders>
            <w:shd w:val="clear" w:color="auto" w:fill="auto"/>
            <w:vAlign w:val="center"/>
            <w:hideMark/>
          </w:tcPr>
          <w:p w:rsidR="00813A87" w:rsidRPr="006958F2" w:rsidRDefault="00813A87" w:rsidP="008716A0">
            <w:pPr>
              <w:spacing w:after="0" w:line="240" w:lineRule="auto"/>
              <w:jc w:val="right"/>
              <w:rPr>
                <w:rFonts w:eastAsia="Times New Roman" w:cs="Arial"/>
                <w:color w:val="5A5A5A"/>
                <w:sz w:val="16"/>
                <w:szCs w:val="16"/>
                <w:lang w:eastAsia="is-IS"/>
              </w:rPr>
            </w:pPr>
            <w:r w:rsidRPr="006958F2">
              <w:rPr>
                <w:rFonts w:eastAsia="Times New Roman" w:cs="Arial"/>
                <w:color w:val="5A5A5A"/>
                <w:sz w:val="16"/>
                <w:szCs w:val="16"/>
                <w:lang w:eastAsia="is-IS"/>
              </w:rPr>
              <w:t>-</w:t>
            </w:r>
          </w:p>
        </w:tc>
      </w:tr>
    </w:tbl>
    <w:p w:rsidR="001B3726" w:rsidRPr="00234F22" w:rsidRDefault="001B3726" w:rsidP="001B3726">
      <w:pPr>
        <w:rPr>
          <w:sz w:val="16"/>
          <w:szCs w:val="16"/>
        </w:rPr>
      </w:pPr>
      <w:r>
        <w:rPr>
          <w:sz w:val="16"/>
        </w:rPr>
        <w:t>*Prices are in USD</w:t>
      </w:r>
    </w:p>
    <w:p w:rsidR="00425E45" w:rsidRPr="000C6A44" w:rsidRDefault="00B64017" w:rsidP="00425E45">
      <w:pPr>
        <w:pStyle w:val="NoSpacing"/>
      </w:pPr>
      <w:r>
        <w:t>EBITDA forecast for 2014</w:t>
      </w:r>
    </w:p>
    <w:p w:rsidR="00D0394E" w:rsidRDefault="00D0394E" w:rsidP="00D0394E">
      <w:r>
        <w:t>Based on current assumptions EBITDA for the year is projected in the range of USD 150-155 million</w:t>
      </w:r>
      <w:r w:rsidR="008716A0">
        <w:t>.</w:t>
      </w:r>
      <w:r>
        <w:t xml:space="preserve"> The Company's earnings estimate assumes an average exchange rate of the EUR against the USD of 1.25 in the fourth quarter and a fuel price of USD 903/ton in October and USD 900/ton in November and December.  The Company therefore assumes that results in the fourth quarter will fall short of last year's results and anticipates EBITDA in negative figures, as compared to the positive result of USD 6.8 million in 2013. The discrepancy between years is explained by </w:t>
      </w:r>
      <w:r w:rsidR="00F44BFC">
        <w:t>considerable</w:t>
      </w:r>
      <w:r w:rsidR="00CF4EDF">
        <w:t xml:space="preserve"> </w:t>
      </w:r>
      <w:r>
        <w:t xml:space="preserve">competition, rising costs and investments in increased capacity. </w:t>
      </w:r>
      <w:r w:rsidR="00FA52E7">
        <w:t>In addition t</w:t>
      </w:r>
      <w:r w:rsidR="000B496E">
        <w:t>he results in our charter- and freight operations are not expected as good as last year.</w:t>
      </w:r>
    </w:p>
    <w:p w:rsidR="001B3726" w:rsidRPr="00374724" w:rsidRDefault="001B3726" w:rsidP="00C26728">
      <w:pPr>
        <w:pStyle w:val="NoSpacing"/>
      </w:pPr>
      <w:r>
        <w:t>SHAREHOLDERS</w:t>
      </w:r>
    </w:p>
    <w:p w:rsidR="001B3726" w:rsidRPr="00374724" w:rsidRDefault="001B3726" w:rsidP="001B0C29">
      <w:pPr>
        <w:pStyle w:val="Heading2"/>
      </w:pPr>
      <w:r>
        <w:t>The price of Iceland</w:t>
      </w:r>
      <w:r w:rsidR="00BA0922">
        <w:t>air</w:t>
      </w:r>
      <w:r>
        <w:t xml:space="preserve"> Group stock is down by 4.7% since the turn of the year</w:t>
      </w:r>
    </w:p>
    <w:p w:rsidR="00427631" w:rsidRPr="00374724" w:rsidRDefault="00427631" w:rsidP="00427631">
      <w:pPr>
        <w:pStyle w:val="Heading2"/>
      </w:pPr>
      <w:r>
        <w:t>The price of Icelandair Group stock rose by 1.5% in the third quarter</w:t>
      </w:r>
    </w:p>
    <w:p w:rsidR="001B3726" w:rsidRPr="00374724" w:rsidRDefault="008102F5" w:rsidP="001B0C29">
      <w:pPr>
        <w:pStyle w:val="Heading2"/>
      </w:pPr>
      <w:r>
        <w:t>Market value at the end of September was ISK 86,750 million</w:t>
      </w:r>
    </w:p>
    <w:p w:rsidR="00475EAA" w:rsidRDefault="00324358" w:rsidP="00706BA2">
      <w:pPr>
        <w:spacing w:before="240"/>
      </w:pPr>
      <w:r>
        <w:t xml:space="preserve">Icelandair Group's market value was just short of ISK 86.8 billion at the end of the third quarter of 2014. The closing price at the end of the quarter was ISK 17.35 per share. The highest close-of-day price per share of the quarter was ISK 18.85, the lowest price was ISK 16.85 per share, and the average close of trading price over the period was ISK 17.66 per share. The number of issued shares on 30 September 2014 was 5,000,000,000, and the number of outstanding shares at the same time was 4,974,540,000. The price of shares in the Company fell by 4.7% in the first nine months of 2014 and the number of shareholders was 2,142 at the end of September, up by 309 from the beginning of the year. </w:t>
      </w:r>
    </w:p>
    <w:p w:rsidR="00FA52E7" w:rsidRDefault="00FA52E7" w:rsidP="001B3726">
      <w:pPr>
        <w:rPr>
          <w:b/>
        </w:rPr>
      </w:pPr>
    </w:p>
    <w:p w:rsidR="001B3726" w:rsidRDefault="001B3726" w:rsidP="001B3726">
      <w:pPr>
        <w:rPr>
          <w:b/>
        </w:rPr>
      </w:pPr>
      <w:r>
        <w:rPr>
          <w:b/>
        </w:rPr>
        <w:lastRenderedPageBreak/>
        <w:t>Share prices and volume – trend in the first nine months of 2014:</w:t>
      </w:r>
    </w:p>
    <w:p w:rsidR="006958F2" w:rsidRPr="00374724" w:rsidRDefault="006958F2" w:rsidP="001B3726">
      <w:pPr>
        <w:rPr>
          <w:b/>
        </w:rPr>
      </w:pPr>
      <w:r>
        <w:rPr>
          <w:b/>
          <w:noProof/>
          <w:lang w:val="is-IS" w:eastAsia="is-IS" w:bidi="ar-SA"/>
        </w:rPr>
        <w:drawing>
          <wp:inline distT="0" distB="0" distL="0" distR="0" wp14:anchorId="760D26FD">
            <wp:extent cx="5761355" cy="1584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1584960"/>
                    </a:xfrm>
                    <a:prstGeom prst="rect">
                      <a:avLst/>
                    </a:prstGeom>
                    <a:noFill/>
                  </pic:spPr>
                </pic:pic>
              </a:graphicData>
            </a:graphic>
          </wp:inline>
        </w:drawing>
      </w:r>
    </w:p>
    <w:p w:rsidR="001B3726" w:rsidRPr="00374724" w:rsidRDefault="001B3726" w:rsidP="00197D62">
      <w:pPr>
        <w:pStyle w:val="NoSpacing"/>
      </w:pPr>
      <w:r>
        <w:t>PRESENTATION MEETING 31 October 2014</w:t>
      </w:r>
    </w:p>
    <w:p w:rsidR="001B160C" w:rsidRDefault="001B3726" w:rsidP="001B160C">
      <w:r>
        <w:t xml:space="preserve">An open presentation for stakeholders will be held on Friday 31 October 2014 at the Icelandair Hotel Reykjavik </w:t>
      </w:r>
      <w:proofErr w:type="spellStart"/>
      <w:r>
        <w:t>Natura</w:t>
      </w:r>
      <w:proofErr w:type="spellEnd"/>
      <w:r>
        <w:t xml:space="preserve">. Björgólfur Jóhannsson, President and CEO of Icelandair Group, and Bogi Nils Bogason, CFO, will present the Company’s results and respond to questions. The presentation will begin at 8:30 a.m. in </w:t>
      </w:r>
      <w:proofErr w:type="spellStart"/>
      <w:r>
        <w:t>Víkingasalur</w:t>
      </w:r>
      <w:proofErr w:type="spellEnd"/>
      <w:r>
        <w:t xml:space="preserve"> 4+5. Breakfast will be available from 08:00 a.m. The presentation</w:t>
      </w:r>
      <w:r w:rsidR="00001BDD">
        <w:t xml:space="preserve"> will be held in Icelandic and the presentation</w:t>
      </w:r>
      <w:r>
        <w:t xml:space="preserve"> material will be available after the meeting on the Icelandair Group website, www.icelandairgroup.is, and on the Nasdaq OMX Iceland </w:t>
      </w:r>
      <w:proofErr w:type="spellStart"/>
      <w:r>
        <w:t>hf</w:t>
      </w:r>
      <w:proofErr w:type="spellEnd"/>
      <w:r>
        <w:t xml:space="preserve"> news system.</w:t>
      </w:r>
      <w:r w:rsidR="001B160C">
        <w:t xml:space="preserve"> </w:t>
      </w:r>
      <w:r w:rsidR="001B160C" w:rsidRPr="001B160C">
        <w:t xml:space="preserve">Please note that the meeting will also be </w:t>
      </w:r>
      <w:r w:rsidR="00C91F1F">
        <w:t>broadcasted online</w:t>
      </w:r>
      <w:r w:rsidR="001B160C" w:rsidRPr="001B160C">
        <w:t xml:space="preserve"> in Icelandic</w:t>
      </w:r>
      <w:r w:rsidR="00C91F1F">
        <w:t xml:space="preserve"> on our website</w:t>
      </w:r>
      <w:r w:rsidR="001B160C" w:rsidRPr="001B160C">
        <w:t>:</w:t>
      </w:r>
    </w:p>
    <w:p w:rsidR="001B160C" w:rsidRDefault="001B160C" w:rsidP="001B160C">
      <w:hyperlink r:id="rId10" w:history="1">
        <w:r>
          <w:rPr>
            <w:rStyle w:val="Hyperlink"/>
          </w:rPr>
          <w:t>http://www.icelandairgroup.is/investors/reports-and-presentations/webcast/</w:t>
        </w:r>
      </w:hyperlink>
    </w:p>
    <w:p w:rsidR="001B3726" w:rsidRPr="00374724" w:rsidRDefault="001B3726" w:rsidP="00197D62">
      <w:pPr>
        <w:pStyle w:val="NoSpacing"/>
      </w:pPr>
      <w:r>
        <w:t>APPROVAL OF QUARTERLY STATEMENT</w:t>
      </w:r>
    </w:p>
    <w:p w:rsidR="00DB551D" w:rsidRPr="00374724" w:rsidRDefault="00DB551D" w:rsidP="00DB551D">
      <w:r>
        <w:t xml:space="preserve">The consolidated accounts of Icelandair Group for the third quarter report of 2014 were approved at a meeting of the Board of Directors on 30 October 2014. </w:t>
      </w:r>
    </w:p>
    <w:p w:rsidR="001B3726" w:rsidRPr="00374724" w:rsidRDefault="001B3726" w:rsidP="00017C2E">
      <w:pPr>
        <w:pStyle w:val="NoSpacing"/>
      </w:pPr>
      <w:r>
        <w:t>FINANCIAL CALENDAR</w:t>
      </w:r>
    </w:p>
    <w:p w:rsidR="00DC0AD3" w:rsidRPr="00374724" w:rsidRDefault="00694A06" w:rsidP="00DC0AD3">
      <w:pPr>
        <w:pStyle w:val="Heading2"/>
        <w:spacing w:after="360"/>
        <w:ind w:left="357" w:hanging="357"/>
      </w:pPr>
      <w:r>
        <w:t>Financial statement for the fourth quarter of 2014 – 05.02.201</w:t>
      </w:r>
      <w:r w:rsidR="00340782">
        <w:t>5</w:t>
      </w:r>
      <w:r>
        <w:t xml:space="preserve"> </w:t>
      </w:r>
    </w:p>
    <w:p w:rsidR="001B3726" w:rsidRPr="00374724" w:rsidRDefault="001B3726" w:rsidP="00197D62">
      <w:pPr>
        <w:pStyle w:val="NoSpacing"/>
      </w:pPr>
      <w:r>
        <w:t>FOR FURTHER INFORMATION PLEASE CONTACT:</w:t>
      </w:r>
    </w:p>
    <w:p w:rsidR="001B3726" w:rsidRPr="00374724" w:rsidRDefault="001B3726" w:rsidP="001B0C29">
      <w:pPr>
        <w:pStyle w:val="Heading2"/>
      </w:pPr>
      <w:r>
        <w:t xml:space="preserve">Björgólfur Jóhannsson, CEO </w:t>
      </w:r>
      <w:r w:rsidR="00340782">
        <w:t xml:space="preserve">and President </w:t>
      </w:r>
      <w:r>
        <w:t xml:space="preserve">of Icelandair Group, </w:t>
      </w:r>
      <w:proofErr w:type="spellStart"/>
      <w:r>
        <w:t>tel</w:t>
      </w:r>
      <w:proofErr w:type="spellEnd"/>
      <w:r>
        <w:t xml:space="preserve">: </w:t>
      </w:r>
      <w:r w:rsidR="00340782">
        <w:t xml:space="preserve">+354 </w:t>
      </w:r>
      <w:r>
        <w:t>896-1455</w:t>
      </w:r>
    </w:p>
    <w:p w:rsidR="001B3726" w:rsidRPr="00374724" w:rsidRDefault="001B3726" w:rsidP="001B0C29">
      <w:pPr>
        <w:pStyle w:val="Heading2"/>
      </w:pPr>
      <w:r>
        <w:t xml:space="preserve">Bogi Nils Bogason, Chief Financial Officer of Icelandair Group, </w:t>
      </w:r>
      <w:proofErr w:type="spellStart"/>
      <w:r>
        <w:t>tel</w:t>
      </w:r>
      <w:proofErr w:type="spellEnd"/>
      <w:r>
        <w:t xml:space="preserve">: </w:t>
      </w:r>
      <w:r w:rsidR="00340782">
        <w:t xml:space="preserve">+354 </w:t>
      </w:r>
      <w:r>
        <w:t>665-8801</w:t>
      </w:r>
    </w:p>
    <w:p w:rsidR="00905AFD" w:rsidRDefault="00905AFD"/>
    <w:sectPr w:rsidR="00905AF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1F" w:rsidRDefault="00C91F1F" w:rsidP="004736EF">
      <w:pPr>
        <w:spacing w:after="0" w:line="240" w:lineRule="auto"/>
      </w:pPr>
      <w:r>
        <w:separator/>
      </w:r>
    </w:p>
  </w:endnote>
  <w:endnote w:type="continuationSeparator" w:id="0">
    <w:p w:rsidR="00C91F1F" w:rsidRDefault="00C91F1F" w:rsidP="0047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406646"/>
      <w:docPartObj>
        <w:docPartGallery w:val="Page Numbers (Bottom of Page)"/>
        <w:docPartUnique/>
      </w:docPartObj>
    </w:sdtPr>
    <w:sdtEndPr>
      <w:rPr>
        <w:noProof/>
      </w:rPr>
    </w:sdtEndPr>
    <w:sdtContent>
      <w:p w:rsidR="00C91F1F" w:rsidRDefault="00C91F1F">
        <w:pPr>
          <w:pStyle w:val="Footer"/>
          <w:jc w:val="right"/>
        </w:pPr>
        <w:r>
          <w:fldChar w:fldCharType="begin"/>
        </w:r>
        <w:r>
          <w:instrText>PAGE   \* MERGEFORMAT</w:instrText>
        </w:r>
        <w:r>
          <w:fldChar w:fldCharType="separate"/>
        </w:r>
        <w:r w:rsidR="003C1BC7">
          <w:rPr>
            <w:noProof/>
          </w:rPr>
          <w:t>2</w:t>
        </w:r>
        <w:r>
          <w:rPr>
            <w:noProof/>
          </w:rPr>
          <w:fldChar w:fldCharType="end"/>
        </w:r>
      </w:p>
    </w:sdtContent>
  </w:sdt>
  <w:p w:rsidR="00C91F1F" w:rsidRDefault="00C91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1F" w:rsidRDefault="00C91F1F" w:rsidP="004736EF">
      <w:pPr>
        <w:spacing w:after="0" w:line="240" w:lineRule="auto"/>
      </w:pPr>
      <w:r>
        <w:separator/>
      </w:r>
    </w:p>
  </w:footnote>
  <w:footnote w:type="continuationSeparator" w:id="0">
    <w:p w:rsidR="00C91F1F" w:rsidRDefault="00C91F1F" w:rsidP="00473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1F" w:rsidRDefault="00C91F1F">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3187"/>
    </w:tblGrid>
    <w:tr w:rsidR="00C91F1F" w:rsidTr="006B67FE">
      <w:tc>
        <w:tcPr>
          <w:tcW w:w="6345" w:type="dxa"/>
        </w:tcPr>
        <w:p w:rsidR="00C91F1F" w:rsidRPr="001B4763" w:rsidRDefault="00C91F1F" w:rsidP="00EB2A6D">
          <w:pPr>
            <w:pStyle w:val="Header"/>
            <w:rPr>
              <w:rFonts w:cs="Arial"/>
              <w:sz w:val="18"/>
              <w:szCs w:val="18"/>
            </w:rPr>
          </w:pPr>
          <w:r>
            <w:rPr>
              <w:sz w:val="18"/>
            </w:rPr>
            <w:t xml:space="preserve">30 October 2014 </w:t>
          </w:r>
          <w:r>
            <w:rPr>
              <w:color w:val="E8AF27"/>
              <w:sz w:val="18"/>
            </w:rPr>
            <w:t>|</w:t>
          </w:r>
          <w:r>
            <w:rPr>
              <w:sz w:val="18"/>
            </w:rPr>
            <w:t xml:space="preserve"> Icelandair Group Interim Report </w:t>
          </w:r>
        </w:p>
      </w:tc>
      <w:tc>
        <w:tcPr>
          <w:tcW w:w="3231" w:type="dxa"/>
        </w:tcPr>
        <w:p w:rsidR="00C91F1F" w:rsidRDefault="00C91F1F" w:rsidP="006B67FE">
          <w:pPr>
            <w:pStyle w:val="Header"/>
            <w:jc w:val="right"/>
          </w:pPr>
          <w:r>
            <w:rPr>
              <w:noProof/>
              <w:lang w:val="is-IS" w:eastAsia="is-IS" w:bidi="ar-SA"/>
            </w:rPr>
            <w:drawing>
              <wp:inline distT="0" distB="0" distL="0" distR="0" wp14:anchorId="6B4EEDF8" wp14:editId="4E0C361C">
                <wp:extent cx="1267768" cy="318053"/>
                <wp:effectExtent l="19050" t="0" r="8582"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269205" cy="318413"/>
                        </a:xfrm>
                        <a:prstGeom prst="rect">
                          <a:avLst/>
                        </a:prstGeom>
                        <a:noFill/>
                        <a:ln w="9525">
                          <a:noFill/>
                          <a:miter lim="800000"/>
                          <a:headEnd/>
                          <a:tailEnd/>
                        </a:ln>
                      </pic:spPr>
                    </pic:pic>
                  </a:graphicData>
                </a:graphic>
              </wp:inline>
            </w:drawing>
          </w:r>
        </w:p>
      </w:tc>
    </w:tr>
  </w:tbl>
  <w:p w:rsidR="00C91F1F" w:rsidRDefault="00C91F1F">
    <w:pPr>
      <w:pStyle w:val="Header"/>
    </w:pPr>
  </w:p>
  <w:p w:rsidR="00C91F1F" w:rsidRDefault="00C91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447FC"/>
    <w:multiLevelType w:val="hybridMultilevel"/>
    <w:tmpl w:val="F184D6F2"/>
    <w:lvl w:ilvl="0" w:tplc="180E2118">
      <w:start w:val="1"/>
      <w:numFmt w:val="bullet"/>
      <w:pStyle w:val="Heading2"/>
      <w:lvlText w:val="ǀ"/>
      <w:lvlJc w:val="left"/>
      <w:pPr>
        <w:ind w:left="360" w:hanging="360"/>
      </w:pPr>
      <w:rPr>
        <w:rFonts w:ascii="Cambria" w:hAnsi="Cambria" w:hint="default"/>
        <w:color w:val="E8AF27"/>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26"/>
    <w:rsid w:val="00001BDD"/>
    <w:rsid w:val="000030AB"/>
    <w:rsid w:val="000031FB"/>
    <w:rsid w:val="000105B9"/>
    <w:rsid w:val="00017C2E"/>
    <w:rsid w:val="000244AA"/>
    <w:rsid w:val="00024591"/>
    <w:rsid w:val="00033F06"/>
    <w:rsid w:val="00035D62"/>
    <w:rsid w:val="00035FC0"/>
    <w:rsid w:val="0003652D"/>
    <w:rsid w:val="00042809"/>
    <w:rsid w:val="00043387"/>
    <w:rsid w:val="000473E0"/>
    <w:rsid w:val="00050A08"/>
    <w:rsid w:val="00056538"/>
    <w:rsid w:val="00056B56"/>
    <w:rsid w:val="00072236"/>
    <w:rsid w:val="000752B6"/>
    <w:rsid w:val="00090A66"/>
    <w:rsid w:val="00094B13"/>
    <w:rsid w:val="000B0D0A"/>
    <w:rsid w:val="000B3CFF"/>
    <w:rsid w:val="000B3DEA"/>
    <w:rsid w:val="000B496E"/>
    <w:rsid w:val="000B6B74"/>
    <w:rsid w:val="000C6A44"/>
    <w:rsid w:val="000D06E6"/>
    <w:rsid w:val="000D14CD"/>
    <w:rsid w:val="000D4BBC"/>
    <w:rsid w:val="000E0B01"/>
    <w:rsid w:val="000E0C81"/>
    <w:rsid w:val="000E42E3"/>
    <w:rsid w:val="000E7E4A"/>
    <w:rsid w:val="000F0B3A"/>
    <w:rsid w:val="000F2718"/>
    <w:rsid w:val="000F4267"/>
    <w:rsid w:val="000F77BA"/>
    <w:rsid w:val="0010165C"/>
    <w:rsid w:val="00102837"/>
    <w:rsid w:val="00105064"/>
    <w:rsid w:val="00110974"/>
    <w:rsid w:val="00113C70"/>
    <w:rsid w:val="00124707"/>
    <w:rsid w:val="001311F9"/>
    <w:rsid w:val="00132C34"/>
    <w:rsid w:val="00141F58"/>
    <w:rsid w:val="00150D79"/>
    <w:rsid w:val="0015151E"/>
    <w:rsid w:val="0015166E"/>
    <w:rsid w:val="00162561"/>
    <w:rsid w:val="001713FE"/>
    <w:rsid w:val="001823F4"/>
    <w:rsid w:val="0018581D"/>
    <w:rsid w:val="00186FFF"/>
    <w:rsid w:val="00191C0A"/>
    <w:rsid w:val="00197D62"/>
    <w:rsid w:val="001A0A77"/>
    <w:rsid w:val="001A1EBA"/>
    <w:rsid w:val="001A397E"/>
    <w:rsid w:val="001B0742"/>
    <w:rsid w:val="001B0C29"/>
    <w:rsid w:val="001B160C"/>
    <w:rsid w:val="001B3726"/>
    <w:rsid w:val="001B4BCD"/>
    <w:rsid w:val="001B62D0"/>
    <w:rsid w:val="001C7A2A"/>
    <w:rsid w:val="001D42A4"/>
    <w:rsid w:val="001D7E0A"/>
    <w:rsid w:val="001E3354"/>
    <w:rsid w:val="001E390D"/>
    <w:rsid w:val="001E53B0"/>
    <w:rsid w:val="001F1980"/>
    <w:rsid w:val="001F19DC"/>
    <w:rsid w:val="001F276B"/>
    <w:rsid w:val="001F34A2"/>
    <w:rsid w:val="00201C45"/>
    <w:rsid w:val="00205718"/>
    <w:rsid w:val="00205A70"/>
    <w:rsid w:val="00206326"/>
    <w:rsid w:val="00206EC1"/>
    <w:rsid w:val="002121F8"/>
    <w:rsid w:val="0021494D"/>
    <w:rsid w:val="002149E3"/>
    <w:rsid w:val="002244D3"/>
    <w:rsid w:val="0023057F"/>
    <w:rsid w:val="00231D65"/>
    <w:rsid w:val="00234F22"/>
    <w:rsid w:val="00236079"/>
    <w:rsid w:val="00252A57"/>
    <w:rsid w:val="00256679"/>
    <w:rsid w:val="00257815"/>
    <w:rsid w:val="002602C5"/>
    <w:rsid w:val="00264526"/>
    <w:rsid w:val="002657FA"/>
    <w:rsid w:val="002658C7"/>
    <w:rsid w:val="0027019C"/>
    <w:rsid w:val="00273E21"/>
    <w:rsid w:val="0028026D"/>
    <w:rsid w:val="00284568"/>
    <w:rsid w:val="00291928"/>
    <w:rsid w:val="0029658C"/>
    <w:rsid w:val="002967B0"/>
    <w:rsid w:val="0029714B"/>
    <w:rsid w:val="002A04C5"/>
    <w:rsid w:val="002A1622"/>
    <w:rsid w:val="002A658A"/>
    <w:rsid w:val="002C25C1"/>
    <w:rsid w:val="002C6117"/>
    <w:rsid w:val="002D0575"/>
    <w:rsid w:val="002D62B4"/>
    <w:rsid w:val="002E018A"/>
    <w:rsid w:val="002E196D"/>
    <w:rsid w:val="002E3667"/>
    <w:rsid w:val="002E4DA1"/>
    <w:rsid w:val="002E7F8F"/>
    <w:rsid w:val="002F07D8"/>
    <w:rsid w:val="002F5703"/>
    <w:rsid w:val="00300C0B"/>
    <w:rsid w:val="0030143A"/>
    <w:rsid w:val="00313A8B"/>
    <w:rsid w:val="003178A9"/>
    <w:rsid w:val="003213ED"/>
    <w:rsid w:val="00324358"/>
    <w:rsid w:val="00331EB9"/>
    <w:rsid w:val="00340782"/>
    <w:rsid w:val="003443E6"/>
    <w:rsid w:val="003508EA"/>
    <w:rsid w:val="00350A12"/>
    <w:rsid w:val="00353DEF"/>
    <w:rsid w:val="00354636"/>
    <w:rsid w:val="00361B60"/>
    <w:rsid w:val="0036246D"/>
    <w:rsid w:val="0036752C"/>
    <w:rsid w:val="00374724"/>
    <w:rsid w:val="003751F0"/>
    <w:rsid w:val="00386C26"/>
    <w:rsid w:val="003A6B38"/>
    <w:rsid w:val="003B1BD4"/>
    <w:rsid w:val="003B4595"/>
    <w:rsid w:val="003B6767"/>
    <w:rsid w:val="003B6D4C"/>
    <w:rsid w:val="003B7497"/>
    <w:rsid w:val="003C1BC7"/>
    <w:rsid w:val="003C4F2D"/>
    <w:rsid w:val="003C5298"/>
    <w:rsid w:val="003D4550"/>
    <w:rsid w:val="003E24BC"/>
    <w:rsid w:val="003E3DFC"/>
    <w:rsid w:val="003E535F"/>
    <w:rsid w:val="003E64BC"/>
    <w:rsid w:val="003F2FA7"/>
    <w:rsid w:val="003F5E6B"/>
    <w:rsid w:val="003F6553"/>
    <w:rsid w:val="00402336"/>
    <w:rsid w:val="00416D1F"/>
    <w:rsid w:val="00417B2A"/>
    <w:rsid w:val="00420739"/>
    <w:rsid w:val="00423F07"/>
    <w:rsid w:val="004240BA"/>
    <w:rsid w:val="00425E45"/>
    <w:rsid w:val="00427631"/>
    <w:rsid w:val="00427DBA"/>
    <w:rsid w:val="004305BA"/>
    <w:rsid w:val="00430F48"/>
    <w:rsid w:val="00432787"/>
    <w:rsid w:val="00434520"/>
    <w:rsid w:val="004404FD"/>
    <w:rsid w:val="00440BFF"/>
    <w:rsid w:val="00441F76"/>
    <w:rsid w:val="004433A8"/>
    <w:rsid w:val="004478C4"/>
    <w:rsid w:val="004736EF"/>
    <w:rsid w:val="00475EAA"/>
    <w:rsid w:val="00476785"/>
    <w:rsid w:val="00483FDE"/>
    <w:rsid w:val="00494555"/>
    <w:rsid w:val="00497252"/>
    <w:rsid w:val="004A0868"/>
    <w:rsid w:val="004B19F6"/>
    <w:rsid w:val="004B3918"/>
    <w:rsid w:val="004C4293"/>
    <w:rsid w:val="004C4399"/>
    <w:rsid w:val="004D0675"/>
    <w:rsid w:val="004D2EB0"/>
    <w:rsid w:val="004D2FC6"/>
    <w:rsid w:val="004E3BAF"/>
    <w:rsid w:val="004F3A5F"/>
    <w:rsid w:val="004F4138"/>
    <w:rsid w:val="004F6210"/>
    <w:rsid w:val="005166E5"/>
    <w:rsid w:val="00522013"/>
    <w:rsid w:val="00525FA1"/>
    <w:rsid w:val="00534E87"/>
    <w:rsid w:val="00552080"/>
    <w:rsid w:val="00552347"/>
    <w:rsid w:val="005625BA"/>
    <w:rsid w:val="005630D2"/>
    <w:rsid w:val="0056568A"/>
    <w:rsid w:val="00565E08"/>
    <w:rsid w:val="00570FD4"/>
    <w:rsid w:val="00587B26"/>
    <w:rsid w:val="005A0630"/>
    <w:rsid w:val="005A4266"/>
    <w:rsid w:val="005A6900"/>
    <w:rsid w:val="005B5B78"/>
    <w:rsid w:val="005B5C9C"/>
    <w:rsid w:val="005C08AF"/>
    <w:rsid w:val="005C095E"/>
    <w:rsid w:val="005C1D67"/>
    <w:rsid w:val="005C1EF0"/>
    <w:rsid w:val="005C2F7E"/>
    <w:rsid w:val="005C734F"/>
    <w:rsid w:val="005D3FCF"/>
    <w:rsid w:val="005E2CF9"/>
    <w:rsid w:val="005E4334"/>
    <w:rsid w:val="005F2BC5"/>
    <w:rsid w:val="005F5250"/>
    <w:rsid w:val="005F5D41"/>
    <w:rsid w:val="00603552"/>
    <w:rsid w:val="0061184A"/>
    <w:rsid w:val="006156D8"/>
    <w:rsid w:val="006250D4"/>
    <w:rsid w:val="00627DA8"/>
    <w:rsid w:val="00633050"/>
    <w:rsid w:val="00636AB4"/>
    <w:rsid w:val="00640F39"/>
    <w:rsid w:val="00646CAB"/>
    <w:rsid w:val="0064763F"/>
    <w:rsid w:val="00652BA2"/>
    <w:rsid w:val="00652F52"/>
    <w:rsid w:val="00663042"/>
    <w:rsid w:val="00664C02"/>
    <w:rsid w:val="00665D3E"/>
    <w:rsid w:val="00670B19"/>
    <w:rsid w:val="006718E8"/>
    <w:rsid w:val="00672AF9"/>
    <w:rsid w:val="0067551A"/>
    <w:rsid w:val="006836AD"/>
    <w:rsid w:val="00693474"/>
    <w:rsid w:val="006943A2"/>
    <w:rsid w:val="00694A06"/>
    <w:rsid w:val="0069568D"/>
    <w:rsid w:val="006958F2"/>
    <w:rsid w:val="006A57DF"/>
    <w:rsid w:val="006A6DA0"/>
    <w:rsid w:val="006B3F9B"/>
    <w:rsid w:val="006B67FE"/>
    <w:rsid w:val="006C141F"/>
    <w:rsid w:val="006C1994"/>
    <w:rsid w:val="006C19D9"/>
    <w:rsid w:val="006C5C64"/>
    <w:rsid w:val="006D4B28"/>
    <w:rsid w:val="006D53A2"/>
    <w:rsid w:val="006E3A9D"/>
    <w:rsid w:val="006F0EBA"/>
    <w:rsid w:val="006F53E3"/>
    <w:rsid w:val="00706BA2"/>
    <w:rsid w:val="00710081"/>
    <w:rsid w:val="0071241B"/>
    <w:rsid w:val="00714DD9"/>
    <w:rsid w:val="0072001E"/>
    <w:rsid w:val="00721E82"/>
    <w:rsid w:val="007320BB"/>
    <w:rsid w:val="00734327"/>
    <w:rsid w:val="00740D29"/>
    <w:rsid w:val="00741243"/>
    <w:rsid w:val="00745022"/>
    <w:rsid w:val="007456CE"/>
    <w:rsid w:val="00752EA4"/>
    <w:rsid w:val="00753FAB"/>
    <w:rsid w:val="00754B6F"/>
    <w:rsid w:val="00756BD6"/>
    <w:rsid w:val="0075792F"/>
    <w:rsid w:val="00757F4F"/>
    <w:rsid w:val="007604D5"/>
    <w:rsid w:val="00766713"/>
    <w:rsid w:val="00766870"/>
    <w:rsid w:val="00767193"/>
    <w:rsid w:val="00776BB5"/>
    <w:rsid w:val="00783922"/>
    <w:rsid w:val="0078747C"/>
    <w:rsid w:val="0079368C"/>
    <w:rsid w:val="00793E2F"/>
    <w:rsid w:val="00795BDD"/>
    <w:rsid w:val="007A4111"/>
    <w:rsid w:val="007B3B05"/>
    <w:rsid w:val="007C246A"/>
    <w:rsid w:val="007C79DE"/>
    <w:rsid w:val="007D6BD9"/>
    <w:rsid w:val="007D7980"/>
    <w:rsid w:val="007E727D"/>
    <w:rsid w:val="007F4115"/>
    <w:rsid w:val="00806BBA"/>
    <w:rsid w:val="008102F5"/>
    <w:rsid w:val="00811267"/>
    <w:rsid w:val="00813A87"/>
    <w:rsid w:val="00815B0C"/>
    <w:rsid w:val="008251E7"/>
    <w:rsid w:val="0084480B"/>
    <w:rsid w:val="0085174A"/>
    <w:rsid w:val="00851946"/>
    <w:rsid w:val="0085259E"/>
    <w:rsid w:val="00852D4C"/>
    <w:rsid w:val="00862E3D"/>
    <w:rsid w:val="008716A0"/>
    <w:rsid w:val="008776D7"/>
    <w:rsid w:val="00882958"/>
    <w:rsid w:val="008B4E1D"/>
    <w:rsid w:val="008B6A9E"/>
    <w:rsid w:val="008C2733"/>
    <w:rsid w:val="008C4A9A"/>
    <w:rsid w:val="008C6C08"/>
    <w:rsid w:val="008C70A9"/>
    <w:rsid w:val="008D003C"/>
    <w:rsid w:val="008E089E"/>
    <w:rsid w:val="008E2597"/>
    <w:rsid w:val="008E366E"/>
    <w:rsid w:val="008E3D40"/>
    <w:rsid w:val="008F55C0"/>
    <w:rsid w:val="00905AFD"/>
    <w:rsid w:val="00906F5E"/>
    <w:rsid w:val="009156D3"/>
    <w:rsid w:val="0093159B"/>
    <w:rsid w:val="0093168C"/>
    <w:rsid w:val="0093516D"/>
    <w:rsid w:val="009358AE"/>
    <w:rsid w:val="00944C89"/>
    <w:rsid w:val="009552BB"/>
    <w:rsid w:val="00977CEF"/>
    <w:rsid w:val="0098520E"/>
    <w:rsid w:val="00991011"/>
    <w:rsid w:val="00994DA3"/>
    <w:rsid w:val="00996C55"/>
    <w:rsid w:val="009A24E5"/>
    <w:rsid w:val="009A7A68"/>
    <w:rsid w:val="009C2A6E"/>
    <w:rsid w:val="009C46CC"/>
    <w:rsid w:val="009C5508"/>
    <w:rsid w:val="009C757A"/>
    <w:rsid w:val="009C7C00"/>
    <w:rsid w:val="009F54CF"/>
    <w:rsid w:val="00A01AB1"/>
    <w:rsid w:val="00A04926"/>
    <w:rsid w:val="00A06BA0"/>
    <w:rsid w:val="00A101A3"/>
    <w:rsid w:val="00A12C1F"/>
    <w:rsid w:val="00A15E3E"/>
    <w:rsid w:val="00A209EA"/>
    <w:rsid w:val="00A2154A"/>
    <w:rsid w:val="00A22F11"/>
    <w:rsid w:val="00A23033"/>
    <w:rsid w:val="00A24F05"/>
    <w:rsid w:val="00A25B36"/>
    <w:rsid w:val="00A337BC"/>
    <w:rsid w:val="00A360DF"/>
    <w:rsid w:val="00A44B83"/>
    <w:rsid w:val="00A45142"/>
    <w:rsid w:val="00A537CD"/>
    <w:rsid w:val="00A60FA6"/>
    <w:rsid w:val="00A6232F"/>
    <w:rsid w:val="00A63037"/>
    <w:rsid w:val="00A63748"/>
    <w:rsid w:val="00A63ED6"/>
    <w:rsid w:val="00A641B8"/>
    <w:rsid w:val="00A7001F"/>
    <w:rsid w:val="00A710D6"/>
    <w:rsid w:val="00A825DD"/>
    <w:rsid w:val="00A83F65"/>
    <w:rsid w:val="00A933F1"/>
    <w:rsid w:val="00A94E8B"/>
    <w:rsid w:val="00A97F9E"/>
    <w:rsid w:val="00AA0C41"/>
    <w:rsid w:val="00AA2860"/>
    <w:rsid w:val="00AA3B44"/>
    <w:rsid w:val="00AC1C97"/>
    <w:rsid w:val="00AD10BD"/>
    <w:rsid w:val="00AD1A40"/>
    <w:rsid w:val="00AD394F"/>
    <w:rsid w:val="00AD3D00"/>
    <w:rsid w:val="00AD72C8"/>
    <w:rsid w:val="00AE683D"/>
    <w:rsid w:val="00AF451D"/>
    <w:rsid w:val="00B044D3"/>
    <w:rsid w:val="00B04A9D"/>
    <w:rsid w:val="00B119FC"/>
    <w:rsid w:val="00B14A3C"/>
    <w:rsid w:val="00B26140"/>
    <w:rsid w:val="00B321A3"/>
    <w:rsid w:val="00B338CF"/>
    <w:rsid w:val="00B348D0"/>
    <w:rsid w:val="00B35FCC"/>
    <w:rsid w:val="00B43EDD"/>
    <w:rsid w:val="00B4541E"/>
    <w:rsid w:val="00B568BC"/>
    <w:rsid w:val="00B56A3E"/>
    <w:rsid w:val="00B63F60"/>
    <w:rsid w:val="00B64017"/>
    <w:rsid w:val="00B70D69"/>
    <w:rsid w:val="00B76806"/>
    <w:rsid w:val="00B8174C"/>
    <w:rsid w:val="00B9080A"/>
    <w:rsid w:val="00B94BDC"/>
    <w:rsid w:val="00B94C7F"/>
    <w:rsid w:val="00B95CFF"/>
    <w:rsid w:val="00BA0922"/>
    <w:rsid w:val="00BA731D"/>
    <w:rsid w:val="00BB4134"/>
    <w:rsid w:val="00BC55AD"/>
    <w:rsid w:val="00BF08D3"/>
    <w:rsid w:val="00C01ED9"/>
    <w:rsid w:val="00C11579"/>
    <w:rsid w:val="00C14EBA"/>
    <w:rsid w:val="00C26728"/>
    <w:rsid w:val="00C27FDB"/>
    <w:rsid w:val="00C326D4"/>
    <w:rsid w:val="00C32D59"/>
    <w:rsid w:val="00C44378"/>
    <w:rsid w:val="00C55E90"/>
    <w:rsid w:val="00C744AA"/>
    <w:rsid w:val="00C77658"/>
    <w:rsid w:val="00C853EE"/>
    <w:rsid w:val="00C91F1F"/>
    <w:rsid w:val="00C97B7D"/>
    <w:rsid w:val="00CA17CB"/>
    <w:rsid w:val="00CA2A84"/>
    <w:rsid w:val="00CB1ACE"/>
    <w:rsid w:val="00CB6A89"/>
    <w:rsid w:val="00CB6E3E"/>
    <w:rsid w:val="00CC1042"/>
    <w:rsid w:val="00CC7189"/>
    <w:rsid w:val="00CD2BD8"/>
    <w:rsid w:val="00CF443B"/>
    <w:rsid w:val="00CF4EDF"/>
    <w:rsid w:val="00D020D5"/>
    <w:rsid w:val="00D02DDD"/>
    <w:rsid w:val="00D0394E"/>
    <w:rsid w:val="00D1562A"/>
    <w:rsid w:val="00D17759"/>
    <w:rsid w:val="00D22B91"/>
    <w:rsid w:val="00D23D53"/>
    <w:rsid w:val="00D2554C"/>
    <w:rsid w:val="00D314BA"/>
    <w:rsid w:val="00D404C4"/>
    <w:rsid w:val="00D43E25"/>
    <w:rsid w:val="00D5065F"/>
    <w:rsid w:val="00D6208C"/>
    <w:rsid w:val="00D63B91"/>
    <w:rsid w:val="00D6616E"/>
    <w:rsid w:val="00D72B73"/>
    <w:rsid w:val="00D74FC8"/>
    <w:rsid w:val="00D81EBE"/>
    <w:rsid w:val="00D85A93"/>
    <w:rsid w:val="00D902E5"/>
    <w:rsid w:val="00D9036B"/>
    <w:rsid w:val="00D9118A"/>
    <w:rsid w:val="00D92955"/>
    <w:rsid w:val="00D940A7"/>
    <w:rsid w:val="00D95528"/>
    <w:rsid w:val="00D96D53"/>
    <w:rsid w:val="00DB3045"/>
    <w:rsid w:val="00DB551D"/>
    <w:rsid w:val="00DC0AD3"/>
    <w:rsid w:val="00DD71F4"/>
    <w:rsid w:val="00DE08C8"/>
    <w:rsid w:val="00DE7301"/>
    <w:rsid w:val="00DF6582"/>
    <w:rsid w:val="00DF68B2"/>
    <w:rsid w:val="00E10120"/>
    <w:rsid w:val="00E14949"/>
    <w:rsid w:val="00E16E47"/>
    <w:rsid w:val="00E23D3F"/>
    <w:rsid w:val="00E37DDB"/>
    <w:rsid w:val="00E4137B"/>
    <w:rsid w:val="00E455C6"/>
    <w:rsid w:val="00E45760"/>
    <w:rsid w:val="00E52FCA"/>
    <w:rsid w:val="00E54AFF"/>
    <w:rsid w:val="00E6672B"/>
    <w:rsid w:val="00E74A8C"/>
    <w:rsid w:val="00E75D4E"/>
    <w:rsid w:val="00E77D91"/>
    <w:rsid w:val="00E86731"/>
    <w:rsid w:val="00E91F02"/>
    <w:rsid w:val="00EB2A6D"/>
    <w:rsid w:val="00EB7706"/>
    <w:rsid w:val="00EC02A0"/>
    <w:rsid w:val="00EC23EE"/>
    <w:rsid w:val="00EE01B4"/>
    <w:rsid w:val="00EE2285"/>
    <w:rsid w:val="00EE77BB"/>
    <w:rsid w:val="00EF31D6"/>
    <w:rsid w:val="00EF3538"/>
    <w:rsid w:val="00F301B8"/>
    <w:rsid w:val="00F36538"/>
    <w:rsid w:val="00F442B1"/>
    <w:rsid w:val="00F44BFC"/>
    <w:rsid w:val="00F477E8"/>
    <w:rsid w:val="00F57843"/>
    <w:rsid w:val="00F632F1"/>
    <w:rsid w:val="00F70951"/>
    <w:rsid w:val="00F810E9"/>
    <w:rsid w:val="00F86739"/>
    <w:rsid w:val="00F9041A"/>
    <w:rsid w:val="00F9112C"/>
    <w:rsid w:val="00F932E9"/>
    <w:rsid w:val="00F94E10"/>
    <w:rsid w:val="00F97530"/>
    <w:rsid w:val="00FA52E7"/>
    <w:rsid w:val="00FA6301"/>
    <w:rsid w:val="00FB0C9B"/>
    <w:rsid w:val="00FB253E"/>
    <w:rsid w:val="00FB73C8"/>
    <w:rsid w:val="00FC2236"/>
    <w:rsid w:val="00FC677A"/>
    <w:rsid w:val="00FC6BB4"/>
    <w:rsid w:val="00FD15CC"/>
    <w:rsid w:val="00FF1BC1"/>
    <w:rsid w:val="00FF4687"/>
    <w:rsid w:val="00FF609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i"/>
    <w:qFormat/>
    <w:rsid w:val="005D3FCF"/>
    <w:pPr>
      <w:spacing w:after="240"/>
      <w:jc w:val="both"/>
    </w:pPr>
    <w:rPr>
      <w:rFonts w:ascii="Arial" w:hAnsi="Arial"/>
      <w:color w:val="595959" w:themeColor="text1" w:themeTint="A6"/>
      <w:sz w:val="20"/>
    </w:rPr>
  </w:style>
  <w:style w:type="paragraph" w:styleId="Heading1">
    <w:name w:val="heading 1"/>
    <w:aliases w:val="Upptalningar"/>
    <w:basedOn w:val="Normal"/>
    <w:next w:val="Normal"/>
    <w:link w:val="Heading1Char"/>
    <w:uiPriority w:val="9"/>
    <w:rsid w:val="004F41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Upptalning"/>
    <w:basedOn w:val="Normal"/>
    <w:next w:val="Normal"/>
    <w:link w:val="Heading2Char"/>
    <w:uiPriority w:val="9"/>
    <w:unhideWhenUsed/>
    <w:qFormat/>
    <w:rsid w:val="00D85A93"/>
    <w:pPr>
      <w:keepNext/>
      <w:keepLines/>
      <w:numPr>
        <w:numId w:val="1"/>
      </w:numPr>
      <w:spacing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Yfirskrift"/>
    <w:uiPriority w:val="1"/>
    <w:qFormat/>
    <w:rsid w:val="00197D62"/>
    <w:pPr>
      <w:pBdr>
        <w:bottom w:val="single" w:sz="8" w:space="1" w:color="E8AF27"/>
      </w:pBdr>
      <w:spacing w:before="480" w:after="240" w:line="240" w:lineRule="auto"/>
    </w:pPr>
    <w:rPr>
      <w:rFonts w:ascii="Arial" w:hAnsi="Arial"/>
      <w:b/>
      <w:caps/>
      <w:color w:val="595959" w:themeColor="text1" w:themeTint="A6"/>
      <w:sz w:val="20"/>
    </w:rPr>
  </w:style>
  <w:style w:type="character" w:customStyle="1" w:styleId="Heading1Char">
    <w:name w:val="Heading 1 Char"/>
    <w:aliases w:val="Upptalningar Char"/>
    <w:basedOn w:val="DefaultParagraphFont"/>
    <w:link w:val="Heading1"/>
    <w:uiPriority w:val="9"/>
    <w:rsid w:val="004F41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Upptalning Char"/>
    <w:basedOn w:val="DefaultParagraphFont"/>
    <w:link w:val="Heading2"/>
    <w:uiPriority w:val="9"/>
    <w:rsid w:val="00D85A93"/>
    <w:rPr>
      <w:rFonts w:ascii="Arial" w:eastAsiaTheme="majorEastAsia" w:hAnsi="Arial" w:cstheme="majorBidi"/>
      <w:b/>
      <w:bCs/>
      <w:color w:val="595959" w:themeColor="text1" w:themeTint="A6"/>
      <w:sz w:val="20"/>
      <w:szCs w:val="26"/>
    </w:rPr>
  </w:style>
  <w:style w:type="paragraph" w:styleId="BalloonText">
    <w:name w:val="Balloon Text"/>
    <w:basedOn w:val="Normal"/>
    <w:link w:val="BalloonTextChar"/>
    <w:uiPriority w:val="99"/>
    <w:semiHidden/>
    <w:unhideWhenUsed/>
    <w:rsid w:val="00670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B19"/>
    <w:rPr>
      <w:rFonts w:ascii="Tahoma" w:hAnsi="Tahoma" w:cs="Tahoma"/>
      <w:color w:val="595959" w:themeColor="text1" w:themeTint="A6"/>
      <w:sz w:val="16"/>
      <w:szCs w:val="16"/>
    </w:rPr>
  </w:style>
  <w:style w:type="paragraph" w:styleId="Header">
    <w:name w:val="header"/>
    <w:basedOn w:val="Normal"/>
    <w:link w:val="HeaderChar"/>
    <w:uiPriority w:val="99"/>
    <w:unhideWhenUsed/>
    <w:rsid w:val="00473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36EF"/>
    <w:rPr>
      <w:rFonts w:ascii="Arial" w:hAnsi="Arial"/>
      <w:color w:val="595959" w:themeColor="text1" w:themeTint="A6"/>
      <w:sz w:val="20"/>
      <w:lang w:val="en-GB"/>
    </w:rPr>
  </w:style>
  <w:style w:type="table" w:styleId="TableGrid">
    <w:name w:val="Table Grid"/>
    <w:basedOn w:val="TableNormal"/>
    <w:uiPriority w:val="59"/>
    <w:rsid w:val="004736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73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36EF"/>
    <w:rPr>
      <w:rFonts w:ascii="Arial" w:hAnsi="Arial"/>
      <w:color w:val="595959" w:themeColor="text1" w:themeTint="A6"/>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sid w:val="006B67FE"/>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6B67FE"/>
    <w:rPr>
      <w:b/>
      <w:bCs/>
    </w:rPr>
  </w:style>
  <w:style w:type="character" w:customStyle="1" w:styleId="CommentSubjectChar">
    <w:name w:val="Comment Subject Char"/>
    <w:basedOn w:val="CommentTextChar"/>
    <w:link w:val="CommentSubject"/>
    <w:uiPriority w:val="99"/>
    <w:semiHidden/>
    <w:rsid w:val="006B67FE"/>
    <w:rPr>
      <w:rFonts w:ascii="Arial" w:hAnsi="Arial"/>
      <w:b/>
      <w:bCs/>
      <w:color w:val="595959" w:themeColor="text1" w:themeTint="A6"/>
      <w:sz w:val="20"/>
      <w:szCs w:val="20"/>
    </w:rPr>
  </w:style>
  <w:style w:type="paragraph" w:styleId="NormalWeb">
    <w:name w:val="Normal (Web)"/>
    <w:basedOn w:val="Normal"/>
    <w:uiPriority w:val="99"/>
    <w:semiHidden/>
    <w:unhideWhenUsed/>
    <w:rsid w:val="001A397E"/>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1B16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i"/>
    <w:qFormat/>
    <w:rsid w:val="005D3FCF"/>
    <w:pPr>
      <w:spacing w:after="240"/>
      <w:jc w:val="both"/>
    </w:pPr>
    <w:rPr>
      <w:rFonts w:ascii="Arial" w:hAnsi="Arial"/>
      <w:color w:val="595959" w:themeColor="text1" w:themeTint="A6"/>
      <w:sz w:val="20"/>
    </w:rPr>
  </w:style>
  <w:style w:type="paragraph" w:styleId="Heading1">
    <w:name w:val="heading 1"/>
    <w:aliases w:val="Upptalningar"/>
    <w:basedOn w:val="Normal"/>
    <w:next w:val="Normal"/>
    <w:link w:val="Heading1Char"/>
    <w:uiPriority w:val="9"/>
    <w:rsid w:val="004F41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Upptalning"/>
    <w:basedOn w:val="Normal"/>
    <w:next w:val="Normal"/>
    <w:link w:val="Heading2Char"/>
    <w:uiPriority w:val="9"/>
    <w:unhideWhenUsed/>
    <w:qFormat/>
    <w:rsid w:val="00D85A93"/>
    <w:pPr>
      <w:keepNext/>
      <w:keepLines/>
      <w:numPr>
        <w:numId w:val="1"/>
      </w:numPr>
      <w:spacing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Yfirskrift"/>
    <w:uiPriority w:val="1"/>
    <w:qFormat/>
    <w:rsid w:val="00197D62"/>
    <w:pPr>
      <w:pBdr>
        <w:bottom w:val="single" w:sz="8" w:space="1" w:color="E8AF27"/>
      </w:pBdr>
      <w:spacing w:before="480" w:after="240" w:line="240" w:lineRule="auto"/>
    </w:pPr>
    <w:rPr>
      <w:rFonts w:ascii="Arial" w:hAnsi="Arial"/>
      <w:b/>
      <w:caps/>
      <w:color w:val="595959" w:themeColor="text1" w:themeTint="A6"/>
      <w:sz w:val="20"/>
    </w:rPr>
  </w:style>
  <w:style w:type="character" w:customStyle="1" w:styleId="Heading1Char">
    <w:name w:val="Heading 1 Char"/>
    <w:aliases w:val="Upptalningar Char"/>
    <w:basedOn w:val="DefaultParagraphFont"/>
    <w:link w:val="Heading1"/>
    <w:uiPriority w:val="9"/>
    <w:rsid w:val="004F41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Upptalning Char"/>
    <w:basedOn w:val="DefaultParagraphFont"/>
    <w:link w:val="Heading2"/>
    <w:uiPriority w:val="9"/>
    <w:rsid w:val="00D85A93"/>
    <w:rPr>
      <w:rFonts w:ascii="Arial" w:eastAsiaTheme="majorEastAsia" w:hAnsi="Arial" w:cstheme="majorBidi"/>
      <w:b/>
      <w:bCs/>
      <w:color w:val="595959" w:themeColor="text1" w:themeTint="A6"/>
      <w:sz w:val="20"/>
      <w:szCs w:val="26"/>
    </w:rPr>
  </w:style>
  <w:style w:type="paragraph" w:styleId="BalloonText">
    <w:name w:val="Balloon Text"/>
    <w:basedOn w:val="Normal"/>
    <w:link w:val="BalloonTextChar"/>
    <w:uiPriority w:val="99"/>
    <w:semiHidden/>
    <w:unhideWhenUsed/>
    <w:rsid w:val="00670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B19"/>
    <w:rPr>
      <w:rFonts w:ascii="Tahoma" w:hAnsi="Tahoma" w:cs="Tahoma"/>
      <w:color w:val="595959" w:themeColor="text1" w:themeTint="A6"/>
      <w:sz w:val="16"/>
      <w:szCs w:val="16"/>
    </w:rPr>
  </w:style>
  <w:style w:type="paragraph" w:styleId="Header">
    <w:name w:val="header"/>
    <w:basedOn w:val="Normal"/>
    <w:link w:val="HeaderChar"/>
    <w:uiPriority w:val="99"/>
    <w:unhideWhenUsed/>
    <w:rsid w:val="00473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36EF"/>
    <w:rPr>
      <w:rFonts w:ascii="Arial" w:hAnsi="Arial"/>
      <w:color w:val="595959" w:themeColor="text1" w:themeTint="A6"/>
      <w:sz w:val="20"/>
      <w:lang w:val="en-GB"/>
    </w:rPr>
  </w:style>
  <w:style w:type="table" w:styleId="TableGrid">
    <w:name w:val="Table Grid"/>
    <w:basedOn w:val="TableNormal"/>
    <w:uiPriority w:val="59"/>
    <w:rsid w:val="004736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73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36EF"/>
    <w:rPr>
      <w:rFonts w:ascii="Arial" w:hAnsi="Arial"/>
      <w:color w:val="595959" w:themeColor="text1" w:themeTint="A6"/>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sid w:val="006B67FE"/>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6B67FE"/>
    <w:rPr>
      <w:b/>
      <w:bCs/>
    </w:rPr>
  </w:style>
  <w:style w:type="character" w:customStyle="1" w:styleId="CommentSubjectChar">
    <w:name w:val="Comment Subject Char"/>
    <w:basedOn w:val="CommentTextChar"/>
    <w:link w:val="CommentSubject"/>
    <w:uiPriority w:val="99"/>
    <w:semiHidden/>
    <w:rsid w:val="006B67FE"/>
    <w:rPr>
      <w:rFonts w:ascii="Arial" w:hAnsi="Arial"/>
      <w:b/>
      <w:bCs/>
      <w:color w:val="595959" w:themeColor="text1" w:themeTint="A6"/>
      <w:sz w:val="20"/>
      <w:szCs w:val="20"/>
    </w:rPr>
  </w:style>
  <w:style w:type="paragraph" w:styleId="NormalWeb">
    <w:name w:val="Normal (Web)"/>
    <w:basedOn w:val="Normal"/>
    <w:uiPriority w:val="99"/>
    <w:semiHidden/>
    <w:unhideWhenUsed/>
    <w:rsid w:val="001A397E"/>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1B1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08">
      <w:bodyDiv w:val="1"/>
      <w:marLeft w:val="0"/>
      <w:marRight w:val="0"/>
      <w:marTop w:val="0"/>
      <w:marBottom w:val="0"/>
      <w:divBdr>
        <w:top w:val="none" w:sz="0" w:space="0" w:color="auto"/>
        <w:left w:val="none" w:sz="0" w:space="0" w:color="auto"/>
        <w:bottom w:val="none" w:sz="0" w:space="0" w:color="auto"/>
        <w:right w:val="none" w:sz="0" w:space="0" w:color="auto"/>
      </w:divBdr>
    </w:div>
    <w:div w:id="10380063">
      <w:bodyDiv w:val="1"/>
      <w:marLeft w:val="0"/>
      <w:marRight w:val="0"/>
      <w:marTop w:val="0"/>
      <w:marBottom w:val="0"/>
      <w:divBdr>
        <w:top w:val="none" w:sz="0" w:space="0" w:color="auto"/>
        <w:left w:val="none" w:sz="0" w:space="0" w:color="auto"/>
        <w:bottom w:val="none" w:sz="0" w:space="0" w:color="auto"/>
        <w:right w:val="none" w:sz="0" w:space="0" w:color="auto"/>
      </w:divBdr>
    </w:div>
    <w:div w:id="10959203">
      <w:bodyDiv w:val="1"/>
      <w:marLeft w:val="0"/>
      <w:marRight w:val="0"/>
      <w:marTop w:val="0"/>
      <w:marBottom w:val="0"/>
      <w:divBdr>
        <w:top w:val="none" w:sz="0" w:space="0" w:color="auto"/>
        <w:left w:val="none" w:sz="0" w:space="0" w:color="auto"/>
        <w:bottom w:val="none" w:sz="0" w:space="0" w:color="auto"/>
        <w:right w:val="none" w:sz="0" w:space="0" w:color="auto"/>
      </w:divBdr>
    </w:div>
    <w:div w:id="49499806">
      <w:bodyDiv w:val="1"/>
      <w:marLeft w:val="0"/>
      <w:marRight w:val="0"/>
      <w:marTop w:val="0"/>
      <w:marBottom w:val="0"/>
      <w:divBdr>
        <w:top w:val="none" w:sz="0" w:space="0" w:color="auto"/>
        <w:left w:val="none" w:sz="0" w:space="0" w:color="auto"/>
        <w:bottom w:val="none" w:sz="0" w:space="0" w:color="auto"/>
        <w:right w:val="none" w:sz="0" w:space="0" w:color="auto"/>
      </w:divBdr>
    </w:div>
    <w:div w:id="64648116">
      <w:bodyDiv w:val="1"/>
      <w:marLeft w:val="0"/>
      <w:marRight w:val="0"/>
      <w:marTop w:val="0"/>
      <w:marBottom w:val="0"/>
      <w:divBdr>
        <w:top w:val="none" w:sz="0" w:space="0" w:color="auto"/>
        <w:left w:val="none" w:sz="0" w:space="0" w:color="auto"/>
        <w:bottom w:val="none" w:sz="0" w:space="0" w:color="auto"/>
        <w:right w:val="none" w:sz="0" w:space="0" w:color="auto"/>
      </w:divBdr>
    </w:div>
    <w:div w:id="72971976">
      <w:bodyDiv w:val="1"/>
      <w:marLeft w:val="0"/>
      <w:marRight w:val="0"/>
      <w:marTop w:val="0"/>
      <w:marBottom w:val="0"/>
      <w:divBdr>
        <w:top w:val="none" w:sz="0" w:space="0" w:color="auto"/>
        <w:left w:val="none" w:sz="0" w:space="0" w:color="auto"/>
        <w:bottom w:val="none" w:sz="0" w:space="0" w:color="auto"/>
        <w:right w:val="none" w:sz="0" w:space="0" w:color="auto"/>
      </w:divBdr>
    </w:div>
    <w:div w:id="82146745">
      <w:bodyDiv w:val="1"/>
      <w:marLeft w:val="0"/>
      <w:marRight w:val="0"/>
      <w:marTop w:val="0"/>
      <w:marBottom w:val="0"/>
      <w:divBdr>
        <w:top w:val="none" w:sz="0" w:space="0" w:color="auto"/>
        <w:left w:val="none" w:sz="0" w:space="0" w:color="auto"/>
        <w:bottom w:val="none" w:sz="0" w:space="0" w:color="auto"/>
        <w:right w:val="none" w:sz="0" w:space="0" w:color="auto"/>
      </w:divBdr>
    </w:div>
    <w:div w:id="92212218">
      <w:bodyDiv w:val="1"/>
      <w:marLeft w:val="0"/>
      <w:marRight w:val="0"/>
      <w:marTop w:val="0"/>
      <w:marBottom w:val="0"/>
      <w:divBdr>
        <w:top w:val="none" w:sz="0" w:space="0" w:color="auto"/>
        <w:left w:val="none" w:sz="0" w:space="0" w:color="auto"/>
        <w:bottom w:val="none" w:sz="0" w:space="0" w:color="auto"/>
        <w:right w:val="none" w:sz="0" w:space="0" w:color="auto"/>
      </w:divBdr>
    </w:div>
    <w:div w:id="129835190">
      <w:bodyDiv w:val="1"/>
      <w:marLeft w:val="0"/>
      <w:marRight w:val="0"/>
      <w:marTop w:val="0"/>
      <w:marBottom w:val="0"/>
      <w:divBdr>
        <w:top w:val="none" w:sz="0" w:space="0" w:color="auto"/>
        <w:left w:val="none" w:sz="0" w:space="0" w:color="auto"/>
        <w:bottom w:val="none" w:sz="0" w:space="0" w:color="auto"/>
        <w:right w:val="none" w:sz="0" w:space="0" w:color="auto"/>
      </w:divBdr>
    </w:div>
    <w:div w:id="137380414">
      <w:bodyDiv w:val="1"/>
      <w:marLeft w:val="0"/>
      <w:marRight w:val="0"/>
      <w:marTop w:val="0"/>
      <w:marBottom w:val="0"/>
      <w:divBdr>
        <w:top w:val="none" w:sz="0" w:space="0" w:color="auto"/>
        <w:left w:val="none" w:sz="0" w:space="0" w:color="auto"/>
        <w:bottom w:val="none" w:sz="0" w:space="0" w:color="auto"/>
        <w:right w:val="none" w:sz="0" w:space="0" w:color="auto"/>
      </w:divBdr>
    </w:div>
    <w:div w:id="157698722">
      <w:bodyDiv w:val="1"/>
      <w:marLeft w:val="0"/>
      <w:marRight w:val="0"/>
      <w:marTop w:val="0"/>
      <w:marBottom w:val="0"/>
      <w:divBdr>
        <w:top w:val="none" w:sz="0" w:space="0" w:color="auto"/>
        <w:left w:val="none" w:sz="0" w:space="0" w:color="auto"/>
        <w:bottom w:val="none" w:sz="0" w:space="0" w:color="auto"/>
        <w:right w:val="none" w:sz="0" w:space="0" w:color="auto"/>
      </w:divBdr>
    </w:div>
    <w:div w:id="168953087">
      <w:bodyDiv w:val="1"/>
      <w:marLeft w:val="0"/>
      <w:marRight w:val="0"/>
      <w:marTop w:val="0"/>
      <w:marBottom w:val="0"/>
      <w:divBdr>
        <w:top w:val="none" w:sz="0" w:space="0" w:color="auto"/>
        <w:left w:val="none" w:sz="0" w:space="0" w:color="auto"/>
        <w:bottom w:val="none" w:sz="0" w:space="0" w:color="auto"/>
        <w:right w:val="none" w:sz="0" w:space="0" w:color="auto"/>
      </w:divBdr>
    </w:div>
    <w:div w:id="203906875">
      <w:bodyDiv w:val="1"/>
      <w:marLeft w:val="0"/>
      <w:marRight w:val="0"/>
      <w:marTop w:val="0"/>
      <w:marBottom w:val="0"/>
      <w:divBdr>
        <w:top w:val="none" w:sz="0" w:space="0" w:color="auto"/>
        <w:left w:val="none" w:sz="0" w:space="0" w:color="auto"/>
        <w:bottom w:val="none" w:sz="0" w:space="0" w:color="auto"/>
        <w:right w:val="none" w:sz="0" w:space="0" w:color="auto"/>
      </w:divBdr>
    </w:div>
    <w:div w:id="221646018">
      <w:bodyDiv w:val="1"/>
      <w:marLeft w:val="0"/>
      <w:marRight w:val="0"/>
      <w:marTop w:val="0"/>
      <w:marBottom w:val="0"/>
      <w:divBdr>
        <w:top w:val="none" w:sz="0" w:space="0" w:color="auto"/>
        <w:left w:val="none" w:sz="0" w:space="0" w:color="auto"/>
        <w:bottom w:val="none" w:sz="0" w:space="0" w:color="auto"/>
        <w:right w:val="none" w:sz="0" w:space="0" w:color="auto"/>
      </w:divBdr>
    </w:div>
    <w:div w:id="247421718">
      <w:bodyDiv w:val="1"/>
      <w:marLeft w:val="0"/>
      <w:marRight w:val="0"/>
      <w:marTop w:val="0"/>
      <w:marBottom w:val="0"/>
      <w:divBdr>
        <w:top w:val="none" w:sz="0" w:space="0" w:color="auto"/>
        <w:left w:val="none" w:sz="0" w:space="0" w:color="auto"/>
        <w:bottom w:val="none" w:sz="0" w:space="0" w:color="auto"/>
        <w:right w:val="none" w:sz="0" w:space="0" w:color="auto"/>
      </w:divBdr>
    </w:div>
    <w:div w:id="256212529">
      <w:bodyDiv w:val="1"/>
      <w:marLeft w:val="0"/>
      <w:marRight w:val="0"/>
      <w:marTop w:val="0"/>
      <w:marBottom w:val="0"/>
      <w:divBdr>
        <w:top w:val="none" w:sz="0" w:space="0" w:color="auto"/>
        <w:left w:val="none" w:sz="0" w:space="0" w:color="auto"/>
        <w:bottom w:val="none" w:sz="0" w:space="0" w:color="auto"/>
        <w:right w:val="none" w:sz="0" w:space="0" w:color="auto"/>
      </w:divBdr>
    </w:div>
    <w:div w:id="259875008">
      <w:bodyDiv w:val="1"/>
      <w:marLeft w:val="0"/>
      <w:marRight w:val="0"/>
      <w:marTop w:val="0"/>
      <w:marBottom w:val="0"/>
      <w:divBdr>
        <w:top w:val="none" w:sz="0" w:space="0" w:color="auto"/>
        <w:left w:val="none" w:sz="0" w:space="0" w:color="auto"/>
        <w:bottom w:val="none" w:sz="0" w:space="0" w:color="auto"/>
        <w:right w:val="none" w:sz="0" w:space="0" w:color="auto"/>
      </w:divBdr>
    </w:div>
    <w:div w:id="274292455">
      <w:bodyDiv w:val="1"/>
      <w:marLeft w:val="0"/>
      <w:marRight w:val="0"/>
      <w:marTop w:val="0"/>
      <w:marBottom w:val="0"/>
      <w:divBdr>
        <w:top w:val="none" w:sz="0" w:space="0" w:color="auto"/>
        <w:left w:val="none" w:sz="0" w:space="0" w:color="auto"/>
        <w:bottom w:val="none" w:sz="0" w:space="0" w:color="auto"/>
        <w:right w:val="none" w:sz="0" w:space="0" w:color="auto"/>
      </w:divBdr>
    </w:div>
    <w:div w:id="285281979">
      <w:bodyDiv w:val="1"/>
      <w:marLeft w:val="0"/>
      <w:marRight w:val="0"/>
      <w:marTop w:val="0"/>
      <w:marBottom w:val="0"/>
      <w:divBdr>
        <w:top w:val="none" w:sz="0" w:space="0" w:color="auto"/>
        <w:left w:val="none" w:sz="0" w:space="0" w:color="auto"/>
        <w:bottom w:val="none" w:sz="0" w:space="0" w:color="auto"/>
        <w:right w:val="none" w:sz="0" w:space="0" w:color="auto"/>
      </w:divBdr>
    </w:div>
    <w:div w:id="296492058">
      <w:bodyDiv w:val="1"/>
      <w:marLeft w:val="0"/>
      <w:marRight w:val="0"/>
      <w:marTop w:val="0"/>
      <w:marBottom w:val="0"/>
      <w:divBdr>
        <w:top w:val="none" w:sz="0" w:space="0" w:color="auto"/>
        <w:left w:val="none" w:sz="0" w:space="0" w:color="auto"/>
        <w:bottom w:val="none" w:sz="0" w:space="0" w:color="auto"/>
        <w:right w:val="none" w:sz="0" w:space="0" w:color="auto"/>
      </w:divBdr>
    </w:div>
    <w:div w:id="298075910">
      <w:bodyDiv w:val="1"/>
      <w:marLeft w:val="0"/>
      <w:marRight w:val="0"/>
      <w:marTop w:val="0"/>
      <w:marBottom w:val="0"/>
      <w:divBdr>
        <w:top w:val="none" w:sz="0" w:space="0" w:color="auto"/>
        <w:left w:val="none" w:sz="0" w:space="0" w:color="auto"/>
        <w:bottom w:val="none" w:sz="0" w:space="0" w:color="auto"/>
        <w:right w:val="none" w:sz="0" w:space="0" w:color="auto"/>
      </w:divBdr>
    </w:div>
    <w:div w:id="299966372">
      <w:bodyDiv w:val="1"/>
      <w:marLeft w:val="0"/>
      <w:marRight w:val="0"/>
      <w:marTop w:val="0"/>
      <w:marBottom w:val="0"/>
      <w:divBdr>
        <w:top w:val="none" w:sz="0" w:space="0" w:color="auto"/>
        <w:left w:val="none" w:sz="0" w:space="0" w:color="auto"/>
        <w:bottom w:val="none" w:sz="0" w:space="0" w:color="auto"/>
        <w:right w:val="none" w:sz="0" w:space="0" w:color="auto"/>
      </w:divBdr>
    </w:div>
    <w:div w:id="305665164">
      <w:bodyDiv w:val="1"/>
      <w:marLeft w:val="0"/>
      <w:marRight w:val="0"/>
      <w:marTop w:val="0"/>
      <w:marBottom w:val="0"/>
      <w:divBdr>
        <w:top w:val="none" w:sz="0" w:space="0" w:color="auto"/>
        <w:left w:val="none" w:sz="0" w:space="0" w:color="auto"/>
        <w:bottom w:val="none" w:sz="0" w:space="0" w:color="auto"/>
        <w:right w:val="none" w:sz="0" w:space="0" w:color="auto"/>
      </w:divBdr>
    </w:div>
    <w:div w:id="313067933">
      <w:bodyDiv w:val="1"/>
      <w:marLeft w:val="0"/>
      <w:marRight w:val="0"/>
      <w:marTop w:val="0"/>
      <w:marBottom w:val="0"/>
      <w:divBdr>
        <w:top w:val="none" w:sz="0" w:space="0" w:color="auto"/>
        <w:left w:val="none" w:sz="0" w:space="0" w:color="auto"/>
        <w:bottom w:val="none" w:sz="0" w:space="0" w:color="auto"/>
        <w:right w:val="none" w:sz="0" w:space="0" w:color="auto"/>
      </w:divBdr>
    </w:div>
    <w:div w:id="328216819">
      <w:bodyDiv w:val="1"/>
      <w:marLeft w:val="0"/>
      <w:marRight w:val="0"/>
      <w:marTop w:val="0"/>
      <w:marBottom w:val="0"/>
      <w:divBdr>
        <w:top w:val="none" w:sz="0" w:space="0" w:color="auto"/>
        <w:left w:val="none" w:sz="0" w:space="0" w:color="auto"/>
        <w:bottom w:val="none" w:sz="0" w:space="0" w:color="auto"/>
        <w:right w:val="none" w:sz="0" w:space="0" w:color="auto"/>
      </w:divBdr>
    </w:div>
    <w:div w:id="329867239">
      <w:bodyDiv w:val="1"/>
      <w:marLeft w:val="0"/>
      <w:marRight w:val="0"/>
      <w:marTop w:val="0"/>
      <w:marBottom w:val="0"/>
      <w:divBdr>
        <w:top w:val="none" w:sz="0" w:space="0" w:color="auto"/>
        <w:left w:val="none" w:sz="0" w:space="0" w:color="auto"/>
        <w:bottom w:val="none" w:sz="0" w:space="0" w:color="auto"/>
        <w:right w:val="none" w:sz="0" w:space="0" w:color="auto"/>
      </w:divBdr>
    </w:div>
    <w:div w:id="343098223">
      <w:bodyDiv w:val="1"/>
      <w:marLeft w:val="0"/>
      <w:marRight w:val="0"/>
      <w:marTop w:val="0"/>
      <w:marBottom w:val="0"/>
      <w:divBdr>
        <w:top w:val="none" w:sz="0" w:space="0" w:color="auto"/>
        <w:left w:val="none" w:sz="0" w:space="0" w:color="auto"/>
        <w:bottom w:val="none" w:sz="0" w:space="0" w:color="auto"/>
        <w:right w:val="none" w:sz="0" w:space="0" w:color="auto"/>
      </w:divBdr>
    </w:div>
    <w:div w:id="350960490">
      <w:bodyDiv w:val="1"/>
      <w:marLeft w:val="0"/>
      <w:marRight w:val="0"/>
      <w:marTop w:val="0"/>
      <w:marBottom w:val="0"/>
      <w:divBdr>
        <w:top w:val="none" w:sz="0" w:space="0" w:color="auto"/>
        <w:left w:val="none" w:sz="0" w:space="0" w:color="auto"/>
        <w:bottom w:val="none" w:sz="0" w:space="0" w:color="auto"/>
        <w:right w:val="none" w:sz="0" w:space="0" w:color="auto"/>
      </w:divBdr>
    </w:div>
    <w:div w:id="362899969">
      <w:bodyDiv w:val="1"/>
      <w:marLeft w:val="0"/>
      <w:marRight w:val="0"/>
      <w:marTop w:val="0"/>
      <w:marBottom w:val="0"/>
      <w:divBdr>
        <w:top w:val="none" w:sz="0" w:space="0" w:color="auto"/>
        <w:left w:val="none" w:sz="0" w:space="0" w:color="auto"/>
        <w:bottom w:val="none" w:sz="0" w:space="0" w:color="auto"/>
        <w:right w:val="none" w:sz="0" w:space="0" w:color="auto"/>
      </w:divBdr>
    </w:div>
    <w:div w:id="369965041">
      <w:bodyDiv w:val="1"/>
      <w:marLeft w:val="0"/>
      <w:marRight w:val="0"/>
      <w:marTop w:val="0"/>
      <w:marBottom w:val="0"/>
      <w:divBdr>
        <w:top w:val="none" w:sz="0" w:space="0" w:color="auto"/>
        <w:left w:val="none" w:sz="0" w:space="0" w:color="auto"/>
        <w:bottom w:val="none" w:sz="0" w:space="0" w:color="auto"/>
        <w:right w:val="none" w:sz="0" w:space="0" w:color="auto"/>
      </w:divBdr>
    </w:div>
    <w:div w:id="370374934">
      <w:bodyDiv w:val="1"/>
      <w:marLeft w:val="0"/>
      <w:marRight w:val="0"/>
      <w:marTop w:val="0"/>
      <w:marBottom w:val="0"/>
      <w:divBdr>
        <w:top w:val="none" w:sz="0" w:space="0" w:color="auto"/>
        <w:left w:val="none" w:sz="0" w:space="0" w:color="auto"/>
        <w:bottom w:val="none" w:sz="0" w:space="0" w:color="auto"/>
        <w:right w:val="none" w:sz="0" w:space="0" w:color="auto"/>
      </w:divBdr>
    </w:div>
    <w:div w:id="373503278">
      <w:bodyDiv w:val="1"/>
      <w:marLeft w:val="0"/>
      <w:marRight w:val="0"/>
      <w:marTop w:val="0"/>
      <w:marBottom w:val="0"/>
      <w:divBdr>
        <w:top w:val="none" w:sz="0" w:space="0" w:color="auto"/>
        <w:left w:val="none" w:sz="0" w:space="0" w:color="auto"/>
        <w:bottom w:val="none" w:sz="0" w:space="0" w:color="auto"/>
        <w:right w:val="none" w:sz="0" w:space="0" w:color="auto"/>
      </w:divBdr>
    </w:div>
    <w:div w:id="404031905">
      <w:bodyDiv w:val="1"/>
      <w:marLeft w:val="0"/>
      <w:marRight w:val="0"/>
      <w:marTop w:val="0"/>
      <w:marBottom w:val="0"/>
      <w:divBdr>
        <w:top w:val="none" w:sz="0" w:space="0" w:color="auto"/>
        <w:left w:val="none" w:sz="0" w:space="0" w:color="auto"/>
        <w:bottom w:val="none" w:sz="0" w:space="0" w:color="auto"/>
        <w:right w:val="none" w:sz="0" w:space="0" w:color="auto"/>
      </w:divBdr>
    </w:div>
    <w:div w:id="427702746">
      <w:bodyDiv w:val="1"/>
      <w:marLeft w:val="0"/>
      <w:marRight w:val="0"/>
      <w:marTop w:val="0"/>
      <w:marBottom w:val="0"/>
      <w:divBdr>
        <w:top w:val="none" w:sz="0" w:space="0" w:color="auto"/>
        <w:left w:val="none" w:sz="0" w:space="0" w:color="auto"/>
        <w:bottom w:val="none" w:sz="0" w:space="0" w:color="auto"/>
        <w:right w:val="none" w:sz="0" w:space="0" w:color="auto"/>
      </w:divBdr>
    </w:div>
    <w:div w:id="454367589">
      <w:bodyDiv w:val="1"/>
      <w:marLeft w:val="0"/>
      <w:marRight w:val="0"/>
      <w:marTop w:val="0"/>
      <w:marBottom w:val="0"/>
      <w:divBdr>
        <w:top w:val="none" w:sz="0" w:space="0" w:color="auto"/>
        <w:left w:val="none" w:sz="0" w:space="0" w:color="auto"/>
        <w:bottom w:val="none" w:sz="0" w:space="0" w:color="auto"/>
        <w:right w:val="none" w:sz="0" w:space="0" w:color="auto"/>
      </w:divBdr>
    </w:div>
    <w:div w:id="456031047">
      <w:bodyDiv w:val="1"/>
      <w:marLeft w:val="0"/>
      <w:marRight w:val="0"/>
      <w:marTop w:val="0"/>
      <w:marBottom w:val="0"/>
      <w:divBdr>
        <w:top w:val="none" w:sz="0" w:space="0" w:color="auto"/>
        <w:left w:val="none" w:sz="0" w:space="0" w:color="auto"/>
        <w:bottom w:val="none" w:sz="0" w:space="0" w:color="auto"/>
        <w:right w:val="none" w:sz="0" w:space="0" w:color="auto"/>
      </w:divBdr>
    </w:div>
    <w:div w:id="477233620">
      <w:bodyDiv w:val="1"/>
      <w:marLeft w:val="0"/>
      <w:marRight w:val="0"/>
      <w:marTop w:val="0"/>
      <w:marBottom w:val="0"/>
      <w:divBdr>
        <w:top w:val="none" w:sz="0" w:space="0" w:color="auto"/>
        <w:left w:val="none" w:sz="0" w:space="0" w:color="auto"/>
        <w:bottom w:val="none" w:sz="0" w:space="0" w:color="auto"/>
        <w:right w:val="none" w:sz="0" w:space="0" w:color="auto"/>
      </w:divBdr>
    </w:div>
    <w:div w:id="489834041">
      <w:bodyDiv w:val="1"/>
      <w:marLeft w:val="0"/>
      <w:marRight w:val="0"/>
      <w:marTop w:val="0"/>
      <w:marBottom w:val="0"/>
      <w:divBdr>
        <w:top w:val="none" w:sz="0" w:space="0" w:color="auto"/>
        <w:left w:val="none" w:sz="0" w:space="0" w:color="auto"/>
        <w:bottom w:val="none" w:sz="0" w:space="0" w:color="auto"/>
        <w:right w:val="none" w:sz="0" w:space="0" w:color="auto"/>
      </w:divBdr>
    </w:div>
    <w:div w:id="490869341">
      <w:bodyDiv w:val="1"/>
      <w:marLeft w:val="0"/>
      <w:marRight w:val="0"/>
      <w:marTop w:val="0"/>
      <w:marBottom w:val="0"/>
      <w:divBdr>
        <w:top w:val="none" w:sz="0" w:space="0" w:color="auto"/>
        <w:left w:val="none" w:sz="0" w:space="0" w:color="auto"/>
        <w:bottom w:val="none" w:sz="0" w:space="0" w:color="auto"/>
        <w:right w:val="none" w:sz="0" w:space="0" w:color="auto"/>
      </w:divBdr>
    </w:div>
    <w:div w:id="500124670">
      <w:bodyDiv w:val="1"/>
      <w:marLeft w:val="0"/>
      <w:marRight w:val="0"/>
      <w:marTop w:val="0"/>
      <w:marBottom w:val="0"/>
      <w:divBdr>
        <w:top w:val="none" w:sz="0" w:space="0" w:color="auto"/>
        <w:left w:val="none" w:sz="0" w:space="0" w:color="auto"/>
        <w:bottom w:val="none" w:sz="0" w:space="0" w:color="auto"/>
        <w:right w:val="none" w:sz="0" w:space="0" w:color="auto"/>
      </w:divBdr>
    </w:div>
    <w:div w:id="518393773">
      <w:bodyDiv w:val="1"/>
      <w:marLeft w:val="0"/>
      <w:marRight w:val="0"/>
      <w:marTop w:val="0"/>
      <w:marBottom w:val="0"/>
      <w:divBdr>
        <w:top w:val="none" w:sz="0" w:space="0" w:color="auto"/>
        <w:left w:val="none" w:sz="0" w:space="0" w:color="auto"/>
        <w:bottom w:val="none" w:sz="0" w:space="0" w:color="auto"/>
        <w:right w:val="none" w:sz="0" w:space="0" w:color="auto"/>
      </w:divBdr>
    </w:div>
    <w:div w:id="521944201">
      <w:bodyDiv w:val="1"/>
      <w:marLeft w:val="0"/>
      <w:marRight w:val="0"/>
      <w:marTop w:val="0"/>
      <w:marBottom w:val="0"/>
      <w:divBdr>
        <w:top w:val="none" w:sz="0" w:space="0" w:color="auto"/>
        <w:left w:val="none" w:sz="0" w:space="0" w:color="auto"/>
        <w:bottom w:val="none" w:sz="0" w:space="0" w:color="auto"/>
        <w:right w:val="none" w:sz="0" w:space="0" w:color="auto"/>
      </w:divBdr>
    </w:div>
    <w:div w:id="522672511">
      <w:bodyDiv w:val="1"/>
      <w:marLeft w:val="0"/>
      <w:marRight w:val="0"/>
      <w:marTop w:val="0"/>
      <w:marBottom w:val="0"/>
      <w:divBdr>
        <w:top w:val="none" w:sz="0" w:space="0" w:color="auto"/>
        <w:left w:val="none" w:sz="0" w:space="0" w:color="auto"/>
        <w:bottom w:val="none" w:sz="0" w:space="0" w:color="auto"/>
        <w:right w:val="none" w:sz="0" w:space="0" w:color="auto"/>
      </w:divBdr>
    </w:div>
    <w:div w:id="542130994">
      <w:bodyDiv w:val="1"/>
      <w:marLeft w:val="0"/>
      <w:marRight w:val="0"/>
      <w:marTop w:val="0"/>
      <w:marBottom w:val="0"/>
      <w:divBdr>
        <w:top w:val="none" w:sz="0" w:space="0" w:color="auto"/>
        <w:left w:val="none" w:sz="0" w:space="0" w:color="auto"/>
        <w:bottom w:val="none" w:sz="0" w:space="0" w:color="auto"/>
        <w:right w:val="none" w:sz="0" w:space="0" w:color="auto"/>
      </w:divBdr>
    </w:div>
    <w:div w:id="554706185">
      <w:bodyDiv w:val="1"/>
      <w:marLeft w:val="0"/>
      <w:marRight w:val="0"/>
      <w:marTop w:val="0"/>
      <w:marBottom w:val="0"/>
      <w:divBdr>
        <w:top w:val="none" w:sz="0" w:space="0" w:color="auto"/>
        <w:left w:val="none" w:sz="0" w:space="0" w:color="auto"/>
        <w:bottom w:val="none" w:sz="0" w:space="0" w:color="auto"/>
        <w:right w:val="none" w:sz="0" w:space="0" w:color="auto"/>
      </w:divBdr>
    </w:div>
    <w:div w:id="557210971">
      <w:bodyDiv w:val="1"/>
      <w:marLeft w:val="0"/>
      <w:marRight w:val="0"/>
      <w:marTop w:val="0"/>
      <w:marBottom w:val="0"/>
      <w:divBdr>
        <w:top w:val="none" w:sz="0" w:space="0" w:color="auto"/>
        <w:left w:val="none" w:sz="0" w:space="0" w:color="auto"/>
        <w:bottom w:val="none" w:sz="0" w:space="0" w:color="auto"/>
        <w:right w:val="none" w:sz="0" w:space="0" w:color="auto"/>
      </w:divBdr>
    </w:div>
    <w:div w:id="557672156">
      <w:bodyDiv w:val="1"/>
      <w:marLeft w:val="0"/>
      <w:marRight w:val="0"/>
      <w:marTop w:val="0"/>
      <w:marBottom w:val="0"/>
      <w:divBdr>
        <w:top w:val="none" w:sz="0" w:space="0" w:color="auto"/>
        <w:left w:val="none" w:sz="0" w:space="0" w:color="auto"/>
        <w:bottom w:val="none" w:sz="0" w:space="0" w:color="auto"/>
        <w:right w:val="none" w:sz="0" w:space="0" w:color="auto"/>
      </w:divBdr>
    </w:div>
    <w:div w:id="558590052">
      <w:bodyDiv w:val="1"/>
      <w:marLeft w:val="0"/>
      <w:marRight w:val="0"/>
      <w:marTop w:val="0"/>
      <w:marBottom w:val="0"/>
      <w:divBdr>
        <w:top w:val="none" w:sz="0" w:space="0" w:color="auto"/>
        <w:left w:val="none" w:sz="0" w:space="0" w:color="auto"/>
        <w:bottom w:val="none" w:sz="0" w:space="0" w:color="auto"/>
        <w:right w:val="none" w:sz="0" w:space="0" w:color="auto"/>
      </w:divBdr>
    </w:div>
    <w:div w:id="588855936">
      <w:bodyDiv w:val="1"/>
      <w:marLeft w:val="0"/>
      <w:marRight w:val="0"/>
      <w:marTop w:val="0"/>
      <w:marBottom w:val="0"/>
      <w:divBdr>
        <w:top w:val="none" w:sz="0" w:space="0" w:color="auto"/>
        <w:left w:val="none" w:sz="0" w:space="0" w:color="auto"/>
        <w:bottom w:val="none" w:sz="0" w:space="0" w:color="auto"/>
        <w:right w:val="none" w:sz="0" w:space="0" w:color="auto"/>
      </w:divBdr>
    </w:div>
    <w:div w:id="599948388">
      <w:bodyDiv w:val="1"/>
      <w:marLeft w:val="0"/>
      <w:marRight w:val="0"/>
      <w:marTop w:val="0"/>
      <w:marBottom w:val="0"/>
      <w:divBdr>
        <w:top w:val="none" w:sz="0" w:space="0" w:color="auto"/>
        <w:left w:val="none" w:sz="0" w:space="0" w:color="auto"/>
        <w:bottom w:val="none" w:sz="0" w:space="0" w:color="auto"/>
        <w:right w:val="none" w:sz="0" w:space="0" w:color="auto"/>
      </w:divBdr>
    </w:div>
    <w:div w:id="632563715">
      <w:bodyDiv w:val="1"/>
      <w:marLeft w:val="0"/>
      <w:marRight w:val="0"/>
      <w:marTop w:val="0"/>
      <w:marBottom w:val="0"/>
      <w:divBdr>
        <w:top w:val="none" w:sz="0" w:space="0" w:color="auto"/>
        <w:left w:val="none" w:sz="0" w:space="0" w:color="auto"/>
        <w:bottom w:val="none" w:sz="0" w:space="0" w:color="auto"/>
        <w:right w:val="none" w:sz="0" w:space="0" w:color="auto"/>
      </w:divBdr>
    </w:div>
    <w:div w:id="658769065">
      <w:bodyDiv w:val="1"/>
      <w:marLeft w:val="0"/>
      <w:marRight w:val="0"/>
      <w:marTop w:val="0"/>
      <w:marBottom w:val="0"/>
      <w:divBdr>
        <w:top w:val="none" w:sz="0" w:space="0" w:color="auto"/>
        <w:left w:val="none" w:sz="0" w:space="0" w:color="auto"/>
        <w:bottom w:val="none" w:sz="0" w:space="0" w:color="auto"/>
        <w:right w:val="none" w:sz="0" w:space="0" w:color="auto"/>
      </w:divBdr>
    </w:div>
    <w:div w:id="659239417">
      <w:bodyDiv w:val="1"/>
      <w:marLeft w:val="0"/>
      <w:marRight w:val="0"/>
      <w:marTop w:val="0"/>
      <w:marBottom w:val="0"/>
      <w:divBdr>
        <w:top w:val="none" w:sz="0" w:space="0" w:color="auto"/>
        <w:left w:val="none" w:sz="0" w:space="0" w:color="auto"/>
        <w:bottom w:val="none" w:sz="0" w:space="0" w:color="auto"/>
        <w:right w:val="none" w:sz="0" w:space="0" w:color="auto"/>
      </w:divBdr>
    </w:div>
    <w:div w:id="717751459">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71097086">
      <w:bodyDiv w:val="1"/>
      <w:marLeft w:val="0"/>
      <w:marRight w:val="0"/>
      <w:marTop w:val="0"/>
      <w:marBottom w:val="0"/>
      <w:divBdr>
        <w:top w:val="none" w:sz="0" w:space="0" w:color="auto"/>
        <w:left w:val="none" w:sz="0" w:space="0" w:color="auto"/>
        <w:bottom w:val="none" w:sz="0" w:space="0" w:color="auto"/>
        <w:right w:val="none" w:sz="0" w:space="0" w:color="auto"/>
      </w:divBdr>
    </w:div>
    <w:div w:id="783620260">
      <w:bodyDiv w:val="1"/>
      <w:marLeft w:val="0"/>
      <w:marRight w:val="0"/>
      <w:marTop w:val="0"/>
      <w:marBottom w:val="0"/>
      <w:divBdr>
        <w:top w:val="none" w:sz="0" w:space="0" w:color="auto"/>
        <w:left w:val="none" w:sz="0" w:space="0" w:color="auto"/>
        <w:bottom w:val="none" w:sz="0" w:space="0" w:color="auto"/>
        <w:right w:val="none" w:sz="0" w:space="0" w:color="auto"/>
      </w:divBdr>
    </w:div>
    <w:div w:id="786512849">
      <w:bodyDiv w:val="1"/>
      <w:marLeft w:val="0"/>
      <w:marRight w:val="0"/>
      <w:marTop w:val="0"/>
      <w:marBottom w:val="0"/>
      <w:divBdr>
        <w:top w:val="none" w:sz="0" w:space="0" w:color="auto"/>
        <w:left w:val="none" w:sz="0" w:space="0" w:color="auto"/>
        <w:bottom w:val="none" w:sz="0" w:space="0" w:color="auto"/>
        <w:right w:val="none" w:sz="0" w:space="0" w:color="auto"/>
      </w:divBdr>
    </w:div>
    <w:div w:id="786854665">
      <w:bodyDiv w:val="1"/>
      <w:marLeft w:val="0"/>
      <w:marRight w:val="0"/>
      <w:marTop w:val="0"/>
      <w:marBottom w:val="0"/>
      <w:divBdr>
        <w:top w:val="none" w:sz="0" w:space="0" w:color="auto"/>
        <w:left w:val="none" w:sz="0" w:space="0" w:color="auto"/>
        <w:bottom w:val="none" w:sz="0" w:space="0" w:color="auto"/>
        <w:right w:val="none" w:sz="0" w:space="0" w:color="auto"/>
      </w:divBdr>
    </w:div>
    <w:div w:id="790515042">
      <w:bodyDiv w:val="1"/>
      <w:marLeft w:val="0"/>
      <w:marRight w:val="0"/>
      <w:marTop w:val="0"/>
      <w:marBottom w:val="0"/>
      <w:divBdr>
        <w:top w:val="none" w:sz="0" w:space="0" w:color="auto"/>
        <w:left w:val="none" w:sz="0" w:space="0" w:color="auto"/>
        <w:bottom w:val="none" w:sz="0" w:space="0" w:color="auto"/>
        <w:right w:val="none" w:sz="0" w:space="0" w:color="auto"/>
      </w:divBdr>
    </w:div>
    <w:div w:id="847062237">
      <w:bodyDiv w:val="1"/>
      <w:marLeft w:val="0"/>
      <w:marRight w:val="0"/>
      <w:marTop w:val="0"/>
      <w:marBottom w:val="0"/>
      <w:divBdr>
        <w:top w:val="none" w:sz="0" w:space="0" w:color="auto"/>
        <w:left w:val="none" w:sz="0" w:space="0" w:color="auto"/>
        <w:bottom w:val="none" w:sz="0" w:space="0" w:color="auto"/>
        <w:right w:val="none" w:sz="0" w:space="0" w:color="auto"/>
      </w:divBdr>
    </w:div>
    <w:div w:id="862060742">
      <w:bodyDiv w:val="1"/>
      <w:marLeft w:val="0"/>
      <w:marRight w:val="0"/>
      <w:marTop w:val="0"/>
      <w:marBottom w:val="0"/>
      <w:divBdr>
        <w:top w:val="none" w:sz="0" w:space="0" w:color="auto"/>
        <w:left w:val="none" w:sz="0" w:space="0" w:color="auto"/>
        <w:bottom w:val="none" w:sz="0" w:space="0" w:color="auto"/>
        <w:right w:val="none" w:sz="0" w:space="0" w:color="auto"/>
      </w:divBdr>
    </w:div>
    <w:div w:id="895043296">
      <w:bodyDiv w:val="1"/>
      <w:marLeft w:val="0"/>
      <w:marRight w:val="0"/>
      <w:marTop w:val="0"/>
      <w:marBottom w:val="0"/>
      <w:divBdr>
        <w:top w:val="none" w:sz="0" w:space="0" w:color="auto"/>
        <w:left w:val="none" w:sz="0" w:space="0" w:color="auto"/>
        <w:bottom w:val="none" w:sz="0" w:space="0" w:color="auto"/>
        <w:right w:val="none" w:sz="0" w:space="0" w:color="auto"/>
      </w:divBdr>
    </w:div>
    <w:div w:id="904417393">
      <w:bodyDiv w:val="1"/>
      <w:marLeft w:val="0"/>
      <w:marRight w:val="0"/>
      <w:marTop w:val="0"/>
      <w:marBottom w:val="0"/>
      <w:divBdr>
        <w:top w:val="none" w:sz="0" w:space="0" w:color="auto"/>
        <w:left w:val="none" w:sz="0" w:space="0" w:color="auto"/>
        <w:bottom w:val="none" w:sz="0" w:space="0" w:color="auto"/>
        <w:right w:val="none" w:sz="0" w:space="0" w:color="auto"/>
      </w:divBdr>
    </w:div>
    <w:div w:id="906720610">
      <w:bodyDiv w:val="1"/>
      <w:marLeft w:val="0"/>
      <w:marRight w:val="0"/>
      <w:marTop w:val="0"/>
      <w:marBottom w:val="0"/>
      <w:divBdr>
        <w:top w:val="none" w:sz="0" w:space="0" w:color="auto"/>
        <w:left w:val="none" w:sz="0" w:space="0" w:color="auto"/>
        <w:bottom w:val="none" w:sz="0" w:space="0" w:color="auto"/>
        <w:right w:val="none" w:sz="0" w:space="0" w:color="auto"/>
      </w:divBdr>
    </w:div>
    <w:div w:id="912618139">
      <w:bodyDiv w:val="1"/>
      <w:marLeft w:val="0"/>
      <w:marRight w:val="0"/>
      <w:marTop w:val="0"/>
      <w:marBottom w:val="0"/>
      <w:divBdr>
        <w:top w:val="none" w:sz="0" w:space="0" w:color="auto"/>
        <w:left w:val="none" w:sz="0" w:space="0" w:color="auto"/>
        <w:bottom w:val="none" w:sz="0" w:space="0" w:color="auto"/>
        <w:right w:val="none" w:sz="0" w:space="0" w:color="auto"/>
      </w:divBdr>
    </w:div>
    <w:div w:id="913122732">
      <w:bodyDiv w:val="1"/>
      <w:marLeft w:val="0"/>
      <w:marRight w:val="0"/>
      <w:marTop w:val="0"/>
      <w:marBottom w:val="0"/>
      <w:divBdr>
        <w:top w:val="none" w:sz="0" w:space="0" w:color="auto"/>
        <w:left w:val="none" w:sz="0" w:space="0" w:color="auto"/>
        <w:bottom w:val="none" w:sz="0" w:space="0" w:color="auto"/>
        <w:right w:val="none" w:sz="0" w:space="0" w:color="auto"/>
      </w:divBdr>
      <w:divsChild>
        <w:div w:id="810515790">
          <w:marLeft w:val="0"/>
          <w:marRight w:val="0"/>
          <w:marTop w:val="0"/>
          <w:marBottom w:val="0"/>
          <w:divBdr>
            <w:top w:val="none" w:sz="0" w:space="0" w:color="auto"/>
            <w:left w:val="none" w:sz="0" w:space="0" w:color="auto"/>
            <w:bottom w:val="none" w:sz="0" w:space="0" w:color="auto"/>
            <w:right w:val="none" w:sz="0" w:space="0" w:color="auto"/>
          </w:divBdr>
        </w:div>
      </w:divsChild>
    </w:div>
    <w:div w:id="921525783">
      <w:bodyDiv w:val="1"/>
      <w:marLeft w:val="0"/>
      <w:marRight w:val="0"/>
      <w:marTop w:val="0"/>
      <w:marBottom w:val="0"/>
      <w:divBdr>
        <w:top w:val="none" w:sz="0" w:space="0" w:color="auto"/>
        <w:left w:val="none" w:sz="0" w:space="0" w:color="auto"/>
        <w:bottom w:val="none" w:sz="0" w:space="0" w:color="auto"/>
        <w:right w:val="none" w:sz="0" w:space="0" w:color="auto"/>
      </w:divBdr>
    </w:div>
    <w:div w:id="929312580">
      <w:bodyDiv w:val="1"/>
      <w:marLeft w:val="0"/>
      <w:marRight w:val="0"/>
      <w:marTop w:val="0"/>
      <w:marBottom w:val="0"/>
      <w:divBdr>
        <w:top w:val="none" w:sz="0" w:space="0" w:color="auto"/>
        <w:left w:val="none" w:sz="0" w:space="0" w:color="auto"/>
        <w:bottom w:val="none" w:sz="0" w:space="0" w:color="auto"/>
        <w:right w:val="none" w:sz="0" w:space="0" w:color="auto"/>
      </w:divBdr>
    </w:div>
    <w:div w:id="930814205">
      <w:bodyDiv w:val="1"/>
      <w:marLeft w:val="0"/>
      <w:marRight w:val="0"/>
      <w:marTop w:val="0"/>
      <w:marBottom w:val="0"/>
      <w:divBdr>
        <w:top w:val="none" w:sz="0" w:space="0" w:color="auto"/>
        <w:left w:val="none" w:sz="0" w:space="0" w:color="auto"/>
        <w:bottom w:val="none" w:sz="0" w:space="0" w:color="auto"/>
        <w:right w:val="none" w:sz="0" w:space="0" w:color="auto"/>
      </w:divBdr>
    </w:div>
    <w:div w:id="937373760">
      <w:bodyDiv w:val="1"/>
      <w:marLeft w:val="0"/>
      <w:marRight w:val="0"/>
      <w:marTop w:val="0"/>
      <w:marBottom w:val="0"/>
      <w:divBdr>
        <w:top w:val="none" w:sz="0" w:space="0" w:color="auto"/>
        <w:left w:val="none" w:sz="0" w:space="0" w:color="auto"/>
        <w:bottom w:val="none" w:sz="0" w:space="0" w:color="auto"/>
        <w:right w:val="none" w:sz="0" w:space="0" w:color="auto"/>
      </w:divBdr>
    </w:div>
    <w:div w:id="951135531">
      <w:bodyDiv w:val="1"/>
      <w:marLeft w:val="0"/>
      <w:marRight w:val="0"/>
      <w:marTop w:val="0"/>
      <w:marBottom w:val="0"/>
      <w:divBdr>
        <w:top w:val="none" w:sz="0" w:space="0" w:color="auto"/>
        <w:left w:val="none" w:sz="0" w:space="0" w:color="auto"/>
        <w:bottom w:val="none" w:sz="0" w:space="0" w:color="auto"/>
        <w:right w:val="none" w:sz="0" w:space="0" w:color="auto"/>
      </w:divBdr>
    </w:div>
    <w:div w:id="951322794">
      <w:bodyDiv w:val="1"/>
      <w:marLeft w:val="0"/>
      <w:marRight w:val="0"/>
      <w:marTop w:val="0"/>
      <w:marBottom w:val="0"/>
      <w:divBdr>
        <w:top w:val="none" w:sz="0" w:space="0" w:color="auto"/>
        <w:left w:val="none" w:sz="0" w:space="0" w:color="auto"/>
        <w:bottom w:val="none" w:sz="0" w:space="0" w:color="auto"/>
        <w:right w:val="none" w:sz="0" w:space="0" w:color="auto"/>
      </w:divBdr>
    </w:div>
    <w:div w:id="999890320">
      <w:bodyDiv w:val="1"/>
      <w:marLeft w:val="0"/>
      <w:marRight w:val="0"/>
      <w:marTop w:val="0"/>
      <w:marBottom w:val="0"/>
      <w:divBdr>
        <w:top w:val="none" w:sz="0" w:space="0" w:color="auto"/>
        <w:left w:val="none" w:sz="0" w:space="0" w:color="auto"/>
        <w:bottom w:val="none" w:sz="0" w:space="0" w:color="auto"/>
        <w:right w:val="none" w:sz="0" w:space="0" w:color="auto"/>
      </w:divBdr>
    </w:div>
    <w:div w:id="1010059187">
      <w:bodyDiv w:val="1"/>
      <w:marLeft w:val="0"/>
      <w:marRight w:val="0"/>
      <w:marTop w:val="0"/>
      <w:marBottom w:val="0"/>
      <w:divBdr>
        <w:top w:val="none" w:sz="0" w:space="0" w:color="auto"/>
        <w:left w:val="none" w:sz="0" w:space="0" w:color="auto"/>
        <w:bottom w:val="none" w:sz="0" w:space="0" w:color="auto"/>
        <w:right w:val="none" w:sz="0" w:space="0" w:color="auto"/>
      </w:divBdr>
    </w:div>
    <w:div w:id="1021130354">
      <w:bodyDiv w:val="1"/>
      <w:marLeft w:val="0"/>
      <w:marRight w:val="0"/>
      <w:marTop w:val="0"/>
      <w:marBottom w:val="0"/>
      <w:divBdr>
        <w:top w:val="none" w:sz="0" w:space="0" w:color="auto"/>
        <w:left w:val="none" w:sz="0" w:space="0" w:color="auto"/>
        <w:bottom w:val="none" w:sz="0" w:space="0" w:color="auto"/>
        <w:right w:val="none" w:sz="0" w:space="0" w:color="auto"/>
      </w:divBdr>
    </w:div>
    <w:div w:id="1028409494">
      <w:bodyDiv w:val="1"/>
      <w:marLeft w:val="0"/>
      <w:marRight w:val="0"/>
      <w:marTop w:val="0"/>
      <w:marBottom w:val="0"/>
      <w:divBdr>
        <w:top w:val="none" w:sz="0" w:space="0" w:color="auto"/>
        <w:left w:val="none" w:sz="0" w:space="0" w:color="auto"/>
        <w:bottom w:val="none" w:sz="0" w:space="0" w:color="auto"/>
        <w:right w:val="none" w:sz="0" w:space="0" w:color="auto"/>
      </w:divBdr>
    </w:div>
    <w:div w:id="1051030295">
      <w:bodyDiv w:val="1"/>
      <w:marLeft w:val="0"/>
      <w:marRight w:val="0"/>
      <w:marTop w:val="0"/>
      <w:marBottom w:val="0"/>
      <w:divBdr>
        <w:top w:val="none" w:sz="0" w:space="0" w:color="auto"/>
        <w:left w:val="none" w:sz="0" w:space="0" w:color="auto"/>
        <w:bottom w:val="none" w:sz="0" w:space="0" w:color="auto"/>
        <w:right w:val="none" w:sz="0" w:space="0" w:color="auto"/>
      </w:divBdr>
    </w:div>
    <w:div w:id="1053693591">
      <w:bodyDiv w:val="1"/>
      <w:marLeft w:val="0"/>
      <w:marRight w:val="0"/>
      <w:marTop w:val="0"/>
      <w:marBottom w:val="0"/>
      <w:divBdr>
        <w:top w:val="none" w:sz="0" w:space="0" w:color="auto"/>
        <w:left w:val="none" w:sz="0" w:space="0" w:color="auto"/>
        <w:bottom w:val="none" w:sz="0" w:space="0" w:color="auto"/>
        <w:right w:val="none" w:sz="0" w:space="0" w:color="auto"/>
      </w:divBdr>
    </w:div>
    <w:div w:id="1061296130">
      <w:bodyDiv w:val="1"/>
      <w:marLeft w:val="0"/>
      <w:marRight w:val="0"/>
      <w:marTop w:val="0"/>
      <w:marBottom w:val="0"/>
      <w:divBdr>
        <w:top w:val="none" w:sz="0" w:space="0" w:color="auto"/>
        <w:left w:val="none" w:sz="0" w:space="0" w:color="auto"/>
        <w:bottom w:val="none" w:sz="0" w:space="0" w:color="auto"/>
        <w:right w:val="none" w:sz="0" w:space="0" w:color="auto"/>
      </w:divBdr>
    </w:div>
    <w:div w:id="1066226613">
      <w:bodyDiv w:val="1"/>
      <w:marLeft w:val="0"/>
      <w:marRight w:val="0"/>
      <w:marTop w:val="0"/>
      <w:marBottom w:val="0"/>
      <w:divBdr>
        <w:top w:val="none" w:sz="0" w:space="0" w:color="auto"/>
        <w:left w:val="none" w:sz="0" w:space="0" w:color="auto"/>
        <w:bottom w:val="none" w:sz="0" w:space="0" w:color="auto"/>
        <w:right w:val="none" w:sz="0" w:space="0" w:color="auto"/>
      </w:divBdr>
    </w:div>
    <w:div w:id="1072971473">
      <w:bodyDiv w:val="1"/>
      <w:marLeft w:val="0"/>
      <w:marRight w:val="0"/>
      <w:marTop w:val="0"/>
      <w:marBottom w:val="0"/>
      <w:divBdr>
        <w:top w:val="none" w:sz="0" w:space="0" w:color="auto"/>
        <w:left w:val="none" w:sz="0" w:space="0" w:color="auto"/>
        <w:bottom w:val="none" w:sz="0" w:space="0" w:color="auto"/>
        <w:right w:val="none" w:sz="0" w:space="0" w:color="auto"/>
      </w:divBdr>
    </w:div>
    <w:div w:id="1093430136">
      <w:bodyDiv w:val="1"/>
      <w:marLeft w:val="0"/>
      <w:marRight w:val="0"/>
      <w:marTop w:val="0"/>
      <w:marBottom w:val="0"/>
      <w:divBdr>
        <w:top w:val="none" w:sz="0" w:space="0" w:color="auto"/>
        <w:left w:val="none" w:sz="0" w:space="0" w:color="auto"/>
        <w:bottom w:val="none" w:sz="0" w:space="0" w:color="auto"/>
        <w:right w:val="none" w:sz="0" w:space="0" w:color="auto"/>
      </w:divBdr>
    </w:div>
    <w:div w:id="1119565832">
      <w:bodyDiv w:val="1"/>
      <w:marLeft w:val="0"/>
      <w:marRight w:val="0"/>
      <w:marTop w:val="0"/>
      <w:marBottom w:val="0"/>
      <w:divBdr>
        <w:top w:val="none" w:sz="0" w:space="0" w:color="auto"/>
        <w:left w:val="none" w:sz="0" w:space="0" w:color="auto"/>
        <w:bottom w:val="none" w:sz="0" w:space="0" w:color="auto"/>
        <w:right w:val="none" w:sz="0" w:space="0" w:color="auto"/>
      </w:divBdr>
    </w:div>
    <w:div w:id="1128007033">
      <w:bodyDiv w:val="1"/>
      <w:marLeft w:val="0"/>
      <w:marRight w:val="0"/>
      <w:marTop w:val="0"/>
      <w:marBottom w:val="0"/>
      <w:divBdr>
        <w:top w:val="none" w:sz="0" w:space="0" w:color="auto"/>
        <w:left w:val="none" w:sz="0" w:space="0" w:color="auto"/>
        <w:bottom w:val="none" w:sz="0" w:space="0" w:color="auto"/>
        <w:right w:val="none" w:sz="0" w:space="0" w:color="auto"/>
      </w:divBdr>
    </w:div>
    <w:div w:id="1140877462">
      <w:bodyDiv w:val="1"/>
      <w:marLeft w:val="0"/>
      <w:marRight w:val="0"/>
      <w:marTop w:val="0"/>
      <w:marBottom w:val="0"/>
      <w:divBdr>
        <w:top w:val="none" w:sz="0" w:space="0" w:color="auto"/>
        <w:left w:val="none" w:sz="0" w:space="0" w:color="auto"/>
        <w:bottom w:val="none" w:sz="0" w:space="0" w:color="auto"/>
        <w:right w:val="none" w:sz="0" w:space="0" w:color="auto"/>
      </w:divBdr>
    </w:div>
    <w:div w:id="1152912572">
      <w:bodyDiv w:val="1"/>
      <w:marLeft w:val="0"/>
      <w:marRight w:val="0"/>
      <w:marTop w:val="0"/>
      <w:marBottom w:val="0"/>
      <w:divBdr>
        <w:top w:val="none" w:sz="0" w:space="0" w:color="auto"/>
        <w:left w:val="none" w:sz="0" w:space="0" w:color="auto"/>
        <w:bottom w:val="none" w:sz="0" w:space="0" w:color="auto"/>
        <w:right w:val="none" w:sz="0" w:space="0" w:color="auto"/>
      </w:divBdr>
    </w:div>
    <w:div w:id="1165239637">
      <w:bodyDiv w:val="1"/>
      <w:marLeft w:val="0"/>
      <w:marRight w:val="0"/>
      <w:marTop w:val="0"/>
      <w:marBottom w:val="0"/>
      <w:divBdr>
        <w:top w:val="none" w:sz="0" w:space="0" w:color="auto"/>
        <w:left w:val="none" w:sz="0" w:space="0" w:color="auto"/>
        <w:bottom w:val="none" w:sz="0" w:space="0" w:color="auto"/>
        <w:right w:val="none" w:sz="0" w:space="0" w:color="auto"/>
      </w:divBdr>
    </w:div>
    <w:div w:id="1169177437">
      <w:bodyDiv w:val="1"/>
      <w:marLeft w:val="0"/>
      <w:marRight w:val="0"/>
      <w:marTop w:val="0"/>
      <w:marBottom w:val="0"/>
      <w:divBdr>
        <w:top w:val="none" w:sz="0" w:space="0" w:color="auto"/>
        <w:left w:val="none" w:sz="0" w:space="0" w:color="auto"/>
        <w:bottom w:val="none" w:sz="0" w:space="0" w:color="auto"/>
        <w:right w:val="none" w:sz="0" w:space="0" w:color="auto"/>
      </w:divBdr>
    </w:div>
    <w:div w:id="1170220913">
      <w:bodyDiv w:val="1"/>
      <w:marLeft w:val="0"/>
      <w:marRight w:val="0"/>
      <w:marTop w:val="0"/>
      <w:marBottom w:val="0"/>
      <w:divBdr>
        <w:top w:val="none" w:sz="0" w:space="0" w:color="auto"/>
        <w:left w:val="none" w:sz="0" w:space="0" w:color="auto"/>
        <w:bottom w:val="none" w:sz="0" w:space="0" w:color="auto"/>
        <w:right w:val="none" w:sz="0" w:space="0" w:color="auto"/>
      </w:divBdr>
    </w:div>
    <w:div w:id="1191334536">
      <w:bodyDiv w:val="1"/>
      <w:marLeft w:val="0"/>
      <w:marRight w:val="0"/>
      <w:marTop w:val="0"/>
      <w:marBottom w:val="0"/>
      <w:divBdr>
        <w:top w:val="none" w:sz="0" w:space="0" w:color="auto"/>
        <w:left w:val="none" w:sz="0" w:space="0" w:color="auto"/>
        <w:bottom w:val="none" w:sz="0" w:space="0" w:color="auto"/>
        <w:right w:val="none" w:sz="0" w:space="0" w:color="auto"/>
      </w:divBdr>
    </w:div>
    <w:div w:id="1195457359">
      <w:bodyDiv w:val="1"/>
      <w:marLeft w:val="0"/>
      <w:marRight w:val="0"/>
      <w:marTop w:val="0"/>
      <w:marBottom w:val="0"/>
      <w:divBdr>
        <w:top w:val="none" w:sz="0" w:space="0" w:color="auto"/>
        <w:left w:val="none" w:sz="0" w:space="0" w:color="auto"/>
        <w:bottom w:val="none" w:sz="0" w:space="0" w:color="auto"/>
        <w:right w:val="none" w:sz="0" w:space="0" w:color="auto"/>
      </w:divBdr>
    </w:div>
    <w:div w:id="1212499396">
      <w:bodyDiv w:val="1"/>
      <w:marLeft w:val="0"/>
      <w:marRight w:val="0"/>
      <w:marTop w:val="0"/>
      <w:marBottom w:val="0"/>
      <w:divBdr>
        <w:top w:val="none" w:sz="0" w:space="0" w:color="auto"/>
        <w:left w:val="none" w:sz="0" w:space="0" w:color="auto"/>
        <w:bottom w:val="none" w:sz="0" w:space="0" w:color="auto"/>
        <w:right w:val="none" w:sz="0" w:space="0" w:color="auto"/>
      </w:divBdr>
    </w:div>
    <w:div w:id="1223834154">
      <w:bodyDiv w:val="1"/>
      <w:marLeft w:val="0"/>
      <w:marRight w:val="0"/>
      <w:marTop w:val="0"/>
      <w:marBottom w:val="0"/>
      <w:divBdr>
        <w:top w:val="none" w:sz="0" w:space="0" w:color="auto"/>
        <w:left w:val="none" w:sz="0" w:space="0" w:color="auto"/>
        <w:bottom w:val="none" w:sz="0" w:space="0" w:color="auto"/>
        <w:right w:val="none" w:sz="0" w:space="0" w:color="auto"/>
      </w:divBdr>
    </w:div>
    <w:div w:id="1227456187">
      <w:bodyDiv w:val="1"/>
      <w:marLeft w:val="0"/>
      <w:marRight w:val="0"/>
      <w:marTop w:val="0"/>
      <w:marBottom w:val="0"/>
      <w:divBdr>
        <w:top w:val="none" w:sz="0" w:space="0" w:color="auto"/>
        <w:left w:val="none" w:sz="0" w:space="0" w:color="auto"/>
        <w:bottom w:val="none" w:sz="0" w:space="0" w:color="auto"/>
        <w:right w:val="none" w:sz="0" w:space="0" w:color="auto"/>
      </w:divBdr>
    </w:div>
    <w:div w:id="1229269484">
      <w:bodyDiv w:val="1"/>
      <w:marLeft w:val="0"/>
      <w:marRight w:val="0"/>
      <w:marTop w:val="0"/>
      <w:marBottom w:val="0"/>
      <w:divBdr>
        <w:top w:val="none" w:sz="0" w:space="0" w:color="auto"/>
        <w:left w:val="none" w:sz="0" w:space="0" w:color="auto"/>
        <w:bottom w:val="none" w:sz="0" w:space="0" w:color="auto"/>
        <w:right w:val="none" w:sz="0" w:space="0" w:color="auto"/>
      </w:divBdr>
    </w:div>
    <w:div w:id="1235967521">
      <w:bodyDiv w:val="1"/>
      <w:marLeft w:val="0"/>
      <w:marRight w:val="0"/>
      <w:marTop w:val="0"/>
      <w:marBottom w:val="0"/>
      <w:divBdr>
        <w:top w:val="none" w:sz="0" w:space="0" w:color="auto"/>
        <w:left w:val="none" w:sz="0" w:space="0" w:color="auto"/>
        <w:bottom w:val="none" w:sz="0" w:space="0" w:color="auto"/>
        <w:right w:val="none" w:sz="0" w:space="0" w:color="auto"/>
      </w:divBdr>
    </w:div>
    <w:div w:id="1239511096">
      <w:bodyDiv w:val="1"/>
      <w:marLeft w:val="0"/>
      <w:marRight w:val="0"/>
      <w:marTop w:val="0"/>
      <w:marBottom w:val="0"/>
      <w:divBdr>
        <w:top w:val="none" w:sz="0" w:space="0" w:color="auto"/>
        <w:left w:val="none" w:sz="0" w:space="0" w:color="auto"/>
        <w:bottom w:val="none" w:sz="0" w:space="0" w:color="auto"/>
        <w:right w:val="none" w:sz="0" w:space="0" w:color="auto"/>
      </w:divBdr>
    </w:div>
    <w:div w:id="1250701987">
      <w:bodyDiv w:val="1"/>
      <w:marLeft w:val="0"/>
      <w:marRight w:val="0"/>
      <w:marTop w:val="0"/>
      <w:marBottom w:val="0"/>
      <w:divBdr>
        <w:top w:val="none" w:sz="0" w:space="0" w:color="auto"/>
        <w:left w:val="none" w:sz="0" w:space="0" w:color="auto"/>
        <w:bottom w:val="none" w:sz="0" w:space="0" w:color="auto"/>
        <w:right w:val="none" w:sz="0" w:space="0" w:color="auto"/>
      </w:divBdr>
    </w:div>
    <w:div w:id="1253008994">
      <w:bodyDiv w:val="1"/>
      <w:marLeft w:val="0"/>
      <w:marRight w:val="0"/>
      <w:marTop w:val="0"/>
      <w:marBottom w:val="0"/>
      <w:divBdr>
        <w:top w:val="none" w:sz="0" w:space="0" w:color="auto"/>
        <w:left w:val="none" w:sz="0" w:space="0" w:color="auto"/>
        <w:bottom w:val="none" w:sz="0" w:space="0" w:color="auto"/>
        <w:right w:val="none" w:sz="0" w:space="0" w:color="auto"/>
      </w:divBdr>
    </w:div>
    <w:div w:id="1257059476">
      <w:bodyDiv w:val="1"/>
      <w:marLeft w:val="0"/>
      <w:marRight w:val="0"/>
      <w:marTop w:val="0"/>
      <w:marBottom w:val="0"/>
      <w:divBdr>
        <w:top w:val="none" w:sz="0" w:space="0" w:color="auto"/>
        <w:left w:val="none" w:sz="0" w:space="0" w:color="auto"/>
        <w:bottom w:val="none" w:sz="0" w:space="0" w:color="auto"/>
        <w:right w:val="none" w:sz="0" w:space="0" w:color="auto"/>
      </w:divBdr>
    </w:div>
    <w:div w:id="1263294673">
      <w:bodyDiv w:val="1"/>
      <w:marLeft w:val="0"/>
      <w:marRight w:val="0"/>
      <w:marTop w:val="0"/>
      <w:marBottom w:val="0"/>
      <w:divBdr>
        <w:top w:val="none" w:sz="0" w:space="0" w:color="auto"/>
        <w:left w:val="none" w:sz="0" w:space="0" w:color="auto"/>
        <w:bottom w:val="none" w:sz="0" w:space="0" w:color="auto"/>
        <w:right w:val="none" w:sz="0" w:space="0" w:color="auto"/>
      </w:divBdr>
    </w:div>
    <w:div w:id="1279677554">
      <w:bodyDiv w:val="1"/>
      <w:marLeft w:val="0"/>
      <w:marRight w:val="0"/>
      <w:marTop w:val="0"/>
      <w:marBottom w:val="0"/>
      <w:divBdr>
        <w:top w:val="none" w:sz="0" w:space="0" w:color="auto"/>
        <w:left w:val="none" w:sz="0" w:space="0" w:color="auto"/>
        <w:bottom w:val="none" w:sz="0" w:space="0" w:color="auto"/>
        <w:right w:val="none" w:sz="0" w:space="0" w:color="auto"/>
      </w:divBdr>
    </w:div>
    <w:div w:id="1288006396">
      <w:bodyDiv w:val="1"/>
      <w:marLeft w:val="0"/>
      <w:marRight w:val="0"/>
      <w:marTop w:val="0"/>
      <w:marBottom w:val="0"/>
      <w:divBdr>
        <w:top w:val="none" w:sz="0" w:space="0" w:color="auto"/>
        <w:left w:val="none" w:sz="0" w:space="0" w:color="auto"/>
        <w:bottom w:val="none" w:sz="0" w:space="0" w:color="auto"/>
        <w:right w:val="none" w:sz="0" w:space="0" w:color="auto"/>
      </w:divBdr>
    </w:div>
    <w:div w:id="1297833414">
      <w:bodyDiv w:val="1"/>
      <w:marLeft w:val="0"/>
      <w:marRight w:val="0"/>
      <w:marTop w:val="0"/>
      <w:marBottom w:val="0"/>
      <w:divBdr>
        <w:top w:val="none" w:sz="0" w:space="0" w:color="auto"/>
        <w:left w:val="none" w:sz="0" w:space="0" w:color="auto"/>
        <w:bottom w:val="none" w:sz="0" w:space="0" w:color="auto"/>
        <w:right w:val="none" w:sz="0" w:space="0" w:color="auto"/>
      </w:divBdr>
    </w:div>
    <w:div w:id="1305695694">
      <w:bodyDiv w:val="1"/>
      <w:marLeft w:val="0"/>
      <w:marRight w:val="0"/>
      <w:marTop w:val="0"/>
      <w:marBottom w:val="0"/>
      <w:divBdr>
        <w:top w:val="none" w:sz="0" w:space="0" w:color="auto"/>
        <w:left w:val="none" w:sz="0" w:space="0" w:color="auto"/>
        <w:bottom w:val="none" w:sz="0" w:space="0" w:color="auto"/>
        <w:right w:val="none" w:sz="0" w:space="0" w:color="auto"/>
      </w:divBdr>
    </w:div>
    <w:div w:id="1324507333">
      <w:bodyDiv w:val="1"/>
      <w:marLeft w:val="0"/>
      <w:marRight w:val="0"/>
      <w:marTop w:val="0"/>
      <w:marBottom w:val="0"/>
      <w:divBdr>
        <w:top w:val="none" w:sz="0" w:space="0" w:color="auto"/>
        <w:left w:val="none" w:sz="0" w:space="0" w:color="auto"/>
        <w:bottom w:val="none" w:sz="0" w:space="0" w:color="auto"/>
        <w:right w:val="none" w:sz="0" w:space="0" w:color="auto"/>
      </w:divBdr>
    </w:div>
    <w:div w:id="1344894386">
      <w:bodyDiv w:val="1"/>
      <w:marLeft w:val="0"/>
      <w:marRight w:val="0"/>
      <w:marTop w:val="0"/>
      <w:marBottom w:val="0"/>
      <w:divBdr>
        <w:top w:val="none" w:sz="0" w:space="0" w:color="auto"/>
        <w:left w:val="none" w:sz="0" w:space="0" w:color="auto"/>
        <w:bottom w:val="none" w:sz="0" w:space="0" w:color="auto"/>
        <w:right w:val="none" w:sz="0" w:space="0" w:color="auto"/>
      </w:divBdr>
    </w:div>
    <w:div w:id="1359232538">
      <w:bodyDiv w:val="1"/>
      <w:marLeft w:val="0"/>
      <w:marRight w:val="0"/>
      <w:marTop w:val="0"/>
      <w:marBottom w:val="0"/>
      <w:divBdr>
        <w:top w:val="none" w:sz="0" w:space="0" w:color="auto"/>
        <w:left w:val="none" w:sz="0" w:space="0" w:color="auto"/>
        <w:bottom w:val="none" w:sz="0" w:space="0" w:color="auto"/>
        <w:right w:val="none" w:sz="0" w:space="0" w:color="auto"/>
      </w:divBdr>
    </w:div>
    <w:div w:id="1399670368">
      <w:bodyDiv w:val="1"/>
      <w:marLeft w:val="0"/>
      <w:marRight w:val="0"/>
      <w:marTop w:val="0"/>
      <w:marBottom w:val="0"/>
      <w:divBdr>
        <w:top w:val="none" w:sz="0" w:space="0" w:color="auto"/>
        <w:left w:val="none" w:sz="0" w:space="0" w:color="auto"/>
        <w:bottom w:val="none" w:sz="0" w:space="0" w:color="auto"/>
        <w:right w:val="none" w:sz="0" w:space="0" w:color="auto"/>
      </w:divBdr>
    </w:div>
    <w:div w:id="1429275116">
      <w:bodyDiv w:val="1"/>
      <w:marLeft w:val="0"/>
      <w:marRight w:val="0"/>
      <w:marTop w:val="0"/>
      <w:marBottom w:val="0"/>
      <w:divBdr>
        <w:top w:val="none" w:sz="0" w:space="0" w:color="auto"/>
        <w:left w:val="none" w:sz="0" w:space="0" w:color="auto"/>
        <w:bottom w:val="none" w:sz="0" w:space="0" w:color="auto"/>
        <w:right w:val="none" w:sz="0" w:space="0" w:color="auto"/>
      </w:divBdr>
    </w:div>
    <w:div w:id="1463763228">
      <w:bodyDiv w:val="1"/>
      <w:marLeft w:val="0"/>
      <w:marRight w:val="0"/>
      <w:marTop w:val="0"/>
      <w:marBottom w:val="0"/>
      <w:divBdr>
        <w:top w:val="none" w:sz="0" w:space="0" w:color="auto"/>
        <w:left w:val="none" w:sz="0" w:space="0" w:color="auto"/>
        <w:bottom w:val="none" w:sz="0" w:space="0" w:color="auto"/>
        <w:right w:val="none" w:sz="0" w:space="0" w:color="auto"/>
      </w:divBdr>
    </w:div>
    <w:div w:id="1469474540">
      <w:bodyDiv w:val="1"/>
      <w:marLeft w:val="0"/>
      <w:marRight w:val="0"/>
      <w:marTop w:val="0"/>
      <w:marBottom w:val="0"/>
      <w:divBdr>
        <w:top w:val="none" w:sz="0" w:space="0" w:color="auto"/>
        <w:left w:val="none" w:sz="0" w:space="0" w:color="auto"/>
        <w:bottom w:val="none" w:sz="0" w:space="0" w:color="auto"/>
        <w:right w:val="none" w:sz="0" w:space="0" w:color="auto"/>
      </w:divBdr>
    </w:div>
    <w:div w:id="1479876342">
      <w:bodyDiv w:val="1"/>
      <w:marLeft w:val="0"/>
      <w:marRight w:val="0"/>
      <w:marTop w:val="0"/>
      <w:marBottom w:val="0"/>
      <w:divBdr>
        <w:top w:val="none" w:sz="0" w:space="0" w:color="auto"/>
        <w:left w:val="none" w:sz="0" w:space="0" w:color="auto"/>
        <w:bottom w:val="none" w:sz="0" w:space="0" w:color="auto"/>
        <w:right w:val="none" w:sz="0" w:space="0" w:color="auto"/>
      </w:divBdr>
    </w:div>
    <w:div w:id="1492596092">
      <w:bodyDiv w:val="1"/>
      <w:marLeft w:val="0"/>
      <w:marRight w:val="0"/>
      <w:marTop w:val="0"/>
      <w:marBottom w:val="0"/>
      <w:divBdr>
        <w:top w:val="none" w:sz="0" w:space="0" w:color="auto"/>
        <w:left w:val="none" w:sz="0" w:space="0" w:color="auto"/>
        <w:bottom w:val="none" w:sz="0" w:space="0" w:color="auto"/>
        <w:right w:val="none" w:sz="0" w:space="0" w:color="auto"/>
      </w:divBdr>
    </w:div>
    <w:div w:id="1493915012">
      <w:bodyDiv w:val="1"/>
      <w:marLeft w:val="0"/>
      <w:marRight w:val="0"/>
      <w:marTop w:val="0"/>
      <w:marBottom w:val="0"/>
      <w:divBdr>
        <w:top w:val="none" w:sz="0" w:space="0" w:color="auto"/>
        <w:left w:val="none" w:sz="0" w:space="0" w:color="auto"/>
        <w:bottom w:val="none" w:sz="0" w:space="0" w:color="auto"/>
        <w:right w:val="none" w:sz="0" w:space="0" w:color="auto"/>
      </w:divBdr>
    </w:div>
    <w:div w:id="1502046029">
      <w:bodyDiv w:val="1"/>
      <w:marLeft w:val="0"/>
      <w:marRight w:val="0"/>
      <w:marTop w:val="0"/>
      <w:marBottom w:val="0"/>
      <w:divBdr>
        <w:top w:val="none" w:sz="0" w:space="0" w:color="auto"/>
        <w:left w:val="none" w:sz="0" w:space="0" w:color="auto"/>
        <w:bottom w:val="none" w:sz="0" w:space="0" w:color="auto"/>
        <w:right w:val="none" w:sz="0" w:space="0" w:color="auto"/>
      </w:divBdr>
    </w:div>
    <w:div w:id="1503859805">
      <w:bodyDiv w:val="1"/>
      <w:marLeft w:val="0"/>
      <w:marRight w:val="0"/>
      <w:marTop w:val="0"/>
      <w:marBottom w:val="0"/>
      <w:divBdr>
        <w:top w:val="none" w:sz="0" w:space="0" w:color="auto"/>
        <w:left w:val="none" w:sz="0" w:space="0" w:color="auto"/>
        <w:bottom w:val="none" w:sz="0" w:space="0" w:color="auto"/>
        <w:right w:val="none" w:sz="0" w:space="0" w:color="auto"/>
      </w:divBdr>
    </w:div>
    <w:div w:id="1511144622">
      <w:bodyDiv w:val="1"/>
      <w:marLeft w:val="0"/>
      <w:marRight w:val="0"/>
      <w:marTop w:val="0"/>
      <w:marBottom w:val="0"/>
      <w:divBdr>
        <w:top w:val="none" w:sz="0" w:space="0" w:color="auto"/>
        <w:left w:val="none" w:sz="0" w:space="0" w:color="auto"/>
        <w:bottom w:val="none" w:sz="0" w:space="0" w:color="auto"/>
        <w:right w:val="none" w:sz="0" w:space="0" w:color="auto"/>
      </w:divBdr>
    </w:div>
    <w:div w:id="1511875212">
      <w:bodyDiv w:val="1"/>
      <w:marLeft w:val="0"/>
      <w:marRight w:val="0"/>
      <w:marTop w:val="0"/>
      <w:marBottom w:val="0"/>
      <w:divBdr>
        <w:top w:val="none" w:sz="0" w:space="0" w:color="auto"/>
        <w:left w:val="none" w:sz="0" w:space="0" w:color="auto"/>
        <w:bottom w:val="none" w:sz="0" w:space="0" w:color="auto"/>
        <w:right w:val="none" w:sz="0" w:space="0" w:color="auto"/>
      </w:divBdr>
    </w:div>
    <w:div w:id="1522889646">
      <w:bodyDiv w:val="1"/>
      <w:marLeft w:val="0"/>
      <w:marRight w:val="0"/>
      <w:marTop w:val="0"/>
      <w:marBottom w:val="0"/>
      <w:divBdr>
        <w:top w:val="none" w:sz="0" w:space="0" w:color="auto"/>
        <w:left w:val="none" w:sz="0" w:space="0" w:color="auto"/>
        <w:bottom w:val="none" w:sz="0" w:space="0" w:color="auto"/>
        <w:right w:val="none" w:sz="0" w:space="0" w:color="auto"/>
      </w:divBdr>
      <w:divsChild>
        <w:div w:id="460266830">
          <w:marLeft w:val="0"/>
          <w:marRight w:val="0"/>
          <w:marTop w:val="0"/>
          <w:marBottom w:val="0"/>
          <w:divBdr>
            <w:top w:val="none" w:sz="0" w:space="0" w:color="auto"/>
            <w:left w:val="none" w:sz="0" w:space="0" w:color="auto"/>
            <w:bottom w:val="none" w:sz="0" w:space="0" w:color="auto"/>
            <w:right w:val="none" w:sz="0" w:space="0" w:color="auto"/>
          </w:divBdr>
          <w:divsChild>
            <w:div w:id="3823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002">
      <w:bodyDiv w:val="1"/>
      <w:marLeft w:val="0"/>
      <w:marRight w:val="0"/>
      <w:marTop w:val="0"/>
      <w:marBottom w:val="0"/>
      <w:divBdr>
        <w:top w:val="none" w:sz="0" w:space="0" w:color="auto"/>
        <w:left w:val="none" w:sz="0" w:space="0" w:color="auto"/>
        <w:bottom w:val="none" w:sz="0" w:space="0" w:color="auto"/>
        <w:right w:val="none" w:sz="0" w:space="0" w:color="auto"/>
      </w:divBdr>
    </w:div>
    <w:div w:id="1539123072">
      <w:bodyDiv w:val="1"/>
      <w:marLeft w:val="0"/>
      <w:marRight w:val="0"/>
      <w:marTop w:val="0"/>
      <w:marBottom w:val="0"/>
      <w:divBdr>
        <w:top w:val="none" w:sz="0" w:space="0" w:color="auto"/>
        <w:left w:val="none" w:sz="0" w:space="0" w:color="auto"/>
        <w:bottom w:val="none" w:sz="0" w:space="0" w:color="auto"/>
        <w:right w:val="none" w:sz="0" w:space="0" w:color="auto"/>
      </w:divBdr>
    </w:div>
    <w:div w:id="1543009145">
      <w:bodyDiv w:val="1"/>
      <w:marLeft w:val="0"/>
      <w:marRight w:val="0"/>
      <w:marTop w:val="0"/>
      <w:marBottom w:val="0"/>
      <w:divBdr>
        <w:top w:val="none" w:sz="0" w:space="0" w:color="auto"/>
        <w:left w:val="none" w:sz="0" w:space="0" w:color="auto"/>
        <w:bottom w:val="none" w:sz="0" w:space="0" w:color="auto"/>
        <w:right w:val="none" w:sz="0" w:space="0" w:color="auto"/>
      </w:divBdr>
    </w:div>
    <w:div w:id="1556356127">
      <w:bodyDiv w:val="1"/>
      <w:marLeft w:val="0"/>
      <w:marRight w:val="0"/>
      <w:marTop w:val="0"/>
      <w:marBottom w:val="0"/>
      <w:divBdr>
        <w:top w:val="none" w:sz="0" w:space="0" w:color="auto"/>
        <w:left w:val="none" w:sz="0" w:space="0" w:color="auto"/>
        <w:bottom w:val="none" w:sz="0" w:space="0" w:color="auto"/>
        <w:right w:val="none" w:sz="0" w:space="0" w:color="auto"/>
      </w:divBdr>
    </w:div>
    <w:div w:id="1559240624">
      <w:bodyDiv w:val="1"/>
      <w:marLeft w:val="0"/>
      <w:marRight w:val="0"/>
      <w:marTop w:val="0"/>
      <w:marBottom w:val="0"/>
      <w:divBdr>
        <w:top w:val="none" w:sz="0" w:space="0" w:color="auto"/>
        <w:left w:val="none" w:sz="0" w:space="0" w:color="auto"/>
        <w:bottom w:val="none" w:sz="0" w:space="0" w:color="auto"/>
        <w:right w:val="none" w:sz="0" w:space="0" w:color="auto"/>
      </w:divBdr>
    </w:div>
    <w:div w:id="1584686373">
      <w:bodyDiv w:val="1"/>
      <w:marLeft w:val="0"/>
      <w:marRight w:val="0"/>
      <w:marTop w:val="0"/>
      <w:marBottom w:val="0"/>
      <w:divBdr>
        <w:top w:val="none" w:sz="0" w:space="0" w:color="auto"/>
        <w:left w:val="none" w:sz="0" w:space="0" w:color="auto"/>
        <w:bottom w:val="none" w:sz="0" w:space="0" w:color="auto"/>
        <w:right w:val="none" w:sz="0" w:space="0" w:color="auto"/>
      </w:divBdr>
    </w:div>
    <w:div w:id="1592474311">
      <w:bodyDiv w:val="1"/>
      <w:marLeft w:val="0"/>
      <w:marRight w:val="0"/>
      <w:marTop w:val="0"/>
      <w:marBottom w:val="0"/>
      <w:divBdr>
        <w:top w:val="none" w:sz="0" w:space="0" w:color="auto"/>
        <w:left w:val="none" w:sz="0" w:space="0" w:color="auto"/>
        <w:bottom w:val="none" w:sz="0" w:space="0" w:color="auto"/>
        <w:right w:val="none" w:sz="0" w:space="0" w:color="auto"/>
      </w:divBdr>
    </w:div>
    <w:div w:id="1593929763">
      <w:bodyDiv w:val="1"/>
      <w:marLeft w:val="0"/>
      <w:marRight w:val="0"/>
      <w:marTop w:val="0"/>
      <w:marBottom w:val="0"/>
      <w:divBdr>
        <w:top w:val="none" w:sz="0" w:space="0" w:color="auto"/>
        <w:left w:val="none" w:sz="0" w:space="0" w:color="auto"/>
        <w:bottom w:val="none" w:sz="0" w:space="0" w:color="auto"/>
        <w:right w:val="none" w:sz="0" w:space="0" w:color="auto"/>
      </w:divBdr>
    </w:div>
    <w:div w:id="1597860467">
      <w:bodyDiv w:val="1"/>
      <w:marLeft w:val="0"/>
      <w:marRight w:val="0"/>
      <w:marTop w:val="0"/>
      <w:marBottom w:val="0"/>
      <w:divBdr>
        <w:top w:val="none" w:sz="0" w:space="0" w:color="auto"/>
        <w:left w:val="none" w:sz="0" w:space="0" w:color="auto"/>
        <w:bottom w:val="none" w:sz="0" w:space="0" w:color="auto"/>
        <w:right w:val="none" w:sz="0" w:space="0" w:color="auto"/>
      </w:divBdr>
    </w:div>
    <w:div w:id="1612586973">
      <w:bodyDiv w:val="1"/>
      <w:marLeft w:val="0"/>
      <w:marRight w:val="0"/>
      <w:marTop w:val="0"/>
      <w:marBottom w:val="0"/>
      <w:divBdr>
        <w:top w:val="none" w:sz="0" w:space="0" w:color="auto"/>
        <w:left w:val="none" w:sz="0" w:space="0" w:color="auto"/>
        <w:bottom w:val="none" w:sz="0" w:space="0" w:color="auto"/>
        <w:right w:val="none" w:sz="0" w:space="0" w:color="auto"/>
      </w:divBdr>
    </w:div>
    <w:div w:id="1660037286">
      <w:bodyDiv w:val="1"/>
      <w:marLeft w:val="0"/>
      <w:marRight w:val="0"/>
      <w:marTop w:val="0"/>
      <w:marBottom w:val="0"/>
      <w:divBdr>
        <w:top w:val="none" w:sz="0" w:space="0" w:color="auto"/>
        <w:left w:val="none" w:sz="0" w:space="0" w:color="auto"/>
        <w:bottom w:val="none" w:sz="0" w:space="0" w:color="auto"/>
        <w:right w:val="none" w:sz="0" w:space="0" w:color="auto"/>
      </w:divBdr>
    </w:div>
    <w:div w:id="1672567668">
      <w:bodyDiv w:val="1"/>
      <w:marLeft w:val="0"/>
      <w:marRight w:val="0"/>
      <w:marTop w:val="0"/>
      <w:marBottom w:val="0"/>
      <w:divBdr>
        <w:top w:val="none" w:sz="0" w:space="0" w:color="auto"/>
        <w:left w:val="none" w:sz="0" w:space="0" w:color="auto"/>
        <w:bottom w:val="none" w:sz="0" w:space="0" w:color="auto"/>
        <w:right w:val="none" w:sz="0" w:space="0" w:color="auto"/>
      </w:divBdr>
    </w:div>
    <w:div w:id="1683049880">
      <w:bodyDiv w:val="1"/>
      <w:marLeft w:val="0"/>
      <w:marRight w:val="0"/>
      <w:marTop w:val="0"/>
      <w:marBottom w:val="0"/>
      <w:divBdr>
        <w:top w:val="none" w:sz="0" w:space="0" w:color="auto"/>
        <w:left w:val="none" w:sz="0" w:space="0" w:color="auto"/>
        <w:bottom w:val="none" w:sz="0" w:space="0" w:color="auto"/>
        <w:right w:val="none" w:sz="0" w:space="0" w:color="auto"/>
      </w:divBdr>
    </w:div>
    <w:div w:id="1686705849">
      <w:bodyDiv w:val="1"/>
      <w:marLeft w:val="0"/>
      <w:marRight w:val="0"/>
      <w:marTop w:val="0"/>
      <w:marBottom w:val="0"/>
      <w:divBdr>
        <w:top w:val="none" w:sz="0" w:space="0" w:color="auto"/>
        <w:left w:val="none" w:sz="0" w:space="0" w:color="auto"/>
        <w:bottom w:val="none" w:sz="0" w:space="0" w:color="auto"/>
        <w:right w:val="none" w:sz="0" w:space="0" w:color="auto"/>
      </w:divBdr>
    </w:div>
    <w:div w:id="1686831643">
      <w:bodyDiv w:val="1"/>
      <w:marLeft w:val="0"/>
      <w:marRight w:val="0"/>
      <w:marTop w:val="0"/>
      <w:marBottom w:val="0"/>
      <w:divBdr>
        <w:top w:val="none" w:sz="0" w:space="0" w:color="auto"/>
        <w:left w:val="none" w:sz="0" w:space="0" w:color="auto"/>
        <w:bottom w:val="none" w:sz="0" w:space="0" w:color="auto"/>
        <w:right w:val="none" w:sz="0" w:space="0" w:color="auto"/>
      </w:divBdr>
    </w:div>
    <w:div w:id="1697195345">
      <w:bodyDiv w:val="1"/>
      <w:marLeft w:val="0"/>
      <w:marRight w:val="0"/>
      <w:marTop w:val="0"/>
      <w:marBottom w:val="0"/>
      <w:divBdr>
        <w:top w:val="none" w:sz="0" w:space="0" w:color="auto"/>
        <w:left w:val="none" w:sz="0" w:space="0" w:color="auto"/>
        <w:bottom w:val="none" w:sz="0" w:space="0" w:color="auto"/>
        <w:right w:val="none" w:sz="0" w:space="0" w:color="auto"/>
      </w:divBdr>
    </w:div>
    <w:div w:id="1700154818">
      <w:bodyDiv w:val="1"/>
      <w:marLeft w:val="0"/>
      <w:marRight w:val="0"/>
      <w:marTop w:val="0"/>
      <w:marBottom w:val="0"/>
      <w:divBdr>
        <w:top w:val="none" w:sz="0" w:space="0" w:color="auto"/>
        <w:left w:val="none" w:sz="0" w:space="0" w:color="auto"/>
        <w:bottom w:val="none" w:sz="0" w:space="0" w:color="auto"/>
        <w:right w:val="none" w:sz="0" w:space="0" w:color="auto"/>
      </w:divBdr>
    </w:div>
    <w:div w:id="1730029548">
      <w:bodyDiv w:val="1"/>
      <w:marLeft w:val="0"/>
      <w:marRight w:val="0"/>
      <w:marTop w:val="0"/>
      <w:marBottom w:val="0"/>
      <w:divBdr>
        <w:top w:val="none" w:sz="0" w:space="0" w:color="auto"/>
        <w:left w:val="none" w:sz="0" w:space="0" w:color="auto"/>
        <w:bottom w:val="none" w:sz="0" w:space="0" w:color="auto"/>
        <w:right w:val="none" w:sz="0" w:space="0" w:color="auto"/>
      </w:divBdr>
    </w:div>
    <w:div w:id="1731613633">
      <w:bodyDiv w:val="1"/>
      <w:marLeft w:val="0"/>
      <w:marRight w:val="0"/>
      <w:marTop w:val="0"/>
      <w:marBottom w:val="0"/>
      <w:divBdr>
        <w:top w:val="none" w:sz="0" w:space="0" w:color="auto"/>
        <w:left w:val="none" w:sz="0" w:space="0" w:color="auto"/>
        <w:bottom w:val="none" w:sz="0" w:space="0" w:color="auto"/>
        <w:right w:val="none" w:sz="0" w:space="0" w:color="auto"/>
      </w:divBdr>
    </w:div>
    <w:div w:id="1744253942">
      <w:bodyDiv w:val="1"/>
      <w:marLeft w:val="0"/>
      <w:marRight w:val="0"/>
      <w:marTop w:val="0"/>
      <w:marBottom w:val="0"/>
      <w:divBdr>
        <w:top w:val="none" w:sz="0" w:space="0" w:color="auto"/>
        <w:left w:val="none" w:sz="0" w:space="0" w:color="auto"/>
        <w:bottom w:val="none" w:sz="0" w:space="0" w:color="auto"/>
        <w:right w:val="none" w:sz="0" w:space="0" w:color="auto"/>
      </w:divBdr>
    </w:div>
    <w:div w:id="1746146069">
      <w:bodyDiv w:val="1"/>
      <w:marLeft w:val="0"/>
      <w:marRight w:val="0"/>
      <w:marTop w:val="0"/>
      <w:marBottom w:val="0"/>
      <w:divBdr>
        <w:top w:val="none" w:sz="0" w:space="0" w:color="auto"/>
        <w:left w:val="none" w:sz="0" w:space="0" w:color="auto"/>
        <w:bottom w:val="none" w:sz="0" w:space="0" w:color="auto"/>
        <w:right w:val="none" w:sz="0" w:space="0" w:color="auto"/>
      </w:divBdr>
    </w:div>
    <w:div w:id="1762020374">
      <w:bodyDiv w:val="1"/>
      <w:marLeft w:val="0"/>
      <w:marRight w:val="0"/>
      <w:marTop w:val="0"/>
      <w:marBottom w:val="0"/>
      <w:divBdr>
        <w:top w:val="none" w:sz="0" w:space="0" w:color="auto"/>
        <w:left w:val="none" w:sz="0" w:space="0" w:color="auto"/>
        <w:bottom w:val="none" w:sz="0" w:space="0" w:color="auto"/>
        <w:right w:val="none" w:sz="0" w:space="0" w:color="auto"/>
      </w:divBdr>
    </w:div>
    <w:div w:id="1763917187">
      <w:bodyDiv w:val="1"/>
      <w:marLeft w:val="0"/>
      <w:marRight w:val="0"/>
      <w:marTop w:val="0"/>
      <w:marBottom w:val="0"/>
      <w:divBdr>
        <w:top w:val="none" w:sz="0" w:space="0" w:color="auto"/>
        <w:left w:val="none" w:sz="0" w:space="0" w:color="auto"/>
        <w:bottom w:val="none" w:sz="0" w:space="0" w:color="auto"/>
        <w:right w:val="none" w:sz="0" w:space="0" w:color="auto"/>
      </w:divBdr>
    </w:div>
    <w:div w:id="1774281855">
      <w:bodyDiv w:val="1"/>
      <w:marLeft w:val="0"/>
      <w:marRight w:val="0"/>
      <w:marTop w:val="0"/>
      <w:marBottom w:val="0"/>
      <w:divBdr>
        <w:top w:val="none" w:sz="0" w:space="0" w:color="auto"/>
        <w:left w:val="none" w:sz="0" w:space="0" w:color="auto"/>
        <w:bottom w:val="none" w:sz="0" w:space="0" w:color="auto"/>
        <w:right w:val="none" w:sz="0" w:space="0" w:color="auto"/>
      </w:divBdr>
    </w:div>
    <w:div w:id="1783305615">
      <w:bodyDiv w:val="1"/>
      <w:marLeft w:val="0"/>
      <w:marRight w:val="0"/>
      <w:marTop w:val="0"/>
      <w:marBottom w:val="0"/>
      <w:divBdr>
        <w:top w:val="none" w:sz="0" w:space="0" w:color="auto"/>
        <w:left w:val="none" w:sz="0" w:space="0" w:color="auto"/>
        <w:bottom w:val="none" w:sz="0" w:space="0" w:color="auto"/>
        <w:right w:val="none" w:sz="0" w:space="0" w:color="auto"/>
      </w:divBdr>
    </w:div>
    <w:div w:id="1787693426">
      <w:bodyDiv w:val="1"/>
      <w:marLeft w:val="0"/>
      <w:marRight w:val="0"/>
      <w:marTop w:val="0"/>
      <w:marBottom w:val="0"/>
      <w:divBdr>
        <w:top w:val="none" w:sz="0" w:space="0" w:color="auto"/>
        <w:left w:val="none" w:sz="0" w:space="0" w:color="auto"/>
        <w:bottom w:val="none" w:sz="0" w:space="0" w:color="auto"/>
        <w:right w:val="none" w:sz="0" w:space="0" w:color="auto"/>
      </w:divBdr>
    </w:div>
    <w:div w:id="1812012901">
      <w:bodyDiv w:val="1"/>
      <w:marLeft w:val="0"/>
      <w:marRight w:val="0"/>
      <w:marTop w:val="0"/>
      <w:marBottom w:val="0"/>
      <w:divBdr>
        <w:top w:val="none" w:sz="0" w:space="0" w:color="auto"/>
        <w:left w:val="none" w:sz="0" w:space="0" w:color="auto"/>
        <w:bottom w:val="none" w:sz="0" w:space="0" w:color="auto"/>
        <w:right w:val="none" w:sz="0" w:space="0" w:color="auto"/>
      </w:divBdr>
    </w:div>
    <w:div w:id="1830561918">
      <w:bodyDiv w:val="1"/>
      <w:marLeft w:val="0"/>
      <w:marRight w:val="0"/>
      <w:marTop w:val="0"/>
      <w:marBottom w:val="0"/>
      <w:divBdr>
        <w:top w:val="none" w:sz="0" w:space="0" w:color="auto"/>
        <w:left w:val="none" w:sz="0" w:space="0" w:color="auto"/>
        <w:bottom w:val="none" w:sz="0" w:space="0" w:color="auto"/>
        <w:right w:val="none" w:sz="0" w:space="0" w:color="auto"/>
      </w:divBdr>
    </w:div>
    <w:div w:id="1839612463">
      <w:bodyDiv w:val="1"/>
      <w:marLeft w:val="0"/>
      <w:marRight w:val="0"/>
      <w:marTop w:val="0"/>
      <w:marBottom w:val="0"/>
      <w:divBdr>
        <w:top w:val="none" w:sz="0" w:space="0" w:color="auto"/>
        <w:left w:val="none" w:sz="0" w:space="0" w:color="auto"/>
        <w:bottom w:val="none" w:sz="0" w:space="0" w:color="auto"/>
        <w:right w:val="none" w:sz="0" w:space="0" w:color="auto"/>
      </w:divBdr>
    </w:div>
    <w:div w:id="1854949687">
      <w:bodyDiv w:val="1"/>
      <w:marLeft w:val="0"/>
      <w:marRight w:val="0"/>
      <w:marTop w:val="0"/>
      <w:marBottom w:val="0"/>
      <w:divBdr>
        <w:top w:val="none" w:sz="0" w:space="0" w:color="auto"/>
        <w:left w:val="none" w:sz="0" w:space="0" w:color="auto"/>
        <w:bottom w:val="none" w:sz="0" w:space="0" w:color="auto"/>
        <w:right w:val="none" w:sz="0" w:space="0" w:color="auto"/>
      </w:divBdr>
    </w:div>
    <w:div w:id="1899049236">
      <w:bodyDiv w:val="1"/>
      <w:marLeft w:val="0"/>
      <w:marRight w:val="0"/>
      <w:marTop w:val="0"/>
      <w:marBottom w:val="0"/>
      <w:divBdr>
        <w:top w:val="none" w:sz="0" w:space="0" w:color="auto"/>
        <w:left w:val="none" w:sz="0" w:space="0" w:color="auto"/>
        <w:bottom w:val="none" w:sz="0" w:space="0" w:color="auto"/>
        <w:right w:val="none" w:sz="0" w:space="0" w:color="auto"/>
      </w:divBdr>
    </w:div>
    <w:div w:id="1912735131">
      <w:bodyDiv w:val="1"/>
      <w:marLeft w:val="0"/>
      <w:marRight w:val="0"/>
      <w:marTop w:val="0"/>
      <w:marBottom w:val="0"/>
      <w:divBdr>
        <w:top w:val="none" w:sz="0" w:space="0" w:color="auto"/>
        <w:left w:val="none" w:sz="0" w:space="0" w:color="auto"/>
        <w:bottom w:val="none" w:sz="0" w:space="0" w:color="auto"/>
        <w:right w:val="none" w:sz="0" w:space="0" w:color="auto"/>
      </w:divBdr>
    </w:div>
    <w:div w:id="1921519819">
      <w:bodyDiv w:val="1"/>
      <w:marLeft w:val="0"/>
      <w:marRight w:val="0"/>
      <w:marTop w:val="0"/>
      <w:marBottom w:val="0"/>
      <w:divBdr>
        <w:top w:val="none" w:sz="0" w:space="0" w:color="auto"/>
        <w:left w:val="none" w:sz="0" w:space="0" w:color="auto"/>
        <w:bottom w:val="none" w:sz="0" w:space="0" w:color="auto"/>
        <w:right w:val="none" w:sz="0" w:space="0" w:color="auto"/>
      </w:divBdr>
    </w:div>
    <w:div w:id="1924096340">
      <w:bodyDiv w:val="1"/>
      <w:marLeft w:val="0"/>
      <w:marRight w:val="0"/>
      <w:marTop w:val="0"/>
      <w:marBottom w:val="0"/>
      <w:divBdr>
        <w:top w:val="none" w:sz="0" w:space="0" w:color="auto"/>
        <w:left w:val="none" w:sz="0" w:space="0" w:color="auto"/>
        <w:bottom w:val="none" w:sz="0" w:space="0" w:color="auto"/>
        <w:right w:val="none" w:sz="0" w:space="0" w:color="auto"/>
      </w:divBdr>
    </w:div>
    <w:div w:id="1932854549">
      <w:bodyDiv w:val="1"/>
      <w:marLeft w:val="0"/>
      <w:marRight w:val="0"/>
      <w:marTop w:val="0"/>
      <w:marBottom w:val="0"/>
      <w:divBdr>
        <w:top w:val="none" w:sz="0" w:space="0" w:color="auto"/>
        <w:left w:val="none" w:sz="0" w:space="0" w:color="auto"/>
        <w:bottom w:val="none" w:sz="0" w:space="0" w:color="auto"/>
        <w:right w:val="none" w:sz="0" w:space="0" w:color="auto"/>
      </w:divBdr>
    </w:div>
    <w:div w:id="1940988209">
      <w:bodyDiv w:val="1"/>
      <w:marLeft w:val="0"/>
      <w:marRight w:val="0"/>
      <w:marTop w:val="0"/>
      <w:marBottom w:val="0"/>
      <w:divBdr>
        <w:top w:val="none" w:sz="0" w:space="0" w:color="auto"/>
        <w:left w:val="none" w:sz="0" w:space="0" w:color="auto"/>
        <w:bottom w:val="none" w:sz="0" w:space="0" w:color="auto"/>
        <w:right w:val="none" w:sz="0" w:space="0" w:color="auto"/>
      </w:divBdr>
    </w:div>
    <w:div w:id="1943754562">
      <w:bodyDiv w:val="1"/>
      <w:marLeft w:val="0"/>
      <w:marRight w:val="0"/>
      <w:marTop w:val="0"/>
      <w:marBottom w:val="0"/>
      <w:divBdr>
        <w:top w:val="none" w:sz="0" w:space="0" w:color="auto"/>
        <w:left w:val="none" w:sz="0" w:space="0" w:color="auto"/>
        <w:bottom w:val="none" w:sz="0" w:space="0" w:color="auto"/>
        <w:right w:val="none" w:sz="0" w:space="0" w:color="auto"/>
      </w:divBdr>
    </w:div>
    <w:div w:id="1958292092">
      <w:bodyDiv w:val="1"/>
      <w:marLeft w:val="0"/>
      <w:marRight w:val="0"/>
      <w:marTop w:val="0"/>
      <w:marBottom w:val="0"/>
      <w:divBdr>
        <w:top w:val="none" w:sz="0" w:space="0" w:color="auto"/>
        <w:left w:val="none" w:sz="0" w:space="0" w:color="auto"/>
        <w:bottom w:val="none" w:sz="0" w:space="0" w:color="auto"/>
        <w:right w:val="none" w:sz="0" w:space="0" w:color="auto"/>
      </w:divBdr>
    </w:div>
    <w:div w:id="1961371630">
      <w:bodyDiv w:val="1"/>
      <w:marLeft w:val="0"/>
      <w:marRight w:val="0"/>
      <w:marTop w:val="0"/>
      <w:marBottom w:val="0"/>
      <w:divBdr>
        <w:top w:val="none" w:sz="0" w:space="0" w:color="auto"/>
        <w:left w:val="none" w:sz="0" w:space="0" w:color="auto"/>
        <w:bottom w:val="none" w:sz="0" w:space="0" w:color="auto"/>
        <w:right w:val="none" w:sz="0" w:space="0" w:color="auto"/>
      </w:divBdr>
    </w:div>
    <w:div w:id="1963881686">
      <w:bodyDiv w:val="1"/>
      <w:marLeft w:val="0"/>
      <w:marRight w:val="0"/>
      <w:marTop w:val="0"/>
      <w:marBottom w:val="0"/>
      <w:divBdr>
        <w:top w:val="none" w:sz="0" w:space="0" w:color="auto"/>
        <w:left w:val="none" w:sz="0" w:space="0" w:color="auto"/>
        <w:bottom w:val="none" w:sz="0" w:space="0" w:color="auto"/>
        <w:right w:val="none" w:sz="0" w:space="0" w:color="auto"/>
      </w:divBdr>
    </w:div>
    <w:div w:id="1977710667">
      <w:bodyDiv w:val="1"/>
      <w:marLeft w:val="0"/>
      <w:marRight w:val="0"/>
      <w:marTop w:val="0"/>
      <w:marBottom w:val="0"/>
      <w:divBdr>
        <w:top w:val="none" w:sz="0" w:space="0" w:color="auto"/>
        <w:left w:val="none" w:sz="0" w:space="0" w:color="auto"/>
        <w:bottom w:val="none" w:sz="0" w:space="0" w:color="auto"/>
        <w:right w:val="none" w:sz="0" w:space="0" w:color="auto"/>
      </w:divBdr>
    </w:div>
    <w:div w:id="1987782353">
      <w:bodyDiv w:val="1"/>
      <w:marLeft w:val="0"/>
      <w:marRight w:val="0"/>
      <w:marTop w:val="0"/>
      <w:marBottom w:val="0"/>
      <w:divBdr>
        <w:top w:val="none" w:sz="0" w:space="0" w:color="auto"/>
        <w:left w:val="none" w:sz="0" w:space="0" w:color="auto"/>
        <w:bottom w:val="none" w:sz="0" w:space="0" w:color="auto"/>
        <w:right w:val="none" w:sz="0" w:space="0" w:color="auto"/>
      </w:divBdr>
    </w:div>
    <w:div w:id="2016347380">
      <w:bodyDiv w:val="1"/>
      <w:marLeft w:val="0"/>
      <w:marRight w:val="0"/>
      <w:marTop w:val="0"/>
      <w:marBottom w:val="0"/>
      <w:divBdr>
        <w:top w:val="none" w:sz="0" w:space="0" w:color="auto"/>
        <w:left w:val="none" w:sz="0" w:space="0" w:color="auto"/>
        <w:bottom w:val="none" w:sz="0" w:space="0" w:color="auto"/>
        <w:right w:val="none" w:sz="0" w:space="0" w:color="auto"/>
      </w:divBdr>
    </w:div>
    <w:div w:id="2028943179">
      <w:bodyDiv w:val="1"/>
      <w:marLeft w:val="0"/>
      <w:marRight w:val="0"/>
      <w:marTop w:val="0"/>
      <w:marBottom w:val="0"/>
      <w:divBdr>
        <w:top w:val="none" w:sz="0" w:space="0" w:color="auto"/>
        <w:left w:val="none" w:sz="0" w:space="0" w:color="auto"/>
        <w:bottom w:val="none" w:sz="0" w:space="0" w:color="auto"/>
        <w:right w:val="none" w:sz="0" w:space="0" w:color="auto"/>
      </w:divBdr>
    </w:div>
    <w:div w:id="2039507411">
      <w:bodyDiv w:val="1"/>
      <w:marLeft w:val="0"/>
      <w:marRight w:val="0"/>
      <w:marTop w:val="0"/>
      <w:marBottom w:val="0"/>
      <w:divBdr>
        <w:top w:val="none" w:sz="0" w:space="0" w:color="auto"/>
        <w:left w:val="none" w:sz="0" w:space="0" w:color="auto"/>
        <w:bottom w:val="none" w:sz="0" w:space="0" w:color="auto"/>
        <w:right w:val="none" w:sz="0" w:space="0" w:color="auto"/>
      </w:divBdr>
    </w:div>
    <w:div w:id="2046632753">
      <w:bodyDiv w:val="1"/>
      <w:marLeft w:val="0"/>
      <w:marRight w:val="0"/>
      <w:marTop w:val="0"/>
      <w:marBottom w:val="0"/>
      <w:divBdr>
        <w:top w:val="none" w:sz="0" w:space="0" w:color="auto"/>
        <w:left w:val="none" w:sz="0" w:space="0" w:color="auto"/>
        <w:bottom w:val="none" w:sz="0" w:space="0" w:color="auto"/>
        <w:right w:val="none" w:sz="0" w:space="0" w:color="auto"/>
      </w:divBdr>
    </w:div>
    <w:div w:id="2053184757">
      <w:bodyDiv w:val="1"/>
      <w:marLeft w:val="0"/>
      <w:marRight w:val="0"/>
      <w:marTop w:val="0"/>
      <w:marBottom w:val="0"/>
      <w:divBdr>
        <w:top w:val="none" w:sz="0" w:space="0" w:color="auto"/>
        <w:left w:val="none" w:sz="0" w:space="0" w:color="auto"/>
        <w:bottom w:val="none" w:sz="0" w:space="0" w:color="auto"/>
        <w:right w:val="none" w:sz="0" w:space="0" w:color="auto"/>
      </w:divBdr>
    </w:div>
    <w:div w:id="2101218444">
      <w:bodyDiv w:val="1"/>
      <w:marLeft w:val="0"/>
      <w:marRight w:val="0"/>
      <w:marTop w:val="0"/>
      <w:marBottom w:val="0"/>
      <w:divBdr>
        <w:top w:val="none" w:sz="0" w:space="0" w:color="auto"/>
        <w:left w:val="none" w:sz="0" w:space="0" w:color="auto"/>
        <w:bottom w:val="none" w:sz="0" w:space="0" w:color="auto"/>
        <w:right w:val="none" w:sz="0" w:space="0" w:color="auto"/>
      </w:divBdr>
    </w:div>
    <w:div w:id="2106338503">
      <w:bodyDiv w:val="1"/>
      <w:marLeft w:val="0"/>
      <w:marRight w:val="0"/>
      <w:marTop w:val="0"/>
      <w:marBottom w:val="0"/>
      <w:divBdr>
        <w:top w:val="none" w:sz="0" w:space="0" w:color="auto"/>
        <w:left w:val="none" w:sz="0" w:space="0" w:color="auto"/>
        <w:bottom w:val="none" w:sz="0" w:space="0" w:color="auto"/>
        <w:right w:val="none" w:sz="0" w:space="0" w:color="auto"/>
      </w:divBdr>
    </w:div>
    <w:div w:id="2127507131">
      <w:bodyDiv w:val="1"/>
      <w:marLeft w:val="0"/>
      <w:marRight w:val="0"/>
      <w:marTop w:val="0"/>
      <w:marBottom w:val="0"/>
      <w:divBdr>
        <w:top w:val="none" w:sz="0" w:space="0" w:color="auto"/>
        <w:left w:val="none" w:sz="0" w:space="0" w:color="auto"/>
        <w:bottom w:val="none" w:sz="0" w:space="0" w:color="auto"/>
        <w:right w:val="none" w:sz="0" w:space="0" w:color="auto"/>
      </w:divBdr>
    </w:div>
    <w:div w:id="2133135203">
      <w:bodyDiv w:val="1"/>
      <w:marLeft w:val="0"/>
      <w:marRight w:val="0"/>
      <w:marTop w:val="0"/>
      <w:marBottom w:val="0"/>
      <w:divBdr>
        <w:top w:val="none" w:sz="0" w:space="0" w:color="auto"/>
        <w:left w:val="none" w:sz="0" w:space="0" w:color="auto"/>
        <w:bottom w:val="none" w:sz="0" w:space="0" w:color="auto"/>
        <w:right w:val="none" w:sz="0" w:space="0" w:color="auto"/>
      </w:divBdr>
    </w:div>
    <w:div w:id="21385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celandairgroup.is/investors/reports-and-presentations/webcas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9D91-B264-484D-B729-DF0B6E66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3488</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Icelandair</Company>
  <LinksUpToDate>false</LinksUpToDate>
  <CharactersWithSpaces>23330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Íris Hulda Þórisdóttir</dc:creator>
  <cp:lastModifiedBy>Íris Hulda Þórisdóttir</cp:lastModifiedBy>
  <cp:revision>2</cp:revision>
  <cp:lastPrinted>2014-10-30T11:22:00Z</cp:lastPrinted>
  <dcterms:created xsi:type="dcterms:W3CDTF">2014-10-30T16:16:00Z</dcterms:created>
  <dcterms:modified xsi:type="dcterms:W3CDTF">2014-10-30T16:16:00Z</dcterms:modified>
</cp:coreProperties>
</file>