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8F6C" w14:textId="77777777" w:rsidR="000A6CDA" w:rsidRDefault="000A6CDA" w:rsidP="000A6CDA">
      <w:pPr>
        <w:jc w:val="center"/>
        <w:rPr>
          <w:rFonts w:ascii="Arial" w:hAnsi="Arial"/>
        </w:rPr>
      </w:pPr>
      <w:r>
        <w:rPr>
          <w:rFonts w:ascii="Arial" w:hAnsi="Arial"/>
        </w:rPr>
        <w:t xml:space="preserve">The Remuneration Report of Joint Stock Company “Latvijas Jūras medicīnas centrs” </w:t>
      </w:r>
    </w:p>
    <w:p w14:paraId="085465B5" w14:textId="331F4840" w:rsidR="000A6CDA" w:rsidRPr="001A0038" w:rsidRDefault="000A6CDA" w:rsidP="000A6CDA">
      <w:pPr>
        <w:jc w:val="center"/>
      </w:pPr>
      <w:r>
        <w:rPr>
          <w:rFonts w:ascii="Arial" w:hAnsi="Arial"/>
        </w:rPr>
        <w:t>for 2022</w:t>
      </w:r>
    </w:p>
    <w:p w14:paraId="28CE8BB9" w14:textId="77777777" w:rsidR="000A6CDA" w:rsidRPr="001A0038" w:rsidRDefault="000A6CDA" w:rsidP="000A6CDA"/>
    <w:p w14:paraId="16D3102D" w14:textId="77777777" w:rsidR="000A6CDA" w:rsidRPr="001A0038" w:rsidRDefault="000A6CDA" w:rsidP="000A6CDA"/>
    <w:p w14:paraId="3A204B44" w14:textId="77777777" w:rsidR="000A6CDA" w:rsidRPr="001A0038" w:rsidRDefault="000A6CDA" w:rsidP="000A6CDA"/>
    <w:p w14:paraId="03F43D08" w14:textId="77777777" w:rsidR="000A6CDA" w:rsidRPr="001A0038" w:rsidRDefault="000A6CDA" w:rsidP="000A6CDA"/>
    <w:p w14:paraId="4BD620C4" w14:textId="77777777" w:rsidR="000A6CDA" w:rsidRPr="001A0038" w:rsidRDefault="000A6CDA" w:rsidP="000A6CDA"/>
    <w:p w14:paraId="70B3D644" w14:textId="77777777" w:rsidR="000A6CDA" w:rsidRPr="001A0038" w:rsidRDefault="000A6CDA" w:rsidP="000A6CDA"/>
    <w:p w14:paraId="3E2FF174" w14:textId="77777777" w:rsidR="000A6CDA" w:rsidRPr="001A0038" w:rsidRDefault="000A6CDA" w:rsidP="000A6CDA"/>
    <w:p w14:paraId="504EC7A1" w14:textId="77777777" w:rsidR="000A6CDA" w:rsidRPr="001A0038" w:rsidRDefault="000A6CDA" w:rsidP="000A6CDA"/>
    <w:p w14:paraId="794D592E" w14:textId="77777777" w:rsidR="000A6CDA" w:rsidRPr="001A0038" w:rsidRDefault="000A6CDA" w:rsidP="000A6CDA"/>
    <w:p w14:paraId="276336EB" w14:textId="77777777" w:rsidR="000A6CDA" w:rsidRPr="001A0038" w:rsidRDefault="000A6CDA" w:rsidP="000A6CDA"/>
    <w:p w14:paraId="243E9CEE" w14:textId="77777777" w:rsidR="000A6CDA" w:rsidRPr="001A0038" w:rsidRDefault="000A6CDA" w:rsidP="000A6CDA"/>
    <w:p w14:paraId="11171BD9" w14:textId="77777777" w:rsidR="000A6CDA" w:rsidRPr="001A0038" w:rsidRDefault="000A6CDA" w:rsidP="000A6CDA"/>
    <w:p w14:paraId="3E940EF3" w14:textId="77777777" w:rsidR="000A6CDA" w:rsidRPr="001A0038" w:rsidRDefault="000A6CDA" w:rsidP="000A6CDA"/>
    <w:p w14:paraId="510E662E" w14:textId="77777777" w:rsidR="000A6CDA" w:rsidRPr="001A0038" w:rsidRDefault="000A6CDA" w:rsidP="000A6CDA"/>
    <w:p w14:paraId="3072CDC0" w14:textId="77777777" w:rsidR="000A6CDA" w:rsidRPr="001A0038" w:rsidRDefault="000A6CDA" w:rsidP="000A6CDA"/>
    <w:p w14:paraId="3F4C0CD3" w14:textId="77777777" w:rsidR="000A6CDA" w:rsidRPr="001A0038" w:rsidRDefault="000A6CDA" w:rsidP="000A6CDA"/>
    <w:p w14:paraId="6394DED4" w14:textId="77777777" w:rsidR="000A6CDA" w:rsidRPr="001A0038" w:rsidRDefault="000A6CDA" w:rsidP="000A6CDA"/>
    <w:p w14:paraId="61356599" w14:textId="77777777" w:rsidR="000A6CDA" w:rsidRPr="001A0038" w:rsidRDefault="000A6CDA" w:rsidP="000A6CDA"/>
    <w:p w14:paraId="58877EB7" w14:textId="77777777" w:rsidR="000A6CDA" w:rsidRPr="001A0038" w:rsidRDefault="000A6CDA" w:rsidP="000A6CDA"/>
    <w:p w14:paraId="61150E0B" w14:textId="77777777" w:rsidR="000A6CDA" w:rsidRPr="001A0038" w:rsidRDefault="000A6CDA" w:rsidP="000A6CDA"/>
    <w:p w14:paraId="78A7BDDD" w14:textId="77777777" w:rsidR="000A6CDA" w:rsidRDefault="000A6CDA" w:rsidP="000A6CDA"/>
    <w:p w14:paraId="65D097EA" w14:textId="77777777" w:rsidR="000A6CDA" w:rsidRDefault="000A6CDA" w:rsidP="000A6CDA"/>
    <w:p w14:paraId="356CDB25" w14:textId="77777777" w:rsidR="000A6CDA" w:rsidRDefault="000A6CDA" w:rsidP="000A6CDA"/>
    <w:p w14:paraId="61BD1663" w14:textId="77777777" w:rsidR="000A6CDA" w:rsidRDefault="000A6CDA" w:rsidP="000A6CDA"/>
    <w:p w14:paraId="51C01FCF" w14:textId="77777777" w:rsidR="000A6CDA" w:rsidRDefault="000A6CDA" w:rsidP="000A6CDA"/>
    <w:p w14:paraId="246F0FD5" w14:textId="77777777" w:rsidR="000A6CDA" w:rsidRDefault="000A6CDA" w:rsidP="000A6CDA"/>
    <w:p w14:paraId="6869BEB2" w14:textId="77777777" w:rsidR="000A6CDA" w:rsidRDefault="000A6CDA" w:rsidP="000A6CDA"/>
    <w:p w14:paraId="2988AA8A" w14:textId="77777777" w:rsidR="000A6CDA" w:rsidRDefault="000A6CDA" w:rsidP="000A6CDA"/>
    <w:p w14:paraId="453469EB" w14:textId="77777777" w:rsidR="000A6CDA" w:rsidRDefault="000A6CDA" w:rsidP="000A6CDA"/>
    <w:p w14:paraId="7C15CEC9" w14:textId="77777777" w:rsidR="000A6CDA" w:rsidRDefault="000A6CDA" w:rsidP="000A6CDA"/>
    <w:p w14:paraId="19D04EF9" w14:textId="77777777" w:rsidR="000A6CDA" w:rsidRDefault="000A6CDA" w:rsidP="000A6CDA"/>
    <w:p w14:paraId="29BFEE30" w14:textId="77777777" w:rsidR="000A6CDA" w:rsidRDefault="000A6CDA" w:rsidP="000A6CDA"/>
    <w:p w14:paraId="731F43DD" w14:textId="77777777" w:rsidR="000A6CDA" w:rsidRDefault="000A6CDA" w:rsidP="000A6CDA"/>
    <w:p w14:paraId="48798C9B" w14:textId="77777777" w:rsidR="000A6CDA" w:rsidRDefault="000A6CDA" w:rsidP="000A6CDA"/>
    <w:p w14:paraId="69415B5D" w14:textId="77777777" w:rsidR="000A6CDA" w:rsidRDefault="000A6CDA" w:rsidP="000A6CDA"/>
    <w:p w14:paraId="3A545FD8" w14:textId="77777777" w:rsidR="000A6CDA" w:rsidRDefault="000A6CDA" w:rsidP="000A6CDA"/>
    <w:p w14:paraId="28EF8F19" w14:textId="77777777" w:rsidR="000A6CDA" w:rsidRDefault="000A6CDA" w:rsidP="000A6CDA"/>
    <w:p w14:paraId="1358A920" w14:textId="77777777" w:rsidR="000A6CDA" w:rsidRDefault="000A6CDA" w:rsidP="000A6CDA"/>
    <w:p w14:paraId="44431B27" w14:textId="77777777" w:rsidR="000A6CDA" w:rsidRDefault="000A6CDA" w:rsidP="000A6CDA"/>
    <w:p w14:paraId="01A926F8" w14:textId="77777777" w:rsidR="000A6CDA" w:rsidRDefault="000A6CDA" w:rsidP="000A6CDA"/>
    <w:p w14:paraId="6C01D0AD" w14:textId="77777777" w:rsidR="000A6CDA" w:rsidRDefault="000A6CDA" w:rsidP="000A6CDA"/>
    <w:p w14:paraId="1012F371" w14:textId="77777777" w:rsidR="000A6CDA" w:rsidRDefault="000A6CDA" w:rsidP="000A6CDA"/>
    <w:p w14:paraId="4338DD3A" w14:textId="77777777" w:rsidR="000A6CDA" w:rsidRDefault="000A6CDA" w:rsidP="000A6CDA"/>
    <w:p w14:paraId="47B56131" w14:textId="77777777" w:rsidR="000A6CDA" w:rsidRDefault="000A6CDA" w:rsidP="000A6CDA"/>
    <w:p w14:paraId="04A7E830" w14:textId="77777777" w:rsidR="000A6CDA" w:rsidRDefault="000A6CDA" w:rsidP="000A6CDA"/>
    <w:p w14:paraId="19D23087" w14:textId="77777777" w:rsidR="000A6CDA" w:rsidRDefault="000A6CDA" w:rsidP="000A6CDA"/>
    <w:p w14:paraId="218EB031" w14:textId="77777777" w:rsidR="000A6CDA" w:rsidRDefault="000A6CDA" w:rsidP="000A6CDA"/>
    <w:p w14:paraId="6DB4508C" w14:textId="77777777" w:rsidR="000A6CDA" w:rsidRDefault="000A6CDA" w:rsidP="000A6CDA"/>
    <w:p w14:paraId="701BDB49" w14:textId="77777777" w:rsidR="000A6CDA" w:rsidRDefault="000A6CDA" w:rsidP="000A6CDA"/>
    <w:p w14:paraId="7A2E635D" w14:textId="77777777" w:rsidR="000A6CDA" w:rsidRDefault="000A6CDA" w:rsidP="000A6CDA"/>
    <w:p w14:paraId="7E6B447B" w14:textId="77777777" w:rsidR="000A6CDA" w:rsidRDefault="000A6CDA" w:rsidP="000A6CDA"/>
    <w:p w14:paraId="4E9F58B1" w14:textId="77777777" w:rsidR="000A6CDA" w:rsidRDefault="000A6CDA" w:rsidP="000A6CDA"/>
    <w:p w14:paraId="59A29881" w14:textId="77777777" w:rsidR="000A6CDA" w:rsidRDefault="000A6CDA" w:rsidP="000A6CDA"/>
    <w:p w14:paraId="127EF72F" w14:textId="77777777" w:rsidR="000A6CDA" w:rsidRDefault="000A6CDA" w:rsidP="000A6CDA"/>
    <w:p w14:paraId="69A6F23D" w14:textId="77777777" w:rsidR="000A6CDA" w:rsidRDefault="000A6CDA" w:rsidP="000A6CDA"/>
    <w:p w14:paraId="7BD4B321" w14:textId="77777777" w:rsidR="000A6CDA" w:rsidRDefault="000A6CDA" w:rsidP="000A6CDA"/>
    <w:p w14:paraId="1F4F56CC" w14:textId="1A2F92F7" w:rsidR="000A6CDA" w:rsidRDefault="000A6CDA" w:rsidP="000A6CDA">
      <w:pPr>
        <w:jc w:val="center"/>
        <w:rPr>
          <w:u w:val="single"/>
        </w:rPr>
      </w:pPr>
      <w:r>
        <w:t>Riga</w:t>
      </w:r>
      <w:r w:rsidRPr="001A0038">
        <w:t>, 202</w:t>
      </w:r>
      <w:r>
        <w:t>3</w:t>
      </w:r>
    </w:p>
    <w:p w14:paraId="3A1B098F" w14:textId="77777777" w:rsidR="000A6CDA" w:rsidRDefault="000A6CDA" w:rsidP="00FC49A9">
      <w:pPr>
        <w:rPr>
          <w:u w:val="single"/>
        </w:rPr>
      </w:pPr>
    </w:p>
    <w:p w14:paraId="7C971903" w14:textId="08FECF52" w:rsidR="000A6CDA" w:rsidRPr="001A0038" w:rsidRDefault="0052230B" w:rsidP="000A6CDA">
      <w:r>
        <w:lastRenderedPageBreak/>
        <w:t>Content</w:t>
      </w:r>
    </w:p>
    <w:p w14:paraId="4BA77A48" w14:textId="77777777" w:rsidR="000A6CDA" w:rsidRPr="001A0038" w:rsidRDefault="000A6CDA" w:rsidP="000A6CDA"/>
    <w:p w14:paraId="730AEF19" w14:textId="279471E2" w:rsidR="000A6CDA" w:rsidRPr="001A0038" w:rsidRDefault="0052230B" w:rsidP="000A6CDA">
      <w:r>
        <w:t>Introduction</w:t>
      </w:r>
      <w:r w:rsidR="000A6CDA" w:rsidRPr="001A0038">
        <w:tab/>
      </w:r>
      <w:r w:rsidR="000A6CDA" w:rsidRPr="001A0038">
        <w:tab/>
      </w:r>
      <w:r w:rsidR="000A6CDA" w:rsidRPr="001A0038">
        <w:tab/>
      </w:r>
      <w:r w:rsidR="000A6CDA" w:rsidRPr="001A0038">
        <w:tab/>
      </w:r>
      <w:r w:rsidR="000A6CDA" w:rsidRPr="001A0038">
        <w:tab/>
      </w:r>
      <w:r w:rsidR="000A6CDA" w:rsidRPr="001A0038">
        <w:tab/>
      </w:r>
      <w:r w:rsidR="000A6CDA" w:rsidRPr="001A0038">
        <w:tab/>
      </w:r>
      <w:r w:rsidR="000A6CDA" w:rsidRPr="001A0038">
        <w:tab/>
      </w:r>
      <w:r w:rsidR="000A6CDA" w:rsidRPr="001A0038">
        <w:tab/>
      </w:r>
      <w:r w:rsidR="000A6CDA">
        <w:t>2</w:t>
      </w:r>
    </w:p>
    <w:p w14:paraId="05839536" w14:textId="2636AB5E" w:rsidR="000A6CDA" w:rsidRPr="001A0038" w:rsidRDefault="0052230B" w:rsidP="000A6CDA">
      <w:r w:rsidRPr="008F265A">
        <w:rPr>
          <w:u w:val="single"/>
        </w:rPr>
        <w:t>Remuneration to the Board and Council</w:t>
      </w:r>
      <w:r>
        <w:rPr>
          <w:u w:val="single"/>
        </w:rPr>
        <w:t xml:space="preserve"> </w:t>
      </w:r>
      <w:r>
        <w:t xml:space="preserve"> </w:t>
      </w:r>
      <w:r w:rsidR="000A6CDA" w:rsidRPr="001A0038">
        <w:tab/>
      </w:r>
      <w:r w:rsidR="000A6CDA" w:rsidRPr="001A0038">
        <w:tab/>
      </w:r>
      <w:r w:rsidR="000A6CDA" w:rsidRPr="001A0038">
        <w:tab/>
      </w:r>
      <w:r w:rsidR="000A6CDA" w:rsidRPr="001A0038">
        <w:tab/>
      </w:r>
      <w:r w:rsidR="000A6CDA" w:rsidRPr="001A0038">
        <w:tab/>
      </w:r>
      <w:r>
        <w:tab/>
      </w:r>
      <w:r w:rsidR="00E3349A">
        <w:t>5</w:t>
      </w:r>
    </w:p>
    <w:p w14:paraId="02CCBD06" w14:textId="77777777" w:rsidR="000A6CDA" w:rsidRDefault="000A6CDA" w:rsidP="00FC49A9">
      <w:pPr>
        <w:rPr>
          <w:u w:val="single"/>
        </w:rPr>
      </w:pPr>
    </w:p>
    <w:p w14:paraId="5F30AE58" w14:textId="77777777" w:rsidR="000A6CDA" w:rsidRDefault="000A6CDA" w:rsidP="00FC49A9">
      <w:pPr>
        <w:rPr>
          <w:u w:val="single"/>
        </w:rPr>
      </w:pPr>
    </w:p>
    <w:p w14:paraId="558B017C" w14:textId="77777777" w:rsidR="000A6CDA" w:rsidRDefault="000A6CDA" w:rsidP="00FC49A9">
      <w:pPr>
        <w:rPr>
          <w:u w:val="single"/>
        </w:rPr>
      </w:pPr>
    </w:p>
    <w:p w14:paraId="29AECB0D" w14:textId="77777777" w:rsidR="000A6CDA" w:rsidRDefault="000A6CDA" w:rsidP="00FC49A9">
      <w:pPr>
        <w:rPr>
          <w:u w:val="single"/>
        </w:rPr>
      </w:pPr>
    </w:p>
    <w:p w14:paraId="5AA7FED9" w14:textId="77777777" w:rsidR="000A6CDA" w:rsidRDefault="000A6CDA" w:rsidP="00FC49A9">
      <w:pPr>
        <w:rPr>
          <w:u w:val="single"/>
        </w:rPr>
      </w:pPr>
    </w:p>
    <w:p w14:paraId="6FB9CCDB" w14:textId="77777777" w:rsidR="000A6CDA" w:rsidRDefault="000A6CDA" w:rsidP="00FC49A9">
      <w:pPr>
        <w:rPr>
          <w:u w:val="single"/>
        </w:rPr>
      </w:pPr>
    </w:p>
    <w:p w14:paraId="6046A41A" w14:textId="77777777" w:rsidR="000A6CDA" w:rsidRDefault="000A6CDA" w:rsidP="00FC49A9">
      <w:pPr>
        <w:rPr>
          <w:u w:val="single"/>
        </w:rPr>
      </w:pPr>
    </w:p>
    <w:p w14:paraId="0A84617E" w14:textId="77777777" w:rsidR="000A6CDA" w:rsidRDefault="000A6CDA" w:rsidP="00FC49A9">
      <w:pPr>
        <w:rPr>
          <w:u w:val="single"/>
        </w:rPr>
      </w:pPr>
    </w:p>
    <w:p w14:paraId="02491248" w14:textId="77777777" w:rsidR="000A6CDA" w:rsidRDefault="000A6CDA" w:rsidP="00FC49A9">
      <w:pPr>
        <w:rPr>
          <w:u w:val="single"/>
        </w:rPr>
      </w:pPr>
    </w:p>
    <w:p w14:paraId="17BCE7DE" w14:textId="77777777" w:rsidR="000A6CDA" w:rsidRDefault="000A6CDA" w:rsidP="00FC49A9">
      <w:pPr>
        <w:rPr>
          <w:u w:val="single"/>
        </w:rPr>
      </w:pPr>
    </w:p>
    <w:p w14:paraId="44E36115" w14:textId="77777777" w:rsidR="000A6CDA" w:rsidRDefault="000A6CDA" w:rsidP="00FC49A9">
      <w:pPr>
        <w:rPr>
          <w:u w:val="single"/>
        </w:rPr>
      </w:pPr>
    </w:p>
    <w:p w14:paraId="5033157C" w14:textId="77777777" w:rsidR="0052230B" w:rsidRDefault="0052230B" w:rsidP="00FC49A9">
      <w:pPr>
        <w:rPr>
          <w:u w:val="single"/>
        </w:rPr>
      </w:pPr>
    </w:p>
    <w:p w14:paraId="7B0E57AD" w14:textId="77777777" w:rsidR="0052230B" w:rsidRDefault="0052230B" w:rsidP="00FC49A9">
      <w:pPr>
        <w:rPr>
          <w:u w:val="single"/>
        </w:rPr>
      </w:pPr>
    </w:p>
    <w:p w14:paraId="59EA2E68" w14:textId="77777777" w:rsidR="0052230B" w:rsidRDefault="0052230B" w:rsidP="00FC49A9">
      <w:pPr>
        <w:rPr>
          <w:u w:val="single"/>
        </w:rPr>
      </w:pPr>
    </w:p>
    <w:p w14:paraId="7D2B8665" w14:textId="77777777" w:rsidR="0052230B" w:rsidRDefault="0052230B" w:rsidP="00FC49A9">
      <w:pPr>
        <w:rPr>
          <w:u w:val="single"/>
        </w:rPr>
      </w:pPr>
    </w:p>
    <w:p w14:paraId="02A508ED" w14:textId="77777777" w:rsidR="0052230B" w:rsidRDefault="0052230B" w:rsidP="00FC49A9">
      <w:pPr>
        <w:rPr>
          <w:u w:val="single"/>
        </w:rPr>
      </w:pPr>
    </w:p>
    <w:p w14:paraId="08C75F80" w14:textId="77777777" w:rsidR="0052230B" w:rsidRDefault="0052230B" w:rsidP="00FC49A9">
      <w:pPr>
        <w:rPr>
          <w:u w:val="single"/>
        </w:rPr>
      </w:pPr>
    </w:p>
    <w:p w14:paraId="26F96695" w14:textId="77777777" w:rsidR="0052230B" w:rsidRDefault="0052230B" w:rsidP="00FC49A9">
      <w:pPr>
        <w:rPr>
          <w:u w:val="single"/>
        </w:rPr>
      </w:pPr>
    </w:p>
    <w:p w14:paraId="002314AC" w14:textId="77777777" w:rsidR="0052230B" w:rsidRDefault="0052230B" w:rsidP="00FC49A9">
      <w:pPr>
        <w:rPr>
          <w:u w:val="single"/>
        </w:rPr>
      </w:pPr>
    </w:p>
    <w:p w14:paraId="1A3FA5C0" w14:textId="77777777" w:rsidR="0052230B" w:rsidRDefault="0052230B" w:rsidP="00FC49A9">
      <w:pPr>
        <w:rPr>
          <w:u w:val="single"/>
        </w:rPr>
      </w:pPr>
    </w:p>
    <w:p w14:paraId="5935D314" w14:textId="77777777" w:rsidR="0052230B" w:rsidRDefault="0052230B" w:rsidP="00FC49A9">
      <w:pPr>
        <w:rPr>
          <w:u w:val="single"/>
        </w:rPr>
      </w:pPr>
    </w:p>
    <w:p w14:paraId="0350EC99" w14:textId="77777777" w:rsidR="0052230B" w:rsidRDefault="0052230B" w:rsidP="00FC49A9">
      <w:pPr>
        <w:rPr>
          <w:u w:val="single"/>
        </w:rPr>
      </w:pPr>
    </w:p>
    <w:p w14:paraId="2FDF4C46" w14:textId="77777777" w:rsidR="0052230B" w:rsidRDefault="0052230B" w:rsidP="00FC49A9">
      <w:pPr>
        <w:rPr>
          <w:u w:val="single"/>
        </w:rPr>
      </w:pPr>
    </w:p>
    <w:p w14:paraId="0D49A27E" w14:textId="77777777" w:rsidR="0052230B" w:rsidRDefault="0052230B" w:rsidP="00FC49A9">
      <w:pPr>
        <w:rPr>
          <w:u w:val="single"/>
        </w:rPr>
      </w:pPr>
    </w:p>
    <w:p w14:paraId="5256768C" w14:textId="77777777" w:rsidR="0052230B" w:rsidRDefault="0052230B" w:rsidP="00FC49A9">
      <w:pPr>
        <w:rPr>
          <w:u w:val="single"/>
        </w:rPr>
      </w:pPr>
    </w:p>
    <w:p w14:paraId="0096F274" w14:textId="77777777" w:rsidR="0052230B" w:rsidRDefault="0052230B" w:rsidP="00FC49A9">
      <w:pPr>
        <w:rPr>
          <w:u w:val="single"/>
        </w:rPr>
      </w:pPr>
    </w:p>
    <w:p w14:paraId="61F67B37" w14:textId="77777777" w:rsidR="0052230B" w:rsidRDefault="0052230B" w:rsidP="00FC49A9">
      <w:pPr>
        <w:rPr>
          <w:u w:val="single"/>
        </w:rPr>
      </w:pPr>
    </w:p>
    <w:p w14:paraId="3EFF10A5" w14:textId="77777777" w:rsidR="0052230B" w:rsidRDefault="0052230B" w:rsidP="00FC49A9">
      <w:pPr>
        <w:rPr>
          <w:u w:val="single"/>
        </w:rPr>
      </w:pPr>
    </w:p>
    <w:p w14:paraId="429F6B58" w14:textId="77777777" w:rsidR="0052230B" w:rsidRDefault="0052230B" w:rsidP="00FC49A9">
      <w:pPr>
        <w:rPr>
          <w:u w:val="single"/>
        </w:rPr>
      </w:pPr>
    </w:p>
    <w:p w14:paraId="258EB0FB" w14:textId="77777777" w:rsidR="0052230B" w:rsidRDefault="0052230B" w:rsidP="00FC49A9">
      <w:pPr>
        <w:rPr>
          <w:u w:val="single"/>
        </w:rPr>
      </w:pPr>
    </w:p>
    <w:p w14:paraId="19736300" w14:textId="77777777" w:rsidR="0052230B" w:rsidRDefault="0052230B" w:rsidP="00FC49A9">
      <w:pPr>
        <w:rPr>
          <w:u w:val="single"/>
        </w:rPr>
      </w:pPr>
    </w:p>
    <w:p w14:paraId="5B9049E3" w14:textId="77777777" w:rsidR="0052230B" w:rsidRDefault="0052230B" w:rsidP="00FC49A9">
      <w:pPr>
        <w:rPr>
          <w:u w:val="single"/>
        </w:rPr>
      </w:pPr>
    </w:p>
    <w:p w14:paraId="50FC7C1C" w14:textId="77777777" w:rsidR="0052230B" w:rsidRDefault="0052230B" w:rsidP="00FC49A9">
      <w:pPr>
        <w:rPr>
          <w:u w:val="single"/>
        </w:rPr>
      </w:pPr>
    </w:p>
    <w:p w14:paraId="7D119741" w14:textId="77777777" w:rsidR="0052230B" w:rsidRDefault="0052230B" w:rsidP="00FC49A9">
      <w:pPr>
        <w:rPr>
          <w:u w:val="single"/>
        </w:rPr>
      </w:pPr>
    </w:p>
    <w:p w14:paraId="29D5F214" w14:textId="77777777" w:rsidR="0052230B" w:rsidRDefault="0052230B" w:rsidP="00FC49A9">
      <w:pPr>
        <w:rPr>
          <w:u w:val="single"/>
        </w:rPr>
      </w:pPr>
    </w:p>
    <w:p w14:paraId="1FE24BB4" w14:textId="77777777" w:rsidR="0052230B" w:rsidRDefault="0052230B" w:rsidP="00FC49A9">
      <w:pPr>
        <w:rPr>
          <w:u w:val="single"/>
        </w:rPr>
      </w:pPr>
    </w:p>
    <w:p w14:paraId="70195C8B" w14:textId="77777777" w:rsidR="0052230B" w:rsidRDefault="0052230B" w:rsidP="00FC49A9">
      <w:pPr>
        <w:rPr>
          <w:u w:val="single"/>
        </w:rPr>
      </w:pPr>
    </w:p>
    <w:p w14:paraId="5BC4CFF3" w14:textId="77777777" w:rsidR="0052230B" w:rsidRDefault="0052230B" w:rsidP="00FC49A9">
      <w:pPr>
        <w:rPr>
          <w:u w:val="single"/>
        </w:rPr>
      </w:pPr>
    </w:p>
    <w:p w14:paraId="19541575" w14:textId="77777777" w:rsidR="0052230B" w:rsidRDefault="0052230B" w:rsidP="00FC49A9">
      <w:pPr>
        <w:rPr>
          <w:u w:val="single"/>
        </w:rPr>
      </w:pPr>
    </w:p>
    <w:p w14:paraId="170491DD" w14:textId="77777777" w:rsidR="0052230B" w:rsidRDefault="0052230B" w:rsidP="00FC49A9">
      <w:pPr>
        <w:rPr>
          <w:u w:val="single"/>
        </w:rPr>
      </w:pPr>
    </w:p>
    <w:p w14:paraId="6818F4C7" w14:textId="77777777" w:rsidR="0052230B" w:rsidRDefault="0052230B" w:rsidP="00FC49A9">
      <w:pPr>
        <w:rPr>
          <w:u w:val="single"/>
        </w:rPr>
      </w:pPr>
    </w:p>
    <w:p w14:paraId="05E6B6B9" w14:textId="77777777" w:rsidR="0052230B" w:rsidRDefault="0052230B" w:rsidP="00FC49A9">
      <w:pPr>
        <w:rPr>
          <w:u w:val="single"/>
        </w:rPr>
      </w:pPr>
    </w:p>
    <w:p w14:paraId="376FE39F" w14:textId="77777777" w:rsidR="0052230B" w:rsidRDefault="0052230B" w:rsidP="00FC49A9">
      <w:pPr>
        <w:rPr>
          <w:u w:val="single"/>
        </w:rPr>
      </w:pPr>
    </w:p>
    <w:p w14:paraId="652255CF" w14:textId="77777777" w:rsidR="0052230B" w:rsidRDefault="0052230B" w:rsidP="00FC49A9">
      <w:pPr>
        <w:rPr>
          <w:u w:val="single"/>
        </w:rPr>
      </w:pPr>
    </w:p>
    <w:p w14:paraId="2B23F668" w14:textId="77777777" w:rsidR="0052230B" w:rsidRDefault="0052230B" w:rsidP="00FC49A9">
      <w:pPr>
        <w:rPr>
          <w:u w:val="single"/>
        </w:rPr>
      </w:pPr>
    </w:p>
    <w:p w14:paraId="20C7B5B7" w14:textId="77777777" w:rsidR="0052230B" w:rsidRDefault="0052230B" w:rsidP="00FC49A9">
      <w:pPr>
        <w:rPr>
          <w:u w:val="single"/>
        </w:rPr>
      </w:pPr>
    </w:p>
    <w:p w14:paraId="27AA1336" w14:textId="77777777" w:rsidR="0052230B" w:rsidRDefault="0052230B" w:rsidP="00FC49A9">
      <w:pPr>
        <w:rPr>
          <w:u w:val="single"/>
        </w:rPr>
      </w:pPr>
    </w:p>
    <w:p w14:paraId="6A360A0B" w14:textId="77777777" w:rsidR="0052230B" w:rsidRDefault="0052230B" w:rsidP="00FC49A9">
      <w:pPr>
        <w:rPr>
          <w:u w:val="single"/>
        </w:rPr>
      </w:pPr>
    </w:p>
    <w:p w14:paraId="585F864A" w14:textId="77777777" w:rsidR="0052230B" w:rsidRDefault="0052230B" w:rsidP="00FC49A9">
      <w:pPr>
        <w:rPr>
          <w:u w:val="single"/>
        </w:rPr>
      </w:pPr>
    </w:p>
    <w:p w14:paraId="65125DBD" w14:textId="77777777" w:rsidR="0052230B" w:rsidRDefault="0052230B" w:rsidP="00FC49A9">
      <w:pPr>
        <w:rPr>
          <w:u w:val="single"/>
        </w:rPr>
      </w:pPr>
    </w:p>
    <w:p w14:paraId="63353B39" w14:textId="77777777" w:rsidR="0052230B" w:rsidRDefault="0052230B" w:rsidP="00FC49A9">
      <w:pPr>
        <w:rPr>
          <w:u w:val="single"/>
        </w:rPr>
      </w:pPr>
    </w:p>
    <w:p w14:paraId="555E706D" w14:textId="77777777" w:rsidR="0052230B" w:rsidRDefault="0052230B" w:rsidP="00FC49A9">
      <w:pPr>
        <w:rPr>
          <w:u w:val="single"/>
        </w:rPr>
      </w:pPr>
    </w:p>
    <w:p w14:paraId="1BE34234" w14:textId="77777777" w:rsidR="0052230B" w:rsidRDefault="0052230B" w:rsidP="00FC49A9">
      <w:pPr>
        <w:rPr>
          <w:u w:val="single"/>
        </w:rPr>
      </w:pPr>
    </w:p>
    <w:p w14:paraId="69E1E35E" w14:textId="77777777" w:rsidR="0052230B" w:rsidRDefault="0052230B" w:rsidP="00FC49A9">
      <w:pPr>
        <w:rPr>
          <w:u w:val="single"/>
        </w:rPr>
      </w:pPr>
    </w:p>
    <w:p w14:paraId="3978B1C9" w14:textId="77777777" w:rsidR="0052230B" w:rsidRDefault="0052230B" w:rsidP="00FC49A9">
      <w:pPr>
        <w:rPr>
          <w:u w:val="single"/>
        </w:rPr>
      </w:pPr>
    </w:p>
    <w:p w14:paraId="25518BDA" w14:textId="77777777" w:rsidR="0052230B" w:rsidRDefault="0052230B" w:rsidP="00FC49A9">
      <w:pPr>
        <w:rPr>
          <w:u w:val="single"/>
        </w:rPr>
      </w:pPr>
    </w:p>
    <w:p w14:paraId="6220D67F" w14:textId="66494E66" w:rsidR="00FC49A9" w:rsidRPr="008F265A" w:rsidRDefault="00FC49A9" w:rsidP="00FC49A9">
      <w:pPr>
        <w:rPr>
          <w:u w:val="single"/>
        </w:rPr>
      </w:pPr>
      <w:r w:rsidRPr="008F265A">
        <w:rPr>
          <w:u w:val="single"/>
        </w:rPr>
        <w:lastRenderedPageBreak/>
        <w:t>Introduction</w:t>
      </w:r>
    </w:p>
    <w:p w14:paraId="20D1AB24" w14:textId="77777777" w:rsidR="00FC49A9" w:rsidRPr="008F265A" w:rsidRDefault="00FC49A9" w:rsidP="00FC49A9">
      <w:pPr>
        <w:jc w:val="both"/>
      </w:pPr>
    </w:p>
    <w:p w14:paraId="78068F2E" w14:textId="77777777" w:rsidR="00A14EC2" w:rsidRPr="008F265A" w:rsidRDefault="00A14EC2" w:rsidP="00A14EC2">
      <w:pPr>
        <w:jc w:val="both"/>
      </w:pPr>
      <w:r w:rsidRPr="008F265A">
        <w:t>The Remuneration Report of Joint Stock Company “Latvijas Jūras medicīnas centrs” (hereinafter – the Company) for 2022 is prepared according to the remuneration policy to members of the Board and Council approved by the decision of the Company’s Shareholders Meeting of 30 November 2020, which is developed on the basis of Directive (EU) 2017/828 of the European Parliament and of the Council of 17 May 2017 as regards the encouragement of long-term shareholder engagement, as well as according to Article 59</w:t>
      </w:r>
      <w:r w:rsidRPr="008F265A">
        <w:rPr>
          <w:vertAlign w:val="superscript"/>
        </w:rPr>
        <w:t>3</w:t>
      </w:r>
      <w:r w:rsidRPr="008F265A">
        <w:t xml:space="preserve"> of the Financial Instrument Market Law, which introduces the directive.</w:t>
      </w:r>
    </w:p>
    <w:p w14:paraId="2EAFC7E1" w14:textId="77777777" w:rsidR="00A14EC2" w:rsidRPr="008F265A" w:rsidRDefault="00A14EC2" w:rsidP="00A14EC2">
      <w:pPr>
        <w:jc w:val="both"/>
      </w:pPr>
    </w:p>
    <w:p w14:paraId="2893D96F" w14:textId="77777777" w:rsidR="00A14EC2" w:rsidRPr="008F265A" w:rsidRDefault="00A14EC2" w:rsidP="00A14EC2">
      <w:pPr>
        <w:jc w:val="both"/>
      </w:pPr>
      <w:r w:rsidRPr="008F265A">
        <w:t>The Remuneration Report is prepared by the Board and reviewed by the Council of the Company. The Remuneration Report is reviewed and approved by the Shareholders’ Meeting alongside other parts of the Annual Report. According to the Audit Services Law of the Republic of Latvia, a sworn auditor is under the obligation to provide an opinion on whether the information referred to in Section 59.</w:t>
      </w:r>
      <w:r w:rsidRPr="008F265A">
        <w:rPr>
          <w:vertAlign w:val="superscript"/>
        </w:rPr>
        <w:t>4</w:t>
      </w:r>
      <w:r w:rsidRPr="008F265A">
        <w:t xml:space="preserve"> of the Financial Instrument Market Law has been included in the Remuneration Report and whether significant non-conformities have been established in the Remuneration Report in relation to the financial information presented in the Annual Report.</w:t>
      </w:r>
    </w:p>
    <w:p w14:paraId="4B0930DE" w14:textId="77777777" w:rsidR="00A14EC2" w:rsidRPr="008F265A" w:rsidRDefault="00A14EC2" w:rsidP="00A14EC2">
      <w:pPr>
        <w:jc w:val="both"/>
      </w:pPr>
    </w:p>
    <w:p w14:paraId="3AA4A1AB" w14:textId="77777777" w:rsidR="00A14EC2" w:rsidRPr="008F265A" w:rsidRDefault="00A14EC2" w:rsidP="00A14EC2">
      <w:pPr>
        <w:jc w:val="both"/>
      </w:pPr>
      <w:r w:rsidRPr="008F265A">
        <w:t>The Remuneration Report is published concurrently with the audited annual report of the Company as a separate part of the annual report in Latvian and English on the Company’s website: in section “Remuneration Report”, as well as on the Nasdaq Riga website: http://www.nasdaqbaltic.com.</w:t>
      </w:r>
    </w:p>
    <w:p w14:paraId="60071F82" w14:textId="77777777" w:rsidR="00290577" w:rsidRPr="008F265A" w:rsidRDefault="00290577" w:rsidP="00290577"/>
    <w:p w14:paraId="354895B8" w14:textId="77777777" w:rsidR="00E3349A" w:rsidRDefault="00E3349A" w:rsidP="00290577">
      <w:pPr>
        <w:rPr>
          <w:u w:val="single"/>
        </w:rPr>
      </w:pPr>
    </w:p>
    <w:p w14:paraId="0D1EE3CE" w14:textId="77777777" w:rsidR="00E3349A" w:rsidRDefault="00E3349A" w:rsidP="00290577">
      <w:pPr>
        <w:rPr>
          <w:u w:val="single"/>
        </w:rPr>
      </w:pPr>
    </w:p>
    <w:p w14:paraId="6A95468A" w14:textId="77777777" w:rsidR="00E3349A" w:rsidRDefault="00E3349A" w:rsidP="00290577">
      <w:pPr>
        <w:rPr>
          <w:u w:val="single"/>
        </w:rPr>
      </w:pPr>
    </w:p>
    <w:p w14:paraId="1439DED9" w14:textId="77777777" w:rsidR="00E3349A" w:rsidRDefault="00E3349A" w:rsidP="00290577">
      <w:pPr>
        <w:rPr>
          <w:u w:val="single"/>
        </w:rPr>
      </w:pPr>
    </w:p>
    <w:p w14:paraId="6EBDBC43" w14:textId="77777777" w:rsidR="00E3349A" w:rsidRDefault="00E3349A" w:rsidP="00290577">
      <w:pPr>
        <w:rPr>
          <w:u w:val="single"/>
        </w:rPr>
      </w:pPr>
    </w:p>
    <w:p w14:paraId="2876279B" w14:textId="77777777" w:rsidR="00E3349A" w:rsidRDefault="00E3349A" w:rsidP="00290577">
      <w:pPr>
        <w:rPr>
          <w:u w:val="single"/>
        </w:rPr>
      </w:pPr>
    </w:p>
    <w:p w14:paraId="6A81A8CD" w14:textId="77777777" w:rsidR="00E3349A" w:rsidRDefault="00E3349A" w:rsidP="00290577">
      <w:pPr>
        <w:rPr>
          <w:u w:val="single"/>
        </w:rPr>
      </w:pPr>
    </w:p>
    <w:p w14:paraId="27BA83B2" w14:textId="77777777" w:rsidR="00E3349A" w:rsidRDefault="00E3349A" w:rsidP="00290577">
      <w:pPr>
        <w:rPr>
          <w:u w:val="single"/>
        </w:rPr>
      </w:pPr>
    </w:p>
    <w:p w14:paraId="736B9EDE" w14:textId="77777777" w:rsidR="00E3349A" w:rsidRDefault="00E3349A" w:rsidP="00290577">
      <w:pPr>
        <w:rPr>
          <w:u w:val="single"/>
        </w:rPr>
      </w:pPr>
    </w:p>
    <w:p w14:paraId="4A39ECFB" w14:textId="77777777" w:rsidR="00E3349A" w:rsidRDefault="00E3349A" w:rsidP="00290577">
      <w:pPr>
        <w:rPr>
          <w:u w:val="single"/>
        </w:rPr>
      </w:pPr>
    </w:p>
    <w:p w14:paraId="1B21DA92" w14:textId="77777777" w:rsidR="00E3349A" w:rsidRDefault="00E3349A" w:rsidP="00290577">
      <w:pPr>
        <w:rPr>
          <w:u w:val="single"/>
        </w:rPr>
      </w:pPr>
    </w:p>
    <w:p w14:paraId="0AAD01F0" w14:textId="77777777" w:rsidR="00E3349A" w:rsidRDefault="00E3349A" w:rsidP="00290577">
      <w:pPr>
        <w:rPr>
          <w:u w:val="single"/>
        </w:rPr>
      </w:pPr>
    </w:p>
    <w:p w14:paraId="1129C4D8" w14:textId="77777777" w:rsidR="00E3349A" w:rsidRDefault="00E3349A" w:rsidP="00290577">
      <w:pPr>
        <w:rPr>
          <w:u w:val="single"/>
        </w:rPr>
      </w:pPr>
    </w:p>
    <w:p w14:paraId="38C2CD7F" w14:textId="77777777" w:rsidR="00E3349A" w:rsidRDefault="00E3349A" w:rsidP="00290577">
      <w:pPr>
        <w:rPr>
          <w:u w:val="single"/>
        </w:rPr>
      </w:pPr>
    </w:p>
    <w:p w14:paraId="075370AB" w14:textId="77777777" w:rsidR="00E3349A" w:rsidRDefault="00E3349A" w:rsidP="00290577">
      <w:pPr>
        <w:rPr>
          <w:u w:val="single"/>
        </w:rPr>
      </w:pPr>
    </w:p>
    <w:p w14:paraId="119221E5" w14:textId="77777777" w:rsidR="00E3349A" w:rsidRDefault="00E3349A" w:rsidP="00290577">
      <w:pPr>
        <w:rPr>
          <w:u w:val="single"/>
        </w:rPr>
      </w:pPr>
    </w:p>
    <w:p w14:paraId="46B1A357" w14:textId="77777777" w:rsidR="00E3349A" w:rsidRDefault="00E3349A" w:rsidP="00290577">
      <w:pPr>
        <w:rPr>
          <w:u w:val="single"/>
        </w:rPr>
      </w:pPr>
    </w:p>
    <w:p w14:paraId="0E6C2013" w14:textId="77777777" w:rsidR="00E3349A" w:rsidRDefault="00E3349A" w:rsidP="00290577">
      <w:pPr>
        <w:rPr>
          <w:u w:val="single"/>
        </w:rPr>
      </w:pPr>
    </w:p>
    <w:p w14:paraId="43D7E4E1" w14:textId="77777777" w:rsidR="00E3349A" w:rsidRDefault="00E3349A" w:rsidP="00290577">
      <w:pPr>
        <w:rPr>
          <w:u w:val="single"/>
        </w:rPr>
      </w:pPr>
    </w:p>
    <w:p w14:paraId="260E0B99" w14:textId="77777777" w:rsidR="00E3349A" w:rsidRDefault="00E3349A" w:rsidP="00290577">
      <w:pPr>
        <w:rPr>
          <w:u w:val="single"/>
        </w:rPr>
      </w:pPr>
    </w:p>
    <w:p w14:paraId="38310CE9" w14:textId="77777777" w:rsidR="00E3349A" w:rsidRDefault="00E3349A" w:rsidP="00290577">
      <w:pPr>
        <w:rPr>
          <w:u w:val="single"/>
        </w:rPr>
      </w:pPr>
    </w:p>
    <w:p w14:paraId="5A6BCCAB" w14:textId="77777777" w:rsidR="00E3349A" w:rsidRDefault="00E3349A" w:rsidP="00290577">
      <w:pPr>
        <w:rPr>
          <w:u w:val="single"/>
        </w:rPr>
      </w:pPr>
    </w:p>
    <w:p w14:paraId="75F954B1" w14:textId="77777777" w:rsidR="00E3349A" w:rsidRDefault="00E3349A" w:rsidP="00290577">
      <w:pPr>
        <w:rPr>
          <w:u w:val="single"/>
        </w:rPr>
      </w:pPr>
    </w:p>
    <w:p w14:paraId="3557D1EC" w14:textId="77777777" w:rsidR="00E3349A" w:rsidRDefault="00E3349A" w:rsidP="00290577">
      <w:pPr>
        <w:rPr>
          <w:u w:val="single"/>
        </w:rPr>
      </w:pPr>
    </w:p>
    <w:p w14:paraId="4986F348" w14:textId="77777777" w:rsidR="00E3349A" w:rsidRDefault="00E3349A" w:rsidP="00290577">
      <w:pPr>
        <w:rPr>
          <w:u w:val="single"/>
        </w:rPr>
      </w:pPr>
    </w:p>
    <w:p w14:paraId="1F2BC0BE" w14:textId="77777777" w:rsidR="00E3349A" w:rsidRDefault="00E3349A" w:rsidP="00290577">
      <w:pPr>
        <w:rPr>
          <w:u w:val="single"/>
        </w:rPr>
      </w:pPr>
    </w:p>
    <w:p w14:paraId="1BF03996" w14:textId="77777777" w:rsidR="00E3349A" w:rsidRDefault="00E3349A" w:rsidP="00290577">
      <w:pPr>
        <w:rPr>
          <w:u w:val="single"/>
        </w:rPr>
      </w:pPr>
    </w:p>
    <w:p w14:paraId="0532DDE7" w14:textId="77777777" w:rsidR="00E3349A" w:rsidRDefault="00E3349A" w:rsidP="00290577">
      <w:pPr>
        <w:rPr>
          <w:u w:val="single"/>
        </w:rPr>
      </w:pPr>
    </w:p>
    <w:p w14:paraId="0403C20B" w14:textId="77777777" w:rsidR="00E3349A" w:rsidRDefault="00E3349A" w:rsidP="00290577">
      <w:pPr>
        <w:rPr>
          <w:u w:val="single"/>
        </w:rPr>
      </w:pPr>
    </w:p>
    <w:p w14:paraId="3B961C2E" w14:textId="77777777" w:rsidR="00E3349A" w:rsidRDefault="00E3349A" w:rsidP="00290577">
      <w:pPr>
        <w:rPr>
          <w:u w:val="single"/>
        </w:rPr>
      </w:pPr>
    </w:p>
    <w:p w14:paraId="60A22287" w14:textId="77777777" w:rsidR="00E3349A" w:rsidRDefault="00E3349A" w:rsidP="00290577">
      <w:pPr>
        <w:rPr>
          <w:u w:val="single"/>
        </w:rPr>
      </w:pPr>
    </w:p>
    <w:p w14:paraId="53CA7525" w14:textId="77777777" w:rsidR="00E3349A" w:rsidRDefault="00E3349A" w:rsidP="00290577">
      <w:pPr>
        <w:rPr>
          <w:u w:val="single"/>
        </w:rPr>
      </w:pPr>
    </w:p>
    <w:p w14:paraId="3C8AC241" w14:textId="77777777" w:rsidR="00E3349A" w:rsidRDefault="00E3349A" w:rsidP="00290577">
      <w:pPr>
        <w:rPr>
          <w:u w:val="single"/>
        </w:rPr>
      </w:pPr>
    </w:p>
    <w:p w14:paraId="0595D90F" w14:textId="77777777" w:rsidR="00E3349A" w:rsidRDefault="00E3349A" w:rsidP="00290577">
      <w:pPr>
        <w:rPr>
          <w:u w:val="single"/>
        </w:rPr>
      </w:pPr>
    </w:p>
    <w:p w14:paraId="0FC5FF09" w14:textId="77777777" w:rsidR="00E3349A" w:rsidRDefault="00E3349A" w:rsidP="00290577">
      <w:pPr>
        <w:rPr>
          <w:u w:val="single"/>
        </w:rPr>
      </w:pPr>
    </w:p>
    <w:p w14:paraId="567BFBC8" w14:textId="77777777" w:rsidR="00E3349A" w:rsidRDefault="00E3349A" w:rsidP="00290577">
      <w:pPr>
        <w:rPr>
          <w:u w:val="single"/>
        </w:rPr>
      </w:pPr>
    </w:p>
    <w:p w14:paraId="0A27EF50" w14:textId="77777777" w:rsidR="00E3349A" w:rsidRDefault="00E3349A" w:rsidP="00290577">
      <w:pPr>
        <w:rPr>
          <w:u w:val="single"/>
        </w:rPr>
      </w:pPr>
    </w:p>
    <w:p w14:paraId="61A2A6D7" w14:textId="77777777" w:rsidR="00E3349A" w:rsidRDefault="00E3349A" w:rsidP="00290577">
      <w:pPr>
        <w:rPr>
          <w:u w:val="single"/>
        </w:rPr>
      </w:pPr>
    </w:p>
    <w:p w14:paraId="441EC427" w14:textId="77777777" w:rsidR="00E3349A" w:rsidRDefault="00E3349A" w:rsidP="00290577">
      <w:pPr>
        <w:rPr>
          <w:u w:val="single"/>
        </w:rPr>
      </w:pPr>
    </w:p>
    <w:p w14:paraId="0C50B6A4" w14:textId="37E76BC9" w:rsidR="00290577" w:rsidRPr="008F265A" w:rsidRDefault="00290577" w:rsidP="00290577">
      <w:pPr>
        <w:rPr>
          <w:u w:val="single"/>
        </w:rPr>
      </w:pPr>
      <w:r w:rsidRPr="008F265A">
        <w:rPr>
          <w:u w:val="single"/>
        </w:rPr>
        <w:lastRenderedPageBreak/>
        <w:t>Remuneration to the Board and Council</w:t>
      </w:r>
    </w:p>
    <w:p w14:paraId="7C9092C6" w14:textId="77777777" w:rsidR="00A14EC2" w:rsidRPr="008F265A" w:rsidRDefault="00A14EC2" w:rsidP="00A14EC2">
      <w:pPr>
        <w:jc w:val="both"/>
      </w:pPr>
      <w:r w:rsidRPr="008F265A">
        <w:t xml:space="preserve">The remuneration policy of the Board and Council ensures that in 2022 the Company’s strategy, realization of long-term interests and sustainability, ensuring business continuity, is implemented. </w:t>
      </w:r>
    </w:p>
    <w:p w14:paraId="515BA9FE" w14:textId="77777777" w:rsidR="00A14EC2" w:rsidRPr="008F265A" w:rsidRDefault="00A14EC2" w:rsidP="00A14EC2">
      <w:pPr>
        <w:jc w:val="both"/>
      </w:pPr>
    </w:p>
    <w:p w14:paraId="0B48429E" w14:textId="44955D0D" w:rsidR="00290577" w:rsidRPr="008F265A" w:rsidRDefault="00A14EC2" w:rsidP="00A14EC2">
      <w:pPr>
        <w:spacing w:before="120" w:after="120"/>
        <w:jc w:val="both"/>
      </w:pPr>
      <w:r w:rsidRPr="008F265A">
        <w:t>Remuneration to the members of the Council consists only of fixed component of remuneration. In 2022, the following total remuneration was granted and paid to the members of the Council:</w:t>
      </w:r>
    </w:p>
    <w:tbl>
      <w:tblPr>
        <w:tblStyle w:val="TableGrid"/>
        <w:tblW w:w="9493" w:type="dxa"/>
        <w:tblLook w:val="04A0" w:firstRow="1" w:lastRow="0" w:firstColumn="1" w:lastColumn="0" w:noHBand="0" w:noVBand="1"/>
      </w:tblPr>
      <w:tblGrid>
        <w:gridCol w:w="1838"/>
        <w:gridCol w:w="2371"/>
        <w:gridCol w:w="1598"/>
        <w:gridCol w:w="1843"/>
        <w:gridCol w:w="1843"/>
      </w:tblGrid>
      <w:tr w:rsidR="00A14EC2" w:rsidRPr="0036171D" w14:paraId="645D1412" w14:textId="77777777" w:rsidTr="007B2DA1">
        <w:tc>
          <w:tcPr>
            <w:tcW w:w="1838" w:type="dxa"/>
          </w:tcPr>
          <w:p w14:paraId="645D5820" w14:textId="77777777" w:rsidR="00A14EC2" w:rsidRPr="00B414B5" w:rsidRDefault="00A14EC2" w:rsidP="007B2DA1">
            <w:r w:rsidRPr="00B414B5">
              <w:t>Name, surname</w:t>
            </w:r>
          </w:p>
        </w:tc>
        <w:tc>
          <w:tcPr>
            <w:tcW w:w="2371" w:type="dxa"/>
          </w:tcPr>
          <w:p w14:paraId="6C0AA2A2" w14:textId="77777777" w:rsidR="00A14EC2" w:rsidRPr="00B414B5" w:rsidRDefault="00A14EC2" w:rsidP="007B2DA1">
            <w:r w:rsidRPr="00B414B5">
              <w:t>Position</w:t>
            </w:r>
          </w:p>
        </w:tc>
        <w:tc>
          <w:tcPr>
            <w:tcW w:w="1598" w:type="dxa"/>
          </w:tcPr>
          <w:p w14:paraId="6F0E06FA" w14:textId="77777777" w:rsidR="00A14EC2" w:rsidRPr="00B414B5" w:rsidRDefault="00A14EC2" w:rsidP="007B2DA1">
            <w:r w:rsidRPr="00B414B5">
              <w:t>Remuneration paid in 2022, EUR</w:t>
            </w:r>
          </w:p>
        </w:tc>
        <w:tc>
          <w:tcPr>
            <w:tcW w:w="1843" w:type="dxa"/>
          </w:tcPr>
          <w:p w14:paraId="082E94D8" w14:textId="77777777" w:rsidR="00A14EC2" w:rsidRPr="00B414B5" w:rsidRDefault="00A14EC2" w:rsidP="007B2DA1">
            <w:r w:rsidRPr="00B414B5">
              <w:t>Remuneration paid in 2021, EUR</w:t>
            </w:r>
          </w:p>
        </w:tc>
        <w:tc>
          <w:tcPr>
            <w:tcW w:w="1843" w:type="dxa"/>
          </w:tcPr>
          <w:p w14:paraId="7E10C4DB" w14:textId="77777777" w:rsidR="00A14EC2" w:rsidRPr="00B414B5" w:rsidRDefault="00A14EC2" w:rsidP="007B2DA1">
            <w:r w:rsidRPr="00B414B5">
              <w:t>Remuneration paid in 2020, EUR</w:t>
            </w:r>
          </w:p>
        </w:tc>
      </w:tr>
      <w:tr w:rsidR="00A14EC2" w:rsidRPr="0036171D" w14:paraId="552DEB9A" w14:textId="77777777" w:rsidTr="007B2DA1">
        <w:tc>
          <w:tcPr>
            <w:tcW w:w="1838" w:type="dxa"/>
          </w:tcPr>
          <w:p w14:paraId="61D7E2F5" w14:textId="77777777" w:rsidR="00A14EC2" w:rsidRPr="00B414B5" w:rsidRDefault="00A14EC2" w:rsidP="007B2DA1">
            <w:pPr>
              <w:jc w:val="both"/>
            </w:pPr>
            <w:r w:rsidRPr="00B414B5">
              <w:t>Mārtiņš Birks</w:t>
            </w:r>
          </w:p>
        </w:tc>
        <w:tc>
          <w:tcPr>
            <w:tcW w:w="2371" w:type="dxa"/>
          </w:tcPr>
          <w:p w14:paraId="322ACAD7" w14:textId="77777777" w:rsidR="00A14EC2" w:rsidRPr="00B414B5" w:rsidRDefault="00A14EC2" w:rsidP="007B2DA1">
            <w:pPr>
              <w:jc w:val="both"/>
            </w:pPr>
            <w:r w:rsidRPr="00B414B5">
              <w:t>Chairman of the Council</w:t>
            </w:r>
          </w:p>
        </w:tc>
        <w:tc>
          <w:tcPr>
            <w:tcW w:w="1598" w:type="dxa"/>
          </w:tcPr>
          <w:p w14:paraId="2EB45AEB" w14:textId="77777777" w:rsidR="00A14EC2" w:rsidRPr="00B414B5" w:rsidRDefault="00A14EC2" w:rsidP="007B2DA1">
            <w:pPr>
              <w:jc w:val="both"/>
            </w:pPr>
            <w:r w:rsidRPr="00B414B5">
              <w:t>9 649.79</w:t>
            </w:r>
          </w:p>
        </w:tc>
        <w:tc>
          <w:tcPr>
            <w:tcW w:w="1843" w:type="dxa"/>
          </w:tcPr>
          <w:p w14:paraId="5810C7C8" w14:textId="77777777" w:rsidR="00A14EC2" w:rsidRPr="00B414B5" w:rsidRDefault="00A14EC2" w:rsidP="007B2DA1">
            <w:pPr>
              <w:jc w:val="both"/>
            </w:pPr>
            <w:r w:rsidRPr="00B414B5">
              <w:t>8 195.76</w:t>
            </w:r>
          </w:p>
        </w:tc>
        <w:tc>
          <w:tcPr>
            <w:tcW w:w="1843" w:type="dxa"/>
          </w:tcPr>
          <w:p w14:paraId="16CD1867" w14:textId="77777777" w:rsidR="00A14EC2" w:rsidRPr="00B414B5" w:rsidRDefault="00A14EC2" w:rsidP="007B2DA1">
            <w:pPr>
              <w:jc w:val="both"/>
            </w:pPr>
            <w:r w:rsidRPr="00B414B5">
              <w:t>8 195.76</w:t>
            </w:r>
          </w:p>
        </w:tc>
      </w:tr>
      <w:tr w:rsidR="00A14EC2" w:rsidRPr="0036171D" w14:paraId="2B33DB0E" w14:textId="77777777" w:rsidTr="007B2DA1">
        <w:tc>
          <w:tcPr>
            <w:tcW w:w="1838" w:type="dxa"/>
          </w:tcPr>
          <w:p w14:paraId="5DB45806" w14:textId="77777777" w:rsidR="00A14EC2" w:rsidRPr="00B414B5" w:rsidRDefault="00A14EC2" w:rsidP="007B2DA1">
            <w:pPr>
              <w:jc w:val="both"/>
            </w:pPr>
            <w:r w:rsidRPr="00B414B5">
              <w:t>Ineta Gadzjus</w:t>
            </w:r>
          </w:p>
        </w:tc>
        <w:tc>
          <w:tcPr>
            <w:tcW w:w="2371" w:type="dxa"/>
          </w:tcPr>
          <w:p w14:paraId="6AA1B94A" w14:textId="77777777" w:rsidR="00A14EC2" w:rsidRPr="00B414B5" w:rsidRDefault="00A14EC2" w:rsidP="007B2DA1">
            <w:pPr>
              <w:jc w:val="both"/>
            </w:pPr>
            <w:r w:rsidRPr="00B414B5">
              <w:t>Member of the Council</w:t>
            </w:r>
          </w:p>
        </w:tc>
        <w:tc>
          <w:tcPr>
            <w:tcW w:w="1598" w:type="dxa"/>
          </w:tcPr>
          <w:p w14:paraId="594E474A" w14:textId="77777777" w:rsidR="00A14EC2" w:rsidRPr="00B414B5" w:rsidRDefault="00A14EC2" w:rsidP="007B2DA1">
            <w:pPr>
              <w:jc w:val="both"/>
            </w:pPr>
            <w:r w:rsidRPr="00B414B5">
              <w:t>5 629.07</w:t>
            </w:r>
          </w:p>
        </w:tc>
        <w:tc>
          <w:tcPr>
            <w:tcW w:w="1843" w:type="dxa"/>
          </w:tcPr>
          <w:p w14:paraId="2B11C1F1" w14:textId="77777777" w:rsidR="00A14EC2" w:rsidRPr="00B414B5" w:rsidRDefault="00A14EC2" w:rsidP="007B2DA1">
            <w:pPr>
              <w:jc w:val="both"/>
            </w:pPr>
            <w:r w:rsidRPr="00B414B5">
              <w:t>4 780.92</w:t>
            </w:r>
          </w:p>
        </w:tc>
        <w:tc>
          <w:tcPr>
            <w:tcW w:w="1843" w:type="dxa"/>
          </w:tcPr>
          <w:p w14:paraId="634A0F25" w14:textId="77777777" w:rsidR="00A14EC2" w:rsidRPr="00B414B5" w:rsidRDefault="00A14EC2" w:rsidP="007B2DA1">
            <w:pPr>
              <w:jc w:val="both"/>
            </w:pPr>
            <w:r w:rsidRPr="00B414B5">
              <w:t>4 780.92</w:t>
            </w:r>
          </w:p>
        </w:tc>
      </w:tr>
      <w:tr w:rsidR="00A14EC2" w:rsidRPr="0036171D" w14:paraId="119E0D67" w14:textId="77777777" w:rsidTr="007B2DA1">
        <w:tc>
          <w:tcPr>
            <w:tcW w:w="1838" w:type="dxa"/>
          </w:tcPr>
          <w:p w14:paraId="7F676F0A" w14:textId="77777777" w:rsidR="00A14EC2" w:rsidRPr="00B414B5" w:rsidRDefault="00A14EC2" w:rsidP="007B2DA1">
            <w:pPr>
              <w:jc w:val="both"/>
            </w:pPr>
            <w:r w:rsidRPr="00B414B5">
              <w:t>Viesturs Šiliņš</w:t>
            </w:r>
          </w:p>
        </w:tc>
        <w:tc>
          <w:tcPr>
            <w:tcW w:w="2371" w:type="dxa"/>
          </w:tcPr>
          <w:p w14:paraId="3E1BD35C" w14:textId="77777777" w:rsidR="00A14EC2" w:rsidRPr="00B414B5" w:rsidRDefault="00A14EC2" w:rsidP="007B2DA1">
            <w:pPr>
              <w:jc w:val="both"/>
            </w:pPr>
            <w:r w:rsidRPr="00B414B5">
              <w:t>Member of the Council</w:t>
            </w:r>
          </w:p>
        </w:tc>
        <w:tc>
          <w:tcPr>
            <w:tcW w:w="1598" w:type="dxa"/>
          </w:tcPr>
          <w:p w14:paraId="4C884CA8" w14:textId="77777777" w:rsidR="00A14EC2" w:rsidRPr="00B414B5" w:rsidRDefault="00A14EC2" w:rsidP="007B2DA1">
            <w:pPr>
              <w:jc w:val="both"/>
            </w:pPr>
            <w:r w:rsidRPr="00B414B5">
              <w:t>5 629.07</w:t>
            </w:r>
          </w:p>
        </w:tc>
        <w:tc>
          <w:tcPr>
            <w:tcW w:w="1843" w:type="dxa"/>
          </w:tcPr>
          <w:p w14:paraId="23F1B9E0" w14:textId="77777777" w:rsidR="00A14EC2" w:rsidRPr="00B414B5" w:rsidRDefault="00A14EC2" w:rsidP="007B2DA1">
            <w:pPr>
              <w:jc w:val="both"/>
            </w:pPr>
            <w:r w:rsidRPr="00B414B5">
              <w:t>4 780.92</w:t>
            </w:r>
          </w:p>
        </w:tc>
        <w:tc>
          <w:tcPr>
            <w:tcW w:w="1843" w:type="dxa"/>
          </w:tcPr>
          <w:p w14:paraId="0B748EFC" w14:textId="77777777" w:rsidR="00A14EC2" w:rsidRPr="00B414B5" w:rsidRDefault="00A14EC2" w:rsidP="007B2DA1">
            <w:pPr>
              <w:jc w:val="both"/>
            </w:pPr>
            <w:r w:rsidRPr="00B414B5">
              <w:t>4 780.92</w:t>
            </w:r>
          </w:p>
        </w:tc>
      </w:tr>
      <w:tr w:rsidR="00A14EC2" w:rsidRPr="0036171D" w14:paraId="48F58F16" w14:textId="77777777" w:rsidTr="007B2DA1">
        <w:tc>
          <w:tcPr>
            <w:tcW w:w="1838" w:type="dxa"/>
          </w:tcPr>
          <w:p w14:paraId="7774D034" w14:textId="77777777" w:rsidR="00A14EC2" w:rsidRPr="00B414B5" w:rsidRDefault="00A14EC2" w:rsidP="007B2DA1">
            <w:pPr>
              <w:jc w:val="both"/>
            </w:pPr>
            <w:r w:rsidRPr="00B414B5">
              <w:t>Jevgēņijs Kalējs</w:t>
            </w:r>
          </w:p>
        </w:tc>
        <w:tc>
          <w:tcPr>
            <w:tcW w:w="2371" w:type="dxa"/>
          </w:tcPr>
          <w:p w14:paraId="57644609" w14:textId="77777777" w:rsidR="00A14EC2" w:rsidRPr="00B414B5" w:rsidRDefault="00A14EC2" w:rsidP="007B2DA1">
            <w:pPr>
              <w:jc w:val="both"/>
            </w:pPr>
            <w:r w:rsidRPr="00B414B5">
              <w:t>Member of the Council</w:t>
            </w:r>
          </w:p>
        </w:tc>
        <w:tc>
          <w:tcPr>
            <w:tcW w:w="1598" w:type="dxa"/>
          </w:tcPr>
          <w:p w14:paraId="3CDFBDE2" w14:textId="77777777" w:rsidR="00A14EC2" w:rsidRPr="00B414B5" w:rsidRDefault="00A14EC2" w:rsidP="007B2DA1">
            <w:pPr>
              <w:jc w:val="both"/>
            </w:pPr>
            <w:r w:rsidRPr="00B414B5">
              <w:t>5 629.07</w:t>
            </w:r>
          </w:p>
        </w:tc>
        <w:tc>
          <w:tcPr>
            <w:tcW w:w="1843" w:type="dxa"/>
          </w:tcPr>
          <w:p w14:paraId="6E844F2E" w14:textId="77777777" w:rsidR="00A14EC2" w:rsidRPr="00B414B5" w:rsidRDefault="00A14EC2" w:rsidP="007B2DA1">
            <w:pPr>
              <w:jc w:val="both"/>
            </w:pPr>
            <w:r w:rsidRPr="00B414B5">
              <w:t>4 780.92</w:t>
            </w:r>
          </w:p>
        </w:tc>
        <w:tc>
          <w:tcPr>
            <w:tcW w:w="1843" w:type="dxa"/>
          </w:tcPr>
          <w:p w14:paraId="64DE8DDF" w14:textId="77777777" w:rsidR="00A14EC2" w:rsidRPr="00B414B5" w:rsidRDefault="00A14EC2" w:rsidP="007B2DA1">
            <w:pPr>
              <w:jc w:val="both"/>
            </w:pPr>
            <w:r w:rsidRPr="00B414B5">
              <w:t>4 780.92</w:t>
            </w:r>
          </w:p>
        </w:tc>
      </w:tr>
      <w:tr w:rsidR="00A14EC2" w:rsidRPr="0036171D" w14:paraId="70F6F5EE" w14:textId="77777777" w:rsidTr="007B2DA1">
        <w:tc>
          <w:tcPr>
            <w:tcW w:w="1838" w:type="dxa"/>
          </w:tcPr>
          <w:p w14:paraId="0F7F0820" w14:textId="77777777" w:rsidR="00A14EC2" w:rsidRPr="00B414B5" w:rsidRDefault="00A14EC2" w:rsidP="007B2DA1">
            <w:pPr>
              <w:jc w:val="both"/>
            </w:pPr>
            <w:r w:rsidRPr="00B414B5">
              <w:t>Uldis Osis</w:t>
            </w:r>
          </w:p>
        </w:tc>
        <w:tc>
          <w:tcPr>
            <w:tcW w:w="2371" w:type="dxa"/>
          </w:tcPr>
          <w:p w14:paraId="176771E5" w14:textId="77777777" w:rsidR="00A14EC2" w:rsidRPr="00B414B5" w:rsidRDefault="00A14EC2" w:rsidP="007B2DA1">
            <w:pPr>
              <w:jc w:val="both"/>
            </w:pPr>
            <w:r w:rsidRPr="00B414B5">
              <w:t>Member of the Council</w:t>
            </w:r>
          </w:p>
        </w:tc>
        <w:tc>
          <w:tcPr>
            <w:tcW w:w="1598" w:type="dxa"/>
          </w:tcPr>
          <w:p w14:paraId="76890F7E" w14:textId="77777777" w:rsidR="00A14EC2" w:rsidRPr="00B414B5" w:rsidRDefault="00A14EC2" w:rsidP="007B2DA1">
            <w:pPr>
              <w:jc w:val="both"/>
            </w:pPr>
            <w:r w:rsidRPr="00B414B5">
              <w:t>5 629.07</w:t>
            </w:r>
          </w:p>
        </w:tc>
        <w:tc>
          <w:tcPr>
            <w:tcW w:w="1843" w:type="dxa"/>
          </w:tcPr>
          <w:p w14:paraId="0324428C" w14:textId="77777777" w:rsidR="00A14EC2" w:rsidRPr="00B414B5" w:rsidRDefault="00A14EC2" w:rsidP="007B2DA1">
            <w:pPr>
              <w:jc w:val="both"/>
            </w:pPr>
            <w:r w:rsidRPr="00B414B5">
              <w:t>4 780.92</w:t>
            </w:r>
          </w:p>
        </w:tc>
        <w:tc>
          <w:tcPr>
            <w:tcW w:w="1843" w:type="dxa"/>
          </w:tcPr>
          <w:p w14:paraId="2119AC62" w14:textId="77777777" w:rsidR="00A14EC2" w:rsidRPr="00B414B5" w:rsidRDefault="00A14EC2" w:rsidP="007B2DA1">
            <w:pPr>
              <w:jc w:val="both"/>
            </w:pPr>
            <w:r w:rsidRPr="00B414B5">
              <w:t>4 780.92</w:t>
            </w:r>
          </w:p>
        </w:tc>
      </w:tr>
    </w:tbl>
    <w:p w14:paraId="271A92DA" w14:textId="77777777" w:rsidR="00AA18F1" w:rsidRDefault="00AA18F1" w:rsidP="00A14EC2">
      <w:pPr>
        <w:jc w:val="both"/>
        <w:rPr>
          <w:rFonts w:ascii="Arial" w:hAnsi="Arial"/>
        </w:rPr>
      </w:pPr>
    </w:p>
    <w:p w14:paraId="2CA3C7AC" w14:textId="7F136BC6" w:rsidR="00A14EC2" w:rsidRPr="00AA18F1" w:rsidRDefault="00A14EC2" w:rsidP="00A14EC2">
      <w:pPr>
        <w:jc w:val="both"/>
      </w:pPr>
      <w:r w:rsidRPr="00AA18F1">
        <w:t>Remuneration to the members of the Board consists of a fixed and variable component of remuneration. In 2022, the following total remuneration was granted and paid to the members of the Board:</w:t>
      </w:r>
    </w:p>
    <w:p w14:paraId="791C3F0C" w14:textId="77777777" w:rsidR="00AA18F1" w:rsidRDefault="00AA18F1" w:rsidP="00A14EC2">
      <w:pPr>
        <w:jc w:val="both"/>
        <w:rPr>
          <w:rFonts w:ascii="Arial" w:hAnsi="Arial"/>
        </w:rPr>
      </w:pPr>
    </w:p>
    <w:tbl>
      <w:tblPr>
        <w:tblStyle w:val="TableGrid"/>
        <w:tblW w:w="8642" w:type="dxa"/>
        <w:tblLook w:val="04A0" w:firstRow="1" w:lastRow="0" w:firstColumn="1" w:lastColumn="0" w:noHBand="0" w:noVBand="1"/>
      </w:tblPr>
      <w:tblGrid>
        <w:gridCol w:w="1772"/>
        <w:gridCol w:w="2409"/>
        <w:gridCol w:w="1561"/>
        <w:gridCol w:w="1450"/>
        <w:gridCol w:w="1450"/>
      </w:tblGrid>
      <w:tr w:rsidR="00A14EC2" w:rsidRPr="0036171D" w14:paraId="06984A77" w14:textId="77777777" w:rsidTr="007B2DA1">
        <w:tc>
          <w:tcPr>
            <w:tcW w:w="1772" w:type="dxa"/>
          </w:tcPr>
          <w:p w14:paraId="08982591" w14:textId="77777777" w:rsidR="00A14EC2" w:rsidRPr="00A0738B" w:rsidRDefault="00A14EC2" w:rsidP="007B2DA1">
            <w:r w:rsidRPr="00A0738B">
              <w:t>Name, surname</w:t>
            </w:r>
          </w:p>
        </w:tc>
        <w:tc>
          <w:tcPr>
            <w:tcW w:w="2409" w:type="dxa"/>
          </w:tcPr>
          <w:p w14:paraId="4FE5D52F" w14:textId="77777777" w:rsidR="00A14EC2" w:rsidRPr="00A0738B" w:rsidRDefault="00A14EC2" w:rsidP="007B2DA1">
            <w:r w:rsidRPr="00A0738B">
              <w:t>Position</w:t>
            </w:r>
          </w:p>
        </w:tc>
        <w:tc>
          <w:tcPr>
            <w:tcW w:w="1561" w:type="dxa"/>
          </w:tcPr>
          <w:p w14:paraId="3F305E0A" w14:textId="77777777" w:rsidR="00A14EC2" w:rsidRPr="00A0738B" w:rsidRDefault="00A14EC2" w:rsidP="007B2DA1">
            <w:r w:rsidRPr="00A0738B">
              <w:t>Remuneration paid in 2022, EUR</w:t>
            </w:r>
          </w:p>
        </w:tc>
        <w:tc>
          <w:tcPr>
            <w:tcW w:w="1450" w:type="dxa"/>
          </w:tcPr>
          <w:p w14:paraId="3D948A0A" w14:textId="77777777" w:rsidR="00A14EC2" w:rsidRPr="00A0738B" w:rsidRDefault="00A14EC2" w:rsidP="007B2DA1">
            <w:r w:rsidRPr="00A0738B">
              <w:t>Fixed part of remuneration, %</w:t>
            </w:r>
          </w:p>
        </w:tc>
        <w:tc>
          <w:tcPr>
            <w:tcW w:w="1450" w:type="dxa"/>
          </w:tcPr>
          <w:p w14:paraId="06806466" w14:textId="77777777" w:rsidR="00A14EC2" w:rsidRPr="00A0738B" w:rsidRDefault="00A14EC2" w:rsidP="007B2DA1">
            <w:r w:rsidRPr="00A0738B">
              <w:t>Variable part of remuneration, %</w:t>
            </w:r>
          </w:p>
        </w:tc>
      </w:tr>
      <w:tr w:rsidR="00A14EC2" w:rsidRPr="0036171D" w14:paraId="57389904" w14:textId="77777777" w:rsidTr="007B2DA1">
        <w:tc>
          <w:tcPr>
            <w:tcW w:w="1772" w:type="dxa"/>
          </w:tcPr>
          <w:p w14:paraId="1B6D6D8E" w14:textId="77777777" w:rsidR="00A14EC2" w:rsidRPr="00A0738B" w:rsidRDefault="00A14EC2" w:rsidP="007B2DA1">
            <w:pPr>
              <w:jc w:val="both"/>
            </w:pPr>
            <w:r w:rsidRPr="00A0738B">
              <w:t>Jānis Birks</w:t>
            </w:r>
          </w:p>
        </w:tc>
        <w:tc>
          <w:tcPr>
            <w:tcW w:w="2409" w:type="dxa"/>
          </w:tcPr>
          <w:p w14:paraId="5010AE83" w14:textId="77777777" w:rsidR="00A14EC2" w:rsidRPr="00A0738B" w:rsidRDefault="00A14EC2" w:rsidP="007B2DA1">
            <w:pPr>
              <w:jc w:val="both"/>
            </w:pPr>
            <w:r w:rsidRPr="00A0738B">
              <w:t>Chairman of the Board</w:t>
            </w:r>
          </w:p>
        </w:tc>
        <w:tc>
          <w:tcPr>
            <w:tcW w:w="1561" w:type="dxa"/>
          </w:tcPr>
          <w:p w14:paraId="2B03ADD5" w14:textId="77777777" w:rsidR="00A14EC2" w:rsidRPr="00A0738B" w:rsidRDefault="00A14EC2" w:rsidP="007B2DA1">
            <w:pPr>
              <w:jc w:val="both"/>
            </w:pPr>
            <w:r w:rsidRPr="00A0738B">
              <w:t>90 547</w:t>
            </w:r>
          </w:p>
        </w:tc>
        <w:tc>
          <w:tcPr>
            <w:tcW w:w="1450" w:type="dxa"/>
          </w:tcPr>
          <w:p w14:paraId="4730A0D7" w14:textId="77777777" w:rsidR="00A14EC2" w:rsidRPr="00A0738B" w:rsidRDefault="00A14EC2" w:rsidP="007B2DA1">
            <w:pPr>
              <w:jc w:val="both"/>
            </w:pPr>
            <w:r w:rsidRPr="00A0738B">
              <w:t>39.97 %</w:t>
            </w:r>
          </w:p>
        </w:tc>
        <w:tc>
          <w:tcPr>
            <w:tcW w:w="1450" w:type="dxa"/>
          </w:tcPr>
          <w:p w14:paraId="2F97377E" w14:textId="77777777" w:rsidR="00A14EC2" w:rsidRPr="00A0738B" w:rsidRDefault="00A14EC2" w:rsidP="007B2DA1">
            <w:pPr>
              <w:jc w:val="both"/>
            </w:pPr>
            <w:r w:rsidRPr="00A0738B">
              <w:t>60.03 %</w:t>
            </w:r>
          </w:p>
        </w:tc>
      </w:tr>
      <w:tr w:rsidR="00A14EC2" w:rsidRPr="0036171D" w14:paraId="5748F091" w14:textId="77777777" w:rsidTr="007B2DA1">
        <w:tc>
          <w:tcPr>
            <w:tcW w:w="1772" w:type="dxa"/>
          </w:tcPr>
          <w:p w14:paraId="315309CB" w14:textId="77777777" w:rsidR="00A14EC2" w:rsidRPr="00A0738B" w:rsidRDefault="00A14EC2" w:rsidP="007B2DA1">
            <w:pPr>
              <w:jc w:val="both"/>
            </w:pPr>
            <w:r w:rsidRPr="00A0738B">
              <w:t>Juris Imaks</w:t>
            </w:r>
          </w:p>
        </w:tc>
        <w:tc>
          <w:tcPr>
            <w:tcW w:w="2409" w:type="dxa"/>
          </w:tcPr>
          <w:p w14:paraId="59AB7455" w14:textId="77777777" w:rsidR="00A14EC2" w:rsidRPr="00A0738B" w:rsidRDefault="00A14EC2" w:rsidP="007B2DA1">
            <w:pPr>
              <w:jc w:val="both"/>
            </w:pPr>
            <w:r w:rsidRPr="00A0738B">
              <w:t>Member of the Board</w:t>
            </w:r>
          </w:p>
        </w:tc>
        <w:tc>
          <w:tcPr>
            <w:tcW w:w="1561" w:type="dxa"/>
          </w:tcPr>
          <w:p w14:paraId="219AB493" w14:textId="77777777" w:rsidR="00A14EC2" w:rsidRPr="00A0738B" w:rsidRDefault="00A14EC2" w:rsidP="007B2DA1">
            <w:pPr>
              <w:jc w:val="both"/>
            </w:pPr>
            <w:r w:rsidRPr="00A0738B">
              <w:t>69 218</w:t>
            </w:r>
          </w:p>
        </w:tc>
        <w:tc>
          <w:tcPr>
            <w:tcW w:w="1450" w:type="dxa"/>
          </w:tcPr>
          <w:p w14:paraId="470E411F" w14:textId="77777777" w:rsidR="00A14EC2" w:rsidRPr="00A0738B" w:rsidRDefault="00A14EC2" w:rsidP="007B2DA1">
            <w:pPr>
              <w:jc w:val="both"/>
            </w:pPr>
            <w:r w:rsidRPr="00A0738B">
              <w:t>37.28 %</w:t>
            </w:r>
          </w:p>
        </w:tc>
        <w:tc>
          <w:tcPr>
            <w:tcW w:w="1450" w:type="dxa"/>
          </w:tcPr>
          <w:p w14:paraId="08E51450" w14:textId="77777777" w:rsidR="00A14EC2" w:rsidRPr="00A0738B" w:rsidRDefault="00A14EC2" w:rsidP="007B2DA1">
            <w:pPr>
              <w:jc w:val="both"/>
            </w:pPr>
            <w:r w:rsidRPr="00A0738B">
              <w:t>62.72 %</w:t>
            </w:r>
          </w:p>
        </w:tc>
      </w:tr>
      <w:tr w:rsidR="00A14EC2" w:rsidRPr="0036171D" w14:paraId="0109418A" w14:textId="77777777" w:rsidTr="007B2DA1">
        <w:tc>
          <w:tcPr>
            <w:tcW w:w="1772" w:type="dxa"/>
          </w:tcPr>
          <w:p w14:paraId="2441CAA9" w14:textId="77777777" w:rsidR="00A14EC2" w:rsidRPr="00A0738B" w:rsidRDefault="00A14EC2" w:rsidP="007B2DA1">
            <w:pPr>
              <w:jc w:val="both"/>
            </w:pPr>
            <w:r w:rsidRPr="00A0738B">
              <w:t>Anatolijs Ahmetovs</w:t>
            </w:r>
          </w:p>
        </w:tc>
        <w:tc>
          <w:tcPr>
            <w:tcW w:w="2409" w:type="dxa"/>
          </w:tcPr>
          <w:p w14:paraId="0B088306" w14:textId="77777777" w:rsidR="00A14EC2" w:rsidRPr="00A0738B" w:rsidRDefault="00A14EC2" w:rsidP="007B2DA1">
            <w:pPr>
              <w:jc w:val="both"/>
            </w:pPr>
            <w:r w:rsidRPr="00A0738B">
              <w:t>Member of the Board</w:t>
            </w:r>
          </w:p>
        </w:tc>
        <w:tc>
          <w:tcPr>
            <w:tcW w:w="1561" w:type="dxa"/>
          </w:tcPr>
          <w:p w14:paraId="6097378C" w14:textId="77777777" w:rsidR="00A14EC2" w:rsidRPr="00A0738B" w:rsidRDefault="00A14EC2" w:rsidP="007B2DA1">
            <w:pPr>
              <w:jc w:val="both"/>
            </w:pPr>
            <w:r w:rsidRPr="00A0738B">
              <w:t>54 719</w:t>
            </w:r>
          </w:p>
        </w:tc>
        <w:tc>
          <w:tcPr>
            <w:tcW w:w="1450" w:type="dxa"/>
          </w:tcPr>
          <w:p w14:paraId="243AE2CF" w14:textId="77777777" w:rsidR="00A14EC2" w:rsidRPr="00A0738B" w:rsidRDefault="00A14EC2" w:rsidP="007B2DA1">
            <w:pPr>
              <w:jc w:val="both"/>
            </w:pPr>
            <w:r w:rsidRPr="00A0738B">
              <w:t>47.97 %</w:t>
            </w:r>
          </w:p>
        </w:tc>
        <w:tc>
          <w:tcPr>
            <w:tcW w:w="1450" w:type="dxa"/>
          </w:tcPr>
          <w:p w14:paraId="021BD6BA" w14:textId="77777777" w:rsidR="00A14EC2" w:rsidRPr="00A0738B" w:rsidRDefault="00A14EC2" w:rsidP="007B2DA1">
            <w:pPr>
              <w:jc w:val="both"/>
            </w:pPr>
            <w:r w:rsidRPr="00A0738B">
              <w:t>52.03 %</w:t>
            </w:r>
          </w:p>
        </w:tc>
      </w:tr>
    </w:tbl>
    <w:p w14:paraId="2363A0D4" w14:textId="77777777" w:rsidR="00A14EC2" w:rsidRDefault="00A14EC2" w:rsidP="00A14EC2">
      <w:pPr>
        <w:jc w:val="both"/>
        <w:rPr>
          <w:rFonts w:ascii="Arial" w:hAnsi="Arial" w:cs="Arial"/>
        </w:rPr>
      </w:pPr>
    </w:p>
    <w:p w14:paraId="103FAAB1" w14:textId="77777777" w:rsidR="00A14EC2" w:rsidRDefault="00A14EC2" w:rsidP="00A14EC2">
      <w:pPr>
        <w:jc w:val="both"/>
        <w:rPr>
          <w:rFonts w:ascii="Arial" w:hAnsi="Arial" w:cs="Arial"/>
        </w:rPr>
      </w:pPr>
    </w:p>
    <w:p w14:paraId="642DC9A7" w14:textId="77777777" w:rsidR="00A14EC2" w:rsidRDefault="00A14EC2" w:rsidP="00A14EC2">
      <w:pPr>
        <w:jc w:val="both"/>
        <w:rPr>
          <w:rFonts w:ascii="Arial" w:hAnsi="Arial" w:cs="Arial"/>
        </w:rPr>
      </w:pPr>
    </w:p>
    <w:p w14:paraId="52167B25" w14:textId="77777777" w:rsidR="00A0738B" w:rsidRDefault="00A0738B" w:rsidP="00A14EC2">
      <w:pPr>
        <w:jc w:val="both"/>
        <w:rPr>
          <w:rFonts w:ascii="Arial" w:hAnsi="Arial" w:cs="Arial"/>
        </w:rPr>
      </w:pPr>
    </w:p>
    <w:p w14:paraId="7CD2647B" w14:textId="77777777" w:rsidR="00A0738B" w:rsidRDefault="00A0738B" w:rsidP="00A14EC2">
      <w:pPr>
        <w:jc w:val="both"/>
        <w:rPr>
          <w:rFonts w:ascii="Arial" w:hAnsi="Arial" w:cs="Arial"/>
        </w:rPr>
      </w:pPr>
    </w:p>
    <w:p w14:paraId="101D99C9" w14:textId="77777777" w:rsidR="00A0738B" w:rsidRDefault="00A0738B" w:rsidP="00A14EC2">
      <w:pPr>
        <w:jc w:val="both"/>
        <w:rPr>
          <w:rFonts w:ascii="Arial" w:hAnsi="Arial" w:cs="Arial"/>
        </w:rPr>
      </w:pPr>
    </w:p>
    <w:p w14:paraId="7DBB9CEB" w14:textId="77777777" w:rsidR="00A0738B" w:rsidRDefault="00A0738B" w:rsidP="00A14EC2">
      <w:pPr>
        <w:jc w:val="both"/>
        <w:rPr>
          <w:rFonts w:ascii="Arial" w:hAnsi="Arial" w:cs="Arial"/>
        </w:rPr>
      </w:pPr>
    </w:p>
    <w:p w14:paraId="3F0B9599" w14:textId="77777777" w:rsidR="00A0738B" w:rsidRDefault="00A0738B" w:rsidP="00A14EC2">
      <w:pPr>
        <w:jc w:val="both"/>
        <w:rPr>
          <w:rFonts w:ascii="Arial" w:hAnsi="Arial" w:cs="Arial"/>
        </w:rPr>
      </w:pPr>
    </w:p>
    <w:p w14:paraId="04F5ECD5" w14:textId="77777777" w:rsidR="00A14EC2" w:rsidRDefault="00A14EC2" w:rsidP="00A14EC2">
      <w:pPr>
        <w:jc w:val="both"/>
        <w:rPr>
          <w:rFonts w:ascii="Arial" w:hAnsi="Arial" w:cs="Arial"/>
        </w:rPr>
      </w:pPr>
    </w:p>
    <w:p w14:paraId="210FA1E8" w14:textId="77777777" w:rsidR="00A14EC2" w:rsidRDefault="00A14EC2" w:rsidP="00A14EC2">
      <w:pPr>
        <w:jc w:val="both"/>
        <w:rPr>
          <w:rFonts w:ascii="Arial" w:hAnsi="Arial" w:cs="Arial"/>
        </w:rPr>
      </w:pPr>
    </w:p>
    <w:tbl>
      <w:tblPr>
        <w:tblStyle w:val="TableGrid"/>
        <w:tblW w:w="8642" w:type="dxa"/>
        <w:tblLook w:val="04A0" w:firstRow="1" w:lastRow="0" w:firstColumn="1" w:lastColumn="0" w:noHBand="0" w:noVBand="1"/>
      </w:tblPr>
      <w:tblGrid>
        <w:gridCol w:w="1772"/>
        <w:gridCol w:w="2367"/>
        <w:gridCol w:w="1603"/>
        <w:gridCol w:w="1450"/>
        <w:gridCol w:w="1450"/>
      </w:tblGrid>
      <w:tr w:rsidR="00A14EC2" w:rsidRPr="0036171D" w14:paraId="7F350297" w14:textId="77777777" w:rsidTr="007B2DA1">
        <w:tc>
          <w:tcPr>
            <w:tcW w:w="1772" w:type="dxa"/>
          </w:tcPr>
          <w:p w14:paraId="62A642BE" w14:textId="77777777" w:rsidR="00A14EC2" w:rsidRPr="00A0738B" w:rsidRDefault="00A14EC2" w:rsidP="007B2DA1">
            <w:r w:rsidRPr="00A0738B">
              <w:t>Name, surname</w:t>
            </w:r>
          </w:p>
        </w:tc>
        <w:tc>
          <w:tcPr>
            <w:tcW w:w="2367" w:type="dxa"/>
          </w:tcPr>
          <w:p w14:paraId="1F5B5375" w14:textId="77777777" w:rsidR="00A14EC2" w:rsidRPr="00A0738B" w:rsidRDefault="00A14EC2" w:rsidP="007B2DA1">
            <w:r w:rsidRPr="00A0738B">
              <w:t>Position</w:t>
            </w:r>
          </w:p>
        </w:tc>
        <w:tc>
          <w:tcPr>
            <w:tcW w:w="1603" w:type="dxa"/>
          </w:tcPr>
          <w:p w14:paraId="0D9D8094" w14:textId="77777777" w:rsidR="00A14EC2" w:rsidRPr="00A0738B" w:rsidRDefault="00A14EC2" w:rsidP="007B2DA1">
            <w:r w:rsidRPr="00A0738B">
              <w:t>Remuneration paid in 2021, EUR</w:t>
            </w:r>
          </w:p>
        </w:tc>
        <w:tc>
          <w:tcPr>
            <w:tcW w:w="1450" w:type="dxa"/>
          </w:tcPr>
          <w:p w14:paraId="6E5A75C5" w14:textId="77777777" w:rsidR="00A14EC2" w:rsidRPr="00A0738B" w:rsidRDefault="00A14EC2" w:rsidP="007B2DA1">
            <w:r w:rsidRPr="00A0738B">
              <w:t>Fixed part of remuneration, %</w:t>
            </w:r>
          </w:p>
        </w:tc>
        <w:tc>
          <w:tcPr>
            <w:tcW w:w="1450" w:type="dxa"/>
          </w:tcPr>
          <w:p w14:paraId="1F64F5C3" w14:textId="77777777" w:rsidR="00A14EC2" w:rsidRPr="00A0738B" w:rsidRDefault="00A14EC2" w:rsidP="007B2DA1">
            <w:r w:rsidRPr="00A0738B">
              <w:t>Variable part of remuneration, %</w:t>
            </w:r>
          </w:p>
        </w:tc>
      </w:tr>
      <w:tr w:rsidR="00A14EC2" w:rsidRPr="0036171D" w14:paraId="082BDFC3" w14:textId="77777777" w:rsidTr="007B2DA1">
        <w:tc>
          <w:tcPr>
            <w:tcW w:w="1772" w:type="dxa"/>
          </w:tcPr>
          <w:p w14:paraId="2FB1695F" w14:textId="77777777" w:rsidR="00A14EC2" w:rsidRPr="00A0738B" w:rsidRDefault="00A14EC2" w:rsidP="007B2DA1">
            <w:pPr>
              <w:jc w:val="both"/>
            </w:pPr>
            <w:r w:rsidRPr="00A0738B">
              <w:t>Jānis Birks</w:t>
            </w:r>
          </w:p>
        </w:tc>
        <w:tc>
          <w:tcPr>
            <w:tcW w:w="2367" w:type="dxa"/>
          </w:tcPr>
          <w:p w14:paraId="44242792" w14:textId="77777777" w:rsidR="00A14EC2" w:rsidRPr="00A0738B" w:rsidRDefault="00A14EC2" w:rsidP="007B2DA1">
            <w:pPr>
              <w:jc w:val="both"/>
            </w:pPr>
            <w:r w:rsidRPr="00A0738B">
              <w:t>Chairman of the Board</w:t>
            </w:r>
          </w:p>
        </w:tc>
        <w:tc>
          <w:tcPr>
            <w:tcW w:w="1603" w:type="dxa"/>
          </w:tcPr>
          <w:p w14:paraId="3A0EDF83" w14:textId="77777777" w:rsidR="00A14EC2" w:rsidRPr="00A0738B" w:rsidRDefault="00A14EC2" w:rsidP="007B2DA1">
            <w:pPr>
              <w:jc w:val="both"/>
            </w:pPr>
            <w:r w:rsidRPr="00A0738B">
              <w:t>67 445</w:t>
            </w:r>
          </w:p>
        </w:tc>
        <w:tc>
          <w:tcPr>
            <w:tcW w:w="1450" w:type="dxa"/>
          </w:tcPr>
          <w:p w14:paraId="67A16567" w14:textId="77777777" w:rsidR="00A14EC2" w:rsidRPr="00A0738B" w:rsidRDefault="00A14EC2" w:rsidP="007B2DA1">
            <w:pPr>
              <w:jc w:val="both"/>
            </w:pPr>
            <w:r w:rsidRPr="00A0738B">
              <w:t>30.45 %</w:t>
            </w:r>
          </w:p>
        </w:tc>
        <w:tc>
          <w:tcPr>
            <w:tcW w:w="1450" w:type="dxa"/>
          </w:tcPr>
          <w:p w14:paraId="35BBFED4" w14:textId="77777777" w:rsidR="00A14EC2" w:rsidRPr="00A0738B" w:rsidRDefault="00A14EC2" w:rsidP="007B2DA1">
            <w:pPr>
              <w:jc w:val="both"/>
            </w:pPr>
            <w:r w:rsidRPr="00A0738B">
              <w:t>69.55 %</w:t>
            </w:r>
          </w:p>
        </w:tc>
      </w:tr>
      <w:tr w:rsidR="00A14EC2" w:rsidRPr="0036171D" w14:paraId="5A524721" w14:textId="77777777" w:rsidTr="007B2DA1">
        <w:tc>
          <w:tcPr>
            <w:tcW w:w="1772" w:type="dxa"/>
          </w:tcPr>
          <w:p w14:paraId="16340007" w14:textId="77777777" w:rsidR="00A14EC2" w:rsidRPr="00A0738B" w:rsidRDefault="00A14EC2" w:rsidP="007B2DA1">
            <w:pPr>
              <w:jc w:val="both"/>
            </w:pPr>
            <w:r w:rsidRPr="00A0738B">
              <w:t>Juris Imaks</w:t>
            </w:r>
          </w:p>
        </w:tc>
        <w:tc>
          <w:tcPr>
            <w:tcW w:w="2367" w:type="dxa"/>
          </w:tcPr>
          <w:p w14:paraId="63F1CB42" w14:textId="77777777" w:rsidR="00A14EC2" w:rsidRPr="00A0738B" w:rsidRDefault="00A14EC2" w:rsidP="007B2DA1">
            <w:pPr>
              <w:jc w:val="both"/>
            </w:pPr>
            <w:r w:rsidRPr="00A0738B">
              <w:t>Member of the Board</w:t>
            </w:r>
          </w:p>
        </w:tc>
        <w:tc>
          <w:tcPr>
            <w:tcW w:w="1603" w:type="dxa"/>
          </w:tcPr>
          <w:p w14:paraId="4E0F7E17" w14:textId="77777777" w:rsidR="00A14EC2" w:rsidRPr="00A0738B" w:rsidRDefault="00A14EC2" w:rsidP="007B2DA1">
            <w:pPr>
              <w:jc w:val="both"/>
            </w:pPr>
            <w:r w:rsidRPr="00A0738B">
              <w:t>59 028</w:t>
            </w:r>
          </w:p>
        </w:tc>
        <w:tc>
          <w:tcPr>
            <w:tcW w:w="1450" w:type="dxa"/>
          </w:tcPr>
          <w:p w14:paraId="43650D66" w14:textId="77777777" w:rsidR="00A14EC2" w:rsidRPr="00A0738B" w:rsidRDefault="00A14EC2" w:rsidP="007B2DA1">
            <w:pPr>
              <w:jc w:val="both"/>
            </w:pPr>
            <w:r w:rsidRPr="00A0738B">
              <w:t>31.70 %</w:t>
            </w:r>
          </w:p>
        </w:tc>
        <w:tc>
          <w:tcPr>
            <w:tcW w:w="1450" w:type="dxa"/>
          </w:tcPr>
          <w:p w14:paraId="16BFE21E" w14:textId="77777777" w:rsidR="00A14EC2" w:rsidRPr="00A0738B" w:rsidRDefault="00A14EC2" w:rsidP="007B2DA1">
            <w:pPr>
              <w:jc w:val="both"/>
            </w:pPr>
            <w:r w:rsidRPr="00A0738B">
              <w:t>68.30 %</w:t>
            </w:r>
          </w:p>
        </w:tc>
      </w:tr>
      <w:tr w:rsidR="00A14EC2" w:rsidRPr="0036171D" w14:paraId="6220D2AD" w14:textId="77777777" w:rsidTr="007B2DA1">
        <w:tc>
          <w:tcPr>
            <w:tcW w:w="1772" w:type="dxa"/>
          </w:tcPr>
          <w:p w14:paraId="217F999A" w14:textId="77777777" w:rsidR="00A14EC2" w:rsidRPr="00A0738B" w:rsidRDefault="00A14EC2" w:rsidP="007B2DA1">
            <w:pPr>
              <w:jc w:val="both"/>
            </w:pPr>
            <w:r w:rsidRPr="00A0738B">
              <w:t>Anatolijs Ahmetovs</w:t>
            </w:r>
          </w:p>
        </w:tc>
        <w:tc>
          <w:tcPr>
            <w:tcW w:w="2367" w:type="dxa"/>
          </w:tcPr>
          <w:p w14:paraId="37346FE7" w14:textId="77777777" w:rsidR="00A14EC2" w:rsidRPr="00A0738B" w:rsidRDefault="00A14EC2" w:rsidP="007B2DA1">
            <w:pPr>
              <w:jc w:val="both"/>
            </w:pPr>
            <w:r w:rsidRPr="00A0738B">
              <w:t>Member of the Board</w:t>
            </w:r>
          </w:p>
        </w:tc>
        <w:tc>
          <w:tcPr>
            <w:tcW w:w="1603" w:type="dxa"/>
          </w:tcPr>
          <w:p w14:paraId="71B5CB47" w14:textId="77777777" w:rsidR="00A14EC2" w:rsidRPr="00A0738B" w:rsidRDefault="00A14EC2" w:rsidP="007B2DA1">
            <w:pPr>
              <w:jc w:val="both"/>
            </w:pPr>
            <w:r w:rsidRPr="00A0738B">
              <w:t>48 477</w:t>
            </w:r>
          </w:p>
        </w:tc>
        <w:tc>
          <w:tcPr>
            <w:tcW w:w="1450" w:type="dxa"/>
          </w:tcPr>
          <w:p w14:paraId="6644653E" w14:textId="77777777" w:rsidR="00A14EC2" w:rsidRPr="00A0738B" w:rsidRDefault="00A14EC2" w:rsidP="007B2DA1">
            <w:pPr>
              <w:jc w:val="both"/>
            </w:pPr>
            <w:r w:rsidRPr="00A0738B">
              <w:t>47.20 %</w:t>
            </w:r>
          </w:p>
        </w:tc>
        <w:tc>
          <w:tcPr>
            <w:tcW w:w="1450" w:type="dxa"/>
          </w:tcPr>
          <w:p w14:paraId="68ECDE80" w14:textId="77777777" w:rsidR="00A14EC2" w:rsidRPr="00A0738B" w:rsidRDefault="00A14EC2" w:rsidP="007B2DA1">
            <w:pPr>
              <w:jc w:val="both"/>
            </w:pPr>
            <w:r w:rsidRPr="00A0738B">
              <w:t>52.80 %</w:t>
            </w:r>
          </w:p>
        </w:tc>
      </w:tr>
    </w:tbl>
    <w:p w14:paraId="59D167BD" w14:textId="77777777" w:rsidR="00A14EC2" w:rsidRDefault="00A14EC2" w:rsidP="00A14EC2">
      <w:pPr>
        <w:jc w:val="both"/>
        <w:rPr>
          <w:rFonts w:ascii="Arial" w:hAnsi="Arial" w:cs="Arial"/>
        </w:rPr>
      </w:pPr>
    </w:p>
    <w:tbl>
      <w:tblPr>
        <w:tblStyle w:val="TableGrid"/>
        <w:tblW w:w="8642" w:type="dxa"/>
        <w:tblLook w:val="04A0" w:firstRow="1" w:lastRow="0" w:firstColumn="1" w:lastColumn="0" w:noHBand="0" w:noVBand="1"/>
      </w:tblPr>
      <w:tblGrid>
        <w:gridCol w:w="1772"/>
        <w:gridCol w:w="2367"/>
        <w:gridCol w:w="1603"/>
        <w:gridCol w:w="1450"/>
        <w:gridCol w:w="1450"/>
      </w:tblGrid>
      <w:tr w:rsidR="00A14EC2" w:rsidRPr="0036171D" w14:paraId="5670B85E" w14:textId="77777777" w:rsidTr="007B2DA1">
        <w:tc>
          <w:tcPr>
            <w:tcW w:w="1772" w:type="dxa"/>
          </w:tcPr>
          <w:p w14:paraId="4C9A1115" w14:textId="77777777" w:rsidR="00A14EC2" w:rsidRPr="00A0738B" w:rsidRDefault="00A14EC2" w:rsidP="007B2DA1">
            <w:r w:rsidRPr="00A0738B">
              <w:t>Name, surname</w:t>
            </w:r>
          </w:p>
        </w:tc>
        <w:tc>
          <w:tcPr>
            <w:tcW w:w="2367" w:type="dxa"/>
          </w:tcPr>
          <w:p w14:paraId="4D8E32B0" w14:textId="77777777" w:rsidR="00A14EC2" w:rsidRPr="00A0738B" w:rsidRDefault="00A14EC2" w:rsidP="007B2DA1">
            <w:r w:rsidRPr="00A0738B">
              <w:t>Position</w:t>
            </w:r>
          </w:p>
        </w:tc>
        <w:tc>
          <w:tcPr>
            <w:tcW w:w="1603" w:type="dxa"/>
          </w:tcPr>
          <w:p w14:paraId="633B5E88" w14:textId="77777777" w:rsidR="00A14EC2" w:rsidRPr="00A0738B" w:rsidRDefault="00A14EC2" w:rsidP="007B2DA1">
            <w:r w:rsidRPr="00A0738B">
              <w:t>Remuneration paid in 2020, EUR</w:t>
            </w:r>
          </w:p>
        </w:tc>
        <w:tc>
          <w:tcPr>
            <w:tcW w:w="1450" w:type="dxa"/>
          </w:tcPr>
          <w:p w14:paraId="77A66404" w14:textId="77777777" w:rsidR="00A14EC2" w:rsidRPr="00A0738B" w:rsidRDefault="00A14EC2" w:rsidP="007B2DA1">
            <w:r w:rsidRPr="00A0738B">
              <w:t>Fixed part of remuneration, %</w:t>
            </w:r>
          </w:p>
        </w:tc>
        <w:tc>
          <w:tcPr>
            <w:tcW w:w="1450" w:type="dxa"/>
          </w:tcPr>
          <w:p w14:paraId="4557DAC6" w14:textId="77777777" w:rsidR="00A14EC2" w:rsidRPr="00A0738B" w:rsidRDefault="00A14EC2" w:rsidP="007B2DA1">
            <w:r w:rsidRPr="00A0738B">
              <w:t>Variable part of remuneration, %</w:t>
            </w:r>
          </w:p>
        </w:tc>
      </w:tr>
      <w:tr w:rsidR="00A14EC2" w:rsidRPr="0036171D" w14:paraId="00240BB9" w14:textId="77777777" w:rsidTr="007B2DA1">
        <w:tc>
          <w:tcPr>
            <w:tcW w:w="1772" w:type="dxa"/>
          </w:tcPr>
          <w:p w14:paraId="3D5DD134" w14:textId="77777777" w:rsidR="00A14EC2" w:rsidRPr="00A0738B" w:rsidRDefault="00A14EC2" w:rsidP="007B2DA1">
            <w:pPr>
              <w:jc w:val="both"/>
            </w:pPr>
            <w:r w:rsidRPr="00A0738B">
              <w:t>Jānis Birks</w:t>
            </w:r>
          </w:p>
        </w:tc>
        <w:tc>
          <w:tcPr>
            <w:tcW w:w="2367" w:type="dxa"/>
          </w:tcPr>
          <w:p w14:paraId="532F96AD" w14:textId="77777777" w:rsidR="00A14EC2" w:rsidRPr="00A0738B" w:rsidRDefault="00A14EC2" w:rsidP="007B2DA1">
            <w:pPr>
              <w:jc w:val="both"/>
            </w:pPr>
            <w:r w:rsidRPr="00A0738B">
              <w:t>Chairman of the Board</w:t>
            </w:r>
          </w:p>
        </w:tc>
        <w:tc>
          <w:tcPr>
            <w:tcW w:w="1603" w:type="dxa"/>
          </w:tcPr>
          <w:p w14:paraId="63B43C11" w14:textId="77777777" w:rsidR="00A14EC2" w:rsidRPr="00A0738B" w:rsidRDefault="00A14EC2" w:rsidP="007B2DA1">
            <w:pPr>
              <w:jc w:val="both"/>
            </w:pPr>
            <w:r w:rsidRPr="00A0738B">
              <w:t>74 315</w:t>
            </w:r>
          </w:p>
        </w:tc>
        <w:tc>
          <w:tcPr>
            <w:tcW w:w="1450" w:type="dxa"/>
          </w:tcPr>
          <w:p w14:paraId="1471547C" w14:textId="77777777" w:rsidR="00A14EC2" w:rsidRPr="00A0738B" w:rsidRDefault="00A14EC2" w:rsidP="007B2DA1">
            <w:pPr>
              <w:jc w:val="both"/>
            </w:pPr>
            <w:r w:rsidRPr="00A0738B">
              <w:t>29.74 %</w:t>
            </w:r>
          </w:p>
        </w:tc>
        <w:tc>
          <w:tcPr>
            <w:tcW w:w="1450" w:type="dxa"/>
          </w:tcPr>
          <w:p w14:paraId="5AC2D9A2" w14:textId="77777777" w:rsidR="00A14EC2" w:rsidRPr="00A0738B" w:rsidRDefault="00A14EC2" w:rsidP="007B2DA1">
            <w:pPr>
              <w:jc w:val="both"/>
            </w:pPr>
            <w:r w:rsidRPr="00A0738B">
              <w:t>70.26 %</w:t>
            </w:r>
          </w:p>
        </w:tc>
      </w:tr>
      <w:tr w:rsidR="00A14EC2" w:rsidRPr="0036171D" w14:paraId="32C6BCC8" w14:textId="77777777" w:rsidTr="007B2DA1">
        <w:tc>
          <w:tcPr>
            <w:tcW w:w="1772" w:type="dxa"/>
          </w:tcPr>
          <w:p w14:paraId="01E272F4" w14:textId="77777777" w:rsidR="00A14EC2" w:rsidRPr="00A0738B" w:rsidRDefault="00A14EC2" w:rsidP="007B2DA1">
            <w:pPr>
              <w:jc w:val="both"/>
            </w:pPr>
            <w:r w:rsidRPr="00A0738B">
              <w:t>Juris Imaks</w:t>
            </w:r>
          </w:p>
        </w:tc>
        <w:tc>
          <w:tcPr>
            <w:tcW w:w="2367" w:type="dxa"/>
          </w:tcPr>
          <w:p w14:paraId="6760BDB3" w14:textId="77777777" w:rsidR="00A14EC2" w:rsidRPr="00A0738B" w:rsidRDefault="00A14EC2" w:rsidP="007B2DA1">
            <w:pPr>
              <w:jc w:val="both"/>
            </w:pPr>
            <w:r w:rsidRPr="00A0738B">
              <w:t>Member of the Board</w:t>
            </w:r>
          </w:p>
        </w:tc>
        <w:tc>
          <w:tcPr>
            <w:tcW w:w="1603" w:type="dxa"/>
          </w:tcPr>
          <w:p w14:paraId="055A7A0D" w14:textId="77777777" w:rsidR="00A14EC2" w:rsidRPr="00A0738B" w:rsidRDefault="00A14EC2" w:rsidP="007B2DA1">
            <w:pPr>
              <w:jc w:val="both"/>
            </w:pPr>
            <w:r w:rsidRPr="00A0738B">
              <w:t>49 309</w:t>
            </w:r>
          </w:p>
        </w:tc>
        <w:tc>
          <w:tcPr>
            <w:tcW w:w="1450" w:type="dxa"/>
          </w:tcPr>
          <w:p w14:paraId="7B08E5D6" w14:textId="77777777" w:rsidR="00A14EC2" w:rsidRPr="00A0738B" w:rsidRDefault="00A14EC2" w:rsidP="007B2DA1">
            <w:pPr>
              <w:jc w:val="both"/>
            </w:pPr>
            <w:r w:rsidRPr="00A0738B">
              <w:t>35.40 %</w:t>
            </w:r>
          </w:p>
        </w:tc>
        <w:tc>
          <w:tcPr>
            <w:tcW w:w="1450" w:type="dxa"/>
          </w:tcPr>
          <w:p w14:paraId="1F664DE3" w14:textId="77777777" w:rsidR="00A14EC2" w:rsidRPr="00A0738B" w:rsidRDefault="00A14EC2" w:rsidP="007B2DA1">
            <w:pPr>
              <w:jc w:val="both"/>
            </w:pPr>
            <w:r w:rsidRPr="00A0738B">
              <w:t>64.60 %</w:t>
            </w:r>
          </w:p>
        </w:tc>
      </w:tr>
      <w:tr w:rsidR="00A14EC2" w:rsidRPr="0036171D" w14:paraId="0101B830" w14:textId="77777777" w:rsidTr="007B2DA1">
        <w:tc>
          <w:tcPr>
            <w:tcW w:w="1772" w:type="dxa"/>
          </w:tcPr>
          <w:p w14:paraId="0D450ACB" w14:textId="77777777" w:rsidR="00A14EC2" w:rsidRPr="00A0738B" w:rsidRDefault="00A14EC2" w:rsidP="007B2DA1">
            <w:pPr>
              <w:jc w:val="both"/>
            </w:pPr>
            <w:r w:rsidRPr="00A0738B">
              <w:t>Anatolijs Ahmetovs</w:t>
            </w:r>
          </w:p>
        </w:tc>
        <w:tc>
          <w:tcPr>
            <w:tcW w:w="2367" w:type="dxa"/>
          </w:tcPr>
          <w:p w14:paraId="2CBBC1D3" w14:textId="77777777" w:rsidR="00A14EC2" w:rsidRPr="00A0738B" w:rsidRDefault="00A14EC2" w:rsidP="007B2DA1">
            <w:pPr>
              <w:jc w:val="both"/>
            </w:pPr>
            <w:r w:rsidRPr="00A0738B">
              <w:t>Member of the Board</w:t>
            </w:r>
          </w:p>
        </w:tc>
        <w:tc>
          <w:tcPr>
            <w:tcW w:w="1603" w:type="dxa"/>
          </w:tcPr>
          <w:p w14:paraId="3A077858" w14:textId="77777777" w:rsidR="00A14EC2" w:rsidRPr="00A0738B" w:rsidRDefault="00A14EC2" w:rsidP="007B2DA1">
            <w:pPr>
              <w:jc w:val="both"/>
            </w:pPr>
            <w:r w:rsidRPr="00A0738B">
              <w:t>42 000</w:t>
            </w:r>
          </w:p>
        </w:tc>
        <w:tc>
          <w:tcPr>
            <w:tcW w:w="1450" w:type="dxa"/>
          </w:tcPr>
          <w:p w14:paraId="4BA0A6C1" w14:textId="77777777" w:rsidR="00A14EC2" w:rsidRPr="00A0738B" w:rsidRDefault="00A14EC2" w:rsidP="007B2DA1">
            <w:pPr>
              <w:jc w:val="both"/>
            </w:pPr>
            <w:r w:rsidRPr="00A0738B">
              <w:t>48.82 %</w:t>
            </w:r>
          </w:p>
        </w:tc>
        <w:tc>
          <w:tcPr>
            <w:tcW w:w="1450" w:type="dxa"/>
          </w:tcPr>
          <w:p w14:paraId="6D2A0B55" w14:textId="77777777" w:rsidR="00A14EC2" w:rsidRPr="00A0738B" w:rsidRDefault="00A14EC2" w:rsidP="007B2DA1">
            <w:pPr>
              <w:jc w:val="both"/>
            </w:pPr>
            <w:r w:rsidRPr="00A0738B">
              <w:t>51.18 %</w:t>
            </w:r>
          </w:p>
        </w:tc>
      </w:tr>
    </w:tbl>
    <w:p w14:paraId="5BC91792" w14:textId="77777777" w:rsidR="00A14EC2" w:rsidRPr="0036171D" w:rsidRDefault="00A14EC2" w:rsidP="00A14EC2">
      <w:pPr>
        <w:jc w:val="both"/>
        <w:rPr>
          <w:rFonts w:ascii="Arial" w:hAnsi="Arial" w:cs="Arial"/>
        </w:rPr>
      </w:pPr>
    </w:p>
    <w:p w14:paraId="0432067B" w14:textId="77777777" w:rsidR="00A14EC2" w:rsidRPr="00311E9B" w:rsidRDefault="00A14EC2" w:rsidP="00A14EC2">
      <w:pPr>
        <w:jc w:val="both"/>
      </w:pPr>
      <w:bookmarkStart w:id="0" w:name="_Hlk133415918"/>
      <w:r w:rsidRPr="00311E9B">
        <w:t>As the variable part of remuneration is linked to net sales, it works as an incentive for the Board to drive the Company’s growth.</w:t>
      </w:r>
    </w:p>
    <w:p w14:paraId="0E2F5CE7" w14:textId="77777777" w:rsidR="00A14EC2" w:rsidRPr="00311E9B" w:rsidRDefault="00A14EC2" w:rsidP="00A14EC2">
      <w:pPr>
        <w:jc w:val="both"/>
      </w:pPr>
      <w:r w:rsidRPr="00311E9B">
        <w:t>Shares or share options were not granted and offered to members of the Board and Council.</w:t>
      </w:r>
    </w:p>
    <w:p w14:paraId="4A0BB095" w14:textId="77777777" w:rsidR="00A14EC2" w:rsidRPr="00311E9B" w:rsidRDefault="00A14EC2" w:rsidP="00A14EC2">
      <w:pPr>
        <w:jc w:val="both"/>
      </w:pPr>
      <w:r w:rsidRPr="00311E9B">
        <w:t>No variable part of remuneration was reclaimed from members of the Board and Council.</w:t>
      </w:r>
    </w:p>
    <w:p w14:paraId="3D82137A" w14:textId="77777777" w:rsidR="00A14EC2" w:rsidRPr="00311E9B" w:rsidRDefault="00A14EC2" w:rsidP="00A14EC2">
      <w:pPr>
        <w:jc w:val="both"/>
      </w:pPr>
      <w:r w:rsidRPr="00311E9B">
        <w:lastRenderedPageBreak/>
        <w:t>There were no cases of applying temporary derogations from the remuneration policy.</w:t>
      </w:r>
    </w:p>
    <w:bookmarkEnd w:id="0"/>
    <w:p w14:paraId="423216DF" w14:textId="77777777" w:rsidR="00A14EC2" w:rsidRPr="00311E9B" w:rsidRDefault="00A14EC2" w:rsidP="00A14EC2">
      <w:pPr>
        <w:jc w:val="both"/>
        <w:rPr>
          <w:color w:val="FF0000"/>
        </w:rPr>
      </w:pPr>
    </w:p>
    <w:p w14:paraId="16A443E7" w14:textId="77777777" w:rsidR="00A14EC2" w:rsidRPr="00311E9B" w:rsidRDefault="00A14EC2" w:rsidP="00A14EC2">
      <w:pPr>
        <w:shd w:val="clear" w:color="auto" w:fill="FFFFFF"/>
        <w:jc w:val="both"/>
      </w:pPr>
      <w:r w:rsidRPr="00311E9B">
        <w:t>Section 59</w:t>
      </w:r>
      <w:r w:rsidRPr="00311E9B">
        <w:rPr>
          <w:vertAlign w:val="superscript"/>
        </w:rPr>
        <w:t>4</w:t>
      </w:r>
      <w:r w:rsidRPr="00311E9B">
        <w:t>, paragraph one, point 3 of the Financial Instrument Market Law requires to report, in a comparable manner, changes that took place in the last five financial years in remuneration paid to members of the Board and Council, performance of the company and average remuneration on a full-time equivalent basis of employees of the company other than members of the Board and Council.</w:t>
      </w:r>
    </w:p>
    <w:p w14:paraId="36CDB50F" w14:textId="77777777" w:rsidR="00A14EC2" w:rsidRPr="00311E9B" w:rsidRDefault="00A14EC2" w:rsidP="00A14EC2">
      <w:pPr>
        <w:shd w:val="clear" w:color="auto" w:fill="FFFFFF"/>
        <w:jc w:val="both"/>
        <w:rPr>
          <w:color w:val="FF0000"/>
        </w:rPr>
      </w:pPr>
    </w:p>
    <w:p w14:paraId="0CA7C683" w14:textId="77777777" w:rsidR="00A14EC2" w:rsidRPr="00311E9B" w:rsidRDefault="00A14EC2" w:rsidP="00A14EC2">
      <w:pPr>
        <w:jc w:val="both"/>
      </w:pPr>
      <w:r w:rsidRPr="00311E9B">
        <w:t>In accordance with Paragraph 66 of the Transitional Provisions of the Financial Instrument Market Law, a comparison of the changes referred to in Section 59</w:t>
      </w:r>
      <w:r w:rsidRPr="00311E9B">
        <w:rPr>
          <w:vertAlign w:val="superscript"/>
        </w:rPr>
        <w:t>4</w:t>
      </w:r>
      <w:r w:rsidRPr="00311E9B">
        <w:t>, paragraph one, Clause 3 of the Law is provided for at least the period of the last five financial years beginning not later than 1 January 2020.</w:t>
      </w:r>
      <w:r w:rsidRPr="00311E9B">
        <w:rPr>
          <w:shd w:val="clear" w:color="auto" w:fill="FFFFFF"/>
        </w:rPr>
        <w:t xml:space="preserve"> </w:t>
      </w:r>
    </w:p>
    <w:p w14:paraId="1B773CB3" w14:textId="77777777" w:rsidR="00A14EC2" w:rsidRPr="00311E9B" w:rsidRDefault="00A14EC2" w:rsidP="00A14EC2">
      <w:pPr>
        <w:shd w:val="clear" w:color="auto" w:fill="FFFFFF"/>
        <w:jc w:val="both"/>
        <w:rPr>
          <w:color w:val="FF0000"/>
          <w:highlight w:val="yellow"/>
        </w:rPr>
      </w:pPr>
    </w:p>
    <w:p w14:paraId="15B932A5" w14:textId="48605FD7" w:rsidR="009E15C1" w:rsidRDefault="00A14EC2" w:rsidP="00A14EC2">
      <w:pPr>
        <w:spacing w:before="120" w:after="120"/>
        <w:jc w:val="both"/>
      </w:pPr>
      <w:r w:rsidRPr="00311E9B">
        <w:t>Remuneration to the Board and Council has not changed significantly during the last 5 years, performance of the company matches its strategic goals, average remuneration on a full-time equivalent basis of employees of the company has increased in line with the overall trends of the labour market.</w:t>
      </w:r>
    </w:p>
    <w:p w14:paraId="205D0AF4" w14:textId="77777777" w:rsidR="00311E9B" w:rsidRPr="00311E9B" w:rsidRDefault="00311E9B" w:rsidP="00A14EC2">
      <w:pPr>
        <w:spacing w:before="120" w:after="120"/>
        <w:jc w:val="both"/>
      </w:pPr>
    </w:p>
    <w:tbl>
      <w:tblPr>
        <w:tblStyle w:val="TableGrid"/>
        <w:tblW w:w="6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567"/>
        <w:gridCol w:w="505"/>
        <w:gridCol w:w="2567"/>
      </w:tblGrid>
      <w:tr w:rsidR="00A14EC2" w:rsidRPr="0036171D" w14:paraId="1A1DD882" w14:textId="77777777" w:rsidTr="007B2DA1">
        <w:tc>
          <w:tcPr>
            <w:tcW w:w="2802" w:type="dxa"/>
            <w:tcBorders>
              <w:top w:val="single" w:sz="4" w:space="0" w:color="auto"/>
            </w:tcBorders>
          </w:tcPr>
          <w:p w14:paraId="221A5519" w14:textId="77777777" w:rsidR="00A14EC2" w:rsidRPr="00311E9B" w:rsidRDefault="00A14EC2" w:rsidP="007B2DA1">
            <w:pPr>
              <w:pStyle w:val="NoSpacing"/>
              <w:rPr>
                <w:rFonts w:ascii="Times New Roman" w:hAnsi="Times New Roman"/>
                <w:sz w:val="20"/>
                <w:szCs w:val="20"/>
              </w:rPr>
            </w:pPr>
            <w:r w:rsidRPr="00311E9B">
              <w:rPr>
                <w:rFonts w:ascii="Times New Roman" w:hAnsi="Times New Roman"/>
                <w:sz w:val="20"/>
              </w:rPr>
              <w:t>Chairman of the Board</w:t>
            </w:r>
          </w:p>
          <w:p w14:paraId="673F5AE6" w14:textId="77777777" w:rsidR="00A14EC2" w:rsidRPr="00311E9B" w:rsidRDefault="00A14EC2" w:rsidP="007B2DA1">
            <w:pPr>
              <w:pStyle w:val="NoSpacing"/>
              <w:rPr>
                <w:rFonts w:ascii="Times New Roman" w:hAnsi="Times New Roman"/>
                <w:sz w:val="20"/>
                <w:szCs w:val="20"/>
              </w:rPr>
            </w:pPr>
            <w:r w:rsidRPr="00311E9B">
              <w:rPr>
                <w:rFonts w:ascii="Times New Roman" w:hAnsi="Times New Roman"/>
                <w:sz w:val="20"/>
              </w:rPr>
              <w:t>Jānis Birks</w:t>
            </w:r>
          </w:p>
          <w:p w14:paraId="048F19F3" w14:textId="77777777" w:rsidR="00A14EC2" w:rsidRPr="00311E9B" w:rsidRDefault="00A14EC2" w:rsidP="007B2DA1">
            <w:pPr>
              <w:pStyle w:val="NoSpacing"/>
              <w:rPr>
                <w:rFonts w:ascii="Times New Roman" w:hAnsi="Times New Roman"/>
                <w:sz w:val="20"/>
                <w:szCs w:val="20"/>
                <w:lang w:val="lv-LV"/>
              </w:rPr>
            </w:pPr>
          </w:p>
        </w:tc>
        <w:tc>
          <w:tcPr>
            <w:tcW w:w="567" w:type="dxa"/>
          </w:tcPr>
          <w:p w14:paraId="00E34471" w14:textId="77777777" w:rsidR="00A14EC2" w:rsidRPr="0036171D" w:rsidRDefault="00A14EC2" w:rsidP="007B2DA1">
            <w:pPr>
              <w:pStyle w:val="NoSpacing"/>
              <w:rPr>
                <w:rFonts w:ascii="Arial" w:hAnsi="Arial" w:cs="Arial"/>
                <w:sz w:val="20"/>
                <w:szCs w:val="20"/>
                <w:lang w:val="lv-LV"/>
              </w:rPr>
            </w:pPr>
          </w:p>
        </w:tc>
        <w:tc>
          <w:tcPr>
            <w:tcW w:w="505" w:type="dxa"/>
          </w:tcPr>
          <w:p w14:paraId="29C54944" w14:textId="77777777" w:rsidR="00A14EC2" w:rsidRPr="0036171D" w:rsidRDefault="00A14EC2" w:rsidP="007B2DA1">
            <w:pPr>
              <w:pStyle w:val="NoSpacing"/>
              <w:rPr>
                <w:rFonts w:ascii="Arial" w:hAnsi="Arial" w:cs="Arial"/>
                <w:sz w:val="20"/>
                <w:szCs w:val="20"/>
                <w:lang w:val="lv-LV"/>
              </w:rPr>
            </w:pPr>
          </w:p>
        </w:tc>
        <w:tc>
          <w:tcPr>
            <w:tcW w:w="2567" w:type="dxa"/>
            <w:tcBorders>
              <w:top w:val="single" w:sz="4" w:space="0" w:color="auto"/>
            </w:tcBorders>
          </w:tcPr>
          <w:p w14:paraId="1098819C" w14:textId="77777777" w:rsidR="00A14EC2" w:rsidRPr="0036171D" w:rsidRDefault="00A14EC2" w:rsidP="007B2DA1">
            <w:pPr>
              <w:pStyle w:val="NoSpacing"/>
              <w:rPr>
                <w:rFonts w:ascii="Arial" w:hAnsi="Arial" w:cs="Arial"/>
                <w:sz w:val="20"/>
                <w:szCs w:val="20"/>
              </w:rPr>
            </w:pPr>
            <w:r>
              <w:rPr>
                <w:rFonts w:ascii="Arial" w:hAnsi="Arial"/>
                <w:sz w:val="20"/>
              </w:rPr>
              <w:t>Member of the Board</w:t>
            </w:r>
          </w:p>
          <w:p w14:paraId="45B0FCB9" w14:textId="77777777" w:rsidR="00A14EC2" w:rsidRPr="0036171D" w:rsidRDefault="00A14EC2" w:rsidP="007B2DA1">
            <w:pPr>
              <w:pStyle w:val="NoSpacing"/>
              <w:rPr>
                <w:rFonts w:ascii="Arial" w:hAnsi="Arial" w:cs="Arial"/>
                <w:sz w:val="20"/>
                <w:szCs w:val="20"/>
              </w:rPr>
            </w:pPr>
            <w:r>
              <w:rPr>
                <w:rFonts w:ascii="Arial" w:hAnsi="Arial"/>
                <w:sz w:val="20"/>
              </w:rPr>
              <w:t>Juris Imaks</w:t>
            </w:r>
          </w:p>
          <w:p w14:paraId="31DC2C7F" w14:textId="77777777" w:rsidR="00A14EC2" w:rsidRPr="0036171D" w:rsidRDefault="00A14EC2" w:rsidP="007B2DA1">
            <w:pPr>
              <w:pStyle w:val="NoSpacing"/>
              <w:rPr>
                <w:rFonts w:ascii="Arial" w:hAnsi="Arial" w:cs="Arial"/>
                <w:sz w:val="20"/>
                <w:szCs w:val="20"/>
                <w:lang w:val="lv-LV"/>
              </w:rPr>
            </w:pPr>
          </w:p>
          <w:p w14:paraId="66A3D9DA" w14:textId="77777777" w:rsidR="00A14EC2" w:rsidRPr="0036171D" w:rsidRDefault="00A14EC2" w:rsidP="007B2DA1">
            <w:pPr>
              <w:pStyle w:val="NoSpacing"/>
              <w:rPr>
                <w:rFonts w:ascii="Arial" w:hAnsi="Arial" w:cs="Arial"/>
                <w:sz w:val="20"/>
                <w:szCs w:val="20"/>
                <w:lang w:val="lv-LV"/>
              </w:rPr>
            </w:pPr>
          </w:p>
          <w:p w14:paraId="36E9789B" w14:textId="77777777" w:rsidR="00A14EC2" w:rsidRPr="0036171D" w:rsidRDefault="00A14EC2" w:rsidP="007B2DA1">
            <w:pPr>
              <w:pStyle w:val="NoSpacing"/>
              <w:rPr>
                <w:rFonts w:ascii="Arial" w:hAnsi="Arial" w:cs="Arial"/>
                <w:sz w:val="20"/>
                <w:szCs w:val="20"/>
                <w:lang w:val="lv-LV"/>
              </w:rPr>
            </w:pPr>
          </w:p>
          <w:p w14:paraId="35C4A82D" w14:textId="77777777" w:rsidR="00A14EC2" w:rsidRPr="0036171D" w:rsidRDefault="00A14EC2" w:rsidP="007B2DA1">
            <w:pPr>
              <w:pStyle w:val="NoSpacing"/>
              <w:rPr>
                <w:rFonts w:ascii="Arial" w:hAnsi="Arial" w:cs="Arial"/>
                <w:sz w:val="20"/>
                <w:szCs w:val="20"/>
                <w:lang w:val="lv-LV"/>
              </w:rPr>
            </w:pPr>
          </w:p>
          <w:p w14:paraId="5474A654" w14:textId="77777777" w:rsidR="00A14EC2" w:rsidRPr="0036171D" w:rsidRDefault="00A14EC2" w:rsidP="007B2DA1">
            <w:pPr>
              <w:pStyle w:val="NoSpacing"/>
              <w:rPr>
                <w:rFonts w:ascii="Arial" w:hAnsi="Arial" w:cs="Arial"/>
                <w:sz w:val="20"/>
                <w:szCs w:val="20"/>
                <w:lang w:val="lv-LV"/>
              </w:rPr>
            </w:pPr>
          </w:p>
        </w:tc>
      </w:tr>
      <w:tr w:rsidR="00A14EC2" w:rsidRPr="0036171D" w14:paraId="063BEEEF" w14:textId="77777777" w:rsidTr="007B2DA1">
        <w:tc>
          <w:tcPr>
            <w:tcW w:w="2802" w:type="dxa"/>
            <w:tcBorders>
              <w:top w:val="single" w:sz="4" w:space="0" w:color="auto"/>
            </w:tcBorders>
          </w:tcPr>
          <w:p w14:paraId="0607AD99" w14:textId="77777777" w:rsidR="00A14EC2" w:rsidRPr="00311E9B" w:rsidRDefault="00A14EC2" w:rsidP="007B2DA1">
            <w:pPr>
              <w:pStyle w:val="NoSpacing"/>
              <w:rPr>
                <w:rFonts w:ascii="Times New Roman" w:hAnsi="Times New Roman"/>
                <w:sz w:val="20"/>
                <w:szCs w:val="20"/>
              </w:rPr>
            </w:pPr>
            <w:r w:rsidRPr="00311E9B">
              <w:rPr>
                <w:rFonts w:ascii="Times New Roman" w:hAnsi="Times New Roman"/>
                <w:sz w:val="20"/>
              </w:rPr>
              <w:t>Member of the Board</w:t>
            </w:r>
          </w:p>
          <w:p w14:paraId="6F9B8D29" w14:textId="77777777" w:rsidR="00A14EC2" w:rsidRPr="00311E9B" w:rsidRDefault="00A14EC2" w:rsidP="007B2DA1">
            <w:pPr>
              <w:pStyle w:val="NoSpacing"/>
              <w:rPr>
                <w:rFonts w:ascii="Times New Roman" w:hAnsi="Times New Roman"/>
                <w:sz w:val="20"/>
                <w:szCs w:val="20"/>
              </w:rPr>
            </w:pPr>
            <w:r w:rsidRPr="00311E9B">
              <w:rPr>
                <w:rFonts w:ascii="Times New Roman" w:hAnsi="Times New Roman"/>
                <w:sz w:val="20"/>
              </w:rPr>
              <w:t xml:space="preserve">Anatolijs Ahmetovs </w:t>
            </w:r>
          </w:p>
        </w:tc>
        <w:tc>
          <w:tcPr>
            <w:tcW w:w="567" w:type="dxa"/>
          </w:tcPr>
          <w:p w14:paraId="3D836225" w14:textId="77777777" w:rsidR="00A14EC2" w:rsidRPr="0036171D" w:rsidRDefault="00A14EC2" w:rsidP="007B2DA1">
            <w:pPr>
              <w:pStyle w:val="NoSpacing"/>
              <w:rPr>
                <w:rFonts w:ascii="Arial" w:hAnsi="Arial" w:cs="Arial"/>
                <w:sz w:val="20"/>
                <w:szCs w:val="20"/>
                <w:lang w:val="lv-LV"/>
              </w:rPr>
            </w:pPr>
          </w:p>
        </w:tc>
        <w:tc>
          <w:tcPr>
            <w:tcW w:w="505" w:type="dxa"/>
          </w:tcPr>
          <w:p w14:paraId="7458EFD8" w14:textId="77777777" w:rsidR="00A14EC2" w:rsidRPr="0036171D" w:rsidRDefault="00A14EC2" w:rsidP="007B2DA1">
            <w:pPr>
              <w:pStyle w:val="NoSpacing"/>
              <w:rPr>
                <w:rFonts w:ascii="Arial" w:hAnsi="Arial" w:cs="Arial"/>
                <w:sz w:val="20"/>
                <w:szCs w:val="20"/>
                <w:lang w:val="lv-LV"/>
              </w:rPr>
            </w:pPr>
          </w:p>
        </w:tc>
        <w:tc>
          <w:tcPr>
            <w:tcW w:w="2567" w:type="dxa"/>
          </w:tcPr>
          <w:p w14:paraId="12F61979" w14:textId="77777777" w:rsidR="00A14EC2" w:rsidRPr="0036171D" w:rsidRDefault="00A14EC2" w:rsidP="007B2DA1">
            <w:pPr>
              <w:pStyle w:val="NoSpacing"/>
              <w:rPr>
                <w:rFonts w:ascii="Arial" w:hAnsi="Arial" w:cs="Arial"/>
                <w:sz w:val="20"/>
                <w:szCs w:val="20"/>
                <w:highlight w:val="yellow"/>
                <w:lang w:val="lv-LV"/>
              </w:rPr>
            </w:pPr>
          </w:p>
        </w:tc>
      </w:tr>
    </w:tbl>
    <w:p w14:paraId="6AE303EC" w14:textId="77777777" w:rsidR="00A14EC2" w:rsidRDefault="00A14EC2" w:rsidP="00A14EC2">
      <w:pPr>
        <w:spacing w:before="120" w:after="120"/>
        <w:jc w:val="both"/>
      </w:pPr>
    </w:p>
    <w:p w14:paraId="0EB2063A" w14:textId="77777777" w:rsidR="00A14EC2" w:rsidRPr="00311E9B" w:rsidRDefault="00A14EC2" w:rsidP="00A14EC2">
      <w:pPr>
        <w:pStyle w:val="TableText"/>
      </w:pPr>
      <w:r w:rsidRPr="00311E9B">
        <w:t xml:space="preserve">28 April 2023 </w:t>
      </w:r>
    </w:p>
    <w:p w14:paraId="4DA3D675" w14:textId="707F3002" w:rsidR="00A14EC2" w:rsidRDefault="0052230B" w:rsidP="00A14EC2">
      <w:pPr>
        <w:spacing w:before="120" w:after="120"/>
        <w:jc w:val="both"/>
      </w:pPr>
      <w:r>
        <w:tab/>
      </w:r>
      <w:r>
        <w:tab/>
      </w:r>
    </w:p>
    <w:sectPr w:rsidR="00A14EC2" w:rsidSect="003806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A9"/>
    <w:rsid w:val="000A6CDA"/>
    <w:rsid w:val="00290577"/>
    <w:rsid w:val="00311E9B"/>
    <w:rsid w:val="003806AE"/>
    <w:rsid w:val="00506E24"/>
    <w:rsid w:val="0052230B"/>
    <w:rsid w:val="008214D3"/>
    <w:rsid w:val="008F265A"/>
    <w:rsid w:val="009E15C1"/>
    <w:rsid w:val="00A0738B"/>
    <w:rsid w:val="00A14EC2"/>
    <w:rsid w:val="00AA18F1"/>
    <w:rsid w:val="00B414B5"/>
    <w:rsid w:val="00E3349A"/>
    <w:rsid w:val="00FC49A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3A42"/>
  <w15:chartTrackingRefBased/>
  <w15:docId w15:val="{839C5C79-9F44-40E2-A813-87DA559B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9A9"/>
    <w:pPr>
      <w:spacing w:after="0" w:line="240" w:lineRule="auto"/>
    </w:pPr>
    <w:rPr>
      <w:rFonts w:ascii="Times New Roman" w:eastAsia="Times New Roman" w:hAnsi="Times New Roman" w:cs="Times New Roman"/>
      <w:noProo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9A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4EC2"/>
    <w:pPr>
      <w:spacing w:after="0" w:line="240" w:lineRule="auto"/>
    </w:pPr>
    <w:rPr>
      <w:rFonts w:ascii="Calibri" w:eastAsia="Calibri" w:hAnsi="Calibri" w:cs="Times New Roman"/>
      <w:lang w:val="en-GB"/>
    </w:rPr>
  </w:style>
  <w:style w:type="paragraph" w:customStyle="1" w:styleId="TableText">
    <w:name w:val="Table Text"/>
    <w:basedOn w:val="Normal"/>
    <w:rsid w:val="00A14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3402</Words>
  <Characters>1940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Imaks</dc:creator>
  <cp:keywords/>
  <dc:description/>
  <cp:lastModifiedBy>Juris Imaks</cp:lastModifiedBy>
  <cp:revision>10</cp:revision>
  <dcterms:created xsi:type="dcterms:W3CDTF">2023-05-03T12:04:00Z</dcterms:created>
  <dcterms:modified xsi:type="dcterms:W3CDTF">2023-05-03T12:52:00Z</dcterms:modified>
</cp:coreProperties>
</file>