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7241F4B" w14:textId="6FF13F8B" w:rsidR="007E3E25" w:rsidRPr="001A0038" w:rsidRDefault="00711DC2" w:rsidP="00EA65BF">
      <w:pPr>
        <w:spacing w:after="0" w:line="240" w:lineRule="auto"/>
        <w:rPr>
          <w:rFonts w:ascii="Times New Roman" w:hAnsi="Times New Roman" w:cs="Times New Roman"/>
          <w:sz w:val="20"/>
          <w:szCs w:val="20"/>
        </w:rPr>
      </w:pPr>
      <w:r>
        <w:rPr>
          <w:rFonts w:ascii="Times New Roman" w:hAnsi="Times New Roman" w:cs="Times New Roman"/>
          <w:sz w:val="20"/>
          <w:szCs w:val="20"/>
        </w:rPr>
        <w:tab/>
      </w:r>
    </w:p>
    <w:p w14:paraId="08218D3A" w14:textId="1CE9D3FA" w:rsidR="007E3E25" w:rsidRPr="001A0038" w:rsidRDefault="007E3E25" w:rsidP="00EA65BF">
      <w:pPr>
        <w:spacing w:after="0" w:line="240" w:lineRule="auto"/>
        <w:jc w:val="center"/>
        <w:rPr>
          <w:rFonts w:ascii="Times New Roman" w:hAnsi="Times New Roman" w:cs="Times New Roman"/>
          <w:sz w:val="20"/>
          <w:szCs w:val="20"/>
        </w:rPr>
      </w:pPr>
      <w:r w:rsidRPr="001A0038">
        <w:rPr>
          <w:rFonts w:ascii="Times New Roman" w:hAnsi="Times New Roman" w:cs="Times New Roman"/>
          <w:sz w:val="20"/>
          <w:szCs w:val="20"/>
        </w:rPr>
        <w:t>Akciju sabiedr</w:t>
      </w:r>
      <w:r w:rsidR="00507B62" w:rsidRPr="001A0038">
        <w:rPr>
          <w:rFonts w:ascii="Times New Roman" w:hAnsi="Times New Roman" w:cs="Times New Roman"/>
          <w:sz w:val="20"/>
          <w:szCs w:val="20"/>
        </w:rPr>
        <w:t>ī</w:t>
      </w:r>
      <w:r w:rsidRPr="001A0038">
        <w:rPr>
          <w:rFonts w:ascii="Times New Roman" w:hAnsi="Times New Roman" w:cs="Times New Roman"/>
          <w:sz w:val="20"/>
          <w:szCs w:val="20"/>
        </w:rPr>
        <w:t>bas</w:t>
      </w:r>
      <w:r w:rsidR="00507B62" w:rsidRPr="001A0038">
        <w:rPr>
          <w:rFonts w:ascii="Times New Roman" w:hAnsi="Times New Roman" w:cs="Times New Roman"/>
          <w:sz w:val="20"/>
          <w:szCs w:val="20"/>
        </w:rPr>
        <w:t xml:space="preserve"> </w:t>
      </w:r>
      <w:r w:rsidRPr="001A0038">
        <w:rPr>
          <w:rFonts w:ascii="Times New Roman" w:hAnsi="Times New Roman" w:cs="Times New Roman"/>
          <w:sz w:val="20"/>
          <w:szCs w:val="20"/>
        </w:rPr>
        <w:t>„Latvijas Jūras medicīnas centrs"</w:t>
      </w:r>
    </w:p>
    <w:p w14:paraId="702D4104" w14:textId="5B204F11" w:rsidR="007E3E25" w:rsidRPr="001A0038" w:rsidRDefault="00507B62" w:rsidP="00EA65BF">
      <w:pPr>
        <w:spacing w:after="0" w:line="240" w:lineRule="auto"/>
        <w:jc w:val="center"/>
        <w:rPr>
          <w:rFonts w:ascii="Times New Roman" w:hAnsi="Times New Roman" w:cs="Times New Roman"/>
          <w:sz w:val="20"/>
          <w:szCs w:val="20"/>
        </w:rPr>
      </w:pPr>
      <w:r w:rsidRPr="001A0038">
        <w:rPr>
          <w:rFonts w:ascii="Times New Roman" w:hAnsi="Times New Roman" w:cs="Times New Roman"/>
          <w:sz w:val="20"/>
          <w:szCs w:val="20"/>
        </w:rPr>
        <w:t>atalgojuma ziņojums par</w:t>
      </w:r>
      <w:r w:rsidR="007E3E25" w:rsidRPr="001A0038">
        <w:rPr>
          <w:rFonts w:ascii="Times New Roman" w:hAnsi="Times New Roman" w:cs="Times New Roman"/>
          <w:sz w:val="20"/>
          <w:szCs w:val="20"/>
        </w:rPr>
        <w:t xml:space="preserve"> 202</w:t>
      </w:r>
      <w:r w:rsidR="00F53AD0">
        <w:rPr>
          <w:rFonts w:ascii="Times New Roman" w:hAnsi="Times New Roman" w:cs="Times New Roman"/>
          <w:sz w:val="20"/>
          <w:szCs w:val="20"/>
        </w:rPr>
        <w:t>2</w:t>
      </w:r>
      <w:r w:rsidR="007E3E25" w:rsidRPr="001A0038">
        <w:rPr>
          <w:rFonts w:ascii="Times New Roman" w:hAnsi="Times New Roman" w:cs="Times New Roman"/>
          <w:sz w:val="20"/>
          <w:szCs w:val="20"/>
        </w:rPr>
        <w:t>.gadu</w:t>
      </w:r>
    </w:p>
    <w:p w14:paraId="345D6207" w14:textId="77777777" w:rsidR="00507B62" w:rsidRPr="001A0038" w:rsidRDefault="00507B62" w:rsidP="00EA65BF">
      <w:pPr>
        <w:spacing w:after="0" w:line="240" w:lineRule="auto"/>
        <w:rPr>
          <w:rFonts w:ascii="Times New Roman" w:hAnsi="Times New Roman" w:cs="Times New Roman"/>
          <w:sz w:val="20"/>
          <w:szCs w:val="20"/>
        </w:rPr>
      </w:pPr>
    </w:p>
    <w:p w14:paraId="299C5C6F" w14:textId="77777777" w:rsidR="00507B62" w:rsidRPr="001A0038" w:rsidRDefault="00507B62" w:rsidP="00EA65BF">
      <w:pPr>
        <w:spacing w:after="0" w:line="240" w:lineRule="auto"/>
        <w:rPr>
          <w:rFonts w:ascii="Times New Roman" w:hAnsi="Times New Roman" w:cs="Times New Roman"/>
          <w:sz w:val="20"/>
          <w:szCs w:val="20"/>
        </w:rPr>
      </w:pPr>
    </w:p>
    <w:p w14:paraId="124682F0" w14:textId="77777777" w:rsidR="00507B62" w:rsidRPr="001A0038" w:rsidRDefault="00507B62" w:rsidP="00EA65BF">
      <w:pPr>
        <w:spacing w:after="0" w:line="240" w:lineRule="auto"/>
        <w:rPr>
          <w:rFonts w:ascii="Times New Roman" w:hAnsi="Times New Roman" w:cs="Times New Roman"/>
          <w:sz w:val="20"/>
          <w:szCs w:val="20"/>
        </w:rPr>
      </w:pPr>
    </w:p>
    <w:p w14:paraId="19E7A51F" w14:textId="77777777" w:rsidR="00507B62" w:rsidRPr="001A0038" w:rsidRDefault="00507B62" w:rsidP="00EA65BF">
      <w:pPr>
        <w:spacing w:after="0" w:line="240" w:lineRule="auto"/>
        <w:rPr>
          <w:rFonts w:ascii="Times New Roman" w:hAnsi="Times New Roman" w:cs="Times New Roman"/>
          <w:sz w:val="20"/>
          <w:szCs w:val="20"/>
        </w:rPr>
      </w:pPr>
    </w:p>
    <w:p w14:paraId="7E53B9FF" w14:textId="77777777" w:rsidR="00507B62" w:rsidRPr="001A0038" w:rsidRDefault="00507B62" w:rsidP="00EA65BF">
      <w:pPr>
        <w:spacing w:after="0" w:line="240" w:lineRule="auto"/>
        <w:rPr>
          <w:rFonts w:ascii="Times New Roman" w:hAnsi="Times New Roman" w:cs="Times New Roman"/>
          <w:sz w:val="20"/>
          <w:szCs w:val="20"/>
        </w:rPr>
      </w:pPr>
    </w:p>
    <w:p w14:paraId="1B39FE95" w14:textId="77777777" w:rsidR="00507B62" w:rsidRPr="001A0038" w:rsidRDefault="00507B62" w:rsidP="00EA65BF">
      <w:pPr>
        <w:spacing w:after="0" w:line="240" w:lineRule="auto"/>
        <w:rPr>
          <w:rFonts w:ascii="Times New Roman" w:hAnsi="Times New Roman" w:cs="Times New Roman"/>
          <w:sz w:val="20"/>
          <w:szCs w:val="20"/>
        </w:rPr>
      </w:pPr>
    </w:p>
    <w:p w14:paraId="5E37F67F" w14:textId="77777777" w:rsidR="00507B62" w:rsidRPr="001A0038" w:rsidRDefault="00507B62" w:rsidP="00EA65BF">
      <w:pPr>
        <w:spacing w:after="0" w:line="240" w:lineRule="auto"/>
        <w:rPr>
          <w:rFonts w:ascii="Times New Roman" w:hAnsi="Times New Roman" w:cs="Times New Roman"/>
          <w:sz w:val="20"/>
          <w:szCs w:val="20"/>
        </w:rPr>
      </w:pPr>
    </w:p>
    <w:p w14:paraId="057BEE57" w14:textId="77777777" w:rsidR="00507B62" w:rsidRPr="001A0038" w:rsidRDefault="00507B62" w:rsidP="00EA65BF">
      <w:pPr>
        <w:spacing w:after="0" w:line="240" w:lineRule="auto"/>
        <w:rPr>
          <w:rFonts w:ascii="Times New Roman" w:hAnsi="Times New Roman" w:cs="Times New Roman"/>
          <w:sz w:val="20"/>
          <w:szCs w:val="20"/>
        </w:rPr>
      </w:pPr>
    </w:p>
    <w:p w14:paraId="2680E706" w14:textId="77777777" w:rsidR="00507B62" w:rsidRPr="001A0038" w:rsidRDefault="00507B62" w:rsidP="00EA65BF">
      <w:pPr>
        <w:spacing w:after="0" w:line="240" w:lineRule="auto"/>
        <w:rPr>
          <w:rFonts w:ascii="Times New Roman" w:hAnsi="Times New Roman" w:cs="Times New Roman"/>
          <w:sz w:val="20"/>
          <w:szCs w:val="20"/>
        </w:rPr>
      </w:pPr>
    </w:p>
    <w:p w14:paraId="3652C740" w14:textId="77777777" w:rsidR="00507B62" w:rsidRPr="001A0038" w:rsidRDefault="00507B62" w:rsidP="00EA65BF">
      <w:pPr>
        <w:spacing w:after="0" w:line="240" w:lineRule="auto"/>
        <w:rPr>
          <w:rFonts w:ascii="Times New Roman" w:hAnsi="Times New Roman" w:cs="Times New Roman"/>
          <w:sz w:val="20"/>
          <w:szCs w:val="20"/>
        </w:rPr>
      </w:pPr>
    </w:p>
    <w:p w14:paraId="034B5704" w14:textId="77777777" w:rsidR="00507B62" w:rsidRPr="001A0038" w:rsidRDefault="00507B62" w:rsidP="00EA65BF">
      <w:pPr>
        <w:spacing w:after="0" w:line="240" w:lineRule="auto"/>
        <w:rPr>
          <w:rFonts w:ascii="Times New Roman" w:hAnsi="Times New Roman" w:cs="Times New Roman"/>
          <w:sz w:val="20"/>
          <w:szCs w:val="20"/>
        </w:rPr>
      </w:pPr>
    </w:p>
    <w:p w14:paraId="0578F51B" w14:textId="77777777" w:rsidR="00507B62" w:rsidRPr="001A0038" w:rsidRDefault="00507B62" w:rsidP="00EA65BF">
      <w:pPr>
        <w:spacing w:after="0" w:line="240" w:lineRule="auto"/>
        <w:rPr>
          <w:rFonts w:ascii="Times New Roman" w:hAnsi="Times New Roman" w:cs="Times New Roman"/>
          <w:sz w:val="20"/>
          <w:szCs w:val="20"/>
        </w:rPr>
      </w:pPr>
    </w:p>
    <w:p w14:paraId="517A3584" w14:textId="77777777" w:rsidR="00507B62" w:rsidRPr="001A0038" w:rsidRDefault="00507B62" w:rsidP="00EA65BF">
      <w:pPr>
        <w:spacing w:after="0" w:line="240" w:lineRule="auto"/>
        <w:rPr>
          <w:rFonts w:ascii="Times New Roman" w:hAnsi="Times New Roman" w:cs="Times New Roman"/>
          <w:sz w:val="20"/>
          <w:szCs w:val="20"/>
        </w:rPr>
      </w:pPr>
    </w:p>
    <w:p w14:paraId="0DA6B8E7" w14:textId="77777777" w:rsidR="00507B62" w:rsidRPr="001A0038" w:rsidRDefault="00507B62" w:rsidP="00EA65BF">
      <w:pPr>
        <w:spacing w:after="0" w:line="240" w:lineRule="auto"/>
        <w:rPr>
          <w:rFonts w:ascii="Times New Roman" w:hAnsi="Times New Roman" w:cs="Times New Roman"/>
          <w:sz w:val="20"/>
          <w:szCs w:val="20"/>
        </w:rPr>
      </w:pPr>
    </w:p>
    <w:p w14:paraId="14FA316C" w14:textId="77777777" w:rsidR="00507B62" w:rsidRPr="001A0038" w:rsidRDefault="00507B62" w:rsidP="00EA65BF">
      <w:pPr>
        <w:spacing w:after="0" w:line="240" w:lineRule="auto"/>
        <w:rPr>
          <w:rFonts w:ascii="Times New Roman" w:hAnsi="Times New Roman" w:cs="Times New Roman"/>
          <w:sz w:val="20"/>
          <w:szCs w:val="20"/>
        </w:rPr>
      </w:pPr>
    </w:p>
    <w:p w14:paraId="7BA1ACDB" w14:textId="77777777" w:rsidR="00507B62" w:rsidRPr="001A0038" w:rsidRDefault="00507B62" w:rsidP="00EA65BF">
      <w:pPr>
        <w:spacing w:after="0" w:line="240" w:lineRule="auto"/>
        <w:rPr>
          <w:rFonts w:ascii="Times New Roman" w:hAnsi="Times New Roman" w:cs="Times New Roman"/>
          <w:sz w:val="20"/>
          <w:szCs w:val="20"/>
        </w:rPr>
      </w:pPr>
    </w:p>
    <w:p w14:paraId="0811D6FD" w14:textId="77777777" w:rsidR="00507B62" w:rsidRPr="001A0038" w:rsidRDefault="00507B62" w:rsidP="00EA65BF">
      <w:pPr>
        <w:spacing w:after="0" w:line="240" w:lineRule="auto"/>
        <w:rPr>
          <w:rFonts w:ascii="Times New Roman" w:hAnsi="Times New Roman" w:cs="Times New Roman"/>
          <w:sz w:val="20"/>
          <w:szCs w:val="20"/>
        </w:rPr>
      </w:pPr>
    </w:p>
    <w:p w14:paraId="2C6C83E3" w14:textId="77777777" w:rsidR="00507B62" w:rsidRPr="001A0038" w:rsidRDefault="00507B62" w:rsidP="00EA65BF">
      <w:pPr>
        <w:spacing w:after="0" w:line="240" w:lineRule="auto"/>
        <w:rPr>
          <w:rFonts w:ascii="Times New Roman" w:hAnsi="Times New Roman" w:cs="Times New Roman"/>
          <w:sz w:val="20"/>
          <w:szCs w:val="20"/>
        </w:rPr>
      </w:pPr>
    </w:p>
    <w:p w14:paraId="279BC9F0" w14:textId="77777777" w:rsidR="00507B62" w:rsidRPr="001A0038" w:rsidRDefault="00507B62" w:rsidP="00EA65BF">
      <w:pPr>
        <w:spacing w:after="0" w:line="240" w:lineRule="auto"/>
        <w:rPr>
          <w:rFonts w:ascii="Times New Roman" w:hAnsi="Times New Roman" w:cs="Times New Roman"/>
          <w:sz w:val="20"/>
          <w:szCs w:val="20"/>
        </w:rPr>
      </w:pPr>
    </w:p>
    <w:p w14:paraId="4AA02917" w14:textId="77777777" w:rsidR="00507B62" w:rsidRPr="001A0038" w:rsidRDefault="00507B62" w:rsidP="00EA65BF">
      <w:pPr>
        <w:spacing w:after="0" w:line="240" w:lineRule="auto"/>
        <w:rPr>
          <w:rFonts w:ascii="Times New Roman" w:hAnsi="Times New Roman" w:cs="Times New Roman"/>
          <w:sz w:val="20"/>
          <w:szCs w:val="20"/>
        </w:rPr>
      </w:pPr>
    </w:p>
    <w:p w14:paraId="170BCBD3" w14:textId="77777777" w:rsidR="00507B62" w:rsidRPr="001A0038" w:rsidRDefault="00507B62" w:rsidP="00EA65BF">
      <w:pPr>
        <w:spacing w:after="0" w:line="240" w:lineRule="auto"/>
        <w:rPr>
          <w:rFonts w:ascii="Times New Roman" w:hAnsi="Times New Roman" w:cs="Times New Roman"/>
          <w:sz w:val="20"/>
          <w:szCs w:val="20"/>
        </w:rPr>
      </w:pPr>
    </w:p>
    <w:p w14:paraId="13241BFC" w14:textId="1462D31F" w:rsidR="007E3E25" w:rsidRPr="001A0038" w:rsidRDefault="007E3E25" w:rsidP="00EA65BF">
      <w:pPr>
        <w:spacing w:after="0" w:line="240" w:lineRule="auto"/>
        <w:jc w:val="center"/>
        <w:rPr>
          <w:rFonts w:ascii="Times New Roman" w:hAnsi="Times New Roman" w:cs="Times New Roman"/>
          <w:sz w:val="20"/>
          <w:szCs w:val="20"/>
        </w:rPr>
      </w:pPr>
      <w:r w:rsidRPr="001A0038">
        <w:rPr>
          <w:rFonts w:ascii="Times New Roman" w:hAnsi="Times New Roman" w:cs="Times New Roman"/>
          <w:sz w:val="20"/>
          <w:szCs w:val="20"/>
        </w:rPr>
        <w:t>Rīga, 202</w:t>
      </w:r>
      <w:r w:rsidR="00F53AD0">
        <w:rPr>
          <w:rFonts w:ascii="Times New Roman" w:hAnsi="Times New Roman" w:cs="Times New Roman"/>
          <w:sz w:val="20"/>
          <w:szCs w:val="20"/>
        </w:rPr>
        <w:t>3</w:t>
      </w:r>
    </w:p>
    <w:p w14:paraId="4925393D" w14:textId="77777777" w:rsidR="006272A6" w:rsidRDefault="006272A6" w:rsidP="00EA65BF">
      <w:pPr>
        <w:spacing w:after="0" w:line="240" w:lineRule="auto"/>
        <w:rPr>
          <w:rFonts w:ascii="Times New Roman" w:hAnsi="Times New Roman" w:cs="Times New Roman"/>
          <w:sz w:val="20"/>
          <w:szCs w:val="20"/>
        </w:rPr>
      </w:pPr>
    </w:p>
    <w:p w14:paraId="267FD380" w14:textId="77777777" w:rsidR="006272A6" w:rsidRDefault="006272A6" w:rsidP="00EA65BF">
      <w:pPr>
        <w:spacing w:after="0" w:line="240" w:lineRule="auto"/>
        <w:rPr>
          <w:rFonts w:ascii="Times New Roman" w:hAnsi="Times New Roman" w:cs="Times New Roman"/>
          <w:sz w:val="20"/>
          <w:szCs w:val="20"/>
        </w:rPr>
      </w:pPr>
    </w:p>
    <w:p w14:paraId="3B4A42B6" w14:textId="77777777" w:rsidR="006272A6" w:rsidRDefault="006272A6" w:rsidP="00EA65BF">
      <w:pPr>
        <w:spacing w:after="0" w:line="240" w:lineRule="auto"/>
        <w:rPr>
          <w:rFonts w:ascii="Times New Roman" w:hAnsi="Times New Roman" w:cs="Times New Roman"/>
          <w:sz w:val="20"/>
          <w:szCs w:val="20"/>
        </w:rPr>
      </w:pPr>
    </w:p>
    <w:p w14:paraId="0B2D2044" w14:textId="77777777" w:rsidR="006272A6" w:rsidRDefault="006272A6" w:rsidP="00EA65BF">
      <w:pPr>
        <w:spacing w:after="0" w:line="240" w:lineRule="auto"/>
        <w:rPr>
          <w:rFonts w:ascii="Times New Roman" w:hAnsi="Times New Roman" w:cs="Times New Roman"/>
          <w:sz w:val="20"/>
          <w:szCs w:val="20"/>
        </w:rPr>
      </w:pPr>
    </w:p>
    <w:p w14:paraId="5013E154" w14:textId="77777777" w:rsidR="006272A6" w:rsidRDefault="006272A6" w:rsidP="00EA65BF">
      <w:pPr>
        <w:spacing w:after="0" w:line="240" w:lineRule="auto"/>
        <w:rPr>
          <w:rFonts w:ascii="Times New Roman" w:hAnsi="Times New Roman" w:cs="Times New Roman"/>
          <w:sz w:val="20"/>
          <w:szCs w:val="20"/>
        </w:rPr>
      </w:pPr>
    </w:p>
    <w:p w14:paraId="2862AEB2" w14:textId="77777777" w:rsidR="006272A6" w:rsidRDefault="006272A6" w:rsidP="00EA65BF">
      <w:pPr>
        <w:spacing w:after="0" w:line="240" w:lineRule="auto"/>
        <w:rPr>
          <w:rFonts w:ascii="Times New Roman" w:hAnsi="Times New Roman" w:cs="Times New Roman"/>
          <w:sz w:val="20"/>
          <w:szCs w:val="20"/>
        </w:rPr>
      </w:pPr>
    </w:p>
    <w:p w14:paraId="33C1670B" w14:textId="77777777" w:rsidR="006272A6" w:rsidRDefault="006272A6" w:rsidP="00EA65BF">
      <w:pPr>
        <w:spacing w:after="0" w:line="240" w:lineRule="auto"/>
        <w:rPr>
          <w:rFonts w:ascii="Times New Roman" w:hAnsi="Times New Roman" w:cs="Times New Roman"/>
          <w:sz w:val="20"/>
          <w:szCs w:val="20"/>
        </w:rPr>
      </w:pPr>
    </w:p>
    <w:p w14:paraId="58E57FCC" w14:textId="77777777" w:rsidR="006272A6" w:rsidRDefault="006272A6" w:rsidP="00EA65BF">
      <w:pPr>
        <w:spacing w:after="0" w:line="240" w:lineRule="auto"/>
        <w:rPr>
          <w:rFonts w:ascii="Times New Roman" w:hAnsi="Times New Roman" w:cs="Times New Roman"/>
          <w:sz w:val="20"/>
          <w:szCs w:val="20"/>
        </w:rPr>
      </w:pPr>
    </w:p>
    <w:p w14:paraId="673D186A" w14:textId="77777777" w:rsidR="006272A6" w:rsidRDefault="006272A6" w:rsidP="00EA65BF">
      <w:pPr>
        <w:spacing w:after="0" w:line="240" w:lineRule="auto"/>
        <w:rPr>
          <w:rFonts w:ascii="Times New Roman" w:hAnsi="Times New Roman" w:cs="Times New Roman"/>
          <w:sz w:val="20"/>
          <w:szCs w:val="20"/>
        </w:rPr>
      </w:pPr>
    </w:p>
    <w:p w14:paraId="4C333435" w14:textId="77777777" w:rsidR="006272A6" w:rsidRDefault="006272A6" w:rsidP="00EA65BF">
      <w:pPr>
        <w:spacing w:after="0" w:line="240" w:lineRule="auto"/>
        <w:rPr>
          <w:rFonts w:ascii="Times New Roman" w:hAnsi="Times New Roman" w:cs="Times New Roman"/>
          <w:sz w:val="20"/>
          <w:szCs w:val="20"/>
        </w:rPr>
      </w:pPr>
    </w:p>
    <w:p w14:paraId="769FAEA5" w14:textId="77777777" w:rsidR="006272A6" w:rsidRDefault="006272A6" w:rsidP="00EA65BF">
      <w:pPr>
        <w:spacing w:after="0" w:line="240" w:lineRule="auto"/>
        <w:rPr>
          <w:rFonts w:ascii="Times New Roman" w:hAnsi="Times New Roman" w:cs="Times New Roman"/>
          <w:sz w:val="20"/>
          <w:szCs w:val="20"/>
        </w:rPr>
      </w:pPr>
    </w:p>
    <w:p w14:paraId="68BD1E42" w14:textId="77777777" w:rsidR="006272A6" w:rsidRDefault="006272A6" w:rsidP="00EA65BF">
      <w:pPr>
        <w:spacing w:after="0" w:line="240" w:lineRule="auto"/>
        <w:rPr>
          <w:rFonts w:ascii="Times New Roman" w:hAnsi="Times New Roman" w:cs="Times New Roman"/>
          <w:sz w:val="20"/>
          <w:szCs w:val="20"/>
        </w:rPr>
      </w:pPr>
    </w:p>
    <w:p w14:paraId="1221E374" w14:textId="77777777" w:rsidR="006272A6" w:rsidRDefault="006272A6" w:rsidP="00EA65BF">
      <w:pPr>
        <w:spacing w:after="0" w:line="240" w:lineRule="auto"/>
        <w:rPr>
          <w:rFonts w:ascii="Times New Roman" w:hAnsi="Times New Roman" w:cs="Times New Roman"/>
          <w:sz w:val="20"/>
          <w:szCs w:val="20"/>
        </w:rPr>
      </w:pPr>
    </w:p>
    <w:p w14:paraId="0900CAFB" w14:textId="77777777" w:rsidR="006272A6" w:rsidRDefault="006272A6" w:rsidP="00EA65BF">
      <w:pPr>
        <w:spacing w:after="0" w:line="240" w:lineRule="auto"/>
        <w:rPr>
          <w:rFonts w:ascii="Times New Roman" w:hAnsi="Times New Roman" w:cs="Times New Roman"/>
          <w:sz w:val="20"/>
          <w:szCs w:val="20"/>
        </w:rPr>
      </w:pPr>
    </w:p>
    <w:p w14:paraId="5235E1BF" w14:textId="77777777" w:rsidR="006272A6" w:rsidRDefault="006272A6" w:rsidP="00EA65BF">
      <w:pPr>
        <w:spacing w:after="0" w:line="240" w:lineRule="auto"/>
        <w:rPr>
          <w:rFonts w:ascii="Times New Roman" w:hAnsi="Times New Roman" w:cs="Times New Roman"/>
          <w:sz w:val="20"/>
          <w:szCs w:val="20"/>
        </w:rPr>
      </w:pPr>
    </w:p>
    <w:p w14:paraId="5319E5A8" w14:textId="77777777" w:rsidR="006272A6" w:rsidRDefault="006272A6" w:rsidP="00EA65BF">
      <w:pPr>
        <w:spacing w:after="0" w:line="240" w:lineRule="auto"/>
        <w:rPr>
          <w:rFonts w:ascii="Times New Roman" w:hAnsi="Times New Roman" w:cs="Times New Roman"/>
          <w:sz w:val="20"/>
          <w:szCs w:val="20"/>
        </w:rPr>
      </w:pPr>
    </w:p>
    <w:p w14:paraId="55AFB307" w14:textId="77777777" w:rsidR="006272A6" w:rsidRDefault="006272A6" w:rsidP="00EA65BF">
      <w:pPr>
        <w:spacing w:after="0" w:line="240" w:lineRule="auto"/>
        <w:rPr>
          <w:rFonts w:ascii="Times New Roman" w:hAnsi="Times New Roman" w:cs="Times New Roman"/>
          <w:sz w:val="20"/>
          <w:szCs w:val="20"/>
        </w:rPr>
      </w:pPr>
    </w:p>
    <w:p w14:paraId="0B18D242" w14:textId="77777777" w:rsidR="006272A6" w:rsidRDefault="006272A6" w:rsidP="00EA65BF">
      <w:pPr>
        <w:spacing w:after="0" w:line="240" w:lineRule="auto"/>
        <w:rPr>
          <w:rFonts w:ascii="Times New Roman" w:hAnsi="Times New Roman" w:cs="Times New Roman"/>
          <w:sz w:val="20"/>
          <w:szCs w:val="20"/>
        </w:rPr>
      </w:pPr>
    </w:p>
    <w:p w14:paraId="0626DB17" w14:textId="77777777" w:rsidR="006272A6" w:rsidRDefault="006272A6" w:rsidP="00EA65BF">
      <w:pPr>
        <w:spacing w:after="0" w:line="240" w:lineRule="auto"/>
        <w:rPr>
          <w:rFonts w:ascii="Times New Roman" w:hAnsi="Times New Roman" w:cs="Times New Roman"/>
          <w:sz w:val="20"/>
          <w:szCs w:val="20"/>
        </w:rPr>
      </w:pPr>
    </w:p>
    <w:p w14:paraId="3E62E4EE" w14:textId="77777777" w:rsidR="006272A6" w:rsidRDefault="006272A6" w:rsidP="00EA65BF">
      <w:pPr>
        <w:spacing w:after="0" w:line="240" w:lineRule="auto"/>
        <w:rPr>
          <w:rFonts w:ascii="Times New Roman" w:hAnsi="Times New Roman" w:cs="Times New Roman"/>
          <w:sz w:val="20"/>
          <w:szCs w:val="20"/>
        </w:rPr>
      </w:pPr>
    </w:p>
    <w:p w14:paraId="4A7FC5AD" w14:textId="77777777" w:rsidR="006272A6" w:rsidRDefault="006272A6" w:rsidP="00EA65BF">
      <w:pPr>
        <w:spacing w:after="0" w:line="240" w:lineRule="auto"/>
        <w:rPr>
          <w:rFonts w:ascii="Times New Roman" w:hAnsi="Times New Roman" w:cs="Times New Roman"/>
          <w:sz w:val="20"/>
          <w:szCs w:val="20"/>
        </w:rPr>
      </w:pPr>
    </w:p>
    <w:p w14:paraId="09A2B2BF" w14:textId="77777777" w:rsidR="006272A6" w:rsidRDefault="006272A6" w:rsidP="00EA65BF">
      <w:pPr>
        <w:spacing w:after="0" w:line="240" w:lineRule="auto"/>
        <w:rPr>
          <w:rFonts w:ascii="Times New Roman" w:hAnsi="Times New Roman" w:cs="Times New Roman"/>
          <w:sz w:val="20"/>
          <w:szCs w:val="20"/>
        </w:rPr>
      </w:pPr>
    </w:p>
    <w:p w14:paraId="1A6A1A98" w14:textId="77777777" w:rsidR="006272A6" w:rsidRDefault="006272A6" w:rsidP="00EA65BF">
      <w:pPr>
        <w:spacing w:after="0" w:line="240" w:lineRule="auto"/>
        <w:rPr>
          <w:rFonts w:ascii="Times New Roman" w:hAnsi="Times New Roman" w:cs="Times New Roman"/>
          <w:sz w:val="20"/>
          <w:szCs w:val="20"/>
        </w:rPr>
      </w:pPr>
    </w:p>
    <w:p w14:paraId="3539A83B" w14:textId="77777777" w:rsidR="006272A6" w:rsidRDefault="006272A6" w:rsidP="00EA65BF">
      <w:pPr>
        <w:spacing w:after="0" w:line="240" w:lineRule="auto"/>
        <w:rPr>
          <w:rFonts w:ascii="Times New Roman" w:hAnsi="Times New Roman" w:cs="Times New Roman"/>
          <w:sz w:val="20"/>
          <w:szCs w:val="20"/>
        </w:rPr>
      </w:pPr>
    </w:p>
    <w:p w14:paraId="5D468734" w14:textId="77777777" w:rsidR="006272A6" w:rsidRDefault="006272A6" w:rsidP="00EA65BF">
      <w:pPr>
        <w:spacing w:after="0" w:line="240" w:lineRule="auto"/>
        <w:rPr>
          <w:rFonts w:ascii="Times New Roman" w:hAnsi="Times New Roman" w:cs="Times New Roman"/>
          <w:sz w:val="20"/>
          <w:szCs w:val="20"/>
        </w:rPr>
      </w:pPr>
    </w:p>
    <w:p w14:paraId="0C52C4D9" w14:textId="77777777" w:rsidR="006272A6" w:rsidRDefault="006272A6" w:rsidP="00EA65BF">
      <w:pPr>
        <w:spacing w:after="0" w:line="240" w:lineRule="auto"/>
        <w:rPr>
          <w:rFonts w:ascii="Times New Roman" w:hAnsi="Times New Roman" w:cs="Times New Roman"/>
          <w:sz w:val="20"/>
          <w:szCs w:val="20"/>
        </w:rPr>
      </w:pPr>
    </w:p>
    <w:p w14:paraId="325DFD34" w14:textId="77777777" w:rsidR="006272A6" w:rsidRDefault="006272A6" w:rsidP="00EA65BF">
      <w:pPr>
        <w:spacing w:after="0" w:line="240" w:lineRule="auto"/>
        <w:rPr>
          <w:rFonts w:ascii="Times New Roman" w:hAnsi="Times New Roman" w:cs="Times New Roman"/>
          <w:sz w:val="20"/>
          <w:szCs w:val="20"/>
        </w:rPr>
      </w:pPr>
    </w:p>
    <w:p w14:paraId="325BEA37" w14:textId="77777777" w:rsidR="006272A6" w:rsidRDefault="006272A6" w:rsidP="00EA65BF">
      <w:pPr>
        <w:spacing w:after="0" w:line="240" w:lineRule="auto"/>
        <w:rPr>
          <w:rFonts w:ascii="Times New Roman" w:hAnsi="Times New Roman" w:cs="Times New Roman"/>
          <w:sz w:val="20"/>
          <w:szCs w:val="20"/>
        </w:rPr>
      </w:pPr>
    </w:p>
    <w:p w14:paraId="0AE8101C" w14:textId="77777777" w:rsidR="006272A6" w:rsidRDefault="006272A6" w:rsidP="00EA65BF">
      <w:pPr>
        <w:spacing w:after="0" w:line="240" w:lineRule="auto"/>
        <w:rPr>
          <w:rFonts w:ascii="Times New Roman" w:hAnsi="Times New Roman" w:cs="Times New Roman"/>
          <w:sz w:val="20"/>
          <w:szCs w:val="20"/>
        </w:rPr>
      </w:pPr>
    </w:p>
    <w:p w14:paraId="4531BFA7" w14:textId="77777777" w:rsidR="006272A6" w:rsidRDefault="006272A6" w:rsidP="00EA65BF">
      <w:pPr>
        <w:spacing w:after="0" w:line="240" w:lineRule="auto"/>
        <w:rPr>
          <w:rFonts w:ascii="Times New Roman" w:hAnsi="Times New Roman" w:cs="Times New Roman"/>
          <w:sz w:val="20"/>
          <w:szCs w:val="20"/>
        </w:rPr>
      </w:pPr>
    </w:p>
    <w:p w14:paraId="236BC3F9" w14:textId="77777777" w:rsidR="006272A6" w:rsidRDefault="006272A6" w:rsidP="00EA65BF">
      <w:pPr>
        <w:spacing w:after="0" w:line="240" w:lineRule="auto"/>
        <w:rPr>
          <w:rFonts w:ascii="Times New Roman" w:hAnsi="Times New Roman" w:cs="Times New Roman"/>
          <w:sz w:val="20"/>
          <w:szCs w:val="20"/>
        </w:rPr>
      </w:pPr>
    </w:p>
    <w:p w14:paraId="47FE6ADA" w14:textId="77777777" w:rsidR="006272A6" w:rsidRDefault="006272A6" w:rsidP="00EA65BF">
      <w:pPr>
        <w:spacing w:after="0" w:line="240" w:lineRule="auto"/>
        <w:rPr>
          <w:rFonts w:ascii="Times New Roman" w:hAnsi="Times New Roman" w:cs="Times New Roman"/>
          <w:sz w:val="20"/>
          <w:szCs w:val="20"/>
        </w:rPr>
      </w:pPr>
    </w:p>
    <w:p w14:paraId="2FA31B8F" w14:textId="77777777" w:rsidR="006272A6" w:rsidRDefault="006272A6" w:rsidP="00EA65BF">
      <w:pPr>
        <w:spacing w:after="0" w:line="240" w:lineRule="auto"/>
        <w:rPr>
          <w:rFonts w:ascii="Times New Roman" w:hAnsi="Times New Roman" w:cs="Times New Roman"/>
          <w:sz w:val="20"/>
          <w:szCs w:val="20"/>
        </w:rPr>
      </w:pPr>
    </w:p>
    <w:p w14:paraId="04955025" w14:textId="77777777" w:rsidR="006272A6" w:rsidRDefault="006272A6" w:rsidP="00EA65BF">
      <w:pPr>
        <w:spacing w:after="0" w:line="240" w:lineRule="auto"/>
        <w:rPr>
          <w:rFonts w:ascii="Times New Roman" w:hAnsi="Times New Roman" w:cs="Times New Roman"/>
          <w:sz w:val="20"/>
          <w:szCs w:val="20"/>
        </w:rPr>
      </w:pPr>
    </w:p>
    <w:p w14:paraId="2AC66541" w14:textId="77777777" w:rsidR="006272A6" w:rsidRDefault="006272A6" w:rsidP="00EA65BF">
      <w:pPr>
        <w:spacing w:after="0" w:line="240" w:lineRule="auto"/>
        <w:rPr>
          <w:rFonts w:ascii="Times New Roman" w:hAnsi="Times New Roman" w:cs="Times New Roman"/>
          <w:sz w:val="20"/>
          <w:szCs w:val="20"/>
        </w:rPr>
      </w:pPr>
    </w:p>
    <w:p w14:paraId="312E1433" w14:textId="77777777" w:rsidR="006272A6" w:rsidRDefault="006272A6" w:rsidP="00EA65BF">
      <w:pPr>
        <w:spacing w:after="0" w:line="240" w:lineRule="auto"/>
        <w:rPr>
          <w:rFonts w:ascii="Times New Roman" w:hAnsi="Times New Roman" w:cs="Times New Roman"/>
          <w:sz w:val="20"/>
          <w:szCs w:val="20"/>
        </w:rPr>
      </w:pPr>
    </w:p>
    <w:p w14:paraId="092FAD77" w14:textId="77777777" w:rsidR="006272A6" w:rsidRDefault="006272A6" w:rsidP="00EA65BF">
      <w:pPr>
        <w:spacing w:after="0" w:line="240" w:lineRule="auto"/>
        <w:rPr>
          <w:rFonts w:ascii="Times New Roman" w:hAnsi="Times New Roman" w:cs="Times New Roman"/>
          <w:sz w:val="20"/>
          <w:szCs w:val="20"/>
        </w:rPr>
      </w:pPr>
    </w:p>
    <w:p w14:paraId="779D452F" w14:textId="77777777" w:rsidR="006272A6" w:rsidRDefault="006272A6" w:rsidP="00EA65BF">
      <w:pPr>
        <w:spacing w:after="0" w:line="240" w:lineRule="auto"/>
        <w:rPr>
          <w:rFonts w:ascii="Times New Roman" w:hAnsi="Times New Roman" w:cs="Times New Roman"/>
          <w:sz w:val="20"/>
          <w:szCs w:val="20"/>
        </w:rPr>
      </w:pPr>
    </w:p>
    <w:p w14:paraId="0767B62A" w14:textId="051E5486" w:rsidR="007E3E25" w:rsidRPr="001A0038" w:rsidRDefault="007E3E25" w:rsidP="00EA65BF">
      <w:pPr>
        <w:spacing w:after="0" w:line="240" w:lineRule="auto"/>
        <w:rPr>
          <w:rFonts w:ascii="Times New Roman" w:hAnsi="Times New Roman" w:cs="Times New Roman"/>
          <w:sz w:val="20"/>
          <w:szCs w:val="20"/>
        </w:rPr>
      </w:pPr>
      <w:r w:rsidRPr="001A0038">
        <w:rPr>
          <w:rFonts w:ascii="Times New Roman" w:hAnsi="Times New Roman" w:cs="Times New Roman"/>
          <w:sz w:val="20"/>
          <w:szCs w:val="20"/>
        </w:rPr>
        <w:t>SATURS</w:t>
      </w:r>
    </w:p>
    <w:p w14:paraId="6E80CA9D" w14:textId="4DAF2793" w:rsidR="007E3E25" w:rsidRPr="001A0038" w:rsidRDefault="007E3E25" w:rsidP="00EA65BF">
      <w:pPr>
        <w:spacing w:after="0" w:line="240" w:lineRule="auto"/>
        <w:rPr>
          <w:rFonts w:ascii="Times New Roman" w:hAnsi="Times New Roman" w:cs="Times New Roman"/>
          <w:sz w:val="20"/>
          <w:szCs w:val="20"/>
        </w:rPr>
      </w:pPr>
    </w:p>
    <w:p w14:paraId="0A1CA7D9" w14:textId="2D8A9D35" w:rsidR="00507B62" w:rsidRPr="001A0038" w:rsidRDefault="00507B62" w:rsidP="00EA65BF">
      <w:pPr>
        <w:spacing w:after="0" w:line="240" w:lineRule="auto"/>
        <w:rPr>
          <w:rFonts w:ascii="Times New Roman" w:hAnsi="Times New Roman" w:cs="Times New Roman"/>
          <w:sz w:val="20"/>
          <w:szCs w:val="20"/>
        </w:rPr>
      </w:pPr>
      <w:r w:rsidRPr="001A0038">
        <w:rPr>
          <w:rFonts w:ascii="Times New Roman" w:hAnsi="Times New Roman" w:cs="Times New Roman"/>
          <w:sz w:val="20"/>
          <w:szCs w:val="20"/>
        </w:rPr>
        <w:t>Ievads</w:t>
      </w:r>
      <w:r w:rsidR="002A1CA2" w:rsidRPr="001A0038">
        <w:rPr>
          <w:rFonts w:ascii="Times New Roman" w:hAnsi="Times New Roman" w:cs="Times New Roman"/>
          <w:sz w:val="20"/>
          <w:szCs w:val="20"/>
        </w:rPr>
        <w:tab/>
      </w:r>
      <w:r w:rsidR="002A1CA2" w:rsidRPr="001A0038">
        <w:rPr>
          <w:rFonts w:ascii="Times New Roman" w:hAnsi="Times New Roman" w:cs="Times New Roman"/>
          <w:sz w:val="20"/>
          <w:szCs w:val="20"/>
        </w:rPr>
        <w:tab/>
      </w:r>
      <w:r w:rsidR="002A1CA2" w:rsidRPr="001A0038">
        <w:rPr>
          <w:rFonts w:ascii="Times New Roman" w:hAnsi="Times New Roman" w:cs="Times New Roman"/>
          <w:sz w:val="20"/>
          <w:szCs w:val="20"/>
        </w:rPr>
        <w:tab/>
      </w:r>
      <w:r w:rsidR="002A1CA2" w:rsidRPr="001A0038">
        <w:rPr>
          <w:rFonts w:ascii="Times New Roman" w:hAnsi="Times New Roman" w:cs="Times New Roman"/>
          <w:sz w:val="20"/>
          <w:szCs w:val="20"/>
        </w:rPr>
        <w:tab/>
      </w:r>
      <w:r w:rsidR="002A1CA2" w:rsidRPr="001A0038">
        <w:rPr>
          <w:rFonts w:ascii="Times New Roman" w:hAnsi="Times New Roman" w:cs="Times New Roman"/>
          <w:sz w:val="20"/>
          <w:szCs w:val="20"/>
        </w:rPr>
        <w:tab/>
      </w:r>
      <w:r w:rsidR="002A1CA2" w:rsidRPr="001A0038">
        <w:rPr>
          <w:rFonts w:ascii="Times New Roman" w:hAnsi="Times New Roman" w:cs="Times New Roman"/>
          <w:sz w:val="20"/>
          <w:szCs w:val="20"/>
        </w:rPr>
        <w:tab/>
      </w:r>
      <w:r w:rsidR="002A1CA2" w:rsidRPr="001A0038">
        <w:rPr>
          <w:rFonts w:ascii="Times New Roman" w:hAnsi="Times New Roman" w:cs="Times New Roman"/>
          <w:sz w:val="20"/>
          <w:szCs w:val="20"/>
        </w:rPr>
        <w:tab/>
      </w:r>
      <w:r w:rsidR="002A1CA2" w:rsidRPr="001A0038">
        <w:rPr>
          <w:rFonts w:ascii="Times New Roman" w:hAnsi="Times New Roman" w:cs="Times New Roman"/>
          <w:sz w:val="20"/>
          <w:szCs w:val="20"/>
        </w:rPr>
        <w:tab/>
      </w:r>
      <w:r w:rsidR="002A1CA2" w:rsidRPr="001A0038">
        <w:rPr>
          <w:rFonts w:ascii="Times New Roman" w:hAnsi="Times New Roman" w:cs="Times New Roman"/>
          <w:sz w:val="20"/>
          <w:szCs w:val="20"/>
        </w:rPr>
        <w:tab/>
      </w:r>
      <w:r w:rsidR="006272A6">
        <w:rPr>
          <w:rFonts w:ascii="Times New Roman" w:hAnsi="Times New Roman" w:cs="Times New Roman"/>
          <w:sz w:val="20"/>
          <w:szCs w:val="20"/>
        </w:rPr>
        <w:t>2</w:t>
      </w:r>
    </w:p>
    <w:p w14:paraId="5DE9D707" w14:textId="046A96D9" w:rsidR="007E3E25" w:rsidRPr="001A0038" w:rsidRDefault="007E3E25" w:rsidP="00EA65BF">
      <w:pPr>
        <w:spacing w:after="0" w:line="240" w:lineRule="auto"/>
        <w:rPr>
          <w:rFonts w:ascii="Times New Roman" w:hAnsi="Times New Roman" w:cs="Times New Roman"/>
          <w:sz w:val="20"/>
          <w:szCs w:val="20"/>
        </w:rPr>
      </w:pPr>
      <w:r w:rsidRPr="006272A6">
        <w:rPr>
          <w:rFonts w:ascii="Times New Roman" w:hAnsi="Times New Roman" w:cs="Times New Roman"/>
          <w:sz w:val="20"/>
          <w:szCs w:val="20"/>
        </w:rPr>
        <w:t>Valdes un Padomes locekļu atalgojums</w:t>
      </w:r>
      <w:r w:rsidR="002A1CA2" w:rsidRPr="001A0038">
        <w:rPr>
          <w:rFonts w:ascii="Times New Roman" w:hAnsi="Times New Roman" w:cs="Times New Roman"/>
          <w:sz w:val="20"/>
          <w:szCs w:val="20"/>
        </w:rPr>
        <w:tab/>
      </w:r>
      <w:r w:rsidR="002A1CA2" w:rsidRPr="001A0038">
        <w:rPr>
          <w:rFonts w:ascii="Times New Roman" w:hAnsi="Times New Roman" w:cs="Times New Roman"/>
          <w:sz w:val="20"/>
          <w:szCs w:val="20"/>
        </w:rPr>
        <w:tab/>
      </w:r>
      <w:r w:rsidR="002A1CA2" w:rsidRPr="001A0038">
        <w:rPr>
          <w:rFonts w:ascii="Times New Roman" w:hAnsi="Times New Roman" w:cs="Times New Roman"/>
          <w:sz w:val="20"/>
          <w:szCs w:val="20"/>
        </w:rPr>
        <w:tab/>
      </w:r>
      <w:r w:rsidR="002A1CA2" w:rsidRPr="001A0038">
        <w:rPr>
          <w:rFonts w:ascii="Times New Roman" w:hAnsi="Times New Roman" w:cs="Times New Roman"/>
          <w:sz w:val="20"/>
          <w:szCs w:val="20"/>
        </w:rPr>
        <w:tab/>
      </w:r>
      <w:r w:rsidR="002A1CA2" w:rsidRPr="001A0038">
        <w:rPr>
          <w:rFonts w:ascii="Times New Roman" w:hAnsi="Times New Roman" w:cs="Times New Roman"/>
          <w:sz w:val="20"/>
          <w:szCs w:val="20"/>
        </w:rPr>
        <w:tab/>
      </w:r>
      <w:r w:rsidR="00000D9C">
        <w:rPr>
          <w:rFonts w:ascii="Times New Roman" w:hAnsi="Times New Roman" w:cs="Times New Roman"/>
          <w:sz w:val="20"/>
          <w:szCs w:val="20"/>
        </w:rPr>
        <w:t>5</w:t>
      </w:r>
    </w:p>
    <w:p w14:paraId="42B8FB40" w14:textId="77777777" w:rsidR="002A1CA2" w:rsidRPr="001A0038" w:rsidRDefault="002A1CA2" w:rsidP="00EA65BF">
      <w:pPr>
        <w:spacing w:after="0" w:line="240" w:lineRule="auto"/>
        <w:rPr>
          <w:rFonts w:ascii="Times New Roman" w:hAnsi="Times New Roman" w:cs="Times New Roman"/>
          <w:sz w:val="20"/>
          <w:szCs w:val="20"/>
        </w:rPr>
      </w:pPr>
    </w:p>
    <w:p w14:paraId="02105271" w14:textId="77777777" w:rsidR="002A1CA2" w:rsidRPr="001A0038" w:rsidRDefault="002A1CA2" w:rsidP="00EA65BF">
      <w:pPr>
        <w:spacing w:after="0" w:line="240" w:lineRule="auto"/>
        <w:rPr>
          <w:rFonts w:ascii="Times New Roman" w:hAnsi="Times New Roman" w:cs="Times New Roman"/>
          <w:sz w:val="20"/>
          <w:szCs w:val="20"/>
        </w:rPr>
      </w:pPr>
    </w:p>
    <w:p w14:paraId="3678EFA1" w14:textId="77777777" w:rsidR="002A1CA2" w:rsidRPr="001A0038" w:rsidRDefault="002A1CA2" w:rsidP="00EA65BF">
      <w:pPr>
        <w:spacing w:after="0" w:line="240" w:lineRule="auto"/>
        <w:rPr>
          <w:rFonts w:ascii="Times New Roman" w:hAnsi="Times New Roman" w:cs="Times New Roman"/>
          <w:sz w:val="20"/>
          <w:szCs w:val="20"/>
        </w:rPr>
      </w:pPr>
    </w:p>
    <w:p w14:paraId="519811DF" w14:textId="77777777" w:rsidR="002A1CA2" w:rsidRPr="001A0038" w:rsidRDefault="002A1CA2" w:rsidP="00EA65BF">
      <w:pPr>
        <w:spacing w:after="0" w:line="240" w:lineRule="auto"/>
        <w:rPr>
          <w:rFonts w:ascii="Times New Roman" w:hAnsi="Times New Roman" w:cs="Times New Roman"/>
          <w:sz w:val="20"/>
          <w:szCs w:val="20"/>
        </w:rPr>
      </w:pPr>
    </w:p>
    <w:p w14:paraId="5C237415" w14:textId="77777777" w:rsidR="002A1CA2" w:rsidRPr="001A0038" w:rsidRDefault="002A1CA2" w:rsidP="00EA65BF">
      <w:pPr>
        <w:spacing w:after="0" w:line="240" w:lineRule="auto"/>
        <w:rPr>
          <w:rFonts w:ascii="Times New Roman" w:hAnsi="Times New Roman" w:cs="Times New Roman"/>
          <w:sz w:val="20"/>
          <w:szCs w:val="20"/>
        </w:rPr>
      </w:pPr>
    </w:p>
    <w:p w14:paraId="62FD04D6" w14:textId="77777777" w:rsidR="002A1CA2" w:rsidRPr="001A0038" w:rsidRDefault="002A1CA2" w:rsidP="00EA65BF">
      <w:pPr>
        <w:spacing w:after="0" w:line="240" w:lineRule="auto"/>
        <w:rPr>
          <w:rFonts w:ascii="Times New Roman" w:hAnsi="Times New Roman" w:cs="Times New Roman"/>
          <w:sz w:val="20"/>
          <w:szCs w:val="20"/>
        </w:rPr>
      </w:pPr>
    </w:p>
    <w:p w14:paraId="2B08CE38" w14:textId="77777777" w:rsidR="002A1CA2" w:rsidRPr="001A0038" w:rsidRDefault="002A1CA2" w:rsidP="00EA65BF">
      <w:pPr>
        <w:spacing w:after="0" w:line="240" w:lineRule="auto"/>
        <w:rPr>
          <w:rFonts w:ascii="Times New Roman" w:hAnsi="Times New Roman" w:cs="Times New Roman"/>
          <w:sz w:val="20"/>
          <w:szCs w:val="20"/>
        </w:rPr>
      </w:pPr>
    </w:p>
    <w:p w14:paraId="111F6D5E" w14:textId="77777777" w:rsidR="002A1CA2" w:rsidRPr="001A0038" w:rsidRDefault="002A1CA2" w:rsidP="00EA65BF">
      <w:pPr>
        <w:spacing w:after="0" w:line="240" w:lineRule="auto"/>
        <w:rPr>
          <w:rFonts w:ascii="Times New Roman" w:hAnsi="Times New Roman" w:cs="Times New Roman"/>
          <w:sz w:val="20"/>
          <w:szCs w:val="20"/>
        </w:rPr>
      </w:pPr>
    </w:p>
    <w:p w14:paraId="66234290" w14:textId="77777777" w:rsidR="002A1CA2" w:rsidRPr="001A0038" w:rsidRDefault="002A1CA2" w:rsidP="00EA65BF">
      <w:pPr>
        <w:spacing w:after="0" w:line="240" w:lineRule="auto"/>
        <w:rPr>
          <w:rFonts w:ascii="Times New Roman" w:hAnsi="Times New Roman" w:cs="Times New Roman"/>
          <w:sz w:val="20"/>
          <w:szCs w:val="20"/>
        </w:rPr>
      </w:pPr>
    </w:p>
    <w:p w14:paraId="0C11DDAB" w14:textId="77777777" w:rsidR="002A1CA2" w:rsidRPr="001A0038" w:rsidRDefault="002A1CA2" w:rsidP="00EA65BF">
      <w:pPr>
        <w:spacing w:after="0" w:line="240" w:lineRule="auto"/>
        <w:rPr>
          <w:rFonts w:ascii="Times New Roman" w:hAnsi="Times New Roman" w:cs="Times New Roman"/>
          <w:sz w:val="20"/>
          <w:szCs w:val="20"/>
        </w:rPr>
      </w:pPr>
    </w:p>
    <w:p w14:paraId="36EA5BBC" w14:textId="77777777" w:rsidR="002A1CA2" w:rsidRPr="001A0038" w:rsidRDefault="002A1CA2" w:rsidP="00EA65BF">
      <w:pPr>
        <w:spacing w:after="0" w:line="240" w:lineRule="auto"/>
        <w:rPr>
          <w:rFonts w:ascii="Times New Roman" w:hAnsi="Times New Roman" w:cs="Times New Roman"/>
          <w:sz w:val="20"/>
          <w:szCs w:val="20"/>
        </w:rPr>
      </w:pPr>
    </w:p>
    <w:p w14:paraId="189D6AEC" w14:textId="77777777" w:rsidR="002A1CA2" w:rsidRPr="001A0038" w:rsidRDefault="002A1CA2" w:rsidP="00EA65BF">
      <w:pPr>
        <w:spacing w:after="0" w:line="240" w:lineRule="auto"/>
        <w:rPr>
          <w:rFonts w:ascii="Times New Roman" w:hAnsi="Times New Roman" w:cs="Times New Roman"/>
          <w:sz w:val="20"/>
          <w:szCs w:val="20"/>
        </w:rPr>
      </w:pPr>
    </w:p>
    <w:p w14:paraId="4277A76C" w14:textId="77777777" w:rsidR="002A1CA2" w:rsidRPr="001A0038" w:rsidRDefault="002A1CA2" w:rsidP="00EA65BF">
      <w:pPr>
        <w:spacing w:after="0" w:line="240" w:lineRule="auto"/>
        <w:rPr>
          <w:rFonts w:ascii="Times New Roman" w:hAnsi="Times New Roman" w:cs="Times New Roman"/>
          <w:sz w:val="20"/>
          <w:szCs w:val="20"/>
        </w:rPr>
      </w:pPr>
    </w:p>
    <w:p w14:paraId="636E4BBA" w14:textId="77777777" w:rsidR="002A1CA2" w:rsidRPr="001A0038" w:rsidRDefault="002A1CA2" w:rsidP="00EA65BF">
      <w:pPr>
        <w:spacing w:after="0" w:line="240" w:lineRule="auto"/>
        <w:rPr>
          <w:rFonts w:ascii="Times New Roman" w:hAnsi="Times New Roman" w:cs="Times New Roman"/>
          <w:sz w:val="20"/>
          <w:szCs w:val="20"/>
        </w:rPr>
      </w:pPr>
    </w:p>
    <w:p w14:paraId="7BED7C6E" w14:textId="77777777" w:rsidR="002A1CA2" w:rsidRPr="001A0038" w:rsidRDefault="002A1CA2" w:rsidP="00EA65BF">
      <w:pPr>
        <w:spacing w:after="0" w:line="240" w:lineRule="auto"/>
        <w:rPr>
          <w:rFonts w:ascii="Times New Roman" w:hAnsi="Times New Roman" w:cs="Times New Roman"/>
          <w:sz w:val="20"/>
          <w:szCs w:val="20"/>
        </w:rPr>
      </w:pPr>
    </w:p>
    <w:p w14:paraId="78FA5E9C" w14:textId="77777777" w:rsidR="002A1CA2" w:rsidRPr="001A0038" w:rsidRDefault="002A1CA2" w:rsidP="00EA65BF">
      <w:pPr>
        <w:spacing w:after="0" w:line="240" w:lineRule="auto"/>
        <w:rPr>
          <w:rFonts w:ascii="Times New Roman" w:hAnsi="Times New Roman" w:cs="Times New Roman"/>
          <w:sz w:val="20"/>
          <w:szCs w:val="20"/>
        </w:rPr>
      </w:pPr>
    </w:p>
    <w:p w14:paraId="5066162A" w14:textId="77777777" w:rsidR="002A1CA2" w:rsidRPr="001A0038" w:rsidRDefault="002A1CA2" w:rsidP="00EA65BF">
      <w:pPr>
        <w:spacing w:after="0" w:line="240" w:lineRule="auto"/>
        <w:rPr>
          <w:rFonts w:ascii="Times New Roman" w:hAnsi="Times New Roman" w:cs="Times New Roman"/>
          <w:sz w:val="20"/>
          <w:szCs w:val="20"/>
        </w:rPr>
      </w:pPr>
    </w:p>
    <w:p w14:paraId="2FDCF3C8" w14:textId="77777777" w:rsidR="002A1CA2" w:rsidRPr="001A0038" w:rsidRDefault="002A1CA2" w:rsidP="00EA65BF">
      <w:pPr>
        <w:spacing w:after="0" w:line="240" w:lineRule="auto"/>
        <w:rPr>
          <w:rFonts w:ascii="Times New Roman" w:hAnsi="Times New Roman" w:cs="Times New Roman"/>
          <w:sz w:val="20"/>
          <w:szCs w:val="20"/>
        </w:rPr>
      </w:pPr>
    </w:p>
    <w:p w14:paraId="7D4FD10D" w14:textId="0005339E" w:rsidR="002A1CA2" w:rsidRPr="001A0038" w:rsidRDefault="002A1CA2" w:rsidP="00EA65BF">
      <w:pPr>
        <w:spacing w:after="0" w:line="240" w:lineRule="auto"/>
        <w:rPr>
          <w:rFonts w:ascii="Times New Roman" w:hAnsi="Times New Roman" w:cs="Times New Roman"/>
          <w:sz w:val="20"/>
          <w:szCs w:val="20"/>
        </w:rPr>
      </w:pPr>
    </w:p>
    <w:p w14:paraId="6299F50F" w14:textId="475B3749" w:rsidR="00EA65BF" w:rsidRPr="001A0038" w:rsidRDefault="00EA65BF" w:rsidP="00EA65BF">
      <w:pPr>
        <w:spacing w:after="0" w:line="240" w:lineRule="auto"/>
        <w:rPr>
          <w:rFonts w:ascii="Times New Roman" w:hAnsi="Times New Roman" w:cs="Times New Roman"/>
          <w:sz w:val="20"/>
          <w:szCs w:val="20"/>
        </w:rPr>
      </w:pPr>
    </w:p>
    <w:p w14:paraId="1164D65F" w14:textId="42D0773B" w:rsidR="00EA65BF" w:rsidRPr="001A0038" w:rsidRDefault="00EA65BF" w:rsidP="00EA65BF">
      <w:pPr>
        <w:spacing w:after="0" w:line="240" w:lineRule="auto"/>
        <w:rPr>
          <w:rFonts w:ascii="Times New Roman" w:hAnsi="Times New Roman" w:cs="Times New Roman"/>
          <w:sz w:val="20"/>
          <w:szCs w:val="20"/>
        </w:rPr>
      </w:pPr>
    </w:p>
    <w:p w14:paraId="527AFCFB" w14:textId="53480E43" w:rsidR="0066797C" w:rsidRPr="001A0038" w:rsidRDefault="0066797C" w:rsidP="00EA65BF">
      <w:pPr>
        <w:spacing w:after="0" w:line="240" w:lineRule="auto"/>
        <w:rPr>
          <w:rFonts w:ascii="Times New Roman" w:hAnsi="Times New Roman" w:cs="Times New Roman"/>
          <w:sz w:val="20"/>
          <w:szCs w:val="20"/>
        </w:rPr>
      </w:pPr>
    </w:p>
    <w:p w14:paraId="0E57FB75" w14:textId="77777777" w:rsidR="0066797C" w:rsidRPr="001A0038" w:rsidRDefault="0066797C" w:rsidP="00EA65BF">
      <w:pPr>
        <w:spacing w:after="0" w:line="240" w:lineRule="auto"/>
        <w:rPr>
          <w:rFonts w:ascii="Times New Roman" w:hAnsi="Times New Roman" w:cs="Times New Roman"/>
          <w:sz w:val="20"/>
          <w:szCs w:val="20"/>
        </w:rPr>
      </w:pPr>
    </w:p>
    <w:p w14:paraId="37BC534A" w14:textId="4ED4146D" w:rsidR="00EA65BF" w:rsidRPr="001A0038" w:rsidRDefault="00EA65BF" w:rsidP="00EA65BF">
      <w:pPr>
        <w:spacing w:after="0" w:line="240" w:lineRule="auto"/>
        <w:rPr>
          <w:rFonts w:ascii="Times New Roman" w:hAnsi="Times New Roman" w:cs="Times New Roman"/>
          <w:sz w:val="20"/>
          <w:szCs w:val="20"/>
        </w:rPr>
      </w:pPr>
    </w:p>
    <w:p w14:paraId="39206B92" w14:textId="2BCB8EF1" w:rsidR="00EA65BF" w:rsidRPr="001A0038" w:rsidRDefault="00EA65BF" w:rsidP="00EA65BF">
      <w:pPr>
        <w:spacing w:after="0" w:line="240" w:lineRule="auto"/>
        <w:rPr>
          <w:rFonts w:ascii="Times New Roman" w:hAnsi="Times New Roman" w:cs="Times New Roman"/>
          <w:sz w:val="20"/>
          <w:szCs w:val="20"/>
        </w:rPr>
      </w:pPr>
    </w:p>
    <w:p w14:paraId="3B37714B" w14:textId="5902177F" w:rsidR="00EA65BF" w:rsidRPr="001A0038" w:rsidRDefault="00EA65BF" w:rsidP="00EA65BF">
      <w:pPr>
        <w:spacing w:after="0" w:line="240" w:lineRule="auto"/>
        <w:rPr>
          <w:rFonts w:ascii="Times New Roman" w:hAnsi="Times New Roman" w:cs="Times New Roman"/>
          <w:sz w:val="20"/>
          <w:szCs w:val="20"/>
        </w:rPr>
      </w:pPr>
    </w:p>
    <w:p w14:paraId="404C4764" w14:textId="495BA284" w:rsidR="00EA65BF" w:rsidRPr="001A0038" w:rsidRDefault="00EA65BF" w:rsidP="00EA65BF">
      <w:pPr>
        <w:spacing w:after="0" w:line="240" w:lineRule="auto"/>
        <w:rPr>
          <w:rFonts w:ascii="Times New Roman" w:hAnsi="Times New Roman" w:cs="Times New Roman"/>
          <w:sz w:val="20"/>
          <w:szCs w:val="20"/>
        </w:rPr>
      </w:pPr>
    </w:p>
    <w:p w14:paraId="5B767DF7" w14:textId="6BCB48AA" w:rsidR="00EA65BF" w:rsidRPr="001A0038" w:rsidRDefault="00EA65BF" w:rsidP="00EA65BF">
      <w:pPr>
        <w:spacing w:after="0" w:line="240" w:lineRule="auto"/>
        <w:rPr>
          <w:rFonts w:ascii="Times New Roman" w:hAnsi="Times New Roman" w:cs="Times New Roman"/>
          <w:sz w:val="20"/>
          <w:szCs w:val="20"/>
        </w:rPr>
      </w:pPr>
    </w:p>
    <w:p w14:paraId="70AF9D16" w14:textId="1C2A5499" w:rsidR="00EA65BF" w:rsidRPr="001A0038" w:rsidRDefault="00EA65BF" w:rsidP="00EA65BF">
      <w:pPr>
        <w:spacing w:after="0" w:line="240" w:lineRule="auto"/>
        <w:rPr>
          <w:rFonts w:ascii="Times New Roman" w:hAnsi="Times New Roman" w:cs="Times New Roman"/>
          <w:sz w:val="20"/>
          <w:szCs w:val="20"/>
        </w:rPr>
      </w:pPr>
    </w:p>
    <w:p w14:paraId="1EFC31F3" w14:textId="4C14EBE0" w:rsidR="00EA65BF" w:rsidRPr="001A0038" w:rsidRDefault="00EA65BF" w:rsidP="00EA65BF">
      <w:pPr>
        <w:spacing w:after="0" w:line="240" w:lineRule="auto"/>
        <w:rPr>
          <w:rFonts w:ascii="Times New Roman" w:hAnsi="Times New Roman" w:cs="Times New Roman"/>
          <w:sz w:val="20"/>
          <w:szCs w:val="20"/>
        </w:rPr>
      </w:pPr>
    </w:p>
    <w:p w14:paraId="59A9DDD8" w14:textId="64B08FC4" w:rsidR="00EA65BF" w:rsidRPr="001A0038" w:rsidRDefault="00EA65BF" w:rsidP="00EA65BF">
      <w:pPr>
        <w:spacing w:after="0" w:line="240" w:lineRule="auto"/>
        <w:rPr>
          <w:rFonts w:ascii="Times New Roman" w:hAnsi="Times New Roman" w:cs="Times New Roman"/>
          <w:sz w:val="20"/>
          <w:szCs w:val="20"/>
        </w:rPr>
      </w:pPr>
    </w:p>
    <w:p w14:paraId="64884C69" w14:textId="77777777" w:rsidR="00EA65BF" w:rsidRPr="001A0038" w:rsidRDefault="00EA65BF" w:rsidP="00EA65BF">
      <w:pPr>
        <w:spacing w:after="0" w:line="240" w:lineRule="auto"/>
        <w:rPr>
          <w:rFonts w:ascii="Times New Roman" w:hAnsi="Times New Roman" w:cs="Times New Roman"/>
          <w:sz w:val="20"/>
          <w:szCs w:val="20"/>
        </w:rPr>
      </w:pPr>
    </w:p>
    <w:p w14:paraId="70DC9EE3" w14:textId="77777777" w:rsidR="002A1CA2" w:rsidRPr="001A0038" w:rsidRDefault="002A1CA2" w:rsidP="00EA65BF">
      <w:pPr>
        <w:spacing w:after="0" w:line="240" w:lineRule="auto"/>
        <w:rPr>
          <w:rFonts w:ascii="Times New Roman" w:hAnsi="Times New Roman" w:cs="Times New Roman"/>
          <w:sz w:val="20"/>
          <w:szCs w:val="20"/>
        </w:rPr>
      </w:pPr>
    </w:p>
    <w:p w14:paraId="6BD26885" w14:textId="77777777" w:rsidR="006272A6" w:rsidRDefault="006272A6" w:rsidP="00EA65BF">
      <w:pPr>
        <w:spacing w:after="0" w:line="240" w:lineRule="auto"/>
        <w:rPr>
          <w:rFonts w:ascii="Times New Roman" w:hAnsi="Times New Roman" w:cs="Times New Roman"/>
          <w:sz w:val="20"/>
          <w:szCs w:val="20"/>
          <w:u w:val="single"/>
        </w:rPr>
      </w:pPr>
    </w:p>
    <w:p w14:paraId="703BBFED" w14:textId="77777777" w:rsidR="006272A6" w:rsidRDefault="006272A6" w:rsidP="00EA65BF">
      <w:pPr>
        <w:spacing w:after="0" w:line="240" w:lineRule="auto"/>
        <w:rPr>
          <w:rFonts w:ascii="Times New Roman" w:hAnsi="Times New Roman" w:cs="Times New Roman"/>
          <w:sz w:val="20"/>
          <w:szCs w:val="20"/>
          <w:u w:val="single"/>
        </w:rPr>
      </w:pPr>
    </w:p>
    <w:p w14:paraId="68EF183B" w14:textId="77777777" w:rsidR="006272A6" w:rsidRDefault="006272A6" w:rsidP="00EA65BF">
      <w:pPr>
        <w:spacing w:after="0" w:line="240" w:lineRule="auto"/>
        <w:rPr>
          <w:rFonts w:ascii="Times New Roman" w:hAnsi="Times New Roman" w:cs="Times New Roman"/>
          <w:sz w:val="20"/>
          <w:szCs w:val="20"/>
          <w:u w:val="single"/>
        </w:rPr>
      </w:pPr>
    </w:p>
    <w:p w14:paraId="002E14DE" w14:textId="77777777" w:rsidR="006272A6" w:rsidRDefault="006272A6" w:rsidP="00EA65BF">
      <w:pPr>
        <w:spacing w:after="0" w:line="240" w:lineRule="auto"/>
        <w:rPr>
          <w:rFonts w:ascii="Times New Roman" w:hAnsi="Times New Roman" w:cs="Times New Roman"/>
          <w:sz w:val="20"/>
          <w:szCs w:val="20"/>
          <w:u w:val="single"/>
        </w:rPr>
      </w:pPr>
    </w:p>
    <w:p w14:paraId="5F6A2D1F" w14:textId="77777777" w:rsidR="006272A6" w:rsidRDefault="006272A6" w:rsidP="00EA65BF">
      <w:pPr>
        <w:spacing w:after="0" w:line="240" w:lineRule="auto"/>
        <w:rPr>
          <w:rFonts w:ascii="Times New Roman" w:hAnsi="Times New Roman" w:cs="Times New Roman"/>
          <w:sz w:val="20"/>
          <w:szCs w:val="20"/>
          <w:u w:val="single"/>
        </w:rPr>
      </w:pPr>
    </w:p>
    <w:p w14:paraId="6A8B1436" w14:textId="77777777" w:rsidR="006272A6" w:rsidRDefault="006272A6" w:rsidP="00EA65BF">
      <w:pPr>
        <w:spacing w:after="0" w:line="240" w:lineRule="auto"/>
        <w:rPr>
          <w:rFonts w:ascii="Times New Roman" w:hAnsi="Times New Roman" w:cs="Times New Roman"/>
          <w:sz w:val="20"/>
          <w:szCs w:val="20"/>
          <w:u w:val="single"/>
        </w:rPr>
      </w:pPr>
    </w:p>
    <w:p w14:paraId="5202F24F" w14:textId="77777777" w:rsidR="006272A6" w:rsidRDefault="006272A6" w:rsidP="00EA65BF">
      <w:pPr>
        <w:spacing w:after="0" w:line="240" w:lineRule="auto"/>
        <w:rPr>
          <w:rFonts w:ascii="Times New Roman" w:hAnsi="Times New Roman" w:cs="Times New Roman"/>
          <w:sz w:val="20"/>
          <w:szCs w:val="20"/>
          <w:u w:val="single"/>
        </w:rPr>
      </w:pPr>
    </w:p>
    <w:p w14:paraId="3C786EB4" w14:textId="77777777" w:rsidR="006272A6" w:rsidRDefault="006272A6" w:rsidP="00EA65BF">
      <w:pPr>
        <w:spacing w:after="0" w:line="240" w:lineRule="auto"/>
        <w:rPr>
          <w:rFonts w:ascii="Times New Roman" w:hAnsi="Times New Roman" w:cs="Times New Roman"/>
          <w:sz w:val="20"/>
          <w:szCs w:val="20"/>
          <w:u w:val="single"/>
        </w:rPr>
      </w:pPr>
    </w:p>
    <w:p w14:paraId="543F9529" w14:textId="77777777" w:rsidR="006272A6" w:rsidRDefault="006272A6" w:rsidP="00EA65BF">
      <w:pPr>
        <w:spacing w:after="0" w:line="240" w:lineRule="auto"/>
        <w:rPr>
          <w:rFonts w:ascii="Times New Roman" w:hAnsi="Times New Roman" w:cs="Times New Roman"/>
          <w:sz w:val="20"/>
          <w:szCs w:val="20"/>
          <w:u w:val="single"/>
        </w:rPr>
      </w:pPr>
    </w:p>
    <w:p w14:paraId="0728A485" w14:textId="77777777" w:rsidR="006272A6" w:rsidRDefault="006272A6" w:rsidP="00EA65BF">
      <w:pPr>
        <w:spacing w:after="0" w:line="240" w:lineRule="auto"/>
        <w:rPr>
          <w:rFonts w:ascii="Times New Roman" w:hAnsi="Times New Roman" w:cs="Times New Roman"/>
          <w:sz w:val="20"/>
          <w:szCs w:val="20"/>
          <w:u w:val="single"/>
        </w:rPr>
      </w:pPr>
    </w:p>
    <w:p w14:paraId="4BF3A6E1" w14:textId="77777777" w:rsidR="006272A6" w:rsidRDefault="006272A6" w:rsidP="00EA65BF">
      <w:pPr>
        <w:spacing w:after="0" w:line="240" w:lineRule="auto"/>
        <w:rPr>
          <w:rFonts w:ascii="Times New Roman" w:hAnsi="Times New Roman" w:cs="Times New Roman"/>
          <w:sz w:val="20"/>
          <w:szCs w:val="20"/>
          <w:u w:val="single"/>
        </w:rPr>
      </w:pPr>
    </w:p>
    <w:p w14:paraId="44F2E578" w14:textId="77777777" w:rsidR="006272A6" w:rsidRDefault="006272A6" w:rsidP="00EA65BF">
      <w:pPr>
        <w:spacing w:after="0" w:line="240" w:lineRule="auto"/>
        <w:rPr>
          <w:rFonts w:ascii="Times New Roman" w:hAnsi="Times New Roman" w:cs="Times New Roman"/>
          <w:sz w:val="20"/>
          <w:szCs w:val="20"/>
          <w:u w:val="single"/>
        </w:rPr>
      </w:pPr>
    </w:p>
    <w:p w14:paraId="594866E9" w14:textId="77777777" w:rsidR="006272A6" w:rsidRDefault="006272A6" w:rsidP="00EA65BF">
      <w:pPr>
        <w:spacing w:after="0" w:line="240" w:lineRule="auto"/>
        <w:rPr>
          <w:rFonts w:ascii="Times New Roman" w:hAnsi="Times New Roman" w:cs="Times New Roman"/>
          <w:sz w:val="20"/>
          <w:szCs w:val="20"/>
          <w:u w:val="single"/>
        </w:rPr>
      </w:pPr>
    </w:p>
    <w:p w14:paraId="3A1F2C10" w14:textId="77777777" w:rsidR="006272A6" w:rsidRDefault="006272A6" w:rsidP="00EA65BF">
      <w:pPr>
        <w:spacing w:after="0" w:line="240" w:lineRule="auto"/>
        <w:rPr>
          <w:rFonts w:ascii="Times New Roman" w:hAnsi="Times New Roman" w:cs="Times New Roman"/>
          <w:sz w:val="20"/>
          <w:szCs w:val="20"/>
          <w:u w:val="single"/>
        </w:rPr>
      </w:pPr>
    </w:p>
    <w:p w14:paraId="2DB17F53" w14:textId="77777777" w:rsidR="006272A6" w:rsidRDefault="006272A6" w:rsidP="00EA65BF">
      <w:pPr>
        <w:spacing w:after="0" w:line="240" w:lineRule="auto"/>
        <w:rPr>
          <w:rFonts w:ascii="Times New Roman" w:hAnsi="Times New Roman" w:cs="Times New Roman"/>
          <w:sz w:val="20"/>
          <w:szCs w:val="20"/>
          <w:u w:val="single"/>
        </w:rPr>
      </w:pPr>
    </w:p>
    <w:p w14:paraId="5C7B4A6F" w14:textId="77777777" w:rsidR="006272A6" w:rsidRDefault="006272A6" w:rsidP="00EA65BF">
      <w:pPr>
        <w:spacing w:after="0" w:line="240" w:lineRule="auto"/>
        <w:rPr>
          <w:rFonts w:ascii="Times New Roman" w:hAnsi="Times New Roman" w:cs="Times New Roman"/>
          <w:sz w:val="20"/>
          <w:szCs w:val="20"/>
          <w:u w:val="single"/>
        </w:rPr>
      </w:pPr>
    </w:p>
    <w:p w14:paraId="2D4A06D0" w14:textId="77777777" w:rsidR="006272A6" w:rsidRDefault="006272A6" w:rsidP="00EA65BF">
      <w:pPr>
        <w:spacing w:after="0" w:line="240" w:lineRule="auto"/>
        <w:rPr>
          <w:rFonts w:ascii="Times New Roman" w:hAnsi="Times New Roman" w:cs="Times New Roman"/>
          <w:sz w:val="20"/>
          <w:szCs w:val="20"/>
          <w:u w:val="single"/>
        </w:rPr>
      </w:pPr>
    </w:p>
    <w:p w14:paraId="2DDB87D7" w14:textId="77777777" w:rsidR="006272A6" w:rsidRDefault="006272A6" w:rsidP="00EA65BF">
      <w:pPr>
        <w:spacing w:after="0" w:line="240" w:lineRule="auto"/>
        <w:rPr>
          <w:rFonts w:ascii="Times New Roman" w:hAnsi="Times New Roman" w:cs="Times New Roman"/>
          <w:sz w:val="20"/>
          <w:szCs w:val="20"/>
          <w:u w:val="single"/>
        </w:rPr>
      </w:pPr>
    </w:p>
    <w:p w14:paraId="76C9A0E8" w14:textId="77777777" w:rsidR="006272A6" w:rsidRDefault="006272A6" w:rsidP="00EA65BF">
      <w:pPr>
        <w:spacing w:after="0" w:line="240" w:lineRule="auto"/>
        <w:rPr>
          <w:rFonts w:ascii="Times New Roman" w:hAnsi="Times New Roman" w:cs="Times New Roman"/>
          <w:sz w:val="20"/>
          <w:szCs w:val="20"/>
          <w:u w:val="single"/>
        </w:rPr>
      </w:pPr>
    </w:p>
    <w:p w14:paraId="133F4C84" w14:textId="77777777" w:rsidR="006272A6" w:rsidRDefault="006272A6" w:rsidP="00EA65BF">
      <w:pPr>
        <w:spacing w:after="0" w:line="240" w:lineRule="auto"/>
        <w:rPr>
          <w:rFonts w:ascii="Times New Roman" w:hAnsi="Times New Roman" w:cs="Times New Roman"/>
          <w:sz w:val="20"/>
          <w:szCs w:val="20"/>
          <w:u w:val="single"/>
        </w:rPr>
      </w:pPr>
    </w:p>
    <w:p w14:paraId="56702C4F" w14:textId="77777777" w:rsidR="006272A6" w:rsidRDefault="006272A6" w:rsidP="00EA65BF">
      <w:pPr>
        <w:spacing w:after="0" w:line="240" w:lineRule="auto"/>
        <w:rPr>
          <w:rFonts w:ascii="Times New Roman" w:hAnsi="Times New Roman" w:cs="Times New Roman"/>
          <w:sz w:val="20"/>
          <w:szCs w:val="20"/>
          <w:u w:val="single"/>
        </w:rPr>
      </w:pPr>
    </w:p>
    <w:p w14:paraId="22741D07" w14:textId="77777777" w:rsidR="006272A6" w:rsidRDefault="006272A6" w:rsidP="00EA65BF">
      <w:pPr>
        <w:spacing w:after="0" w:line="240" w:lineRule="auto"/>
        <w:rPr>
          <w:rFonts w:ascii="Times New Roman" w:hAnsi="Times New Roman" w:cs="Times New Roman"/>
          <w:sz w:val="20"/>
          <w:szCs w:val="20"/>
          <w:u w:val="single"/>
        </w:rPr>
      </w:pPr>
    </w:p>
    <w:p w14:paraId="658CFA8D" w14:textId="77777777" w:rsidR="006272A6" w:rsidRDefault="006272A6" w:rsidP="00EA65BF">
      <w:pPr>
        <w:spacing w:after="0" w:line="240" w:lineRule="auto"/>
        <w:rPr>
          <w:rFonts w:ascii="Times New Roman" w:hAnsi="Times New Roman" w:cs="Times New Roman"/>
          <w:sz w:val="20"/>
          <w:szCs w:val="20"/>
          <w:u w:val="single"/>
        </w:rPr>
      </w:pPr>
    </w:p>
    <w:p w14:paraId="5C6F3C7E" w14:textId="77777777" w:rsidR="006272A6" w:rsidRDefault="006272A6" w:rsidP="00EA65BF">
      <w:pPr>
        <w:spacing w:after="0" w:line="240" w:lineRule="auto"/>
        <w:rPr>
          <w:rFonts w:ascii="Times New Roman" w:hAnsi="Times New Roman" w:cs="Times New Roman"/>
          <w:sz w:val="20"/>
          <w:szCs w:val="20"/>
          <w:u w:val="single"/>
        </w:rPr>
      </w:pPr>
    </w:p>
    <w:p w14:paraId="61CD50AB" w14:textId="3270A67C" w:rsidR="007E3E25" w:rsidRPr="001A0038" w:rsidRDefault="002A1CA2" w:rsidP="00EA65BF">
      <w:pPr>
        <w:spacing w:after="0" w:line="240" w:lineRule="auto"/>
        <w:rPr>
          <w:rFonts w:ascii="Times New Roman" w:hAnsi="Times New Roman" w:cs="Times New Roman"/>
          <w:sz w:val="20"/>
          <w:szCs w:val="20"/>
          <w:u w:val="single"/>
        </w:rPr>
      </w:pPr>
      <w:r w:rsidRPr="001A0038">
        <w:rPr>
          <w:rFonts w:ascii="Times New Roman" w:hAnsi="Times New Roman" w:cs="Times New Roman"/>
          <w:sz w:val="20"/>
          <w:szCs w:val="20"/>
          <w:u w:val="single"/>
        </w:rPr>
        <w:lastRenderedPageBreak/>
        <w:t>Ievads</w:t>
      </w:r>
    </w:p>
    <w:p w14:paraId="321C1CF2" w14:textId="77777777" w:rsidR="00394F67" w:rsidRPr="001A0038" w:rsidRDefault="00394F67" w:rsidP="00EA65BF">
      <w:pPr>
        <w:spacing w:after="0" w:line="240" w:lineRule="auto"/>
        <w:jc w:val="both"/>
        <w:rPr>
          <w:rFonts w:ascii="Times New Roman" w:hAnsi="Times New Roman" w:cs="Times New Roman"/>
          <w:sz w:val="20"/>
          <w:szCs w:val="20"/>
        </w:rPr>
      </w:pPr>
    </w:p>
    <w:p w14:paraId="03100B8F" w14:textId="77777777" w:rsidR="00F53AD0" w:rsidRPr="00F53AD0" w:rsidRDefault="00F53AD0" w:rsidP="00F53AD0">
      <w:pPr>
        <w:spacing w:after="0" w:line="240" w:lineRule="auto"/>
        <w:jc w:val="both"/>
        <w:rPr>
          <w:rFonts w:ascii="Times New Roman" w:hAnsi="Times New Roman" w:cs="Times New Roman"/>
          <w:sz w:val="20"/>
          <w:szCs w:val="20"/>
        </w:rPr>
      </w:pPr>
      <w:r w:rsidRPr="00F53AD0">
        <w:rPr>
          <w:rFonts w:ascii="Times New Roman" w:hAnsi="Times New Roman" w:cs="Times New Roman"/>
          <w:sz w:val="20"/>
          <w:szCs w:val="20"/>
        </w:rPr>
        <w:t>Akciju sabiedrības „Latvijas Jūras medicīnas centrs" (turpmāk – Sabiedrības) atalgojuma ziņojums par 2022.gadu ir sagatavots saskaņā ar Sabiedrības akcionāru sapulces 2020.gada 30. novembra lēmumā apstiprināto Valdes un Padomes locekļu atalgojuma politiku, kas ir izstrādāta, pamatojoties uz Eiropas Parlamenta un Padomes Direktīvas (ES) 2017/828 attiecibā uz akcionāru ilgtermiņa iesaistīšanas veicināšanu, kā arī Latvijas Republikas Finanšu instrumentu tirgus likuma 59.3 pantā, ar ko tiek ievesta minēta direktīva, noteikto.</w:t>
      </w:r>
    </w:p>
    <w:p w14:paraId="19981E1B" w14:textId="77777777" w:rsidR="00F53AD0" w:rsidRPr="00F53AD0" w:rsidRDefault="00F53AD0" w:rsidP="00F53AD0">
      <w:pPr>
        <w:spacing w:after="0" w:line="240" w:lineRule="auto"/>
        <w:jc w:val="both"/>
        <w:rPr>
          <w:rFonts w:ascii="Times New Roman" w:hAnsi="Times New Roman" w:cs="Times New Roman"/>
          <w:sz w:val="20"/>
          <w:szCs w:val="20"/>
        </w:rPr>
      </w:pPr>
    </w:p>
    <w:p w14:paraId="7BC7AB47" w14:textId="77777777" w:rsidR="00F53AD0" w:rsidRPr="00F53AD0" w:rsidRDefault="00F53AD0" w:rsidP="00F53AD0">
      <w:pPr>
        <w:spacing w:after="0" w:line="240" w:lineRule="auto"/>
        <w:jc w:val="both"/>
        <w:rPr>
          <w:rFonts w:ascii="Times New Roman" w:hAnsi="Times New Roman" w:cs="Times New Roman"/>
          <w:sz w:val="20"/>
          <w:szCs w:val="20"/>
        </w:rPr>
      </w:pPr>
      <w:r w:rsidRPr="00F53AD0">
        <w:rPr>
          <w:rFonts w:ascii="Times New Roman" w:hAnsi="Times New Roman" w:cs="Times New Roman"/>
          <w:sz w:val="20"/>
          <w:szCs w:val="20"/>
        </w:rPr>
        <w:t>Atalgojuma ziņojumu ir sastādījusi Sabiedrības valde un izskatījusi Sabiedrības padome. Atalgojuma ziņojums tiek izskatīts un apstiprināts akcionāru sapulcē kopā ar citām gada pārskata sastāvdaļām. Saskaņā ar LR Revīzijas pakalpojumu likumu zvērināta revidenta pienākums ir  sniegt viedokli, vai atalgojuma ziņojumā ir ietverta LR Finanšu instrumentu tirgus likuma 59.4 pantā minētā informācija un vai atalgojuma ziņojumā ir konstatētas būtiskas neatbilstības saistībā ar gada pārskatā norādīto finanšu informāciju.</w:t>
      </w:r>
    </w:p>
    <w:p w14:paraId="3602BFD9" w14:textId="77777777" w:rsidR="00F53AD0" w:rsidRPr="00F53AD0" w:rsidRDefault="00F53AD0" w:rsidP="00F53AD0">
      <w:pPr>
        <w:spacing w:after="0" w:line="240" w:lineRule="auto"/>
        <w:jc w:val="both"/>
        <w:rPr>
          <w:rFonts w:ascii="Times New Roman" w:hAnsi="Times New Roman" w:cs="Times New Roman"/>
          <w:sz w:val="20"/>
          <w:szCs w:val="20"/>
        </w:rPr>
      </w:pPr>
    </w:p>
    <w:p w14:paraId="56CFB6C5" w14:textId="2286C7D1" w:rsidR="00EA65BF" w:rsidRPr="001A0038" w:rsidRDefault="00F53AD0" w:rsidP="00F53AD0">
      <w:pPr>
        <w:spacing w:after="0" w:line="240" w:lineRule="auto"/>
        <w:jc w:val="both"/>
        <w:rPr>
          <w:rFonts w:ascii="Times New Roman" w:hAnsi="Times New Roman" w:cs="Times New Roman"/>
          <w:strike/>
          <w:sz w:val="20"/>
          <w:szCs w:val="20"/>
          <w:highlight w:val="yellow"/>
        </w:rPr>
      </w:pPr>
      <w:r w:rsidRPr="00F53AD0">
        <w:rPr>
          <w:rFonts w:ascii="Times New Roman" w:hAnsi="Times New Roman" w:cs="Times New Roman"/>
          <w:sz w:val="20"/>
          <w:szCs w:val="20"/>
        </w:rPr>
        <w:t xml:space="preserve">Atalgojuma ziņojums vienlaicīgi ar revidēto Sabiedrības gada pārskatu, kā atsevišķa gada pārskata sastāvdaļa, tiek publicēts latviešu un angļu valodās Sabiedrības tīmekļa vietnē: sadaļā „Atalgojuma ziņojums", kā ari Nasdaq </w:t>
      </w:r>
      <w:proofErr w:type="spellStart"/>
      <w:r w:rsidRPr="00F53AD0">
        <w:rPr>
          <w:rFonts w:ascii="Times New Roman" w:hAnsi="Times New Roman" w:cs="Times New Roman"/>
          <w:sz w:val="20"/>
          <w:szCs w:val="20"/>
        </w:rPr>
        <w:t>Riga</w:t>
      </w:r>
      <w:proofErr w:type="spellEnd"/>
      <w:r w:rsidRPr="00F53AD0">
        <w:rPr>
          <w:rFonts w:ascii="Times New Roman" w:hAnsi="Times New Roman" w:cs="Times New Roman"/>
          <w:sz w:val="20"/>
          <w:szCs w:val="20"/>
        </w:rPr>
        <w:t xml:space="preserve"> tīmekļa vietnē: http://www.nasdaqbaltic.com.</w:t>
      </w:r>
    </w:p>
    <w:p w14:paraId="6D0FE492" w14:textId="05B9629C" w:rsidR="002A1CA2" w:rsidRPr="001A0038" w:rsidRDefault="002A1CA2" w:rsidP="00EA65BF">
      <w:pPr>
        <w:spacing w:after="0" w:line="240" w:lineRule="auto"/>
        <w:rPr>
          <w:rFonts w:ascii="Times New Roman" w:hAnsi="Times New Roman" w:cs="Times New Roman"/>
          <w:sz w:val="20"/>
          <w:szCs w:val="20"/>
        </w:rPr>
      </w:pPr>
    </w:p>
    <w:p w14:paraId="416A7ACE" w14:textId="77777777" w:rsidR="006272A6" w:rsidRDefault="006272A6" w:rsidP="00EA65BF">
      <w:pPr>
        <w:spacing w:after="0" w:line="240" w:lineRule="auto"/>
        <w:rPr>
          <w:rFonts w:ascii="Times New Roman" w:hAnsi="Times New Roman" w:cs="Times New Roman"/>
          <w:sz w:val="20"/>
          <w:szCs w:val="20"/>
          <w:u w:val="single"/>
        </w:rPr>
      </w:pPr>
    </w:p>
    <w:p w14:paraId="77BF0C9A" w14:textId="77777777" w:rsidR="006272A6" w:rsidRDefault="006272A6" w:rsidP="00EA65BF">
      <w:pPr>
        <w:spacing w:after="0" w:line="240" w:lineRule="auto"/>
        <w:rPr>
          <w:rFonts w:ascii="Times New Roman" w:hAnsi="Times New Roman" w:cs="Times New Roman"/>
          <w:sz w:val="20"/>
          <w:szCs w:val="20"/>
          <w:u w:val="single"/>
        </w:rPr>
      </w:pPr>
    </w:p>
    <w:p w14:paraId="53D1D847" w14:textId="77777777" w:rsidR="006272A6" w:rsidRDefault="006272A6" w:rsidP="00EA65BF">
      <w:pPr>
        <w:spacing w:after="0" w:line="240" w:lineRule="auto"/>
        <w:rPr>
          <w:rFonts w:ascii="Times New Roman" w:hAnsi="Times New Roman" w:cs="Times New Roman"/>
          <w:sz w:val="20"/>
          <w:szCs w:val="20"/>
          <w:u w:val="single"/>
        </w:rPr>
      </w:pPr>
    </w:p>
    <w:p w14:paraId="575E6C84" w14:textId="77777777" w:rsidR="006272A6" w:rsidRDefault="006272A6" w:rsidP="00EA65BF">
      <w:pPr>
        <w:spacing w:after="0" w:line="240" w:lineRule="auto"/>
        <w:rPr>
          <w:rFonts w:ascii="Times New Roman" w:hAnsi="Times New Roman" w:cs="Times New Roman"/>
          <w:sz w:val="20"/>
          <w:szCs w:val="20"/>
          <w:u w:val="single"/>
        </w:rPr>
      </w:pPr>
    </w:p>
    <w:p w14:paraId="34459E54" w14:textId="77777777" w:rsidR="006272A6" w:rsidRDefault="006272A6" w:rsidP="00EA65BF">
      <w:pPr>
        <w:spacing w:after="0" w:line="240" w:lineRule="auto"/>
        <w:rPr>
          <w:rFonts w:ascii="Times New Roman" w:hAnsi="Times New Roman" w:cs="Times New Roman"/>
          <w:sz w:val="20"/>
          <w:szCs w:val="20"/>
          <w:u w:val="single"/>
        </w:rPr>
      </w:pPr>
    </w:p>
    <w:p w14:paraId="0A7B476D" w14:textId="77777777" w:rsidR="006272A6" w:rsidRDefault="006272A6" w:rsidP="00EA65BF">
      <w:pPr>
        <w:spacing w:after="0" w:line="240" w:lineRule="auto"/>
        <w:rPr>
          <w:rFonts w:ascii="Times New Roman" w:hAnsi="Times New Roman" w:cs="Times New Roman"/>
          <w:sz w:val="20"/>
          <w:szCs w:val="20"/>
          <w:u w:val="single"/>
        </w:rPr>
      </w:pPr>
    </w:p>
    <w:p w14:paraId="7C3022AC" w14:textId="77777777" w:rsidR="006272A6" w:rsidRDefault="006272A6" w:rsidP="00EA65BF">
      <w:pPr>
        <w:spacing w:after="0" w:line="240" w:lineRule="auto"/>
        <w:rPr>
          <w:rFonts w:ascii="Times New Roman" w:hAnsi="Times New Roman" w:cs="Times New Roman"/>
          <w:sz w:val="20"/>
          <w:szCs w:val="20"/>
          <w:u w:val="single"/>
        </w:rPr>
      </w:pPr>
    </w:p>
    <w:p w14:paraId="23210AB4" w14:textId="77777777" w:rsidR="006272A6" w:rsidRDefault="006272A6" w:rsidP="00EA65BF">
      <w:pPr>
        <w:spacing w:after="0" w:line="240" w:lineRule="auto"/>
        <w:rPr>
          <w:rFonts w:ascii="Times New Roman" w:hAnsi="Times New Roman" w:cs="Times New Roman"/>
          <w:sz w:val="20"/>
          <w:szCs w:val="20"/>
          <w:u w:val="single"/>
        </w:rPr>
      </w:pPr>
    </w:p>
    <w:p w14:paraId="4D91B3E1" w14:textId="77777777" w:rsidR="006272A6" w:rsidRDefault="006272A6" w:rsidP="00EA65BF">
      <w:pPr>
        <w:spacing w:after="0" w:line="240" w:lineRule="auto"/>
        <w:rPr>
          <w:rFonts w:ascii="Times New Roman" w:hAnsi="Times New Roman" w:cs="Times New Roman"/>
          <w:sz w:val="20"/>
          <w:szCs w:val="20"/>
          <w:u w:val="single"/>
        </w:rPr>
      </w:pPr>
    </w:p>
    <w:p w14:paraId="68516C42" w14:textId="77777777" w:rsidR="006272A6" w:rsidRDefault="006272A6" w:rsidP="00EA65BF">
      <w:pPr>
        <w:spacing w:after="0" w:line="240" w:lineRule="auto"/>
        <w:rPr>
          <w:rFonts w:ascii="Times New Roman" w:hAnsi="Times New Roman" w:cs="Times New Roman"/>
          <w:sz w:val="20"/>
          <w:szCs w:val="20"/>
          <w:u w:val="single"/>
        </w:rPr>
      </w:pPr>
    </w:p>
    <w:p w14:paraId="6CC765D8" w14:textId="77777777" w:rsidR="006272A6" w:rsidRDefault="006272A6" w:rsidP="00EA65BF">
      <w:pPr>
        <w:spacing w:after="0" w:line="240" w:lineRule="auto"/>
        <w:rPr>
          <w:rFonts w:ascii="Times New Roman" w:hAnsi="Times New Roman" w:cs="Times New Roman"/>
          <w:sz w:val="20"/>
          <w:szCs w:val="20"/>
          <w:u w:val="single"/>
        </w:rPr>
      </w:pPr>
    </w:p>
    <w:p w14:paraId="2C53D23C" w14:textId="77777777" w:rsidR="006272A6" w:rsidRDefault="006272A6" w:rsidP="00EA65BF">
      <w:pPr>
        <w:spacing w:after="0" w:line="240" w:lineRule="auto"/>
        <w:rPr>
          <w:rFonts w:ascii="Times New Roman" w:hAnsi="Times New Roman" w:cs="Times New Roman"/>
          <w:sz w:val="20"/>
          <w:szCs w:val="20"/>
          <w:u w:val="single"/>
        </w:rPr>
      </w:pPr>
    </w:p>
    <w:p w14:paraId="0C0970B6" w14:textId="77777777" w:rsidR="006272A6" w:rsidRDefault="006272A6" w:rsidP="00EA65BF">
      <w:pPr>
        <w:spacing w:after="0" w:line="240" w:lineRule="auto"/>
        <w:rPr>
          <w:rFonts w:ascii="Times New Roman" w:hAnsi="Times New Roman" w:cs="Times New Roman"/>
          <w:sz w:val="20"/>
          <w:szCs w:val="20"/>
          <w:u w:val="single"/>
        </w:rPr>
      </w:pPr>
    </w:p>
    <w:p w14:paraId="6458CB23" w14:textId="77777777" w:rsidR="006272A6" w:rsidRDefault="006272A6" w:rsidP="00EA65BF">
      <w:pPr>
        <w:spacing w:after="0" w:line="240" w:lineRule="auto"/>
        <w:rPr>
          <w:rFonts w:ascii="Times New Roman" w:hAnsi="Times New Roman" w:cs="Times New Roman"/>
          <w:sz w:val="20"/>
          <w:szCs w:val="20"/>
          <w:u w:val="single"/>
        </w:rPr>
      </w:pPr>
    </w:p>
    <w:p w14:paraId="6F39B8F8" w14:textId="77777777" w:rsidR="006272A6" w:rsidRDefault="006272A6" w:rsidP="00EA65BF">
      <w:pPr>
        <w:spacing w:after="0" w:line="240" w:lineRule="auto"/>
        <w:rPr>
          <w:rFonts w:ascii="Times New Roman" w:hAnsi="Times New Roman" w:cs="Times New Roman"/>
          <w:sz w:val="20"/>
          <w:szCs w:val="20"/>
          <w:u w:val="single"/>
        </w:rPr>
      </w:pPr>
    </w:p>
    <w:p w14:paraId="23D17C29" w14:textId="77777777" w:rsidR="006272A6" w:rsidRDefault="006272A6" w:rsidP="00EA65BF">
      <w:pPr>
        <w:spacing w:after="0" w:line="240" w:lineRule="auto"/>
        <w:rPr>
          <w:rFonts w:ascii="Times New Roman" w:hAnsi="Times New Roman" w:cs="Times New Roman"/>
          <w:sz w:val="20"/>
          <w:szCs w:val="20"/>
          <w:u w:val="single"/>
        </w:rPr>
      </w:pPr>
    </w:p>
    <w:p w14:paraId="0A8DF0BA" w14:textId="77777777" w:rsidR="006272A6" w:rsidRDefault="006272A6" w:rsidP="00EA65BF">
      <w:pPr>
        <w:spacing w:after="0" w:line="240" w:lineRule="auto"/>
        <w:rPr>
          <w:rFonts w:ascii="Times New Roman" w:hAnsi="Times New Roman" w:cs="Times New Roman"/>
          <w:sz w:val="20"/>
          <w:szCs w:val="20"/>
          <w:u w:val="single"/>
        </w:rPr>
      </w:pPr>
    </w:p>
    <w:p w14:paraId="250B34D5" w14:textId="77777777" w:rsidR="006272A6" w:rsidRDefault="006272A6" w:rsidP="00EA65BF">
      <w:pPr>
        <w:spacing w:after="0" w:line="240" w:lineRule="auto"/>
        <w:rPr>
          <w:rFonts w:ascii="Times New Roman" w:hAnsi="Times New Roman" w:cs="Times New Roman"/>
          <w:sz w:val="20"/>
          <w:szCs w:val="20"/>
          <w:u w:val="single"/>
        </w:rPr>
      </w:pPr>
    </w:p>
    <w:p w14:paraId="42688454" w14:textId="77777777" w:rsidR="006272A6" w:rsidRDefault="006272A6" w:rsidP="00EA65BF">
      <w:pPr>
        <w:spacing w:after="0" w:line="240" w:lineRule="auto"/>
        <w:rPr>
          <w:rFonts w:ascii="Times New Roman" w:hAnsi="Times New Roman" w:cs="Times New Roman"/>
          <w:sz w:val="20"/>
          <w:szCs w:val="20"/>
          <w:u w:val="single"/>
        </w:rPr>
      </w:pPr>
    </w:p>
    <w:p w14:paraId="00D56741" w14:textId="77777777" w:rsidR="006272A6" w:rsidRDefault="006272A6" w:rsidP="00EA65BF">
      <w:pPr>
        <w:spacing w:after="0" w:line="240" w:lineRule="auto"/>
        <w:rPr>
          <w:rFonts w:ascii="Times New Roman" w:hAnsi="Times New Roman" w:cs="Times New Roman"/>
          <w:sz w:val="20"/>
          <w:szCs w:val="20"/>
          <w:u w:val="single"/>
        </w:rPr>
      </w:pPr>
    </w:p>
    <w:p w14:paraId="568A5986" w14:textId="77777777" w:rsidR="006272A6" w:rsidRDefault="006272A6" w:rsidP="00EA65BF">
      <w:pPr>
        <w:spacing w:after="0" w:line="240" w:lineRule="auto"/>
        <w:rPr>
          <w:rFonts w:ascii="Times New Roman" w:hAnsi="Times New Roman" w:cs="Times New Roman"/>
          <w:sz w:val="20"/>
          <w:szCs w:val="20"/>
          <w:u w:val="single"/>
        </w:rPr>
      </w:pPr>
    </w:p>
    <w:p w14:paraId="5A2E3F84" w14:textId="77777777" w:rsidR="006272A6" w:rsidRDefault="006272A6" w:rsidP="00EA65BF">
      <w:pPr>
        <w:spacing w:after="0" w:line="240" w:lineRule="auto"/>
        <w:rPr>
          <w:rFonts w:ascii="Times New Roman" w:hAnsi="Times New Roman" w:cs="Times New Roman"/>
          <w:sz w:val="20"/>
          <w:szCs w:val="20"/>
          <w:u w:val="single"/>
        </w:rPr>
      </w:pPr>
    </w:p>
    <w:p w14:paraId="433F6017" w14:textId="77777777" w:rsidR="006272A6" w:rsidRDefault="006272A6" w:rsidP="00EA65BF">
      <w:pPr>
        <w:spacing w:after="0" w:line="240" w:lineRule="auto"/>
        <w:rPr>
          <w:rFonts w:ascii="Times New Roman" w:hAnsi="Times New Roman" w:cs="Times New Roman"/>
          <w:sz w:val="20"/>
          <w:szCs w:val="20"/>
          <w:u w:val="single"/>
        </w:rPr>
      </w:pPr>
    </w:p>
    <w:p w14:paraId="0F9466BD" w14:textId="77777777" w:rsidR="006272A6" w:rsidRDefault="006272A6" w:rsidP="00EA65BF">
      <w:pPr>
        <w:spacing w:after="0" w:line="240" w:lineRule="auto"/>
        <w:rPr>
          <w:rFonts w:ascii="Times New Roman" w:hAnsi="Times New Roman" w:cs="Times New Roman"/>
          <w:sz w:val="20"/>
          <w:szCs w:val="20"/>
          <w:u w:val="single"/>
        </w:rPr>
      </w:pPr>
    </w:p>
    <w:p w14:paraId="769DBE24" w14:textId="77777777" w:rsidR="006272A6" w:rsidRDefault="006272A6" w:rsidP="00EA65BF">
      <w:pPr>
        <w:spacing w:after="0" w:line="240" w:lineRule="auto"/>
        <w:rPr>
          <w:rFonts w:ascii="Times New Roman" w:hAnsi="Times New Roman" w:cs="Times New Roman"/>
          <w:sz w:val="20"/>
          <w:szCs w:val="20"/>
          <w:u w:val="single"/>
        </w:rPr>
      </w:pPr>
    </w:p>
    <w:p w14:paraId="0215DB3D" w14:textId="77777777" w:rsidR="006272A6" w:rsidRDefault="006272A6" w:rsidP="00EA65BF">
      <w:pPr>
        <w:spacing w:after="0" w:line="240" w:lineRule="auto"/>
        <w:rPr>
          <w:rFonts w:ascii="Times New Roman" w:hAnsi="Times New Roman" w:cs="Times New Roman"/>
          <w:sz w:val="20"/>
          <w:szCs w:val="20"/>
          <w:u w:val="single"/>
        </w:rPr>
      </w:pPr>
    </w:p>
    <w:p w14:paraId="5AFBAB35" w14:textId="77777777" w:rsidR="006272A6" w:rsidRDefault="006272A6" w:rsidP="00EA65BF">
      <w:pPr>
        <w:spacing w:after="0" w:line="240" w:lineRule="auto"/>
        <w:rPr>
          <w:rFonts w:ascii="Times New Roman" w:hAnsi="Times New Roman" w:cs="Times New Roman"/>
          <w:sz w:val="20"/>
          <w:szCs w:val="20"/>
          <w:u w:val="single"/>
        </w:rPr>
      </w:pPr>
    </w:p>
    <w:p w14:paraId="5AB21FB7" w14:textId="77777777" w:rsidR="006272A6" w:rsidRDefault="006272A6" w:rsidP="00EA65BF">
      <w:pPr>
        <w:spacing w:after="0" w:line="240" w:lineRule="auto"/>
        <w:rPr>
          <w:rFonts w:ascii="Times New Roman" w:hAnsi="Times New Roman" w:cs="Times New Roman"/>
          <w:sz w:val="20"/>
          <w:szCs w:val="20"/>
          <w:u w:val="single"/>
        </w:rPr>
      </w:pPr>
    </w:p>
    <w:p w14:paraId="4D8241F1" w14:textId="77777777" w:rsidR="006272A6" w:rsidRDefault="006272A6" w:rsidP="00EA65BF">
      <w:pPr>
        <w:spacing w:after="0" w:line="240" w:lineRule="auto"/>
        <w:rPr>
          <w:rFonts w:ascii="Times New Roman" w:hAnsi="Times New Roman" w:cs="Times New Roman"/>
          <w:sz w:val="20"/>
          <w:szCs w:val="20"/>
          <w:u w:val="single"/>
        </w:rPr>
      </w:pPr>
    </w:p>
    <w:p w14:paraId="42C0A9CC" w14:textId="77777777" w:rsidR="006272A6" w:rsidRDefault="006272A6" w:rsidP="00EA65BF">
      <w:pPr>
        <w:spacing w:after="0" w:line="240" w:lineRule="auto"/>
        <w:rPr>
          <w:rFonts w:ascii="Times New Roman" w:hAnsi="Times New Roman" w:cs="Times New Roman"/>
          <w:sz w:val="20"/>
          <w:szCs w:val="20"/>
          <w:u w:val="single"/>
        </w:rPr>
      </w:pPr>
    </w:p>
    <w:p w14:paraId="27789C3F" w14:textId="77777777" w:rsidR="006272A6" w:rsidRDefault="006272A6" w:rsidP="00EA65BF">
      <w:pPr>
        <w:spacing w:after="0" w:line="240" w:lineRule="auto"/>
        <w:rPr>
          <w:rFonts w:ascii="Times New Roman" w:hAnsi="Times New Roman" w:cs="Times New Roman"/>
          <w:sz w:val="20"/>
          <w:szCs w:val="20"/>
          <w:u w:val="single"/>
        </w:rPr>
      </w:pPr>
    </w:p>
    <w:p w14:paraId="2B5EAECD" w14:textId="77777777" w:rsidR="006272A6" w:rsidRDefault="006272A6" w:rsidP="00EA65BF">
      <w:pPr>
        <w:spacing w:after="0" w:line="240" w:lineRule="auto"/>
        <w:rPr>
          <w:rFonts w:ascii="Times New Roman" w:hAnsi="Times New Roman" w:cs="Times New Roman"/>
          <w:sz w:val="20"/>
          <w:szCs w:val="20"/>
          <w:u w:val="single"/>
        </w:rPr>
      </w:pPr>
    </w:p>
    <w:p w14:paraId="32CAEBC2" w14:textId="77777777" w:rsidR="006272A6" w:rsidRDefault="006272A6" w:rsidP="00EA65BF">
      <w:pPr>
        <w:spacing w:after="0" w:line="240" w:lineRule="auto"/>
        <w:rPr>
          <w:rFonts w:ascii="Times New Roman" w:hAnsi="Times New Roman" w:cs="Times New Roman"/>
          <w:sz w:val="20"/>
          <w:szCs w:val="20"/>
          <w:u w:val="single"/>
        </w:rPr>
      </w:pPr>
    </w:p>
    <w:p w14:paraId="385B3207" w14:textId="77777777" w:rsidR="006272A6" w:rsidRDefault="006272A6" w:rsidP="00EA65BF">
      <w:pPr>
        <w:spacing w:after="0" w:line="240" w:lineRule="auto"/>
        <w:rPr>
          <w:rFonts w:ascii="Times New Roman" w:hAnsi="Times New Roman" w:cs="Times New Roman"/>
          <w:sz w:val="20"/>
          <w:szCs w:val="20"/>
          <w:u w:val="single"/>
        </w:rPr>
      </w:pPr>
    </w:p>
    <w:p w14:paraId="625CFF6D" w14:textId="77777777" w:rsidR="006272A6" w:rsidRDefault="006272A6" w:rsidP="00EA65BF">
      <w:pPr>
        <w:spacing w:after="0" w:line="240" w:lineRule="auto"/>
        <w:rPr>
          <w:rFonts w:ascii="Times New Roman" w:hAnsi="Times New Roman" w:cs="Times New Roman"/>
          <w:sz w:val="20"/>
          <w:szCs w:val="20"/>
          <w:u w:val="single"/>
        </w:rPr>
      </w:pPr>
    </w:p>
    <w:p w14:paraId="6EEA597E" w14:textId="77777777" w:rsidR="006272A6" w:rsidRDefault="006272A6" w:rsidP="00EA65BF">
      <w:pPr>
        <w:spacing w:after="0" w:line="240" w:lineRule="auto"/>
        <w:rPr>
          <w:rFonts w:ascii="Times New Roman" w:hAnsi="Times New Roman" w:cs="Times New Roman"/>
          <w:sz w:val="20"/>
          <w:szCs w:val="20"/>
          <w:u w:val="single"/>
        </w:rPr>
      </w:pPr>
    </w:p>
    <w:p w14:paraId="31AE28E5" w14:textId="77777777" w:rsidR="006272A6" w:rsidRDefault="006272A6" w:rsidP="00EA65BF">
      <w:pPr>
        <w:spacing w:after="0" w:line="240" w:lineRule="auto"/>
        <w:rPr>
          <w:rFonts w:ascii="Times New Roman" w:hAnsi="Times New Roman" w:cs="Times New Roman"/>
          <w:sz w:val="20"/>
          <w:szCs w:val="20"/>
          <w:u w:val="single"/>
        </w:rPr>
      </w:pPr>
    </w:p>
    <w:p w14:paraId="697064B9" w14:textId="77777777" w:rsidR="006272A6" w:rsidRDefault="006272A6" w:rsidP="00EA65BF">
      <w:pPr>
        <w:spacing w:after="0" w:line="240" w:lineRule="auto"/>
        <w:rPr>
          <w:rFonts w:ascii="Times New Roman" w:hAnsi="Times New Roman" w:cs="Times New Roman"/>
          <w:sz w:val="20"/>
          <w:szCs w:val="20"/>
          <w:u w:val="single"/>
        </w:rPr>
      </w:pPr>
    </w:p>
    <w:p w14:paraId="5F62A0F7" w14:textId="77777777" w:rsidR="006272A6" w:rsidRDefault="006272A6" w:rsidP="00EA65BF">
      <w:pPr>
        <w:spacing w:after="0" w:line="240" w:lineRule="auto"/>
        <w:rPr>
          <w:rFonts w:ascii="Times New Roman" w:hAnsi="Times New Roman" w:cs="Times New Roman"/>
          <w:sz w:val="20"/>
          <w:szCs w:val="20"/>
          <w:u w:val="single"/>
        </w:rPr>
      </w:pPr>
    </w:p>
    <w:p w14:paraId="7AD3B6B8" w14:textId="77777777" w:rsidR="006272A6" w:rsidRDefault="006272A6" w:rsidP="00EA65BF">
      <w:pPr>
        <w:spacing w:after="0" w:line="240" w:lineRule="auto"/>
        <w:rPr>
          <w:rFonts w:ascii="Times New Roman" w:hAnsi="Times New Roman" w:cs="Times New Roman"/>
          <w:sz w:val="20"/>
          <w:szCs w:val="20"/>
          <w:u w:val="single"/>
        </w:rPr>
      </w:pPr>
    </w:p>
    <w:p w14:paraId="5DDED07B" w14:textId="77777777" w:rsidR="00FE55E4" w:rsidRDefault="00FE55E4" w:rsidP="00EA65BF">
      <w:pPr>
        <w:spacing w:after="0" w:line="240" w:lineRule="auto"/>
        <w:rPr>
          <w:rFonts w:ascii="Times New Roman" w:hAnsi="Times New Roman" w:cs="Times New Roman"/>
          <w:sz w:val="20"/>
          <w:szCs w:val="20"/>
          <w:u w:val="single"/>
        </w:rPr>
      </w:pPr>
    </w:p>
    <w:p w14:paraId="7E44D7A0" w14:textId="77777777" w:rsidR="00FE55E4" w:rsidRDefault="00FE55E4" w:rsidP="00EA65BF">
      <w:pPr>
        <w:spacing w:after="0" w:line="240" w:lineRule="auto"/>
        <w:rPr>
          <w:rFonts w:ascii="Times New Roman" w:hAnsi="Times New Roman" w:cs="Times New Roman"/>
          <w:sz w:val="20"/>
          <w:szCs w:val="20"/>
          <w:u w:val="single"/>
        </w:rPr>
      </w:pPr>
    </w:p>
    <w:p w14:paraId="50FC70D6" w14:textId="77777777" w:rsidR="00FE55E4" w:rsidRDefault="00FE55E4" w:rsidP="00EA65BF">
      <w:pPr>
        <w:spacing w:after="0" w:line="240" w:lineRule="auto"/>
        <w:rPr>
          <w:rFonts w:ascii="Times New Roman" w:hAnsi="Times New Roman" w:cs="Times New Roman"/>
          <w:sz w:val="20"/>
          <w:szCs w:val="20"/>
          <w:u w:val="single"/>
        </w:rPr>
      </w:pPr>
    </w:p>
    <w:p w14:paraId="2A76D216" w14:textId="77777777" w:rsidR="00FE55E4" w:rsidRDefault="00FE55E4" w:rsidP="00EA65BF">
      <w:pPr>
        <w:spacing w:after="0" w:line="240" w:lineRule="auto"/>
        <w:rPr>
          <w:rFonts w:ascii="Times New Roman" w:hAnsi="Times New Roman" w:cs="Times New Roman"/>
          <w:sz w:val="20"/>
          <w:szCs w:val="20"/>
          <w:u w:val="single"/>
        </w:rPr>
      </w:pPr>
    </w:p>
    <w:p w14:paraId="125621A4" w14:textId="77777777" w:rsidR="00FE55E4" w:rsidRDefault="00FE55E4" w:rsidP="00EA65BF">
      <w:pPr>
        <w:spacing w:after="0" w:line="240" w:lineRule="auto"/>
        <w:rPr>
          <w:rFonts w:ascii="Times New Roman" w:hAnsi="Times New Roman" w:cs="Times New Roman"/>
          <w:sz w:val="20"/>
          <w:szCs w:val="20"/>
          <w:u w:val="single"/>
        </w:rPr>
      </w:pPr>
    </w:p>
    <w:p w14:paraId="0D2B1242" w14:textId="2B6665A4" w:rsidR="002E7EF6" w:rsidRPr="001A0038" w:rsidRDefault="002E7EF6" w:rsidP="00EA65BF">
      <w:pPr>
        <w:spacing w:after="0" w:line="240" w:lineRule="auto"/>
        <w:rPr>
          <w:rFonts w:ascii="Times New Roman" w:hAnsi="Times New Roman" w:cs="Times New Roman"/>
          <w:sz w:val="20"/>
          <w:szCs w:val="20"/>
          <w:u w:val="single"/>
        </w:rPr>
      </w:pPr>
      <w:r w:rsidRPr="001A0038">
        <w:rPr>
          <w:rFonts w:ascii="Times New Roman" w:hAnsi="Times New Roman" w:cs="Times New Roman"/>
          <w:sz w:val="20"/>
          <w:szCs w:val="20"/>
          <w:u w:val="single"/>
        </w:rPr>
        <w:t>Valdes un padomes atalgojums</w:t>
      </w:r>
    </w:p>
    <w:p w14:paraId="0BF42D8D" w14:textId="77777777" w:rsidR="00394F67" w:rsidRPr="001A0038" w:rsidRDefault="00394F67" w:rsidP="00EA65BF">
      <w:pPr>
        <w:spacing w:after="0" w:line="240" w:lineRule="auto"/>
        <w:jc w:val="both"/>
        <w:rPr>
          <w:rFonts w:ascii="Times New Roman" w:hAnsi="Times New Roman" w:cs="Times New Roman"/>
          <w:sz w:val="20"/>
          <w:szCs w:val="20"/>
        </w:rPr>
      </w:pPr>
    </w:p>
    <w:p w14:paraId="384525D1" w14:textId="77777777" w:rsidR="00F53AD0" w:rsidRPr="00F53AD0" w:rsidRDefault="00F53AD0" w:rsidP="00F53AD0">
      <w:pPr>
        <w:spacing w:after="0" w:line="240" w:lineRule="auto"/>
        <w:jc w:val="both"/>
        <w:rPr>
          <w:rFonts w:ascii="Times New Roman" w:hAnsi="Times New Roman" w:cs="Times New Roman"/>
          <w:sz w:val="20"/>
          <w:szCs w:val="20"/>
        </w:rPr>
      </w:pPr>
      <w:r w:rsidRPr="00F53AD0">
        <w:rPr>
          <w:rFonts w:ascii="Times New Roman" w:hAnsi="Times New Roman" w:cs="Times New Roman"/>
          <w:sz w:val="20"/>
          <w:szCs w:val="20"/>
        </w:rPr>
        <w:t xml:space="preserve">Valdes un padomes atalgojuma politika nodrošina, ka 2022. gadā ir realizēta Sabiedrības stratēģija, ilgtermiņa interešu un ilgtspējas realizācija, darbības nepārtrauktības nodrošināšana. </w:t>
      </w:r>
    </w:p>
    <w:p w14:paraId="4FC89678" w14:textId="77777777" w:rsidR="00F53AD0" w:rsidRPr="00F53AD0" w:rsidRDefault="00F53AD0" w:rsidP="00F53AD0">
      <w:pPr>
        <w:spacing w:after="0" w:line="240" w:lineRule="auto"/>
        <w:jc w:val="both"/>
        <w:rPr>
          <w:rFonts w:ascii="Times New Roman" w:hAnsi="Times New Roman" w:cs="Times New Roman"/>
          <w:sz w:val="20"/>
          <w:szCs w:val="20"/>
        </w:rPr>
      </w:pPr>
    </w:p>
    <w:p w14:paraId="11A6FE18" w14:textId="5D4167BD" w:rsidR="00EA65BF" w:rsidRDefault="00F53AD0" w:rsidP="00F53AD0">
      <w:pPr>
        <w:spacing w:after="0" w:line="240" w:lineRule="auto"/>
        <w:jc w:val="both"/>
        <w:rPr>
          <w:rFonts w:ascii="Times New Roman" w:hAnsi="Times New Roman" w:cs="Times New Roman"/>
          <w:sz w:val="20"/>
          <w:szCs w:val="20"/>
        </w:rPr>
      </w:pPr>
      <w:r w:rsidRPr="00F53AD0">
        <w:rPr>
          <w:rFonts w:ascii="Times New Roman" w:hAnsi="Times New Roman" w:cs="Times New Roman"/>
          <w:sz w:val="20"/>
          <w:szCs w:val="20"/>
        </w:rPr>
        <w:t>Sabiedrības padomes locekļu atalgojums sastāv vienīgi no nemainīgās atalgojuma komponentes. 2022.gadā Sabiedrības padomes locekļiem tika piešķirts un izmaksāts šāds kopējais atalgojums:</w:t>
      </w:r>
    </w:p>
    <w:p w14:paraId="70131A65" w14:textId="77777777" w:rsidR="00F53AD0" w:rsidRDefault="00F53AD0" w:rsidP="00F53AD0">
      <w:pPr>
        <w:spacing w:after="0" w:line="240" w:lineRule="auto"/>
        <w:jc w:val="both"/>
        <w:rPr>
          <w:rFonts w:ascii="Times New Roman" w:hAnsi="Times New Roman" w:cs="Times New Roman"/>
          <w:color w:val="FF0000"/>
          <w:sz w:val="20"/>
          <w:szCs w:val="20"/>
        </w:rPr>
      </w:pPr>
    </w:p>
    <w:tbl>
      <w:tblPr>
        <w:tblStyle w:val="TableGrid"/>
        <w:tblW w:w="9493" w:type="dxa"/>
        <w:tblLook w:val="04A0" w:firstRow="1" w:lastRow="0" w:firstColumn="1" w:lastColumn="0" w:noHBand="0" w:noVBand="1"/>
      </w:tblPr>
      <w:tblGrid>
        <w:gridCol w:w="1838"/>
        <w:gridCol w:w="2126"/>
        <w:gridCol w:w="1843"/>
        <w:gridCol w:w="1843"/>
        <w:gridCol w:w="1843"/>
      </w:tblGrid>
      <w:tr w:rsidR="00F53AD0" w:rsidRPr="0036171D" w14:paraId="09A47330" w14:textId="77777777" w:rsidTr="002C0E6B">
        <w:tc>
          <w:tcPr>
            <w:tcW w:w="1838" w:type="dxa"/>
          </w:tcPr>
          <w:p w14:paraId="710DE159" w14:textId="77777777" w:rsidR="00F53AD0" w:rsidRPr="00463ED2" w:rsidRDefault="00F53AD0" w:rsidP="002C0E6B">
            <w:pPr>
              <w:rPr>
                <w:rFonts w:ascii="Times New Roman" w:hAnsi="Times New Roman"/>
                <w:sz w:val="20"/>
                <w:szCs w:val="20"/>
                <w:lang w:val="lv-LV"/>
              </w:rPr>
            </w:pPr>
            <w:r w:rsidRPr="00463ED2">
              <w:rPr>
                <w:rFonts w:ascii="Times New Roman" w:hAnsi="Times New Roman"/>
                <w:sz w:val="20"/>
                <w:szCs w:val="20"/>
                <w:lang w:val="lv-LV"/>
              </w:rPr>
              <w:t>Vārds, Uzvārds</w:t>
            </w:r>
          </w:p>
        </w:tc>
        <w:tc>
          <w:tcPr>
            <w:tcW w:w="2126" w:type="dxa"/>
          </w:tcPr>
          <w:p w14:paraId="3C8B07D9" w14:textId="77777777" w:rsidR="00F53AD0" w:rsidRPr="00463ED2" w:rsidRDefault="00F53AD0" w:rsidP="002C0E6B">
            <w:pPr>
              <w:rPr>
                <w:rFonts w:ascii="Times New Roman" w:hAnsi="Times New Roman"/>
                <w:sz w:val="20"/>
                <w:szCs w:val="20"/>
                <w:lang w:val="lv-LV"/>
              </w:rPr>
            </w:pPr>
            <w:r w:rsidRPr="00463ED2">
              <w:rPr>
                <w:rFonts w:ascii="Times New Roman" w:hAnsi="Times New Roman"/>
                <w:sz w:val="20"/>
                <w:szCs w:val="20"/>
                <w:lang w:val="lv-LV"/>
              </w:rPr>
              <w:t>Amats</w:t>
            </w:r>
          </w:p>
        </w:tc>
        <w:tc>
          <w:tcPr>
            <w:tcW w:w="1843" w:type="dxa"/>
          </w:tcPr>
          <w:p w14:paraId="3CB8D4B1" w14:textId="77777777" w:rsidR="00F53AD0" w:rsidRPr="00463ED2" w:rsidRDefault="00F53AD0" w:rsidP="002C0E6B">
            <w:pPr>
              <w:rPr>
                <w:rFonts w:ascii="Times New Roman" w:hAnsi="Times New Roman"/>
                <w:sz w:val="20"/>
                <w:szCs w:val="20"/>
                <w:lang w:val="lv-LV"/>
              </w:rPr>
            </w:pPr>
            <w:r w:rsidRPr="00463ED2">
              <w:rPr>
                <w:rFonts w:ascii="Times New Roman" w:hAnsi="Times New Roman"/>
                <w:sz w:val="20"/>
                <w:szCs w:val="20"/>
                <w:lang w:val="lv-LV"/>
              </w:rPr>
              <w:t>2022.gadā izmaksātais atalgojums, EUR</w:t>
            </w:r>
          </w:p>
        </w:tc>
        <w:tc>
          <w:tcPr>
            <w:tcW w:w="1843" w:type="dxa"/>
          </w:tcPr>
          <w:p w14:paraId="19C4615F" w14:textId="77777777" w:rsidR="00F53AD0" w:rsidRPr="00463ED2" w:rsidRDefault="00F53AD0" w:rsidP="002C0E6B">
            <w:pPr>
              <w:rPr>
                <w:rFonts w:ascii="Times New Roman" w:hAnsi="Times New Roman"/>
                <w:lang w:val="lv-LV"/>
              </w:rPr>
            </w:pPr>
            <w:r w:rsidRPr="00463ED2">
              <w:rPr>
                <w:rFonts w:ascii="Times New Roman" w:hAnsi="Times New Roman"/>
                <w:sz w:val="20"/>
                <w:szCs w:val="20"/>
                <w:lang w:val="lv-LV"/>
              </w:rPr>
              <w:t>2021.gadā izmaksātais atalgojums, EUR</w:t>
            </w:r>
          </w:p>
        </w:tc>
        <w:tc>
          <w:tcPr>
            <w:tcW w:w="1843" w:type="dxa"/>
          </w:tcPr>
          <w:p w14:paraId="1DD82F8A" w14:textId="77777777" w:rsidR="00F53AD0" w:rsidRPr="00463ED2" w:rsidRDefault="00F53AD0" w:rsidP="002C0E6B">
            <w:pPr>
              <w:rPr>
                <w:rFonts w:ascii="Times New Roman" w:hAnsi="Times New Roman"/>
                <w:lang w:val="lv-LV"/>
              </w:rPr>
            </w:pPr>
            <w:r w:rsidRPr="00463ED2">
              <w:rPr>
                <w:rFonts w:ascii="Times New Roman" w:hAnsi="Times New Roman"/>
                <w:sz w:val="20"/>
                <w:szCs w:val="20"/>
                <w:lang w:val="lv-LV"/>
              </w:rPr>
              <w:t>2020.gadā izmaksātais atalgojums, EUR</w:t>
            </w:r>
          </w:p>
        </w:tc>
      </w:tr>
      <w:tr w:rsidR="00F53AD0" w:rsidRPr="0036171D" w14:paraId="7E22E88B" w14:textId="77777777" w:rsidTr="002C0E6B">
        <w:tc>
          <w:tcPr>
            <w:tcW w:w="1838" w:type="dxa"/>
          </w:tcPr>
          <w:p w14:paraId="04E3B8CE" w14:textId="77777777" w:rsidR="00F53AD0" w:rsidRPr="00463ED2" w:rsidRDefault="00F53AD0" w:rsidP="002C0E6B">
            <w:pPr>
              <w:jc w:val="both"/>
              <w:rPr>
                <w:rFonts w:ascii="Times New Roman" w:hAnsi="Times New Roman"/>
                <w:sz w:val="20"/>
                <w:szCs w:val="20"/>
                <w:lang w:val="lv-LV"/>
              </w:rPr>
            </w:pPr>
            <w:r w:rsidRPr="00463ED2">
              <w:rPr>
                <w:rFonts w:ascii="Times New Roman" w:hAnsi="Times New Roman"/>
                <w:sz w:val="20"/>
                <w:szCs w:val="20"/>
                <w:lang w:val="lv-LV"/>
              </w:rPr>
              <w:t>Mārtiņš Birks</w:t>
            </w:r>
          </w:p>
        </w:tc>
        <w:tc>
          <w:tcPr>
            <w:tcW w:w="2126" w:type="dxa"/>
          </w:tcPr>
          <w:p w14:paraId="2F356B70" w14:textId="77777777" w:rsidR="00F53AD0" w:rsidRPr="00463ED2" w:rsidRDefault="00F53AD0" w:rsidP="002C0E6B">
            <w:pPr>
              <w:jc w:val="both"/>
              <w:rPr>
                <w:rFonts w:ascii="Times New Roman" w:hAnsi="Times New Roman"/>
                <w:sz w:val="20"/>
                <w:szCs w:val="20"/>
                <w:lang w:val="lv-LV"/>
              </w:rPr>
            </w:pPr>
            <w:r w:rsidRPr="00463ED2">
              <w:rPr>
                <w:rFonts w:ascii="Times New Roman" w:hAnsi="Times New Roman"/>
                <w:sz w:val="20"/>
                <w:szCs w:val="20"/>
                <w:lang w:val="lv-LV"/>
              </w:rPr>
              <w:t>padomes priekšsēdētājs</w:t>
            </w:r>
          </w:p>
        </w:tc>
        <w:tc>
          <w:tcPr>
            <w:tcW w:w="1843" w:type="dxa"/>
          </w:tcPr>
          <w:p w14:paraId="2F676ECC" w14:textId="77777777" w:rsidR="00F53AD0" w:rsidRPr="00463ED2" w:rsidRDefault="00F53AD0" w:rsidP="002C0E6B">
            <w:pPr>
              <w:jc w:val="both"/>
              <w:rPr>
                <w:rFonts w:ascii="Times New Roman" w:hAnsi="Times New Roman"/>
                <w:sz w:val="20"/>
                <w:szCs w:val="20"/>
                <w:lang w:val="lv-LV"/>
              </w:rPr>
            </w:pPr>
            <w:r w:rsidRPr="00463ED2">
              <w:rPr>
                <w:rFonts w:ascii="Times New Roman" w:hAnsi="Times New Roman"/>
                <w:sz w:val="20"/>
                <w:szCs w:val="20"/>
                <w:lang w:val="lv-LV"/>
              </w:rPr>
              <w:t>9 649.79</w:t>
            </w:r>
          </w:p>
        </w:tc>
        <w:tc>
          <w:tcPr>
            <w:tcW w:w="1843" w:type="dxa"/>
          </w:tcPr>
          <w:p w14:paraId="2E124A0C" w14:textId="77777777" w:rsidR="00F53AD0" w:rsidRPr="00463ED2" w:rsidRDefault="00F53AD0" w:rsidP="002C0E6B">
            <w:pPr>
              <w:jc w:val="both"/>
              <w:rPr>
                <w:rFonts w:ascii="Times New Roman" w:hAnsi="Times New Roman"/>
                <w:lang w:val="lv-LV"/>
              </w:rPr>
            </w:pPr>
            <w:r w:rsidRPr="00463ED2">
              <w:rPr>
                <w:rFonts w:ascii="Times New Roman" w:hAnsi="Times New Roman"/>
                <w:sz w:val="20"/>
                <w:szCs w:val="20"/>
                <w:lang w:val="lv-LV"/>
              </w:rPr>
              <w:t>8 195.76</w:t>
            </w:r>
          </w:p>
        </w:tc>
        <w:tc>
          <w:tcPr>
            <w:tcW w:w="1843" w:type="dxa"/>
          </w:tcPr>
          <w:p w14:paraId="0EAF8235" w14:textId="77777777" w:rsidR="00F53AD0" w:rsidRPr="00463ED2" w:rsidRDefault="00F53AD0" w:rsidP="002C0E6B">
            <w:pPr>
              <w:jc w:val="both"/>
              <w:rPr>
                <w:rFonts w:ascii="Times New Roman" w:hAnsi="Times New Roman"/>
                <w:lang w:val="lv-LV"/>
              </w:rPr>
            </w:pPr>
            <w:r w:rsidRPr="00463ED2">
              <w:rPr>
                <w:rFonts w:ascii="Times New Roman" w:hAnsi="Times New Roman"/>
                <w:sz w:val="20"/>
                <w:szCs w:val="20"/>
                <w:lang w:val="lv-LV"/>
              </w:rPr>
              <w:t>8 195.76</w:t>
            </w:r>
          </w:p>
        </w:tc>
      </w:tr>
      <w:tr w:rsidR="00F53AD0" w:rsidRPr="0036171D" w14:paraId="0F98E41D" w14:textId="77777777" w:rsidTr="002C0E6B">
        <w:tc>
          <w:tcPr>
            <w:tcW w:w="1838" w:type="dxa"/>
          </w:tcPr>
          <w:p w14:paraId="1C400CAB" w14:textId="77777777" w:rsidR="00F53AD0" w:rsidRPr="00463ED2" w:rsidRDefault="00F53AD0" w:rsidP="002C0E6B">
            <w:pPr>
              <w:jc w:val="both"/>
              <w:rPr>
                <w:rFonts w:ascii="Times New Roman" w:hAnsi="Times New Roman"/>
                <w:sz w:val="20"/>
                <w:szCs w:val="20"/>
                <w:lang w:val="lv-LV"/>
              </w:rPr>
            </w:pPr>
            <w:r w:rsidRPr="00463ED2">
              <w:rPr>
                <w:rFonts w:ascii="Times New Roman" w:hAnsi="Times New Roman"/>
                <w:sz w:val="20"/>
                <w:szCs w:val="20"/>
                <w:lang w:val="lv-LV"/>
              </w:rPr>
              <w:t xml:space="preserve">Ineta </w:t>
            </w:r>
            <w:proofErr w:type="spellStart"/>
            <w:r w:rsidRPr="00463ED2">
              <w:rPr>
                <w:rFonts w:ascii="Times New Roman" w:hAnsi="Times New Roman"/>
                <w:sz w:val="20"/>
                <w:szCs w:val="20"/>
                <w:lang w:val="lv-LV"/>
              </w:rPr>
              <w:t>Gadzjus</w:t>
            </w:r>
            <w:proofErr w:type="spellEnd"/>
          </w:p>
        </w:tc>
        <w:tc>
          <w:tcPr>
            <w:tcW w:w="2126" w:type="dxa"/>
          </w:tcPr>
          <w:p w14:paraId="6032AC73" w14:textId="77777777" w:rsidR="00F53AD0" w:rsidRPr="00463ED2" w:rsidRDefault="00F53AD0" w:rsidP="002C0E6B">
            <w:pPr>
              <w:jc w:val="both"/>
              <w:rPr>
                <w:rFonts w:ascii="Times New Roman" w:hAnsi="Times New Roman"/>
                <w:sz w:val="20"/>
                <w:szCs w:val="20"/>
                <w:lang w:val="lv-LV"/>
              </w:rPr>
            </w:pPr>
            <w:r w:rsidRPr="00463ED2">
              <w:rPr>
                <w:rFonts w:ascii="Times New Roman" w:hAnsi="Times New Roman"/>
                <w:sz w:val="20"/>
                <w:szCs w:val="20"/>
                <w:lang w:val="lv-LV"/>
              </w:rPr>
              <w:t>padomes loceklis</w:t>
            </w:r>
          </w:p>
        </w:tc>
        <w:tc>
          <w:tcPr>
            <w:tcW w:w="1843" w:type="dxa"/>
          </w:tcPr>
          <w:p w14:paraId="130E97B0" w14:textId="77777777" w:rsidR="00F53AD0" w:rsidRPr="00463ED2" w:rsidRDefault="00F53AD0" w:rsidP="002C0E6B">
            <w:pPr>
              <w:jc w:val="both"/>
              <w:rPr>
                <w:rFonts w:ascii="Times New Roman" w:hAnsi="Times New Roman"/>
                <w:sz w:val="20"/>
                <w:szCs w:val="20"/>
                <w:lang w:val="lv-LV"/>
              </w:rPr>
            </w:pPr>
            <w:r w:rsidRPr="00463ED2">
              <w:rPr>
                <w:rFonts w:ascii="Times New Roman" w:hAnsi="Times New Roman"/>
                <w:sz w:val="20"/>
                <w:szCs w:val="20"/>
                <w:lang w:val="lv-LV"/>
              </w:rPr>
              <w:t>5 629.07</w:t>
            </w:r>
          </w:p>
        </w:tc>
        <w:tc>
          <w:tcPr>
            <w:tcW w:w="1843" w:type="dxa"/>
          </w:tcPr>
          <w:p w14:paraId="31DE0199" w14:textId="77777777" w:rsidR="00F53AD0" w:rsidRPr="00463ED2" w:rsidRDefault="00F53AD0" w:rsidP="002C0E6B">
            <w:pPr>
              <w:jc w:val="both"/>
              <w:rPr>
                <w:rFonts w:ascii="Times New Roman" w:hAnsi="Times New Roman"/>
                <w:lang w:val="lv-LV"/>
              </w:rPr>
            </w:pPr>
            <w:r w:rsidRPr="00463ED2">
              <w:rPr>
                <w:rFonts w:ascii="Times New Roman" w:hAnsi="Times New Roman"/>
                <w:sz w:val="20"/>
                <w:szCs w:val="20"/>
                <w:lang w:val="lv-LV"/>
              </w:rPr>
              <w:t>4 780.92</w:t>
            </w:r>
          </w:p>
        </w:tc>
        <w:tc>
          <w:tcPr>
            <w:tcW w:w="1843" w:type="dxa"/>
          </w:tcPr>
          <w:p w14:paraId="2CF00913" w14:textId="77777777" w:rsidR="00F53AD0" w:rsidRPr="00463ED2" w:rsidRDefault="00F53AD0" w:rsidP="002C0E6B">
            <w:pPr>
              <w:jc w:val="both"/>
              <w:rPr>
                <w:rFonts w:ascii="Times New Roman" w:hAnsi="Times New Roman"/>
                <w:lang w:val="lv-LV"/>
              </w:rPr>
            </w:pPr>
            <w:r w:rsidRPr="00463ED2">
              <w:rPr>
                <w:rFonts w:ascii="Times New Roman" w:hAnsi="Times New Roman"/>
                <w:sz w:val="20"/>
                <w:szCs w:val="20"/>
                <w:lang w:val="lv-LV"/>
              </w:rPr>
              <w:t>4 780.92</w:t>
            </w:r>
          </w:p>
        </w:tc>
      </w:tr>
      <w:tr w:rsidR="00F53AD0" w:rsidRPr="0036171D" w14:paraId="24D3418A" w14:textId="77777777" w:rsidTr="002C0E6B">
        <w:tc>
          <w:tcPr>
            <w:tcW w:w="1838" w:type="dxa"/>
          </w:tcPr>
          <w:p w14:paraId="7773E793" w14:textId="77777777" w:rsidR="00F53AD0" w:rsidRPr="00463ED2" w:rsidRDefault="00F53AD0" w:rsidP="002C0E6B">
            <w:pPr>
              <w:jc w:val="both"/>
              <w:rPr>
                <w:rFonts w:ascii="Times New Roman" w:hAnsi="Times New Roman"/>
                <w:sz w:val="20"/>
                <w:szCs w:val="20"/>
                <w:lang w:val="lv-LV"/>
              </w:rPr>
            </w:pPr>
            <w:r w:rsidRPr="00463ED2">
              <w:rPr>
                <w:rFonts w:ascii="Times New Roman" w:hAnsi="Times New Roman"/>
                <w:sz w:val="20"/>
                <w:szCs w:val="20"/>
                <w:lang w:val="lv-LV"/>
              </w:rPr>
              <w:t>Viesturs Šiliņš</w:t>
            </w:r>
          </w:p>
        </w:tc>
        <w:tc>
          <w:tcPr>
            <w:tcW w:w="2126" w:type="dxa"/>
          </w:tcPr>
          <w:p w14:paraId="3487F7B3" w14:textId="77777777" w:rsidR="00F53AD0" w:rsidRPr="00463ED2" w:rsidRDefault="00F53AD0" w:rsidP="002C0E6B">
            <w:pPr>
              <w:jc w:val="both"/>
              <w:rPr>
                <w:rFonts w:ascii="Times New Roman" w:hAnsi="Times New Roman"/>
                <w:sz w:val="20"/>
                <w:szCs w:val="20"/>
                <w:lang w:val="lv-LV"/>
              </w:rPr>
            </w:pPr>
            <w:r w:rsidRPr="00463ED2">
              <w:rPr>
                <w:rFonts w:ascii="Times New Roman" w:hAnsi="Times New Roman"/>
                <w:sz w:val="20"/>
                <w:szCs w:val="20"/>
                <w:lang w:val="lv-LV"/>
              </w:rPr>
              <w:t>padomes loceklis</w:t>
            </w:r>
          </w:p>
        </w:tc>
        <w:tc>
          <w:tcPr>
            <w:tcW w:w="1843" w:type="dxa"/>
          </w:tcPr>
          <w:p w14:paraId="5F366D42" w14:textId="77777777" w:rsidR="00F53AD0" w:rsidRPr="00463ED2" w:rsidRDefault="00F53AD0" w:rsidP="002C0E6B">
            <w:pPr>
              <w:jc w:val="both"/>
              <w:rPr>
                <w:rFonts w:ascii="Times New Roman" w:hAnsi="Times New Roman"/>
                <w:sz w:val="20"/>
                <w:szCs w:val="20"/>
                <w:lang w:val="lv-LV"/>
              </w:rPr>
            </w:pPr>
            <w:r w:rsidRPr="00463ED2">
              <w:rPr>
                <w:rFonts w:ascii="Times New Roman" w:hAnsi="Times New Roman"/>
                <w:sz w:val="20"/>
                <w:szCs w:val="20"/>
                <w:lang w:val="lv-LV"/>
              </w:rPr>
              <w:t>5 629.07</w:t>
            </w:r>
          </w:p>
        </w:tc>
        <w:tc>
          <w:tcPr>
            <w:tcW w:w="1843" w:type="dxa"/>
          </w:tcPr>
          <w:p w14:paraId="460A7802" w14:textId="77777777" w:rsidR="00F53AD0" w:rsidRPr="00463ED2" w:rsidRDefault="00F53AD0" w:rsidP="002C0E6B">
            <w:pPr>
              <w:jc w:val="both"/>
              <w:rPr>
                <w:rFonts w:ascii="Times New Roman" w:hAnsi="Times New Roman"/>
                <w:lang w:val="lv-LV"/>
              </w:rPr>
            </w:pPr>
            <w:r w:rsidRPr="00463ED2">
              <w:rPr>
                <w:rFonts w:ascii="Times New Roman" w:hAnsi="Times New Roman"/>
                <w:sz w:val="20"/>
                <w:szCs w:val="20"/>
                <w:lang w:val="lv-LV"/>
              </w:rPr>
              <w:t>4 780.92</w:t>
            </w:r>
          </w:p>
        </w:tc>
        <w:tc>
          <w:tcPr>
            <w:tcW w:w="1843" w:type="dxa"/>
          </w:tcPr>
          <w:p w14:paraId="1AAAC84F" w14:textId="77777777" w:rsidR="00F53AD0" w:rsidRPr="00463ED2" w:rsidRDefault="00F53AD0" w:rsidP="002C0E6B">
            <w:pPr>
              <w:jc w:val="both"/>
              <w:rPr>
                <w:rFonts w:ascii="Times New Roman" w:hAnsi="Times New Roman"/>
                <w:lang w:val="lv-LV"/>
              </w:rPr>
            </w:pPr>
            <w:r w:rsidRPr="00463ED2">
              <w:rPr>
                <w:rFonts w:ascii="Times New Roman" w:hAnsi="Times New Roman"/>
                <w:sz w:val="20"/>
                <w:szCs w:val="20"/>
                <w:lang w:val="lv-LV"/>
              </w:rPr>
              <w:t>4 780.92</w:t>
            </w:r>
          </w:p>
        </w:tc>
      </w:tr>
      <w:tr w:rsidR="00F53AD0" w:rsidRPr="0036171D" w14:paraId="5A365E4D" w14:textId="77777777" w:rsidTr="002C0E6B">
        <w:tc>
          <w:tcPr>
            <w:tcW w:w="1838" w:type="dxa"/>
          </w:tcPr>
          <w:p w14:paraId="5785FF82" w14:textId="77777777" w:rsidR="00F53AD0" w:rsidRPr="00463ED2" w:rsidRDefault="00F53AD0" w:rsidP="002C0E6B">
            <w:pPr>
              <w:jc w:val="both"/>
              <w:rPr>
                <w:rFonts w:ascii="Times New Roman" w:hAnsi="Times New Roman"/>
                <w:sz w:val="20"/>
                <w:szCs w:val="20"/>
                <w:lang w:val="lv-LV"/>
              </w:rPr>
            </w:pPr>
            <w:r w:rsidRPr="00463ED2">
              <w:rPr>
                <w:rFonts w:ascii="Times New Roman" w:hAnsi="Times New Roman"/>
                <w:sz w:val="20"/>
                <w:szCs w:val="20"/>
                <w:lang w:val="lv-LV"/>
              </w:rPr>
              <w:t>Jevgēņijs Kalējs</w:t>
            </w:r>
          </w:p>
        </w:tc>
        <w:tc>
          <w:tcPr>
            <w:tcW w:w="2126" w:type="dxa"/>
          </w:tcPr>
          <w:p w14:paraId="4AA7F6CB" w14:textId="77777777" w:rsidR="00F53AD0" w:rsidRPr="00463ED2" w:rsidRDefault="00F53AD0" w:rsidP="002C0E6B">
            <w:pPr>
              <w:jc w:val="both"/>
              <w:rPr>
                <w:rFonts w:ascii="Times New Roman" w:hAnsi="Times New Roman"/>
                <w:sz w:val="20"/>
                <w:szCs w:val="20"/>
                <w:lang w:val="lv-LV"/>
              </w:rPr>
            </w:pPr>
            <w:r w:rsidRPr="00463ED2">
              <w:rPr>
                <w:rFonts w:ascii="Times New Roman" w:hAnsi="Times New Roman"/>
                <w:sz w:val="20"/>
                <w:szCs w:val="20"/>
                <w:lang w:val="lv-LV"/>
              </w:rPr>
              <w:t>padomes loceklis</w:t>
            </w:r>
          </w:p>
        </w:tc>
        <w:tc>
          <w:tcPr>
            <w:tcW w:w="1843" w:type="dxa"/>
          </w:tcPr>
          <w:p w14:paraId="28B3980C" w14:textId="77777777" w:rsidR="00F53AD0" w:rsidRPr="00463ED2" w:rsidRDefault="00F53AD0" w:rsidP="002C0E6B">
            <w:pPr>
              <w:jc w:val="both"/>
              <w:rPr>
                <w:rFonts w:ascii="Times New Roman" w:hAnsi="Times New Roman"/>
                <w:sz w:val="20"/>
                <w:szCs w:val="20"/>
                <w:lang w:val="lv-LV"/>
              </w:rPr>
            </w:pPr>
            <w:r w:rsidRPr="00463ED2">
              <w:rPr>
                <w:rFonts w:ascii="Times New Roman" w:hAnsi="Times New Roman"/>
                <w:sz w:val="20"/>
                <w:szCs w:val="20"/>
                <w:lang w:val="lv-LV"/>
              </w:rPr>
              <w:t>5 629.07</w:t>
            </w:r>
          </w:p>
        </w:tc>
        <w:tc>
          <w:tcPr>
            <w:tcW w:w="1843" w:type="dxa"/>
          </w:tcPr>
          <w:p w14:paraId="0CDCD715" w14:textId="77777777" w:rsidR="00F53AD0" w:rsidRPr="00463ED2" w:rsidRDefault="00F53AD0" w:rsidP="002C0E6B">
            <w:pPr>
              <w:jc w:val="both"/>
              <w:rPr>
                <w:rFonts w:ascii="Times New Roman" w:hAnsi="Times New Roman"/>
                <w:lang w:val="lv-LV"/>
              </w:rPr>
            </w:pPr>
            <w:r w:rsidRPr="00463ED2">
              <w:rPr>
                <w:rFonts w:ascii="Times New Roman" w:hAnsi="Times New Roman"/>
                <w:sz w:val="20"/>
                <w:szCs w:val="20"/>
                <w:lang w:val="lv-LV"/>
              </w:rPr>
              <w:t>4 780.92</w:t>
            </w:r>
          </w:p>
        </w:tc>
        <w:tc>
          <w:tcPr>
            <w:tcW w:w="1843" w:type="dxa"/>
          </w:tcPr>
          <w:p w14:paraId="0F34087D" w14:textId="77777777" w:rsidR="00F53AD0" w:rsidRPr="00463ED2" w:rsidRDefault="00F53AD0" w:rsidP="002C0E6B">
            <w:pPr>
              <w:jc w:val="both"/>
              <w:rPr>
                <w:rFonts w:ascii="Times New Roman" w:hAnsi="Times New Roman"/>
                <w:lang w:val="lv-LV"/>
              </w:rPr>
            </w:pPr>
            <w:r w:rsidRPr="00463ED2">
              <w:rPr>
                <w:rFonts w:ascii="Times New Roman" w:hAnsi="Times New Roman"/>
                <w:sz w:val="20"/>
                <w:szCs w:val="20"/>
                <w:lang w:val="lv-LV"/>
              </w:rPr>
              <w:t>4 780.92</w:t>
            </w:r>
          </w:p>
        </w:tc>
      </w:tr>
      <w:tr w:rsidR="00F53AD0" w:rsidRPr="0036171D" w14:paraId="42AF43B4" w14:textId="77777777" w:rsidTr="002C0E6B">
        <w:tc>
          <w:tcPr>
            <w:tcW w:w="1838" w:type="dxa"/>
          </w:tcPr>
          <w:p w14:paraId="72CCA755" w14:textId="77777777" w:rsidR="00F53AD0" w:rsidRPr="00463ED2" w:rsidRDefault="00F53AD0" w:rsidP="002C0E6B">
            <w:pPr>
              <w:jc w:val="both"/>
              <w:rPr>
                <w:rFonts w:ascii="Times New Roman" w:hAnsi="Times New Roman"/>
                <w:sz w:val="20"/>
                <w:szCs w:val="20"/>
                <w:lang w:val="lv-LV"/>
              </w:rPr>
            </w:pPr>
            <w:r w:rsidRPr="00463ED2">
              <w:rPr>
                <w:rFonts w:ascii="Times New Roman" w:hAnsi="Times New Roman"/>
                <w:sz w:val="20"/>
                <w:szCs w:val="20"/>
                <w:lang w:val="lv-LV"/>
              </w:rPr>
              <w:t>Uldis Osis</w:t>
            </w:r>
          </w:p>
        </w:tc>
        <w:tc>
          <w:tcPr>
            <w:tcW w:w="2126" w:type="dxa"/>
          </w:tcPr>
          <w:p w14:paraId="303C4F48" w14:textId="77777777" w:rsidR="00F53AD0" w:rsidRPr="00463ED2" w:rsidRDefault="00F53AD0" w:rsidP="002C0E6B">
            <w:pPr>
              <w:jc w:val="both"/>
              <w:rPr>
                <w:rFonts w:ascii="Times New Roman" w:hAnsi="Times New Roman"/>
                <w:sz w:val="20"/>
                <w:szCs w:val="20"/>
                <w:lang w:val="lv-LV"/>
              </w:rPr>
            </w:pPr>
            <w:r w:rsidRPr="00463ED2">
              <w:rPr>
                <w:rFonts w:ascii="Times New Roman" w:hAnsi="Times New Roman"/>
                <w:sz w:val="20"/>
                <w:szCs w:val="20"/>
                <w:lang w:val="lv-LV"/>
              </w:rPr>
              <w:t>padomes loceklis</w:t>
            </w:r>
          </w:p>
        </w:tc>
        <w:tc>
          <w:tcPr>
            <w:tcW w:w="1843" w:type="dxa"/>
          </w:tcPr>
          <w:p w14:paraId="14BA4A1C" w14:textId="77777777" w:rsidR="00F53AD0" w:rsidRPr="00463ED2" w:rsidRDefault="00F53AD0" w:rsidP="002C0E6B">
            <w:pPr>
              <w:jc w:val="both"/>
              <w:rPr>
                <w:rFonts w:ascii="Times New Roman" w:hAnsi="Times New Roman"/>
                <w:sz w:val="20"/>
                <w:szCs w:val="20"/>
                <w:lang w:val="lv-LV"/>
              </w:rPr>
            </w:pPr>
            <w:r w:rsidRPr="00463ED2">
              <w:rPr>
                <w:rFonts w:ascii="Times New Roman" w:hAnsi="Times New Roman"/>
                <w:sz w:val="20"/>
                <w:szCs w:val="20"/>
                <w:lang w:val="lv-LV"/>
              </w:rPr>
              <w:t>5 629.07</w:t>
            </w:r>
          </w:p>
        </w:tc>
        <w:tc>
          <w:tcPr>
            <w:tcW w:w="1843" w:type="dxa"/>
          </w:tcPr>
          <w:p w14:paraId="49B9DC8D" w14:textId="77777777" w:rsidR="00F53AD0" w:rsidRPr="00463ED2" w:rsidRDefault="00F53AD0" w:rsidP="002C0E6B">
            <w:pPr>
              <w:jc w:val="both"/>
              <w:rPr>
                <w:rFonts w:ascii="Times New Roman" w:hAnsi="Times New Roman"/>
                <w:lang w:val="lv-LV"/>
              </w:rPr>
            </w:pPr>
            <w:r w:rsidRPr="00463ED2">
              <w:rPr>
                <w:rFonts w:ascii="Times New Roman" w:hAnsi="Times New Roman"/>
                <w:sz w:val="20"/>
                <w:szCs w:val="20"/>
                <w:lang w:val="lv-LV"/>
              </w:rPr>
              <w:t>4 780.92</w:t>
            </w:r>
          </w:p>
        </w:tc>
        <w:tc>
          <w:tcPr>
            <w:tcW w:w="1843" w:type="dxa"/>
          </w:tcPr>
          <w:p w14:paraId="7A4EF8E4" w14:textId="77777777" w:rsidR="00F53AD0" w:rsidRPr="00463ED2" w:rsidRDefault="00F53AD0" w:rsidP="002C0E6B">
            <w:pPr>
              <w:jc w:val="both"/>
              <w:rPr>
                <w:rFonts w:ascii="Times New Roman" w:hAnsi="Times New Roman"/>
                <w:lang w:val="lv-LV"/>
              </w:rPr>
            </w:pPr>
            <w:r w:rsidRPr="00463ED2">
              <w:rPr>
                <w:rFonts w:ascii="Times New Roman" w:hAnsi="Times New Roman"/>
                <w:sz w:val="20"/>
                <w:szCs w:val="20"/>
                <w:lang w:val="lv-LV"/>
              </w:rPr>
              <w:t>4 780.92</w:t>
            </w:r>
          </w:p>
        </w:tc>
      </w:tr>
    </w:tbl>
    <w:p w14:paraId="6EDF374A" w14:textId="4A1AB0A6" w:rsidR="00F53AD0" w:rsidRPr="00F53AD0" w:rsidRDefault="00F53AD0" w:rsidP="00F53AD0">
      <w:pPr>
        <w:jc w:val="both"/>
        <w:rPr>
          <w:rFonts w:ascii="Arial" w:hAnsi="Arial" w:cs="Arial"/>
        </w:rPr>
      </w:pPr>
    </w:p>
    <w:p w14:paraId="3326B066" w14:textId="1C49D57F" w:rsidR="00EA65BF" w:rsidRPr="00463ED2" w:rsidRDefault="00F53AD0" w:rsidP="00EA65BF">
      <w:pPr>
        <w:spacing w:after="0" w:line="240" w:lineRule="auto"/>
        <w:jc w:val="both"/>
        <w:rPr>
          <w:rFonts w:ascii="Times New Roman" w:hAnsi="Times New Roman" w:cs="Times New Roman"/>
          <w:sz w:val="20"/>
          <w:szCs w:val="20"/>
        </w:rPr>
      </w:pPr>
      <w:r w:rsidRPr="00463ED2">
        <w:rPr>
          <w:rFonts w:ascii="Times New Roman" w:hAnsi="Times New Roman" w:cs="Times New Roman"/>
          <w:sz w:val="20"/>
          <w:szCs w:val="20"/>
        </w:rPr>
        <w:t>Sabiedrības valdes locekļu atalgojums sastāv no nemainīgās un mainīgās atalgojuma komponentes. 2022.gadā Sabiedrības valdes locekļiem tika piešķirts un izmaksāts šāds kopējais atalgojums:</w:t>
      </w:r>
    </w:p>
    <w:p w14:paraId="02A1A9C0" w14:textId="77777777" w:rsidR="00F53AD0" w:rsidRPr="001A0038" w:rsidRDefault="00F53AD0" w:rsidP="00EA65BF">
      <w:pPr>
        <w:spacing w:after="0" w:line="240" w:lineRule="auto"/>
        <w:jc w:val="both"/>
        <w:rPr>
          <w:rFonts w:ascii="Times New Roman" w:hAnsi="Times New Roman" w:cs="Times New Roman"/>
          <w:color w:val="FF0000"/>
          <w:sz w:val="20"/>
          <w:szCs w:val="20"/>
        </w:rPr>
      </w:pPr>
    </w:p>
    <w:tbl>
      <w:tblPr>
        <w:tblStyle w:val="TableGrid"/>
        <w:tblW w:w="8642" w:type="dxa"/>
        <w:tblLook w:val="04A0" w:firstRow="1" w:lastRow="0" w:firstColumn="1" w:lastColumn="0" w:noHBand="0" w:noVBand="1"/>
      </w:tblPr>
      <w:tblGrid>
        <w:gridCol w:w="1838"/>
        <w:gridCol w:w="2105"/>
        <w:gridCol w:w="2006"/>
        <w:gridCol w:w="1417"/>
        <w:gridCol w:w="1276"/>
      </w:tblGrid>
      <w:tr w:rsidR="00F53AD0" w:rsidRPr="0036171D" w14:paraId="08BA8BD0" w14:textId="77777777" w:rsidTr="002C0E6B">
        <w:tc>
          <w:tcPr>
            <w:tcW w:w="1838" w:type="dxa"/>
          </w:tcPr>
          <w:p w14:paraId="11FB01CF" w14:textId="77777777" w:rsidR="00F53AD0" w:rsidRPr="00014552" w:rsidRDefault="00F53AD0" w:rsidP="002C0E6B">
            <w:pPr>
              <w:rPr>
                <w:rFonts w:ascii="Times New Roman" w:hAnsi="Times New Roman"/>
                <w:sz w:val="20"/>
                <w:szCs w:val="20"/>
                <w:lang w:val="lv-LV"/>
              </w:rPr>
            </w:pPr>
            <w:r w:rsidRPr="00014552">
              <w:rPr>
                <w:rFonts w:ascii="Times New Roman" w:hAnsi="Times New Roman"/>
                <w:sz w:val="20"/>
                <w:szCs w:val="20"/>
                <w:lang w:val="lv-LV"/>
              </w:rPr>
              <w:t>Vārds, Uzvārds</w:t>
            </w:r>
          </w:p>
        </w:tc>
        <w:tc>
          <w:tcPr>
            <w:tcW w:w="2105" w:type="dxa"/>
          </w:tcPr>
          <w:p w14:paraId="658116A6" w14:textId="77777777" w:rsidR="00F53AD0" w:rsidRPr="00014552" w:rsidRDefault="00F53AD0" w:rsidP="002C0E6B">
            <w:pPr>
              <w:rPr>
                <w:rFonts w:ascii="Times New Roman" w:hAnsi="Times New Roman"/>
                <w:sz w:val="20"/>
                <w:szCs w:val="20"/>
                <w:lang w:val="lv-LV"/>
              </w:rPr>
            </w:pPr>
            <w:r w:rsidRPr="00014552">
              <w:rPr>
                <w:rFonts w:ascii="Times New Roman" w:hAnsi="Times New Roman"/>
                <w:sz w:val="20"/>
                <w:szCs w:val="20"/>
                <w:lang w:val="lv-LV"/>
              </w:rPr>
              <w:t>Amats</w:t>
            </w:r>
          </w:p>
        </w:tc>
        <w:tc>
          <w:tcPr>
            <w:tcW w:w="2006" w:type="dxa"/>
          </w:tcPr>
          <w:p w14:paraId="244EBDD7" w14:textId="77777777" w:rsidR="00F53AD0" w:rsidRPr="00014552" w:rsidRDefault="00F53AD0" w:rsidP="002C0E6B">
            <w:pPr>
              <w:rPr>
                <w:rFonts w:ascii="Times New Roman" w:hAnsi="Times New Roman"/>
                <w:sz w:val="20"/>
                <w:szCs w:val="20"/>
                <w:lang w:val="lv-LV"/>
              </w:rPr>
            </w:pPr>
            <w:r w:rsidRPr="00014552">
              <w:rPr>
                <w:rFonts w:ascii="Times New Roman" w:hAnsi="Times New Roman"/>
                <w:sz w:val="20"/>
                <w:szCs w:val="20"/>
                <w:lang w:val="lv-LV"/>
              </w:rPr>
              <w:t>2022.gadā izmaksātais atalgojums, EUR</w:t>
            </w:r>
          </w:p>
        </w:tc>
        <w:tc>
          <w:tcPr>
            <w:tcW w:w="1417" w:type="dxa"/>
          </w:tcPr>
          <w:p w14:paraId="7BD5AB48" w14:textId="77777777" w:rsidR="00F53AD0" w:rsidRPr="00014552" w:rsidRDefault="00F53AD0" w:rsidP="002C0E6B">
            <w:pPr>
              <w:rPr>
                <w:rFonts w:ascii="Times New Roman" w:hAnsi="Times New Roman"/>
                <w:sz w:val="20"/>
                <w:szCs w:val="20"/>
                <w:lang w:val="lv-LV"/>
              </w:rPr>
            </w:pPr>
            <w:r w:rsidRPr="00014552">
              <w:rPr>
                <w:rFonts w:ascii="Times New Roman" w:hAnsi="Times New Roman"/>
                <w:sz w:val="20"/>
                <w:szCs w:val="20"/>
                <w:lang w:val="lv-LV"/>
              </w:rPr>
              <w:t>Atalgojuma nemainīgā daļa, %</w:t>
            </w:r>
          </w:p>
        </w:tc>
        <w:tc>
          <w:tcPr>
            <w:tcW w:w="1276" w:type="dxa"/>
          </w:tcPr>
          <w:p w14:paraId="4F18E29D" w14:textId="77777777" w:rsidR="00F53AD0" w:rsidRPr="00014552" w:rsidRDefault="00F53AD0" w:rsidP="002C0E6B">
            <w:pPr>
              <w:rPr>
                <w:rFonts w:ascii="Times New Roman" w:hAnsi="Times New Roman"/>
                <w:sz w:val="20"/>
                <w:szCs w:val="20"/>
                <w:lang w:val="lv-LV"/>
              </w:rPr>
            </w:pPr>
            <w:r w:rsidRPr="00014552">
              <w:rPr>
                <w:rFonts w:ascii="Times New Roman" w:hAnsi="Times New Roman"/>
                <w:sz w:val="20"/>
                <w:szCs w:val="20"/>
                <w:lang w:val="lv-LV"/>
              </w:rPr>
              <w:t>Atalgojuma mainīgā daļa, %</w:t>
            </w:r>
          </w:p>
        </w:tc>
      </w:tr>
      <w:tr w:rsidR="00F53AD0" w:rsidRPr="0036171D" w14:paraId="0BDCFB4F" w14:textId="77777777" w:rsidTr="002C0E6B">
        <w:tc>
          <w:tcPr>
            <w:tcW w:w="1838" w:type="dxa"/>
          </w:tcPr>
          <w:p w14:paraId="779257D1" w14:textId="77777777" w:rsidR="00F53AD0" w:rsidRPr="00014552" w:rsidRDefault="00F53AD0" w:rsidP="002C0E6B">
            <w:pPr>
              <w:jc w:val="both"/>
              <w:rPr>
                <w:rFonts w:ascii="Times New Roman" w:hAnsi="Times New Roman"/>
                <w:sz w:val="20"/>
                <w:szCs w:val="20"/>
                <w:lang w:val="lv-LV"/>
              </w:rPr>
            </w:pPr>
            <w:r w:rsidRPr="00014552">
              <w:rPr>
                <w:rFonts w:ascii="Times New Roman" w:hAnsi="Times New Roman"/>
                <w:sz w:val="20"/>
                <w:szCs w:val="20"/>
                <w:lang w:val="lv-LV"/>
              </w:rPr>
              <w:t>Jānis Birks</w:t>
            </w:r>
          </w:p>
        </w:tc>
        <w:tc>
          <w:tcPr>
            <w:tcW w:w="2105" w:type="dxa"/>
          </w:tcPr>
          <w:p w14:paraId="443FE20A" w14:textId="77777777" w:rsidR="00F53AD0" w:rsidRPr="00014552" w:rsidRDefault="00F53AD0" w:rsidP="002C0E6B">
            <w:pPr>
              <w:jc w:val="both"/>
              <w:rPr>
                <w:rFonts w:ascii="Times New Roman" w:hAnsi="Times New Roman"/>
                <w:sz w:val="20"/>
                <w:szCs w:val="20"/>
                <w:lang w:val="lv-LV"/>
              </w:rPr>
            </w:pPr>
            <w:r w:rsidRPr="00014552">
              <w:rPr>
                <w:rFonts w:ascii="Times New Roman" w:hAnsi="Times New Roman"/>
                <w:sz w:val="20"/>
                <w:szCs w:val="20"/>
                <w:lang w:val="lv-LV"/>
              </w:rPr>
              <w:t>valdes priekšsēdētājs</w:t>
            </w:r>
          </w:p>
        </w:tc>
        <w:tc>
          <w:tcPr>
            <w:tcW w:w="2006" w:type="dxa"/>
          </w:tcPr>
          <w:p w14:paraId="61CF6FE0" w14:textId="77777777" w:rsidR="00F53AD0" w:rsidRPr="00014552" w:rsidRDefault="00F53AD0" w:rsidP="002C0E6B">
            <w:pPr>
              <w:jc w:val="both"/>
              <w:rPr>
                <w:rFonts w:ascii="Times New Roman" w:hAnsi="Times New Roman"/>
                <w:sz w:val="20"/>
                <w:szCs w:val="20"/>
                <w:lang w:val="lv-LV"/>
              </w:rPr>
            </w:pPr>
            <w:r w:rsidRPr="00014552">
              <w:rPr>
                <w:rFonts w:ascii="Times New Roman" w:hAnsi="Times New Roman"/>
                <w:sz w:val="20"/>
                <w:szCs w:val="20"/>
                <w:lang w:val="lv-LV"/>
              </w:rPr>
              <w:t>90 547</w:t>
            </w:r>
          </w:p>
        </w:tc>
        <w:tc>
          <w:tcPr>
            <w:tcW w:w="1417" w:type="dxa"/>
          </w:tcPr>
          <w:p w14:paraId="6E03C0D6" w14:textId="77777777" w:rsidR="00F53AD0" w:rsidRPr="00014552" w:rsidRDefault="00F53AD0" w:rsidP="002C0E6B">
            <w:pPr>
              <w:jc w:val="both"/>
              <w:rPr>
                <w:rFonts w:ascii="Times New Roman" w:hAnsi="Times New Roman"/>
                <w:sz w:val="20"/>
                <w:szCs w:val="20"/>
                <w:lang w:val="lv-LV"/>
              </w:rPr>
            </w:pPr>
            <w:r w:rsidRPr="00014552">
              <w:rPr>
                <w:rFonts w:ascii="Times New Roman" w:hAnsi="Times New Roman"/>
                <w:sz w:val="20"/>
                <w:szCs w:val="20"/>
                <w:lang w:val="lv-LV"/>
              </w:rPr>
              <w:t>39.97 %</w:t>
            </w:r>
          </w:p>
        </w:tc>
        <w:tc>
          <w:tcPr>
            <w:tcW w:w="1276" w:type="dxa"/>
          </w:tcPr>
          <w:p w14:paraId="2109B121" w14:textId="77777777" w:rsidR="00F53AD0" w:rsidRPr="00014552" w:rsidRDefault="00F53AD0" w:rsidP="002C0E6B">
            <w:pPr>
              <w:jc w:val="both"/>
              <w:rPr>
                <w:rFonts w:ascii="Times New Roman" w:hAnsi="Times New Roman"/>
                <w:sz w:val="20"/>
                <w:szCs w:val="20"/>
                <w:lang w:val="lv-LV"/>
              </w:rPr>
            </w:pPr>
            <w:r w:rsidRPr="00014552">
              <w:rPr>
                <w:rFonts w:ascii="Times New Roman" w:hAnsi="Times New Roman"/>
                <w:sz w:val="20"/>
                <w:szCs w:val="20"/>
                <w:lang w:val="lv-LV"/>
              </w:rPr>
              <w:t>60.03 %</w:t>
            </w:r>
          </w:p>
        </w:tc>
      </w:tr>
      <w:tr w:rsidR="00F53AD0" w:rsidRPr="0036171D" w14:paraId="60CAF817" w14:textId="77777777" w:rsidTr="002C0E6B">
        <w:tc>
          <w:tcPr>
            <w:tcW w:w="1838" w:type="dxa"/>
          </w:tcPr>
          <w:p w14:paraId="37A1C1A5" w14:textId="77777777" w:rsidR="00F53AD0" w:rsidRPr="00014552" w:rsidRDefault="00F53AD0" w:rsidP="002C0E6B">
            <w:pPr>
              <w:jc w:val="both"/>
              <w:rPr>
                <w:rFonts w:ascii="Times New Roman" w:hAnsi="Times New Roman"/>
                <w:sz w:val="20"/>
                <w:szCs w:val="20"/>
                <w:lang w:val="lv-LV"/>
              </w:rPr>
            </w:pPr>
            <w:r w:rsidRPr="00014552">
              <w:rPr>
                <w:rFonts w:ascii="Times New Roman" w:hAnsi="Times New Roman"/>
                <w:sz w:val="20"/>
                <w:szCs w:val="20"/>
                <w:lang w:val="lv-LV"/>
              </w:rPr>
              <w:t>Juris Imaks</w:t>
            </w:r>
          </w:p>
        </w:tc>
        <w:tc>
          <w:tcPr>
            <w:tcW w:w="2105" w:type="dxa"/>
          </w:tcPr>
          <w:p w14:paraId="538E9668" w14:textId="77777777" w:rsidR="00F53AD0" w:rsidRPr="00014552" w:rsidRDefault="00F53AD0" w:rsidP="002C0E6B">
            <w:pPr>
              <w:jc w:val="both"/>
              <w:rPr>
                <w:rFonts w:ascii="Times New Roman" w:hAnsi="Times New Roman"/>
                <w:sz w:val="20"/>
                <w:szCs w:val="20"/>
                <w:lang w:val="lv-LV"/>
              </w:rPr>
            </w:pPr>
            <w:r w:rsidRPr="00014552">
              <w:rPr>
                <w:rFonts w:ascii="Times New Roman" w:hAnsi="Times New Roman"/>
                <w:sz w:val="20"/>
                <w:szCs w:val="20"/>
                <w:lang w:val="lv-LV"/>
              </w:rPr>
              <w:t>valdes loceklis</w:t>
            </w:r>
          </w:p>
        </w:tc>
        <w:tc>
          <w:tcPr>
            <w:tcW w:w="2006" w:type="dxa"/>
          </w:tcPr>
          <w:p w14:paraId="202CE7DA" w14:textId="77777777" w:rsidR="00F53AD0" w:rsidRPr="00014552" w:rsidRDefault="00F53AD0" w:rsidP="002C0E6B">
            <w:pPr>
              <w:jc w:val="both"/>
              <w:rPr>
                <w:rFonts w:ascii="Times New Roman" w:hAnsi="Times New Roman"/>
                <w:sz w:val="20"/>
                <w:szCs w:val="20"/>
                <w:lang w:val="lv-LV"/>
              </w:rPr>
            </w:pPr>
            <w:r w:rsidRPr="00014552">
              <w:rPr>
                <w:rFonts w:ascii="Times New Roman" w:hAnsi="Times New Roman"/>
                <w:sz w:val="20"/>
                <w:szCs w:val="20"/>
                <w:lang w:val="lv-LV"/>
              </w:rPr>
              <w:t>69 218</w:t>
            </w:r>
          </w:p>
        </w:tc>
        <w:tc>
          <w:tcPr>
            <w:tcW w:w="1417" w:type="dxa"/>
          </w:tcPr>
          <w:p w14:paraId="75C76864" w14:textId="77777777" w:rsidR="00F53AD0" w:rsidRPr="00014552" w:rsidRDefault="00F53AD0" w:rsidP="002C0E6B">
            <w:pPr>
              <w:jc w:val="both"/>
              <w:rPr>
                <w:rFonts w:ascii="Times New Roman" w:hAnsi="Times New Roman"/>
                <w:sz w:val="20"/>
                <w:szCs w:val="20"/>
                <w:lang w:val="lv-LV"/>
              </w:rPr>
            </w:pPr>
            <w:r w:rsidRPr="00014552">
              <w:rPr>
                <w:rFonts w:ascii="Times New Roman" w:hAnsi="Times New Roman"/>
                <w:sz w:val="20"/>
                <w:szCs w:val="20"/>
                <w:lang w:val="lv-LV"/>
              </w:rPr>
              <w:t>37.28 %</w:t>
            </w:r>
          </w:p>
        </w:tc>
        <w:tc>
          <w:tcPr>
            <w:tcW w:w="1276" w:type="dxa"/>
          </w:tcPr>
          <w:p w14:paraId="7DFCA821" w14:textId="77777777" w:rsidR="00F53AD0" w:rsidRPr="00014552" w:rsidRDefault="00F53AD0" w:rsidP="002C0E6B">
            <w:pPr>
              <w:jc w:val="both"/>
              <w:rPr>
                <w:rFonts w:ascii="Times New Roman" w:hAnsi="Times New Roman"/>
                <w:sz w:val="20"/>
                <w:szCs w:val="20"/>
                <w:lang w:val="lv-LV"/>
              </w:rPr>
            </w:pPr>
            <w:r w:rsidRPr="00014552">
              <w:rPr>
                <w:rFonts w:ascii="Times New Roman" w:hAnsi="Times New Roman"/>
                <w:sz w:val="20"/>
                <w:szCs w:val="20"/>
                <w:lang w:val="lv-LV"/>
              </w:rPr>
              <w:t>62.72 %</w:t>
            </w:r>
          </w:p>
        </w:tc>
      </w:tr>
      <w:tr w:rsidR="00F53AD0" w:rsidRPr="0036171D" w14:paraId="6483859C" w14:textId="77777777" w:rsidTr="002C0E6B">
        <w:tc>
          <w:tcPr>
            <w:tcW w:w="1838" w:type="dxa"/>
          </w:tcPr>
          <w:p w14:paraId="659C7F2B" w14:textId="77777777" w:rsidR="00F53AD0" w:rsidRPr="00014552" w:rsidRDefault="00F53AD0" w:rsidP="002C0E6B">
            <w:pPr>
              <w:jc w:val="both"/>
              <w:rPr>
                <w:rFonts w:ascii="Times New Roman" w:hAnsi="Times New Roman"/>
                <w:sz w:val="20"/>
                <w:szCs w:val="20"/>
                <w:lang w:val="lv-LV"/>
              </w:rPr>
            </w:pPr>
            <w:r w:rsidRPr="00014552">
              <w:rPr>
                <w:rFonts w:ascii="Times New Roman" w:hAnsi="Times New Roman"/>
                <w:sz w:val="20"/>
                <w:szCs w:val="20"/>
                <w:lang w:val="lv-LV"/>
              </w:rPr>
              <w:t>Anatolijs Ahmetovs</w:t>
            </w:r>
          </w:p>
        </w:tc>
        <w:tc>
          <w:tcPr>
            <w:tcW w:w="2105" w:type="dxa"/>
          </w:tcPr>
          <w:p w14:paraId="3FC77547" w14:textId="77777777" w:rsidR="00F53AD0" w:rsidRPr="00014552" w:rsidRDefault="00F53AD0" w:rsidP="002C0E6B">
            <w:pPr>
              <w:jc w:val="both"/>
              <w:rPr>
                <w:rFonts w:ascii="Times New Roman" w:hAnsi="Times New Roman"/>
                <w:sz w:val="20"/>
                <w:szCs w:val="20"/>
                <w:lang w:val="lv-LV"/>
              </w:rPr>
            </w:pPr>
            <w:r w:rsidRPr="00014552">
              <w:rPr>
                <w:rFonts w:ascii="Times New Roman" w:hAnsi="Times New Roman"/>
                <w:sz w:val="20"/>
                <w:szCs w:val="20"/>
                <w:lang w:val="lv-LV"/>
              </w:rPr>
              <w:t>valdes loceklis</w:t>
            </w:r>
          </w:p>
        </w:tc>
        <w:tc>
          <w:tcPr>
            <w:tcW w:w="2006" w:type="dxa"/>
          </w:tcPr>
          <w:p w14:paraId="61EB0AC5" w14:textId="77777777" w:rsidR="00F53AD0" w:rsidRPr="00014552" w:rsidRDefault="00F53AD0" w:rsidP="002C0E6B">
            <w:pPr>
              <w:jc w:val="both"/>
              <w:rPr>
                <w:rFonts w:ascii="Times New Roman" w:hAnsi="Times New Roman"/>
                <w:sz w:val="20"/>
                <w:szCs w:val="20"/>
                <w:lang w:val="lv-LV"/>
              </w:rPr>
            </w:pPr>
            <w:r w:rsidRPr="00014552">
              <w:rPr>
                <w:rFonts w:ascii="Times New Roman" w:hAnsi="Times New Roman"/>
                <w:sz w:val="20"/>
                <w:szCs w:val="20"/>
                <w:lang w:val="lv-LV"/>
              </w:rPr>
              <w:t>54 719</w:t>
            </w:r>
          </w:p>
        </w:tc>
        <w:tc>
          <w:tcPr>
            <w:tcW w:w="1417" w:type="dxa"/>
          </w:tcPr>
          <w:p w14:paraId="11090993" w14:textId="77777777" w:rsidR="00F53AD0" w:rsidRPr="00014552" w:rsidRDefault="00F53AD0" w:rsidP="002C0E6B">
            <w:pPr>
              <w:jc w:val="both"/>
              <w:rPr>
                <w:rFonts w:ascii="Times New Roman" w:hAnsi="Times New Roman"/>
                <w:sz w:val="20"/>
                <w:szCs w:val="20"/>
                <w:lang w:val="lv-LV"/>
              </w:rPr>
            </w:pPr>
            <w:r w:rsidRPr="00014552">
              <w:rPr>
                <w:rFonts w:ascii="Times New Roman" w:hAnsi="Times New Roman"/>
                <w:sz w:val="20"/>
                <w:szCs w:val="20"/>
                <w:lang w:val="lv-LV"/>
              </w:rPr>
              <w:t>47.97 %</w:t>
            </w:r>
          </w:p>
        </w:tc>
        <w:tc>
          <w:tcPr>
            <w:tcW w:w="1276" w:type="dxa"/>
          </w:tcPr>
          <w:p w14:paraId="22C1165C" w14:textId="77777777" w:rsidR="00F53AD0" w:rsidRPr="00014552" w:rsidRDefault="00F53AD0" w:rsidP="002C0E6B">
            <w:pPr>
              <w:jc w:val="both"/>
              <w:rPr>
                <w:rFonts w:ascii="Times New Roman" w:hAnsi="Times New Roman"/>
                <w:sz w:val="20"/>
                <w:szCs w:val="20"/>
                <w:lang w:val="lv-LV"/>
              </w:rPr>
            </w:pPr>
            <w:r w:rsidRPr="00014552">
              <w:rPr>
                <w:rFonts w:ascii="Times New Roman" w:hAnsi="Times New Roman"/>
                <w:sz w:val="20"/>
                <w:szCs w:val="20"/>
                <w:lang w:val="lv-LV"/>
              </w:rPr>
              <w:t>52.03 %</w:t>
            </w:r>
          </w:p>
        </w:tc>
      </w:tr>
    </w:tbl>
    <w:p w14:paraId="30AB2B0B" w14:textId="77777777" w:rsidR="0008565E" w:rsidRDefault="0008565E" w:rsidP="00EA65BF">
      <w:pPr>
        <w:spacing w:after="0" w:line="240" w:lineRule="auto"/>
        <w:jc w:val="both"/>
        <w:rPr>
          <w:rFonts w:ascii="Times New Roman" w:hAnsi="Times New Roman" w:cs="Times New Roman"/>
          <w:sz w:val="20"/>
          <w:szCs w:val="20"/>
        </w:rPr>
      </w:pPr>
    </w:p>
    <w:tbl>
      <w:tblPr>
        <w:tblStyle w:val="TableGrid"/>
        <w:tblW w:w="8642" w:type="dxa"/>
        <w:tblLook w:val="04A0" w:firstRow="1" w:lastRow="0" w:firstColumn="1" w:lastColumn="0" w:noHBand="0" w:noVBand="1"/>
      </w:tblPr>
      <w:tblGrid>
        <w:gridCol w:w="1838"/>
        <w:gridCol w:w="2105"/>
        <w:gridCol w:w="2006"/>
        <w:gridCol w:w="1417"/>
        <w:gridCol w:w="1276"/>
      </w:tblGrid>
      <w:tr w:rsidR="00F53AD0" w:rsidRPr="0036171D" w14:paraId="3A85B36D" w14:textId="77777777" w:rsidTr="002C0E6B">
        <w:tc>
          <w:tcPr>
            <w:tcW w:w="1838" w:type="dxa"/>
          </w:tcPr>
          <w:p w14:paraId="7DDCB314" w14:textId="77777777" w:rsidR="00F53AD0" w:rsidRPr="00014552" w:rsidRDefault="00F53AD0" w:rsidP="002C0E6B">
            <w:pPr>
              <w:rPr>
                <w:rFonts w:ascii="Times New Roman" w:hAnsi="Times New Roman"/>
                <w:sz w:val="20"/>
                <w:szCs w:val="20"/>
                <w:lang w:val="lv-LV"/>
              </w:rPr>
            </w:pPr>
            <w:r w:rsidRPr="00014552">
              <w:rPr>
                <w:rFonts w:ascii="Times New Roman" w:hAnsi="Times New Roman"/>
                <w:sz w:val="20"/>
                <w:szCs w:val="20"/>
                <w:lang w:val="lv-LV"/>
              </w:rPr>
              <w:t>Vārds, Uzvārds</w:t>
            </w:r>
          </w:p>
        </w:tc>
        <w:tc>
          <w:tcPr>
            <w:tcW w:w="2105" w:type="dxa"/>
          </w:tcPr>
          <w:p w14:paraId="16CEFD68" w14:textId="77777777" w:rsidR="00F53AD0" w:rsidRPr="00014552" w:rsidRDefault="00F53AD0" w:rsidP="002C0E6B">
            <w:pPr>
              <w:rPr>
                <w:rFonts w:ascii="Times New Roman" w:hAnsi="Times New Roman"/>
                <w:sz w:val="20"/>
                <w:szCs w:val="20"/>
                <w:lang w:val="lv-LV"/>
              </w:rPr>
            </w:pPr>
            <w:r w:rsidRPr="00014552">
              <w:rPr>
                <w:rFonts w:ascii="Times New Roman" w:hAnsi="Times New Roman"/>
                <w:sz w:val="20"/>
                <w:szCs w:val="20"/>
                <w:lang w:val="lv-LV"/>
              </w:rPr>
              <w:t>Amats</w:t>
            </w:r>
          </w:p>
        </w:tc>
        <w:tc>
          <w:tcPr>
            <w:tcW w:w="2006" w:type="dxa"/>
          </w:tcPr>
          <w:p w14:paraId="1DDC2B11" w14:textId="77777777" w:rsidR="00F53AD0" w:rsidRPr="00014552" w:rsidRDefault="00F53AD0" w:rsidP="002C0E6B">
            <w:pPr>
              <w:rPr>
                <w:rFonts w:ascii="Times New Roman" w:hAnsi="Times New Roman"/>
                <w:sz w:val="20"/>
                <w:szCs w:val="20"/>
                <w:lang w:val="lv-LV"/>
              </w:rPr>
            </w:pPr>
            <w:r w:rsidRPr="00014552">
              <w:rPr>
                <w:rFonts w:ascii="Times New Roman" w:hAnsi="Times New Roman"/>
                <w:sz w:val="20"/>
                <w:szCs w:val="20"/>
                <w:lang w:val="lv-LV"/>
              </w:rPr>
              <w:t>2021.gadā izmaksātais atalgojums, EUR</w:t>
            </w:r>
          </w:p>
        </w:tc>
        <w:tc>
          <w:tcPr>
            <w:tcW w:w="1417" w:type="dxa"/>
          </w:tcPr>
          <w:p w14:paraId="226CEC11" w14:textId="77777777" w:rsidR="00F53AD0" w:rsidRPr="00014552" w:rsidRDefault="00F53AD0" w:rsidP="002C0E6B">
            <w:pPr>
              <w:rPr>
                <w:rFonts w:ascii="Times New Roman" w:hAnsi="Times New Roman"/>
                <w:sz w:val="20"/>
                <w:szCs w:val="20"/>
                <w:lang w:val="lv-LV"/>
              </w:rPr>
            </w:pPr>
            <w:r w:rsidRPr="00014552">
              <w:rPr>
                <w:rFonts w:ascii="Times New Roman" w:hAnsi="Times New Roman"/>
                <w:sz w:val="20"/>
                <w:szCs w:val="20"/>
                <w:lang w:val="lv-LV"/>
              </w:rPr>
              <w:t>Atalgojuma nemainīgā daļa, %</w:t>
            </w:r>
          </w:p>
        </w:tc>
        <w:tc>
          <w:tcPr>
            <w:tcW w:w="1276" w:type="dxa"/>
          </w:tcPr>
          <w:p w14:paraId="47A90731" w14:textId="77777777" w:rsidR="00F53AD0" w:rsidRPr="00014552" w:rsidRDefault="00F53AD0" w:rsidP="002C0E6B">
            <w:pPr>
              <w:rPr>
                <w:rFonts w:ascii="Times New Roman" w:hAnsi="Times New Roman"/>
                <w:sz w:val="20"/>
                <w:szCs w:val="20"/>
                <w:lang w:val="lv-LV"/>
              </w:rPr>
            </w:pPr>
            <w:r w:rsidRPr="00014552">
              <w:rPr>
                <w:rFonts w:ascii="Times New Roman" w:hAnsi="Times New Roman"/>
                <w:sz w:val="20"/>
                <w:szCs w:val="20"/>
                <w:lang w:val="lv-LV"/>
              </w:rPr>
              <w:t>Atalgojuma mainīgā daļa, %</w:t>
            </w:r>
          </w:p>
        </w:tc>
      </w:tr>
      <w:tr w:rsidR="00F53AD0" w:rsidRPr="0036171D" w14:paraId="08A9CB28" w14:textId="77777777" w:rsidTr="002C0E6B">
        <w:tc>
          <w:tcPr>
            <w:tcW w:w="1838" w:type="dxa"/>
          </w:tcPr>
          <w:p w14:paraId="36412128" w14:textId="77777777" w:rsidR="00F53AD0" w:rsidRPr="00014552" w:rsidRDefault="00F53AD0" w:rsidP="002C0E6B">
            <w:pPr>
              <w:jc w:val="both"/>
              <w:rPr>
                <w:rFonts w:ascii="Times New Roman" w:hAnsi="Times New Roman"/>
                <w:sz w:val="20"/>
                <w:szCs w:val="20"/>
                <w:lang w:val="lv-LV"/>
              </w:rPr>
            </w:pPr>
            <w:r w:rsidRPr="00014552">
              <w:rPr>
                <w:rFonts w:ascii="Times New Roman" w:hAnsi="Times New Roman"/>
                <w:sz w:val="20"/>
                <w:szCs w:val="20"/>
                <w:lang w:val="lv-LV"/>
              </w:rPr>
              <w:t>Jānis Birks</w:t>
            </w:r>
          </w:p>
        </w:tc>
        <w:tc>
          <w:tcPr>
            <w:tcW w:w="2105" w:type="dxa"/>
          </w:tcPr>
          <w:p w14:paraId="7BA1DD16" w14:textId="77777777" w:rsidR="00F53AD0" w:rsidRPr="00014552" w:rsidRDefault="00F53AD0" w:rsidP="002C0E6B">
            <w:pPr>
              <w:jc w:val="both"/>
              <w:rPr>
                <w:rFonts w:ascii="Times New Roman" w:hAnsi="Times New Roman"/>
                <w:sz w:val="20"/>
                <w:szCs w:val="20"/>
                <w:lang w:val="lv-LV"/>
              </w:rPr>
            </w:pPr>
            <w:r w:rsidRPr="00014552">
              <w:rPr>
                <w:rFonts w:ascii="Times New Roman" w:hAnsi="Times New Roman"/>
                <w:sz w:val="20"/>
                <w:szCs w:val="20"/>
                <w:lang w:val="lv-LV"/>
              </w:rPr>
              <w:t>valdes priekšsēdētājs</w:t>
            </w:r>
          </w:p>
        </w:tc>
        <w:tc>
          <w:tcPr>
            <w:tcW w:w="2006" w:type="dxa"/>
          </w:tcPr>
          <w:p w14:paraId="0BAB81DE" w14:textId="77777777" w:rsidR="00F53AD0" w:rsidRPr="00014552" w:rsidRDefault="00F53AD0" w:rsidP="002C0E6B">
            <w:pPr>
              <w:jc w:val="both"/>
              <w:rPr>
                <w:rFonts w:ascii="Times New Roman" w:hAnsi="Times New Roman"/>
                <w:sz w:val="20"/>
                <w:szCs w:val="20"/>
                <w:lang w:val="lv-LV"/>
              </w:rPr>
            </w:pPr>
            <w:r w:rsidRPr="00014552">
              <w:rPr>
                <w:rFonts w:ascii="Times New Roman" w:hAnsi="Times New Roman"/>
                <w:sz w:val="20"/>
                <w:szCs w:val="20"/>
                <w:lang w:val="lv-LV"/>
              </w:rPr>
              <w:t>67 445</w:t>
            </w:r>
          </w:p>
        </w:tc>
        <w:tc>
          <w:tcPr>
            <w:tcW w:w="1417" w:type="dxa"/>
          </w:tcPr>
          <w:p w14:paraId="4DA1D247" w14:textId="77777777" w:rsidR="00F53AD0" w:rsidRPr="00014552" w:rsidRDefault="00F53AD0" w:rsidP="002C0E6B">
            <w:pPr>
              <w:jc w:val="both"/>
              <w:rPr>
                <w:rFonts w:ascii="Times New Roman" w:hAnsi="Times New Roman"/>
                <w:sz w:val="20"/>
                <w:szCs w:val="20"/>
                <w:lang w:val="lv-LV"/>
              </w:rPr>
            </w:pPr>
            <w:r w:rsidRPr="00014552">
              <w:rPr>
                <w:rFonts w:ascii="Times New Roman" w:hAnsi="Times New Roman"/>
                <w:sz w:val="20"/>
                <w:szCs w:val="20"/>
                <w:lang w:val="lv-LV"/>
              </w:rPr>
              <w:t>30.45 %</w:t>
            </w:r>
          </w:p>
        </w:tc>
        <w:tc>
          <w:tcPr>
            <w:tcW w:w="1276" w:type="dxa"/>
          </w:tcPr>
          <w:p w14:paraId="540CC336" w14:textId="77777777" w:rsidR="00F53AD0" w:rsidRPr="00014552" w:rsidRDefault="00F53AD0" w:rsidP="002C0E6B">
            <w:pPr>
              <w:jc w:val="both"/>
              <w:rPr>
                <w:rFonts w:ascii="Times New Roman" w:hAnsi="Times New Roman"/>
                <w:sz w:val="20"/>
                <w:szCs w:val="20"/>
                <w:lang w:val="lv-LV"/>
              </w:rPr>
            </w:pPr>
            <w:r w:rsidRPr="00014552">
              <w:rPr>
                <w:rFonts w:ascii="Times New Roman" w:hAnsi="Times New Roman"/>
                <w:sz w:val="20"/>
                <w:szCs w:val="20"/>
                <w:lang w:val="lv-LV"/>
              </w:rPr>
              <w:t>69.55 %</w:t>
            </w:r>
          </w:p>
        </w:tc>
      </w:tr>
      <w:tr w:rsidR="00F53AD0" w:rsidRPr="0036171D" w14:paraId="2A470170" w14:textId="77777777" w:rsidTr="002C0E6B">
        <w:tc>
          <w:tcPr>
            <w:tcW w:w="1838" w:type="dxa"/>
          </w:tcPr>
          <w:p w14:paraId="74E37D84" w14:textId="77777777" w:rsidR="00F53AD0" w:rsidRPr="00014552" w:rsidRDefault="00F53AD0" w:rsidP="002C0E6B">
            <w:pPr>
              <w:jc w:val="both"/>
              <w:rPr>
                <w:rFonts w:ascii="Times New Roman" w:hAnsi="Times New Roman"/>
                <w:sz w:val="20"/>
                <w:szCs w:val="20"/>
                <w:lang w:val="lv-LV"/>
              </w:rPr>
            </w:pPr>
            <w:r w:rsidRPr="00014552">
              <w:rPr>
                <w:rFonts w:ascii="Times New Roman" w:hAnsi="Times New Roman"/>
                <w:sz w:val="20"/>
                <w:szCs w:val="20"/>
                <w:lang w:val="lv-LV"/>
              </w:rPr>
              <w:t>Juris Imaks</w:t>
            </w:r>
          </w:p>
        </w:tc>
        <w:tc>
          <w:tcPr>
            <w:tcW w:w="2105" w:type="dxa"/>
          </w:tcPr>
          <w:p w14:paraId="565335CD" w14:textId="77777777" w:rsidR="00F53AD0" w:rsidRPr="00014552" w:rsidRDefault="00F53AD0" w:rsidP="002C0E6B">
            <w:pPr>
              <w:jc w:val="both"/>
              <w:rPr>
                <w:rFonts w:ascii="Times New Roman" w:hAnsi="Times New Roman"/>
                <w:sz w:val="20"/>
                <w:szCs w:val="20"/>
                <w:lang w:val="lv-LV"/>
              </w:rPr>
            </w:pPr>
            <w:r w:rsidRPr="00014552">
              <w:rPr>
                <w:rFonts w:ascii="Times New Roman" w:hAnsi="Times New Roman"/>
                <w:sz w:val="20"/>
                <w:szCs w:val="20"/>
                <w:lang w:val="lv-LV"/>
              </w:rPr>
              <w:t>valdes loceklis</w:t>
            </w:r>
          </w:p>
        </w:tc>
        <w:tc>
          <w:tcPr>
            <w:tcW w:w="2006" w:type="dxa"/>
          </w:tcPr>
          <w:p w14:paraId="5143D542" w14:textId="77777777" w:rsidR="00F53AD0" w:rsidRPr="00014552" w:rsidRDefault="00F53AD0" w:rsidP="002C0E6B">
            <w:pPr>
              <w:jc w:val="both"/>
              <w:rPr>
                <w:rFonts w:ascii="Times New Roman" w:hAnsi="Times New Roman"/>
                <w:sz w:val="20"/>
                <w:szCs w:val="20"/>
                <w:lang w:val="lv-LV"/>
              </w:rPr>
            </w:pPr>
            <w:r w:rsidRPr="00014552">
              <w:rPr>
                <w:rFonts w:ascii="Times New Roman" w:hAnsi="Times New Roman"/>
                <w:sz w:val="20"/>
                <w:szCs w:val="20"/>
                <w:lang w:val="lv-LV"/>
              </w:rPr>
              <w:t>59 028</w:t>
            </w:r>
          </w:p>
        </w:tc>
        <w:tc>
          <w:tcPr>
            <w:tcW w:w="1417" w:type="dxa"/>
          </w:tcPr>
          <w:p w14:paraId="3259325F" w14:textId="77777777" w:rsidR="00F53AD0" w:rsidRPr="00014552" w:rsidRDefault="00F53AD0" w:rsidP="002C0E6B">
            <w:pPr>
              <w:jc w:val="both"/>
              <w:rPr>
                <w:rFonts w:ascii="Times New Roman" w:hAnsi="Times New Roman"/>
                <w:sz w:val="20"/>
                <w:szCs w:val="20"/>
                <w:lang w:val="lv-LV"/>
              </w:rPr>
            </w:pPr>
            <w:r w:rsidRPr="00014552">
              <w:rPr>
                <w:rFonts w:ascii="Times New Roman" w:hAnsi="Times New Roman"/>
                <w:sz w:val="20"/>
                <w:szCs w:val="20"/>
                <w:lang w:val="lv-LV"/>
              </w:rPr>
              <w:t>31.70 %</w:t>
            </w:r>
          </w:p>
        </w:tc>
        <w:tc>
          <w:tcPr>
            <w:tcW w:w="1276" w:type="dxa"/>
          </w:tcPr>
          <w:p w14:paraId="22EE47D8" w14:textId="77777777" w:rsidR="00F53AD0" w:rsidRPr="00014552" w:rsidRDefault="00F53AD0" w:rsidP="002C0E6B">
            <w:pPr>
              <w:jc w:val="both"/>
              <w:rPr>
                <w:rFonts w:ascii="Times New Roman" w:hAnsi="Times New Roman"/>
                <w:sz w:val="20"/>
                <w:szCs w:val="20"/>
                <w:lang w:val="lv-LV"/>
              </w:rPr>
            </w:pPr>
            <w:r w:rsidRPr="00014552">
              <w:rPr>
                <w:rFonts w:ascii="Times New Roman" w:hAnsi="Times New Roman"/>
                <w:sz w:val="20"/>
                <w:szCs w:val="20"/>
                <w:lang w:val="lv-LV"/>
              </w:rPr>
              <w:t>68.30 %</w:t>
            </w:r>
          </w:p>
        </w:tc>
      </w:tr>
      <w:tr w:rsidR="00F53AD0" w:rsidRPr="0036171D" w14:paraId="45ADD561" w14:textId="77777777" w:rsidTr="002C0E6B">
        <w:tc>
          <w:tcPr>
            <w:tcW w:w="1838" w:type="dxa"/>
          </w:tcPr>
          <w:p w14:paraId="010EE29C" w14:textId="77777777" w:rsidR="00F53AD0" w:rsidRPr="00014552" w:rsidRDefault="00F53AD0" w:rsidP="002C0E6B">
            <w:pPr>
              <w:jc w:val="both"/>
              <w:rPr>
                <w:rFonts w:ascii="Times New Roman" w:hAnsi="Times New Roman"/>
                <w:sz w:val="20"/>
                <w:szCs w:val="20"/>
                <w:lang w:val="lv-LV"/>
              </w:rPr>
            </w:pPr>
            <w:r w:rsidRPr="00014552">
              <w:rPr>
                <w:rFonts w:ascii="Times New Roman" w:hAnsi="Times New Roman"/>
                <w:sz w:val="20"/>
                <w:szCs w:val="20"/>
                <w:lang w:val="lv-LV"/>
              </w:rPr>
              <w:t>Anatolijs Ahmetovs</w:t>
            </w:r>
          </w:p>
        </w:tc>
        <w:tc>
          <w:tcPr>
            <w:tcW w:w="2105" w:type="dxa"/>
          </w:tcPr>
          <w:p w14:paraId="331821A3" w14:textId="77777777" w:rsidR="00F53AD0" w:rsidRPr="00014552" w:rsidRDefault="00F53AD0" w:rsidP="002C0E6B">
            <w:pPr>
              <w:jc w:val="both"/>
              <w:rPr>
                <w:rFonts w:ascii="Times New Roman" w:hAnsi="Times New Roman"/>
                <w:sz w:val="20"/>
                <w:szCs w:val="20"/>
                <w:lang w:val="lv-LV"/>
              </w:rPr>
            </w:pPr>
            <w:r w:rsidRPr="00014552">
              <w:rPr>
                <w:rFonts w:ascii="Times New Roman" w:hAnsi="Times New Roman"/>
                <w:sz w:val="20"/>
                <w:szCs w:val="20"/>
                <w:lang w:val="lv-LV"/>
              </w:rPr>
              <w:t>valdes loceklis</w:t>
            </w:r>
          </w:p>
        </w:tc>
        <w:tc>
          <w:tcPr>
            <w:tcW w:w="2006" w:type="dxa"/>
          </w:tcPr>
          <w:p w14:paraId="3FCF2F13" w14:textId="77777777" w:rsidR="00F53AD0" w:rsidRPr="00014552" w:rsidRDefault="00F53AD0" w:rsidP="002C0E6B">
            <w:pPr>
              <w:jc w:val="both"/>
              <w:rPr>
                <w:rFonts w:ascii="Times New Roman" w:hAnsi="Times New Roman"/>
                <w:sz w:val="20"/>
                <w:szCs w:val="20"/>
                <w:lang w:val="lv-LV"/>
              </w:rPr>
            </w:pPr>
            <w:r w:rsidRPr="00014552">
              <w:rPr>
                <w:rFonts w:ascii="Times New Roman" w:hAnsi="Times New Roman"/>
                <w:sz w:val="20"/>
                <w:szCs w:val="20"/>
                <w:lang w:val="lv-LV"/>
              </w:rPr>
              <w:t>48 477</w:t>
            </w:r>
          </w:p>
        </w:tc>
        <w:tc>
          <w:tcPr>
            <w:tcW w:w="1417" w:type="dxa"/>
          </w:tcPr>
          <w:p w14:paraId="0A4DCE79" w14:textId="77777777" w:rsidR="00F53AD0" w:rsidRPr="00014552" w:rsidRDefault="00F53AD0" w:rsidP="002C0E6B">
            <w:pPr>
              <w:jc w:val="both"/>
              <w:rPr>
                <w:rFonts w:ascii="Times New Roman" w:hAnsi="Times New Roman"/>
                <w:sz w:val="20"/>
                <w:szCs w:val="20"/>
                <w:lang w:val="lv-LV"/>
              </w:rPr>
            </w:pPr>
            <w:r w:rsidRPr="00014552">
              <w:rPr>
                <w:rFonts w:ascii="Times New Roman" w:hAnsi="Times New Roman"/>
                <w:sz w:val="20"/>
                <w:szCs w:val="20"/>
                <w:lang w:val="lv-LV"/>
              </w:rPr>
              <w:t>47.20 %</w:t>
            </w:r>
          </w:p>
        </w:tc>
        <w:tc>
          <w:tcPr>
            <w:tcW w:w="1276" w:type="dxa"/>
          </w:tcPr>
          <w:p w14:paraId="65F6BC97" w14:textId="77777777" w:rsidR="00F53AD0" w:rsidRPr="00014552" w:rsidRDefault="00F53AD0" w:rsidP="002C0E6B">
            <w:pPr>
              <w:jc w:val="both"/>
              <w:rPr>
                <w:rFonts w:ascii="Times New Roman" w:hAnsi="Times New Roman"/>
                <w:sz w:val="20"/>
                <w:szCs w:val="20"/>
                <w:lang w:val="lv-LV"/>
              </w:rPr>
            </w:pPr>
            <w:r w:rsidRPr="00014552">
              <w:rPr>
                <w:rFonts w:ascii="Times New Roman" w:hAnsi="Times New Roman"/>
                <w:sz w:val="20"/>
                <w:szCs w:val="20"/>
                <w:lang w:val="lv-LV"/>
              </w:rPr>
              <w:t>52.80 %</w:t>
            </w:r>
          </w:p>
        </w:tc>
      </w:tr>
    </w:tbl>
    <w:p w14:paraId="329FFE89" w14:textId="77777777" w:rsidR="00F53AD0" w:rsidRPr="001A0038" w:rsidRDefault="00F53AD0" w:rsidP="00EA65BF">
      <w:pPr>
        <w:spacing w:after="0" w:line="240" w:lineRule="auto"/>
        <w:jc w:val="both"/>
        <w:rPr>
          <w:rFonts w:ascii="Times New Roman" w:hAnsi="Times New Roman" w:cs="Times New Roman"/>
          <w:sz w:val="20"/>
          <w:szCs w:val="20"/>
        </w:rPr>
      </w:pPr>
    </w:p>
    <w:tbl>
      <w:tblPr>
        <w:tblStyle w:val="TableGrid"/>
        <w:tblW w:w="8642" w:type="dxa"/>
        <w:tblLook w:val="04A0" w:firstRow="1" w:lastRow="0" w:firstColumn="1" w:lastColumn="0" w:noHBand="0" w:noVBand="1"/>
      </w:tblPr>
      <w:tblGrid>
        <w:gridCol w:w="1838"/>
        <w:gridCol w:w="2105"/>
        <w:gridCol w:w="2006"/>
        <w:gridCol w:w="1417"/>
        <w:gridCol w:w="1276"/>
      </w:tblGrid>
      <w:tr w:rsidR="00F53AD0" w:rsidRPr="0036171D" w14:paraId="151866AC" w14:textId="77777777" w:rsidTr="002C0E6B">
        <w:tc>
          <w:tcPr>
            <w:tcW w:w="1838" w:type="dxa"/>
          </w:tcPr>
          <w:p w14:paraId="612DB7E8" w14:textId="77777777" w:rsidR="00F53AD0" w:rsidRPr="00014552" w:rsidRDefault="00F53AD0" w:rsidP="002C0E6B">
            <w:pPr>
              <w:rPr>
                <w:rFonts w:ascii="Times New Roman" w:hAnsi="Times New Roman"/>
                <w:sz w:val="20"/>
                <w:szCs w:val="20"/>
                <w:lang w:val="lv-LV"/>
              </w:rPr>
            </w:pPr>
            <w:r w:rsidRPr="00014552">
              <w:rPr>
                <w:rFonts w:ascii="Times New Roman" w:hAnsi="Times New Roman"/>
                <w:sz w:val="20"/>
                <w:szCs w:val="20"/>
                <w:lang w:val="lv-LV"/>
              </w:rPr>
              <w:t>Vārds, Uzvārds</w:t>
            </w:r>
          </w:p>
        </w:tc>
        <w:tc>
          <w:tcPr>
            <w:tcW w:w="2105" w:type="dxa"/>
          </w:tcPr>
          <w:p w14:paraId="31F51D51" w14:textId="77777777" w:rsidR="00F53AD0" w:rsidRPr="00014552" w:rsidRDefault="00F53AD0" w:rsidP="002C0E6B">
            <w:pPr>
              <w:rPr>
                <w:rFonts w:ascii="Times New Roman" w:hAnsi="Times New Roman"/>
                <w:sz w:val="20"/>
                <w:szCs w:val="20"/>
                <w:lang w:val="lv-LV"/>
              </w:rPr>
            </w:pPr>
            <w:r w:rsidRPr="00014552">
              <w:rPr>
                <w:rFonts w:ascii="Times New Roman" w:hAnsi="Times New Roman"/>
                <w:sz w:val="20"/>
                <w:szCs w:val="20"/>
                <w:lang w:val="lv-LV"/>
              </w:rPr>
              <w:t>Amats</w:t>
            </w:r>
          </w:p>
        </w:tc>
        <w:tc>
          <w:tcPr>
            <w:tcW w:w="2006" w:type="dxa"/>
          </w:tcPr>
          <w:p w14:paraId="237284B2" w14:textId="77777777" w:rsidR="00F53AD0" w:rsidRPr="00014552" w:rsidRDefault="00F53AD0" w:rsidP="002C0E6B">
            <w:pPr>
              <w:rPr>
                <w:rFonts w:ascii="Times New Roman" w:hAnsi="Times New Roman"/>
                <w:sz w:val="20"/>
                <w:szCs w:val="20"/>
                <w:lang w:val="lv-LV"/>
              </w:rPr>
            </w:pPr>
            <w:r w:rsidRPr="00014552">
              <w:rPr>
                <w:rFonts w:ascii="Times New Roman" w:hAnsi="Times New Roman"/>
                <w:sz w:val="20"/>
                <w:szCs w:val="20"/>
                <w:lang w:val="lv-LV"/>
              </w:rPr>
              <w:t>2020.gadā izmaksātais atalgojums, EUR</w:t>
            </w:r>
          </w:p>
        </w:tc>
        <w:tc>
          <w:tcPr>
            <w:tcW w:w="1417" w:type="dxa"/>
          </w:tcPr>
          <w:p w14:paraId="7B595316" w14:textId="77777777" w:rsidR="00F53AD0" w:rsidRPr="00014552" w:rsidRDefault="00F53AD0" w:rsidP="002C0E6B">
            <w:pPr>
              <w:rPr>
                <w:rFonts w:ascii="Times New Roman" w:hAnsi="Times New Roman"/>
                <w:sz w:val="20"/>
                <w:szCs w:val="20"/>
                <w:lang w:val="lv-LV"/>
              </w:rPr>
            </w:pPr>
            <w:r w:rsidRPr="00014552">
              <w:rPr>
                <w:rFonts w:ascii="Times New Roman" w:hAnsi="Times New Roman"/>
                <w:sz w:val="20"/>
                <w:szCs w:val="20"/>
                <w:lang w:val="lv-LV"/>
              </w:rPr>
              <w:t>Atalgojuma nemainīgā daļa, %</w:t>
            </w:r>
          </w:p>
        </w:tc>
        <w:tc>
          <w:tcPr>
            <w:tcW w:w="1276" w:type="dxa"/>
          </w:tcPr>
          <w:p w14:paraId="2CD57C90" w14:textId="77777777" w:rsidR="00F53AD0" w:rsidRPr="00014552" w:rsidRDefault="00F53AD0" w:rsidP="002C0E6B">
            <w:pPr>
              <w:rPr>
                <w:rFonts w:ascii="Times New Roman" w:hAnsi="Times New Roman"/>
                <w:sz w:val="20"/>
                <w:szCs w:val="20"/>
                <w:lang w:val="lv-LV"/>
              </w:rPr>
            </w:pPr>
            <w:r w:rsidRPr="00014552">
              <w:rPr>
                <w:rFonts w:ascii="Times New Roman" w:hAnsi="Times New Roman"/>
                <w:sz w:val="20"/>
                <w:szCs w:val="20"/>
                <w:lang w:val="lv-LV"/>
              </w:rPr>
              <w:t>Atalgojuma mainīgā daļa, %</w:t>
            </w:r>
          </w:p>
        </w:tc>
      </w:tr>
      <w:tr w:rsidR="00F53AD0" w:rsidRPr="0036171D" w14:paraId="27A67E0C" w14:textId="77777777" w:rsidTr="002C0E6B">
        <w:tc>
          <w:tcPr>
            <w:tcW w:w="1838" w:type="dxa"/>
          </w:tcPr>
          <w:p w14:paraId="64279D76" w14:textId="77777777" w:rsidR="00F53AD0" w:rsidRPr="00014552" w:rsidRDefault="00F53AD0" w:rsidP="002C0E6B">
            <w:pPr>
              <w:jc w:val="both"/>
              <w:rPr>
                <w:rFonts w:ascii="Times New Roman" w:hAnsi="Times New Roman"/>
                <w:sz w:val="20"/>
                <w:szCs w:val="20"/>
                <w:lang w:val="lv-LV"/>
              </w:rPr>
            </w:pPr>
            <w:r w:rsidRPr="00014552">
              <w:rPr>
                <w:rFonts w:ascii="Times New Roman" w:hAnsi="Times New Roman"/>
                <w:sz w:val="20"/>
                <w:szCs w:val="20"/>
                <w:lang w:val="lv-LV"/>
              </w:rPr>
              <w:t>Jānis Birks</w:t>
            </w:r>
          </w:p>
        </w:tc>
        <w:tc>
          <w:tcPr>
            <w:tcW w:w="2105" w:type="dxa"/>
          </w:tcPr>
          <w:p w14:paraId="5ED0B4EC" w14:textId="77777777" w:rsidR="00F53AD0" w:rsidRPr="00014552" w:rsidRDefault="00F53AD0" w:rsidP="002C0E6B">
            <w:pPr>
              <w:jc w:val="both"/>
              <w:rPr>
                <w:rFonts w:ascii="Times New Roman" w:hAnsi="Times New Roman"/>
                <w:sz w:val="20"/>
                <w:szCs w:val="20"/>
                <w:lang w:val="lv-LV"/>
              </w:rPr>
            </w:pPr>
            <w:r w:rsidRPr="00014552">
              <w:rPr>
                <w:rFonts w:ascii="Times New Roman" w:hAnsi="Times New Roman"/>
                <w:sz w:val="20"/>
                <w:szCs w:val="20"/>
                <w:lang w:val="lv-LV"/>
              </w:rPr>
              <w:t>valdes priekšsēdētājs</w:t>
            </w:r>
          </w:p>
        </w:tc>
        <w:tc>
          <w:tcPr>
            <w:tcW w:w="2006" w:type="dxa"/>
          </w:tcPr>
          <w:p w14:paraId="07B9A1A5" w14:textId="77777777" w:rsidR="00F53AD0" w:rsidRPr="00014552" w:rsidRDefault="00F53AD0" w:rsidP="002C0E6B">
            <w:pPr>
              <w:jc w:val="both"/>
              <w:rPr>
                <w:rFonts w:ascii="Times New Roman" w:hAnsi="Times New Roman"/>
                <w:sz w:val="20"/>
                <w:szCs w:val="20"/>
                <w:lang w:val="lv-LV"/>
              </w:rPr>
            </w:pPr>
            <w:r w:rsidRPr="00014552">
              <w:rPr>
                <w:rFonts w:ascii="Times New Roman" w:hAnsi="Times New Roman"/>
                <w:sz w:val="20"/>
                <w:szCs w:val="20"/>
                <w:lang w:val="lv-LV"/>
              </w:rPr>
              <w:t>74 315</w:t>
            </w:r>
          </w:p>
        </w:tc>
        <w:tc>
          <w:tcPr>
            <w:tcW w:w="1417" w:type="dxa"/>
          </w:tcPr>
          <w:p w14:paraId="777AFD99" w14:textId="77777777" w:rsidR="00F53AD0" w:rsidRPr="00014552" w:rsidRDefault="00F53AD0" w:rsidP="002C0E6B">
            <w:pPr>
              <w:jc w:val="both"/>
              <w:rPr>
                <w:rFonts w:ascii="Times New Roman" w:hAnsi="Times New Roman"/>
                <w:sz w:val="20"/>
                <w:szCs w:val="20"/>
                <w:lang w:val="lv-LV"/>
              </w:rPr>
            </w:pPr>
            <w:r w:rsidRPr="00014552">
              <w:rPr>
                <w:rFonts w:ascii="Times New Roman" w:hAnsi="Times New Roman"/>
                <w:sz w:val="20"/>
                <w:szCs w:val="20"/>
                <w:lang w:val="lv-LV"/>
              </w:rPr>
              <w:t>29.74 %</w:t>
            </w:r>
          </w:p>
        </w:tc>
        <w:tc>
          <w:tcPr>
            <w:tcW w:w="1276" w:type="dxa"/>
          </w:tcPr>
          <w:p w14:paraId="445FBB70" w14:textId="77777777" w:rsidR="00F53AD0" w:rsidRPr="00014552" w:rsidRDefault="00F53AD0" w:rsidP="002C0E6B">
            <w:pPr>
              <w:jc w:val="both"/>
              <w:rPr>
                <w:rFonts w:ascii="Times New Roman" w:hAnsi="Times New Roman"/>
                <w:sz w:val="20"/>
                <w:szCs w:val="20"/>
                <w:lang w:val="lv-LV"/>
              </w:rPr>
            </w:pPr>
            <w:r w:rsidRPr="00014552">
              <w:rPr>
                <w:rFonts w:ascii="Times New Roman" w:hAnsi="Times New Roman"/>
                <w:sz w:val="20"/>
                <w:szCs w:val="20"/>
                <w:lang w:val="lv-LV"/>
              </w:rPr>
              <w:t>70.26 %</w:t>
            </w:r>
          </w:p>
        </w:tc>
      </w:tr>
      <w:tr w:rsidR="00F53AD0" w:rsidRPr="0036171D" w14:paraId="0F64C646" w14:textId="77777777" w:rsidTr="002C0E6B">
        <w:tc>
          <w:tcPr>
            <w:tcW w:w="1838" w:type="dxa"/>
          </w:tcPr>
          <w:p w14:paraId="393E5B57" w14:textId="77777777" w:rsidR="00F53AD0" w:rsidRPr="00014552" w:rsidRDefault="00F53AD0" w:rsidP="002C0E6B">
            <w:pPr>
              <w:jc w:val="both"/>
              <w:rPr>
                <w:rFonts w:ascii="Times New Roman" w:hAnsi="Times New Roman"/>
                <w:sz w:val="20"/>
                <w:szCs w:val="20"/>
                <w:lang w:val="lv-LV"/>
              </w:rPr>
            </w:pPr>
            <w:r w:rsidRPr="00014552">
              <w:rPr>
                <w:rFonts w:ascii="Times New Roman" w:hAnsi="Times New Roman"/>
                <w:sz w:val="20"/>
                <w:szCs w:val="20"/>
                <w:lang w:val="lv-LV"/>
              </w:rPr>
              <w:t>Juris Imaks</w:t>
            </w:r>
          </w:p>
        </w:tc>
        <w:tc>
          <w:tcPr>
            <w:tcW w:w="2105" w:type="dxa"/>
          </w:tcPr>
          <w:p w14:paraId="2842EF4D" w14:textId="77777777" w:rsidR="00F53AD0" w:rsidRPr="00014552" w:rsidRDefault="00F53AD0" w:rsidP="002C0E6B">
            <w:pPr>
              <w:jc w:val="both"/>
              <w:rPr>
                <w:rFonts w:ascii="Times New Roman" w:hAnsi="Times New Roman"/>
                <w:sz w:val="20"/>
                <w:szCs w:val="20"/>
                <w:lang w:val="lv-LV"/>
              </w:rPr>
            </w:pPr>
            <w:r w:rsidRPr="00014552">
              <w:rPr>
                <w:rFonts w:ascii="Times New Roman" w:hAnsi="Times New Roman"/>
                <w:sz w:val="20"/>
                <w:szCs w:val="20"/>
                <w:lang w:val="lv-LV"/>
              </w:rPr>
              <w:t>valdes loceklis</w:t>
            </w:r>
          </w:p>
        </w:tc>
        <w:tc>
          <w:tcPr>
            <w:tcW w:w="2006" w:type="dxa"/>
          </w:tcPr>
          <w:p w14:paraId="2AE31685" w14:textId="77777777" w:rsidR="00F53AD0" w:rsidRPr="00014552" w:rsidRDefault="00F53AD0" w:rsidP="002C0E6B">
            <w:pPr>
              <w:jc w:val="both"/>
              <w:rPr>
                <w:rFonts w:ascii="Times New Roman" w:hAnsi="Times New Roman"/>
                <w:sz w:val="20"/>
                <w:szCs w:val="20"/>
                <w:lang w:val="lv-LV"/>
              </w:rPr>
            </w:pPr>
            <w:r w:rsidRPr="00014552">
              <w:rPr>
                <w:rFonts w:ascii="Times New Roman" w:hAnsi="Times New Roman"/>
                <w:sz w:val="20"/>
                <w:szCs w:val="20"/>
                <w:lang w:val="lv-LV"/>
              </w:rPr>
              <w:t>49 309</w:t>
            </w:r>
          </w:p>
        </w:tc>
        <w:tc>
          <w:tcPr>
            <w:tcW w:w="1417" w:type="dxa"/>
          </w:tcPr>
          <w:p w14:paraId="64E3B2F9" w14:textId="77777777" w:rsidR="00F53AD0" w:rsidRPr="00014552" w:rsidRDefault="00F53AD0" w:rsidP="002C0E6B">
            <w:pPr>
              <w:jc w:val="both"/>
              <w:rPr>
                <w:rFonts w:ascii="Times New Roman" w:hAnsi="Times New Roman"/>
                <w:sz w:val="20"/>
                <w:szCs w:val="20"/>
                <w:lang w:val="lv-LV"/>
              </w:rPr>
            </w:pPr>
            <w:r w:rsidRPr="00014552">
              <w:rPr>
                <w:rFonts w:ascii="Times New Roman" w:hAnsi="Times New Roman"/>
                <w:sz w:val="20"/>
                <w:szCs w:val="20"/>
                <w:lang w:val="lv-LV"/>
              </w:rPr>
              <w:t>35.40 %</w:t>
            </w:r>
          </w:p>
        </w:tc>
        <w:tc>
          <w:tcPr>
            <w:tcW w:w="1276" w:type="dxa"/>
          </w:tcPr>
          <w:p w14:paraId="0E55DF50" w14:textId="77777777" w:rsidR="00F53AD0" w:rsidRPr="00014552" w:rsidRDefault="00F53AD0" w:rsidP="002C0E6B">
            <w:pPr>
              <w:jc w:val="both"/>
              <w:rPr>
                <w:rFonts w:ascii="Times New Roman" w:hAnsi="Times New Roman"/>
                <w:sz w:val="20"/>
                <w:szCs w:val="20"/>
                <w:lang w:val="lv-LV"/>
              </w:rPr>
            </w:pPr>
            <w:r w:rsidRPr="00014552">
              <w:rPr>
                <w:rFonts w:ascii="Times New Roman" w:hAnsi="Times New Roman"/>
                <w:sz w:val="20"/>
                <w:szCs w:val="20"/>
                <w:lang w:val="lv-LV"/>
              </w:rPr>
              <w:t>64.60 %</w:t>
            </w:r>
          </w:p>
        </w:tc>
      </w:tr>
      <w:tr w:rsidR="00F53AD0" w:rsidRPr="0036171D" w14:paraId="6F813734" w14:textId="77777777" w:rsidTr="002C0E6B">
        <w:tc>
          <w:tcPr>
            <w:tcW w:w="1838" w:type="dxa"/>
          </w:tcPr>
          <w:p w14:paraId="2817267A" w14:textId="77777777" w:rsidR="00F53AD0" w:rsidRPr="00014552" w:rsidRDefault="00F53AD0" w:rsidP="002C0E6B">
            <w:pPr>
              <w:jc w:val="both"/>
              <w:rPr>
                <w:rFonts w:ascii="Times New Roman" w:hAnsi="Times New Roman"/>
                <w:sz w:val="20"/>
                <w:szCs w:val="20"/>
                <w:lang w:val="lv-LV"/>
              </w:rPr>
            </w:pPr>
            <w:r w:rsidRPr="00014552">
              <w:rPr>
                <w:rFonts w:ascii="Times New Roman" w:hAnsi="Times New Roman"/>
                <w:sz w:val="20"/>
                <w:szCs w:val="20"/>
                <w:lang w:val="lv-LV"/>
              </w:rPr>
              <w:t>Anatolijs Ahmetovs</w:t>
            </w:r>
          </w:p>
        </w:tc>
        <w:tc>
          <w:tcPr>
            <w:tcW w:w="2105" w:type="dxa"/>
          </w:tcPr>
          <w:p w14:paraId="1B2BCEE5" w14:textId="77777777" w:rsidR="00F53AD0" w:rsidRPr="00014552" w:rsidRDefault="00F53AD0" w:rsidP="002C0E6B">
            <w:pPr>
              <w:jc w:val="both"/>
              <w:rPr>
                <w:rFonts w:ascii="Times New Roman" w:hAnsi="Times New Roman"/>
                <w:sz w:val="20"/>
                <w:szCs w:val="20"/>
                <w:lang w:val="lv-LV"/>
              </w:rPr>
            </w:pPr>
            <w:r w:rsidRPr="00014552">
              <w:rPr>
                <w:rFonts w:ascii="Times New Roman" w:hAnsi="Times New Roman"/>
                <w:sz w:val="20"/>
                <w:szCs w:val="20"/>
                <w:lang w:val="lv-LV"/>
              </w:rPr>
              <w:t>valdes loceklis</w:t>
            </w:r>
          </w:p>
        </w:tc>
        <w:tc>
          <w:tcPr>
            <w:tcW w:w="2006" w:type="dxa"/>
          </w:tcPr>
          <w:p w14:paraId="7AACDFFC" w14:textId="77777777" w:rsidR="00F53AD0" w:rsidRPr="00014552" w:rsidRDefault="00F53AD0" w:rsidP="002C0E6B">
            <w:pPr>
              <w:jc w:val="both"/>
              <w:rPr>
                <w:rFonts w:ascii="Times New Roman" w:hAnsi="Times New Roman"/>
                <w:sz w:val="20"/>
                <w:szCs w:val="20"/>
                <w:lang w:val="lv-LV"/>
              </w:rPr>
            </w:pPr>
            <w:r w:rsidRPr="00014552">
              <w:rPr>
                <w:rFonts w:ascii="Times New Roman" w:hAnsi="Times New Roman"/>
                <w:sz w:val="20"/>
                <w:szCs w:val="20"/>
                <w:lang w:val="lv-LV"/>
              </w:rPr>
              <w:t>42 000</w:t>
            </w:r>
          </w:p>
        </w:tc>
        <w:tc>
          <w:tcPr>
            <w:tcW w:w="1417" w:type="dxa"/>
          </w:tcPr>
          <w:p w14:paraId="5519BA9C" w14:textId="77777777" w:rsidR="00F53AD0" w:rsidRPr="00014552" w:rsidRDefault="00F53AD0" w:rsidP="002C0E6B">
            <w:pPr>
              <w:jc w:val="both"/>
              <w:rPr>
                <w:rFonts w:ascii="Times New Roman" w:hAnsi="Times New Roman"/>
                <w:sz w:val="20"/>
                <w:szCs w:val="20"/>
                <w:lang w:val="lv-LV"/>
              </w:rPr>
            </w:pPr>
            <w:r w:rsidRPr="00014552">
              <w:rPr>
                <w:rFonts w:ascii="Times New Roman" w:hAnsi="Times New Roman"/>
                <w:sz w:val="20"/>
                <w:szCs w:val="20"/>
                <w:lang w:val="lv-LV"/>
              </w:rPr>
              <w:t>48.82 %</w:t>
            </w:r>
          </w:p>
        </w:tc>
        <w:tc>
          <w:tcPr>
            <w:tcW w:w="1276" w:type="dxa"/>
          </w:tcPr>
          <w:p w14:paraId="5718DA72" w14:textId="77777777" w:rsidR="00F53AD0" w:rsidRPr="00014552" w:rsidRDefault="00F53AD0" w:rsidP="002C0E6B">
            <w:pPr>
              <w:jc w:val="both"/>
              <w:rPr>
                <w:rFonts w:ascii="Times New Roman" w:hAnsi="Times New Roman"/>
                <w:sz w:val="20"/>
                <w:szCs w:val="20"/>
                <w:lang w:val="lv-LV"/>
              </w:rPr>
            </w:pPr>
            <w:r w:rsidRPr="00014552">
              <w:rPr>
                <w:rFonts w:ascii="Times New Roman" w:hAnsi="Times New Roman"/>
                <w:sz w:val="20"/>
                <w:szCs w:val="20"/>
                <w:lang w:val="lv-LV"/>
              </w:rPr>
              <w:t>51.18 %</w:t>
            </w:r>
          </w:p>
        </w:tc>
      </w:tr>
    </w:tbl>
    <w:p w14:paraId="3389DBDD" w14:textId="77777777" w:rsidR="00394F67" w:rsidRPr="001A0038" w:rsidRDefault="00394F67" w:rsidP="00EA65BF">
      <w:pPr>
        <w:spacing w:after="0" w:line="240" w:lineRule="auto"/>
        <w:jc w:val="both"/>
        <w:rPr>
          <w:rFonts w:ascii="Times New Roman" w:hAnsi="Times New Roman" w:cs="Times New Roman"/>
          <w:sz w:val="20"/>
          <w:szCs w:val="20"/>
        </w:rPr>
      </w:pPr>
    </w:p>
    <w:p w14:paraId="79992DE6" w14:textId="77777777" w:rsidR="00F53AD0" w:rsidRDefault="00F53AD0" w:rsidP="00EA65BF">
      <w:pPr>
        <w:spacing w:after="0" w:line="240" w:lineRule="auto"/>
        <w:jc w:val="both"/>
        <w:rPr>
          <w:rFonts w:ascii="Times New Roman" w:hAnsi="Times New Roman" w:cs="Times New Roman"/>
          <w:sz w:val="20"/>
          <w:szCs w:val="20"/>
        </w:rPr>
      </w:pPr>
    </w:p>
    <w:p w14:paraId="35711925" w14:textId="77777777" w:rsidR="00310DBD" w:rsidRPr="00014552" w:rsidRDefault="00310DBD" w:rsidP="00310DBD">
      <w:pPr>
        <w:jc w:val="both"/>
        <w:rPr>
          <w:rFonts w:ascii="Times New Roman" w:hAnsi="Times New Roman" w:cs="Times New Roman"/>
          <w:sz w:val="20"/>
          <w:szCs w:val="20"/>
        </w:rPr>
      </w:pPr>
      <w:bookmarkStart w:id="0" w:name="_Hlk133415918"/>
      <w:r w:rsidRPr="00014552">
        <w:rPr>
          <w:rFonts w:ascii="Times New Roman" w:hAnsi="Times New Roman" w:cs="Times New Roman"/>
          <w:sz w:val="20"/>
          <w:szCs w:val="20"/>
        </w:rPr>
        <w:t>Atalgojuma mainīgā daļa ir piesaistīta apgrozījuma apjomam, līdz ar to sniedzot dzinuli valdei panākt Sabiedrības izaugsmi.</w:t>
      </w:r>
    </w:p>
    <w:p w14:paraId="4EDE6766" w14:textId="77777777" w:rsidR="00310DBD" w:rsidRPr="00014552" w:rsidRDefault="00310DBD" w:rsidP="00310DBD">
      <w:pPr>
        <w:jc w:val="both"/>
        <w:rPr>
          <w:rFonts w:ascii="Times New Roman" w:hAnsi="Times New Roman" w:cs="Times New Roman"/>
          <w:sz w:val="20"/>
          <w:szCs w:val="20"/>
        </w:rPr>
      </w:pPr>
      <w:r w:rsidRPr="00014552">
        <w:rPr>
          <w:rFonts w:ascii="Times New Roman" w:hAnsi="Times New Roman" w:cs="Times New Roman"/>
          <w:sz w:val="20"/>
          <w:szCs w:val="20"/>
        </w:rPr>
        <w:t>Valdes un padomes locekļiem netika piešķirtas un piedāvātas akcijas un akciju opcijas.</w:t>
      </w:r>
    </w:p>
    <w:p w14:paraId="45318E6B" w14:textId="77777777" w:rsidR="00310DBD" w:rsidRPr="00014552" w:rsidRDefault="00310DBD" w:rsidP="00310DBD">
      <w:pPr>
        <w:jc w:val="both"/>
        <w:rPr>
          <w:rFonts w:ascii="Times New Roman" w:hAnsi="Times New Roman" w:cs="Times New Roman"/>
          <w:sz w:val="20"/>
          <w:szCs w:val="20"/>
        </w:rPr>
      </w:pPr>
      <w:r w:rsidRPr="00014552">
        <w:rPr>
          <w:rFonts w:ascii="Times New Roman" w:hAnsi="Times New Roman" w:cs="Times New Roman"/>
          <w:sz w:val="20"/>
          <w:szCs w:val="20"/>
        </w:rPr>
        <w:t>No valdes un padomes locekļiem netika atprasīta mainīgā atalgojuma daļa.</w:t>
      </w:r>
    </w:p>
    <w:p w14:paraId="19317AF6" w14:textId="77777777" w:rsidR="00310DBD" w:rsidRPr="00014552" w:rsidRDefault="00310DBD" w:rsidP="00310DBD">
      <w:pPr>
        <w:jc w:val="both"/>
        <w:rPr>
          <w:rFonts w:ascii="Times New Roman" w:hAnsi="Times New Roman" w:cs="Times New Roman"/>
          <w:sz w:val="20"/>
          <w:szCs w:val="20"/>
        </w:rPr>
      </w:pPr>
      <w:r w:rsidRPr="00014552">
        <w:rPr>
          <w:rFonts w:ascii="Times New Roman" w:hAnsi="Times New Roman" w:cs="Times New Roman"/>
          <w:sz w:val="20"/>
          <w:szCs w:val="20"/>
        </w:rPr>
        <w:t>Nebija izņēmumu gadījumu, kad tiktu piemērotas pagaidu atkāpes no atalgojuma politikas.</w:t>
      </w:r>
    </w:p>
    <w:bookmarkEnd w:id="0"/>
    <w:p w14:paraId="2DD51A7E" w14:textId="77777777" w:rsidR="00310DBD" w:rsidRPr="00014552" w:rsidRDefault="00310DBD" w:rsidP="00310DBD">
      <w:pPr>
        <w:shd w:val="clear" w:color="auto" w:fill="FFFFFF"/>
        <w:jc w:val="both"/>
        <w:rPr>
          <w:rFonts w:ascii="Times New Roman" w:hAnsi="Times New Roman" w:cs="Times New Roman"/>
          <w:sz w:val="20"/>
          <w:szCs w:val="20"/>
        </w:rPr>
      </w:pPr>
      <w:r w:rsidRPr="00014552">
        <w:rPr>
          <w:rFonts w:ascii="Times New Roman" w:hAnsi="Times New Roman" w:cs="Times New Roman"/>
          <w:sz w:val="20"/>
          <w:szCs w:val="20"/>
          <w:lang w:eastAsia="en-GB"/>
        </w:rPr>
        <w:t>Finanšu instrumentu tirgus likuma</w:t>
      </w:r>
      <w:r w:rsidRPr="00014552">
        <w:rPr>
          <w:rFonts w:ascii="Times New Roman" w:hAnsi="Times New Roman" w:cs="Times New Roman"/>
          <w:sz w:val="20"/>
          <w:szCs w:val="20"/>
        </w:rPr>
        <w:t xml:space="preserve"> 59.</w:t>
      </w:r>
      <w:r w:rsidRPr="00014552">
        <w:rPr>
          <w:rFonts w:ascii="Times New Roman" w:hAnsi="Times New Roman" w:cs="Times New Roman"/>
          <w:sz w:val="20"/>
          <w:szCs w:val="20"/>
          <w:vertAlign w:val="superscript"/>
        </w:rPr>
        <w:t>4</w:t>
      </w:r>
      <w:r w:rsidRPr="00014552">
        <w:rPr>
          <w:rFonts w:ascii="Times New Roman" w:hAnsi="Times New Roman" w:cs="Times New Roman"/>
          <w:sz w:val="20"/>
          <w:szCs w:val="20"/>
        </w:rPr>
        <w:t xml:space="preserve"> panta pirmās daļas 3.punkts paredz sniegt pēdējo piecu finanšu gadu periodā notikušās izmaiņas salīdzināmā veidā attiecībā uz valdes un padomes atalgojumu, kapitālsabiedrības darbības rezultātiem un kapitālsabiedrības ekvivalentas vienības pilnas slodzes darbinieku (izņemot valdes un padomes locekļus) vidējo atalgojumu.</w:t>
      </w:r>
    </w:p>
    <w:p w14:paraId="63662D3C" w14:textId="77777777" w:rsidR="00310DBD" w:rsidRPr="0036171D" w:rsidRDefault="00310DBD" w:rsidP="00310DBD">
      <w:pPr>
        <w:shd w:val="clear" w:color="auto" w:fill="FFFFFF"/>
        <w:jc w:val="both"/>
        <w:rPr>
          <w:rFonts w:ascii="Arial" w:hAnsi="Arial" w:cs="Arial"/>
          <w:color w:val="FF0000"/>
        </w:rPr>
      </w:pPr>
    </w:p>
    <w:p w14:paraId="61E2525A" w14:textId="77777777" w:rsidR="00310DBD" w:rsidRPr="00014552" w:rsidRDefault="00310DBD" w:rsidP="00310DBD">
      <w:pPr>
        <w:jc w:val="both"/>
        <w:rPr>
          <w:rFonts w:ascii="Times New Roman" w:hAnsi="Times New Roman" w:cs="Times New Roman"/>
          <w:sz w:val="20"/>
          <w:szCs w:val="20"/>
        </w:rPr>
      </w:pPr>
      <w:r w:rsidRPr="00014552">
        <w:rPr>
          <w:rFonts w:ascii="Times New Roman" w:hAnsi="Times New Roman" w:cs="Times New Roman"/>
          <w:sz w:val="20"/>
          <w:szCs w:val="20"/>
        </w:rPr>
        <w:lastRenderedPageBreak/>
        <w:t xml:space="preserve">Saskaņā ar </w:t>
      </w:r>
      <w:r w:rsidRPr="00014552">
        <w:rPr>
          <w:rFonts w:ascii="Times New Roman" w:hAnsi="Times New Roman" w:cs="Times New Roman"/>
          <w:sz w:val="20"/>
          <w:szCs w:val="20"/>
          <w:lang w:eastAsia="en-GB"/>
        </w:rPr>
        <w:t>Finanšu instrumentu tirgus likuma</w:t>
      </w:r>
      <w:r w:rsidRPr="00014552">
        <w:rPr>
          <w:rFonts w:ascii="Times New Roman" w:hAnsi="Times New Roman" w:cs="Times New Roman"/>
          <w:sz w:val="20"/>
          <w:szCs w:val="20"/>
        </w:rPr>
        <w:t xml:space="preserve"> pārejas noteikumu 66.punktu, likuma 59.</w:t>
      </w:r>
      <w:r w:rsidRPr="00014552">
        <w:rPr>
          <w:rFonts w:ascii="Times New Roman" w:hAnsi="Times New Roman" w:cs="Times New Roman"/>
          <w:sz w:val="20"/>
          <w:szCs w:val="20"/>
          <w:vertAlign w:val="superscript"/>
        </w:rPr>
        <w:t>4</w:t>
      </w:r>
      <w:r w:rsidRPr="00014552">
        <w:rPr>
          <w:rFonts w:ascii="Times New Roman" w:hAnsi="Times New Roman" w:cs="Times New Roman"/>
          <w:sz w:val="20"/>
          <w:szCs w:val="20"/>
        </w:rPr>
        <w:t xml:space="preserve"> panta pirmās daļas 3.punktā minēto izmaiņu salīdzinājums tiek sniegts </w:t>
      </w:r>
      <w:r w:rsidRPr="00014552">
        <w:rPr>
          <w:rFonts w:ascii="Times New Roman" w:hAnsi="Times New Roman" w:cs="Times New Roman"/>
          <w:sz w:val="20"/>
          <w:szCs w:val="20"/>
          <w:shd w:val="clear" w:color="auto" w:fill="FFFFFF"/>
        </w:rPr>
        <w:t xml:space="preserve">vismaz par to pēdējo piecu finanšu gadu periodu, kurš sākas ne vēlāk kā 2020.gada 1. janvārī. </w:t>
      </w:r>
    </w:p>
    <w:p w14:paraId="427E34B1" w14:textId="77777777" w:rsidR="00310DBD" w:rsidRPr="00014552" w:rsidRDefault="00310DBD" w:rsidP="00310DBD">
      <w:pPr>
        <w:shd w:val="clear" w:color="auto" w:fill="FFFFFF"/>
        <w:jc w:val="both"/>
        <w:rPr>
          <w:rFonts w:ascii="Times New Roman" w:hAnsi="Times New Roman" w:cs="Times New Roman"/>
          <w:color w:val="FF0000"/>
          <w:sz w:val="20"/>
          <w:szCs w:val="20"/>
          <w:highlight w:val="yellow"/>
        </w:rPr>
      </w:pPr>
    </w:p>
    <w:p w14:paraId="4AF648B0" w14:textId="7EB836A6" w:rsidR="00394F67" w:rsidRPr="00014552" w:rsidRDefault="00310DBD" w:rsidP="00310DBD">
      <w:pPr>
        <w:shd w:val="clear" w:color="auto" w:fill="FFFFFF"/>
        <w:spacing w:line="240" w:lineRule="auto"/>
        <w:jc w:val="both"/>
        <w:rPr>
          <w:rFonts w:ascii="Times New Roman" w:hAnsi="Times New Roman" w:cs="Times New Roman"/>
          <w:color w:val="FF0000"/>
          <w:sz w:val="20"/>
          <w:szCs w:val="20"/>
          <w:highlight w:val="yellow"/>
        </w:rPr>
      </w:pPr>
      <w:r w:rsidRPr="00014552">
        <w:rPr>
          <w:rFonts w:ascii="Times New Roman" w:hAnsi="Times New Roman" w:cs="Times New Roman"/>
          <w:sz w:val="20"/>
          <w:szCs w:val="20"/>
        </w:rPr>
        <w:t>Valdes un padomes atalgojums pēdējo 5 gadu laikā nav būtiski mainījies, kapitālsabiedrības darbības rezultāti atbilst Sabiedrības stratēģiskajiem mērķiem, pilnas slodzes darbinieku vidējais atalgojums ir pieaudzis atbilstoši darba tirgus kopējām tendencēm.</w:t>
      </w:r>
    </w:p>
    <w:p w14:paraId="11B77E7D" w14:textId="477C3316" w:rsidR="00BD11D0" w:rsidRPr="001A0038" w:rsidRDefault="00BD11D0" w:rsidP="00EA65BF">
      <w:pPr>
        <w:spacing w:after="0" w:line="240" w:lineRule="auto"/>
        <w:jc w:val="both"/>
        <w:rPr>
          <w:rFonts w:ascii="Times New Roman" w:hAnsi="Times New Roman" w:cs="Times New Roman"/>
          <w:sz w:val="20"/>
          <w:szCs w:val="20"/>
        </w:rPr>
      </w:pPr>
    </w:p>
    <w:p w14:paraId="02C0BD3F" w14:textId="77777777" w:rsidR="00BD11D0" w:rsidRPr="001A0038" w:rsidRDefault="00BD11D0" w:rsidP="00EA65BF">
      <w:pPr>
        <w:spacing w:after="0" w:line="240" w:lineRule="auto"/>
        <w:jc w:val="both"/>
        <w:rPr>
          <w:rFonts w:ascii="Times New Roman" w:hAnsi="Times New Roman" w:cs="Times New Roman"/>
          <w:sz w:val="20"/>
          <w:szCs w:val="20"/>
        </w:rPr>
      </w:pPr>
    </w:p>
    <w:tbl>
      <w:tblPr>
        <w:tblStyle w:val="TableGrid"/>
        <w:tblW w:w="644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02"/>
        <w:gridCol w:w="567"/>
        <w:gridCol w:w="505"/>
        <w:gridCol w:w="2567"/>
      </w:tblGrid>
      <w:tr w:rsidR="00EC798B" w:rsidRPr="001A0038" w14:paraId="2BB85A62" w14:textId="77777777" w:rsidTr="00747DD0">
        <w:tc>
          <w:tcPr>
            <w:tcW w:w="2802" w:type="dxa"/>
            <w:tcBorders>
              <w:top w:val="single" w:sz="4" w:space="0" w:color="auto"/>
            </w:tcBorders>
          </w:tcPr>
          <w:p w14:paraId="0E2D4311" w14:textId="77777777" w:rsidR="00EC798B" w:rsidRPr="001A0038" w:rsidRDefault="00EC798B" w:rsidP="00EA65BF">
            <w:pPr>
              <w:pStyle w:val="NoSpacing"/>
              <w:rPr>
                <w:rFonts w:ascii="Times New Roman" w:hAnsi="Times New Roman"/>
                <w:sz w:val="20"/>
                <w:szCs w:val="20"/>
                <w:lang w:val="lv-LV"/>
              </w:rPr>
            </w:pPr>
            <w:r w:rsidRPr="001A0038">
              <w:rPr>
                <w:rFonts w:ascii="Times New Roman" w:hAnsi="Times New Roman"/>
                <w:sz w:val="20"/>
                <w:szCs w:val="20"/>
                <w:lang w:val="lv-LV"/>
              </w:rPr>
              <w:t>Valdes priekšsēdētājs</w:t>
            </w:r>
          </w:p>
          <w:p w14:paraId="79729FF0" w14:textId="77777777" w:rsidR="00EC798B" w:rsidRPr="001A0038" w:rsidRDefault="00EC798B" w:rsidP="00EA65BF">
            <w:pPr>
              <w:pStyle w:val="NoSpacing"/>
              <w:rPr>
                <w:rFonts w:ascii="Times New Roman" w:hAnsi="Times New Roman"/>
                <w:sz w:val="20"/>
                <w:szCs w:val="20"/>
                <w:lang w:val="lv-LV"/>
              </w:rPr>
            </w:pPr>
            <w:r w:rsidRPr="001A0038">
              <w:rPr>
                <w:rFonts w:ascii="Times New Roman" w:hAnsi="Times New Roman"/>
                <w:sz w:val="20"/>
                <w:szCs w:val="20"/>
                <w:lang w:val="lv-LV"/>
              </w:rPr>
              <w:t>Jānis Birks</w:t>
            </w:r>
          </w:p>
          <w:p w14:paraId="3D6EC64E" w14:textId="77777777" w:rsidR="00EC798B" w:rsidRPr="001A0038" w:rsidRDefault="00EC798B" w:rsidP="00EA65BF">
            <w:pPr>
              <w:pStyle w:val="NoSpacing"/>
              <w:rPr>
                <w:rFonts w:ascii="Times New Roman" w:hAnsi="Times New Roman"/>
                <w:sz w:val="20"/>
                <w:szCs w:val="20"/>
                <w:lang w:val="lv-LV"/>
              </w:rPr>
            </w:pPr>
          </w:p>
        </w:tc>
        <w:tc>
          <w:tcPr>
            <w:tcW w:w="567" w:type="dxa"/>
          </w:tcPr>
          <w:p w14:paraId="5DBA6B96" w14:textId="77777777" w:rsidR="00EC798B" w:rsidRPr="001A0038" w:rsidRDefault="00EC798B" w:rsidP="00EA65BF">
            <w:pPr>
              <w:pStyle w:val="NoSpacing"/>
              <w:rPr>
                <w:rFonts w:ascii="Times New Roman" w:hAnsi="Times New Roman"/>
                <w:sz w:val="20"/>
                <w:szCs w:val="20"/>
                <w:lang w:val="lv-LV"/>
              </w:rPr>
            </w:pPr>
          </w:p>
        </w:tc>
        <w:tc>
          <w:tcPr>
            <w:tcW w:w="505" w:type="dxa"/>
          </w:tcPr>
          <w:p w14:paraId="53BE3DBF" w14:textId="77777777" w:rsidR="00EC798B" w:rsidRPr="001A0038" w:rsidRDefault="00EC798B" w:rsidP="00EA65BF">
            <w:pPr>
              <w:pStyle w:val="NoSpacing"/>
              <w:rPr>
                <w:rFonts w:ascii="Times New Roman" w:hAnsi="Times New Roman"/>
                <w:sz w:val="20"/>
                <w:szCs w:val="20"/>
                <w:lang w:val="lv-LV"/>
              </w:rPr>
            </w:pPr>
          </w:p>
        </w:tc>
        <w:tc>
          <w:tcPr>
            <w:tcW w:w="2567" w:type="dxa"/>
            <w:tcBorders>
              <w:top w:val="single" w:sz="4" w:space="0" w:color="auto"/>
            </w:tcBorders>
          </w:tcPr>
          <w:p w14:paraId="4453A393" w14:textId="77777777" w:rsidR="00EC798B" w:rsidRPr="001A0038" w:rsidRDefault="00EC798B" w:rsidP="00EA65BF">
            <w:pPr>
              <w:pStyle w:val="NoSpacing"/>
              <w:rPr>
                <w:rFonts w:ascii="Times New Roman" w:hAnsi="Times New Roman"/>
                <w:sz w:val="20"/>
                <w:szCs w:val="20"/>
                <w:lang w:val="lv-LV"/>
              </w:rPr>
            </w:pPr>
            <w:r w:rsidRPr="001A0038">
              <w:rPr>
                <w:rFonts w:ascii="Times New Roman" w:hAnsi="Times New Roman"/>
                <w:sz w:val="20"/>
                <w:szCs w:val="20"/>
                <w:lang w:val="lv-LV"/>
              </w:rPr>
              <w:t>Valdes loceklis</w:t>
            </w:r>
          </w:p>
          <w:p w14:paraId="57B71A6A" w14:textId="11E530B6" w:rsidR="00EC798B" w:rsidRPr="001A0038" w:rsidRDefault="00EC798B" w:rsidP="00EA65BF">
            <w:pPr>
              <w:pStyle w:val="NoSpacing"/>
              <w:rPr>
                <w:rFonts w:ascii="Times New Roman" w:hAnsi="Times New Roman"/>
                <w:sz w:val="20"/>
                <w:szCs w:val="20"/>
                <w:lang w:val="lv-LV"/>
              </w:rPr>
            </w:pPr>
            <w:r w:rsidRPr="001A0038">
              <w:rPr>
                <w:rFonts w:ascii="Times New Roman" w:hAnsi="Times New Roman"/>
                <w:sz w:val="20"/>
                <w:szCs w:val="20"/>
                <w:lang w:val="lv-LV"/>
              </w:rPr>
              <w:t>Juris Imaks</w:t>
            </w:r>
          </w:p>
          <w:p w14:paraId="208A6001" w14:textId="7791CE71" w:rsidR="00EC798B" w:rsidRPr="001A0038" w:rsidRDefault="00EC798B" w:rsidP="00EA65BF">
            <w:pPr>
              <w:pStyle w:val="NoSpacing"/>
              <w:rPr>
                <w:rFonts w:ascii="Times New Roman" w:hAnsi="Times New Roman"/>
                <w:sz w:val="20"/>
                <w:szCs w:val="20"/>
                <w:lang w:val="lv-LV"/>
              </w:rPr>
            </w:pPr>
          </w:p>
          <w:p w14:paraId="2FA9BB37" w14:textId="1D7FF1B1" w:rsidR="00EC798B" w:rsidRPr="001A0038" w:rsidRDefault="00EC798B" w:rsidP="00EA65BF">
            <w:pPr>
              <w:pStyle w:val="NoSpacing"/>
              <w:rPr>
                <w:rFonts w:ascii="Times New Roman" w:hAnsi="Times New Roman"/>
                <w:sz w:val="20"/>
                <w:szCs w:val="20"/>
                <w:lang w:val="lv-LV"/>
              </w:rPr>
            </w:pPr>
          </w:p>
          <w:p w14:paraId="5067DC6E" w14:textId="3B804C97" w:rsidR="00EC798B" w:rsidRPr="001A0038" w:rsidRDefault="00EC798B" w:rsidP="00EA65BF">
            <w:pPr>
              <w:pStyle w:val="NoSpacing"/>
              <w:rPr>
                <w:rFonts w:ascii="Times New Roman" w:hAnsi="Times New Roman"/>
                <w:sz w:val="20"/>
                <w:szCs w:val="20"/>
                <w:lang w:val="lv-LV"/>
              </w:rPr>
            </w:pPr>
          </w:p>
          <w:p w14:paraId="44071486" w14:textId="77777777" w:rsidR="00EC798B" w:rsidRPr="001A0038" w:rsidRDefault="00EC798B" w:rsidP="00EA65BF">
            <w:pPr>
              <w:pStyle w:val="NoSpacing"/>
              <w:rPr>
                <w:rFonts w:ascii="Times New Roman" w:hAnsi="Times New Roman"/>
                <w:sz w:val="20"/>
                <w:szCs w:val="20"/>
                <w:lang w:val="lv-LV"/>
              </w:rPr>
            </w:pPr>
          </w:p>
          <w:p w14:paraId="267D3072" w14:textId="77777777" w:rsidR="00EC798B" w:rsidRPr="001A0038" w:rsidRDefault="00EC798B" w:rsidP="00EA65BF">
            <w:pPr>
              <w:pStyle w:val="NoSpacing"/>
              <w:rPr>
                <w:rFonts w:ascii="Times New Roman" w:hAnsi="Times New Roman"/>
                <w:sz w:val="20"/>
                <w:szCs w:val="20"/>
                <w:lang w:val="lv-LV"/>
              </w:rPr>
            </w:pPr>
          </w:p>
        </w:tc>
      </w:tr>
      <w:tr w:rsidR="00EC798B" w:rsidRPr="001A0038" w14:paraId="3C2F3634" w14:textId="77777777" w:rsidTr="00747DD0">
        <w:tc>
          <w:tcPr>
            <w:tcW w:w="2802" w:type="dxa"/>
            <w:tcBorders>
              <w:top w:val="single" w:sz="4" w:space="0" w:color="auto"/>
            </w:tcBorders>
          </w:tcPr>
          <w:p w14:paraId="173FA53D" w14:textId="77777777" w:rsidR="00EC798B" w:rsidRPr="001A0038" w:rsidRDefault="00EC798B" w:rsidP="00EA65BF">
            <w:pPr>
              <w:pStyle w:val="NoSpacing"/>
              <w:rPr>
                <w:rFonts w:ascii="Times New Roman" w:hAnsi="Times New Roman"/>
                <w:sz w:val="20"/>
                <w:szCs w:val="20"/>
                <w:lang w:val="lv-LV"/>
              </w:rPr>
            </w:pPr>
            <w:r w:rsidRPr="001A0038">
              <w:rPr>
                <w:rFonts w:ascii="Times New Roman" w:hAnsi="Times New Roman"/>
                <w:sz w:val="20"/>
                <w:szCs w:val="20"/>
                <w:lang w:val="lv-LV"/>
              </w:rPr>
              <w:t>Valdes loceklis</w:t>
            </w:r>
          </w:p>
          <w:p w14:paraId="7FB2DF56" w14:textId="77777777" w:rsidR="00EC798B" w:rsidRPr="001A0038" w:rsidRDefault="00EC798B" w:rsidP="00EA65BF">
            <w:pPr>
              <w:pStyle w:val="NoSpacing"/>
              <w:rPr>
                <w:rFonts w:ascii="Times New Roman" w:hAnsi="Times New Roman"/>
                <w:sz w:val="20"/>
                <w:szCs w:val="20"/>
                <w:lang w:val="lv-LV"/>
              </w:rPr>
            </w:pPr>
            <w:r w:rsidRPr="001A0038">
              <w:rPr>
                <w:rFonts w:ascii="Times New Roman" w:hAnsi="Times New Roman"/>
                <w:sz w:val="20"/>
                <w:szCs w:val="20"/>
                <w:lang w:val="lv-LV"/>
              </w:rPr>
              <w:t xml:space="preserve">Anatolijs Ahmetovs </w:t>
            </w:r>
          </w:p>
        </w:tc>
        <w:tc>
          <w:tcPr>
            <w:tcW w:w="567" w:type="dxa"/>
          </w:tcPr>
          <w:p w14:paraId="0C2EDFB4" w14:textId="77777777" w:rsidR="00EC798B" w:rsidRPr="001A0038" w:rsidRDefault="00EC798B" w:rsidP="00EA65BF">
            <w:pPr>
              <w:pStyle w:val="NoSpacing"/>
              <w:rPr>
                <w:rFonts w:ascii="Times New Roman" w:hAnsi="Times New Roman"/>
                <w:sz w:val="20"/>
                <w:szCs w:val="20"/>
                <w:lang w:val="lv-LV"/>
              </w:rPr>
            </w:pPr>
          </w:p>
        </w:tc>
        <w:tc>
          <w:tcPr>
            <w:tcW w:w="505" w:type="dxa"/>
          </w:tcPr>
          <w:p w14:paraId="7D48C0CC" w14:textId="77777777" w:rsidR="00EC798B" w:rsidRPr="001A0038" w:rsidRDefault="00EC798B" w:rsidP="00EA65BF">
            <w:pPr>
              <w:pStyle w:val="NoSpacing"/>
              <w:rPr>
                <w:rFonts w:ascii="Times New Roman" w:hAnsi="Times New Roman"/>
                <w:sz w:val="20"/>
                <w:szCs w:val="20"/>
                <w:lang w:val="lv-LV"/>
              </w:rPr>
            </w:pPr>
          </w:p>
        </w:tc>
        <w:tc>
          <w:tcPr>
            <w:tcW w:w="2567" w:type="dxa"/>
            <w:tcBorders>
              <w:top w:val="single" w:sz="4" w:space="0" w:color="auto"/>
            </w:tcBorders>
          </w:tcPr>
          <w:p w14:paraId="5756E8D6" w14:textId="77777777" w:rsidR="00EC798B" w:rsidRPr="001A0038" w:rsidRDefault="00EC798B" w:rsidP="00710755">
            <w:pPr>
              <w:pStyle w:val="NoSpacing"/>
              <w:rPr>
                <w:rFonts w:ascii="Times New Roman" w:hAnsi="Times New Roman"/>
                <w:sz w:val="20"/>
                <w:szCs w:val="20"/>
                <w:highlight w:val="yellow"/>
                <w:lang w:val="lv-LV"/>
              </w:rPr>
            </w:pPr>
          </w:p>
        </w:tc>
      </w:tr>
    </w:tbl>
    <w:p w14:paraId="20203210" w14:textId="260F5A58" w:rsidR="00EC798B" w:rsidRPr="001A0038" w:rsidRDefault="00EC798B" w:rsidP="00EA65BF">
      <w:pPr>
        <w:spacing w:after="0" w:line="240" w:lineRule="auto"/>
        <w:jc w:val="both"/>
        <w:rPr>
          <w:rFonts w:ascii="Times New Roman" w:hAnsi="Times New Roman" w:cs="Times New Roman"/>
          <w:sz w:val="20"/>
          <w:szCs w:val="20"/>
        </w:rPr>
      </w:pPr>
    </w:p>
    <w:p w14:paraId="48971728" w14:textId="5FD9D2E6" w:rsidR="00B67D3F" w:rsidRPr="001A0038" w:rsidRDefault="00EC798B" w:rsidP="00710755">
      <w:pPr>
        <w:pStyle w:val="TableText"/>
      </w:pPr>
      <w:r w:rsidRPr="001A0038">
        <w:rPr>
          <w:lang w:val="lv-LV"/>
        </w:rPr>
        <w:t>202</w:t>
      </w:r>
      <w:r w:rsidR="00310DBD">
        <w:rPr>
          <w:lang w:val="lv-LV"/>
        </w:rPr>
        <w:t>3</w:t>
      </w:r>
      <w:r w:rsidRPr="001A0038">
        <w:rPr>
          <w:lang w:val="lv-LV"/>
        </w:rPr>
        <w:t xml:space="preserve">. gada </w:t>
      </w:r>
      <w:r w:rsidR="007D7403">
        <w:rPr>
          <w:lang w:val="lv-LV"/>
        </w:rPr>
        <w:t>2</w:t>
      </w:r>
      <w:r w:rsidR="00310DBD">
        <w:rPr>
          <w:lang w:val="lv-LV"/>
        </w:rPr>
        <w:t>8</w:t>
      </w:r>
      <w:r w:rsidRPr="001A0038">
        <w:rPr>
          <w:lang w:val="lv-LV"/>
        </w:rPr>
        <w:t>. aprīlī</w:t>
      </w:r>
      <w:r w:rsidRPr="001A0038" w:rsidDel="00862F79">
        <w:rPr>
          <w:lang w:val="lv-LV"/>
        </w:rPr>
        <w:t xml:space="preserve"> </w:t>
      </w:r>
    </w:p>
    <w:sectPr w:rsidR="00B67D3F" w:rsidRPr="001A0038" w:rsidSect="00EA65BF">
      <w:footerReference w:type="default" r:id="rId7"/>
      <w:pgSz w:w="11906" w:h="16838"/>
      <w:pgMar w:top="1134" w:right="1134" w:bottom="1134" w:left="1701" w:header="709" w:footer="709" w:gutter="0"/>
      <w:pgNumType w:start="1"/>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CE3A77" w14:textId="77777777" w:rsidR="00F37E3C" w:rsidRDefault="00F37E3C" w:rsidP="00507B62">
      <w:pPr>
        <w:spacing w:after="0" w:line="240" w:lineRule="auto"/>
      </w:pPr>
      <w:r>
        <w:separator/>
      </w:r>
    </w:p>
  </w:endnote>
  <w:endnote w:type="continuationSeparator" w:id="0">
    <w:p w14:paraId="0E44E3BB" w14:textId="77777777" w:rsidR="00F37E3C" w:rsidRDefault="00F37E3C" w:rsidP="00507B6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C2E106F" w14:textId="77777777" w:rsidR="00507B62" w:rsidRDefault="00507B62">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Pr>
        <w:caps/>
        <w:noProof/>
        <w:color w:val="4472C4" w:themeColor="accent1"/>
      </w:rPr>
      <w:t>2</w:t>
    </w:r>
    <w:r>
      <w:rPr>
        <w:caps/>
        <w:noProof/>
        <w:color w:val="4472C4" w:themeColor="accent1"/>
      </w:rPr>
      <w:fldChar w:fldCharType="end"/>
    </w:r>
  </w:p>
  <w:p w14:paraId="4E86240C" w14:textId="77777777" w:rsidR="00507B62" w:rsidRDefault="00507B6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F09ECD6" w14:textId="77777777" w:rsidR="00F37E3C" w:rsidRDefault="00F37E3C" w:rsidP="00507B62">
      <w:pPr>
        <w:spacing w:after="0" w:line="240" w:lineRule="auto"/>
      </w:pPr>
      <w:r>
        <w:separator/>
      </w:r>
    </w:p>
  </w:footnote>
  <w:footnote w:type="continuationSeparator" w:id="0">
    <w:p w14:paraId="68C1EECD" w14:textId="77777777" w:rsidR="00F37E3C" w:rsidRDefault="00F37E3C" w:rsidP="00507B62">
      <w:pPr>
        <w:spacing w:after="0" w:line="240" w:lineRule="auto"/>
      </w:pPr>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8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E3E25"/>
    <w:rsid w:val="00000D9C"/>
    <w:rsid w:val="00014552"/>
    <w:rsid w:val="0008565E"/>
    <w:rsid w:val="001323CD"/>
    <w:rsid w:val="00177B01"/>
    <w:rsid w:val="00180E6D"/>
    <w:rsid w:val="001A0038"/>
    <w:rsid w:val="001A0974"/>
    <w:rsid w:val="001D392F"/>
    <w:rsid w:val="001F4AC5"/>
    <w:rsid w:val="002037A8"/>
    <w:rsid w:val="00217019"/>
    <w:rsid w:val="002317A5"/>
    <w:rsid w:val="002958DA"/>
    <w:rsid w:val="002A1CA2"/>
    <w:rsid w:val="002E7EF6"/>
    <w:rsid w:val="00310DBD"/>
    <w:rsid w:val="00350016"/>
    <w:rsid w:val="003806AE"/>
    <w:rsid w:val="00382EA4"/>
    <w:rsid w:val="00394F67"/>
    <w:rsid w:val="003D51D9"/>
    <w:rsid w:val="00415881"/>
    <w:rsid w:val="00450B3F"/>
    <w:rsid w:val="00463ED2"/>
    <w:rsid w:val="00464CBB"/>
    <w:rsid w:val="004E5A24"/>
    <w:rsid w:val="00503449"/>
    <w:rsid w:val="00507B62"/>
    <w:rsid w:val="00554C9B"/>
    <w:rsid w:val="00564D79"/>
    <w:rsid w:val="005924AA"/>
    <w:rsid w:val="005A48BE"/>
    <w:rsid w:val="005D0AD3"/>
    <w:rsid w:val="006272A6"/>
    <w:rsid w:val="0066797C"/>
    <w:rsid w:val="006C43C8"/>
    <w:rsid w:val="006D10D9"/>
    <w:rsid w:val="00710755"/>
    <w:rsid w:val="00711DC2"/>
    <w:rsid w:val="00733CBA"/>
    <w:rsid w:val="007A6872"/>
    <w:rsid w:val="007D7403"/>
    <w:rsid w:val="007E3E25"/>
    <w:rsid w:val="007E705C"/>
    <w:rsid w:val="008D3E0A"/>
    <w:rsid w:val="00935C37"/>
    <w:rsid w:val="00940FCC"/>
    <w:rsid w:val="00965F72"/>
    <w:rsid w:val="009E15C1"/>
    <w:rsid w:val="009E6AFB"/>
    <w:rsid w:val="00B6599E"/>
    <w:rsid w:val="00B67D3F"/>
    <w:rsid w:val="00B73920"/>
    <w:rsid w:val="00BB0D52"/>
    <w:rsid w:val="00BD11D0"/>
    <w:rsid w:val="00BD6664"/>
    <w:rsid w:val="00C33886"/>
    <w:rsid w:val="00C863E3"/>
    <w:rsid w:val="00CF4309"/>
    <w:rsid w:val="00D54EBD"/>
    <w:rsid w:val="00D80E03"/>
    <w:rsid w:val="00DC1239"/>
    <w:rsid w:val="00DE79A8"/>
    <w:rsid w:val="00E202E6"/>
    <w:rsid w:val="00E31249"/>
    <w:rsid w:val="00E80534"/>
    <w:rsid w:val="00EA65BF"/>
    <w:rsid w:val="00EC78FE"/>
    <w:rsid w:val="00EC798B"/>
    <w:rsid w:val="00EF5475"/>
    <w:rsid w:val="00F37E3C"/>
    <w:rsid w:val="00F53AD0"/>
    <w:rsid w:val="00FC356D"/>
    <w:rsid w:val="00FE093B"/>
    <w:rsid w:val="00FE55E4"/>
    <w:rsid w:val="00FE5F01"/>
  </w:rsids>
  <m:mathPr>
    <m:mathFont m:val="Cambria Math"/>
    <m:brkBin m:val="before"/>
    <m:brkBinSub m:val="--"/>
    <m:smallFrac m:val="0"/>
    <m:dispDef/>
    <m:lMargin m:val="0"/>
    <m:rMargin m:val="0"/>
    <m:defJc m:val="centerGroup"/>
    <m:wrapIndent m:val="1440"/>
    <m:intLim m:val="subSup"/>
    <m:naryLim m:val="undOvr"/>
  </m:mathPr>
  <w:themeFontLang w:val="lv-LV"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64493E5"/>
  <w15:chartTrackingRefBased/>
  <w15:docId w15:val="{F1E8F92B-3615-4741-8BC2-36BBD2C141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5BF"/>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507B62"/>
    <w:pPr>
      <w:tabs>
        <w:tab w:val="center" w:pos="4153"/>
        <w:tab w:val="right" w:pos="8306"/>
      </w:tabs>
      <w:spacing w:after="0" w:line="240" w:lineRule="auto"/>
    </w:pPr>
  </w:style>
  <w:style w:type="character" w:customStyle="1" w:styleId="HeaderChar">
    <w:name w:val="Header Char"/>
    <w:basedOn w:val="DefaultParagraphFont"/>
    <w:link w:val="Header"/>
    <w:uiPriority w:val="99"/>
    <w:rsid w:val="00507B62"/>
  </w:style>
  <w:style w:type="paragraph" w:styleId="Footer">
    <w:name w:val="footer"/>
    <w:basedOn w:val="Normal"/>
    <w:link w:val="FooterChar"/>
    <w:uiPriority w:val="99"/>
    <w:unhideWhenUsed/>
    <w:rsid w:val="00507B62"/>
    <w:pPr>
      <w:tabs>
        <w:tab w:val="center" w:pos="4153"/>
        <w:tab w:val="right" w:pos="8306"/>
      </w:tabs>
      <w:spacing w:after="0" w:line="240" w:lineRule="auto"/>
    </w:pPr>
  </w:style>
  <w:style w:type="character" w:customStyle="1" w:styleId="FooterChar">
    <w:name w:val="Footer Char"/>
    <w:basedOn w:val="DefaultParagraphFont"/>
    <w:link w:val="Footer"/>
    <w:uiPriority w:val="99"/>
    <w:rsid w:val="00507B62"/>
  </w:style>
  <w:style w:type="table" w:styleId="TableGrid">
    <w:name w:val="Table Grid"/>
    <w:basedOn w:val="TableNormal"/>
    <w:uiPriority w:val="59"/>
    <w:rsid w:val="00EC798B"/>
    <w:pPr>
      <w:spacing w:after="0" w:line="240" w:lineRule="auto"/>
    </w:pPr>
    <w:rPr>
      <w:rFonts w:ascii="Calibri" w:eastAsia="Calibri" w:hAnsi="Calibri" w:cs="Times New Roman"/>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EC798B"/>
    <w:pPr>
      <w:spacing w:after="0" w:line="240" w:lineRule="auto"/>
    </w:pPr>
    <w:rPr>
      <w:rFonts w:ascii="Calibri" w:eastAsia="Calibri" w:hAnsi="Calibri" w:cs="Times New Roman"/>
      <w:lang w:val="en-GB"/>
    </w:rPr>
  </w:style>
  <w:style w:type="paragraph" w:customStyle="1" w:styleId="TableText">
    <w:name w:val="Table Text"/>
    <w:basedOn w:val="Normal"/>
    <w:rsid w:val="00EC798B"/>
    <w:pPr>
      <w:spacing w:after="0" w:line="240" w:lineRule="auto"/>
    </w:pPr>
    <w:rPr>
      <w:rFonts w:ascii="Times New Roman" w:eastAsia="Times New Roman" w:hAnsi="Times New Roman" w:cs="Times New Roman"/>
      <w:noProof/>
      <w:sz w:val="20"/>
      <w:szCs w:val="20"/>
      <w:lang w:val="en-GB"/>
    </w:rPr>
  </w:style>
  <w:style w:type="paragraph" w:customStyle="1" w:styleId="tv213">
    <w:name w:val="tv213"/>
    <w:basedOn w:val="Normal"/>
    <w:rsid w:val="00BD11D0"/>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character" w:styleId="Hyperlink">
    <w:name w:val="Hyperlink"/>
    <w:basedOn w:val="DefaultParagraphFont"/>
    <w:uiPriority w:val="99"/>
    <w:semiHidden/>
    <w:unhideWhenUsed/>
    <w:rsid w:val="00BD11D0"/>
    <w:rPr>
      <w:color w:val="0000FF"/>
      <w:u w:val="single"/>
    </w:rPr>
  </w:style>
  <w:style w:type="character" w:styleId="CommentReference">
    <w:name w:val="annotation reference"/>
    <w:basedOn w:val="DefaultParagraphFont"/>
    <w:uiPriority w:val="99"/>
    <w:semiHidden/>
    <w:unhideWhenUsed/>
    <w:rsid w:val="00394F67"/>
    <w:rPr>
      <w:sz w:val="16"/>
      <w:szCs w:val="16"/>
    </w:rPr>
  </w:style>
  <w:style w:type="paragraph" w:styleId="CommentText">
    <w:name w:val="annotation text"/>
    <w:basedOn w:val="Normal"/>
    <w:link w:val="CommentTextChar"/>
    <w:uiPriority w:val="99"/>
    <w:semiHidden/>
    <w:unhideWhenUsed/>
    <w:rsid w:val="00394F67"/>
    <w:pPr>
      <w:spacing w:line="240" w:lineRule="auto"/>
    </w:pPr>
    <w:rPr>
      <w:sz w:val="20"/>
      <w:szCs w:val="20"/>
    </w:rPr>
  </w:style>
  <w:style w:type="character" w:customStyle="1" w:styleId="CommentTextChar">
    <w:name w:val="Comment Text Char"/>
    <w:basedOn w:val="DefaultParagraphFont"/>
    <w:link w:val="CommentText"/>
    <w:uiPriority w:val="99"/>
    <w:semiHidden/>
    <w:rsid w:val="00394F67"/>
    <w:rPr>
      <w:sz w:val="20"/>
      <w:szCs w:val="20"/>
    </w:rPr>
  </w:style>
  <w:style w:type="paragraph" w:styleId="CommentSubject">
    <w:name w:val="annotation subject"/>
    <w:basedOn w:val="CommentText"/>
    <w:next w:val="CommentText"/>
    <w:link w:val="CommentSubjectChar"/>
    <w:uiPriority w:val="99"/>
    <w:semiHidden/>
    <w:unhideWhenUsed/>
    <w:rsid w:val="00394F67"/>
    <w:rPr>
      <w:b/>
      <w:bCs/>
    </w:rPr>
  </w:style>
  <w:style w:type="character" w:customStyle="1" w:styleId="CommentSubjectChar">
    <w:name w:val="Comment Subject Char"/>
    <w:basedOn w:val="CommentTextChar"/>
    <w:link w:val="CommentSubject"/>
    <w:uiPriority w:val="99"/>
    <w:semiHidden/>
    <w:rsid w:val="00394F67"/>
    <w:rPr>
      <w:b/>
      <w:bCs/>
      <w:sz w:val="20"/>
      <w:szCs w:val="20"/>
    </w:rPr>
  </w:style>
  <w:style w:type="paragraph" w:customStyle="1" w:styleId="punkts">
    <w:name w:val="punkts"/>
    <w:basedOn w:val="Normal"/>
    <w:rsid w:val="00F53AD0"/>
    <w:pPr>
      <w:spacing w:after="0" w:line="240" w:lineRule="auto"/>
    </w:pPr>
    <w:rPr>
      <w:rFonts w:ascii="Times New Roman" w:eastAsia="Times New Roman" w:hAnsi="Times New Roman" w:cs="Times New Roman"/>
      <w:noProof/>
      <w:sz w:val="20"/>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61913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6EA0FCB-63B9-4C2E-900F-068AB3D51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TotalTime>
  <Pages>1</Pages>
  <Words>3140</Words>
  <Characters>1791</Characters>
  <Application>Microsoft Office Word</Application>
  <DocSecurity>0</DocSecurity>
  <Lines>14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Juris Imaks</dc:creator>
  <cp:keywords/>
  <dc:description/>
  <cp:lastModifiedBy>Juris Imaks</cp:lastModifiedBy>
  <cp:revision>9</cp:revision>
  <dcterms:created xsi:type="dcterms:W3CDTF">2023-05-03T11:28:00Z</dcterms:created>
  <dcterms:modified xsi:type="dcterms:W3CDTF">2023-05-03T12:53:00Z</dcterms:modified>
</cp:coreProperties>
</file>