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1874B" w14:textId="77777777" w:rsidR="00F72698" w:rsidRPr="004143F3" w:rsidRDefault="00842012">
      <w:pPr>
        <w:pStyle w:val="Style10"/>
        <w:widowControl/>
        <w:spacing w:before="29"/>
        <w:ind w:firstLine="0"/>
        <w:jc w:val="center"/>
        <w:rPr>
          <w:rStyle w:val="FontStyle16"/>
          <w:szCs w:val="20"/>
        </w:rPr>
      </w:pPr>
      <w:r>
        <w:rPr>
          <w:rStyle w:val="FontStyle16"/>
          <w:szCs w:val="20"/>
        </w:rPr>
        <w:t>2019-07-18</w:t>
      </w:r>
      <w:r w:rsidR="00CF0D2E" w:rsidRPr="004143F3">
        <w:rPr>
          <w:rStyle w:val="FontStyle16"/>
          <w:szCs w:val="20"/>
        </w:rPr>
        <w:t xml:space="preserve"> AB „KLAIPĖDOS NAFTA“ </w:t>
      </w:r>
    </w:p>
    <w:p w14:paraId="38F01C3E" w14:textId="77777777" w:rsidR="00F72698" w:rsidRPr="004143F3" w:rsidRDefault="00842012">
      <w:pPr>
        <w:pStyle w:val="Style10"/>
        <w:widowControl/>
        <w:spacing w:before="29"/>
        <w:ind w:firstLine="0"/>
        <w:jc w:val="center"/>
        <w:rPr>
          <w:rStyle w:val="FontStyle16"/>
          <w:szCs w:val="20"/>
        </w:rPr>
      </w:pPr>
      <w:r>
        <w:rPr>
          <w:rStyle w:val="FontStyle16"/>
          <w:szCs w:val="20"/>
        </w:rPr>
        <w:t xml:space="preserve">PAKARTOTINIO </w:t>
      </w:r>
      <w:r w:rsidR="00BE6A6B">
        <w:rPr>
          <w:rStyle w:val="FontStyle16"/>
          <w:szCs w:val="20"/>
        </w:rPr>
        <w:t>NE</w:t>
      </w:r>
      <w:r w:rsidR="00CF0D2E" w:rsidRPr="004143F3">
        <w:rPr>
          <w:rStyle w:val="FontStyle16"/>
          <w:szCs w:val="20"/>
        </w:rPr>
        <w:t>EILINIO VISUOTINIO AKCININKŲ SUSIRINKIMO BALSAVIMO RAŠTU BIULETENIS</w:t>
      </w:r>
    </w:p>
    <w:p w14:paraId="6E7841C0" w14:textId="77777777" w:rsidR="00F72698" w:rsidRDefault="00F72698">
      <w:pPr>
        <w:jc w:val="center"/>
        <w:rPr>
          <w:sz w:val="20"/>
          <w:szCs w:val="20"/>
        </w:rPr>
      </w:pPr>
    </w:p>
    <w:p w14:paraId="167F4AAE" w14:textId="77777777" w:rsidR="00F72698" w:rsidRPr="004143F3" w:rsidRDefault="00CF0D2E">
      <w:pPr>
        <w:spacing w:line="220" w:lineRule="exact"/>
        <w:rPr>
          <w:sz w:val="22"/>
          <w:szCs w:val="20"/>
        </w:rPr>
      </w:pPr>
      <w:r w:rsidRPr="004143F3">
        <w:rPr>
          <w:sz w:val="22"/>
          <w:szCs w:val="20"/>
        </w:rPr>
        <w:t xml:space="preserve">Akcininko vardas, pavardė (pavadinimas) </w:t>
      </w:r>
    </w:p>
    <w:p w14:paraId="2C60A64A" w14:textId="77777777" w:rsidR="00F72698" w:rsidRPr="004143F3" w:rsidRDefault="00F72698">
      <w:pPr>
        <w:pBdr>
          <w:bottom w:val="single" w:sz="6" w:space="1" w:color="auto"/>
        </w:pBdr>
        <w:spacing w:line="220" w:lineRule="exact"/>
        <w:rPr>
          <w:sz w:val="22"/>
          <w:szCs w:val="20"/>
        </w:rPr>
      </w:pPr>
    </w:p>
    <w:p w14:paraId="12D83DC0" w14:textId="77777777" w:rsidR="00F72698" w:rsidRPr="004143F3" w:rsidRDefault="00CF0D2E">
      <w:pPr>
        <w:pBdr>
          <w:bottom w:val="single" w:sz="6" w:space="1" w:color="auto"/>
        </w:pBdr>
        <w:spacing w:line="220" w:lineRule="exact"/>
        <w:rPr>
          <w:sz w:val="22"/>
          <w:szCs w:val="20"/>
        </w:rPr>
      </w:pPr>
      <w:r w:rsidRPr="004143F3">
        <w:rPr>
          <w:sz w:val="22"/>
          <w:szCs w:val="20"/>
        </w:rPr>
        <w:t>……………………………………………...............................................................................................................................</w:t>
      </w:r>
    </w:p>
    <w:p w14:paraId="0CC5B290" w14:textId="77777777" w:rsidR="00F72698" w:rsidRPr="004143F3" w:rsidRDefault="00F72698">
      <w:pPr>
        <w:rPr>
          <w:rStyle w:val="FontStyle17"/>
          <w:sz w:val="22"/>
          <w:szCs w:val="20"/>
        </w:rPr>
      </w:pPr>
    </w:p>
    <w:p w14:paraId="1760008D" w14:textId="77777777" w:rsidR="00F72698" w:rsidRPr="004143F3" w:rsidRDefault="00CF0D2E">
      <w:pPr>
        <w:spacing w:line="220" w:lineRule="exact"/>
        <w:rPr>
          <w:sz w:val="22"/>
          <w:szCs w:val="20"/>
        </w:rPr>
      </w:pPr>
      <w:r w:rsidRPr="004143F3">
        <w:rPr>
          <w:sz w:val="22"/>
          <w:szCs w:val="20"/>
        </w:rPr>
        <w:t xml:space="preserve">Akcininko asmens kodas (kodas) </w:t>
      </w:r>
    </w:p>
    <w:p w14:paraId="5901EA94" w14:textId="77777777" w:rsidR="00F72698" w:rsidRPr="004143F3" w:rsidRDefault="00F72698">
      <w:pPr>
        <w:pBdr>
          <w:bottom w:val="single" w:sz="6" w:space="1" w:color="auto"/>
        </w:pBdr>
        <w:spacing w:line="220" w:lineRule="exact"/>
        <w:rPr>
          <w:sz w:val="22"/>
          <w:szCs w:val="20"/>
        </w:rPr>
      </w:pPr>
    </w:p>
    <w:p w14:paraId="399102F0" w14:textId="77777777" w:rsidR="00F72698" w:rsidRPr="004143F3" w:rsidRDefault="00CF0D2E">
      <w:pPr>
        <w:pBdr>
          <w:bottom w:val="single" w:sz="6" w:space="1" w:color="auto"/>
        </w:pBdr>
        <w:spacing w:line="220" w:lineRule="exact"/>
        <w:rPr>
          <w:sz w:val="22"/>
          <w:szCs w:val="20"/>
        </w:rPr>
      </w:pPr>
      <w:r w:rsidRPr="004143F3">
        <w:rPr>
          <w:sz w:val="22"/>
          <w:szCs w:val="20"/>
        </w:rPr>
        <w:t>……………………………………………...............................................................................................................................</w:t>
      </w:r>
    </w:p>
    <w:p w14:paraId="0B2A7C7E" w14:textId="77777777" w:rsidR="00F72698" w:rsidRPr="004143F3" w:rsidRDefault="00F72698">
      <w:pPr>
        <w:rPr>
          <w:rStyle w:val="FontStyle17"/>
          <w:sz w:val="22"/>
          <w:szCs w:val="20"/>
        </w:rPr>
      </w:pPr>
    </w:p>
    <w:p w14:paraId="77F6B64D" w14:textId="77777777" w:rsidR="00F72698" w:rsidRPr="004143F3" w:rsidRDefault="00CF0D2E">
      <w:pPr>
        <w:pBdr>
          <w:bottom w:val="single" w:sz="6" w:space="1" w:color="auto"/>
        </w:pBdr>
        <w:spacing w:line="220" w:lineRule="exact"/>
        <w:rPr>
          <w:sz w:val="22"/>
          <w:szCs w:val="20"/>
        </w:rPr>
      </w:pPr>
      <w:r w:rsidRPr="004143F3">
        <w:rPr>
          <w:sz w:val="22"/>
          <w:szCs w:val="20"/>
        </w:rPr>
        <w:t xml:space="preserve">Turimų akcijų skaičius </w:t>
      </w:r>
    </w:p>
    <w:p w14:paraId="4EBCA195" w14:textId="77777777" w:rsidR="00F72698" w:rsidRPr="004143F3" w:rsidRDefault="00F72698">
      <w:pPr>
        <w:pBdr>
          <w:bottom w:val="single" w:sz="6" w:space="1" w:color="auto"/>
        </w:pBdr>
        <w:spacing w:line="220" w:lineRule="exact"/>
        <w:rPr>
          <w:sz w:val="22"/>
          <w:szCs w:val="20"/>
        </w:rPr>
      </w:pPr>
    </w:p>
    <w:p w14:paraId="358FA37A" w14:textId="77777777" w:rsidR="00F72698" w:rsidRPr="004143F3" w:rsidRDefault="00CF0D2E">
      <w:pPr>
        <w:pBdr>
          <w:bottom w:val="single" w:sz="6" w:space="1" w:color="auto"/>
        </w:pBdr>
        <w:spacing w:line="220" w:lineRule="exact"/>
        <w:rPr>
          <w:sz w:val="22"/>
          <w:szCs w:val="20"/>
        </w:rPr>
      </w:pPr>
      <w:r w:rsidRPr="004143F3">
        <w:rPr>
          <w:sz w:val="22"/>
          <w:szCs w:val="20"/>
        </w:rPr>
        <w:t>……………………………………………...............................................................................................................................</w:t>
      </w:r>
    </w:p>
    <w:p w14:paraId="627F4AB2" w14:textId="77777777" w:rsidR="00F72698" w:rsidRPr="004143F3" w:rsidRDefault="00F72698">
      <w:pPr>
        <w:rPr>
          <w:rStyle w:val="FontStyle17"/>
          <w:sz w:val="22"/>
          <w:szCs w:val="20"/>
        </w:rPr>
      </w:pPr>
    </w:p>
    <w:p w14:paraId="48618487" w14:textId="77777777" w:rsidR="00F72698" w:rsidRPr="004143F3" w:rsidRDefault="00CF0D2E">
      <w:pPr>
        <w:pBdr>
          <w:bottom w:val="single" w:sz="6" w:space="1" w:color="auto"/>
        </w:pBdr>
        <w:spacing w:line="220" w:lineRule="exact"/>
        <w:rPr>
          <w:sz w:val="22"/>
          <w:szCs w:val="20"/>
        </w:rPr>
      </w:pPr>
      <w:r w:rsidRPr="004143F3">
        <w:rPr>
          <w:sz w:val="22"/>
          <w:szCs w:val="20"/>
        </w:rPr>
        <w:t>Turimų balsų skaičius</w:t>
      </w:r>
    </w:p>
    <w:p w14:paraId="6025FE2A" w14:textId="77777777" w:rsidR="00F72698" w:rsidRPr="004143F3" w:rsidRDefault="00F72698">
      <w:pPr>
        <w:pBdr>
          <w:bottom w:val="single" w:sz="6" w:space="1" w:color="auto"/>
        </w:pBdr>
        <w:spacing w:line="220" w:lineRule="exact"/>
        <w:rPr>
          <w:sz w:val="22"/>
          <w:szCs w:val="20"/>
        </w:rPr>
      </w:pPr>
    </w:p>
    <w:p w14:paraId="2C948A45" w14:textId="77777777" w:rsidR="00F72698" w:rsidRDefault="00CF0D2E">
      <w:pPr>
        <w:pBdr>
          <w:bottom w:val="single" w:sz="6" w:space="1" w:color="auto"/>
        </w:pBdr>
        <w:spacing w:line="220" w:lineRule="exact"/>
        <w:rPr>
          <w:sz w:val="20"/>
          <w:szCs w:val="20"/>
        </w:rPr>
      </w:pPr>
      <w:r>
        <w:rPr>
          <w:sz w:val="20"/>
          <w:szCs w:val="20"/>
        </w:rPr>
        <w:t>……………………………………………...............................................................................................................................</w:t>
      </w:r>
    </w:p>
    <w:p w14:paraId="598939F4" w14:textId="77777777" w:rsidR="00F72698" w:rsidRDefault="00F72698">
      <w:pPr>
        <w:rPr>
          <w:rStyle w:val="FontStyle17"/>
          <w:sz w:val="20"/>
          <w:szCs w:val="20"/>
        </w:rPr>
      </w:pPr>
    </w:p>
    <w:p w14:paraId="00812B06" w14:textId="77777777" w:rsidR="00F72698" w:rsidRPr="004143F3" w:rsidRDefault="00CF0D2E">
      <w:pPr>
        <w:pStyle w:val="Default"/>
        <w:rPr>
          <w:rStyle w:val="FontStyle13"/>
          <w:b/>
          <w:sz w:val="22"/>
          <w:u w:val="single"/>
        </w:rPr>
      </w:pPr>
      <w:r w:rsidRPr="004143F3">
        <w:rPr>
          <w:rStyle w:val="FontStyle13"/>
          <w:b/>
          <w:sz w:val="22"/>
          <w:u w:val="single"/>
        </w:rPr>
        <w:t>Prašome užbraukti nereikalingą žodį „UŽ“ arba „PRIEŠ“,</w:t>
      </w:r>
      <w:r w:rsidRPr="004143F3">
        <w:rPr>
          <w:b/>
          <w:sz w:val="22"/>
          <w:szCs w:val="20"/>
          <w:u w:val="single"/>
        </w:rPr>
        <w:t xml:space="preserve"> </w:t>
      </w:r>
      <w:r w:rsidRPr="004143F3">
        <w:rPr>
          <w:b/>
          <w:bCs/>
          <w:sz w:val="22"/>
          <w:szCs w:val="20"/>
          <w:u w:val="single"/>
        </w:rPr>
        <w:t>paliekant neužbrauktą pasirinktą sprendimo variantą:</w:t>
      </w:r>
    </w:p>
    <w:p w14:paraId="765C2F70" w14:textId="77777777" w:rsidR="00F72698" w:rsidRDefault="00F72698">
      <w:pPr>
        <w:rPr>
          <w:sz w:val="20"/>
          <w:szCs w:val="20"/>
        </w:rPr>
      </w:pPr>
    </w:p>
    <w:p w14:paraId="4994C69C" w14:textId="77777777" w:rsidR="00F72698" w:rsidRDefault="00F72698">
      <w:pPr>
        <w:rPr>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4962"/>
        <w:gridCol w:w="5528"/>
        <w:gridCol w:w="1984"/>
        <w:gridCol w:w="2127"/>
      </w:tblGrid>
      <w:tr w:rsidR="001C4C08" w14:paraId="30C899E6" w14:textId="77777777" w:rsidTr="002B122F">
        <w:tc>
          <w:tcPr>
            <w:tcW w:w="14601" w:type="dxa"/>
            <w:gridSpan w:val="4"/>
            <w:tcBorders>
              <w:left w:val="single" w:sz="4" w:space="0" w:color="auto"/>
              <w:bottom w:val="single" w:sz="4" w:space="0" w:color="auto"/>
              <w:right w:val="single" w:sz="6" w:space="0" w:color="auto"/>
            </w:tcBorders>
          </w:tcPr>
          <w:p w14:paraId="6B943BD7" w14:textId="77777777" w:rsidR="001C4C08" w:rsidRPr="004143F3" w:rsidRDefault="001C4C08">
            <w:pPr>
              <w:pStyle w:val="Default"/>
              <w:spacing w:before="40" w:after="40"/>
              <w:jc w:val="both"/>
              <w:rPr>
                <w:rStyle w:val="FontStyle13"/>
                <w:sz w:val="22"/>
              </w:rPr>
            </w:pPr>
            <w:r w:rsidRPr="004143F3">
              <w:rPr>
                <w:sz w:val="22"/>
                <w:szCs w:val="20"/>
              </w:rPr>
              <w:t>Organizaciniai susirinkimo klausimai</w:t>
            </w:r>
          </w:p>
        </w:tc>
      </w:tr>
      <w:tr w:rsidR="001C4C08" w14:paraId="588F23D9" w14:textId="77777777" w:rsidTr="0064353D">
        <w:tc>
          <w:tcPr>
            <w:tcW w:w="14601" w:type="dxa"/>
            <w:gridSpan w:val="4"/>
            <w:tcBorders>
              <w:top w:val="single" w:sz="4" w:space="0" w:color="auto"/>
              <w:left w:val="single" w:sz="4" w:space="0" w:color="auto"/>
              <w:bottom w:val="single" w:sz="4" w:space="0" w:color="auto"/>
              <w:right w:val="single" w:sz="6" w:space="0" w:color="auto"/>
            </w:tcBorders>
          </w:tcPr>
          <w:p w14:paraId="1AC4CA86" w14:textId="77777777" w:rsidR="001C4C08" w:rsidRPr="004143F3" w:rsidRDefault="001C4C08">
            <w:pPr>
              <w:pStyle w:val="Default"/>
              <w:spacing w:before="40" w:after="40"/>
              <w:jc w:val="both"/>
              <w:rPr>
                <w:sz w:val="22"/>
                <w:szCs w:val="20"/>
              </w:rPr>
            </w:pPr>
            <w:r w:rsidRPr="004143F3">
              <w:rPr>
                <w:sz w:val="22"/>
                <w:szCs w:val="20"/>
              </w:rPr>
              <w:t xml:space="preserve">Susirinkimo pirmininku pasiūlyti išrinkti ir balsuoti „už“ pasiūlytą kandidatą: </w:t>
            </w:r>
          </w:p>
          <w:p w14:paraId="0A9A327A" w14:textId="77777777" w:rsidR="001C4C08" w:rsidRPr="004143F3" w:rsidRDefault="001C4C08">
            <w:pPr>
              <w:pStyle w:val="Default"/>
              <w:spacing w:before="40" w:after="40"/>
              <w:jc w:val="both"/>
              <w:rPr>
                <w:rStyle w:val="FontStyle13"/>
                <w:sz w:val="22"/>
              </w:rPr>
            </w:pPr>
            <w:r w:rsidRPr="004143F3">
              <w:rPr>
                <w:sz w:val="22"/>
                <w:szCs w:val="20"/>
                <w:u w:val="single"/>
                <w:lang w:val="en-GB"/>
              </w:rPr>
              <w:t>………………………………………………………</w:t>
            </w:r>
          </w:p>
        </w:tc>
      </w:tr>
      <w:tr w:rsidR="001C4C08" w14:paraId="47E43350" w14:textId="77777777" w:rsidTr="0064353D">
        <w:tc>
          <w:tcPr>
            <w:tcW w:w="14601" w:type="dxa"/>
            <w:gridSpan w:val="4"/>
            <w:tcBorders>
              <w:top w:val="single" w:sz="4" w:space="0" w:color="auto"/>
              <w:left w:val="single" w:sz="4" w:space="0" w:color="auto"/>
              <w:bottom w:val="single" w:sz="4" w:space="0" w:color="auto"/>
              <w:right w:val="single" w:sz="6" w:space="0" w:color="auto"/>
            </w:tcBorders>
          </w:tcPr>
          <w:p w14:paraId="065F1826" w14:textId="77777777" w:rsidR="001C4C08" w:rsidRPr="004143F3" w:rsidRDefault="001C4C08">
            <w:pPr>
              <w:pStyle w:val="Default"/>
              <w:spacing w:before="40" w:after="40"/>
              <w:jc w:val="both"/>
              <w:rPr>
                <w:sz w:val="22"/>
                <w:szCs w:val="20"/>
              </w:rPr>
            </w:pPr>
            <w:r w:rsidRPr="004143F3">
              <w:rPr>
                <w:sz w:val="22"/>
                <w:szCs w:val="20"/>
              </w:rPr>
              <w:t xml:space="preserve">Susirinkimo sekretoriumi pasiūlyti išrinkti ir balsuoti „už“ pasiūlytą kandidatą: </w:t>
            </w:r>
          </w:p>
          <w:p w14:paraId="092E14E4" w14:textId="77777777" w:rsidR="001C4C08" w:rsidRPr="004143F3" w:rsidRDefault="001C4C08">
            <w:pPr>
              <w:pStyle w:val="Default"/>
              <w:spacing w:before="40" w:after="40"/>
              <w:jc w:val="both"/>
              <w:rPr>
                <w:rStyle w:val="FontStyle13"/>
                <w:sz w:val="22"/>
              </w:rPr>
            </w:pPr>
            <w:r w:rsidRPr="004143F3">
              <w:rPr>
                <w:sz w:val="22"/>
                <w:szCs w:val="20"/>
                <w:u w:val="single"/>
                <w:lang w:val="en-GB"/>
              </w:rPr>
              <w:t>………………………………………………………</w:t>
            </w:r>
          </w:p>
        </w:tc>
      </w:tr>
      <w:tr w:rsidR="001C4C08" w14:paraId="5363F527" w14:textId="77777777" w:rsidTr="0064353D">
        <w:tc>
          <w:tcPr>
            <w:tcW w:w="14601" w:type="dxa"/>
            <w:gridSpan w:val="4"/>
            <w:tcBorders>
              <w:top w:val="single" w:sz="4" w:space="0" w:color="auto"/>
              <w:left w:val="single" w:sz="4" w:space="0" w:color="auto"/>
              <w:bottom w:val="single" w:sz="4" w:space="0" w:color="auto"/>
              <w:right w:val="single" w:sz="6" w:space="0" w:color="auto"/>
            </w:tcBorders>
          </w:tcPr>
          <w:p w14:paraId="18915EA7" w14:textId="77777777" w:rsidR="001C4C08" w:rsidRPr="004143F3" w:rsidRDefault="001C4C08">
            <w:pPr>
              <w:pStyle w:val="Default"/>
              <w:spacing w:before="40" w:after="40"/>
              <w:jc w:val="both"/>
              <w:rPr>
                <w:sz w:val="22"/>
                <w:szCs w:val="20"/>
              </w:rPr>
            </w:pPr>
            <w:r w:rsidRPr="004143F3">
              <w:rPr>
                <w:sz w:val="22"/>
                <w:szCs w:val="20"/>
              </w:rPr>
              <w:t>Asmeniu, atsakingu už Lietuvos Respublikos akcinių bendrovių įstatymo 22 straipsnio 2 dalyje numatytų veiksmų atlikimą, pasiūlyti išrinkti ir balsuoti „už“ pasiūlytą kandidatą</w:t>
            </w:r>
            <w:r w:rsidRPr="004143F3">
              <w:rPr>
                <w:bCs/>
                <w:sz w:val="22"/>
                <w:szCs w:val="20"/>
              </w:rPr>
              <w:t>:</w:t>
            </w:r>
            <w:r w:rsidRPr="004143F3">
              <w:rPr>
                <w:b/>
                <w:bCs/>
                <w:sz w:val="22"/>
                <w:szCs w:val="20"/>
              </w:rPr>
              <w:t xml:space="preserve"> </w:t>
            </w:r>
          </w:p>
          <w:p w14:paraId="1BE8F74D" w14:textId="77777777" w:rsidR="001C4C08" w:rsidRPr="004143F3" w:rsidRDefault="001C4C08">
            <w:pPr>
              <w:pStyle w:val="Default"/>
              <w:spacing w:before="40" w:after="40"/>
              <w:jc w:val="both"/>
              <w:rPr>
                <w:rStyle w:val="FontStyle13"/>
                <w:sz w:val="22"/>
              </w:rPr>
            </w:pPr>
            <w:r w:rsidRPr="004143F3">
              <w:rPr>
                <w:sz w:val="22"/>
                <w:szCs w:val="20"/>
                <w:u w:val="single"/>
                <w:lang w:val="en-GB"/>
              </w:rPr>
              <w:t>………………………………………………………</w:t>
            </w:r>
          </w:p>
        </w:tc>
      </w:tr>
      <w:tr w:rsidR="001C4C08" w14:paraId="2AE624ED" w14:textId="77777777" w:rsidTr="0064353D">
        <w:trPr>
          <w:trHeight w:val="346"/>
        </w:trPr>
        <w:tc>
          <w:tcPr>
            <w:tcW w:w="4962" w:type="dxa"/>
            <w:tcBorders>
              <w:top w:val="single" w:sz="4" w:space="0" w:color="auto"/>
              <w:left w:val="single" w:sz="4" w:space="0" w:color="auto"/>
              <w:bottom w:val="single" w:sz="4" w:space="0" w:color="auto"/>
              <w:right w:val="single" w:sz="4" w:space="0" w:color="auto"/>
            </w:tcBorders>
          </w:tcPr>
          <w:p w14:paraId="3CC0AB24" w14:textId="77777777" w:rsidR="001C4C08" w:rsidRPr="004143F3" w:rsidRDefault="001C4C08">
            <w:pPr>
              <w:pStyle w:val="Style3"/>
              <w:widowControl/>
              <w:spacing w:before="40" w:after="40"/>
              <w:jc w:val="center"/>
              <w:rPr>
                <w:rStyle w:val="FontStyle13"/>
                <w:sz w:val="22"/>
              </w:rPr>
            </w:pPr>
            <w:r w:rsidRPr="004143F3">
              <w:rPr>
                <w:rStyle w:val="FontStyle13"/>
                <w:sz w:val="22"/>
              </w:rPr>
              <w:t>Darbotvarkės klausimas</w:t>
            </w:r>
          </w:p>
        </w:tc>
        <w:tc>
          <w:tcPr>
            <w:tcW w:w="9639" w:type="dxa"/>
            <w:gridSpan w:val="3"/>
            <w:tcBorders>
              <w:top w:val="single" w:sz="4" w:space="0" w:color="auto"/>
              <w:left w:val="single" w:sz="4" w:space="0" w:color="auto"/>
              <w:bottom w:val="single" w:sz="4" w:space="0" w:color="auto"/>
              <w:right w:val="single" w:sz="6" w:space="0" w:color="auto"/>
            </w:tcBorders>
          </w:tcPr>
          <w:p w14:paraId="467252FA" w14:textId="77777777" w:rsidR="001C4C08" w:rsidRPr="004143F3" w:rsidRDefault="001C4C08">
            <w:pPr>
              <w:pStyle w:val="Style3"/>
              <w:widowControl/>
              <w:spacing w:before="40" w:after="40"/>
              <w:ind w:left="1747"/>
              <w:jc w:val="both"/>
              <w:rPr>
                <w:rStyle w:val="FontStyle13"/>
                <w:sz w:val="22"/>
              </w:rPr>
            </w:pPr>
            <w:r w:rsidRPr="004143F3">
              <w:rPr>
                <w:rStyle w:val="FontStyle13"/>
                <w:sz w:val="22"/>
              </w:rPr>
              <w:t>Sprendimo projektas</w:t>
            </w:r>
          </w:p>
        </w:tc>
      </w:tr>
      <w:tr w:rsidR="001C4C08" w14:paraId="0DE509B5" w14:textId="77777777" w:rsidTr="002B122F">
        <w:trPr>
          <w:trHeight w:val="706"/>
        </w:trPr>
        <w:tc>
          <w:tcPr>
            <w:tcW w:w="4962" w:type="dxa"/>
            <w:tcBorders>
              <w:top w:val="single" w:sz="6" w:space="0" w:color="auto"/>
              <w:left w:val="single" w:sz="6" w:space="0" w:color="auto"/>
              <w:bottom w:val="single" w:sz="4" w:space="0" w:color="auto"/>
              <w:right w:val="single" w:sz="6" w:space="0" w:color="auto"/>
            </w:tcBorders>
          </w:tcPr>
          <w:p w14:paraId="5A236559" w14:textId="77777777" w:rsidR="001C4C08" w:rsidRPr="00B04E88" w:rsidRDefault="001C4C08" w:rsidP="00F51D92">
            <w:pPr>
              <w:pStyle w:val="Default"/>
              <w:numPr>
                <w:ilvl w:val="0"/>
                <w:numId w:val="7"/>
              </w:numPr>
              <w:ind w:left="385" w:hanging="283"/>
              <w:jc w:val="both"/>
              <w:rPr>
                <w:rStyle w:val="FontStyle13"/>
                <w:sz w:val="22"/>
                <w:szCs w:val="22"/>
              </w:rPr>
            </w:pPr>
            <w:r w:rsidRPr="00B04E88">
              <w:rPr>
                <w:sz w:val="22"/>
                <w:szCs w:val="22"/>
              </w:rPr>
              <w:t xml:space="preserve">Darbotvarkės klausimu Nr. </w:t>
            </w:r>
            <w:r w:rsidRPr="002B122F">
              <w:rPr>
                <w:sz w:val="22"/>
                <w:szCs w:val="22"/>
              </w:rPr>
              <w:t xml:space="preserve">1 - </w:t>
            </w:r>
            <w:r w:rsidRPr="00F51D92">
              <w:rPr>
                <w:iCs/>
                <w:sz w:val="22"/>
                <w:szCs w:val="22"/>
              </w:rPr>
              <w:t>Dėl AB „Klaipėdos nafta“ valdybos sprendimo perleisti suskystintų gamtinių dujų terminalo veiklą į dukterinę bendrovę UAB „SGD terminalas“ patvirtinimo</w:t>
            </w:r>
            <w:r>
              <w:rPr>
                <w:iCs/>
                <w:sz w:val="22"/>
                <w:szCs w:val="22"/>
              </w:rPr>
              <w:t>:</w:t>
            </w:r>
          </w:p>
        </w:tc>
        <w:tc>
          <w:tcPr>
            <w:tcW w:w="5528" w:type="dxa"/>
            <w:tcBorders>
              <w:top w:val="single" w:sz="6" w:space="0" w:color="auto"/>
              <w:left w:val="single" w:sz="6" w:space="0" w:color="auto"/>
              <w:bottom w:val="single" w:sz="6" w:space="0" w:color="auto"/>
              <w:right w:val="single" w:sz="6" w:space="0" w:color="auto"/>
            </w:tcBorders>
          </w:tcPr>
          <w:p w14:paraId="1AF3EB97" w14:textId="77777777" w:rsidR="00DF6F1A" w:rsidRPr="0064353D" w:rsidRDefault="00DF6F1A" w:rsidP="00FD0D3E">
            <w:pPr>
              <w:widowControl/>
              <w:tabs>
                <w:tab w:val="left" w:pos="527"/>
              </w:tabs>
              <w:autoSpaceDE/>
              <w:autoSpaceDN/>
              <w:adjustRightInd/>
              <w:spacing w:before="40" w:after="40"/>
              <w:jc w:val="both"/>
              <w:rPr>
                <w:b/>
                <w:sz w:val="22"/>
                <w:szCs w:val="22"/>
              </w:rPr>
            </w:pPr>
            <w:r w:rsidRPr="0064353D">
              <w:rPr>
                <w:b/>
                <w:sz w:val="22"/>
                <w:szCs w:val="22"/>
              </w:rPr>
              <w:t>I Alternatyvus sprendimo projektas:</w:t>
            </w:r>
          </w:p>
          <w:p w14:paraId="1AA1B4AF" w14:textId="77777777" w:rsidR="00DF6F1A" w:rsidRDefault="00DF6F1A" w:rsidP="00FD0D3E">
            <w:pPr>
              <w:widowControl/>
              <w:tabs>
                <w:tab w:val="left" w:pos="527"/>
              </w:tabs>
              <w:autoSpaceDE/>
              <w:autoSpaceDN/>
              <w:adjustRightInd/>
              <w:spacing w:before="40" w:after="40"/>
              <w:jc w:val="both"/>
              <w:rPr>
                <w:i/>
                <w:sz w:val="22"/>
                <w:szCs w:val="22"/>
              </w:rPr>
            </w:pPr>
          </w:p>
          <w:p w14:paraId="489D5339" w14:textId="77777777" w:rsidR="001C4C08" w:rsidRDefault="001C4C08" w:rsidP="00FD0D3E">
            <w:pPr>
              <w:widowControl/>
              <w:tabs>
                <w:tab w:val="left" w:pos="527"/>
              </w:tabs>
              <w:autoSpaceDE/>
              <w:autoSpaceDN/>
              <w:adjustRightInd/>
              <w:spacing w:before="40" w:after="40"/>
              <w:jc w:val="both"/>
              <w:rPr>
                <w:i/>
                <w:sz w:val="22"/>
                <w:szCs w:val="22"/>
              </w:rPr>
            </w:pPr>
            <w:r w:rsidRPr="00F51D92">
              <w:rPr>
                <w:i/>
                <w:sz w:val="22"/>
                <w:szCs w:val="22"/>
              </w:rPr>
              <w:t>„Patvirtinti AB „Klaipėdos nafta“ valdybos sprendimą:</w:t>
            </w:r>
          </w:p>
          <w:p w14:paraId="568E8DA5" w14:textId="77777777" w:rsidR="001C4C08" w:rsidRDefault="001C4C08" w:rsidP="00F51D92">
            <w:pPr>
              <w:widowControl/>
              <w:tabs>
                <w:tab w:val="left" w:pos="527"/>
              </w:tabs>
              <w:autoSpaceDE/>
              <w:autoSpaceDN/>
              <w:adjustRightInd/>
              <w:spacing w:before="40" w:after="40"/>
              <w:jc w:val="both"/>
              <w:rPr>
                <w:i/>
                <w:sz w:val="22"/>
                <w:szCs w:val="22"/>
              </w:rPr>
            </w:pPr>
            <w:r>
              <w:rPr>
                <w:i/>
                <w:sz w:val="22"/>
                <w:szCs w:val="22"/>
              </w:rPr>
              <w:t xml:space="preserve">1. </w:t>
            </w:r>
            <w:r w:rsidRPr="00F51D92">
              <w:rPr>
                <w:i/>
                <w:sz w:val="22"/>
                <w:szCs w:val="22"/>
              </w:rPr>
              <w:t>Perleisti visą reguliuojamą suskystintų gamtinių dujų (toliau – SGD) terminalo veiklą įskaitant, bet neapsiribojant:</w:t>
            </w:r>
          </w:p>
          <w:p w14:paraId="35DCC7E9" w14:textId="77777777" w:rsidR="001C4C08" w:rsidRPr="00F51D92" w:rsidRDefault="001C4C08" w:rsidP="00F51D92">
            <w:pPr>
              <w:widowControl/>
              <w:tabs>
                <w:tab w:val="left" w:pos="527"/>
              </w:tabs>
              <w:autoSpaceDE/>
              <w:autoSpaceDN/>
              <w:adjustRightInd/>
              <w:spacing w:before="40" w:after="40"/>
              <w:jc w:val="both"/>
              <w:rPr>
                <w:i/>
                <w:sz w:val="22"/>
                <w:szCs w:val="22"/>
              </w:rPr>
            </w:pPr>
          </w:p>
          <w:p w14:paraId="71EE0EBB" w14:textId="77777777" w:rsidR="001C4C08" w:rsidRDefault="001C4C08" w:rsidP="00F51D92">
            <w:pPr>
              <w:widowControl/>
              <w:tabs>
                <w:tab w:val="left" w:pos="527"/>
              </w:tabs>
              <w:autoSpaceDE/>
              <w:autoSpaceDN/>
              <w:adjustRightInd/>
              <w:spacing w:before="40" w:after="40"/>
              <w:jc w:val="both"/>
              <w:rPr>
                <w:i/>
                <w:sz w:val="22"/>
                <w:szCs w:val="22"/>
              </w:rPr>
            </w:pPr>
            <w:r w:rsidRPr="00F51D92">
              <w:rPr>
                <w:i/>
                <w:sz w:val="22"/>
                <w:szCs w:val="22"/>
              </w:rPr>
              <w:t>(i) visą kilnojamąjį ir nekilnojamąjį turtą, su SGD veikla susijusias pinigines lėšas ir kitą turtą pagal pridedamą priedą Nr. 5; ir</w:t>
            </w:r>
          </w:p>
          <w:p w14:paraId="54B81B03" w14:textId="77777777" w:rsidR="001C4C08" w:rsidRPr="00F51D92" w:rsidRDefault="001C4C08" w:rsidP="00F51D92">
            <w:pPr>
              <w:widowControl/>
              <w:tabs>
                <w:tab w:val="left" w:pos="527"/>
              </w:tabs>
              <w:autoSpaceDE/>
              <w:autoSpaceDN/>
              <w:adjustRightInd/>
              <w:spacing w:before="40" w:after="40"/>
              <w:jc w:val="both"/>
              <w:rPr>
                <w:i/>
                <w:sz w:val="22"/>
                <w:szCs w:val="22"/>
              </w:rPr>
            </w:pPr>
          </w:p>
          <w:p w14:paraId="35F11E54" w14:textId="77777777" w:rsidR="001C4C08" w:rsidRDefault="001C4C08" w:rsidP="00F51D92">
            <w:pPr>
              <w:widowControl/>
              <w:tabs>
                <w:tab w:val="left" w:pos="527"/>
              </w:tabs>
              <w:autoSpaceDE/>
              <w:autoSpaceDN/>
              <w:adjustRightInd/>
              <w:spacing w:before="40" w:after="40"/>
              <w:jc w:val="both"/>
              <w:rPr>
                <w:i/>
                <w:sz w:val="22"/>
                <w:szCs w:val="22"/>
              </w:rPr>
            </w:pPr>
            <w:r w:rsidRPr="00F51D92">
              <w:rPr>
                <w:i/>
                <w:sz w:val="22"/>
                <w:szCs w:val="22"/>
              </w:rPr>
              <w:t xml:space="preserve">(ii) esamas paskolas numatytas (a) 2013-07-09 Finansavimo kontrakte Nr. SERAPIS 2012-0490, FI 82.631 LT (su visais su tuo susijusiais pakeitimais ir papildomais susitarimais ir kitais dokumentais) su Europos investicijų banku kartu su 2013-12-13 </w:t>
            </w:r>
            <w:r w:rsidR="00842012" w:rsidRPr="00F51D92">
              <w:rPr>
                <w:i/>
                <w:sz w:val="22"/>
                <w:szCs w:val="22"/>
              </w:rPr>
              <w:t>Lietuvos Respublikos finansų ministerijos</w:t>
            </w:r>
            <w:r w:rsidRPr="00F51D92">
              <w:rPr>
                <w:i/>
                <w:sz w:val="22"/>
                <w:szCs w:val="22"/>
              </w:rPr>
              <w:t xml:space="preserve"> išduota valstybės garantija; (b) 2014-11-27 Paskolos sutartyje Nr. L 5523 (su visais su tuo susijusiais pakeitimais ir papildomais susitarimais ir kitais dokumentais) su Šiaurės investicijų banku kartu su 2015-01-12 </w:t>
            </w:r>
            <w:r w:rsidR="00842012" w:rsidRPr="00F51D92">
              <w:rPr>
                <w:i/>
                <w:sz w:val="22"/>
                <w:szCs w:val="22"/>
              </w:rPr>
              <w:t>Lietuvos Respublikos finansų ministerijos</w:t>
            </w:r>
            <w:r w:rsidRPr="00F51D92">
              <w:rPr>
                <w:i/>
                <w:sz w:val="22"/>
                <w:szCs w:val="22"/>
              </w:rPr>
              <w:t xml:space="preserve"> išduota valstybės garantija; ir</w:t>
            </w:r>
          </w:p>
          <w:p w14:paraId="7E2546FE" w14:textId="77777777" w:rsidR="001C4C08" w:rsidRPr="00F51D92" w:rsidRDefault="001C4C08" w:rsidP="00F51D92">
            <w:pPr>
              <w:widowControl/>
              <w:tabs>
                <w:tab w:val="left" w:pos="527"/>
              </w:tabs>
              <w:autoSpaceDE/>
              <w:autoSpaceDN/>
              <w:adjustRightInd/>
              <w:spacing w:before="40" w:after="40"/>
              <w:jc w:val="both"/>
              <w:rPr>
                <w:i/>
                <w:sz w:val="22"/>
                <w:szCs w:val="22"/>
              </w:rPr>
            </w:pPr>
          </w:p>
          <w:p w14:paraId="77216D3D" w14:textId="77777777" w:rsidR="001C4C08" w:rsidRDefault="001C4C08" w:rsidP="00F51D92">
            <w:pPr>
              <w:widowControl/>
              <w:tabs>
                <w:tab w:val="left" w:pos="527"/>
              </w:tabs>
              <w:autoSpaceDE/>
              <w:autoSpaceDN/>
              <w:adjustRightInd/>
              <w:spacing w:before="40" w:after="40"/>
              <w:jc w:val="both"/>
              <w:rPr>
                <w:i/>
                <w:sz w:val="22"/>
                <w:szCs w:val="22"/>
              </w:rPr>
            </w:pPr>
            <w:r w:rsidRPr="00F51D92">
              <w:rPr>
                <w:i/>
                <w:sz w:val="22"/>
                <w:szCs w:val="22"/>
              </w:rPr>
              <w:t xml:space="preserve">(iii) 2012-03-02 laivo nuomos sutartį (su visais su tuo susijusiais pakeitimais ir papildomais susitarimais ir kitais dokumentais), pasirašytą tarp AB „Klaipėdos nafta“ ir UAB </w:t>
            </w:r>
            <w:proofErr w:type="spellStart"/>
            <w:r w:rsidRPr="00F51D92">
              <w:rPr>
                <w:i/>
                <w:sz w:val="22"/>
                <w:szCs w:val="22"/>
              </w:rPr>
              <w:t>Hoegh</w:t>
            </w:r>
            <w:proofErr w:type="spellEnd"/>
            <w:r w:rsidRPr="00F51D92">
              <w:rPr>
                <w:i/>
                <w:sz w:val="22"/>
                <w:szCs w:val="22"/>
              </w:rPr>
              <w:t xml:space="preserve"> LNG </w:t>
            </w:r>
            <w:proofErr w:type="spellStart"/>
            <w:r w:rsidRPr="00F51D92">
              <w:rPr>
                <w:i/>
                <w:sz w:val="22"/>
                <w:szCs w:val="22"/>
              </w:rPr>
              <w:t>Klaipeda</w:t>
            </w:r>
            <w:proofErr w:type="spellEnd"/>
            <w:r w:rsidRPr="00F51D92">
              <w:rPr>
                <w:i/>
                <w:sz w:val="22"/>
                <w:szCs w:val="22"/>
              </w:rPr>
              <w:t xml:space="preserve"> (anksčiau </w:t>
            </w:r>
            <w:proofErr w:type="spellStart"/>
            <w:r w:rsidRPr="00F51D92">
              <w:rPr>
                <w:i/>
                <w:sz w:val="22"/>
                <w:szCs w:val="22"/>
              </w:rPr>
              <w:t>Höegh</w:t>
            </w:r>
            <w:proofErr w:type="spellEnd"/>
            <w:r w:rsidRPr="00F51D92">
              <w:rPr>
                <w:i/>
                <w:sz w:val="22"/>
                <w:szCs w:val="22"/>
              </w:rPr>
              <w:t xml:space="preserve"> LNG </w:t>
            </w:r>
            <w:proofErr w:type="spellStart"/>
            <w:r w:rsidRPr="00F51D92">
              <w:rPr>
                <w:i/>
                <w:sz w:val="22"/>
                <w:szCs w:val="22"/>
              </w:rPr>
              <w:t>Limited</w:t>
            </w:r>
            <w:proofErr w:type="spellEnd"/>
            <w:r w:rsidRPr="00F51D92">
              <w:rPr>
                <w:i/>
                <w:sz w:val="22"/>
                <w:szCs w:val="22"/>
              </w:rPr>
              <w:t>); ir</w:t>
            </w:r>
          </w:p>
          <w:p w14:paraId="5868BDD0" w14:textId="77777777" w:rsidR="001C4C08" w:rsidRPr="00F51D92" w:rsidRDefault="001C4C08" w:rsidP="00F51D92">
            <w:pPr>
              <w:widowControl/>
              <w:tabs>
                <w:tab w:val="left" w:pos="527"/>
              </w:tabs>
              <w:autoSpaceDE/>
              <w:autoSpaceDN/>
              <w:adjustRightInd/>
              <w:spacing w:before="40" w:after="40"/>
              <w:jc w:val="both"/>
              <w:rPr>
                <w:i/>
                <w:sz w:val="22"/>
                <w:szCs w:val="22"/>
              </w:rPr>
            </w:pPr>
          </w:p>
          <w:p w14:paraId="4546A9C2" w14:textId="77777777" w:rsidR="001C4C08" w:rsidRDefault="001C4C08" w:rsidP="00F51D92">
            <w:pPr>
              <w:widowControl/>
              <w:tabs>
                <w:tab w:val="left" w:pos="527"/>
              </w:tabs>
              <w:autoSpaceDE/>
              <w:autoSpaceDN/>
              <w:adjustRightInd/>
              <w:spacing w:before="40" w:after="40"/>
              <w:jc w:val="both"/>
              <w:rPr>
                <w:i/>
                <w:sz w:val="22"/>
                <w:szCs w:val="22"/>
              </w:rPr>
            </w:pPr>
            <w:r w:rsidRPr="00F51D92">
              <w:rPr>
                <w:i/>
                <w:sz w:val="22"/>
                <w:szCs w:val="22"/>
              </w:rPr>
              <w:t>(iv) visas su tuo susijusias teises ir pareigas;</w:t>
            </w:r>
          </w:p>
          <w:p w14:paraId="42EB3F1C" w14:textId="77777777" w:rsidR="001C4C08" w:rsidRDefault="001C4C08" w:rsidP="00F51D92">
            <w:pPr>
              <w:widowControl/>
              <w:tabs>
                <w:tab w:val="left" w:pos="527"/>
              </w:tabs>
              <w:autoSpaceDE/>
              <w:autoSpaceDN/>
              <w:adjustRightInd/>
              <w:spacing w:before="40" w:after="40"/>
              <w:jc w:val="both"/>
              <w:rPr>
                <w:i/>
                <w:sz w:val="22"/>
                <w:szCs w:val="22"/>
              </w:rPr>
            </w:pPr>
          </w:p>
          <w:p w14:paraId="55E0E186" w14:textId="77777777" w:rsidR="001C4C08" w:rsidRDefault="001C4C08" w:rsidP="00F51D92">
            <w:pPr>
              <w:widowControl/>
              <w:tabs>
                <w:tab w:val="left" w:pos="527"/>
              </w:tabs>
              <w:autoSpaceDE/>
              <w:autoSpaceDN/>
              <w:adjustRightInd/>
              <w:spacing w:before="40" w:after="40"/>
              <w:jc w:val="both"/>
              <w:rPr>
                <w:i/>
                <w:sz w:val="22"/>
                <w:szCs w:val="22"/>
              </w:rPr>
            </w:pPr>
            <w:r w:rsidRPr="00F51D92">
              <w:rPr>
                <w:i/>
                <w:sz w:val="22"/>
                <w:szCs w:val="22"/>
              </w:rPr>
              <w:t xml:space="preserve">kaip turtinį kompleksą (verslo dalį) (Lietuvos Respublikos civilinio kodekso 6.402 str.), kurio vertė yra 25 802 527 EUR, kaip nurodyta 01-02-2019 Uždarosios akcinės bendrovės korporacijos "Matininkai", kodas 121913439, nepriklausomoje turto vertinimo ataskaitoje, į AB „Klaipėdos nafta“ pilnai kontroliuojamą dukterinę bendrovę – UAB „SGD terminalas“, kodas 304977459 . SGD terminalo veikla perleidžiama didinant UAB „SGD terminalas“ įstatinį kapitalą piniginiu ir nepiniginiu įnašu - SGD terminalo veikla - išleidžiant iš viso 997 500 (devyni šimtai devyniasdešimt septyni tūkstančiai penki šimtai) UAB „SGD terminalas“ naujų akcijų, kurių kiekvienos akcijos nominali vertė yra 1 EUR, ir bendra minimali emisijos kaina 25 802 </w:t>
            </w:r>
            <w:r w:rsidRPr="00F51D92">
              <w:rPr>
                <w:i/>
                <w:sz w:val="22"/>
                <w:szCs w:val="22"/>
              </w:rPr>
              <w:lastRenderedPageBreak/>
              <w:t>527 EUR, o bendra leidžiama maksimali emisijos kaina 28 802 527 EUR, suformuojant maksimalius iki 27 805 027 EUR vertės akcijų priedus. Pavesti AB „Klaipėdos nafta“ vadovui priimant UAB „SGD terminalas“ vienintelio akcininko sprendimą dėl įstatinio kapitalo didinimo nustatyti ir patvirtinti tikslią UAB „SGD terminalas“ naujai išleidžiamų akcijų emisijos kainą, atsižvelgiant į (a) SGD terminalo kaip turtinio komplekso turto ir įsipareigojimų vertės pokytį nuo terminalo vertės nustatymo dienos (2018 12 31) ir vienintelio akcininko sprendimo dėl įstatinio kapitalo didinimo priėmimo dienos, ir (b) maksimalią naujų akcijų emisijos kainą, kuri negali viršyti 28 802 527 EUR.</w:t>
            </w:r>
          </w:p>
          <w:p w14:paraId="2F38AF0B" w14:textId="77777777" w:rsidR="001C4C08" w:rsidRDefault="001C4C08" w:rsidP="00F51D92">
            <w:pPr>
              <w:widowControl/>
              <w:tabs>
                <w:tab w:val="left" w:pos="527"/>
              </w:tabs>
              <w:autoSpaceDE/>
              <w:autoSpaceDN/>
              <w:adjustRightInd/>
              <w:spacing w:before="40" w:after="40"/>
              <w:jc w:val="both"/>
              <w:rPr>
                <w:i/>
                <w:sz w:val="22"/>
                <w:szCs w:val="22"/>
              </w:rPr>
            </w:pPr>
          </w:p>
          <w:p w14:paraId="2C9FF8E9" w14:textId="77777777" w:rsidR="001C4C08" w:rsidRDefault="001C4C08" w:rsidP="00F51D92">
            <w:pPr>
              <w:widowControl/>
              <w:tabs>
                <w:tab w:val="left" w:pos="527"/>
              </w:tabs>
              <w:autoSpaceDE/>
              <w:autoSpaceDN/>
              <w:adjustRightInd/>
              <w:spacing w:before="40" w:after="40"/>
              <w:jc w:val="both"/>
              <w:rPr>
                <w:i/>
                <w:sz w:val="22"/>
                <w:szCs w:val="22"/>
              </w:rPr>
            </w:pPr>
            <w:r w:rsidRPr="00F51D92">
              <w:rPr>
                <w:i/>
                <w:sz w:val="22"/>
                <w:szCs w:val="22"/>
              </w:rPr>
              <w:t>2. Įgalioti AB „Klaipėdos nafta“ generalinį direktorių pasirašyti visas 1 punkte nurodyto sprendimo įgyvendinimui reikalingas sutartis.”</w:t>
            </w:r>
          </w:p>
          <w:p w14:paraId="101CDA2A" w14:textId="77777777" w:rsidR="00DF6F1A" w:rsidRPr="00B04E88" w:rsidRDefault="00DF6F1A" w:rsidP="00F51D92">
            <w:pPr>
              <w:widowControl/>
              <w:tabs>
                <w:tab w:val="left" w:pos="527"/>
              </w:tabs>
              <w:autoSpaceDE/>
              <w:autoSpaceDN/>
              <w:adjustRightInd/>
              <w:spacing w:before="40" w:after="40"/>
              <w:jc w:val="both"/>
              <w:rPr>
                <w:i/>
                <w:sz w:val="22"/>
                <w:szCs w:val="22"/>
              </w:rPr>
            </w:pPr>
          </w:p>
        </w:tc>
        <w:tc>
          <w:tcPr>
            <w:tcW w:w="1984" w:type="dxa"/>
            <w:tcBorders>
              <w:top w:val="single" w:sz="4" w:space="0" w:color="auto"/>
              <w:left w:val="single" w:sz="6" w:space="0" w:color="auto"/>
              <w:bottom w:val="single" w:sz="6" w:space="0" w:color="auto"/>
              <w:right w:val="single" w:sz="4" w:space="0" w:color="auto"/>
            </w:tcBorders>
          </w:tcPr>
          <w:p w14:paraId="3DEA36BA" w14:textId="77777777" w:rsidR="00DF6F1A" w:rsidRDefault="00DF6F1A" w:rsidP="00D02FFB">
            <w:pPr>
              <w:pStyle w:val="Style3"/>
              <w:widowControl/>
              <w:rPr>
                <w:rStyle w:val="FontStyle13"/>
                <w:sz w:val="22"/>
                <w:szCs w:val="22"/>
              </w:rPr>
            </w:pPr>
          </w:p>
          <w:p w14:paraId="5D42639F" w14:textId="77777777" w:rsidR="001C4C08" w:rsidRPr="00B04E88" w:rsidRDefault="001C4C08">
            <w:pPr>
              <w:pStyle w:val="Style3"/>
              <w:widowControl/>
              <w:jc w:val="center"/>
              <w:rPr>
                <w:rStyle w:val="FontStyle13"/>
                <w:sz w:val="22"/>
                <w:szCs w:val="22"/>
              </w:rPr>
            </w:pPr>
            <w:r w:rsidRPr="00B04E88">
              <w:rPr>
                <w:rStyle w:val="FontStyle13"/>
                <w:sz w:val="22"/>
                <w:szCs w:val="22"/>
              </w:rPr>
              <w:t>Už</w:t>
            </w:r>
          </w:p>
        </w:tc>
        <w:tc>
          <w:tcPr>
            <w:tcW w:w="2127" w:type="dxa"/>
            <w:tcBorders>
              <w:top w:val="single" w:sz="4" w:space="0" w:color="auto"/>
              <w:left w:val="single" w:sz="4" w:space="0" w:color="auto"/>
              <w:bottom w:val="single" w:sz="6" w:space="0" w:color="auto"/>
              <w:right w:val="single" w:sz="6" w:space="0" w:color="auto"/>
            </w:tcBorders>
          </w:tcPr>
          <w:p w14:paraId="56F4B3BC" w14:textId="77777777" w:rsidR="00DF6F1A" w:rsidRDefault="00DF6F1A" w:rsidP="00D02FFB">
            <w:pPr>
              <w:pStyle w:val="Style3"/>
              <w:widowControl/>
              <w:rPr>
                <w:rStyle w:val="FontStyle13"/>
                <w:sz w:val="22"/>
                <w:szCs w:val="22"/>
              </w:rPr>
            </w:pPr>
          </w:p>
          <w:p w14:paraId="04A01F7F" w14:textId="77777777" w:rsidR="001C4C08" w:rsidRPr="00B04E88" w:rsidRDefault="001C4C08" w:rsidP="00B04E88">
            <w:pPr>
              <w:pStyle w:val="Style3"/>
              <w:widowControl/>
              <w:jc w:val="center"/>
              <w:rPr>
                <w:rStyle w:val="FontStyle13"/>
                <w:sz w:val="22"/>
                <w:szCs w:val="22"/>
              </w:rPr>
            </w:pPr>
            <w:r w:rsidRPr="00B04E88">
              <w:rPr>
                <w:rStyle w:val="FontStyle13"/>
                <w:sz w:val="22"/>
                <w:szCs w:val="22"/>
              </w:rPr>
              <w:t>Prieš</w:t>
            </w:r>
          </w:p>
        </w:tc>
      </w:tr>
      <w:tr w:rsidR="0064353D" w14:paraId="04AD15B4" w14:textId="77777777" w:rsidTr="002B122F">
        <w:trPr>
          <w:trHeight w:val="4946"/>
        </w:trPr>
        <w:tc>
          <w:tcPr>
            <w:tcW w:w="4962" w:type="dxa"/>
            <w:tcBorders>
              <w:top w:val="single" w:sz="4" w:space="0" w:color="auto"/>
              <w:left w:val="single" w:sz="6" w:space="0" w:color="auto"/>
              <w:bottom w:val="single" w:sz="6" w:space="0" w:color="auto"/>
              <w:right w:val="single" w:sz="6" w:space="0" w:color="auto"/>
            </w:tcBorders>
          </w:tcPr>
          <w:p w14:paraId="26B20B92" w14:textId="77777777" w:rsidR="0064353D" w:rsidRPr="00B04E88" w:rsidRDefault="0064353D" w:rsidP="00DF6F1A">
            <w:pPr>
              <w:pStyle w:val="Default"/>
              <w:jc w:val="both"/>
              <w:rPr>
                <w:sz w:val="22"/>
                <w:szCs w:val="22"/>
              </w:rPr>
            </w:pPr>
          </w:p>
        </w:tc>
        <w:tc>
          <w:tcPr>
            <w:tcW w:w="5528" w:type="dxa"/>
            <w:tcBorders>
              <w:top w:val="single" w:sz="6" w:space="0" w:color="auto"/>
              <w:left w:val="single" w:sz="6" w:space="0" w:color="auto"/>
              <w:bottom w:val="single" w:sz="6" w:space="0" w:color="auto"/>
              <w:right w:val="single" w:sz="6" w:space="0" w:color="auto"/>
            </w:tcBorders>
          </w:tcPr>
          <w:p w14:paraId="177296F7" w14:textId="77777777" w:rsidR="0064353D" w:rsidRPr="0064353D" w:rsidRDefault="0064353D" w:rsidP="00FD0D3E">
            <w:pPr>
              <w:widowControl/>
              <w:tabs>
                <w:tab w:val="left" w:pos="527"/>
              </w:tabs>
              <w:autoSpaceDE/>
              <w:autoSpaceDN/>
              <w:adjustRightInd/>
              <w:spacing w:before="40" w:after="40"/>
              <w:jc w:val="both"/>
              <w:rPr>
                <w:b/>
                <w:sz w:val="22"/>
                <w:szCs w:val="22"/>
              </w:rPr>
            </w:pPr>
            <w:r>
              <w:rPr>
                <w:b/>
                <w:sz w:val="22"/>
                <w:szCs w:val="22"/>
              </w:rPr>
              <w:t>II A</w:t>
            </w:r>
            <w:r w:rsidRPr="0064353D">
              <w:rPr>
                <w:b/>
                <w:sz w:val="22"/>
                <w:szCs w:val="22"/>
              </w:rPr>
              <w:t>lternatyvus sprendimo projektas:</w:t>
            </w:r>
          </w:p>
          <w:p w14:paraId="22163AAE" w14:textId="77777777" w:rsidR="0064353D" w:rsidRDefault="0064353D" w:rsidP="00FD0D3E">
            <w:pPr>
              <w:widowControl/>
              <w:tabs>
                <w:tab w:val="left" w:pos="527"/>
              </w:tabs>
              <w:autoSpaceDE/>
              <w:autoSpaceDN/>
              <w:adjustRightInd/>
              <w:spacing w:before="40" w:after="40"/>
              <w:jc w:val="both"/>
              <w:rPr>
                <w:sz w:val="22"/>
                <w:szCs w:val="22"/>
              </w:rPr>
            </w:pPr>
          </w:p>
          <w:p w14:paraId="49D5DA7C" w14:textId="45E47E79" w:rsidR="0064353D" w:rsidRDefault="0064353D" w:rsidP="00DF6F1A">
            <w:pPr>
              <w:tabs>
                <w:tab w:val="left" w:pos="4185"/>
              </w:tabs>
              <w:spacing w:after="160" w:line="259" w:lineRule="auto"/>
              <w:jc w:val="both"/>
              <w:rPr>
                <w:sz w:val="22"/>
                <w:szCs w:val="22"/>
              </w:rPr>
            </w:pPr>
            <w:r w:rsidRPr="00DF6F1A">
              <w:rPr>
                <w:rFonts w:eastAsia="Calibri"/>
                <w:i/>
                <w:iCs/>
                <w:sz w:val="22"/>
                <w:szCs w:val="22"/>
                <w:lang w:eastAsia="en-US"/>
              </w:rPr>
              <w:t>„1. Atidėti AB „Klaipėdos nafta“ reguliuojamo suskystintų gamtinių dujų terminalo veikos perleidimo dukterinei bendrovei UAB „SGD terminalas“ klausimo svarstymą iki AB „Klaipėdos nafta“ pateiks akcininkams iki šiol nepateiktus atsakymus ir informaciją, t.y. UAB „</w:t>
            </w:r>
            <w:proofErr w:type="spellStart"/>
            <w:r w:rsidRPr="00DF6F1A">
              <w:rPr>
                <w:rFonts w:eastAsia="Calibri"/>
                <w:i/>
                <w:iCs/>
                <w:sz w:val="22"/>
                <w:szCs w:val="22"/>
                <w:lang w:eastAsia="en-US"/>
              </w:rPr>
              <w:t>PricewaterhouseCoopers</w:t>
            </w:r>
            <w:proofErr w:type="spellEnd"/>
            <w:r w:rsidRPr="00DF6F1A">
              <w:rPr>
                <w:rFonts w:eastAsia="Calibri"/>
                <w:i/>
                <w:iCs/>
                <w:sz w:val="22"/>
                <w:szCs w:val="22"/>
                <w:lang w:eastAsia="en-US"/>
              </w:rPr>
              <w:t>” 2018-12-31 memorandumo priedą, t.y. AB „Klaipėdos nafta“ 2018-09-30 preliminarų atskyrimo balansą (UAB koncerno „ACHEMOS GRUPĖ“ 2019-06-18 prašymo 2 klausimas); Advokatų kontoros TGS Baltic 2018-08-19 ataskaitą (UAB koncerno „ACHEMOS GRUPĖ“ 2019-06-18 prašymo 3 klausimas); nurodys AB „Klaipėdos nafta“ perleidžiamų/perkeliamų darbuotojų skaičių bei pateiks informaciją apie AB „Klaipėdos nafta“ kaštus dėl dukterinei įmonei UAB „SGD terminalas“ perleidžiamų/perkeliamų darbuotojų (UAB koncerno „ACHEMOS GRUPĖ“ 2019-06-18 prašymo 4 klausimas)</w:t>
            </w:r>
            <w:r w:rsidR="002B122F">
              <w:rPr>
                <w:rFonts w:eastAsia="Calibri"/>
                <w:i/>
                <w:iCs/>
                <w:sz w:val="22"/>
                <w:szCs w:val="22"/>
                <w:lang w:eastAsia="en-US"/>
              </w:rPr>
              <w:t xml:space="preserve">; </w:t>
            </w:r>
            <w:r w:rsidR="002B122F">
              <w:rPr>
                <w:rFonts w:eastAsia="Calibri"/>
                <w:i/>
                <w:iCs/>
                <w:sz w:val="22"/>
                <w:szCs w:val="22"/>
                <w:lang w:eastAsia="en-US"/>
              </w:rPr>
              <w:lastRenderedPageBreak/>
              <w:t>pateiks p</w:t>
            </w:r>
            <w:r w:rsidR="002B122F" w:rsidRPr="00DF6F1A">
              <w:rPr>
                <w:rFonts w:eastAsia="Calibri"/>
                <w:i/>
                <w:iCs/>
                <w:sz w:val="22"/>
                <w:szCs w:val="22"/>
                <w:lang w:eastAsia="en-US"/>
              </w:rPr>
              <w:t>ateikti LR CK 6.404 str. 2 d. nurodytą privalomą informaciją, t.y. pateikti AB „Klaipėdos nafta“ turto inventorizavimo sąrašą, nepriklausomo auditoriaus išvadą apie įmonės turto sudėtį ir jo kainą, AB „Klaipėdos nafta“ skolų (prievolių) sąrašą (UAB koncerno „ACHEMOS GRUPĖ“ 2019-06-18 prašymo 6 klausimas); pateiks kaštų naudos analizę dėl 2019-06-27 neeilinio visuotinio akcininkų susirinkimo darbotvarkėje nurodytų sprendimų įgyvendinimo AB „Klaipėdos nafta“ ir akcininkų atžvilgiu UAB koncerno „ACHEMOS GRUPĖ“ 2019-06-18 prašymo 7 klausimas).“</w:t>
            </w:r>
          </w:p>
        </w:tc>
        <w:tc>
          <w:tcPr>
            <w:tcW w:w="1984" w:type="dxa"/>
            <w:tcBorders>
              <w:top w:val="single" w:sz="6" w:space="0" w:color="auto"/>
              <w:left w:val="single" w:sz="6" w:space="0" w:color="auto"/>
              <w:bottom w:val="single" w:sz="6" w:space="0" w:color="auto"/>
              <w:right w:val="single" w:sz="6" w:space="0" w:color="auto"/>
            </w:tcBorders>
          </w:tcPr>
          <w:p w14:paraId="2C2BA682" w14:textId="77777777" w:rsidR="0064353D" w:rsidRDefault="0064353D" w:rsidP="00D02FFB">
            <w:pPr>
              <w:pStyle w:val="Style3"/>
              <w:widowControl/>
              <w:rPr>
                <w:rStyle w:val="FontStyle13"/>
                <w:sz w:val="22"/>
                <w:szCs w:val="22"/>
              </w:rPr>
            </w:pPr>
          </w:p>
          <w:p w14:paraId="219F8C70" w14:textId="77777777" w:rsidR="0064353D" w:rsidRPr="00B04E88" w:rsidRDefault="0064353D" w:rsidP="00DF6F1A">
            <w:pPr>
              <w:pStyle w:val="Style3"/>
              <w:widowControl/>
              <w:jc w:val="center"/>
              <w:rPr>
                <w:rStyle w:val="FontStyle13"/>
                <w:sz w:val="22"/>
                <w:szCs w:val="22"/>
              </w:rPr>
            </w:pPr>
            <w:r w:rsidRPr="00DF6F1A">
              <w:rPr>
                <w:rStyle w:val="FontStyle13"/>
                <w:sz w:val="22"/>
                <w:szCs w:val="22"/>
              </w:rPr>
              <w:t>Už</w:t>
            </w:r>
          </w:p>
        </w:tc>
        <w:tc>
          <w:tcPr>
            <w:tcW w:w="2127" w:type="dxa"/>
            <w:tcBorders>
              <w:top w:val="single" w:sz="6" w:space="0" w:color="auto"/>
              <w:left w:val="single" w:sz="6" w:space="0" w:color="auto"/>
              <w:bottom w:val="single" w:sz="6" w:space="0" w:color="auto"/>
              <w:right w:val="single" w:sz="6" w:space="0" w:color="auto"/>
            </w:tcBorders>
          </w:tcPr>
          <w:p w14:paraId="00DB7BE9" w14:textId="77777777" w:rsidR="0064353D" w:rsidRDefault="0064353D">
            <w:pPr>
              <w:pStyle w:val="Style3"/>
              <w:widowControl/>
              <w:rPr>
                <w:rStyle w:val="FontStyle13"/>
                <w:sz w:val="22"/>
                <w:szCs w:val="22"/>
              </w:rPr>
            </w:pPr>
          </w:p>
          <w:p w14:paraId="7F2D373D" w14:textId="77777777" w:rsidR="0064353D" w:rsidRPr="00B04E88" w:rsidRDefault="0064353D" w:rsidP="00DF6F1A">
            <w:pPr>
              <w:pStyle w:val="Style3"/>
              <w:widowControl/>
              <w:jc w:val="center"/>
              <w:rPr>
                <w:rStyle w:val="FontStyle13"/>
                <w:sz w:val="22"/>
                <w:szCs w:val="22"/>
              </w:rPr>
            </w:pPr>
            <w:r w:rsidRPr="00DF6F1A">
              <w:rPr>
                <w:rStyle w:val="FontStyle13"/>
                <w:sz w:val="22"/>
                <w:szCs w:val="22"/>
              </w:rPr>
              <w:t>Prieš</w:t>
            </w:r>
          </w:p>
        </w:tc>
      </w:tr>
      <w:tr w:rsidR="00BF5317" w14:paraId="2353D987" w14:textId="77777777" w:rsidTr="00BF5317">
        <w:trPr>
          <w:trHeight w:val="706"/>
        </w:trPr>
        <w:tc>
          <w:tcPr>
            <w:tcW w:w="4962" w:type="dxa"/>
            <w:tcBorders>
              <w:top w:val="single" w:sz="4" w:space="0" w:color="auto"/>
              <w:left w:val="single" w:sz="6" w:space="0" w:color="auto"/>
              <w:bottom w:val="single" w:sz="6" w:space="0" w:color="auto"/>
              <w:right w:val="single" w:sz="6" w:space="0" w:color="auto"/>
            </w:tcBorders>
          </w:tcPr>
          <w:p w14:paraId="0474E6AF" w14:textId="77777777" w:rsidR="00BF5317" w:rsidRPr="00B04E88" w:rsidRDefault="00BF5317" w:rsidP="00DF6F1A">
            <w:pPr>
              <w:pStyle w:val="Default"/>
              <w:jc w:val="both"/>
              <w:rPr>
                <w:sz w:val="22"/>
                <w:szCs w:val="22"/>
              </w:rPr>
            </w:pPr>
          </w:p>
        </w:tc>
        <w:tc>
          <w:tcPr>
            <w:tcW w:w="5528" w:type="dxa"/>
            <w:tcBorders>
              <w:top w:val="single" w:sz="6" w:space="0" w:color="auto"/>
              <w:left w:val="single" w:sz="6" w:space="0" w:color="auto"/>
              <w:bottom w:val="single" w:sz="6" w:space="0" w:color="auto"/>
              <w:right w:val="single" w:sz="6" w:space="0" w:color="auto"/>
            </w:tcBorders>
          </w:tcPr>
          <w:p w14:paraId="13C28D56" w14:textId="77777777" w:rsidR="00BF5317" w:rsidRDefault="00BF5317" w:rsidP="00FD0D3E">
            <w:pPr>
              <w:widowControl/>
              <w:tabs>
                <w:tab w:val="left" w:pos="527"/>
              </w:tabs>
              <w:autoSpaceDE/>
              <w:autoSpaceDN/>
              <w:adjustRightInd/>
              <w:spacing w:before="40" w:after="40"/>
              <w:jc w:val="both"/>
              <w:rPr>
                <w:b/>
                <w:sz w:val="22"/>
                <w:szCs w:val="22"/>
              </w:rPr>
            </w:pPr>
            <w:r>
              <w:rPr>
                <w:b/>
                <w:sz w:val="22"/>
                <w:szCs w:val="22"/>
              </w:rPr>
              <w:t>III Alternatyvus sprendimo projektas:</w:t>
            </w:r>
          </w:p>
          <w:p w14:paraId="29B4D3D7" w14:textId="77777777" w:rsidR="00BF5317" w:rsidRDefault="00BF5317" w:rsidP="00FD0D3E">
            <w:pPr>
              <w:widowControl/>
              <w:tabs>
                <w:tab w:val="left" w:pos="527"/>
              </w:tabs>
              <w:autoSpaceDE/>
              <w:autoSpaceDN/>
              <w:adjustRightInd/>
              <w:spacing w:before="40" w:after="40"/>
              <w:jc w:val="both"/>
              <w:rPr>
                <w:b/>
                <w:sz w:val="22"/>
                <w:szCs w:val="22"/>
              </w:rPr>
            </w:pPr>
          </w:p>
          <w:p w14:paraId="192FB068" w14:textId="7C1548D3" w:rsidR="00BF5317" w:rsidRPr="00CF7635" w:rsidRDefault="00BF5317" w:rsidP="00FD0D3E">
            <w:pPr>
              <w:widowControl/>
              <w:tabs>
                <w:tab w:val="left" w:pos="527"/>
              </w:tabs>
              <w:autoSpaceDE/>
              <w:autoSpaceDN/>
              <w:adjustRightInd/>
              <w:spacing w:before="40" w:after="40"/>
              <w:jc w:val="both"/>
              <w:rPr>
                <w:i/>
                <w:sz w:val="22"/>
                <w:szCs w:val="22"/>
              </w:rPr>
            </w:pPr>
            <w:r w:rsidRPr="00CF7635">
              <w:rPr>
                <w:i/>
                <w:sz w:val="22"/>
                <w:szCs w:val="22"/>
              </w:rPr>
              <w:t xml:space="preserve">„Atsižvelgiant į tai, kad nebėra teisinės ir faktinės galimybės atlikti suskystintųjų gamtinių dujų terminalo veiklos perleidimą pagal 2019-02-01 uždarosios akcinės bendrovės korporacijos </w:t>
            </w:r>
            <w:proofErr w:type="gramStart"/>
            <w:r w:rsidRPr="00CF7635">
              <w:rPr>
                <w:i/>
                <w:sz w:val="22"/>
                <w:szCs w:val="22"/>
              </w:rPr>
              <w:t>"Matininkai"</w:t>
            </w:r>
            <w:proofErr w:type="gramEnd"/>
            <w:r w:rsidRPr="00CF7635">
              <w:rPr>
                <w:i/>
                <w:sz w:val="22"/>
                <w:szCs w:val="22"/>
              </w:rPr>
              <w:t>, kodas 121913439, nepriklausomo turto vertinimo ataskaitą, kadangi po turto vertinimo dienos (2018-12-31) yra praėję daugiau kaip 6 mėn., atidėti klausimo priėmimą iki bus atliktas naujas verti</w:t>
            </w:r>
            <w:r w:rsidR="00431531">
              <w:rPr>
                <w:i/>
                <w:sz w:val="22"/>
                <w:szCs w:val="22"/>
              </w:rPr>
              <w:t>ni</w:t>
            </w:r>
            <w:r w:rsidRPr="00CF7635">
              <w:rPr>
                <w:i/>
                <w:sz w:val="22"/>
                <w:szCs w:val="22"/>
              </w:rPr>
              <w:t>mas dėl investavimo į dukterinę bendrovę UAB „SGD terminalas“ veiklą.“</w:t>
            </w:r>
          </w:p>
        </w:tc>
        <w:tc>
          <w:tcPr>
            <w:tcW w:w="1984" w:type="dxa"/>
            <w:tcBorders>
              <w:top w:val="single" w:sz="6" w:space="0" w:color="auto"/>
              <w:left w:val="single" w:sz="6" w:space="0" w:color="auto"/>
              <w:bottom w:val="single" w:sz="6" w:space="0" w:color="auto"/>
              <w:right w:val="single" w:sz="6" w:space="0" w:color="auto"/>
            </w:tcBorders>
          </w:tcPr>
          <w:p w14:paraId="558F3C54" w14:textId="77777777" w:rsidR="00BF5317" w:rsidRDefault="00BF5317" w:rsidP="000E7E38">
            <w:pPr>
              <w:pStyle w:val="Style3"/>
              <w:widowControl/>
              <w:rPr>
                <w:rStyle w:val="FontStyle13"/>
                <w:sz w:val="22"/>
              </w:rPr>
            </w:pPr>
          </w:p>
          <w:p w14:paraId="730A4558" w14:textId="77777777" w:rsidR="00BF5317" w:rsidRDefault="00BF5317" w:rsidP="00CF7635">
            <w:pPr>
              <w:pStyle w:val="Style3"/>
              <w:widowControl/>
              <w:jc w:val="center"/>
              <w:rPr>
                <w:rStyle w:val="FontStyle13"/>
                <w:sz w:val="22"/>
                <w:szCs w:val="22"/>
              </w:rPr>
            </w:pPr>
            <w:r w:rsidRPr="00B04E88">
              <w:rPr>
                <w:rStyle w:val="FontStyle13"/>
                <w:sz w:val="22"/>
              </w:rPr>
              <w:t>Už</w:t>
            </w:r>
          </w:p>
        </w:tc>
        <w:tc>
          <w:tcPr>
            <w:tcW w:w="2127" w:type="dxa"/>
            <w:tcBorders>
              <w:top w:val="single" w:sz="6" w:space="0" w:color="auto"/>
              <w:left w:val="single" w:sz="6" w:space="0" w:color="auto"/>
              <w:bottom w:val="single" w:sz="6" w:space="0" w:color="auto"/>
              <w:right w:val="single" w:sz="6" w:space="0" w:color="auto"/>
            </w:tcBorders>
          </w:tcPr>
          <w:p w14:paraId="6C133135" w14:textId="77777777" w:rsidR="00BF5317" w:rsidRDefault="00BF5317">
            <w:pPr>
              <w:pStyle w:val="Style3"/>
              <w:widowControl/>
              <w:rPr>
                <w:rStyle w:val="FontStyle13"/>
                <w:sz w:val="22"/>
                <w:szCs w:val="22"/>
              </w:rPr>
            </w:pPr>
          </w:p>
          <w:p w14:paraId="3753C25A" w14:textId="77777777" w:rsidR="00BF5317" w:rsidRDefault="00BF5317" w:rsidP="00CF7635">
            <w:pPr>
              <w:pStyle w:val="Style3"/>
              <w:widowControl/>
              <w:jc w:val="center"/>
              <w:rPr>
                <w:rStyle w:val="FontStyle13"/>
                <w:sz w:val="22"/>
                <w:szCs w:val="22"/>
              </w:rPr>
            </w:pPr>
            <w:r w:rsidRPr="00B04E88">
              <w:rPr>
                <w:rStyle w:val="FontStyle13"/>
                <w:sz w:val="22"/>
              </w:rPr>
              <w:t>Prieš</w:t>
            </w:r>
          </w:p>
        </w:tc>
      </w:tr>
      <w:tr w:rsidR="0064353D" w14:paraId="732E3049" w14:textId="77777777" w:rsidTr="00BF5317">
        <w:trPr>
          <w:trHeight w:val="706"/>
        </w:trPr>
        <w:tc>
          <w:tcPr>
            <w:tcW w:w="4962" w:type="dxa"/>
            <w:tcBorders>
              <w:top w:val="single" w:sz="4" w:space="0" w:color="auto"/>
              <w:left w:val="single" w:sz="6" w:space="0" w:color="auto"/>
              <w:bottom w:val="single" w:sz="4" w:space="0" w:color="auto"/>
              <w:right w:val="single" w:sz="6" w:space="0" w:color="auto"/>
            </w:tcBorders>
          </w:tcPr>
          <w:p w14:paraId="62CCD9EC" w14:textId="77777777" w:rsidR="0064353D" w:rsidRPr="000E7E38" w:rsidRDefault="0064353D" w:rsidP="00F51D92">
            <w:pPr>
              <w:pStyle w:val="Default"/>
              <w:numPr>
                <w:ilvl w:val="0"/>
                <w:numId w:val="7"/>
              </w:numPr>
              <w:ind w:left="385"/>
              <w:jc w:val="both"/>
              <w:rPr>
                <w:iCs/>
                <w:sz w:val="22"/>
                <w:szCs w:val="22"/>
              </w:rPr>
            </w:pPr>
            <w:r>
              <w:rPr>
                <w:iCs/>
                <w:sz w:val="22"/>
                <w:szCs w:val="22"/>
              </w:rPr>
              <w:t xml:space="preserve">Darbotvarkės klausimu Nr. </w:t>
            </w:r>
            <w:r w:rsidRPr="002B122F">
              <w:rPr>
                <w:iCs/>
                <w:sz w:val="22"/>
                <w:szCs w:val="22"/>
              </w:rPr>
              <w:t xml:space="preserve">2 - </w:t>
            </w:r>
            <w:r w:rsidRPr="00F51D92">
              <w:rPr>
                <w:iCs/>
                <w:sz w:val="22"/>
                <w:szCs w:val="22"/>
              </w:rPr>
              <w:t>Dėl AB „Klaipėdos nafta“ valdybos sprendimo suteikti garantiją už UAB „SGD terminalas“ įsipareigojimų vykdymą pagal la</w:t>
            </w:r>
            <w:r>
              <w:rPr>
                <w:iCs/>
                <w:sz w:val="22"/>
                <w:szCs w:val="22"/>
              </w:rPr>
              <w:t>ivo nuomos sutartį patvirtinimo:</w:t>
            </w:r>
          </w:p>
        </w:tc>
        <w:tc>
          <w:tcPr>
            <w:tcW w:w="5528" w:type="dxa"/>
            <w:tcBorders>
              <w:top w:val="single" w:sz="4" w:space="0" w:color="auto"/>
              <w:left w:val="single" w:sz="6" w:space="0" w:color="auto"/>
              <w:bottom w:val="single" w:sz="6" w:space="0" w:color="auto"/>
              <w:right w:val="single" w:sz="6" w:space="0" w:color="auto"/>
            </w:tcBorders>
          </w:tcPr>
          <w:p w14:paraId="67D11051" w14:textId="77777777" w:rsidR="0064353D" w:rsidRPr="0064353D" w:rsidRDefault="0064353D" w:rsidP="00443BEA">
            <w:pPr>
              <w:pStyle w:val="Default"/>
              <w:jc w:val="both"/>
              <w:rPr>
                <w:b/>
                <w:iCs/>
                <w:sz w:val="22"/>
                <w:szCs w:val="22"/>
              </w:rPr>
            </w:pPr>
            <w:r w:rsidRPr="0064353D">
              <w:rPr>
                <w:b/>
                <w:iCs/>
                <w:sz w:val="22"/>
                <w:szCs w:val="22"/>
              </w:rPr>
              <w:t>I Alternatyvus sprendimo projektas:</w:t>
            </w:r>
          </w:p>
          <w:p w14:paraId="5A6BEE9B" w14:textId="77777777" w:rsidR="0064353D" w:rsidRDefault="0064353D" w:rsidP="00443BEA">
            <w:pPr>
              <w:pStyle w:val="Default"/>
              <w:jc w:val="both"/>
              <w:rPr>
                <w:i/>
                <w:iCs/>
                <w:sz w:val="22"/>
                <w:szCs w:val="22"/>
              </w:rPr>
            </w:pPr>
          </w:p>
          <w:p w14:paraId="79ADA1D2" w14:textId="77777777" w:rsidR="0064353D" w:rsidRPr="00F51D92" w:rsidRDefault="0064353D" w:rsidP="00443BEA">
            <w:pPr>
              <w:pStyle w:val="Default"/>
              <w:jc w:val="both"/>
              <w:rPr>
                <w:i/>
                <w:iCs/>
                <w:sz w:val="22"/>
                <w:szCs w:val="22"/>
              </w:rPr>
            </w:pPr>
            <w:r w:rsidRPr="00F51D92">
              <w:rPr>
                <w:i/>
                <w:iCs/>
                <w:sz w:val="22"/>
                <w:szCs w:val="22"/>
              </w:rPr>
              <w:t>„Patvirtinti AB „Klaipėdos nafta“ valdybos sprendimą:</w:t>
            </w:r>
          </w:p>
          <w:p w14:paraId="1525FC9D" w14:textId="77777777" w:rsidR="0064353D" w:rsidRDefault="0064353D" w:rsidP="00F51D92">
            <w:pPr>
              <w:pStyle w:val="Default"/>
              <w:spacing w:before="240"/>
              <w:jc w:val="both"/>
              <w:rPr>
                <w:i/>
                <w:iCs/>
                <w:sz w:val="22"/>
                <w:szCs w:val="22"/>
              </w:rPr>
            </w:pPr>
            <w:r w:rsidRPr="00F51D92">
              <w:rPr>
                <w:i/>
                <w:iCs/>
                <w:sz w:val="22"/>
                <w:szCs w:val="22"/>
              </w:rPr>
              <w:t xml:space="preserve">2. Suteikti AB „Klaipėdos nafta“, kaip patronuojančios bendrovės, garantiją UAB </w:t>
            </w:r>
            <w:proofErr w:type="spellStart"/>
            <w:r w:rsidRPr="00F51D92">
              <w:rPr>
                <w:i/>
                <w:iCs/>
                <w:sz w:val="22"/>
                <w:szCs w:val="22"/>
              </w:rPr>
              <w:t>Hoegh</w:t>
            </w:r>
            <w:proofErr w:type="spellEnd"/>
            <w:r w:rsidRPr="00F51D92">
              <w:rPr>
                <w:i/>
                <w:iCs/>
                <w:sz w:val="22"/>
                <w:szCs w:val="22"/>
              </w:rPr>
              <w:t xml:space="preserve"> LNG Klaipėda ir HÖEGH </w:t>
            </w:r>
            <w:r w:rsidRPr="00F51D92">
              <w:rPr>
                <w:i/>
                <w:iCs/>
                <w:sz w:val="22"/>
                <w:szCs w:val="22"/>
              </w:rPr>
              <w:lastRenderedPageBreak/>
              <w:t>LNG LTD už UAB „SGD terminalas“ įsipareigojimų vykdymą pagal laivo nuomos sutartį, kurios bendra suma neviršytų 310 mln. USD.“</w:t>
            </w:r>
          </w:p>
        </w:tc>
        <w:tc>
          <w:tcPr>
            <w:tcW w:w="1984" w:type="dxa"/>
            <w:tcBorders>
              <w:top w:val="single" w:sz="4" w:space="0" w:color="auto"/>
              <w:left w:val="single" w:sz="6" w:space="0" w:color="auto"/>
              <w:bottom w:val="single" w:sz="6" w:space="0" w:color="auto"/>
              <w:right w:val="single" w:sz="6" w:space="0" w:color="auto"/>
            </w:tcBorders>
          </w:tcPr>
          <w:p w14:paraId="6D58C84F" w14:textId="77777777" w:rsidR="0064353D" w:rsidRPr="00B04E88" w:rsidRDefault="0064353D">
            <w:pPr>
              <w:pStyle w:val="Style3"/>
              <w:widowControl/>
              <w:rPr>
                <w:rStyle w:val="FontStyle13"/>
                <w:sz w:val="22"/>
              </w:rPr>
            </w:pPr>
          </w:p>
          <w:p w14:paraId="02095E29" w14:textId="77777777" w:rsidR="0064353D" w:rsidRPr="00B04E88" w:rsidRDefault="00CF7635" w:rsidP="000E7E38">
            <w:pPr>
              <w:pStyle w:val="Style3"/>
              <w:widowControl/>
              <w:jc w:val="center"/>
              <w:rPr>
                <w:rStyle w:val="FontStyle13"/>
                <w:sz w:val="22"/>
              </w:rPr>
            </w:pPr>
            <w:r w:rsidRPr="00CF7635">
              <w:rPr>
                <w:rStyle w:val="FontStyle13"/>
                <w:sz w:val="22"/>
              </w:rPr>
              <w:t>Už</w:t>
            </w:r>
          </w:p>
        </w:tc>
        <w:tc>
          <w:tcPr>
            <w:tcW w:w="2127" w:type="dxa"/>
            <w:tcBorders>
              <w:top w:val="single" w:sz="4" w:space="0" w:color="auto"/>
              <w:left w:val="single" w:sz="6" w:space="0" w:color="auto"/>
              <w:bottom w:val="single" w:sz="6" w:space="0" w:color="auto"/>
              <w:right w:val="single" w:sz="6" w:space="0" w:color="auto"/>
            </w:tcBorders>
          </w:tcPr>
          <w:p w14:paraId="3C6E0E41" w14:textId="77777777" w:rsidR="0064353D" w:rsidRPr="00B04E88" w:rsidRDefault="0064353D">
            <w:pPr>
              <w:pStyle w:val="Style3"/>
              <w:widowControl/>
              <w:rPr>
                <w:rStyle w:val="FontStyle13"/>
                <w:sz w:val="22"/>
              </w:rPr>
            </w:pPr>
          </w:p>
          <w:p w14:paraId="6525B8C4" w14:textId="77777777" w:rsidR="0064353D" w:rsidRPr="00B04E88" w:rsidRDefault="0064353D" w:rsidP="000E7E38">
            <w:pPr>
              <w:pStyle w:val="Style3"/>
              <w:widowControl/>
              <w:jc w:val="center"/>
              <w:rPr>
                <w:rStyle w:val="FontStyle13"/>
                <w:sz w:val="22"/>
              </w:rPr>
            </w:pPr>
            <w:r w:rsidRPr="00B04E88">
              <w:rPr>
                <w:rStyle w:val="FontStyle13"/>
                <w:sz w:val="22"/>
              </w:rPr>
              <w:t>Prieš</w:t>
            </w:r>
          </w:p>
        </w:tc>
      </w:tr>
      <w:tr w:rsidR="0064353D" w14:paraId="72265CBC" w14:textId="77777777" w:rsidTr="00BF5317">
        <w:trPr>
          <w:trHeight w:val="1095"/>
        </w:trPr>
        <w:tc>
          <w:tcPr>
            <w:tcW w:w="4962" w:type="dxa"/>
            <w:tcBorders>
              <w:top w:val="single" w:sz="4" w:space="0" w:color="auto"/>
              <w:left w:val="single" w:sz="6" w:space="0" w:color="auto"/>
              <w:bottom w:val="single" w:sz="6" w:space="0" w:color="auto"/>
              <w:right w:val="single" w:sz="6" w:space="0" w:color="auto"/>
            </w:tcBorders>
          </w:tcPr>
          <w:p w14:paraId="4DFF4EBD" w14:textId="77777777" w:rsidR="0064353D" w:rsidRDefault="0064353D" w:rsidP="0064353D">
            <w:pPr>
              <w:pStyle w:val="Default"/>
              <w:jc w:val="both"/>
              <w:rPr>
                <w:iCs/>
                <w:sz w:val="22"/>
                <w:szCs w:val="22"/>
              </w:rPr>
            </w:pPr>
          </w:p>
        </w:tc>
        <w:tc>
          <w:tcPr>
            <w:tcW w:w="5528" w:type="dxa"/>
            <w:tcBorders>
              <w:top w:val="single" w:sz="6" w:space="0" w:color="auto"/>
              <w:left w:val="single" w:sz="6" w:space="0" w:color="auto"/>
              <w:bottom w:val="single" w:sz="6" w:space="0" w:color="auto"/>
              <w:right w:val="single" w:sz="6" w:space="0" w:color="auto"/>
            </w:tcBorders>
          </w:tcPr>
          <w:p w14:paraId="567C89FE" w14:textId="77777777" w:rsidR="0064353D" w:rsidRDefault="0064353D" w:rsidP="00443BEA">
            <w:pPr>
              <w:pStyle w:val="Default"/>
              <w:jc w:val="both"/>
              <w:rPr>
                <w:b/>
                <w:iCs/>
                <w:sz w:val="22"/>
                <w:szCs w:val="22"/>
              </w:rPr>
            </w:pPr>
            <w:r>
              <w:rPr>
                <w:b/>
                <w:iCs/>
                <w:sz w:val="22"/>
                <w:szCs w:val="22"/>
              </w:rPr>
              <w:t>II Alternatyvus sprendimo projektas:</w:t>
            </w:r>
          </w:p>
          <w:p w14:paraId="02C6AD3E" w14:textId="77777777" w:rsidR="0064353D" w:rsidRDefault="0064353D" w:rsidP="00443BEA">
            <w:pPr>
              <w:pStyle w:val="Default"/>
              <w:jc w:val="both"/>
              <w:rPr>
                <w:b/>
                <w:iCs/>
                <w:sz w:val="22"/>
                <w:szCs w:val="22"/>
              </w:rPr>
            </w:pPr>
          </w:p>
          <w:p w14:paraId="1AF0E071" w14:textId="77777777" w:rsidR="0064353D" w:rsidRPr="0064353D" w:rsidRDefault="0064353D" w:rsidP="0064353D">
            <w:pPr>
              <w:tabs>
                <w:tab w:val="left" w:pos="4185"/>
              </w:tabs>
              <w:spacing w:after="160" w:line="259" w:lineRule="auto"/>
              <w:contextualSpacing/>
              <w:jc w:val="both"/>
              <w:rPr>
                <w:rFonts w:eastAsia="Calibri"/>
                <w:b/>
                <w:sz w:val="22"/>
                <w:szCs w:val="22"/>
                <w:lang w:eastAsia="en-US"/>
              </w:rPr>
            </w:pPr>
            <w:r w:rsidRPr="0064353D">
              <w:rPr>
                <w:rFonts w:eastAsia="Calibri"/>
                <w:i/>
                <w:iCs/>
                <w:sz w:val="22"/>
                <w:szCs w:val="22"/>
                <w:lang w:eastAsia="en-US"/>
              </w:rPr>
              <w:t>„2. Atidėti AB „Klaipėdos nafta“ garantijos suteikimo už dukterinės bendrovės UAB „SGD terminalas“ įsipareigojimų</w:t>
            </w:r>
            <w:r w:rsidR="00BF5317" w:rsidRPr="0064353D">
              <w:rPr>
                <w:rFonts w:eastAsia="Calibri"/>
                <w:i/>
                <w:iCs/>
                <w:sz w:val="22"/>
                <w:szCs w:val="22"/>
                <w:lang w:eastAsia="en-US"/>
              </w:rPr>
              <w:t xml:space="preserve"> vykdymą pagal laivo nuomos sutartį klausimo svarstymą iki AB „Klaipėdos nafta“ pateiks akcininkams iki šiol nepateiktus atsakymus ir informaciją, t.y. UAB „</w:t>
            </w:r>
            <w:proofErr w:type="spellStart"/>
            <w:r w:rsidR="00BF5317" w:rsidRPr="0064353D">
              <w:rPr>
                <w:rFonts w:eastAsia="Calibri"/>
                <w:i/>
                <w:iCs/>
                <w:sz w:val="22"/>
                <w:szCs w:val="22"/>
                <w:lang w:eastAsia="en-US"/>
              </w:rPr>
              <w:t>PricewaterhouseCoopers</w:t>
            </w:r>
            <w:proofErr w:type="spellEnd"/>
            <w:r w:rsidR="00BF5317" w:rsidRPr="0064353D">
              <w:rPr>
                <w:rFonts w:eastAsia="Calibri"/>
                <w:i/>
                <w:iCs/>
                <w:sz w:val="22"/>
                <w:szCs w:val="22"/>
                <w:lang w:eastAsia="en-US"/>
              </w:rPr>
              <w:t>” 2018-12-31 memorandumo priedą, t.y. AB „Klaipėdos nafta“ 2018-09-30 preliminarų atskyrimo balansą (UAB koncerno „ACHEMOS GRUPĖ“ 2019-06-18 prašymo 2 klausimas); Advokatų kontoros TGS Baltic 2018-08-19 ataskaitą (UAB koncerno „ACHEMOS GRUPĖ“ 2019-06-18 prašymo 3 klausimas); nurodys AB „Klaipėdos nafta“ perleidžiamų/perkeliamų darbuotojų skaičių bei pateiks informaciją apie AB „Klaipėdos nafta“ kaštus dėl dukterinei įmonei UAB „SGD terminalas“ perleidžiamų/perkeliamų darbuotojų (UAB koncerno „ACHEMOS GRUPĖ“ 2019-06-18 prašymo 4 klausimas); pateiks Pateikti LR CK 6.404 str. 2 d. nurodytą privalomą informaciją, t.y. pateikti AB „Klaipėdos nafta“ turto inventorizavimo sąrašą, nepriklausomo auditoriaus išvadą apie įmonės turto sudėtį ir jo kainą, AB „Klaipėdos nafta“ skolų (prievolių) sąrašą (UAB koncerno „ACHEMOS GRUPĖ“ 2019-06-18 prašymo 6 klausimas); pateiks kaštų naudos analizę dėl 2019-06-27 neeilinio visuotinio akcininkų susirinkimo darbotvarkėje nurodytų sprendimų įgyvendinimo AB „Klaipėdos nafta“ ir akcininkų atžvilgiu UAB koncerno „ACHEMOS GRUPĖ“ 2019-06-18 prašymo 7 klausimas).“</w:t>
            </w:r>
          </w:p>
        </w:tc>
        <w:tc>
          <w:tcPr>
            <w:tcW w:w="1984" w:type="dxa"/>
            <w:tcBorders>
              <w:top w:val="single" w:sz="4" w:space="0" w:color="auto"/>
              <w:left w:val="single" w:sz="6" w:space="0" w:color="auto"/>
              <w:bottom w:val="single" w:sz="6" w:space="0" w:color="auto"/>
              <w:right w:val="single" w:sz="4" w:space="0" w:color="auto"/>
            </w:tcBorders>
          </w:tcPr>
          <w:p w14:paraId="25DF1C62" w14:textId="77777777" w:rsidR="00CF7635" w:rsidRDefault="00CF7635" w:rsidP="00D02FFB">
            <w:pPr>
              <w:pStyle w:val="Style3"/>
              <w:widowControl/>
              <w:rPr>
                <w:rStyle w:val="FontStyle13"/>
                <w:sz w:val="22"/>
              </w:rPr>
            </w:pPr>
          </w:p>
          <w:p w14:paraId="7B509119" w14:textId="77777777" w:rsidR="00CF7635" w:rsidRDefault="00BF5317" w:rsidP="00CF7635">
            <w:pPr>
              <w:pStyle w:val="Style3"/>
              <w:widowControl/>
              <w:jc w:val="center"/>
              <w:rPr>
                <w:rStyle w:val="FontStyle13"/>
                <w:sz w:val="22"/>
              </w:rPr>
            </w:pPr>
            <w:r>
              <w:rPr>
                <w:rStyle w:val="FontStyle13"/>
                <w:sz w:val="22"/>
              </w:rPr>
              <w:t>Už</w:t>
            </w:r>
          </w:p>
          <w:p w14:paraId="5CDB6072" w14:textId="77777777" w:rsidR="0064353D" w:rsidRPr="00B04E88" w:rsidRDefault="0064353D" w:rsidP="00CF7635">
            <w:pPr>
              <w:pStyle w:val="Style3"/>
              <w:widowControl/>
              <w:jc w:val="center"/>
              <w:rPr>
                <w:rStyle w:val="FontStyle13"/>
                <w:sz w:val="22"/>
              </w:rPr>
            </w:pPr>
          </w:p>
        </w:tc>
        <w:tc>
          <w:tcPr>
            <w:tcW w:w="2127" w:type="dxa"/>
            <w:tcBorders>
              <w:top w:val="single" w:sz="4" w:space="0" w:color="auto"/>
              <w:left w:val="single" w:sz="4" w:space="0" w:color="auto"/>
              <w:bottom w:val="single" w:sz="6" w:space="0" w:color="auto"/>
              <w:right w:val="single" w:sz="4" w:space="0" w:color="auto"/>
            </w:tcBorders>
          </w:tcPr>
          <w:p w14:paraId="670FD2B3" w14:textId="77777777" w:rsidR="00CF7635" w:rsidRDefault="00CF7635" w:rsidP="00D02FFB">
            <w:pPr>
              <w:pStyle w:val="Style3"/>
              <w:widowControl/>
              <w:rPr>
                <w:rStyle w:val="FontStyle13"/>
                <w:sz w:val="22"/>
              </w:rPr>
            </w:pPr>
          </w:p>
          <w:p w14:paraId="6512FC56" w14:textId="77777777" w:rsidR="00BF5317" w:rsidRDefault="00BF5317" w:rsidP="00BF5317">
            <w:pPr>
              <w:pStyle w:val="Style3"/>
              <w:widowControl/>
              <w:jc w:val="center"/>
              <w:rPr>
                <w:rStyle w:val="FontStyle13"/>
                <w:sz w:val="22"/>
              </w:rPr>
            </w:pPr>
            <w:r w:rsidRPr="00B04E88">
              <w:rPr>
                <w:rStyle w:val="FontStyle13"/>
                <w:sz w:val="22"/>
              </w:rPr>
              <w:t>Prieš</w:t>
            </w:r>
          </w:p>
          <w:p w14:paraId="24674AE2" w14:textId="77777777" w:rsidR="00CF7635" w:rsidRDefault="00CF7635" w:rsidP="00CF7635">
            <w:pPr>
              <w:pStyle w:val="Style3"/>
              <w:widowControl/>
              <w:jc w:val="center"/>
              <w:rPr>
                <w:rStyle w:val="FontStyle13"/>
                <w:sz w:val="22"/>
              </w:rPr>
            </w:pPr>
          </w:p>
          <w:p w14:paraId="29B07933" w14:textId="77777777" w:rsidR="00CF7635" w:rsidRPr="00B04E88" w:rsidRDefault="00CF7635" w:rsidP="00CF7635">
            <w:pPr>
              <w:pStyle w:val="Style3"/>
              <w:widowControl/>
              <w:jc w:val="center"/>
              <w:rPr>
                <w:rStyle w:val="FontStyle13"/>
                <w:sz w:val="22"/>
              </w:rPr>
            </w:pPr>
          </w:p>
        </w:tc>
      </w:tr>
      <w:tr w:rsidR="0064353D" w14:paraId="5BA34200" w14:textId="77777777" w:rsidTr="00BF5317">
        <w:trPr>
          <w:trHeight w:val="706"/>
        </w:trPr>
        <w:tc>
          <w:tcPr>
            <w:tcW w:w="4962" w:type="dxa"/>
            <w:tcBorders>
              <w:left w:val="single" w:sz="6" w:space="0" w:color="auto"/>
              <w:bottom w:val="single" w:sz="6" w:space="0" w:color="auto"/>
              <w:right w:val="single" w:sz="6" w:space="0" w:color="auto"/>
            </w:tcBorders>
          </w:tcPr>
          <w:p w14:paraId="44C095E0" w14:textId="77777777" w:rsidR="0064353D" w:rsidRDefault="0064353D" w:rsidP="0064353D">
            <w:pPr>
              <w:pStyle w:val="Default"/>
              <w:ind w:left="385"/>
              <w:jc w:val="both"/>
              <w:rPr>
                <w:iCs/>
                <w:sz w:val="22"/>
                <w:szCs w:val="22"/>
              </w:rPr>
            </w:pPr>
          </w:p>
        </w:tc>
        <w:tc>
          <w:tcPr>
            <w:tcW w:w="5528" w:type="dxa"/>
            <w:tcBorders>
              <w:top w:val="single" w:sz="6" w:space="0" w:color="auto"/>
              <w:left w:val="single" w:sz="6" w:space="0" w:color="auto"/>
              <w:bottom w:val="single" w:sz="6" w:space="0" w:color="auto"/>
              <w:right w:val="single" w:sz="6" w:space="0" w:color="auto"/>
            </w:tcBorders>
          </w:tcPr>
          <w:p w14:paraId="2B429CB3" w14:textId="77777777" w:rsidR="0064353D" w:rsidRDefault="00CF7635" w:rsidP="00443BEA">
            <w:pPr>
              <w:pStyle w:val="Default"/>
              <w:jc w:val="both"/>
              <w:rPr>
                <w:b/>
                <w:iCs/>
                <w:sz w:val="22"/>
                <w:szCs w:val="22"/>
              </w:rPr>
            </w:pPr>
            <w:r>
              <w:rPr>
                <w:b/>
                <w:iCs/>
                <w:sz w:val="22"/>
                <w:szCs w:val="22"/>
              </w:rPr>
              <w:t>III Alternatyvus sprendimo projektas:</w:t>
            </w:r>
          </w:p>
          <w:p w14:paraId="35824F34" w14:textId="77777777" w:rsidR="00CF7635" w:rsidRDefault="00CF7635" w:rsidP="00443BEA">
            <w:pPr>
              <w:pStyle w:val="Default"/>
              <w:jc w:val="both"/>
              <w:rPr>
                <w:b/>
                <w:iCs/>
                <w:sz w:val="22"/>
                <w:szCs w:val="22"/>
              </w:rPr>
            </w:pPr>
          </w:p>
          <w:p w14:paraId="63253F00" w14:textId="0B1EAD63" w:rsidR="00CF7635" w:rsidRPr="00CF7635" w:rsidRDefault="00CF7635" w:rsidP="00443BEA">
            <w:pPr>
              <w:pStyle w:val="Default"/>
              <w:jc w:val="both"/>
              <w:rPr>
                <w:i/>
                <w:iCs/>
                <w:sz w:val="22"/>
                <w:szCs w:val="22"/>
              </w:rPr>
            </w:pPr>
            <w:r w:rsidRPr="00CF7635">
              <w:rPr>
                <w:i/>
                <w:iCs/>
                <w:sz w:val="22"/>
                <w:szCs w:val="22"/>
              </w:rPr>
              <w:t xml:space="preserve">„Atsižvelgiant į tai, jog yra priimtas sprendimas atidėti sprendimo dėl suskystintųjų gamtinių dujų terminalo veiklos </w:t>
            </w:r>
            <w:r w:rsidRPr="00CF7635">
              <w:rPr>
                <w:i/>
                <w:iCs/>
                <w:sz w:val="22"/>
                <w:szCs w:val="22"/>
              </w:rPr>
              <w:lastRenderedPageBreak/>
              <w:t>perleidimo priėmimą, atidėti AB „Klaipėdos nafta“, kaip patronuojančios</w:t>
            </w:r>
            <w:r w:rsidR="00431531">
              <w:rPr>
                <w:i/>
                <w:iCs/>
                <w:sz w:val="22"/>
                <w:szCs w:val="22"/>
              </w:rPr>
              <w:t xml:space="preserve"> bendrovės, garantijos suteikimo</w:t>
            </w:r>
            <w:bookmarkStart w:id="0" w:name="_GoBack"/>
            <w:bookmarkEnd w:id="0"/>
            <w:r w:rsidRPr="00CF7635">
              <w:rPr>
                <w:i/>
                <w:iCs/>
                <w:sz w:val="22"/>
                <w:szCs w:val="22"/>
              </w:rPr>
              <w:t xml:space="preserve"> UAB </w:t>
            </w:r>
            <w:proofErr w:type="spellStart"/>
            <w:r w:rsidRPr="00CF7635">
              <w:rPr>
                <w:i/>
                <w:iCs/>
                <w:sz w:val="22"/>
                <w:szCs w:val="22"/>
              </w:rPr>
              <w:t>Hoegh</w:t>
            </w:r>
            <w:proofErr w:type="spellEnd"/>
            <w:r w:rsidRPr="00CF7635">
              <w:rPr>
                <w:i/>
                <w:iCs/>
                <w:sz w:val="22"/>
                <w:szCs w:val="22"/>
              </w:rPr>
              <w:t xml:space="preserve"> LNG Klaipėda ir HÖEGH LNG LTD už UAB „SGD terminalas“ įsipareigojimų vykdymą klausimo svarstymą iki bus priimamas sprendimas dėl suskystintųjų gamtinių dujų terminalo veiklos perleidimo UAB „SGD terminalas“</w:t>
            </w:r>
          </w:p>
        </w:tc>
        <w:tc>
          <w:tcPr>
            <w:tcW w:w="1984" w:type="dxa"/>
            <w:tcBorders>
              <w:top w:val="single" w:sz="4" w:space="0" w:color="auto"/>
              <w:left w:val="single" w:sz="6" w:space="0" w:color="auto"/>
              <w:bottom w:val="single" w:sz="6" w:space="0" w:color="auto"/>
              <w:right w:val="single" w:sz="6" w:space="0" w:color="auto"/>
            </w:tcBorders>
          </w:tcPr>
          <w:p w14:paraId="26EEDD49" w14:textId="77777777" w:rsidR="00CF7635" w:rsidRDefault="00CF7635">
            <w:pPr>
              <w:pStyle w:val="Style3"/>
              <w:widowControl/>
              <w:rPr>
                <w:rStyle w:val="FontStyle13"/>
                <w:sz w:val="22"/>
              </w:rPr>
            </w:pPr>
          </w:p>
          <w:p w14:paraId="34ABFDC8" w14:textId="77777777" w:rsidR="0064353D" w:rsidRPr="00B04E88" w:rsidRDefault="00CF7635" w:rsidP="00CF7635">
            <w:pPr>
              <w:pStyle w:val="Style3"/>
              <w:widowControl/>
              <w:jc w:val="center"/>
              <w:rPr>
                <w:rStyle w:val="FontStyle13"/>
                <w:sz w:val="22"/>
              </w:rPr>
            </w:pPr>
            <w:r w:rsidRPr="00CF7635">
              <w:rPr>
                <w:rStyle w:val="FontStyle13"/>
                <w:sz w:val="22"/>
              </w:rPr>
              <w:t>Už</w:t>
            </w:r>
          </w:p>
        </w:tc>
        <w:tc>
          <w:tcPr>
            <w:tcW w:w="2127" w:type="dxa"/>
            <w:tcBorders>
              <w:top w:val="single" w:sz="4" w:space="0" w:color="auto"/>
              <w:left w:val="single" w:sz="6" w:space="0" w:color="auto"/>
              <w:bottom w:val="single" w:sz="6" w:space="0" w:color="auto"/>
              <w:right w:val="single" w:sz="6" w:space="0" w:color="auto"/>
            </w:tcBorders>
          </w:tcPr>
          <w:p w14:paraId="4533A757" w14:textId="77777777" w:rsidR="00CF7635" w:rsidRDefault="00CF7635">
            <w:pPr>
              <w:pStyle w:val="Style3"/>
              <w:widowControl/>
              <w:rPr>
                <w:rStyle w:val="FontStyle13"/>
                <w:sz w:val="22"/>
              </w:rPr>
            </w:pPr>
          </w:p>
          <w:p w14:paraId="69A78B98" w14:textId="77777777" w:rsidR="0064353D" w:rsidRPr="00B04E88" w:rsidRDefault="00CF7635" w:rsidP="00CF7635">
            <w:pPr>
              <w:pStyle w:val="Style3"/>
              <w:widowControl/>
              <w:jc w:val="center"/>
              <w:rPr>
                <w:rStyle w:val="FontStyle13"/>
                <w:sz w:val="22"/>
              </w:rPr>
            </w:pPr>
            <w:r w:rsidRPr="00CF7635">
              <w:rPr>
                <w:rStyle w:val="FontStyle13"/>
                <w:sz w:val="22"/>
              </w:rPr>
              <w:t>Prieš</w:t>
            </w:r>
          </w:p>
        </w:tc>
      </w:tr>
      <w:tr w:rsidR="001C4C08" w14:paraId="3FEEC764" w14:textId="77777777" w:rsidTr="00936025">
        <w:trPr>
          <w:trHeight w:val="706"/>
        </w:trPr>
        <w:tc>
          <w:tcPr>
            <w:tcW w:w="4962" w:type="dxa"/>
            <w:tcBorders>
              <w:top w:val="single" w:sz="6" w:space="0" w:color="auto"/>
              <w:left w:val="single" w:sz="6" w:space="0" w:color="auto"/>
              <w:bottom w:val="single" w:sz="6" w:space="0" w:color="auto"/>
              <w:right w:val="single" w:sz="4" w:space="0" w:color="auto"/>
            </w:tcBorders>
          </w:tcPr>
          <w:p w14:paraId="2127D68A" w14:textId="77777777" w:rsidR="001C4C08" w:rsidRDefault="001C4C08" w:rsidP="00F51D92">
            <w:pPr>
              <w:pStyle w:val="Default"/>
              <w:numPr>
                <w:ilvl w:val="0"/>
                <w:numId w:val="7"/>
              </w:numPr>
              <w:ind w:left="385"/>
              <w:jc w:val="both"/>
              <w:rPr>
                <w:iCs/>
                <w:sz w:val="22"/>
                <w:szCs w:val="22"/>
              </w:rPr>
            </w:pPr>
            <w:r w:rsidRPr="00F51D92">
              <w:rPr>
                <w:iCs/>
                <w:sz w:val="22"/>
                <w:szCs w:val="22"/>
              </w:rPr>
              <w:lastRenderedPageBreak/>
              <w:t>Darbotvarkės klausimu Nr.</w:t>
            </w:r>
            <w:r>
              <w:rPr>
                <w:iCs/>
                <w:sz w:val="22"/>
                <w:szCs w:val="22"/>
              </w:rPr>
              <w:t xml:space="preserve"> 3 - </w:t>
            </w:r>
            <w:r w:rsidRPr="00F51D92">
              <w:rPr>
                <w:iCs/>
                <w:sz w:val="22"/>
                <w:szCs w:val="22"/>
              </w:rPr>
              <w:t>Dėl AB „Klaipėdos nafta“ įstatų pakeitimo</w:t>
            </w:r>
            <w:r>
              <w:rPr>
                <w:iCs/>
                <w:sz w:val="22"/>
                <w:szCs w:val="22"/>
              </w:rPr>
              <w:t>:</w:t>
            </w:r>
          </w:p>
        </w:tc>
        <w:tc>
          <w:tcPr>
            <w:tcW w:w="5528" w:type="dxa"/>
            <w:tcBorders>
              <w:top w:val="single" w:sz="6" w:space="0" w:color="auto"/>
              <w:left w:val="single" w:sz="4" w:space="0" w:color="auto"/>
              <w:bottom w:val="single" w:sz="6" w:space="0" w:color="auto"/>
              <w:right w:val="single" w:sz="6" w:space="0" w:color="auto"/>
            </w:tcBorders>
          </w:tcPr>
          <w:p w14:paraId="105E2C20" w14:textId="77777777" w:rsidR="00CF7635" w:rsidRDefault="00CF7635" w:rsidP="00F51D92">
            <w:pPr>
              <w:pStyle w:val="Default"/>
              <w:jc w:val="both"/>
              <w:rPr>
                <w:b/>
                <w:iCs/>
                <w:sz w:val="22"/>
                <w:szCs w:val="22"/>
              </w:rPr>
            </w:pPr>
            <w:r>
              <w:rPr>
                <w:b/>
                <w:iCs/>
                <w:sz w:val="22"/>
                <w:szCs w:val="22"/>
              </w:rPr>
              <w:t>I Alternatyvus sprendimo projektas:</w:t>
            </w:r>
          </w:p>
          <w:p w14:paraId="07CF7FC0" w14:textId="77777777" w:rsidR="00CF7635" w:rsidRDefault="00CF7635" w:rsidP="00F51D92">
            <w:pPr>
              <w:pStyle w:val="Default"/>
              <w:jc w:val="both"/>
              <w:rPr>
                <w:i/>
                <w:iCs/>
                <w:sz w:val="22"/>
                <w:szCs w:val="22"/>
              </w:rPr>
            </w:pPr>
          </w:p>
          <w:p w14:paraId="3E649E19" w14:textId="77777777" w:rsidR="001C4C08" w:rsidRDefault="001C4C08" w:rsidP="00F51D92">
            <w:pPr>
              <w:pStyle w:val="Default"/>
              <w:jc w:val="both"/>
              <w:rPr>
                <w:i/>
                <w:iCs/>
                <w:sz w:val="22"/>
                <w:szCs w:val="22"/>
              </w:rPr>
            </w:pPr>
            <w:r w:rsidRPr="00F51D92">
              <w:rPr>
                <w:i/>
                <w:iCs/>
                <w:sz w:val="22"/>
                <w:szCs w:val="22"/>
              </w:rPr>
              <w:t>“1. Pakeisti AB „Klaipėdos nafta“ įstatus ir patvirtinti prisegtą naują jų redakciją.</w:t>
            </w:r>
          </w:p>
          <w:p w14:paraId="35120B83" w14:textId="77777777" w:rsidR="001C4C08" w:rsidRPr="00F51D92" w:rsidRDefault="001C4C08" w:rsidP="00F51D92">
            <w:pPr>
              <w:pStyle w:val="Default"/>
              <w:jc w:val="both"/>
              <w:rPr>
                <w:i/>
                <w:iCs/>
                <w:sz w:val="22"/>
                <w:szCs w:val="22"/>
              </w:rPr>
            </w:pPr>
          </w:p>
          <w:p w14:paraId="10505FAF" w14:textId="77777777" w:rsidR="001C4C08" w:rsidRDefault="001C4C08" w:rsidP="00F51D92">
            <w:pPr>
              <w:pStyle w:val="Default"/>
              <w:jc w:val="both"/>
              <w:rPr>
                <w:i/>
                <w:iCs/>
                <w:sz w:val="22"/>
                <w:szCs w:val="22"/>
              </w:rPr>
            </w:pPr>
            <w:r w:rsidRPr="00F51D92">
              <w:rPr>
                <w:i/>
                <w:iCs/>
                <w:sz w:val="22"/>
                <w:szCs w:val="22"/>
              </w:rPr>
              <w:t>2. Įgalioti (su teise perįgalioti) AB „Klaipėdos nafta“ generalinį direktorių pasirašyti ir pateikti AB „Klaipėdos nafta“ pakeistus įstatus notaro tvirtinimui ir registruoti juos juridinių asmenų registre.”</w:t>
            </w:r>
          </w:p>
        </w:tc>
        <w:tc>
          <w:tcPr>
            <w:tcW w:w="1984" w:type="dxa"/>
            <w:tcBorders>
              <w:top w:val="single" w:sz="6" w:space="0" w:color="auto"/>
              <w:left w:val="single" w:sz="6" w:space="0" w:color="auto"/>
              <w:bottom w:val="single" w:sz="6" w:space="0" w:color="auto"/>
              <w:right w:val="single" w:sz="6" w:space="0" w:color="auto"/>
            </w:tcBorders>
          </w:tcPr>
          <w:p w14:paraId="76736DCD" w14:textId="77777777" w:rsidR="001C4C08" w:rsidRDefault="001C4C08" w:rsidP="008423AF"/>
          <w:p w14:paraId="45483846" w14:textId="77777777" w:rsidR="001C4C08" w:rsidRPr="008423AF" w:rsidRDefault="001C4C08" w:rsidP="008423AF">
            <w:pPr>
              <w:jc w:val="center"/>
            </w:pPr>
            <w:r w:rsidRPr="008423AF">
              <w:t>Už</w:t>
            </w:r>
          </w:p>
        </w:tc>
        <w:tc>
          <w:tcPr>
            <w:tcW w:w="2127" w:type="dxa"/>
            <w:tcBorders>
              <w:top w:val="single" w:sz="6" w:space="0" w:color="auto"/>
              <w:left w:val="single" w:sz="6" w:space="0" w:color="auto"/>
              <w:bottom w:val="single" w:sz="6" w:space="0" w:color="auto"/>
              <w:right w:val="single" w:sz="6" w:space="0" w:color="auto"/>
            </w:tcBorders>
          </w:tcPr>
          <w:p w14:paraId="7EA3B75C" w14:textId="77777777" w:rsidR="001C4C08" w:rsidRDefault="001C4C08" w:rsidP="008423AF"/>
          <w:p w14:paraId="69BE2DC5" w14:textId="77777777" w:rsidR="001C4C08" w:rsidRPr="008423AF" w:rsidRDefault="001C4C08" w:rsidP="008423AF">
            <w:pPr>
              <w:jc w:val="center"/>
            </w:pPr>
            <w:r w:rsidRPr="008423AF">
              <w:t>Prieš</w:t>
            </w:r>
          </w:p>
        </w:tc>
      </w:tr>
      <w:tr w:rsidR="00CF7635" w14:paraId="24752EB9" w14:textId="77777777" w:rsidTr="00936025">
        <w:trPr>
          <w:trHeight w:val="706"/>
        </w:trPr>
        <w:tc>
          <w:tcPr>
            <w:tcW w:w="4962" w:type="dxa"/>
            <w:tcBorders>
              <w:top w:val="single" w:sz="6" w:space="0" w:color="auto"/>
              <w:left w:val="single" w:sz="6" w:space="0" w:color="auto"/>
              <w:bottom w:val="single" w:sz="6" w:space="0" w:color="auto"/>
              <w:right w:val="single" w:sz="4" w:space="0" w:color="auto"/>
            </w:tcBorders>
          </w:tcPr>
          <w:p w14:paraId="46642596" w14:textId="77777777" w:rsidR="00CF7635" w:rsidRPr="00F51D92" w:rsidRDefault="00CF7635" w:rsidP="00CF7635">
            <w:pPr>
              <w:pStyle w:val="Default"/>
              <w:jc w:val="both"/>
              <w:rPr>
                <w:iCs/>
                <w:sz w:val="22"/>
                <w:szCs w:val="22"/>
              </w:rPr>
            </w:pPr>
          </w:p>
        </w:tc>
        <w:tc>
          <w:tcPr>
            <w:tcW w:w="5528" w:type="dxa"/>
            <w:tcBorders>
              <w:top w:val="single" w:sz="6" w:space="0" w:color="auto"/>
              <w:left w:val="single" w:sz="4" w:space="0" w:color="auto"/>
              <w:bottom w:val="single" w:sz="6" w:space="0" w:color="auto"/>
              <w:right w:val="single" w:sz="6" w:space="0" w:color="auto"/>
            </w:tcBorders>
          </w:tcPr>
          <w:p w14:paraId="0B02D8AB" w14:textId="77777777" w:rsidR="00CF7635" w:rsidRDefault="00CF7635" w:rsidP="00F51D92">
            <w:pPr>
              <w:pStyle w:val="Default"/>
              <w:jc w:val="both"/>
              <w:rPr>
                <w:b/>
                <w:iCs/>
                <w:sz w:val="22"/>
                <w:szCs w:val="22"/>
              </w:rPr>
            </w:pPr>
            <w:r>
              <w:rPr>
                <w:b/>
                <w:iCs/>
                <w:sz w:val="22"/>
                <w:szCs w:val="22"/>
              </w:rPr>
              <w:t>II Alternatyvus sprendimo projektas:</w:t>
            </w:r>
          </w:p>
          <w:p w14:paraId="073EBE30" w14:textId="77777777" w:rsidR="00CF7635" w:rsidRDefault="00CF7635" w:rsidP="00F51D92">
            <w:pPr>
              <w:pStyle w:val="Default"/>
              <w:jc w:val="both"/>
              <w:rPr>
                <w:b/>
                <w:iCs/>
                <w:sz w:val="22"/>
                <w:szCs w:val="22"/>
              </w:rPr>
            </w:pPr>
          </w:p>
          <w:p w14:paraId="0D12F568" w14:textId="77777777" w:rsidR="00CF7635" w:rsidRDefault="00CF7635" w:rsidP="00F51D92">
            <w:pPr>
              <w:pStyle w:val="Default"/>
              <w:jc w:val="both"/>
              <w:rPr>
                <w:i/>
                <w:iCs/>
                <w:sz w:val="22"/>
                <w:szCs w:val="22"/>
              </w:rPr>
            </w:pPr>
            <w:r w:rsidRPr="00CF7635">
              <w:rPr>
                <w:i/>
                <w:iCs/>
                <w:sz w:val="22"/>
                <w:szCs w:val="22"/>
              </w:rPr>
              <w:t>„3. Atidėti AB „Klaipėdos nafta“ įstatų keitimo ir naujos redakcijos įstatų tvirtinimo klausimo nagrinėjimą iki AB „Klaipėdos nafta“ pateiks akcininkams iki šiol nepateiktus atsakymus ir informaciją, t.y. UAB „</w:t>
            </w:r>
            <w:proofErr w:type="spellStart"/>
            <w:r w:rsidRPr="00CF7635">
              <w:rPr>
                <w:i/>
                <w:iCs/>
                <w:sz w:val="22"/>
                <w:szCs w:val="22"/>
              </w:rPr>
              <w:t>PricewaterhouseCoopers</w:t>
            </w:r>
            <w:proofErr w:type="spellEnd"/>
            <w:r w:rsidRPr="00CF7635">
              <w:rPr>
                <w:i/>
                <w:iCs/>
                <w:sz w:val="22"/>
                <w:szCs w:val="22"/>
              </w:rPr>
              <w:t xml:space="preserve">” 2018-12-31 memorandumo priedą, t.y. AB „Klaipėdos nafta“ 2018-09-30 preliminarų atskyrimo balansą (UAB koncerno „ACHEMOS GRUPĖ“ 2019-06-18 prašymo 2 klausimas); Advokatų kontoros TGS Baltic 2018-08-19 ataskaitą (UAB koncerno „ACHEMOS GRUPĖ“ 2019-06-18 prašymo 3 klausimas); nurodys AB „Klaipėdos nafta“ perleidžiamų/perkeliamų darbuotojų skaičių bei pateiks informaciją apie AB „Klaipėdos nafta“ kaštus dėl dukterinei įmonei UAB „SGD terminalas“ perleidžiamų/perkeliamų darbuotojų (UAB koncerno „ACHEMOS GRUPĖ“ 2019-06-18 prašymo 4 klausimas); pateiks Pateikti LR CK 6.404 str. 2 d. nurodytą privalomą informaciją, t.y. pateikti AB „Klaipėdos nafta“ turto inventorizavimo sąrašą, nepriklausomo auditoriaus išvadą apie įmonės turto sudėtį ir jo kainą, AB „Klaipėdos nafta“ skolų (prievolių) sąrašą (UAB koncerno „ACHEMOS GRUPĖ“ 2019-06-18 prašymo 6 klausimas); pateiks kaštų </w:t>
            </w:r>
            <w:r w:rsidRPr="00CF7635">
              <w:rPr>
                <w:i/>
                <w:iCs/>
                <w:sz w:val="22"/>
                <w:szCs w:val="22"/>
              </w:rPr>
              <w:lastRenderedPageBreak/>
              <w:t>naudos analizę dėl 2019-06-27 neeilinio visuotinio akcininkų susirinkimo darbotvarkėje nurodytų sprendimų įgyvendinimo AB „Klaipėdos nafta“ ir akcininkų atžvilgiu UAB koncerno „ACHEMOS GRUPĖ“ 2019-06-18 prašymo 7 klausimas).“</w:t>
            </w:r>
          </w:p>
          <w:p w14:paraId="2B5D5293" w14:textId="77777777" w:rsidR="00936025" w:rsidRPr="00CF7635" w:rsidRDefault="00936025" w:rsidP="00F51D92">
            <w:pPr>
              <w:pStyle w:val="Default"/>
              <w:jc w:val="both"/>
              <w:rPr>
                <w:i/>
                <w:iCs/>
                <w:sz w:val="22"/>
                <w:szCs w:val="22"/>
              </w:rPr>
            </w:pPr>
          </w:p>
        </w:tc>
        <w:tc>
          <w:tcPr>
            <w:tcW w:w="1984" w:type="dxa"/>
            <w:tcBorders>
              <w:top w:val="single" w:sz="6" w:space="0" w:color="auto"/>
              <w:left w:val="single" w:sz="6" w:space="0" w:color="auto"/>
              <w:bottom w:val="single" w:sz="6" w:space="0" w:color="auto"/>
              <w:right w:val="single" w:sz="6" w:space="0" w:color="auto"/>
            </w:tcBorders>
          </w:tcPr>
          <w:p w14:paraId="3635A94B" w14:textId="77777777" w:rsidR="00CF7635" w:rsidRDefault="00CF7635">
            <w:pPr>
              <w:pStyle w:val="Style3"/>
              <w:widowControl/>
              <w:rPr>
                <w:rStyle w:val="FontStyle13"/>
                <w:sz w:val="22"/>
              </w:rPr>
            </w:pPr>
          </w:p>
          <w:p w14:paraId="43AC7E8F" w14:textId="77777777" w:rsidR="00CF7635" w:rsidRDefault="00CF7635" w:rsidP="00CF7635">
            <w:pPr>
              <w:pStyle w:val="Style3"/>
              <w:widowControl/>
              <w:jc w:val="center"/>
              <w:rPr>
                <w:rStyle w:val="FontStyle13"/>
                <w:sz w:val="22"/>
              </w:rPr>
            </w:pPr>
            <w:r w:rsidRPr="00CF7635">
              <w:rPr>
                <w:rStyle w:val="FontStyle13"/>
                <w:sz w:val="22"/>
              </w:rPr>
              <w:t>Už</w:t>
            </w:r>
          </w:p>
        </w:tc>
        <w:tc>
          <w:tcPr>
            <w:tcW w:w="2127" w:type="dxa"/>
            <w:tcBorders>
              <w:top w:val="single" w:sz="6" w:space="0" w:color="auto"/>
              <w:left w:val="single" w:sz="6" w:space="0" w:color="auto"/>
              <w:bottom w:val="single" w:sz="6" w:space="0" w:color="auto"/>
              <w:right w:val="single" w:sz="6" w:space="0" w:color="auto"/>
            </w:tcBorders>
          </w:tcPr>
          <w:p w14:paraId="4B800565" w14:textId="77777777" w:rsidR="00CF7635" w:rsidRDefault="00CF7635">
            <w:pPr>
              <w:pStyle w:val="Style3"/>
              <w:widowControl/>
              <w:rPr>
                <w:rStyle w:val="FontStyle13"/>
                <w:sz w:val="22"/>
              </w:rPr>
            </w:pPr>
          </w:p>
          <w:p w14:paraId="095BDE8B" w14:textId="77777777" w:rsidR="00CF7635" w:rsidRDefault="00CF7635" w:rsidP="00CF7635">
            <w:pPr>
              <w:pStyle w:val="Style3"/>
              <w:widowControl/>
              <w:jc w:val="center"/>
              <w:rPr>
                <w:rStyle w:val="FontStyle13"/>
                <w:sz w:val="22"/>
              </w:rPr>
            </w:pPr>
            <w:r w:rsidRPr="00CF7635">
              <w:rPr>
                <w:rStyle w:val="FontStyle13"/>
                <w:sz w:val="22"/>
              </w:rPr>
              <w:t>Prieš</w:t>
            </w:r>
          </w:p>
        </w:tc>
      </w:tr>
      <w:tr w:rsidR="00936025" w14:paraId="59BD8BB7" w14:textId="77777777" w:rsidTr="0064353D">
        <w:trPr>
          <w:trHeight w:val="706"/>
        </w:trPr>
        <w:tc>
          <w:tcPr>
            <w:tcW w:w="4962" w:type="dxa"/>
            <w:tcBorders>
              <w:top w:val="single" w:sz="6" w:space="0" w:color="auto"/>
              <w:left w:val="single" w:sz="6" w:space="0" w:color="auto"/>
              <w:bottom w:val="single" w:sz="6" w:space="0" w:color="auto"/>
              <w:right w:val="single" w:sz="4" w:space="0" w:color="auto"/>
            </w:tcBorders>
          </w:tcPr>
          <w:p w14:paraId="3E8E39D6" w14:textId="77777777" w:rsidR="00936025" w:rsidRPr="00F51D92" w:rsidRDefault="00936025" w:rsidP="00CF7635">
            <w:pPr>
              <w:pStyle w:val="Default"/>
              <w:jc w:val="both"/>
              <w:rPr>
                <w:iCs/>
                <w:sz w:val="22"/>
                <w:szCs w:val="22"/>
              </w:rPr>
            </w:pPr>
          </w:p>
        </w:tc>
        <w:tc>
          <w:tcPr>
            <w:tcW w:w="5528" w:type="dxa"/>
            <w:tcBorders>
              <w:top w:val="single" w:sz="6" w:space="0" w:color="auto"/>
              <w:left w:val="single" w:sz="4" w:space="0" w:color="auto"/>
              <w:bottom w:val="single" w:sz="6" w:space="0" w:color="auto"/>
              <w:right w:val="single" w:sz="6" w:space="0" w:color="auto"/>
            </w:tcBorders>
          </w:tcPr>
          <w:p w14:paraId="714D9D48" w14:textId="77777777" w:rsidR="00936025" w:rsidRDefault="00936025" w:rsidP="00F51D92">
            <w:pPr>
              <w:pStyle w:val="Default"/>
              <w:jc w:val="both"/>
              <w:rPr>
                <w:b/>
                <w:iCs/>
                <w:sz w:val="22"/>
                <w:szCs w:val="22"/>
              </w:rPr>
            </w:pPr>
            <w:r>
              <w:rPr>
                <w:b/>
                <w:iCs/>
                <w:sz w:val="22"/>
                <w:szCs w:val="22"/>
              </w:rPr>
              <w:t>III Alternatyvus sprendimo projektas:</w:t>
            </w:r>
          </w:p>
          <w:p w14:paraId="4997CB7E" w14:textId="77777777" w:rsidR="00936025" w:rsidRDefault="00936025" w:rsidP="00F51D92">
            <w:pPr>
              <w:pStyle w:val="Default"/>
              <w:jc w:val="both"/>
              <w:rPr>
                <w:b/>
                <w:iCs/>
                <w:sz w:val="22"/>
                <w:szCs w:val="22"/>
              </w:rPr>
            </w:pPr>
          </w:p>
          <w:p w14:paraId="5F666FD2" w14:textId="77777777" w:rsidR="00936025" w:rsidRPr="00936025" w:rsidRDefault="00936025" w:rsidP="00F51D92">
            <w:pPr>
              <w:pStyle w:val="Default"/>
              <w:jc w:val="both"/>
              <w:rPr>
                <w:i/>
                <w:iCs/>
                <w:sz w:val="22"/>
                <w:szCs w:val="22"/>
              </w:rPr>
            </w:pPr>
            <w:r w:rsidRPr="00936025">
              <w:rPr>
                <w:i/>
                <w:iCs/>
                <w:sz w:val="22"/>
                <w:szCs w:val="22"/>
              </w:rPr>
              <w:t>“Atsižvelgiant į tai, jog atidedamas sprendimo dėl suskystintųjų gamtinių dujų terminalo veiklos perleidimo priėmimas, atidėti AB „Klaipėdos nafta“ įstatų keitimo ir naujos redakcijos įstatų patvirtinimo klausimo svarstymą iki bus priimamas sprendimas dėl suskystintųjų gamtinių dujų terminalo veiklos perleidimo UAB „SGD terminalas“.”</w:t>
            </w:r>
          </w:p>
        </w:tc>
        <w:tc>
          <w:tcPr>
            <w:tcW w:w="1984" w:type="dxa"/>
            <w:tcBorders>
              <w:top w:val="single" w:sz="6" w:space="0" w:color="auto"/>
              <w:left w:val="single" w:sz="6" w:space="0" w:color="auto"/>
              <w:bottom w:val="single" w:sz="6" w:space="0" w:color="auto"/>
              <w:right w:val="single" w:sz="6" w:space="0" w:color="auto"/>
            </w:tcBorders>
          </w:tcPr>
          <w:p w14:paraId="77DCBD54" w14:textId="77777777" w:rsidR="00936025" w:rsidRDefault="00936025">
            <w:pPr>
              <w:pStyle w:val="Style3"/>
              <w:widowControl/>
              <w:rPr>
                <w:rStyle w:val="FontStyle13"/>
                <w:sz w:val="22"/>
              </w:rPr>
            </w:pPr>
          </w:p>
          <w:p w14:paraId="6A582AE3" w14:textId="77777777" w:rsidR="00936025" w:rsidRDefault="00936025" w:rsidP="00936025">
            <w:pPr>
              <w:pStyle w:val="Style3"/>
              <w:widowControl/>
              <w:jc w:val="center"/>
              <w:rPr>
                <w:rStyle w:val="FontStyle13"/>
                <w:sz w:val="22"/>
              </w:rPr>
            </w:pPr>
            <w:r w:rsidRPr="00936025">
              <w:rPr>
                <w:rStyle w:val="FontStyle13"/>
                <w:sz w:val="22"/>
              </w:rPr>
              <w:t>Už</w:t>
            </w:r>
          </w:p>
        </w:tc>
        <w:tc>
          <w:tcPr>
            <w:tcW w:w="2127" w:type="dxa"/>
            <w:tcBorders>
              <w:top w:val="single" w:sz="6" w:space="0" w:color="auto"/>
              <w:left w:val="single" w:sz="6" w:space="0" w:color="auto"/>
              <w:bottom w:val="single" w:sz="6" w:space="0" w:color="auto"/>
              <w:right w:val="single" w:sz="6" w:space="0" w:color="auto"/>
            </w:tcBorders>
          </w:tcPr>
          <w:p w14:paraId="53722B8B" w14:textId="77777777" w:rsidR="00936025" w:rsidRDefault="00936025">
            <w:pPr>
              <w:pStyle w:val="Style3"/>
              <w:widowControl/>
              <w:rPr>
                <w:rStyle w:val="FontStyle13"/>
                <w:sz w:val="22"/>
              </w:rPr>
            </w:pPr>
          </w:p>
          <w:p w14:paraId="5DFD4E9B" w14:textId="77777777" w:rsidR="00936025" w:rsidRDefault="00936025" w:rsidP="00936025">
            <w:pPr>
              <w:pStyle w:val="Style3"/>
              <w:widowControl/>
              <w:jc w:val="center"/>
              <w:rPr>
                <w:rStyle w:val="FontStyle13"/>
                <w:sz w:val="22"/>
              </w:rPr>
            </w:pPr>
            <w:r w:rsidRPr="00936025">
              <w:rPr>
                <w:rStyle w:val="FontStyle13"/>
                <w:sz w:val="22"/>
              </w:rPr>
              <w:t>Prieš</w:t>
            </w:r>
          </w:p>
        </w:tc>
      </w:tr>
    </w:tbl>
    <w:p w14:paraId="57A5CB8A" w14:textId="77777777" w:rsidR="0064353D" w:rsidRDefault="0064353D">
      <w:pPr>
        <w:rPr>
          <w:sz w:val="20"/>
          <w:szCs w:val="20"/>
        </w:rPr>
      </w:pPr>
    </w:p>
    <w:p w14:paraId="0E7E41BB" w14:textId="77777777" w:rsidR="00DF6F1A" w:rsidRDefault="00DF6F1A">
      <w:pPr>
        <w:rPr>
          <w:sz w:val="20"/>
          <w:szCs w:val="20"/>
        </w:rPr>
      </w:pPr>
    </w:p>
    <w:p w14:paraId="1CAC592F" w14:textId="77777777" w:rsidR="00F72698" w:rsidRDefault="00F72698">
      <w:pPr>
        <w:rPr>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10490"/>
        <w:gridCol w:w="1984"/>
        <w:gridCol w:w="2127"/>
      </w:tblGrid>
      <w:tr w:rsidR="00F72698" w:rsidRPr="00B04E88" w14:paraId="2EAA3A13" w14:textId="77777777">
        <w:tc>
          <w:tcPr>
            <w:tcW w:w="10490" w:type="dxa"/>
            <w:tcBorders>
              <w:top w:val="single" w:sz="6" w:space="0" w:color="auto"/>
              <w:left w:val="single" w:sz="6" w:space="0" w:color="auto"/>
              <w:bottom w:val="single" w:sz="6" w:space="0" w:color="auto"/>
              <w:right w:val="single" w:sz="6" w:space="0" w:color="auto"/>
            </w:tcBorders>
          </w:tcPr>
          <w:p w14:paraId="1AE62709" w14:textId="77777777" w:rsidR="00F72698" w:rsidRPr="00B04E88" w:rsidRDefault="00CF0D2E">
            <w:pPr>
              <w:pStyle w:val="Default"/>
              <w:spacing w:before="40" w:after="40"/>
              <w:jc w:val="both"/>
              <w:rPr>
                <w:sz w:val="22"/>
                <w:szCs w:val="20"/>
              </w:rPr>
            </w:pPr>
            <w:r w:rsidRPr="00B04E88">
              <w:rPr>
                <w:sz w:val="22"/>
                <w:szCs w:val="20"/>
              </w:rPr>
              <w:t xml:space="preserve">Dėl bet kokių kitų naujų sprendimų projektų, nenurodytų aukščiau, visais turimais balsais balsuojame </w:t>
            </w:r>
          </w:p>
        </w:tc>
        <w:tc>
          <w:tcPr>
            <w:tcW w:w="1984" w:type="dxa"/>
            <w:tcBorders>
              <w:top w:val="single" w:sz="6" w:space="0" w:color="auto"/>
              <w:left w:val="single" w:sz="6" w:space="0" w:color="auto"/>
              <w:bottom w:val="single" w:sz="6" w:space="0" w:color="auto"/>
              <w:right w:val="single" w:sz="6" w:space="0" w:color="auto"/>
            </w:tcBorders>
          </w:tcPr>
          <w:p w14:paraId="0A743846" w14:textId="77777777" w:rsidR="00F72698" w:rsidRPr="00B04E88" w:rsidRDefault="00CF0D2E">
            <w:pPr>
              <w:pStyle w:val="Style3"/>
              <w:widowControl/>
              <w:jc w:val="center"/>
              <w:rPr>
                <w:rStyle w:val="FontStyle13"/>
                <w:sz w:val="22"/>
              </w:rPr>
            </w:pPr>
            <w:r w:rsidRPr="00B04E88">
              <w:rPr>
                <w:rStyle w:val="FontStyle13"/>
                <w:sz w:val="22"/>
              </w:rPr>
              <w:t>Už</w:t>
            </w:r>
          </w:p>
        </w:tc>
        <w:tc>
          <w:tcPr>
            <w:tcW w:w="2127" w:type="dxa"/>
            <w:tcBorders>
              <w:top w:val="single" w:sz="6" w:space="0" w:color="auto"/>
              <w:left w:val="single" w:sz="6" w:space="0" w:color="auto"/>
              <w:bottom w:val="single" w:sz="6" w:space="0" w:color="auto"/>
              <w:right w:val="single" w:sz="6" w:space="0" w:color="auto"/>
            </w:tcBorders>
          </w:tcPr>
          <w:p w14:paraId="279F8B28" w14:textId="77777777" w:rsidR="00F72698" w:rsidRPr="00B04E88" w:rsidRDefault="00CF0D2E">
            <w:pPr>
              <w:pStyle w:val="Style3"/>
              <w:widowControl/>
              <w:jc w:val="center"/>
              <w:rPr>
                <w:rStyle w:val="FontStyle13"/>
                <w:sz w:val="22"/>
              </w:rPr>
            </w:pPr>
            <w:r w:rsidRPr="00B04E88">
              <w:rPr>
                <w:rStyle w:val="FontStyle13"/>
                <w:sz w:val="22"/>
              </w:rPr>
              <w:t>Prieš</w:t>
            </w:r>
          </w:p>
        </w:tc>
      </w:tr>
    </w:tbl>
    <w:p w14:paraId="5382BBC0" w14:textId="77777777" w:rsidR="00F72698" w:rsidRPr="00B04E88" w:rsidRDefault="00F72698">
      <w:pPr>
        <w:rPr>
          <w:sz w:val="22"/>
          <w:szCs w:val="20"/>
        </w:rPr>
      </w:pPr>
    </w:p>
    <w:p w14:paraId="59698E37" w14:textId="77777777" w:rsidR="00F72698" w:rsidRPr="00B04E88" w:rsidRDefault="00F72698">
      <w:pPr>
        <w:rPr>
          <w:sz w:val="22"/>
          <w:szCs w:val="20"/>
        </w:rPr>
      </w:pPr>
    </w:p>
    <w:p w14:paraId="4181A92D" w14:textId="77777777" w:rsidR="00F72698" w:rsidRPr="00B04E88" w:rsidRDefault="00CF0D2E">
      <w:pPr>
        <w:pBdr>
          <w:bottom w:val="single" w:sz="6" w:space="1" w:color="auto"/>
        </w:pBdr>
        <w:spacing w:line="360" w:lineRule="auto"/>
        <w:jc w:val="both"/>
        <w:rPr>
          <w:rStyle w:val="FontStyle11"/>
          <w:sz w:val="22"/>
          <w:szCs w:val="20"/>
        </w:rPr>
      </w:pPr>
      <w:r w:rsidRPr="00B04E88">
        <w:rPr>
          <w:rStyle w:val="FontStyle11"/>
          <w:sz w:val="22"/>
          <w:szCs w:val="20"/>
        </w:rPr>
        <w:t xml:space="preserve">Patvirtiname, kad esame iš anksto susipažinę su šiame balsavimo biuletenyje </w:t>
      </w:r>
      <w:r w:rsidR="000E2E64" w:rsidRPr="00B04E88">
        <w:rPr>
          <w:rStyle w:val="FontStyle11"/>
          <w:sz w:val="22"/>
          <w:szCs w:val="20"/>
        </w:rPr>
        <w:t xml:space="preserve">nurodyto AB „Klaipėdos nafta“ </w:t>
      </w:r>
      <w:r w:rsidR="00842012">
        <w:rPr>
          <w:rStyle w:val="FontStyle11"/>
          <w:sz w:val="22"/>
          <w:szCs w:val="20"/>
        </w:rPr>
        <w:t xml:space="preserve">pakartotinio </w:t>
      </w:r>
      <w:r w:rsidR="008423AF">
        <w:rPr>
          <w:rStyle w:val="FontStyle11"/>
          <w:sz w:val="22"/>
          <w:szCs w:val="20"/>
        </w:rPr>
        <w:t>ne</w:t>
      </w:r>
      <w:r w:rsidRPr="00B04E88">
        <w:rPr>
          <w:rStyle w:val="FontStyle11"/>
          <w:sz w:val="22"/>
          <w:szCs w:val="20"/>
        </w:rPr>
        <w:t>eilinio visuotinio akcininkų susirinkimo darbotvarke ir sprendimų projektais, išdėstytais šiame biuletenyje, todėl galime iš anksto raštu pareikšti</w:t>
      </w:r>
      <w:r w:rsidRPr="00B04E88">
        <w:rPr>
          <w:sz w:val="22"/>
          <w:szCs w:val="20"/>
          <w:u w:val="single"/>
        </w:rPr>
        <w:t>…………………...............................................................................................................................</w:t>
      </w:r>
      <w:r w:rsidRPr="00B04E88">
        <w:rPr>
          <w:rStyle w:val="FontStyle11"/>
          <w:sz w:val="22"/>
          <w:szCs w:val="20"/>
        </w:rPr>
        <w:t>, kaip AB „Klaipėdos nafta</w:t>
      </w:r>
      <w:r w:rsidR="000E2E64" w:rsidRPr="00B04E88">
        <w:rPr>
          <w:rStyle w:val="FontStyle11"/>
          <w:sz w:val="22"/>
          <w:szCs w:val="20"/>
        </w:rPr>
        <w:t xml:space="preserve">“ akcininko, valią balsuojant </w:t>
      </w:r>
      <w:r w:rsidR="00842012">
        <w:rPr>
          <w:rStyle w:val="FontStyle11"/>
          <w:sz w:val="22"/>
          <w:szCs w:val="20"/>
        </w:rPr>
        <w:t xml:space="preserve">pakartotinio </w:t>
      </w:r>
      <w:r w:rsidR="008423AF">
        <w:rPr>
          <w:rStyle w:val="FontStyle11"/>
          <w:sz w:val="22"/>
          <w:szCs w:val="20"/>
        </w:rPr>
        <w:t>ne</w:t>
      </w:r>
      <w:r w:rsidRPr="00B04E88">
        <w:rPr>
          <w:rStyle w:val="FontStyle11"/>
          <w:sz w:val="22"/>
          <w:szCs w:val="20"/>
        </w:rPr>
        <w:t>eilinio visuotinio akcininkų susirinkimo klausimais. Atsižvelgiant į šią r</w:t>
      </w:r>
      <w:r w:rsidR="000E2E64" w:rsidRPr="00B04E88">
        <w:rPr>
          <w:rStyle w:val="FontStyle11"/>
          <w:sz w:val="22"/>
          <w:szCs w:val="20"/>
        </w:rPr>
        <w:t xml:space="preserve">aštu pareikštą mūsų valią dėl </w:t>
      </w:r>
      <w:r w:rsidR="00842012">
        <w:rPr>
          <w:rStyle w:val="FontStyle11"/>
          <w:sz w:val="22"/>
          <w:szCs w:val="20"/>
        </w:rPr>
        <w:t xml:space="preserve">pakartotinio </w:t>
      </w:r>
      <w:r w:rsidR="00BE6A6B">
        <w:rPr>
          <w:rStyle w:val="FontStyle11"/>
          <w:sz w:val="22"/>
          <w:szCs w:val="20"/>
        </w:rPr>
        <w:t>ne</w:t>
      </w:r>
      <w:r w:rsidRPr="00B04E88">
        <w:rPr>
          <w:rStyle w:val="FontStyle11"/>
          <w:sz w:val="22"/>
          <w:szCs w:val="20"/>
        </w:rPr>
        <w:t xml:space="preserve">eilinio visuotinio akcininkų susirinkimo darbotvarkės klausimų, turi būti laikoma, kad </w:t>
      </w:r>
      <w:r w:rsidRPr="00B04E88">
        <w:rPr>
          <w:sz w:val="22"/>
          <w:szCs w:val="20"/>
          <w:u w:val="single"/>
        </w:rPr>
        <w:t xml:space="preserve">…………………......................................................................................................................... </w:t>
      </w:r>
      <w:r w:rsidR="00390D2B" w:rsidRPr="00E23FB3">
        <w:rPr>
          <w:rStyle w:val="FontStyle11"/>
          <w:sz w:val="22"/>
          <w:szCs w:val="20"/>
        </w:rPr>
        <w:t xml:space="preserve">dalyvavo </w:t>
      </w:r>
      <w:r w:rsidR="00842012">
        <w:rPr>
          <w:rStyle w:val="FontStyle11"/>
          <w:sz w:val="22"/>
          <w:szCs w:val="20"/>
        </w:rPr>
        <w:t>2019-07-18</w:t>
      </w:r>
      <w:r w:rsidR="000E2E64" w:rsidRPr="00B04E88">
        <w:rPr>
          <w:rStyle w:val="FontStyle11"/>
          <w:sz w:val="22"/>
          <w:szCs w:val="20"/>
        </w:rPr>
        <w:t xml:space="preserve"> AB „Klaipėdos nafta“ </w:t>
      </w:r>
      <w:r w:rsidR="00842012">
        <w:rPr>
          <w:rStyle w:val="FontStyle11"/>
          <w:sz w:val="22"/>
          <w:szCs w:val="20"/>
        </w:rPr>
        <w:t xml:space="preserve">pakartotiniame </w:t>
      </w:r>
      <w:r w:rsidR="008423AF">
        <w:rPr>
          <w:rStyle w:val="FontStyle11"/>
          <w:sz w:val="22"/>
          <w:szCs w:val="20"/>
        </w:rPr>
        <w:t>ne</w:t>
      </w:r>
      <w:r w:rsidRPr="00B04E88">
        <w:rPr>
          <w:rStyle w:val="FontStyle11"/>
          <w:sz w:val="22"/>
          <w:szCs w:val="20"/>
        </w:rPr>
        <w:t>eiliniame visuotiniame akcininkų susirinkime.</w:t>
      </w:r>
    </w:p>
    <w:p w14:paraId="2643EAFB" w14:textId="77777777" w:rsidR="00F72698" w:rsidRPr="00B04E88" w:rsidRDefault="00F72698">
      <w:pPr>
        <w:pBdr>
          <w:bottom w:val="single" w:sz="6" w:space="1" w:color="auto"/>
        </w:pBdr>
        <w:spacing w:line="480" w:lineRule="auto"/>
        <w:jc w:val="both"/>
        <w:rPr>
          <w:rStyle w:val="FontStyle11"/>
          <w:sz w:val="22"/>
          <w:szCs w:val="20"/>
        </w:rPr>
      </w:pPr>
    </w:p>
    <w:p w14:paraId="169A6B8A" w14:textId="77777777" w:rsidR="00F72698" w:rsidRPr="00B04E88" w:rsidRDefault="00F72698">
      <w:pPr>
        <w:pBdr>
          <w:bottom w:val="single" w:sz="6" w:space="1" w:color="auto"/>
        </w:pBdr>
        <w:spacing w:line="220" w:lineRule="exact"/>
        <w:jc w:val="both"/>
        <w:rPr>
          <w:rStyle w:val="FontStyle11"/>
          <w:sz w:val="22"/>
          <w:szCs w:val="20"/>
        </w:rPr>
      </w:pPr>
    </w:p>
    <w:p w14:paraId="3D1C4421" w14:textId="77777777" w:rsidR="00F72698" w:rsidRPr="00B04E88" w:rsidRDefault="00F72698">
      <w:pPr>
        <w:pBdr>
          <w:bottom w:val="single" w:sz="6" w:space="1" w:color="auto"/>
        </w:pBdr>
        <w:spacing w:line="220" w:lineRule="exact"/>
        <w:jc w:val="both"/>
        <w:rPr>
          <w:rStyle w:val="FontStyle11"/>
          <w:sz w:val="22"/>
          <w:szCs w:val="20"/>
        </w:rPr>
      </w:pPr>
    </w:p>
    <w:p w14:paraId="006E8C45" w14:textId="77777777" w:rsidR="00F72698" w:rsidRPr="00B04E88" w:rsidRDefault="00CF0D2E">
      <w:pPr>
        <w:pBdr>
          <w:bottom w:val="single" w:sz="6" w:space="1" w:color="auto"/>
        </w:pBdr>
        <w:spacing w:line="220" w:lineRule="exact"/>
        <w:jc w:val="both"/>
        <w:rPr>
          <w:sz w:val="22"/>
          <w:szCs w:val="20"/>
        </w:rPr>
      </w:pPr>
      <w:r w:rsidRPr="00B04E88">
        <w:rPr>
          <w:sz w:val="22"/>
          <w:szCs w:val="20"/>
        </w:rPr>
        <w:t>Akcininko (jo atstovo) vardas, pavardė, pareigos:</w:t>
      </w:r>
    </w:p>
    <w:p w14:paraId="2C07E439" w14:textId="77777777" w:rsidR="00F72698" w:rsidRPr="00B04E88" w:rsidRDefault="00F72698">
      <w:pPr>
        <w:pStyle w:val="Style6"/>
        <w:widowControl/>
        <w:tabs>
          <w:tab w:val="left" w:leader="underscore" w:pos="4224"/>
        </w:tabs>
        <w:spacing w:line="240" w:lineRule="auto"/>
        <w:jc w:val="both"/>
        <w:rPr>
          <w:sz w:val="22"/>
          <w:szCs w:val="20"/>
        </w:rPr>
      </w:pPr>
    </w:p>
    <w:p w14:paraId="45CB182E" w14:textId="77777777" w:rsidR="00F72698" w:rsidRPr="00B04E88" w:rsidRDefault="00F72698">
      <w:pPr>
        <w:pStyle w:val="Style6"/>
        <w:widowControl/>
        <w:tabs>
          <w:tab w:val="left" w:leader="underscore" w:pos="4224"/>
        </w:tabs>
        <w:spacing w:line="240" w:lineRule="auto"/>
        <w:jc w:val="both"/>
        <w:rPr>
          <w:sz w:val="22"/>
          <w:szCs w:val="20"/>
        </w:rPr>
      </w:pPr>
    </w:p>
    <w:p w14:paraId="1B6B67E7" w14:textId="77777777" w:rsidR="00F72698" w:rsidRPr="00B04E88" w:rsidRDefault="00CF0D2E">
      <w:pPr>
        <w:pBdr>
          <w:bottom w:val="single" w:sz="6" w:space="0" w:color="auto"/>
        </w:pBdr>
        <w:spacing w:line="220" w:lineRule="exact"/>
        <w:rPr>
          <w:sz w:val="22"/>
          <w:szCs w:val="20"/>
        </w:rPr>
      </w:pPr>
      <w:r w:rsidRPr="00B04E88">
        <w:rPr>
          <w:sz w:val="22"/>
          <w:szCs w:val="20"/>
        </w:rPr>
        <w:t>Akcininko (jo atstovo) parašas ir data:</w:t>
      </w:r>
    </w:p>
    <w:p w14:paraId="027DDA25" w14:textId="77777777" w:rsidR="00F72698" w:rsidRPr="00B04E88" w:rsidRDefault="00F72698">
      <w:pPr>
        <w:pStyle w:val="Style6"/>
        <w:widowControl/>
        <w:tabs>
          <w:tab w:val="left" w:leader="underscore" w:pos="4224"/>
        </w:tabs>
        <w:spacing w:line="240" w:lineRule="auto"/>
        <w:jc w:val="both"/>
        <w:rPr>
          <w:sz w:val="22"/>
          <w:szCs w:val="20"/>
        </w:rPr>
      </w:pPr>
    </w:p>
    <w:p w14:paraId="31266D06" w14:textId="77777777" w:rsidR="00F72698" w:rsidRPr="00B04E88" w:rsidRDefault="00F72698">
      <w:pPr>
        <w:pStyle w:val="Style6"/>
        <w:widowControl/>
        <w:tabs>
          <w:tab w:val="left" w:leader="underscore" w:pos="4224"/>
        </w:tabs>
        <w:spacing w:line="240" w:lineRule="auto"/>
        <w:jc w:val="both"/>
        <w:rPr>
          <w:sz w:val="22"/>
          <w:szCs w:val="20"/>
        </w:rPr>
      </w:pPr>
    </w:p>
    <w:p w14:paraId="2A313FC6" w14:textId="77777777" w:rsidR="00F72698" w:rsidRPr="00B04E88" w:rsidRDefault="00CF0D2E">
      <w:pPr>
        <w:pBdr>
          <w:bottom w:val="single" w:sz="6" w:space="0" w:color="auto"/>
        </w:pBdr>
        <w:spacing w:line="220" w:lineRule="exact"/>
        <w:rPr>
          <w:sz w:val="22"/>
          <w:szCs w:val="20"/>
        </w:rPr>
      </w:pPr>
      <w:r w:rsidRPr="00B04E88">
        <w:rPr>
          <w:sz w:val="22"/>
          <w:szCs w:val="20"/>
        </w:rPr>
        <w:lastRenderedPageBreak/>
        <w:t>Teisę balsuoti suteikiančio dokumento pavadinimas, data, numeris (jeigu biuletenį pasirašo ne akcininko vadovas):</w:t>
      </w:r>
    </w:p>
    <w:p w14:paraId="3E684913" w14:textId="77777777" w:rsidR="00F72698" w:rsidRPr="00B04E88" w:rsidRDefault="00F72698">
      <w:pPr>
        <w:pStyle w:val="Style6"/>
        <w:widowControl/>
        <w:tabs>
          <w:tab w:val="left" w:leader="underscore" w:pos="4224"/>
        </w:tabs>
        <w:spacing w:line="240" w:lineRule="auto"/>
        <w:jc w:val="both"/>
        <w:rPr>
          <w:sz w:val="22"/>
          <w:szCs w:val="20"/>
        </w:rPr>
      </w:pPr>
    </w:p>
    <w:p w14:paraId="41C835F1" w14:textId="77777777" w:rsidR="00F72698" w:rsidRPr="00B04E88" w:rsidRDefault="00F72698">
      <w:pPr>
        <w:pStyle w:val="Style6"/>
        <w:widowControl/>
        <w:tabs>
          <w:tab w:val="left" w:leader="underscore" w:pos="4224"/>
        </w:tabs>
        <w:spacing w:line="240" w:lineRule="auto"/>
        <w:jc w:val="both"/>
        <w:rPr>
          <w:sz w:val="22"/>
          <w:szCs w:val="20"/>
        </w:rPr>
      </w:pPr>
    </w:p>
    <w:p w14:paraId="38CA48CD" w14:textId="77777777" w:rsidR="00F72698" w:rsidRPr="00B04E88" w:rsidRDefault="00CF0D2E">
      <w:pPr>
        <w:pStyle w:val="Style6"/>
        <w:widowControl/>
        <w:tabs>
          <w:tab w:val="left" w:leader="underscore" w:pos="4224"/>
          <w:tab w:val="left" w:pos="10205"/>
        </w:tabs>
        <w:spacing w:line="240" w:lineRule="auto"/>
        <w:jc w:val="both"/>
        <w:rPr>
          <w:sz w:val="22"/>
          <w:szCs w:val="20"/>
        </w:rPr>
      </w:pPr>
      <w:r w:rsidRPr="00B04E88">
        <w:rPr>
          <w:sz w:val="22"/>
          <w:szCs w:val="20"/>
        </w:rPr>
        <w:t>_________________________________________________________________________________________________</w:t>
      </w:r>
    </w:p>
    <w:p w14:paraId="4357A9AD" w14:textId="77777777" w:rsidR="00F72698" w:rsidRPr="00B04E88" w:rsidRDefault="00F72698">
      <w:pPr>
        <w:pStyle w:val="Style6"/>
        <w:widowControl/>
        <w:tabs>
          <w:tab w:val="left" w:leader="underscore" w:pos="4224"/>
        </w:tabs>
        <w:spacing w:line="240" w:lineRule="auto"/>
        <w:jc w:val="both"/>
        <w:rPr>
          <w:sz w:val="22"/>
          <w:szCs w:val="20"/>
        </w:rPr>
      </w:pPr>
    </w:p>
    <w:sectPr w:rsidR="00F72698" w:rsidRPr="00B04E88">
      <w:footerReference w:type="default" r:id="rId9"/>
      <w:pgSz w:w="16838" w:h="11906" w:orient="landscape"/>
      <w:pgMar w:top="1134" w:right="1134" w:bottom="992"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DEB94" w14:textId="77777777" w:rsidR="00F72698" w:rsidRDefault="00CF0D2E">
      <w:r>
        <w:separator/>
      </w:r>
    </w:p>
  </w:endnote>
  <w:endnote w:type="continuationSeparator" w:id="0">
    <w:p w14:paraId="59A1D172" w14:textId="77777777" w:rsidR="00F72698" w:rsidRDefault="00CF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527891"/>
      <w:docPartObj>
        <w:docPartGallery w:val="Page Numbers (Bottom of Page)"/>
        <w:docPartUnique/>
      </w:docPartObj>
    </w:sdtPr>
    <w:sdtEndPr>
      <w:rPr>
        <w:sz w:val="20"/>
        <w:szCs w:val="20"/>
      </w:rPr>
    </w:sdtEndPr>
    <w:sdtContent>
      <w:p w14:paraId="2C350203" w14:textId="77777777" w:rsidR="00F72698" w:rsidRDefault="00CF0D2E">
        <w:pPr>
          <w:pStyle w:val="Porat"/>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431531">
          <w:rPr>
            <w:noProof/>
            <w:sz w:val="20"/>
            <w:szCs w:val="20"/>
          </w:rPr>
          <w:t>3</w:t>
        </w:r>
        <w:r>
          <w:rPr>
            <w:sz w:val="20"/>
            <w:szCs w:val="20"/>
          </w:rPr>
          <w:fldChar w:fldCharType="end"/>
        </w:r>
      </w:p>
    </w:sdtContent>
  </w:sdt>
  <w:p w14:paraId="089AF699" w14:textId="77777777" w:rsidR="00F72698" w:rsidRDefault="00F7269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53D73" w14:textId="77777777" w:rsidR="00F72698" w:rsidRDefault="00CF0D2E">
      <w:r>
        <w:separator/>
      </w:r>
    </w:p>
  </w:footnote>
  <w:footnote w:type="continuationSeparator" w:id="0">
    <w:p w14:paraId="2434D227" w14:textId="77777777" w:rsidR="00F72698" w:rsidRDefault="00CF0D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23391"/>
    <w:multiLevelType w:val="hybridMultilevel"/>
    <w:tmpl w:val="F8CC3F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5072D64"/>
    <w:multiLevelType w:val="hybridMultilevel"/>
    <w:tmpl w:val="4FC0D7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91C54E9"/>
    <w:multiLevelType w:val="hybridMultilevel"/>
    <w:tmpl w:val="872E8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20525B1"/>
    <w:multiLevelType w:val="hybridMultilevel"/>
    <w:tmpl w:val="6CC8B3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35C01AD"/>
    <w:multiLevelType w:val="hybridMultilevel"/>
    <w:tmpl w:val="CAB89C32"/>
    <w:lvl w:ilvl="0" w:tplc="B46C2084">
      <w:start w:val="1"/>
      <w:numFmt w:val="decimal"/>
      <w:lvlText w:val="%1."/>
      <w:lvlJc w:val="left"/>
      <w:pPr>
        <w:ind w:left="462" w:hanging="360"/>
      </w:pPr>
      <w:rPr>
        <w:rFonts w:hint="default"/>
      </w:rPr>
    </w:lvl>
    <w:lvl w:ilvl="1" w:tplc="04270019" w:tentative="1">
      <w:start w:val="1"/>
      <w:numFmt w:val="lowerLetter"/>
      <w:lvlText w:val="%2."/>
      <w:lvlJc w:val="left"/>
      <w:pPr>
        <w:ind w:left="1182" w:hanging="360"/>
      </w:pPr>
    </w:lvl>
    <w:lvl w:ilvl="2" w:tplc="0427001B" w:tentative="1">
      <w:start w:val="1"/>
      <w:numFmt w:val="lowerRoman"/>
      <w:lvlText w:val="%3."/>
      <w:lvlJc w:val="right"/>
      <w:pPr>
        <w:ind w:left="1902" w:hanging="180"/>
      </w:pPr>
    </w:lvl>
    <w:lvl w:ilvl="3" w:tplc="0427000F" w:tentative="1">
      <w:start w:val="1"/>
      <w:numFmt w:val="decimal"/>
      <w:lvlText w:val="%4."/>
      <w:lvlJc w:val="left"/>
      <w:pPr>
        <w:ind w:left="2622" w:hanging="360"/>
      </w:pPr>
    </w:lvl>
    <w:lvl w:ilvl="4" w:tplc="04270019" w:tentative="1">
      <w:start w:val="1"/>
      <w:numFmt w:val="lowerLetter"/>
      <w:lvlText w:val="%5."/>
      <w:lvlJc w:val="left"/>
      <w:pPr>
        <w:ind w:left="3342" w:hanging="360"/>
      </w:pPr>
    </w:lvl>
    <w:lvl w:ilvl="5" w:tplc="0427001B" w:tentative="1">
      <w:start w:val="1"/>
      <w:numFmt w:val="lowerRoman"/>
      <w:lvlText w:val="%6."/>
      <w:lvlJc w:val="right"/>
      <w:pPr>
        <w:ind w:left="4062" w:hanging="180"/>
      </w:pPr>
    </w:lvl>
    <w:lvl w:ilvl="6" w:tplc="0427000F" w:tentative="1">
      <w:start w:val="1"/>
      <w:numFmt w:val="decimal"/>
      <w:lvlText w:val="%7."/>
      <w:lvlJc w:val="left"/>
      <w:pPr>
        <w:ind w:left="4782" w:hanging="360"/>
      </w:pPr>
    </w:lvl>
    <w:lvl w:ilvl="7" w:tplc="04270019" w:tentative="1">
      <w:start w:val="1"/>
      <w:numFmt w:val="lowerLetter"/>
      <w:lvlText w:val="%8."/>
      <w:lvlJc w:val="left"/>
      <w:pPr>
        <w:ind w:left="5502" w:hanging="360"/>
      </w:pPr>
    </w:lvl>
    <w:lvl w:ilvl="8" w:tplc="0427001B" w:tentative="1">
      <w:start w:val="1"/>
      <w:numFmt w:val="lowerRoman"/>
      <w:lvlText w:val="%9."/>
      <w:lvlJc w:val="right"/>
      <w:pPr>
        <w:ind w:left="6222" w:hanging="180"/>
      </w:pPr>
    </w:lvl>
  </w:abstractNum>
  <w:abstractNum w:abstractNumId="5">
    <w:nsid w:val="4C396C3D"/>
    <w:multiLevelType w:val="hybridMultilevel"/>
    <w:tmpl w:val="77403980"/>
    <w:lvl w:ilvl="0" w:tplc="0427000F">
      <w:start w:val="1"/>
      <w:numFmt w:val="decimal"/>
      <w:lvlText w:val="%1."/>
      <w:lvlJc w:val="left"/>
      <w:pPr>
        <w:ind w:left="680" w:hanging="360"/>
      </w:pPr>
    </w:lvl>
    <w:lvl w:ilvl="1" w:tplc="04270019" w:tentative="1">
      <w:start w:val="1"/>
      <w:numFmt w:val="lowerLetter"/>
      <w:lvlText w:val="%2."/>
      <w:lvlJc w:val="left"/>
      <w:pPr>
        <w:ind w:left="1400" w:hanging="360"/>
      </w:pPr>
    </w:lvl>
    <w:lvl w:ilvl="2" w:tplc="0427001B" w:tentative="1">
      <w:start w:val="1"/>
      <w:numFmt w:val="lowerRoman"/>
      <w:lvlText w:val="%3."/>
      <w:lvlJc w:val="right"/>
      <w:pPr>
        <w:ind w:left="2120" w:hanging="180"/>
      </w:pPr>
    </w:lvl>
    <w:lvl w:ilvl="3" w:tplc="0427000F" w:tentative="1">
      <w:start w:val="1"/>
      <w:numFmt w:val="decimal"/>
      <w:lvlText w:val="%4."/>
      <w:lvlJc w:val="left"/>
      <w:pPr>
        <w:ind w:left="2840" w:hanging="360"/>
      </w:pPr>
    </w:lvl>
    <w:lvl w:ilvl="4" w:tplc="04270019" w:tentative="1">
      <w:start w:val="1"/>
      <w:numFmt w:val="lowerLetter"/>
      <w:lvlText w:val="%5."/>
      <w:lvlJc w:val="left"/>
      <w:pPr>
        <w:ind w:left="3560" w:hanging="360"/>
      </w:pPr>
    </w:lvl>
    <w:lvl w:ilvl="5" w:tplc="0427001B" w:tentative="1">
      <w:start w:val="1"/>
      <w:numFmt w:val="lowerRoman"/>
      <w:lvlText w:val="%6."/>
      <w:lvlJc w:val="right"/>
      <w:pPr>
        <w:ind w:left="4280" w:hanging="180"/>
      </w:pPr>
    </w:lvl>
    <w:lvl w:ilvl="6" w:tplc="0427000F" w:tentative="1">
      <w:start w:val="1"/>
      <w:numFmt w:val="decimal"/>
      <w:lvlText w:val="%7."/>
      <w:lvlJc w:val="left"/>
      <w:pPr>
        <w:ind w:left="5000" w:hanging="360"/>
      </w:pPr>
    </w:lvl>
    <w:lvl w:ilvl="7" w:tplc="04270019" w:tentative="1">
      <w:start w:val="1"/>
      <w:numFmt w:val="lowerLetter"/>
      <w:lvlText w:val="%8."/>
      <w:lvlJc w:val="left"/>
      <w:pPr>
        <w:ind w:left="5720" w:hanging="360"/>
      </w:pPr>
    </w:lvl>
    <w:lvl w:ilvl="8" w:tplc="0427001B" w:tentative="1">
      <w:start w:val="1"/>
      <w:numFmt w:val="lowerRoman"/>
      <w:lvlText w:val="%9."/>
      <w:lvlJc w:val="right"/>
      <w:pPr>
        <w:ind w:left="6440" w:hanging="180"/>
      </w:pPr>
    </w:lvl>
  </w:abstractNum>
  <w:abstractNum w:abstractNumId="6">
    <w:nsid w:val="5CAA25DE"/>
    <w:multiLevelType w:val="hybridMultilevel"/>
    <w:tmpl w:val="06EC00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698"/>
    <w:rsid w:val="0000712E"/>
    <w:rsid w:val="000C1411"/>
    <w:rsid w:val="000E2E64"/>
    <w:rsid w:val="000E7E38"/>
    <w:rsid w:val="00190FB0"/>
    <w:rsid w:val="001C4C08"/>
    <w:rsid w:val="002B122F"/>
    <w:rsid w:val="00390D2B"/>
    <w:rsid w:val="004143F3"/>
    <w:rsid w:val="00431531"/>
    <w:rsid w:val="00443BEA"/>
    <w:rsid w:val="005B6705"/>
    <w:rsid w:val="0064353D"/>
    <w:rsid w:val="00842012"/>
    <w:rsid w:val="008423AF"/>
    <w:rsid w:val="00936025"/>
    <w:rsid w:val="009628D9"/>
    <w:rsid w:val="00B04E88"/>
    <w:rsid w:val="00B25A41"/>
    <w:rsid w:val="00B524DB"/>
    <w:rsid w:val="00BE6A6B"/>
    <w:rsid w:val="00BF5317"/>
    <w:rsid w:val="00CF0D2E"/>
    <w:rsid w:val="00CF7635"/>
    <w:rsid w:val="00D02FFB"/>
    <w:rsid w:val="00D72839"/>
    <w:rsid w:val="00DF6F1A"/>
    <w:rsid w:val="00E23FB3"/>
    <w:rsid w:val="00F51D92"/>
    <w:rsid w:val="00F72698"/>
    <w:rsid w:val="00FD0D3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7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autoSpaceDE w:val="0"/>
      <w:autoSpaceDN w:val="0"/>
      <w:adjustRightInd w:val="0"/>
      <w:spacing w:line="240" w:lineRule="auto"/>
      <w:ind w:firstLine="0"/>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3">
    <w:name w:val="Style3"/>
    <w:basedOn w:val="prastasis"/>
  </w:style>
  <w:style w:type="paragraph" w:customStyle="1" w:styleId="Style5">
    <w:name w:val="Style5"/>
    <w:basedOn w:val="prastasis"/>
    <w:pPr>
      <w:spacing w:line="230" w:lineRule="exact"/>
      <w:ind w:hanging="259"/>
    </w:pPr>
  </w:style>
  <w:style w:type="paragraph" w:customStyle="1" w:styleId="Style6">
    <w:name w:val="Style6"/>
    <w:basedOn w:val="prastasis"/>
    <w:pPr>
      <w:spacing w:line="691" w:lineRule="exact"/>
    </w:pPr>
  </w:style>
  <w:style w:type="paragraph" w:customStyle="1" w:styleId="Style10">
    <w:name w:val="Style10"/>
    <w:basedOn w:val="prastasis"/>
    <w:pPr>
      <w:spacing w:line="278" w:lineRule="exact"/>
      <w:ind w:firstLine="778"/>
    </w:pPr>
  </w:style>
  <w:style w:type="character" w:customStyle="1" w:styleId="FontStyle13">
    <w:name w:val="Font Style13"/>
    <w:basedOn w:val="Numatytasispastraiposriftas"/>
    <w:rPr>
      <w:rFonts w:ascii="Times New Roman" w:hAnsi="Times New Roman" w:cs="Times New Roman"/>
      <w:sz w:val="20"/>
      <w:szCs w:val="20"/>
    </w:rPr>
  </w:style>
  <w:style w:type="character" w:customStyle="1" w:styleId="FontStyle16">
    <w:name w:val="Font Style16"/>
    <w:basedOn w:val="Numatytasispastraiposriftas"/>
    <w:rPr>
      <w:rFonts w:ascii="Times New Roman" w:hAnsi="Times New Roman" w:cs="Times New Roman"/>
      <w:b/>
      <w:bCs/>
      <w:sz w:val="22"/>
      <w:szCs w:val="22"/>
    </w:rPr>
  </w:style>
  <w:style w:type="character" w:customStyle="1" w:styleId="FontStyle17">
    <w:name w:val="Font Style17"/>
    <w:basedOn w:val="Numatytasispastraiposriftas"/>
    <w:rPr>
      <w:rFonts w:ascii="Times New Roman" w:hAnsi="Times New Roman" w:cs="Times New Roman"/>
      <w:sz w:val="18"/>
      <w:szCs w:val="18"/>
    </w:rPr>
  </w:style>
  <w:style w:type="paragraph" w:customStyle="1" w:styleId="Default">
    <w:name w:val="Default"/>
    <w:pPr>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FontStyle11">
    <w:name w:val="Font Style11"/>
    <w:rPr>
      <w:rFonts w:ascii="Times New Roman" w:hAnsi="Times New Roman" w:cs="Times New Roman"/>
      <w:sz w:val="18"/>
      <w:szCs w:val="18"/>
    </w:rPr>
  </w:style>
  <w:style w:type="paragraph" w:styleId="Porat">
    <w:name w:val="footer"/>
    <w:basedOn w:val="prastasis"/>
    <w:link w:val="PoratDiagrama"/>
    <w:uiPriority w:val="99"/>
    <w:pPr>
      <w:tabs>
        <w:tab w:val="center" w:pos="4986"/>
        <w:tab w:val="right" w:pos="9972"/>
      </w:tabs>
    </w:p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autoSpaceDE w:val="0"/>
      <w:autoSpaceDN w:val="0"/>
      <w:adjustRightInd w:val="0"/>
      <w:spacing w:line="240" w:lineRule="auto"/>
      <w:ind w:firstLine="0"/>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3">
    <w:name w:val="Style3"/>
    <w:basedOn w:val="prastasis"/>
  </w:style>
  <w:style w:type="paragraph" w:customStyle="1" w:styleId="Style5">
    <w:name w:val="Style5"/>
    <w:basedOn w:val="prastasis"/>
    <w:pPr>
      <w:spacing w:line="230" w:lineRule="exact"/>
      <w:ind w:hanging="259"/>
    </w:pPr>
  </w:style>
  <w:style w:type="paragraph" w:customStyle="1" w:styleId="Style6">
    <w:name w:val="Style6"/>
    <w:basedOn w:val="prastasis"/>
    <w:pPr>
      <w:spacing w:line="691" w:lineRule="exact"/>
    </w:pPr>
  </w:style>
  <w:style w:type="paragraph" w:customStyle="1" w:styleId="Style10">
    <w:name w:val="Style10"/>
    <w:basedOn w:val="prastasis"/>
    <w:pPr>
      <w:spacing w:line="278" w:lineRule="exact"/>
      <w:ind w:firstLine="778"/>
    </w:pPr>
  </w:style>
  <w:style w:type="character" w:customStyle="1" w:styleId="FontStyle13">
    <w:name w:val="Font Style13"/>
    <w:basedOn w:val="Numatytasispastraiposriftas"/>
    <w:rPr>
      <w:rFonts w:ascii="Times New Roman" w:hAnsi="Times New Roman" w:cs="Times New Roman"/>
      <w:sz w:val="20"/>
      <w:szCs w:val="20"/>
    </w:rPr>
  </w:style>
  <w:style w:type="character" w:customStyle="1" w:styleId="FontStyle16">
    <w:name w:val="Font Style16"/>
    <w:basedOn w:val="Numatytasispastraiposriftas"/>
    <w:rPr>
      <w:rFonts w:ascii="Times New Roman" w:hAnsi="Times New Roman" w:cs="Times New Roman"/>
      <w:b/>
      <w:bCs/>
      <w:sz w:val="22"/>
      <w:szCs w:val="22"/>
    </w:rPr>
  </w:style>
  <w:style w:type="character" w:customStyle="1" w:styleId="FontStyle17">
    <w:name w:val="Font Style17"/>
    <w:basedOn w:val="Numatytasispastraiposriftas"/>
    <w:rPr>
      <w:rFonts w:ascii="Times New Roman" w:hAnsi="Times New Roman" w:cs="Times New Roman"/>
      <w:sz w:val="18"/>
      <w:szCs w:val="18"/>
    </w:rPr>
  </w:style>
  <w:style w:type="paragraph" w:customStyle="1" w:styleId="Default">
    <w:name w:val="Default"/>
    <w:pPr>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FontStyle11">
    <w:name w:val="Font Style11"/>
    <w:rPr>
      <w:rFonts w:ascii="Times New Roman" w:hAnsi="Times New Roman" w:cs="Times New Roman"/>
      <w:sz w:val="18"/>
      <w:szCs w:val="18"/>
    </w:rPr>
  </w:style>
  <w:style w:type="paragraph" w:styleId="Porat">
    <w:name w:val="footer"/>
    <w:basedOn w:val="prastasis"/>
    <w:link w:val="PoratDiagrama"/>
    <w:uiPriority w:val="99"/>
    <w:pPr>
      <w:tabs>
        <w:tab w:val="center" w:pos="4986"/>
        <w:tab w:val="right" w:pos="9972"/>
      </w:tabs>
    </w:p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77F89-339E-48A0-9347-457501A15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7844</Words>
  <Characters>4472</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Kuodienė</dc:creator>
  <cp:lastModifiedBy>Gintarė Bernotaitė</cp:lastModifiedBy>
  <cp:revision>6</cp:revision>
  <dcterms:created xsi:type="dcterms:W3CDTF">2019-07-11T10:18:00Z</dcterms:created>
  <dcterms:modified xsi:type="dcterms:W3CDTF">2019-07-12T09:52:00Z</dcterms:modified>
</cp:coreProperties>
</file>