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3D" w:rsidRPr="000B6E35" w:rsidRDefault="003A5EE1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BALLOT PAPER FOR VOTING IN WRITING IN </w:t>
      </w:r>
      <w:r w:rsidR="00B17DC5">
        <w:rPr>
          <w:rStyle w:val="FontStyle16"/>
          <w:szCs w:val="20"/>
          <w:lang w:val="en-US"/>
        </w:rPr>
        <w:t xml:space="preserve">THE </w:t>
      </w:r>
      <w:r w:rsidR="007C54F7">
        <w:rPr>
          <w:rStyle w:val="FontStyle16"/>
          <w:szCs w:val="20"/>
          <w:lang w:val="en-US"/>
        </w:rPr>
        <w:t>REPEAT</w:t>
      </w:r>
      <w:r w:rsidRPr="000B6E35">
        <w:rPr>
          <w:rStyle w:val="FontStyle16"/>
          <w:szCs w:val="20"/>
          <w:lang w:val="en-US"/>
        </w:rPr>
        <w:t xml:space="preserve"> </w:t>
      </w:r>
      <w:r w:rsidR="002721D2">
        <w:rPr>
          <w:rStyle w:val="FontStyle16"/>
          <w:szCs w:val="20"/>
          <w:lang w:val="en-US"/>
        </w:rPr>
        <w:t>EXTRAORDINARY</w:t>
      </w:r>
      <w:r w:rsidRPr="000B6E35">
        <w:rPr>
          <w:rStyle w:val="FontStyle16"/>
          <w:szCs w:val="20"/>
          <w:lang w:val="en-US"/>
        </w:rPr>
        <w:t xml:space="preserve"> GENERAL MEETING OF SHAREHOLDERS OF AB KLAIPEDOS NAFTA,</w:t>
      </w:r>
    </w:p>
    <w:p w:rsidR="00761C3D" w:rsidRPr="000B6E35" w:rsidRDefault="00EB3EF2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TO BE HELD ON </w:t>
      </w:r>
      <w:r w:rsidR="007C54F7">
        <w:rPr>
          <w:rStyle w:val="FontStyle16"/>
          <w:szCs w:val="20"/>
          <w:lang w:val="en-US"/>
        </w:rPr>
        <w:t>18-07</w:t>
      </w:r>
      <w:r w:rsidR="003A5EE1" w:rsidRPr="00FD6095">
        <w:rPr>
          <w:rStyle w:val="FontStyle16"/>
          <w:szCs w:val="20"/>
          <w:lang w:val="en-US"/>
        </w:rPr>
        <w:t>-2019</w:t>
      </w:r>
    </w:p>
    <w:p w:rsidR="00761C3D" w:rsidRPr="000B6E35" w:rsidRDefault="00761C3D">
      <w:pPr>
        <w:jc w:val="center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first name, surname (legal entity name)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personal ID number (legal entity code)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shares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votes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rPr>
          <w:sz w:val="22"/>
          <w:szCs w:val="20"/>
          <w:lang w:val="en-US"/>
        </w:rPr>
      </w:pPr>
      <w:r w:rsidRPr="000B6E35">
        <w:rPr>
          <w:rStyle w:val="FontStyle13"/>
          <w:b/>
          <w:color w:val="000000"/>
          <w:sz w:val="22"/>
          <w:u w:val="single"/>
          <w:lang w:val="en-US"/>
        </w:rPr>
        <w:t>Please cross out what does not apply (“FOR” or “AGAINST”) and leave the selected version of the resolution not crossed:</w:t>
      </w:r>
    </w:p>
    <w:p w:rsidR="00761C3D" w:rsidRPr="000B6E35" w:rsidRDefault="00761C3D">
      <w:pPr>
        <w:rPr>
          <w:sz w:val="22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528"/>
        <w:gridCol w:w="1984"/>
        <w:gridCol w:w="2127"/>
      </w:tblGrid>
      <w:tr w:rsidR="005C1F95" w:rsidRPr="000B6E35" w:rsidTr="00670B58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Organizational issues of the meeting</w:t>
            </w:r>
          </w:p>
        </w:tc>
      </w:tr>
      <w:tr w:rsidR="005C1F95" w:rsidRPr="000B6E35" w:rsidTr="00AC48DE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 xml:space="preserve">To propose to elect the following person as the Chairman of the meeting and to vote “for” the proposed candidate: 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RPr="000B6E35" w:rsidTr="00AE5F9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Secretary of the meeting and to vote “for” the proposed candidate: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RPr="000B6E35" w:rsidTr="00F30DAB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person responsible for performance of actions provided for in paragraph 2 of Article 22 of the Law of the Republic of Lithuania on Companies and to vote “for” the proposed candidate: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Tr="001D5ACB">
        <w:trPr>
          <w:trHeight w:val="3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Matter on the agenda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Draft resolution</w:t>
            </w:r>
          </w:p>
        </w:tc>
      </w:tr>
      <w:tr w:rsidR="005C1F95" w:rsidTr="005E4DAF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lang w:val="en-US"/>
              </w:rPr>
            </w:pPr>
            <w:r>
              <w:rPr>
                <w:rStyle w:val="FontStyle13"/>
                <w:sz w:val="22"/>
                <w:lang w:val="en-US"/>
              </w:rPr>
              <w:t>Item of the Agenda No 1</w:t>
            </w:r>
            <w:r w:rsidRPr="000B6E35">
              <w:rPr>
                <w:rStyle w:val="FontStyle13"/>
                <w:sz w:val="22"/>
                <w:lang w:val="en-US"/>
              </w:rPr>
              <w:t xml:space="preserve"> - </w:t>
            </w:r>
            <w:r w:rsidRPr="002721D2">
              <w:rPr>
                <w:rStyle w:val="FontStyle13"/>
                <w:sz w:val="22"/>
                <w:lang w:val="en-US"/>
              </w:rPr>
              <w:t xml:space="preserve">Regarding the approval of the decision of AB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Nafta’s</w:t>
            </w:r>
            <w:proofErr w:type="spellEnd"/>
            <w:r w:rsidRPr="002721D2">
              <w:rPr>
                <w:rStyle w:val="FontStyle13"/>
                <w:sz w:val="22"/>
                <w:lang w:val="en-US"/>
              </w:rPr>
              <w:t xml:space="preserve"> Board to transfer liquefied natural gas terminal activities to subsidiary UAB SGD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terminalas</w:t>
            </w:r>
            <w:proofErr w:type="spellEnd"/>
            <w:r>
              <w:rPr>
                <w:rStyle w:val="FontStyle13"/>
                <w:sz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AE25FF" w:rsidP="00AE25FF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AE25FF">
              <w:rPr>
                <w:i/>
                <w:sz w:val="22"/>
                <w:szCs w:val="20"/>
                <w:lang w:val="en-US"/>
              </w:rPr>
              <w:t xml:space="preserve">“1. To postpone the consideration of the issue of the transfer of the liquefied natural gas terminal operation of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to the subsidiary UAB SGD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until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submit failed to provide answers and information,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>. e. provides an annex to th</w:t>
            </w:r>
            <w:r w:rsidR="00FE5AD3">
              <w:rPr>
                <w:i/>
                <w:sz w:val="22"/>
                <w:szCs w:val="20"/>
                <w:lang w:val="en-US"/>
              </w:rPr>
              <w:t xml:space="preserve">e memorandum issued by AB </w:t>
            </w:r>
            <w:proofErr w:type="spellStart"/>
            <w:r w:rsidR="00FE5AD3">
              <w:rPr>
                <w:i/>
                <w:sz w:val="22"/>
                <w:szCs w:val="20"/>
                <w:lang w:val="en-US"/>
              </w:rPr>
              <w:t>Klaipe</w:t>
            </w:r>
            <w:bookmarkStart w:id="0" w:name="_GoBack"/>
            <w:bookmarkEnd w:id="0"/>
            <w:r w:rsidRPr="00AE25FF">
              <w:rPr>
                <w:i/>
                <w:sz w:val="22"/>
                <w:szCs w:val="20"/>
                <w:lang w:val="en-US"/>
              </w:rPr>
              <w:t>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auditor PricewaterhouseCoopers UAB on 31 December 2018,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. e.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estimated split-off balance sheet as of 30 September 2018 (Question 2 in UAB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r w:rsidRPr="00AE25FF">
              <w:rPr>
                <w:i/>
                <w:sz w:val="22"/>
                <w:szCs w:val="20"/>
                <w:lang w:val="en-US"/>
              </w:rPr>
              <w:lastRenderedPageBreak/>
              <w:t xml:space="preserve">ACHEMOS GRUPE’s request of 18 June 2019); provides the report issued by TGS Baltic Law Firm on 19 August 2018 (Question 3 in UAB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ACHEMOS GRUPE’s request of 18 June 2019); specify the number of employees transferred/posted by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and information about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costs of the transfer/posting of employees to its subsidiary SGD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UAB (Question 4 in UAB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ACHEMOS GRUPE’s request of 18 June 2019); provides the mandatory information referred to in Article 6.404(2) of CC RL,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. e. the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asset stock-taking list, the independent auditor’s report on the structure and prices of the company’s assets, and the list of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Klaipėdos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debts/liabilities (Question 6 in UAB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ACHEMOS GRUPE’s request of 18 June 2019); provides the cost and benefit analysis of the implementation of decisions included in the agenda for the extraordinary general meeting of shareholders of 27 June 2019 with respect to 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and its shareholders (Question 7 in UAB </w:t>
            </w:r>
            <w:proofErr w:type="spellStart"/>
            <w:r w:rsidRPr="00AE25FF">
              <w:rPr>
                <w:i/>
                <w:sz w:val="22"/>
                <w:szCs w:val="20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0"/>
                <w:lang w:val="en-US"/>
              </w:rPr>
              <w:t xml:space="preserve"> ACHEMOS GRUPE’s request of 18 June 2019).”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5C1F95" w:rsidRPr="000B6E35" w:rsidRDefault="005C1F95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5C1F95" w:rsidRPr="000B6E35" w:rsidRDefault="005C1F95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  <w:tr w:rsidR="005C1F95" w:rsidTr="00700445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F95" w:rsidRPr="000B6E3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>
              <w:rPr>
                <w:rStyle w:val="FontStyle13"/>
                <w:sz w:val="22"/>
                <w:szCs w:val="22"/>
                <w:lang w:val="en-US"/>
              </w:rPr>
              <w:lastRenderedPageBreak/>
              <w:t>Item of the Agenda No 2</w:t>
            </w: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 - </w:t>
            </w:r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Regarding the approval of the decision of AB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Nafta’s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Board to provide parent company guarantee for performance of obligations of UAB SGD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terminalas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under the time charter party agreement</w:t>
            </w:r>
            <w:r>
              <w:rPr>
                <w:rStyle w:val="FontStyle13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AE25FF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AE25FF">
              <w:rPr>
                <w:i/>
                <w:sz w:val="22"/>
                <w:szCs w:val="22"/>
                <w:lang w:val="en-US"/>
              </w:rPr>
              <w:t xml:space="preserve">“1. To postpone the issue of granting of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guarantee for the fulfillment of obligations of the subsidiary UAB SGD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terminalas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under the lease agreement until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submit failed to provide answers and information,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. e. provides an annex to the memorandum issued by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auditor PricewaterhouseCoopers UAB on 31 December 2018,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. e.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estimated split-off balance sheet as of 30 September 2018 (Question 2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2019); provides the report issued by TGS Baltic Law Firm on 19 August 2018 (Question 3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2019); specify the number of employees transferred/posted by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and information about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costs of the transfer/posting of employees to its subsidiary SGD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terminalas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UAB (Question 4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</w:t>
            </w:r>
            <w:r w:rsidRPr="00AE25FF">
              <w:rPr>
                <w:i/>
                <w:sz w:val="22"/>
                <w:szCs w:val="22"/>
                <w:lang w:val="en-US"/>
              </w:rPr>
              <w:lastRenderedPageBreak/>
              <w:t xml:space="preserve">2019); to provide the mandatory information referred to in Article 6.404(2) of CC RL,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. e. the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asset stock-taking list, the independent auditor’s report on the structure and prices of the company’s assets, and the list of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debts/liabilities (Question 6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2019); provides the cost and benefit analysis of the implementation of decisions included in the agenda for the extraordinary general meeting of shareholders of 27 June 2019 with respect to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and its shareholders (Question 7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  <w:tr w:rsidR="005C1F95" w:rsidTr="0082688C">
        <w:trPr>
          <w:trHeight w:val="70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F9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>
              <w:rPr>
                <w:rStyle w:val="FontStyle13"/>
                <w:sz w:val="22"/>
                <w:szCs w:val="22"/>
                <w:lang w:val="en-US"/>
              </w:rPr>
              <w:lastRenderedPageBreak/>
              <w:t>Item of the Agenda No 3</w:t>
            </w: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 -</w:t>
            </w:r>
            <w:r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Regarding the amendment of the Articles of Association of AB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Nafta</w:t>
            </w:r>
            <w:proofErr w:type="spellEnd"/>
            <w:r>
              <w:rPr>
                <w:rStyle w:val="FontStyle13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AE25FF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AE25FF">
              <w:rPr>
                <w:i/>
                <w:sz w:val="22"/>
                <w:szCs w:val="22"/>
                <w:lang w:val="en-US"/>
              </w:rPr>
              <w:t xml:space="preserve">“1. To postpone the amendment of the Articles of Association of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and approval of the new wording of the Articles of Association; until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submit failed to provide answers and information,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. e. provides an annex to the memorandum issued by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auditor PricewaterhouseCoopers UAB on 31 December 2018,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. e.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estimated split-off balance sheet as of 30 September 2018 (Question 2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2019); provides the report issued by TGS Baltic Law Firm on 19 August 2018 (Question 3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GRUPĖ’s request of 18 June 2019); specify the number of employees transferred/posted by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and information about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costs of the transfer/posting of employees to its subsidiary SGD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terminalas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UAB (Question 4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2019); provides the mandatory information referred to in Article 6.404(2) of CC RL,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. e. the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asset stock-taking list, the independent auditor’s report on the structure and prices of the company’s assets, and the list of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nafta’s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debts/liabilities (Question 6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2019); provides the cost and benefit analysis of the implementation of decisions included in the agenda for the extraordinary general meeting of shareholders of 27 June 2019 with respect </w:t>
            </w:r>
            <w:r w:rsidRPr="00AE25FF">
              <w:rPr>
                <w:i/>
                <w:sz w:val="22"/>
                <w:szCs w:val="22"/>
                <w:lang w:val="en-US"/>
              </w:rPr>
              <w:lastRenderedPageBreak/>
              <w:t xml:space="preserve">to 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and its shareholders (Question 7 in UAB </w:t>
            </w:r>
            <w:proofErr w:type="spellStart"/>
            <w:r w:rsidRPr="00AE25FF">
              <w:rPr>
                <w:i/>
                <w:sz w:val="22"/>
                <w:szCs w:val="22"/>
                <w:lang w:val="en-US"/>
              </w:rPr>
              <w:t>koncernas</w:t>
            </w:r>
            <w:proofErr w:type="spellEnd"/>
            <w:r w:rsidRPr="00AE25FF">
              <w:rPr>
                <w:i/>
                <w:sz w:val="22"/>
                <w:szCs w:val="22"/>
                <w:lang w:val="en-US"/>
              </w:rPr>
              <w:t xml:space="preserve"> ACHEMOS GRUPE’s request of 18 June 2019).”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Default="005C1F95" w:rsidP="002721D2">
            <w:pPr>
              <w:rPr>
                <w:lang w:val="en-US"/>
              </w:rPr>
            </w:pPr>
          </w:p>
          <w:p w:rsidR="005C1F95" w:rsidRPr="002721D2" w:rsidRDefault="005C1F95" w:rsidP="002721D2">
            <w:pPr>
              <w:jc w:val="center"/>
              <w:rPr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Default="005C1F95" w:rsidP="002721D2">
            <w:pPr>
              <w:rPr>
                <w:lang w:val="en-US"/>
              </w:rPr>
            </w:pPr>
          </w:p>
          <w:p w:rsidR="005C1F95" w:rsidRPr="002721D2" w:rsidRDefault="005C1F95" w:rsidP="002721D2">
            <w:pPr>
              <w:jc w:val="center"/>
              <w:rPr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</w:tbl>
    <w:p w:rsidR="00761C3D" w:rsidRDefault="00761C3D">
      <w:pPr>
        <w:rPr>
          <w:sz w:val="20"/>
          <w:szCs w:val="20"/>
          <w:lang w:val="en-US"/>
        </w:rPr>
      </w:pPr>
    </w:p>
    <w:p w:rsidR="00761C3D" w:rsidRDefault="00761C3D">
      <w:pPr>
        <w:rPr>
          <w:sz w:val="20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  <w:gridCol w:w="1984"/>
        <w:gridCol w:w="2127"/>
      </w:tblGrid>
      <w:tr w:rsidR="00761C3D" w:rsidRPr="000B6E35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Regarding any other new draft resolutions, not indicated above, to vote with all the votes held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</w:tbl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We hereby confirm that we have </w:t>
      </w:r>
      <w:proofErr w:type="spellStart"/>
      <w:r w:rsidRPr="000B6E35">
        <w:rPr>
          <w:rStyle w:val="FontStyle11"/>
          <w:sz w:val="22"/>
          <w:szCs w:val="20"/>
          <w:lang w:val="en-US"/>
        </w:rPr>
        <w:t>familiarised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advance with the agenda of the </w:t>
      </w:r>
      <w:r w:rsidR="007C54F7">
        <w:rPr>
          <w:rStyle w:val="FontStyle11"/>
          <w:sz w:val="22"/>
          <w:szCs w:val="20"/>
          <w:lang w:val="en-US"/>
        </w:rPr>
        <w:t xml:space="preserve">repeat </w:t>
      </w:r>
      <w:r w:rsidR="009503BF">
        <w:rPr>
          <w:rStyle w:val="FontStyle11"/>
          <w:sz w:val="22"/>
          <w:szCs w:val="20"/>
          <w:lang w:val="en-US"/>
        </w:rPr>
        <w:t xml:space="preserve">Extraordinary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referred to in this Ballot</w:t>
      </w: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Paper and the draft resolutions contained herein, therefore we may express in advance in writing the will of </w:t>
      </w:r>
      <w:r w:rsidRPr="000B6E35">
        <w:rPr>
          <w:sz w:val="22"/>
          <w:szCs w:val="20"/>
          <w:u w:val="single"/>
          <w:lang w:val="en-US"/>
        </w:rPr>
        <w:t>…………………...............................................................................................................................</w:t>
      </w:r>
      <w:r w:rsidRPr="000B6E35">
        <w:rPr>
          <w:rStyle w:val="FontStyle11"/>
          <w:sz w:val="22"/>
          <w:szCs w:val="20"/>
          <w:lang w:val="en-US"/>
        </w:rPr>
        <w:t xml:space="preserve">, as a shareholder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voting on the matters considered at the </w:t>
      </w:r>
      <w:r w:rsidR="007C54F7">
        <w:rPr>
          <w:rStyle w:val="FontStyle11"/>
          <w:sz w:val="22"/>
          <w:szCs w:val="20"/>
          <w:lang w:val="en-US"/>
        </w:rPr>
        <w:t xml:space="preserve">repeat </w:t>
      </w:r>
      <w:r w:rsidR="002721D2">
        <w:rPr>
          <w:rStyle w:val="FontStyle11"/>
          <w:sz w:val="22"/>
          <w:szCs w:val="20"/>
          <w:lang w:val="en-US"/>
        </w:rPr>
        <w:t>Extraordinary</w:t>
      </w:r>
      <w:r w:rsidR="00842E96" w:rsidRPr="000B6E35">
        <w:rPr>
          <w:rStyle w:val="FontStyle11"/>
          <w:sz w:val="22"/>
          <w:szCs w:val="20"/>
          <w:lang w:val="en-US"/>
        </w:rPr>
        <w:t xml:space="preserve">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Shareholders. Having regard to our will expressed in writing on the agenda matters of the </w:t>
      </w:r>
      <w:r w:rsidR="007C54F7">
        <w:rPr>
          <w:rStyle w:val="FontStyle11"/>
          <w:sz w:val="22"/>
          <w:szCs w:val="20"/>
          <w:lang w:val="en-US"/>
        </w:rPr>
        <w:t xml:space="preserve">repeat </w:t>
      </w:r>
      <w:r w:rsidR="002721D2">
        <w:rPr>
          <w:rStyle w:val="FontStyle11"/>
          <w:sz w:val="22"/>
          <w:szCs w:val="20"/>
          <w:lang w:val="en-US"/>
        </w:rPr>
        <w:t>Extraordinary</w:t>
      </w:r>
      <w:r w:rsidR="00842E96" w:rsidRPr="000B6E35">
        <w:rPr>
          <w:rStyle w:val="FontStyle11"/>
          <w:sz w:val="22"/>
          <w:szCs w:val="20"/>
          <w:lang w:val="en-US"/>
        </w:rPr>
        <w:t xml:space="preserve">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Shareholders, it should be considered that </w:t>
      </w:r>
      <w:r w:rsidRPr="000B6E35">
        <w:rPr>
          <w:sz w:val="22"/>
          <w:szCs w:val="20"/>
          <w:u w:val="single"/>
          <w:lang w:val="en-US"/>
        </w:rPr>
        <w:t xml:space="preserve">…………………......................................................................................................................... </w:t>
      </w:r>
      <w:r w:rsidRPr="000B6E35">
        <w:rPr>
          <w:rStyle w:val="FontStyle11"/>
          <w:sz w:val="22"/>
          <w:szCs w:val="20"/>
          <w:lang w:val="en-US"/>
        </w:rPr>
        <w:t>participated in the</w:t>
      </w:r>
      <w:r w:rsidR="007C54F7">
        <w:rPr>
          <w:rStyle w:val="FontStyle11"/>
          <w:sz w:val="22"/>
          <w:szCs w:val="20"/>
          <w:lang w:val="en-US"/>
        </w:rPr>
        <w:t xml:space="preserve"> repeat</w:t>
      </w:r>
      <w:r w:rsidRPr="000B6E35">
        <w:rPr>
          <w:rStyle w:val="FontStyle11"/>
          <w:sz w:val="22"/>
          <w:szCs w:val="20"/>
          <w:lang w:val="en-US"/>
        </w:rPr>
        <w:t xml:space="preserve"> </w:t>
      </w:r>
      <w:r w:rsidR="002721D2">
        <w:rPr>
          <w:rStyle w:val="FontStyle11"/>
          <w:sz w:val="22"/>
          <w:szCs w:val="20"/>
          <w:lang w:val="en-US"/>
        </w:rPr>
        <w:t xml:space="preserve">Extraordinary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</w:t>
      </w:r>
      <w:r w:rsidR="00EB3EF2" w:rsidRPr="000B6E35">
        <w:rPr>
          <w:rStyle w:val="FontStyle11"/>
          <w:sz w:val="22"/>
          <w:szCs w:val="20"/>
          <w:lang w:val="en-US"/>
        </w:rPr>
        <w:t>ta</w:t>
      </w:r>
      <w:proofErr w:type="spellEnd"/>
      <w:r w:rsidR="00EB3EF2" w:rsidRPr="000B6E35">
        <w:rPr>
          <w:rStyle w:val="FontStyle11"/>
          <w:sz w:val="22"/>
          <w:szCs w:val="20"/>
          <w:lang w:val="en-US"/>
        </w:rPr>
        <w:t xml:space="preserve"> held </w:t>
      </w:r>
      <w:r w:rsidR="00EB3EF2" w:rsidRPr="00FD6095">
        <w:rPr>
          <w:rStyle w:val="FontStyle11"/>
          <w:sz w:val="22"/>
          <w:szCs w:val="20"/>
          <w:lang w:val="en-US"/>
        </w:rPr>
        <w:t xml:space="preserve">on </w:t>
      </w:r>
      <w:r w:rsidR="007C54F7">
        <w:rPr>
          <w:rStyle w:val="FontStyle11"/>
          <w:sz w:val="22"/>
          <w:szCs w:val="20"/>
          <w:lang w:val="en-US"/>
        </w:rPr>
        <w:t>18-07</w:t>
      </w:r>
      <w:r w:rsidR="0031535A" w:rsidRPr="00FD6095">
        <w:rPr>
          <w:rStyle w:val="FontStyle11"/>
          <w:sz w:val="22"/>
          <w:szCs w:val="20"/>
          <w:lang w:val="en-US"/>
        </w:rPr>
        <w:t>-2019</w:t>
      </w:r>
      <w:r w:rsidRPr="00FD6095">
        <w:rPr>
          <w:rStyle w:val="FontStyle11"/>
          <w:sz w:val="22"/>
          <w:szCs w:val="20"/>
          <w:lang w:val="en-US"/>
        </w:rPr>
        <w:t>.</w:t>
      </w:r>
    </w:p>
    <w:p w:rsidR="00761C3D" w:rsidRPr="000B6E35" w:rsidRDefault="00761C3D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>First name, surname, position of the shareholder (its representative):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 and signature of the shareholder (its representative):</w:t>
      </w:r>
    </w:p>
    <w:p w:rsidR="00761C3D" w:rsidRPr="000B6E35" w:rsidRDefault="003A5EE1">
      <w:pPr>
        <w:pStyle w:val="Style6"/>
        <w:widowControl/>
        <w:tabs>
          <w:tab w:val="left" w:pos="3383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ab/>
      </w: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Date, title and number of the document entitling to vote (if the ballot paper is signed by anyone other than the head of the shareholder):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Style w:val="Style6"/>
        <w:widowControl/>
        <w:tabs>
          <w:tab w:val="left" w:leader="underscore" w:pos="4224"/>
          <w:tab w:val="left" w:pos="10205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_________________________________________________________________________________________________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8"/>
          <w:lang w:val="en-US"/>
        </w:rPr>
      </w:pPr>
    </w:p>
    <w:sectPr w:rsidR="00761C3D" w:rsidRPr="000B6E35">
      <w:footerReference w:type="default" r:id="rId8"/>
      <w:pgSz w:w="16838" w:h="11906" w:orient="landscape"/>
      <w:pgMar w:top="1134" w:right="1134" w:bottom="99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3D" w:rsidRDefault="003A5EE1">
      <w:r>
        <w:separator/>
      </w:r>
    </w:p>
  </w:endnote>
  <w:endnote w:type="continuationSeparator" w:id="0">
    <w:p w:rsidR="00761C3D" w:rsidRDefault="003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61C3D" w:rsidRDefault="003A5EE1">
        <w:pPr>
          <w:pStyle w:val="Porat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FE5AD3"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761C3D" w:rsidRDefault="00761C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3D" w:rsidRDefault="003A5EE1">
      <w:r>
        <w:separator/>
      </w:r>
    </w:p>
  </w:footnote>
  <w:footnote w:type="continuationSeparator" w:id="0">
    <w:p w:rsidR="00761C3D" w:rsidRDefault="003A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1ABD"/>
    <w:multiLevelType w:val="multilevel"/>
    <w:tmpl w:val="53BEFD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072D64"/>
    <w:multiLevelType w:val="hybridMultilevel"/>
    <w:tmpl w:val="4FC0D7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4E9"/>
    <w:multiLevelType w:val="hybridMultilevel"/>
    <w:tmpl w:val="872E8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4A0E"/>
    <w:multiLevelType w:val="hybridMultilevel"/>
    <w:tmpl w:val="7E004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1AD"/>
    <w:multiLevelType w:val="hybridMultilevel"/>
    <w:tmpl w:val="CAB89C32"/>
    <w:lvl w:ilvl="0" w:tplc="B46C20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396C3D"/>
    <w:multiLevelType w:val="hybridMultilevel"/>
    <w:tmpl w:val="77403980"/>
    <w:lvl w:ilvl="0" w:tplc="0427000F">
      <w:start w:val="1"/>
      <w:numFmt w:val="decimal"/>
      <w:lvlText w:val="%1."/>
      <w:lvlJc w:val="left"/>
      <w:pPr>
        <w:ind w:left="680" w:hanging="360"/>
      </w:p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5CAA25DE"/>
    <w:multiLevelType w:val="hybridMultilevel"/>
    <w:tmpl w:val="06EC0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D"/>
    <w:rsid w:val="000B6E35"/>
    <w:rsid w:val="002721D2"/>
    <w:rsid w:val="0031535A"/>
    <w:rsid w:val="003A5EE1"/>
    <w:rsid w:val="005C1F95"/>
    <w:rsid w:val="00761C3D"/>
    <w:rsid w:val="007C54F7"/>
    <w:rsid w:val="007D1585"/>
    <w:rsid w:val="00842E96"/>
    <w:rsid w:val="009503BF"/>
    <w:rsid w:val="00AE25FF"/>
    <w:rsid w:val="00AE29FA"/>
    <w:rsid w:val="00AE63B3"/>
    <w:rsid w:val="00B17DC5"/>
    <w:rsid w:val="00C51AAF"/>
    <w:rsid w:val="00EB3EF2"/>
    <w:rsid w:val="00F70521"/>
    <w:rsid w:val="00FD6095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5300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Gintarė Bernotaitė</cp:lastModifiedBy>
  <cp:revision>3</cp:revision>
  <dcterms:created xsi:type="dcterms:W3CDTF">2019-07-04T14:45:00Z</dcterms:created>
  <dcterms:modified xsi:type="dcterms:W3CDTF">2019-07-04T14:58:00Z</dcterms:modified>
</cp:coreProperties>
</file>