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ABB08" w14:textId="7F036A92" w:rsidR="00325130" w:rsidRPr="00B73CC3" w:rsidRDefault="000A727D" w:rsidP="000F11E0">
      <w:pPr>
        <w:jc w:val="center"/>
        <w:rPr>
          <w:rFonts w:ascii="Arial" w:hAnsi="Arial" w:cs="Arial"/>
          <w:b/>
        </w:rPr>
      </w:pPr>
      <w:r w:rsidRPr="00B73CC3">
        <w:rPr>
          <w:rFonts w:ascii="Arial" w:hAnsi="Arial" w:cs="Arial"/>
          <w:b/>
        </w:rPr>
        <w:t>202</w:t>
      </w:r>
      <w:r w:rsidR="003D1580" w:rsidRPr="00B73CC3">
        <w:rPr>
          <w:rFonts w:ascii="Arial" w:hAnsi="Arial" w:cs="Arial"/>
          <w:b/>
        </w:rPr>
        <w:t>5</w:t>
      </w:r>
      <w:r w:rsidR="000E3919" w:rsidRPr="00B73CC3">
        <w:rPr>
          <w:rFonts w:ascii="Arial" w:hAnsi="Arial" w:cs="Arial"/>
          <w:b/>
        </w:rPr>
        <w:t xml:space="preserve"> m. balandžio 2</w:t>
      </w:r>
      <w:r w:rsidR="003D1580" w:rsidRPr="00B73CC3">
        <w:rPr>
          <w:rFonts w:ascii="Arial" w:hAnsi="Arial" w:cs="Arial"/>
          <w:b/>
        </w:rPr>
        <w:t>9</w:t>
      </w:r>
      <w:r w:rsidR="000F11E0" w:rsidRPr="00B73CC3">
        <w:rPr>
          <w:rFonts w:ascii="Arial" w:hAnsi="Arial" w:cs="Arial"/>
          <w:b/>
        </w:rPr>
        <w:t xml:space="preserve"> d. A</w:t>
      </w:r>
      <w:r w:rsidR="003D1580" w:rsidRPr="00B73CC3">
        <w:rPr>
          <w:rFonts w:ascii="Arial" w:hAnsi="Arial" w:cs="Arial"/>
          <w:b/>
        </w:rPr>
        <w:t>kcinės bendrovės</w:t>
      </w:r>
      <w:r w:rsidR="000F11E0" w:rsidRPr="00B73CC3">
        <w:rPr>
          <w:rFonts w:ascii="Arial" w:hAnsi="Arial" w:cs="Arial"/>
          <w:b/>
        </w:rPr>
        <w:t xml:space="preserve"> „ŽEMAITIJO</w:t>
      </w:r>
      <w:r w:rsidR="008D0C00" w:rsidRPr="00B73CC3">
        <w:rPr>
          <w:rFonts w:ascii="Arial" w:hAnsi="Arial" w:cs="Arial"/>
          <w:b/>
        </w:rPr>
        <w:t>S</w:t>
      </w:r>
      <w:r w:rsidR="000F11E0" w:rsidRPr="00B73CC3">
        <w:rPr>
          <w:rFonts w:ascii="Arial" w:hAnsi="Arial" w:cs="Arial"/>
          <w:b/>
        </w:rPr>
        <w:t xml:space="preserve"> PIENAS“ eilinio visuotinio akcininkų susirinkimo sprendimai (projektai)</w:t>
      </w:r>
      <w:r w:rsidR="000F11E0" w:rsidRPr="00B73CC3">
        <w:rPr>
          <w:rFonts w:ascii="Arial" w:hAnsi="Arial" w:cs="Arial"/>
          <w:b/>
        </w:rPr>
        <w:cr/>
      </w:r>
    </w:p>
    <w:p w14:paraId="7DE34DEC" w14:textId="77777777" w:rsidR="003D1580" w:rsidRPr="00B73CC3" w:rsidRDefault="003D1580" w:rsidP="000F11E0">
      <w:pPr>
        <w:jc w:val="center"/>
        <w:rPr>
          <w:rFonts w:ascii="Arial" w:hAnsi="Arial" w:cs="Arial"/>
          <w:b/>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230"/>
      </w:tblGrid>
      <w:tr w:rsidR="003D1580" w:rsidRPr="00B73CC3" w14:paraId="0671CA82" w14:textId="77777777" w:rsidTr="00295072">
        <w:trPr>
          <w:trHeight w:val="536"/>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BEDA789" w14:textId="77777777" w:rsidR="003D1580" w:rsidRPr="00B73CC3" w:rsidRDefault="003D1580" w:rsidP="003D1580">
            <w:pPr>
              <w:spacing w:after="0" w:line="240" w:lineRule="auto"/>
              <w:rPr>
                <w:rFonts w:ascii="Arial" w:eastAsia="Times New Roman" w:hAnsi="Arial" w:cs="Arial"/>
                <w:b/>
                <w:lang w:eastAsia="lt-LT"/>
              </w:rPr>
            </w:pPr>
            <w:r w:rsidRPr="00B73CC3">
              <w:rPr>
                <w:rFonts w:ascii="Arial" w:eastAsia="Times New Roman" w:hAnsi="Arial" w:cs="Arial"/>
                <w:b/>
                <w:lang w:eastAsia="lt-LT"/>
              </w:rPr>
              <w:t>Eil.</w:t>
            </w:r>
          </w:p>
          <w:p w14:paraId="3740F455"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b/>
                <w:lang w:eastAsia="lt-LT"/>
              </w:rPr>
              <w:t>Nr.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EA383F" w14:textId="77777777" w:rsidR="003D1580" w:rsidRPr="00B73CC3" w:rsidRDefault="003D1580" w:rsidP="003D1580">
            <w:pPr>
              <w:spacing w:after="0" w:line="240" w:lineRule="auto"/>
              <w:rPr>
                <w:rFonts w:ascii="Arial" w:eastAsia="Times New Roman" w:hAnsi="Arial" w:cs="Arial"/>
                <w:b/>
                <w:lang w:eastAsia="lt-LT"/>
              </w:rPr>
            </w:pPr>
            <w:r w:rsidRPr="00B73CC3">
              <w:rPr>
                <w:rFonts w:ascii="Arial" w:eastAsia="Times New Roman" w:hAnsi="Arial" w:cs="Arial"/>
                <w:b/>
                <w:lang w:eastAsia="lt-LT"/>
              </w:rPr>
              <w:t xml:space="preserve">Darbotvarkės klausimas </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17C9AC9" w14:textId="77777777" w:rsidR="003D1580" w:rsidRPr="00B73CC3" w:rsidRDefault="003D1580" w:rsidP="003D1580">
            <w:pPr>
              <w:spacing w:after="0" w:line="240" w:lineRule="auto"/>
              <w:jc w:val="center"/>
              <w:rPr>
                <w:rFonts w:ascii="Arial" w:eastAsia="Times New Roman" w:hAnsi="Arial" w:cs="Arial"/>
                <w:b/>
                <w:lang w:eastAsia="lt-LT"/>
              </w:rPr>
            </w:pPr>
            <w:r w:rsidRPr="00B73CC3">
              <w:rPr>
                <w:rFonts w:ascii="Arial" w:eastAsia="Times New Roman" w:hAnsi="Arial" w:cs="Arial"/>
                <w:b/>
                <w:lang w:eastAsia="lt-LT"/>
              </w:rPr>
              <w:t>Sprendimo projektas</w:t>
            </w:r>
          </w:p>
          <w:p w14:paraId="444AD8F3" w14:textId="77777777" w:rsidR="003D1580" w:rsidRPr="00B73CC3" w:rsidRDefault="003D1580" w:rsidP="003D1580">
            <w:pPr>
              <w:spacing w:after="0" w:line="240" w:lineRule="auto"/>
              <w:jc w:val="center"/>
              <w:rPr>
                <w:rFonts w:ascii="Arial" w:eastAsia="Times New Roman" w:hAnsi="Arial" w:cs="Arial"/>
                <w:lang w:eastAsia="lt-LT"/>
              </w:rPr>
            </w:pPr>
          </w:p>
        </w:tc>
      </w:tr>
      <w:tr w:rsidR="003D1580" w:rsidRPr="00B73CC3" w14:paraId="01407C0B" w14:textId="77777777" w:rsidTr="00295072">
        <w:tc>
          <w:tcPr>
            <w:tcW w:w="567" w:type="dxa"/>
            <w:tcBorders>
              <w:top w:val="single" w:sz="4" w:space="0" w:color="auto"/>
              <w:left w:val="single" w:sz="4" w:space="0" w:color="auto"/>
              <w:bottom w:val="single" w:sz="4" w:space="0" w:color="auto"/>
              <w:right w:val="single" w:sz="4" w:space="0" w:color="auto"/>
            </w:tcBorders>
            <w:shd w:val="clear" w:color="auto" w:fill="auto"/>
          </w:tcPr>
          <w:p w14:paraId="567283BD"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34D171"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Auditorių išvados ir bendrovės 2024 m. konsoliduotosios vadovybės ataskaitos</w:t>
            </w:r>
            <w:r w:rsidRPr="00B73CC3">
              <w:rPr>
                <w:rFonts w:ascii="Arial" w:eastAsia="Times New Roman" w:hAnsi="Arial" w:cs="Arial"/>
                <w:sz w:val="24"/>
                <w:szCs w:val="24"/>
                <w:lang w:eastAsia="lt-LT"/>
              </w:rPr>
              <w:t xml:space="preserve"> </w:t>
            </w:r>
            <w:r w:rsidRPr="00B73CC3">
              <w:rPr>
                <w:rFonts w:ascii="Arial" w:eastAsia="Times New Roman" w:hAnsi="Arial" w:cs="Arial"/>
                <w:lang w:eastAsia="lt-LT"/>
              </w:rPr>
              <w:t>pristatymas.</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3F537F1E"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Auditorių išvada ir konsoliduotoji vadovybės ataskaita pristatytos ir išklausytos. Sprendimas šiuo klausimu nepriimamas. Auditorių išvada ir konsoliduotoji vadovybės ataskaita pridedami.</w:t>
            </w:r>
          </w:p>
        </w:tc>
      </w:tr>
      <w:tr w:rsidR="003D1580" w:rsidRPr="00B73CC3" w14:paraId="36A326E0" w14:textId="77777777" w:rsidTr="00295072">
        <w:tc>
          <w:tcPr>
            <w:tcW w:w="567" w:type="dxa"/>
            <w:tcBorders>
              <w:top w:val="single" w:sz="4" w:space="0" w:color="auto"/>
              <w:left w:val="single" w:sz="4" w:space="0" w:color="auto"/>
              <w:bottom w:val="single" w:sz="4" w:space="0" w:color="auto"/>
              <w:right w:val="single" w:sz="4" w:space="0" w:color="auto"/>
            </w:tcBorders>
            <w:shd w:val="clear" w:color="auto" w:fill="auto"/>
          </w:tcPr>
          <w:p w14:paraId="21E369D2"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5F5D21"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2024 m. Bendrovės metinių konsoliduotųjų finansinių ir veiklos ataskaitų tvirtinimas.</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61849709"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Bendrovės metinės konsoliduotosios finansinės ataskaitos (rinkinys), veiklos ataskaita pristatyta (pateikta/paskelbta), susipažinta ir patvirtinta. Patvirtintos 2024 m. bendrovės metinės konsoliduotosios finansinės ataskaitos su priedais pridedamos.</w:t>
            </w:r>
          </w:p>
        </w:tc>
      </w:tr>
      <w:tr w:rsidR="003D1580" w:rsidRPr="00B73CC3" w14:paraId="1527E57E" w14:textId="77777777" w:rsidTr="00295072">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C171F11"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0F91CA"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Bendrovės 2024 metų pelno (nuostolių) paskirstymo tvirtinimas.</w:t>
            </w:r>
          </w:p>
          <w:p w14:paraId="0658B838" w14:textId="77777777" w:rsidR="003D1580" w:rsidRPr="00B73CC3" w:rsidRDefault="003D1580" w:rsidP="003D1580">
            <w:pPr>
              <w:spacing w:after="0" w:line="240" w:lineRule="auto"/>
              <w:jc w:val="both"/>
              <w:rPr>
                <w:rFonts w:ascii="Arial" w:eastAsia="Times New Roman" w:hAnsi="Arial" w:cs="Arial"/>
                <w:lang w:eastAsia="lt-LT"/>
              </w:rPr>
            </w:pP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149FFAE9"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Patvirtinti bendrovės valdybos sprendimo projektą dėl 2024 m. pelno (nuostolių) paskirstymo: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4932"/>
              <w:gridCol w:w="1134"/>
            </w:tblGrid>
            <w:tr w:rsidR="003D1580" w:rsidRPr="00B73CC3" w14:paraId="38A119C1" w14:textId="77777777" w:rsidTr="00295072">
              <w:tc>
                <w:tcPr>
                  <w:tcW w:w="910" w:type="dxa"/>
                  <w:shd w:val="clear" w:color="auto" w:fill="auto"/>
                </w:tcPr>
                <w:p w14:paraId="586989D2" w14:textId="77777777" w:rsidR="003D1580" w:rsidRPr="00B73CC3" w:rsidRDefault="003D1580" w:rsidP="003D1580">
                  <w:pPr>
                    <w:spacing w:after="0" w:line="240" w:lineRule="auto"/>
                    <w:jc w:val="both"/>
                    <w:rPr>
                      <w:rFonts w:ascii="Arial" w:eastAsia="Times New Roman" w:hAnsi="Arial" w:cs="Arial"/>
                      <w:b/>
                      <w:sz w:val="20"/>
                      <w:szCs w:val="20"/>
                      <w:lang w:eastAsia="lt-LT"/>
                    </w:rPr>
                  </w:pPr>
                  <w:proofErr w:type="spellStart"/>
                  <w:r w:rsidRPr="00B73CC3">
                    <w:rPr>
                      <w:rFonts w:ascii="Arial" w:eastAsia="Times New Roman" w:hAnsi="Arial" w:cs="Arial"/>
                      <w:b/>
                      <w:sz w:val="20"/>
                      <w:szCs w:val="20"/>
                      <w:lang w:eastAsia="lt-LT"/>
                    </w:rPr>
                    <w:t>Eil.Nr</w:t>
                  </w:r>
                  <w:proofErr w:type="spellEnd"/>
                  <w:r w:rsidRPr="00B73CC3">
                    <w:rPr>
                      <w:rFonts w:ascii="Arial" w:eastAsia="Times New Roman" w:hAnsi="Arial" w:cs="Arial"/>
                      <w:b/>
                      <w:sz w:val="20"/>
                      <w:szCs w:val="20"/>
                      <w:lang w:eastAsia="lt-LT"/>
                    </w:rPr>
                    <w:t>.</w:t>
                  </w:r>
                </w:p>
              </w:tc>
              <w:tc>
                <w:tcPr>
                  <w:tcW w:w="4932" w:type="dxa"/>
                  <w:shd w:val="clear" w:color="auto" w:fill="auto"/>
                </w:tcPr>
                <w:p w14:paraId="63D91A93"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Pelno paskirstymo straipsniai</w:t>
                  </w:r>
                </w:p>
              </w:tc>
              <w:tc>
                <w:tcPr>
                  <w:tcW w:w="1134" w:type="dxa"/>
                  <w:shd w:val="clear" w:color="auto" w:fill="auto"/>
                </w:tcPr>
                <w:p w14:paraId="1ADD58B7" w14:textId="77777777" w:rsidR="003D1580" w:rsidRPr="00B73CC3" w:rsidRDefault="003D1580" w:rsidP="003D1580">
                  <w:pPr>
                    <w:spacing w:after="0" w:line="240" w:lineRule="auto"/>
                    <w:jc w:val="center"/>
                    <w:rPr>
                      <w:rFonts w:ascii="Arial" w:eastAsia="Times New Roman" w:hAnsi="Arial" w:cs="Arial"/>
                      <w:b/>
                      <w:sz w:val="24"/>
                      <w:szCs w:val="28"/>
                      <w:lang w:eastAsia="lt-LT"/>
                    </w:rPr>
                  </w:pPr>
                  <w:r w:rsidRPr="00B73CC3">
                    <w:rPr>
                      <w:rFonts w:ascii="Arial" w:eastAsia="Times New Roman" w:hAnsi="Arial" w:cs="Arial"/>
                      <w:b/>
                      <w:sz w:val="24"/>
                      <w:szCs w:val="28"/>
                      <w:lang w:eastAsia="lt-LT"/>
                    </w:rPr>
                    <w:t>Tūkst. EUR</w:t>
                  </w:r>
                </w:p>
              </w:tc>
            </w:tr>
            <w:tr w:rsidR="003D1580" w:rsidRPr="00B73CC3" w14:paraId="3CB0A193" w14:textId="77777777" w:rsidTr="00295072">
              <w:tc>
                <w:tcPr>
                  <w:tcW w:w="910" w:type="dxa"/>
                  <w:shd w:val="clear" w:color="auto" w:fill="auto"/>
                </w:tcPr>
                <w:p w14:paraId="1765E093"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1</w:t>
                  </w:r>
                </w:p>
              </w:tc>
              <w:tc>
                <w:tcPr>
                  <w:tcW w:w="4932" w:type="dxa"/>
                  <w:shd w:val="clear" w:color="auto" w:fill="auto"/>
                </w:tcPr>
                <w:p w14:paraId="3A652A9D" w14:textId="77777777" w:rsidR="003D1580" w:rsidRPr="00B73CC3" w:rsidRDefault="003D1580" w:rsidP="003D1580">
                  <w:pPr>
                    <w:spacing w:after="0" w:line="240" w:lineRule="auto"/>
                    <w:jc w:val="both"/>
                    <w:rPr>
                      <w:rFonts w:ascii="Arial" w:eastAsia="Times New Roman" w:hAnsi="Arial" w:cs="Arial"/>
                      <w:b/>
                      <w:sz w:val="20"/>
                      <w:szCs w:val="20"/>
                      <w:lang w:eastAsia="lt-LT"/>
                    </w:rPr>
                  </w:pPr>
                  <w:r w:rsidRPr="00B73CC3">
                    <w:rPr>
                      <w:rFonts w:ascii="Arial" w:eastAsia="Times New Roman" w:hAnsi="Arial" w:cs="Arial"/>
                      <w:b/>
                      <w:sz w:val="20"/>
                      <w:szCs w:val="20"/>
                      <w:lang w:eastAsia="lt-LT"/>
                    </w:rPr>
                    <w:t>Ankstesnių finansinių metų nepaskirstytasis pelnas (nuostoliai) ataskaitinių finansinių metų pabaigoje</w:t>
                  </w:r>
                </w:p>
              </w:tc>
              <w:tc>
                <w:tcPr>
                  <w:tcW w:w="1134" w:type="dxa"/>
                  <w:shd w:val="clear" w:color="auto" w:fill="auto"/>
                </w:tcPr>
                <w:p w14:paraId="5620A040" w14:textId="77777777" w:rsidR="003D1580" w:rsidRPr="00B73CC3" w:rsidRDefault="003D1580" w:rsidP="003D1580">
                  <w:pPr>
                    <w:spacing w:after="0" w:line="240" w:lineRule="auto"/>
                    <w:jc w:val="center"/>
                    <w:rPr>
                      <w:rFonts w:ascii="Arial" w:eastAsia="Times New Roman" w:hAnsi="Arial" w:cs="Arial"/>
                      <w:b/>
                      <w:sz w:val="24"/>
                      <w:szCs w:val="28"/>
                      <w:lang w:eastAsia="lt-LT"/>
                    </w:rPr>
                  </w:pPr>
                  <w:r w:rsidRPr="00B73CC3">
                    <w:rPr>
                      <w:rFonts w:ascii="Arial" w:eastAsia="Times New Roman" w:hAnsi="Arial" w:cs="Arial"/>
                      <w:b/>
                      <w:sz w:val="24"/>
                      <w:szCs w:val="28"/>
                      <w:lang w:eastAsia="lt-LT"/>
                    </w:rPr>
                    <w:t>89 944</w:t>
                  </w:r>
                </w:p>
              </w:tc>
            </w:tr>
            <w:tr w:rsidR="003D1580" w:rsidRPr="00B73CC3" w14:paraId="3F7418A8" w14:textId="77777777" w:rsidTr="00295072">
              <w:tc>
                <w:tcPr>
                  <w:tcW w:w="910" w:type="dxa"/>
                  <w:shd w:val="clear" w:color="auto" w:fill="auto"/>
                </w:tcPr>
                <w:p w14:paraId="5F335493"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2</w:t>
                  </w:r>
                </w:p>
              </w:tc>
              <w:tc>
                <w:tcPr>
                  <w:tcW w:w="4932" w:type="dxa"/>
                  <w:shd w:val="clear" w:color="auto" w:fill="auto"/>
                </w:tcPr>
                <w:p w14:paraId="4F4072E1" w14:textId="77777777" w:rsidR="003D1580" w:rsidRPr="00B73CC3" w:rsidRDefault="003D1580" w:rsidP="003D1580">
                  <w:pPr>
                    <w:spacing w:after="0" w:line="240" w:lineRule="auto"/>
                    <w:jc w:val="both"/>
                    <w:rPr>
                      <w:rFonts w:ascii="Arial" w:eastAsia="Times New Roman" w:hAnsi="Arial" w:cs="Arial"/>
                      <w:sz w:val="20"/>
                      <w:szCs w:val="20"/>
                      <w:lang w:eastAsia="lt-LT"/>
                    </w:rPr>
                  </w:pPr>
                  <w:r w:rsidRPr="00B73CC3">
                    <w:rPr>
                      <w:rFonts w:ascii="Arial" w:eastAsia="Times New Roman" w:hAnsi="Arial" w:cs="Arial"/>
                      <w:sz w:val="20"/>
                      <w:szCs w:val="20"/>
                      <w:lang w:eastAsia="lt-LT"/>
                    </w:rPr>
                    <w:t>Grynasis ataskaitinių finansinių metų pelnas (nuostoliai)</w:t>
                  </w:r>
                </w:p>
              </w:tc>
              <w:tc>
                <w:tcPr>
                  <w:tcW w:w="1134" w:type="dxa"/>
                  <w:shd w:val="clear" w:color="auto" w:fill="auto"/>
                </w:tcPr>
                <w:p w14:paraId="7683F5A8" w14:textId="77777777" w:rsidR="003D1580" w:rsidRPr="00B73CC3" w:rsidRDefault="003D1580" w:rsidP="003D1580">
                  <w:pPr>
                    <w:spacing w:after="0" w:line="240" w:lineRule="auto"/>
                    <w:jc w:val="center"/>
                    <w:rPr>
                      <w:rFonts w:ascii="Arial" w:eastAsia="Times New Roman" w:hAnsi="Arial" w:cs="Arial"/>
                      <w:sz w:val="24"/>
                      <w:szCs w:val="28"/>
                      <w:lang w:eastAsia="lt-LT"/>
                    </w:rPr>
                  </w:pPr>
                  <w:r w:rsidRPr="00B73CC3">
                    <w:rPr>
                      <w:rFonts w:ascii="Arial" w:eastAsia="Times New Roman" w:hAnsi="Arial" w:cs="Arial"/>
                      <w:sz w:val="24"/>
                      <w:szCs w:val="28"/>
                      <w:lang w:eastAsia="lt-LT"/>
                    </w:rPr>
                    <w:t>24 357</w:t>
                  </w:r>
                </w:p>
              </w:tc>
            </w:tr>
            <w:tr w:rsidR="003D1580" w:rsidRPr="00B73CC3" w14:paraId="40A2379D" w14:textId="77777777" w:rsidTr="00295072">
              <w:trPr>
                <w:trHeight w:val="565"/>
              </w:trPr>
              <w:tc>
                <w:tcPr>
                  <w:tcW w:w="910" w:type="dxa"/>
                  <w:shd w:val="clear" w:color="auto" w:fill="auto"/>
                </w:tcPr>
                <w:p w14:paraId="63E2AACA"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3</w:t>
                  </w:r>
                </w:p>
              </w:tc>
              <w:tc>
                <w:tcPr>
                  <w:tcW w:w="4932" w:type="dxa"/>
                  <w:shd w:val="clear" w:color="auto" w:fill="auto"/>
                </w:tcPr>
                <w:p w14:paraId="09BEE559" w14:textId="77777777" w:rsidR="003D1580" w:rsidRPr="00B73CC3" w:rsidRDefault="003D1580" w:rsidP="003D1580">
                  <w:pPr>
                    <w:spacing w:after="0" w:line="240" w:lineRule="auto"/>
                    <w:jc w:val="both"/>
                    <w:rPr>
                      <w:rFonts w:ascii="Arial" w:eastAsia="Times New Roman" w:hAnsi="Arial" w:cs="Arial"/>
                      <w:sz w:val="20"/>
                      <w:szCs w:val="20"/>
                      <w:lang w:eastAsia="lt-LT"/>
                    </w:rPr>
                  </w:pPr>
                  <w:r w:rsidRPr="00B73CC3">
                    <w:rPr>
                      <w:rFonts w:ascii="Arial" w:eastAsia="Times New Roman" w:hAnsi="Arial" w:cs="Arial"/>
                      <w:sz w:val="20"/>
                      <w:szCs w:val="20"/>
                      <w:lang w:eastAsia="lt-LT"/>
                    </w:rPr>
                    <w:t>Pelno (nuostolių) ataskaitoje nepripažintas ataskaitinių finansinių metų pelnas (nuostoliai) – aktuarinis pokytis</w:t>
                  </w:r>
                </w:p>
              </w:tc>
              <w:tc>
                <w:tcPr>
                  <w:tcW w:w="1134" w:type="dxa"/>
                  <w:shd w:val="clear" w:color="auto" w:fill="auto"/>
                </w:tcPr>
                <w:p w14:paraId="7B713243" w14:textId="77777777" w:rsidR="003D1580" w:rsidRPr="00B73CC3" w:rsidRDefault="003D1580" w:rsidP="003D1580">
                  <w:pPr>
                    <w:spacing w:after="0" w:line="240" w:lineRule="auto"/>
                    <w:jc w:val="center"/>
                    <w:rPr>
                      <w:rFonts w:ascii="Arial" w:eastAsia="Times New Roman" w:hAnsi="Arial" w:cs="Arial"/>
                      <w:sz w:val="24"/>
                      <w:szCs w:val="28"/>
                      <w:lang w:eastAsia="lt-LT"/>
                    </w:rPr>
                  </w:pPr>
                  <w:r w:rsidRPr="00B73CC3">
                    <w:rPr>
                      <w:rFonts w:ascii="Arial" w:eastAsia="Times New Roman" w:hAnsi="Arial" w:cs="Arial"/>
                      <w:sz w:val="24"/>
                      <w:szCs w:val="28"/>
                      <w:lang w:eastAsia="lt-LT"/>
                    </w:rPr>
                    <w:t>-3 058</w:t>
                  </w:r>
                </w:p>
              </w:tc>
            </w:tr>
            <w:tr w:rsidR="003D1580" w:rsidRPr="00B73CC3" w14:paraId="16879F4F" w14:textId="77777777" w:rsidTr="00295072">
              <w:tc>
                <w:tcPr>
                  <w:tcW w:w="910" w:type="dxa"/>
                  <w:shd w:val="clear" w:color="auto" w:fill="auto"/>
                </w:tcPr>
                <w:p w14:paraId="2A3C64DE"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4</w:t>
                  </w:r>
                </w:p>
              </w:tc>
              <w:tc>
                <w:tcPr>
                  <w:tcW w:w="4932" w:type="dxa"/>
                  <w:shd w:val="clear" w:color="auto" w:fill="auto"/>
                </w:tcPr>
                <w:p w14:paraId="69F66287" w14:textId="77777777" w:rsidR="003D1580" w:rsidRPr="00B73CC3" w:rsidRDefault="003D1580" w:rsidP="003D1580">
                  <w:pPr>
                    <w:spacing w:after="0" w:line="240" w:lineRule="auto"/>
                    <w:jc w:val="both"/>
                    <w:rPr>
                      <w:rFonts w:ascii="Arial" w:eastAsia="Times New Roman" w:hAnsi="Arial" w:cs="Arial"/>
                      <w:sz w:val="20"/>
                      <w:szCs w:val="20"/>
                      <w:lang w:eastAsia="lt-LT"/>
                    </w:rPr>
                  </w:pPr>
                  <w:r w:rsidRPr="00B73CC3">
                    <w:rPr>
                      <w:rFonts w:ascii="Arial" w:eastAsia="Times New Roman" w:hAnsi="Arial" w:cs="Arial"/>
                      <w:sz w:val="20"/>
                      <w:szCs w:val="20"/>
                      <w:lang w:eastAsia="lt-LT"/>
                    </w:rPr>
                    <w:t>Pelno (nuostolių) ataskaitoje nepripažintas ataskaitinių finansinių metų pelnas (nuostoliai) – įstatinio kapitalo mažinimo ir savų akcijų panaikinimo rezultatas</w:t>
                  </w:r>
                </w:p>
              </w:tc>
              <w:tc>
                <w:tcPr>
                  <w:tcW w:w="1134" w:type="dxa"/>
                  <w:shd w:val="clear" w:color="auto" w:fill="auto"/>
                </w:tcPr>
                <w:p w14:paraId="2C2EB2A1" w14:textId="77777777" w:rsidR="003D1580" w:rsidRPr="00B73CC3" w:rsidRDefault="003D1580" w:rsidP="003D1580">
                  <w:pPr>
                    <w:spacing w:after="0" w:line="240" w:lineRule="auto"/>
                    <w:jc w:val="center"/>
                    <w:rPr>
                      <w:rFonts w:ascii="Arial" w:eastAsia="Times New Roman" w:hAnsi="Arial" w:cs="Arial"/>
                      <w:sz w:val="24"/>
                      <w:szCs w:val="28"/>
                      <w:lang w:eastAsia="lt-LT"/>
                    </w:rPr>
                  </w:pPr>
                </w:p>
              </w:tc>
            </w:tr>
            <w:tr w:rsidR="003D1580" w:rsidRPr="00B73CC3" w14:paraId="709CA54B" w14:textId="77777777" w:rsidTr="00295072">
              <w:tc>
                <w:tcPr>
                  <w:tcW w:w="910" w:type="dxa"/>
                  <w:shd w:val="clear" w:color="auto" w:fill="auto"/>
                </w:tcPr>
                <w:p w14:paraId="6BF764DA"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5</w:t>
                  </w:r>
                </w:p>
              </w:tc>
              <w:tc>
                <w:tcPr>
                  <w:tcW w:w="4932" w:type="dxa"/>
                  <w:shd w:val="clear" w:color="auto" w:fill="auto"/>
                </w:tcPr>
                <w:p w14:paraId="0CE4E028" w14:textId="77777777" w:rsidR="003D1580" w:rsidRPr="00B73CC3" w:rsidRDefault="003D1580" w:rsidP="003D1580">
                  <w:pPr>
                    <w:spacing w:after="0" w:line="240" w:lineRule="auto"/>
                    <w:jc w:val="both"/>
                    <w:rPr>
                      <w:rFonts w:ascii="Arial" w:eastAsia="Times New Roman" w:hAnsi="Arial" w:cs="Arial"/>
                      <w:sz w:val="20"/>
                      <w:szCs w:val="20"/>
                      <w:lang w:eastAsia="lt-LT"/>
                    </w:rPr>
                  </w:pPr>
                  <w:r w:rsidRPr="00B73CC3">
                    <w:rPr>
                      <w:rFonts w:ascii="Arial" w:eastAsia="Times New Roman" w:hAnsi="Arial" w:cs="Arial"/>
                      <w:sz w:val="20"/>
                      <w:szCs w:val="20"/>
                      <w:lang w:eastAsia="lt-LT"/>
                    </w:rPr>
                    <w:t>Pervedimai iš rezervų</w:t>
                  </w:r>
                </w:p>
              </w:tc>
              <w:tc>
                <w:tcPr>
                  <w:tcW w:w="1134" w:type="dxa"/>
                  <w:shd w:val="clear" w:color="auto" w:fill="auto"/>
                </w:tcPr>
                <w:p w14:paraId="437813CE" w14:textId="77777777" w:rsidR="003D1580" w:rsidRPr="00B73CC3" w:rsidRDefault="003D1580" w:rsidP="003D1580">
                  <w:pPr>
                    <w:spacing w:after="0" w:line="240" w:lineRule="auto"/>
                    <w:jc w:val="center"/>
                    <w:rPr>
                      <w:rFonts w:ascii="Arial" w:eastAsia="Times New Roman" w:hAnsi="Arial" w:cs="Arial"/>
                      <w:sz w:val="24"/>
                      <w:szCs w:val="28"/>
                      <w:lang w:eastAsia="lt-LT"/>
                    </w:rPr>
                  </w:pPr>
                  <w:r w:rsidRPr="00B73CC3">
                    <w:rPr>
                      <w:rFonts w:ascii="Arial" w:eastAsia="Times New Roman" w:hAnsi="Arial" w:cs="Arial"/>
                      <w:sz w:val="24"/>
                      <w:szCs w:val="28"/>
                      <w:lang w:eastAsia="lt-LT"/>
                    </w:rPr>
                    <w:t>10 200</w:t>
                  </w:r>
                </w:p>
              </w:tc>
            </w:tr>
            <w:tr w:rsidR="003D1580" w:rsidRPr="00B73CC3" w14:paraId="77F6C880" w14:textId="77777777" w:rsidTr="00295072">
              <w:tc>
                <w:tcPr>
                  <w:tcW w:w="910" w:type="dxa"/>
                  <w:shd w:val="clear" w:color="auto" w:fill="auto"/>
                </w:tcPr>
                <w:p w14:paraId="447E17D2"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6</w:t>
                  </w:r>
                </w:p>
              </w:tc>
              <w:tc>
                <w:tcPr>
                  <w:tcW w:w="4932" w:type="dxa"/>
                  <w:shd w:val="clear" w:color="auto" w:fill="auto"/>
                </w:tcPr>
                <w:p w14:paraId="3464AA95" w14:textId="77777777" w:rsidR="003D1580" w:rsidRPr="00B73CC3" w:rsidRDefault="003D1580" w:rsidP="003D1580">
                  <w:pPr>
                    <w:spacing w:after="0" w:line="240" w:lineRule="auto"/>
                    <w:jc w:val="both"/>
                    <w:rPr>
                      <w:rFonts w:ascii="Arial" w:eastAsia="Times New Roman" w:hAnsi="Arial" w:cs="Arial"/>
                      <w:sz w:val="20"/>
                      <w:szCs w:val="20"/>
                      <w:lang w:eastAsia="lt-LT"/>
                    </w:rPr>
                  </w:pPr>
                  <w:r w:rsidRPr="00B73CC3">
                    <w:rPr>
                      <w:rFonts w:ascii="Arial" w:eastAsia="Times New Roman" w:hAnsi="Arial" w:cs="Arial"/>
                      <w:sz w:val="20"/>
                      <w:szCs w:val="20"/>
                      <w:lang w:eastAsia="lt-LT"/>
                    </w:rPr>
                    <w:t>Akcininkų įnašai bendrovės nuostoliams padengti (jeigu visus ar dalį nuostolių nusprendė padengti akcininkai)</w:t>
                  </w:r>
                </w:p>
              </w:tc>
              <w:tc>
                <w:tcPr>
                  <w:tcW w:w="1134" w:type="dxa"/>
                  <w:shd w:val="clear" w:color="auto" w:fill="auto"/>
                </w:tcPr>
                <w:p w14:paraId="14F0E10F" w14:textId="77777777" w:rsidR="003D1580" w:rsidRPr="00B73CC3" w:rsidRDefault="003D1580" w:rsidP="003D1580">
                  <w:pPr>
                    <w:spacing w:after="0" w:line="240" w:lineRule="auto"/>
                    <w:jc w:val="center"/>
                    <w:rPr>
                      <w:rFonts w:ascii="Arial" w:eastAsia="Times New Roman" w:hAnsi="Arial" w:cs="Arial"/>
                      <w:sz w:val="24"/>
                      <w:szCs w:val="28"/>
                      <w:lang w:eastAsia="lt-LT"/>
                    </w:rPr>
                  </w:pPr>
                </w:p>
              </w:tc>
            </w:tr>
            <w:tr w:rsidR="003D1580" w:rsidRPr="00B73CC3" w14:paraId="58430EFF" w14:textId="77777777" w:rsidTr="00295072">
              <w:tc>
                <w:tcPr>
                  <w:tcW w:w="910" w:type="dxa"/>
                  <w:shd w:val="clear" w:color="auto" w:fill="auto"/>
                </w:tcPr>
                <w:p w14:paraId="5176BE5A"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7</w:t>
                  </w:r>
                </w:p>
              </w:tc>
              <w:tc>
                <w:tcPr>
                  <w:tcW w:w="4932" w:type="dxa"/>
                  <w:shd w:val="clear" w:color="auto" w:fill="auto"/>
                </w:tcPr>
                <w:p w14:paraId="5371533E" w14:textId="77777777" w:rsidR="003D1580" w:rsidRPr="00B73CC3" w:rsidRDefault="003D1580" w:rsidP="003D1580">
                  <w:pPr>
                    <w:spacing w:after="0" w:line="240" w:lineRule="auto"/>
                    <w:jc w:val="both"/>
                    <w:rPr>
                      <w:rFonts w:ascii="Arial" w:eastAsia="Times New Roman" w:hAnsi="Arial" w:cs="Arial"/>
                      <w:b/>
                      <w:sz w:val="20"/>
                      <w:szCs w:val="20"/>
                      <w:lang w:eastAsia="lt-LT"/>
                    </w:rPr>
                  </w:pPr>
                  <w:proofErr w:type="spellStart"/>
                  <w:r w:rsidRPr="00B73CC3">
                    <w:rPr>
                      <w:rFonts w:ascii="Arial" w:eastAsia="Times New Roman" w:hAnsi="Arial" w:cs="Arial"/>
                      <w:b/>
                      <w:sz w:val="20"/>
                      <w:szCs w:val="20"/>
                      <w:lang w:eastAsia="lt-LT"/>
                    </w:rPr>
                    <w:t>Paskirstytinasis</w:t>
                  </w:r>
                  <w:proofErr w:type="spellEnd"/>
                  <w:r w:rsidRPr="00B73CC3">
                    <w:rPr>
                      <w:rFonts w:ascii="Arial" w:eastAsia="Times New Roman" w:hAnsi="Arial" w:cs="Arial"/>
                      <w:b/>
                      <w:sz w:val="20"/>
                      <w:szCs w:val="20"/>
                      <w:lang w:eastAsia="lt-LT"/>
                    </w:rPr>
                    <w:t xml:space="preserve"> pelnas (nuostoliai ) iš viso</w:t>
                  </w:r>
                </w:p>
              </w:tc>
              <w:tc>
                <w:tcPr>
                  <w:tcW w:w="1134" w:type="dxa"/>
                  <w:shd w:val="clear" w:color="auto" w:fill="auto"/>
                </w:tcPr>
                <w:p w14:paraId="3D93557A" w14:textId="77777777" w:rsidR="003D1580" w:rsidRPr="00B73CC3" w:rsidRDefault="003D1580" w:rsidP="003D1580">
                  <w:pPr>
                    <w:spacing w:after="0" w:line="240" w:lineRule="auto"/>
                    <w:jc w:val="center"/>
                    <w:rPr>
                      <w:rFonts w:ascii="Arial" w:eastAsia="Times New Roman" w:hAnsi="Arial" w:cs="Arial"/>
                      <w:b/>
                      <w:sz w:val="24"/>
                      <w:szCs w:val="28"/>
                      <w:lang w:eastAsia="lt-LT"/>
                    </w:rPr>
                  </w:pPr>
                  <w:r w:rsidRPr="00B73CC3">
                    <w:rPr>
                      <w:rFonts w:ascii="Arial" w:eastAsia="Times New Roman" w:hAnsi="Arial" w:cs="Arial"/>
                      <w:b/>
                      <w:sz w:val="24"/>
                      <w:szCs w:val="28"/>
                      <w:lang w:eastAsia="lt-LT"/>
                    </w:rPr>
                    <w:t>121 443</w:t>
                  </w:r>
                </w:p>
              </w:tc>
            </w:tr>
            <w:tr w:rsidR="003D1580" w:rsidRPr="00B73CC3" w14:paraId="0E344E7A" w14:textId="77777777" w:rsidTr="00295072">
              <w:tc>
                <w:tcPr>
                  <w:tcW w:w="910" w:type="dxa"/>
                  <w:shd w:val="clear" w:color="auto" w:fill="auto"/>
                </w:tcPr>
                <w:p w14:paraId="1FA33923"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8</w:t>
                  </w:r>
                </w:p>
              </w:tc>
              <w:tc>
                <w:tcPr>
                  <w:tcW w:w="4932" w:type="dxa"/>
                  <w:shd w:val="clear" w:color="auto" w:fill="auto"/>
                </w:tcPr>
                <w:p w14:paraId="53D3A7CA" w14:textId="77777777" w:rsidR="003D1580" w:rsidRPr="00B73CC3" w:rsidRDefault="003D1580" w:rsidP="003D1580">
                  <w:pPr>
                    <w:tabs>
                      <w:tab w:val="left" w:pos="5252"/>
                    </w:tabs>
                    <w:spacing w:after="0" w:line="240" w:lineRule="auto"/>
                    <w:jc w:val="both"/>
                    <w:rPr>
                      <w:rFonts w:ascii="Arial" w:eastAsia="Times New Roman" w:hAnsi="Arial" w:cs="Arial"/>
                      <w:sz w:val="20"/>
                      <w:szCs w:val="20"/>
                      <w:lang w:eastAsia="lt-LT"/>
                    </w:rPr>
                  </w:pPr>
                  <w:r w:rsidRPr="00B73CC3">
                    <w:rPr>
                      <w:rFonts w:ascii="Arial" w:eastAsia="Times New Roman" w:hAnsi="Arial" w:cs="Arial"/>
                      <w:sz w:val="20"/>
                      <w:szCs w:val="20"/>
                      <w:lang w:eastAsia="lt-LT"/>
                    </w:rPr>
                    <w:t>pelno dalis, paskirta į privalomąjį rezervą</w:t>
                  </w:r>
                </w:p>
              </w:tc>
              <w:tc>
                <w:tcPr>
                  <w:tcW w:w="1134" w:type="dxa"/>
                  <w:shd w:val="clear" w:color="auto" w:fill="auto"/>
                </w:tcPr>
                <w:p w14:paraId="79D8D36F" w14:textId="77777777" w:rsidR="003D1580" w:rsidRPr="00B73CC3" w:rsidRDefault="003D1580" w:rsidP="003D1580">
                  <w:pPr>
                    <w:spacing w:after="0" w:line="240" w:lineRule="auto"/>
                    <w:jc w:val="center"/>
                    <w:rPr>
                      <w:rFonts w:ascii="Arial" w:eastAsia="Times New Roman" w:hAnsi="Arial" w:cs="Arial"/>
                      <w:sz w:val="24"/>
                      <w:szCs w:val="28"/>
                      <w:lang w:eastAsia="lt-LT"/>
                    </w:rPr>
                  </w:pPr>
                  <w:r w:rsidRPr="00B73CC3">
                    <w:rPr>
                      <w:rFonts w:ascii="Arial" w:eastAsia="Times New Roman" w:hAnsi="Arial" w:cs="Arial"/>
                      <w:sz w:val="24"/>
                      <w:szCs w:val="28"/>
                      <w:lang w:eastAsia="lt-LT"/>
                    </w:rPr>
                    <w:t>0</w:t>
                  </w:r>
                </w:p>
              </w:tc>
            </w:tr>
            <w:tr w:rsidR="003D1580" w:rsidRPr="00B73CC3" w14:paraId="17BD7D79" w14:textId="77777777" w:rsidTr="00295072">
              <w:tc>
                <w:tcPr>
                  <w:tcW w:w="910" w:type="dxa"/>
                  <w:shd w:val="clear" w:color="auto" w:fill="auto"/>
                </w:tcPr>
                <w:p w14:paraId="07B34942"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9</w:t>
                  </w:r>
                </w:p>
              </w:tc>
              <w:tc>
                <w:tcPr>
                  <w:tcW w:w="4932" w:type="dxa"/>
                  <w:shd w:val="clear" w:color="auto" w:fill="auto"/>
                </w:tcPr>
                <w:p w14:paraId="040E1F87" w14:textId="77777777" w:rsidR="003D1580" w:rsidRPr="00B73CC3" w:rsidRDefault="003D1580" w:rsidP="003D1580">
                  <w:pPr>
                    <w:spacing w:after="0" w:line="240" w:lineRule="auto"/>
                    <w:jc w:val="both"/>
                    <w:rPr>
                      <w:rFonts w:ascii="Arial" w:eastAsia="Times New Roman" w:hAnsi="Arial" w:cs="Arial"/>
                      <w:sz w:val="20"/>
                      <w:szCs w:val="20"/>
                      <w:lang w:eastAsia="lt-LT"/>
                    </w:rPr>
                  </w:pPr>
                  <w:r w:rsidRPr="00B73CC3">
                    <w:rPr>
                      <w:rFonts w:ascii="Arial" w:eastAsia="Times New Roman" w:hAnsi="Arial" w:cs="Arial"/>
                      <w:sz w:val="20"/>
                      <w:szCs w:val="20"/>
                      <w:lang w:eastAsia="lt-LT"/>
                    </w:rPr>
                    <w:t>pelno dalis, paskirta į rezervą savoms akcijoms įsigyti</w:t>
                  </w:r>
                </w:p>
              </w:tc>
              <w:tc>
                <w:tcPr>
                  <w:tcW w:w="1134" w:type="dxa"/>
                  <w:shd w:val="clear" w:color="auto" w:fill="auto"/>
                </w:tcPr>
                <w:p w14:paraId="2CDC3A83" w14:textId="77777777" w:rsidR="003D1580" w:rsidRPr="00B73CC3" w:rsidRDefault="003D1580" w:rsidP="003D1580">
                  <w:pPr>
                    <w:spacing w:after="0" w:line="240" w:lineRule="auto"/>
                    <w:jc w:val="center"/>
                    <w:rPr>
                      <w:rFonts w:ascii="Arial" w:eastAsia="Times New Roman" w:hAnsi="Arial" w:cs="Arial"/>
                      <w:sz w:val="24"/>
                      <w:szCs w:val="28"/>
                      <w:lang w:eastAsia="lt-LT"/>
                    </w:rPr>
                  </w:pPr>
                  <w:r w:rsidRPr="00B73CC3">
                    <w:rPr>
                      <w:rFonts w:ascii="Arial" w:eastAsia="Times New Roman" w:hAnsi="Arial" w:cs="Arial"/>
                      <w:sz w:val="24"/>
                      <w:szCs w:val="28"/>
                      <w:lang w:eastAsia="lt-LT"/>
                    </w:rPr>
                    <w:t>10 000</w:t>
                  </w:r>
                </w:p>
              </w:tc>
            </w:tr>
            <w:tr w:rsidR="003D1580" w:rsidRPr="00B73CC3" w14:paraId="76E8D5E7" w14:textId="77777777" w:rsidTr="00295072">
              <w:tc>
                <w:tcPr>
                  <w:tcW w:w="910" w:type="dxa"/>
                  <w:shd w:val="clear" w:color="auto" w:fill="auto"/>
                </w:tcPr>
                <w:p w14:paraId="5B83422E"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10</w:t>
                  </w:r>
                </w:p>
              </w:tc>
              <w:tc>
                <w:tcPr>
                  <w:tcW w:w="4932" w:type="dxa"/>
                  <w:shd w:val="clear" w:color="auto" w:fill="auto"/>
                </w:tcPr>
                <w:p w14:paraId="558EB387" w14:textId="77777777" w:rsidR="003D1580" w:rsidRPr="00B73CC3" w:rsidRDefault="003D1580" w:rsidP="003D1580">
                  <w:pPr>
                    <w:spacing w:after="0" w:line="240" w:lineRule="auto"/>
                    <w:jc w:val="both"/>
                    <w:rPr>
                      <w:rFonts w:ascii="Arial" w:eastAsia="Times New Roman" w:hAnsi="Arial" w:cs="Arial"/>
                      <w:sz w:val="20"/>
                      <w:szCs w:val="20"/>
                      <w:lang w:eastAsia="lt-LT"/>
                    </w:rPr>
                  </w:pPr>
                  <w:r w:rsidRPr="00B73CC3">
                    <w:rPr>
                      <w:rFonts w:ascii="Arial" w:eastAsia="Times New Roman" w:hAnsi="Arial" w:cs="Arial"/>
                      <w:sz w:val="20"/>
                      <w:szCs w:val="20"/>
                      <w:lang w:eastAsia="lt-LT"/>
                    </w:rPr>
                    <w:t>pelno dalis, paskirta į rezervą akcijoms suteikti</w:t>
                  </w:r>
                </w:p>
              </w:tc>
              <w:tc>
                <w:tcPr>
                  <w:tcW w:w="1134" w:type="dxa"/>
                  <w:shd w:val="clear" w:color="auto" w:fill="auto"/>
                </w:tcPr>
                <w:p w14:paraId="5E8A338F" w14:textId="77777777" w:rsidR="003D1580" w:rsidRPr="00B73CC3" w:rsidRDefault="003D1580" w:rsidP="003D1580">
                  <w:pPr>
                    <w:spacing w:after="0" w:line="240" w:lineRule="auto"/>
                    <w:jc w:val="center"/>
                    <w:rPr>
                      <w:rFonts w:ascii="Arial" w:eastAsia="Times New Roman" w:hAnsi="Arial" w:cs="Arial"/>
                      <w:sz w:val="24"/>
                      <w:szCs w:val="28"/>
                      <w:lang w:eastAsia="lt-LT"/>
                    </w:rPr>
                  </w:pPr>
                  <w:r w:rsidRPr="00B73CC3">
                    <w:rPr>
                      <w:rFonts w:ascii="Arial" w:eastAsia="Times New Roman" w:hAnsi="Arial" w:cs="Arial"/>
                      <w:sz w:val="24"/>
                      <w:szCs w:val="28"/>
                      <w:lang w:eastAsia="lt-LT"/>
                    </w:rPr>
                    <w:t>0</w:t>
                  </w:r>
                </w:p>
              </w:tc>
            </w:tr>
            <w:tr w:rsidR="003D1580" w:rsidRPr="00B73CC3" w14:paraId="71CEBD8E" w14:textId="77777777" w:rsidTr="00295072">
              <w:tc>
                <w:tcPr>
                  <w:tcW w:w="910" w:type="dxa"/>
                  <w:shd w:val="clear" w:color="auto" w:fill="auto"/>
                </w:tcPr>
                <w:p w14:paraId="5D6300C4"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11</w:t>
                  </w:r>
                </w:p>
              </w:tc>
              <w:tc>
                <w:tcPr>
                  <w:tcW w:w="4932" w:type="dxa"/>
                  <w:shd w:val="clear" w:color="auto" w:fill="auto"/>
                </w:tcPr>
                <w:p w14:paraId="3A21572A" w14:textId="77777777" w:rsidR="003D1580" w:rsidRPr="00B73CC3" w:rsidRDefault="003D1580" w:rsidP="003D1580">
                  <w:pPr>
                    <w:spacing w:after="0" w:line="240" w:lineRule="auto"/>
                    <w:jc w:val="both"/>
                    <w:rPr>
                      <w:rFonts w:ascii="Arial" w:eastAsia="Times New Roman" w:hAnsi="Arial" w:cs="Arial"/>
                      <w:sz w:val="20"/>
                      <w:szCs w:val="20"/>
                      <w:lang w:eastAsia="lt-LT"/>
                    </w:rPr>
                  </w:pPr>
                  <w:r w:rsidRPr="00B73CC3">
                    <w:rPr>
                      <w:rFonts w:ascii="Arial" w:eastAsia="Times New Roman" w:hAnsi="Arial" w:cs="Arial"/>
                      <w:sz w:val="20"/>
                      <w:szCs w:val="20"/>
                      <w:lang w:eastAsia="lt-LT"/>
                    </w:rPr>
                    <w:t>pelno dalis, paskirta į kitus rezervus</w:t>
                  </w:r>
                </w:p>
              </w:tc>
              <w:tc>
                <w:tcPr>
                  <w:tcW w:w="1134" w:type="dxa"/>
                  <w:shd w:val="clear" w:color="auto" w:fill="auto"/>
                </w:tcPr>
                <w:p w14:paraId="2C19B8AE" w14:textId="77777777" w:rsidR="003D1580" w:rsidRPr="00B73CC3" w:rsidRDefault="003D1580" w:rsidP="003D1580">
                  <w:pPr>
                    <w:spacing w:after="0" w:line="240" w:lineRule="auto"/>
                    <w:jc w:val="center"/>
                    <w:rPr>
                      <w:rFonts w:ascii="Arial" w:eastAsia="Times New Roman" w:hAnsi="Arial" w:cs="Arial"/>
                      <w:sz w:val="24"/>
                      <w:szCs w:val="28"/>
                      <w:lang w:eastAsia="lt-LT"/>
                    </w:rPr>
                  </w:pPr>
                  <w:r w:rsidRPr="00B73CC3">
                    <w:rPr>
                      <w:rFonts w:ascii="Arial" w:eastAsia="Times New Roman" w:hAnsi="Arial" w:cs="Arial"/>
                      <w:sz w:val="24"/>
                      <w:szCs w:val="28"/>
                      <w:lang w:eastAsia="lt-LT"/>
                    </w:rPr>
                    <w:t>0</w:t>
                  </w:r>
                </w:p>
              </w:tc>
            </w:tr>
            <w:tr w:rsidR="003D1580" w:rsidRPr="00B73CC3" w14:paraId="61441C31" w14:textId="77777777" w:rsidTr="00295072">
              <w:tc>
                <w:tcPr>
                  <w:tcW w:w="910" w:type="dxa"/>
                  <w:shd w:val="clear" w:color="auto" w:fill="auto"/>
                </w:tcPr>
                <w:p w14:paraId="234AE254"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12</w:t>
                  </w:r>
                </w:p>
              </w:tc>
              <w:tc>
                <w:tcPr>
                  <w:tcW w:w="4932" w:type="dxa"/>
                  <w:shd w:val="clear" w:color="auto" w:fill="auto"/>
                </w:tcPr>
                <w:p w14:paraId="0AD9802B" w14:textId="77777777" w:rsidR="003D1580" w:rsidRPr="00B73CC3" w:rsidRDefault="003D1580" w:rsidP="003D1580">
                  <w:pPr>
                    <w:spacing w:after="0" w:line="240" w:lineRule="auto"/>
                    <w:jc w:val="both"/>
                    <w:rPr>
                      <w:rFonts w:ascii="Arial" w:eastAsia="Times New Roman" w:hAnsi="Arial" w:cs="Arial"/>
                      <w:sz w:val="20"/>
                      <w:szCs w:val="20"/>
                      <w:lang w:eastAsia="lt-LT"/>
                    </w:rPr>
                  </w:pPr>
                  <w:r w:rsidRPr="00B73CC3">
                    <w:rPr>
                      <w:rFonts w:ascii="Arial" w:eastAsia="Times New Roman" w:hAnsi="Arial" w:cs="Arial"/>
                      <w:sz w:val="20"/>
                      <w:szCs w:val="20"/>
                      <w:lang w:eastAsia="lt-LT"/>
                    </w:rPr>
                    <w:t xml:space="preserve">pelno dalis, paskirta dividendams išmokėti *  </w:t>
                  </w:r>
                </w:p>
              </w:tc>
              <w:tc>
                <w:tcPr>
                  <w:tcW w:w="1134" w:type="dxa"/>
                  <w:shd w:val="clear" w:color="auto" w:fill="auto"/>
                </w:tcPr>
                <w:p w14:paraId="5516A851" w14:textId="77777777" w:rsidR="003D1580" w:rsidRPr="00B73CC3" w:rsidRDefault="003D1580" w:rsidP="003D1580">
                  <w:pPr>
                    <w:spacing w:after="0" w:line="240" w:lineRule="auto"/>
                    <w:jc w:val="center"/>
                    <w:rPr>
                      <w:rFonts w:ascii="Arial" w:eastAsia="Times New Roman" w:hAnsi="Arial" w:cs="Arial"/>
                      <w:sz w:val="24"/>
                      <w:szCs w:val="28"/>
                      <w:lang w:eastAsia="lt-LT"/>
                    </w:rPr>
                  </w:pPr>
                  <w:r w:rsidRPr="00B73CC3">
                    <w:rPr>
                      <w:rFonts w:ascii="Arial" w:eastAsia="Times New Roman" w:hAnsi="Arial" w:cs="Arial"/>
                      <w:sz w:val="24"/>
                      <w:szCs w:val="28"/>
                      <w:lang w:eastAsia="lt-LT"/>
                    </w:rPr>
                    <w:t>0</w:t>
                  </w:r>
                </w:p>
              </w:tc>
            </w:tr>
            <w:tr w:rsidR="003D1580" w:rsidRPr="00B73CC3" w14:paraId="7DBC6646" w14:textId="77777777" w:rsidTr="00295072">
              <w:trPr>
                <w:trHeight w:val="426"/>
              </w:trPr>
              <w:tc>
                <w:tcPr>
                  <w:tcW w:w="910" w:type="dxa"/>
                  <w:shd w:val="clear" w:color="auto" w:fill="auto"/>
                </w:tcPr>
                <w:p w14:paraId="0CFA6BCE"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13</w:t>
                  </w:r>
                </w:p>
              </w:tc>
              <w:tc>
                <w:tcPr>
                  <w:tcW w:w="4932" w:type="dxa"/>
                  <w:shd w:val="clear" w:color="auto" w:fill="auto"/>
                </w:tcPr>
                <w:p w14:paraId="7E0675CE" w14:textId="77777777" w:rsidR="003D1580" w:rsidRPr="00B73CC3" w:rsidRDefault="003D1580" w:rsidP="003D1580">
                  <w:pPr>
                    <w:spacing w:after="0" w:line="240" w:lineRule="auto"/>
                    <w:jc w:val="both"/>
                    <w:rPr>
                      <w:rFonts w:ascii="Arial" w:eastAsia="Times New Roman" w:hAnsi="Arial" w:cs="Arial"/>
                      <w:sz w:val="20"/>
                      <w:szCs w:val="20"/>
                      <w:lang w:eastAsia="lt-LT"/>
                    </w:rPr>
                  </w:pPr>
                  <w:r w:rsidRPr="00B73CC3">
                    <w:rPr>
                      <w:rFonts w:ascii="Arial" w:eastAsia="Times New Roman" w:hAnsi="Arial" w:cs="Arial"/>
                      <w:sz w:val="20"/>
                      <w:szCs w:val="20"/>
                      <w:lang w:eastAsia="lt-LT"/>
                    </w:rPr>
                    <w:t>pelno dalis, paskirta darbuotojų premijoms ir kitiems tikslams**</w:t>
                  </w:r>
                </w:p>
              </w:tc>
              <w:tc>
                <w:tcPr>
                  <w:tcW w:w="1134" w:type="dxa"/>
                  <w:shd w:val="clear" w:color="auto" w:fill="auto"/>
                </w:tcPr>
                <w:p w14:paraId="58E253F9" w14:textId="77777777" w:rsidR="003D1580" w:rsidRPr="00B73CC3" w:rsidRDefault="003D1580" w:rsidP="003D1580">
                  <w:pPr>
                    <w:spacing w:after="0" w:line="240" w:lineRule="auto"/>
                    <w:jc w:val="center"/>
                    <w:rPr>
                      <w:rFonts w:ascii="Arial" w:eastAsia="Times New Roman" w:hAnsi="Arial" w:cs="Arial"/>
                      <w:sz w:val="24"/>
                      <w:szCs w:val="28"/>
                      <w:lang w:eastAsia="lt-LT"/>
                    </w:rPr>
                  </w:pPr>
                  <w:r w:rsidRPr="00B73CC3">
                    <w:rPr>
                      <w:rFonts w:ascii="Arial" w:eastAsia="Times New Roman" w:hAnsi="Arial" w:cs="Arial"/>
                      <w:sz w:val="24"/>
                      <w:szCs w:val="28"/>
                      <w:lang w:eastAsia="lt-LT"/>
                    </w:rPr>
                    <w:t xml:space="preserve">200 </w:t>
                  </w:r>
                </w:p>
              </w:tc>
            </w:tr>
            <w:tr w:rsidR="003D1580" w:rsidRPr="00B73CC3" w14:paraId="17C0A4D9" w14:textId="77777777" w:rsidTr="00295072">
              <w:tc>
                <w:tcPr>
                  <w:tcW w:w="910" w:type="dxa"/>
                  <w:shd w:val="clear" w:color="auto" w:fill="auto"/>
                </w:tcPr>
                <w:p w14:paraId="3FAC7E12" w14:textId="77777777" w:rsidR="003D1580" w:rsidRPr="00B73CC3" w:rsidRDefault="003D1580" w:rsidP="003D1580">
                  <w:pPr>
                    <w:spacing w:after="0" w:line="240" w:lineRule="auto"/>
                    <w:jc w:val="center"/>
                    <w:rPr>
                      <w:rFonts w:ascii="Arial" w:eastAsia="Times New Roman" w:hAnsi="Arial" w:cs="Arial"/>
                      <w:b/>
                      <w:sz w:val="20"/>
                      <w:szCs w:val="20"/>
                      <w:lang w:eastAsia="lt-LT"/>
                    </w:rPr>
                  </w:pPr>
                  <w:r w:rsidRPr="00B73CC3">
                    <w:rPr>
                      <w:rFonts w:ascii="Arial" w:eastAsia="Times New Roman" w:hAnsi="Arial" w:cs="Arial"/>
                      <w:b/>
                      <w:sz w:val="20"/>
                      <w:szCs w:val="20"/>
                      <w:lang w:eastAsia="lt-LT"/>
                    </w:rPr>
                    <w:t>14</w:t>
                  </w:r>
                </w:p>
              </w:tc>
              <w:tc>
                <w:tcPr>
                  <w:tcW w:w="4932" w:type="dxa"/>
                  <w:shd w:val="clear" w:color="auto" w:fill="auto"/>
                </w:tcPr>
                <w:p w14:paraId="576D4F15" w14:textId="77777777" w:rsidR="003D1580" w:rsidRPr="00B73CC3" w:rsidRDefault="003D1580" w:rsidP="003D1580">
                  <w:pPr>
                    <w:spacing w:after="0" w:line="240" w:lineRule="auto"/>
                    <w:jc w:val="both"/>
                    <w:rPr>
                      <w:rFonts w:ascii="Arial" w:eastAsia="Times New Roman" w:hAnsi="Arial" w:cs="Arial"/>
                      <w:b/>
                      <w:sz w:val="20"/>
                      <w:szCs w:val="20"/>
                      <w:lang w:eastAsia="lt-LT"/>
                    </w:rPr>
                  </w:pPr>
                  <w:r w:rsidRPr="00B73CC3">
                    <w:rPr>
                      <w:rFonts w:ascii="Arial" w:eastAsia="Times New Roman" w:hAnsi="Arial" w:cs="Arial"/>
                      <w:b/>
                      <w:sz w:val="20"/>
                      <w:szCs w:val="20"/>
                      <w:lang w:eastAsia="lt-LT"/>
                    </w:rPr>
                    <w:t>Nepaskirstytasis pelnas (nuostoliai) ataskaitinių finansinių metų pabaigoje, perkeliamas į kitus finansinius metus</w:t>
                  </w:r>
                </w:p>
              </w:tc>
              <w:tc>
                <w:tcPr>
                  <w:tcW w:w="1134" w:type="dxa"/>
                  <w:shd w:val="clear" w:color="auto" w:fill="auto"/>
                  <w:vAlign w:val="center"/>
                </w:tcPr>
                <w:p w14:paraId="177FAA9A" w14:textId="77777777" w:rsidR="003D1580" w:rsidRPr="00B73CC3" w:rsidRDefault="003D1580" w:rsidP="003D1580">
                  <w:pPr>
                    <w:spacing w:after="0" w:line="240" w:lineRule="auto"/>
                    <w:jc w:val="center"/>
                    <w:rPr>
                      <w:rFonts w:ascii="Arial" w:eastAsia="Times New Roman" w:hAnsi="Arial" w:cs="Arial"/>
                      <w:b/>
                      <w:sz w:val="24"/>
                      <w:szCs w:val="28"/>
                      <w:lang w:eastAsia="lt-LT"/>
                    </w:rPr>
                  </w:pPr>
                  <w:r w:rsidRPr="00B73CC3">
                    <w:rPr>
                      <w:rFonts w:ascii="Arial" w:eastAsia="Times New Roman" w:hAnsi="Arial" w:cs="Arial"/>
                      <w:b/>
                      <w:sz w:val="24"/>
                      <w:szCs w:val="28"/>
                      <w:lang w:eastAsia="lt-LT"/>
                    </w:rPr>
                    <w:t>111 243</w:t>
                  </w:r>
                </w:p>
              </w:tc>
            </w:tr>
          </w:tbl>
          <w:p w14:paraId="5480D692" w14:textId="77777777" w:rsidR="003D1580" w:rsidRPr="00B73CC3" w:rsidRDefault="003D1580" w:rsidP="003D1580">
            <w:pPr>
              <w:spacing w:after="0" w:line="240" w:lineRule="auto"/>
              <w:jc w:val="both"/>
              <w:rPr>
                <w:rFonts w:ascii="Arial" w:eastAsia="Times New Roman" w:hAnsi="Arial" w:cs="Arial"/>
                <w:lang w:eastAsia="lt-LT"/>
              </w:rPr>
            </w:pPr>
          </w:p>
          <w:p w14:paraId="436AF4EC" w14:textId="77777777" w:rsidR="003D1580" w:rsidRPr="00B73CC3" w:rsidRDefault="003D1580" w:rsidP="003D1580">
            <w:pPr>
              <w:spacing w:after="0" w:line="240" w:lineRule="auto"/>
              <w:jc w:val="both"/>
              <w:rPr>
                <w:rFonts w:ascii="Arial" w:eastAsia="Times New Roman" w:hAnsi="Arial" w:cs="Arial"/>
                <w:i/>
                <w:lang w:eastAsia="lt-LT"/>
              </w:rPr>
            </w:pPr>
            <w:r w:rsidRPr="00B73CC3">
              <w:rPr>
                <w:rFonts w:ascii="Arial" w:eastAsia="Times New Roman" w:hAnsi="Arial" w:cs="Arial"/>
                <w:i/>
                <w:lang w:eastAsia="lt-LT"/>
              </w:rPr>
              <w:t xml:space="preserve">** darbuotojų premijoms 200 000 eurų </w:t>
            </w:r>
          </w:p>
          <w:p w14:paraId="7942DD12" w14:textId="77777777" w:rsidR="003D1580" w:rsidRPr="00B73CC3" w:rsidRDefault="003D1580" w:rsidP="003D1580">
            <w:pPr>
              <w:spacing w:after="0" w:line="240" w:lineRule="auto"/>
              <w:jc w:val="both"/>
              <w:rPr>
                <w:rFonts w:ascii="Arial" w:eastAsia="Times New Roman" w:hAnsi="Arial" w:cs="Arial"/>
                <w:i/>
                <w:sz w:val="20"/>
                <w:szCs w:val="20"/>
                <w:lang w:eastAsia="lt-LT"/>
              </w:rPr>
            </w:pPr>
          </w:p>
        </w:tc>
      </w:tr>
      <w:tr w:rsidR="003D1580" w:rsidRPr="00B73CC3" w14:paraId="79010AA0" w14:textId="77777777" w:rsidTr="00295072">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69BC041"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2B6145"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 xml:space="preserve">Dėl AB „ŽEMAITIJOS PIENAS“ stebėtojų </w:t>
            </w:r>
            <w:r w:rsidRPr="00B73CC3">
              <w:rPr>
                <w:rFonts w:ascii="Arial" w:eastAsia="Times New Roman" w:hAnsi="Arial" w:cs="Arial"/>
                <w:lang w:eastAsia="lt-LT"/>
              </w:rPr>
              <w:lastRenderedPageBreak/>
              <w:t xml:space="preserve">tarybos narių, valdybos narių ir vadovo atlygio politikos tvirtinimo. </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6B3F5DDE"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lastRenderedPageBreak/>
              <w:t>Patvirtinti AB „ŽEMAITIJOS PIENAS“ stebėtojų tarybos narių, valdybos narių ir vadovo atlygio politiką.</w:t>
            </w:r>
          </w:p>
        </w:tc>
      </w:tr>
      <w:tr w:rsidR="003D1580" w:rsidRPr="00B73CC3" w14:paraId="404590B3" w14:textId="77777777" w:rsidTr="00295072">
        <w:trPr>
          <w:trHeight w:val="123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8019B6E"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B495D1"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Dėl biudžeto bendrovės kolegialiems organų nariams už veiklą bendrovėje nustatymo.</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1AE43803"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Bendrovės kolegialiems organų nariams už veiklą bendrovėje laikotarpiu nuo 2025 m. eilinio visuotino  akcininkų susirinkimo sprendimo priėmimo iki 2026 m. eilinio visuotinio akcininkų susirinkimo sprendimo patvirtinti  200 000,00 (du šimtai tūkstančių) Eur biudžetą.</w:t>
            </w:r>
          </w:p>
        </w:tc>
      </w:tr>
      <w:tr w:rsidR="003D1580" w:rsidRPr="00B73CC3" w14:paraId="080C9CE1" w14:textId="77777777" w:rsidTr="00295072">
        <w:trPr>
          <w:trHeight w:val="123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7CCF30D"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951344" w14:textId="77777777" w:rsidR="003D1580" w:rsidRPr="00B73CC3" w:rsidRDefault="003D1580" w:rsidP="003D1580">
            <w:pPr>
              <w:spacing w:after="0" w:line="240" w:lineRule="auto"/>
              <w:rPr>
                <w:rFonts w:ascii="Arial" w:eastAsia="Times New Roman" w:hAnsi="Arial" w:cs="Arial"/>
                <w:lang w:eastAsia="lt-LT"/>
              </w:rPr>
            </w:pPr>
            <w:r w:rsidRPr="00B73CC3">
              <w:rPr>
                <w:rFonts w:ascii="Arial" w:eastAsia="Times New Roman" w:hAnsi="Arial" w:cs="Arial"/>
                <w:lang w:eastAsia="lt-LT"/>
              </w:rPr>
              <w:t>Dėl rezervo savoms akcijoms įsigyti sudarymo ir savų akcijų įsigijimo tvarkos nustatymo.</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1E10CD81"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1. Supirkti akcinės bendrovės „ŽEMAITIJOS PIENAS“ akcijas per AB NASDAQ Vilnius vertybinių popierių biržos oficialaus siūlymo rinką pagal šią rinką reglamentuojančias taisykles.</w:t>
            </w:r>
          </w:p>
          <w:p w14:paraId="05A89161"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2. Nustatyti (sudaryti) savoms akcijoms įsigyti rezervą ir įsigyti iki 10 procentų bendrovės savų akcijų (įskaičiavus akcijų kiekį valdomą bendrovės iki šio sprendimo priėmimo);</w:t>
            </w:r>
          </w:p>
          <w:p w14:paraId="2EDDDC9A"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3. Nustatyti savų akcijų įsigijimo sąlygas:</w:t>
            </w:r>
          </w:p>
          <w:p w14:paraId="1064D9CA"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3.1. atsiskaitymui už įsigyjamas savas akcijas naudoti suformuotą rezervą savoms akcijoms įsigyti lėšas;</w:t>
            </w:r>
          </w:p>
          <w:p w14:paraId="0803C5B2"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3.2. maksimalus įsigytinų bendrovės paprastųjų vardinių akcijų skaičius – iki 10 proc. (visų) bendrovės akcijų skaičiaus;</w:t>
            </w:r>
          </w:p>
          <w:p w14:paraId="13C3F0B1"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3.3. terminas, per kurį bendrovė gali įsigyti savas akcijas – 18 mėnesių nuo sprendimo priėmimo;</w:t>
            </w:r>
          </w:p>
          <w:p w14:paraId="5EF58486"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3.4. įsigyjamų savų akcijų minimali vienos akcijos kaina – 1,75 euro, o maksimali vienos akcijos įsigijimo kaina lygi 3,00 euro;</w:t>
            </w:r>
          </w:p>
          <w:p w14:paraId="0BE9FACD"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3.5. akcijų įsigijimo tikslas - akcijų anuliavimas, siekiant padidinti kiekvieno investuotojo nuosavybės dalis Bendrovės kapitale;</w:t>
            </w:r>
          </w:p>
          <w:p w14:paraId="2A473017" w14:textId="77777777" w:rsidR="003D1580" w:rsidRPr="00B73CC3" w:rsidRDefault="003D1580" w:rsidP="003D1580">
            <w:pPr>
              <w:spacing w:after="0" w:line="240" w:lineRule="auto"/>
              <w:jc w:val="both"/>
              <w:rPr>
                <w:rFonts w:ascii="Arial" w:eastAsia="Times New Roman" w:hAnsi="Arial" w:cs="Arial"/>
                <w:lang w:eastAsia="lt-LT"/>
              </w:rPr>
            </w:pPr>
            <w:r w:rsidRPr="00B73CC3">
              <w:rPr>
                <w:rFonts w:ascii="Arial" w:eastAsia="Times New Roman" w:hAnsi="Arial" w:cs="Arial"/>
                <w:lang w:eastAsia="lt-LT"/>
              </w:rPr>
              <w:t>3.6. laikantis šiame sprendime nustatytų sąlygų ir Lietuvos Respublikos akcinių bendrovių įstatymo nuostatų, pavesti Bendrovės valdybai organizuoti savų akcijų įsigijimą šiame sprendime  nurodytais tikslais, nustatyti detalią savų akcijų įsigijimo tvarką, vykdymo laiką, įsigytiną akcijų skaičių, kainą bei atlikti visus ir bet kokius veiksmus, susijusius su savų akcijų įsigijimu.</w:t>
            </w:r>
          </w:p>
        </w:tc>
      </w:tr>
    </w:tbl>
    <w:p w14:paraId="42E6F21C" w14:textId="77777777" w:rsidR="003D1580" w:rsidRPr="00B73CC3" w:rsidRDefault="003D1580" w:rsidP="003D1580">
      <w:pPr>
        <w:jc w:val="both"/>
        <w:rPr>
          <w:rFonts w:ascii="Arial" w:hAnsi="Arial" w:cs="Arial"/>
          <w:b/>
        </w:rPr>
      </w:pPr>
    </w:p>
    <w:p w14:paraId="778209F1" w14:textId="77777777" w:rsidR="000F11E0" w:rsidRPr="00B73CC3" w:rsidRDefault="000F11E0" w:rsidP="003D1580">
      <w:pPr>
        <w:ind w:left="-851"/>
        <w:rPr>
          <w:rFonts w:ascii="Arial" w:hAnsi="Arial" w:cs="Arial"/>
        </w:rPr>
      </w:pPr>
    </w:p>
    <w:sectPr w:rsidR="000F11E0" w:rsidRPr="00B73CC3" w:rsidSect="003D1580">
      <w:footerReference w:type="default" r:id="rId7"/>
      <w:pgSz w:w="11906" w:h="16838"/>
      <w:pgMar w:top="1276" w:right="567" w:bottom="1134"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4DD3" w14:textId="77777777" w:rsidR="00593432" w:rsidRDefault="00593432" w:rsidP="00E00FEB">
      <w:pPr>
        <w:spacing w:after="0" w:line="240" w:lineRule="auto"/>
      </w:pPr>
      <w:r>
        <w:separator/>
      </w:r>
    </w:p>
  </w:endnote>
  <w:endnote w:type="continuationSeparator" w:id="0">
    <w:p w14:paraId="34C8D727" w14:textId="77777777" w:rsidR="00593432" w:rsidRDefault="00593432" w:rsidP="00E0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59995689"/>
      <w:docPartObj>
        <w:docPartGallery w:val="Page Numbers (Bottom of Page)"/>
        <w:docPartUnique/>
      </w:docPartObj>
    </w:sdtPr>
    <w:sdtEndPr/>
    <w:sdtContent>
      <w:p w14:paraId="16436B0E" w14:textId="77777777" w:rsidR="00E00FEB" w:rsidRPr="003D1580" w:rsidRDefault="00E00FEB">
        <w:pPr>
          <w:pStyle w:val="Porat"/>
          <w:jc w:val="right"/>
          <w:rPr>
            <w:rFonts w:ascii="Arial" w:hAnsi="Arial" w:cs="Arial"/>
          </w:rPr>
        </w:pPr>
        <w:r w:rsidRPr="003D1580">
          <w:rPr>
            <w:rFonts w:ascii="Arial" w:hAnsi="Arial" w:cs="Arial"/>
          </w:rPr>
          <w:fldChar w:fldCharType="begin"/>
        </w:r>
        <w:r w:rsidRPr="003D1580">
          <w:rPr>
            <w:rFonts w:ascii="Arial" w:hAnsi="Arial" w:cs="Arial"/>
          </w:rPr>
          <w:instrText>PAGE   \* MERGEFORMAT</w:instrText>
        </w:r>
        <w:r w:rsidRPr="003D1580">
          <w:rPr>
            <w:rFonts w:ascii="Arial" w:hAnsi="Arial" w:cs="Arial"/>
          </w:rPr>
          <w:fldChar w:fldCharType="separate"/>
        </w:r>
        <w:r w:rsidR="00F159BE" w:rsidRPr="003D1580">
          <w:rPr>
            <w:rFonts w:ascii="Arial" w:hAnsi="Arial" w:cs="Arial"/>
            <w:noProof/>
          </w:rPr>
          <w:t>1</w:t>
        </w:r>
        <w:r w:rsidRPr="003D1580">
          <w:rPr>
            <w:rFonts w:ascii="Arial" w:hAnsi="Arial" w:cs="Arial"/>
          </w:rPr>
          <w:fldChar w:fldCharType="end"/>
        </w:r>
        <w:r w:rsidRPr="003D1580">
          <w:rPr>
            <w:rFonts w:ascii="Arial" w:hAnsi="Arial" w:cs="Arial"/>
          </w:rPr>
          <w:t xml:space="preserve"> lapas iš 2</w:t>
        </w:r>
      </w:p>
    </w:sdtContent>
  </w:sdt>
  <w:p w14:paraId="336EC82F" w14:textId="77777777" w:rsidR="00E00FEB" w:rsidRDefault="00E00F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6BC0A" w14:textId="77777777" w:rsidR="00593432" w:rsidRDefault="00593432" w:rsidP="00E00FEB">
      <w:pPr>
        <w:spacing w:after="0" w:line="240" w:lineRule="auto"/>
      </w:pPr>
      <w:r>
        <w:separator/>
      </w:r>
    </w:p>
  </w:footnote>
  <w:footnote w:type="continuationSeparator" w:id="0">
    <w:p w14:paraId="6D762E24" w14:textId="77777777" w:rsidR="00593432" w:rsidRDefault="00593432" w:rsidP="00E00F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E0"/>
    <w:rsid w:val="000A727D"/>
    <w:rsid w:val="000E3919"/>
    <w:rsid w:val="000F11E0"/>
    <w:rsid w:val="00173020"/>
    <w:rsid w:val="002C36AA"/>
    <w:rsid w:val="002F1052"/>
    <w:rsid w:val="002F44B1"/>
    <w:rsid w:val="00325130"/>
    <w:rsid w:val="003B0DF4"/>
    <w:rsid w:val="003D1580"/>
    <w:rsid w:val="0049568C"/>
    <w:rsid w:val="00593432"/>
    <w:rsid w:val="00685BB7"/>
    <w:rsid w:val="006B13C9"/>
    <w:rsid w:val="006B5C1F"/>
    <w:rsid w:val="008B0616"/>
    <w:rsid w:val="008D0C00"/>
    <w:rsid w:val="00900F91"/>
    <w:rsid w:val="00972A04"/>
    <w:rsid w:val="00973810"/>
    <w:rsid w:val="0098202D"/>
    <w:rsid w:val="00AE7F36"/>
    <w:rsid w:val="00AF6C5C"/>
    <w:rsid w:val="00B00557"/>
    <w:rsid w:val="00B73CC3"/>
    <w:rsid w:val="00BC22EB"/>
    <w:rsid w:val="00C36123"/>
    <w:rsid w:val="00C761E9"/>
    <w:rsid w:val="00CD2E70"/>
    <w:rsid w:val="00DF24F9"/>
    <w:rsid w:val="00E00FEB"/>
    <w:rsid w:val="00E46A49"/>
    <w:rsid w:val="00F159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AE38"/>
  <w15:docId w15:val="{C373F6B7-525C-46C3-826B-840C3CB9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F11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0F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0FEB"/>
  </w:style>
  <w:style w:type="paragraph" w:styleId="Porat">
    <w:name w:val="footer"/>
    <w:basedOn w:val="prastasis"/>
    <w:link w:val="PoratDiagrama"/>
    <w:uiPriority w:val="99"/>
    <w:unhideWhenUsed/>
    <w:rsid w:val="00E00F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0FEB"/>
  </w:style>
  <w:style w:type="table" w:customStyle="1" w:styleId="Lentelstinklelis1">
    <w:name w:val="Lentelės tinklelis1"/>
    <w:basedOn w:val="prastojilentel"/>
    <w:next w:val="Lentelstinklelis"/>
    <w:rsid w:val="0017302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87C44-428D-471C-B657-06729751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2692</Words>
  <Characters>1536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zp</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Žilevičiūtė</dc:creator>
  <cp:lastModifiedBy>Arnas Matuzas</cp:lastModifiedBy>
  <cp:revision>2</cp:revision>
  <dcterms:created xsi:type="dcterms:W3CDTF">2025-04-04T11:51:00Z</dcterms:created>
  <dcterms:modified xsi:type="dcterms:W3CDTF">2025-04-04T11:51:00Z</dcterms:modified>
</cp:coreProperties>
</file>