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5C39" w:rsidRPr="004045CF" w:rsidRDefault="00D51CBF">
      <w:pPr>
        <w:pStyle w:val="Heading1"/>
        <w:spacing w:before="40" w:line="289" w:lineRule="exact"/>
        <w:ind w:left="2269" w:right="1429"/>
        <w:jc w:val="center"/>
        <w:rPr>
          <w:rFonts w:ascii="Arial" w:hAnsi="Arial" w:cs="Arial"/>
          <w:b w:val="0"/>
          <w:bCs w:val="0"/>
          <w:sz w:val="20"/>
          <w:szCs w:val="20"/>
          <w:lang w:val="en-GB"/>
        </w:rPr>
      </w:pPr>
      <w:r w:rsidRPr="004045CF">
        <w:rPr>
          <w:rFonts w:ascii="Arial" w:hAnsi="Arial" w:cs="Arial"/>
          <w:spacing w:val="-1"/>
          <w:sz w:val="20"/>
          <w:szCs w:val="20"/>
          <w:lang w:val="en-GB"/>
        </w:rPr>
        <w:t>AUGA</w:t>
      </w:r>
      <w:r w:rsidRPr="004045CF">
        <w:rPr>
          <w:rFonts w:ascii="Arial" w:hAnsi="Arial" w:cs="Arial"/>
          <w:spacing w:val="-10"/>
          <w:sz w:val="20"/>
          <w:szCs w:val="20"/>
          <w:lang w:val="en-GB"/>
        </w:rPr>
        <w:t xml:space="preserve"> </w:t>
      </w:r>
      <w:r w:rsidRPr="004045CF">
        <w:rPr>
          <w:rFonts w:ascii="Arial" w:hAnsi="Arial" w:cs="Arial"/>
          <w:spacing w:val="-1"/>
          <w:sz w:val="20"/>
          <w:szCs w:val="20"/>
          <w:lang w:val="en-GB"/>
        </w:rPr>
        <w:t>group,</w:t>
      </w:r>
      <w:r w:rsidRPr="004045CF">
        <w:rPr>
          <w:rFonts w:ascii="Arial" w:hAnsi="Arial" w:cs="Arial"/>
          <w:spacing w:val="-9"/>
          <w:sz w:val="20"/>
          <w:szCs w:val="20"/>
          <w:lang w:val="en-GB"/>
        </w:rPr>
        <w:t xml:space="preserve"> </w:t>
      </w:r>
      <w:r w:rsidRPr="004045CF">
        <w:rPr>
          <w:rFonts w:ascii="Arial" w:hAnsi="Arial" w:cs="Arial"/>
          <w:sz w:val="20"/>
          <w:szCs w:val="20"/>
          <w:lang w:val="en-GB"/>
        </w:rPr>
        <w:t>AB</w:t>
      </w:r>
    </w:p>
    <w:p w:rsidR="00985C39" w:rsidRPr="004045CF" w:rsidRDefault="00D51CBF">
      <w:pPr>
        <w:pStyle w:val="BodyText"/>
        <w:spacing w:line="297" w:lineRule="exact"/>
        <w:ind w:left="2269" w:right="1430"/>
        <w:jc w:val="center"/>
        <w:rPr>
          <w:rFonts w:ascii="Arial" w:hAnsi="Arial" w:cs="Arial"/>
          <w:sz w:val="20"/>
          <w:szCs w:val="20"/>
          <w:lang w:val="en-GB"/>
        </w:rPr>
      </w:pPr>
      <w:r w:rsidRPr="004045CF">
        <w:rPr>
          <w:rFonts w:ascii="Arial" w:hAnsi="Arial" w:cs="Arial"/>
          <w:sz w:val="20"/>
          <w:szCs w:val="20"/>
          <w:lang w:val="en-GB"/>
        </w:rPr>
        <w:t>Code</w:t>
      </w:r>
      <w:r w:rsidRPr="004045CF">
        <w:rPr>
          <w:rFonts w:ascii="Arial" w:hAnsi="Arial" w:cs="Arial"/>
          <w:spacing w:val="-12"/>
          <w:sz w:val="20"/>
          <w:szCs w:val="20"/>
          <w:lang w:val="en-GB"/>
        </w:rPr>
        <w:t xml:space="preserve"> </w:t>
      </w:r>
      <w:r w:rsidRPr="004045CF">
        <w:rPr>
          <w:rFonts w:ascii="Arial" w:hAnsi="Arial" w:cs="Arial"/>
          <w:sz w:val="20"/>
          <w:szCs w:val="20"/>
          <w:lang w:val="en-GB"/>
        </w:rPr>
        <w:t>126264360,</w:t>
      </w:r>
      <w:r w:rsidRPr="004045CF">
        <w:rPr>
          <w:rFonts w:ascii="Arial" w:hAnsi="Arial" w:cs="Arial"/>
          <w:spacing w:val="-12"/>
          <w:sz w:val="20"/>
          <w:szCs w:val="20"/>
          <w:lang w:val="en-GB"/>
        </w:rPr>
        <w:t xml:space="preserve"> </w:t>
      </w:r>
      <w:r w:rsidRPr="004045CF">
        <w:rPr>
          <w:rFonts w:ascii="Arial" w:hAnsi="Arial" w:cs="Arial"/>
          <w:spacing w:val="-1"/>
          <w:sz w:val="20"/>
          <w:szCs w:val="20"/>
          <w:lang w:val="en-GB"/>
        </w:rPr>
        <w:t>VAT</w:t>
      </w:r>
      <w:r w:rsidRPr="004045CF">
        <w:rPr>
          <w:rFonts w:ascii="Arial" w:hAnsi="Arial" w:cs="Arial"/>
          <w:spacing w:val="-13"/>
          <w:sz w:val="20"/>
          <w:szCs w:val="20"/>
          <w:lang w:val="en-GB"/>
        </w:rPr>
        <w:t xml:space="preserve"> </w:t>
      </w:r>
      <w:r w:rsidRPr="004045CF">
        <w:rPr>
          <w:rFonts w:ascii="Arial" w:hAnsi="Arial" w:cs="Arial"/>
          <w:spacing w:val="-1"/>
          <w:sz w:val="20"/>
          <w:szCs w:val="20"/>
          <w:lang w:val="en-GB"/>
        </w:rPr>
        <w:t>number</w:t>
      </w:r>
      <w:r w:rsidRPr="004045CF">
        <w:rPr>
          <w:rFonts w:ascii="Arial" w:hAnsi="Arial" w:cs="Arial"/>
          <w:spacing w:val="-11"/>
          <w:sz w:val="20"/>
          <w:szCs w:val="20"/>
          <w:lang w:val="en-GB"/>
        </w:rPr>
        <w:t xml:space="preserve"> </w:t>
      </w:r>
      <w:r w:rsidRPr="004045CF">
        <w:rPr>
          <w:rFonts w:ascii="Arial" w:hAnsi="Arial" w:cs="Arial"/>
          <w:sz w:val="20"/>
          <w:szCs w:val="20"/>
          <w:lang w:val="en-GB"/>
        </w:rPr>
        <w:t>LT100001193419</w:t>
      </w:r>
    </w:p>
    <w:p w:rsidR="00985C39" w:rsidRPr="004045CF" w:rsidRDefault="00D51CBF">
      <w:pPr>
        <w:pStyle w:val="BodyText"/>
        <w:spacing w:line="298" w:lineRule="exact"/>
        <w:ind w:left="2269" w:right="1429"/>
        <w:jc w:val="center"/>
        <w:rPr>
          <w:rFonts w:ascii="Arial" w:hAnsi="Arial" w:cs="Arial"/>
          <w:sz w:val="20"/>
          <w:szCs w:val="20"/>
          <w:lang w:val="en-GB"/>
        </w:rPr>
      </w:pPr>
      <w:r w:rsidRPr="004045CF">
        <w:rPr>
          <w:rFonts w:ascii="Arial" w:hAnsi="Arial" w:cs="Arial"/>
          <w:spacing w:val="-1"/>
          <w:sz w:val="20"/>
          <w:szCs w:val="20"/>
          <w:lang w:val="en-GB"/>
        </w:rPr>
        <w:t>Address</w:t>
      </w:r>
      <w:r w:rsidRPr="004045CF">
        <w:rPr>
          <w:rFonts w:ascii="Arial" w:hAnsi="Arial" w:cs="Arial"/>
          <w:spacing w:val="-11"/>
          <w:sz w:val="20"/>
          <w:szCs w:val="20"/>
          <w:lang w:val="en-GB"/>
        </w:rPr>
        <w:t xml:space="preserve"> </w:t>
      </w:r>
      <w:r w:rsidRPr="004045CF">
        <w:rPr>
          <w:rFonts w:ascii="Arial" w:hAnsi="Arial" w:cs="Arial"/>
          <w:spacing w:val="-1"/>
          <w:sz w:val="20"/>
          <w:szCs w:val="20"/>
          <w:lang w:val="en-GB"/>
        </w:rPr>
        <w:t>Konstitucijos</w:t>
      </w:r>
      <w:r w:rsidRPr="004045CF">
        <w:rPr>
          <w:rFonts w:ascii="Arial" w:hAnsi="Arial" w:cs="Arial"/>
          <w:spacing w:val="-11"/>
          <w:sz w:val="20"/>
          <w:szCs w:val="20"/>
          <w:lang w:val="en-GB"/>
        </w:rPr>
        <w:t xml:space="preserve"> </w:t>
      </w:r>
      <w:r w:rsidRPr="004045CF">
        <w:rPr>
          <w:rFonts w:ascii="Arial" w:hAnsi="Arial" w:cs="Arial"/>
          <w:sz w:val="20"/>
          <w:szCs w:val="20"/>
          <w:lang w:val="en-GB"/>
        </w:rPr>
        <w:t>ave.</w:t>
      </w:r>
      <w:r w:rsidRPr="004045CF">
        <w:rPr>
          <w:rFonts w:ascii="Arial" w:hAnsi="Arial" w:cs="Arial"/>
          <w:spacing w:val="-10"/>
          <w:sz w:val="20"/>
          <w:szCs w:val="20"/>
          <w:lang w:val="en-GB"/>
        </w:rPr>
        <w:t xml:space="preserve"> </w:t>
      </w:r>
      <w:r w:rsidRPr="004045CF">
        <w:rPr>
          <w:rFonts w:ascii="Arial" w:hAnsi="Arial" w:cs="Arial"/>
          <w:sz w:val="20"/>
          <w:szCs w:val="20"/>
          <w:lang w:val="en-GB"/>
        </w:rPr>
        <w:t>21C,</w:t>
      </w:r>
      <w:r w:rsidRPr="004045CF">
        <w:rPr>
          <w:rFonts w:ascii="Arial" w:hAnsi="Arial" w:cs="Arial"/>
          <w:spacing w:val="-10"/>
          <w:sz w:val="20"/>
          <w:szCs w:val="20"/>
          <w:lang w:val="en-GB"/>
        </w:rPr>
        <w:t xml:space="preserve"> </w:t>
      </w:r>
      <w:r w:rsidRPr="004045CF">
        <w:rPr>
          <w:rFonts w:ascii="Arial" w:hAnsi="Arial" w:cs="Arial"/>
          <w:spacing w:val="-1"/>
          <w:sz w:val="20"/>
          <w:szCs w:val="20"/>
          <w:lang w:val="en-GB"/>
        </w:rPr>
        <w:t>Vilnius</w:t>
      </w:r>
    </w:p>
    <w:p w:rsidR="00985C39" w:rsidRPr="004045CF" w:rsidRDefault="00985C39">
      <w:pPr>
        <w:spacing w:before="1"/>
        <w:rPr>
          <w:rFonts w:ascii="Arial" w:eastAsia="Book Antiqua" w:hAnsi="Arial" w:cs="Arial"/>
          <w:sz w:val="20"/>
          <w:szCs w:val="20"/>
          <w:lang w:val="en-GB"/>
        </w:rPr>
      </w:pPr>
    </w:p>
    <w:p w:rsidR="00985C39" w:rsidRPr="004045CF" w:rsidRDefault="00D51CBF" w:rsidP="00682F8A">
      <w:pPr>
        <w:pStyle w:val="BodyText"/>
        <w:ind w:right="1430"/>
        <w:jc w:val="center"/>
        <w:rPr>
          <w:rFonts w:ascii="Arial" w:hAnsi="Arial" w:cs="Arial"/>
          <w:sz w:val="20"/>
          <w:szCs w:val="20"/>
          <w:lang w:val="en-GB"/>
        </w:rPr>
      </w:pPr>
      <w:r w:rsidRPr="004045CF">
        <w:rPr>
          <w:rFonts w:ascii="Arial" w:hAnsi="Arial" w:cs="Arial"/>
          <w:sz w:val="20"/>
          <w:szCs w:val="20"/>
          <w:lang w:val="en-GB"/>
        </w:rPr>
        <w:t>Ordinary</w:t>
      </w:r>
      <w:r w:rsidRPr="004045CF">
        <w:rPr>
          <w:rFonts w:ascii="Arial" w:hAnsi="Arial" w:cs="Arial"/>
          <w:spacing w:val="-11"/>
          <w:sz w:val="20"/>
          <w:szCs w:val="20"/>
          <w:lang w:val="en-GB"/>
        </w:rPr>
        <w:t xml:space="preserve"> </w:t>
      </w:r>
      <w:r w:rsidRPr="004045CF">
        <w:rPr>
          <w:rFonts w:ascii="Arial" w:hAnsi="Arial" w:cs="Arial"/>
          <w:sz w:val="20"/>
          <w:szCs w:val="20"/>
          <w:lang w:val="en-GB"/>
        </w:rPr>
        <w:t>general</w:t>
      </w:r>
      <w:r w:rsidRPr="004045CF">
        <w:rPr>
          <w:rFonts w:ascii="Arial" w:hAnsi="Arial" w:cs="Arial"/>
          <w:spacing w:val="-9"/>
          <w:sz w:val="20"/>
          <w:szCs w:val="20"/>
          <w:lang w:val="en-GB"/>
        </w:rPr>
        <w:t xml:space="preserve"> </w:t>
      </w:r>
      <w:r w:rsidRPr="004045CF">
        <w:rPr>
          <w:rFonts w:ascii="Arial" w:hAnsi="Arial" w:cs="Arial"/>
          <w:spacing w:val="-1"/>
          <w:sz w:val="20"/>
          <w:szCs w:val="20"/>
          <w:lang w:val="en-GB"/>
        </w:rPr>
        <w:t>shareholders</w:t>
      </w:r>
      <w:r w:rsidRPr="004045CF">
        <w:rPr>
          <w:rFonts w:ascii="Arial" w:hAnsi="Arial" w:cs="Arial"/>
          <w:spacing w:val="-9"/>
          <w:sz w:val="20"/>
          <w:szCs w:val="20"/>
          <w:lang w:val="en-GB"/>
        </w:rPr>
        <w:t xml:space="preserve"> </w:t>
      </w:r>
      <w:r w:rsidRPr="004045CF">
        <w:rPr>
          <w:rFonts w:ascii="Arial" w:hAnsi="Arial" w:cs="Arial"/>
          <w:spacing w:val="-1"/>
          <w:sz w:val="20"/>
          <w:szCs w:val="20"/>
          <w:lang w:val="en-GB"/>
        </w:rPr>
        <w:t>meeting,</w:t>
      </w:r>
      <w:r w:rsidRPr="004045CF">
        <w:rPr>
          <w:rFonts w:ascii="Arial" w:hAnsi="Arial" w:cs="Arial"/>
          <w:spacing w:val="-8"/>
          <w:sz w:val="20"/>
          <w:szCs w:val="20"/>
          <w:lang w:val="en-GB"/>
        </w:rPr>
        <w:t xml:space="preserve"> </w:t>
      </w:r>
      <w:r w:rsidRPr="004045CF">
        <w:rPr>
          <w:rFonts w:ascii="Arial" w:hAnsi="Arial" w:cs="Arial"/>
          <w:sz w:val="20"/>
          <w:szCs w:val="20"/>
          <w:lang w:val="en-GB"/>
        </w:rPr>
        <w:t>2</w:t>
      </w:r>
      <w:r w:rsidR="00A33983" w:rsidRPr="004045CF">
        <w:rPr>
          <w:rFonts w:ascii="Arial" w:hAnsi="Arial" w:cs="Arial"/>
          <w:sz w:val="20"/>
          <w:szCs w:val="20"/>
          <w:lang w:val="en-GB"/>
        </w:rPr>
        <w:t>8</w:t>
      </w:r>
      <w:r w:rsidRPr="004045CF">
        <w:rPr>
          <w:rFonts w:ascii="Arial" w:hAnsi="Arial" w:cs="Arial"/>
          <w:spacing w:val="-11"/>
          <w:sz w:val="20"/>
          <w:szCs w:val="20"/>
          <w:lang w:val="en-GB"/>
        </w:rPr>
        <w:t xml:space="preserve"> </w:t>
      </w:r>
      <w:r w:rsidR="004E1157" w:rsidRPr="004045CF">
        <w:rPr>
          <w:rFonts w:ascii="Arial" w:hAnsi="Arial" w:cs="Arial"/>
          <w:spacing w:val="-1"/>
          <w:sz w:val="20"/>
          <w:szCs w:val="20"/>
          <w:lang w:val="en-GB"/>
        </w:rPr>
        <w:t>March</w:t>
      </w:r>
      <w:r w:rsidRPr="004045CF">
        <w:rPr>
          <w:rFonts w:ascii="Arial" w:hAnsi="Arial" w:cs="Arial"/>
          <w:spacing w:val="-8"/>
          <w:sz w:val="20"/>
          <w:szCs w:val="20"/>
          <w:lang w:val="en-GB"/>
        </w:rPr>
        <w:t xml:space="preserve"> </w:t>
      </w:r>
      <w:r w:rsidRPr="004045CF">
        <w:rPr>
          <w:rFonts w:ascii="Arial" w:hAnsi="Arial" w:cs="Arial"/>
          <w:sz w:val="20"/>
          <w:szCs w:val="20"/>
          <w:lang w:val="en-GB"/>
        </w:rPr>
        <w:t>201</w:t>
      </w:r>
      <w:r w:rsidR="004E1157" w:rsidRPr="004045CF">
        <w:rPr>
          <w:rFonts w:ascii="Arial" w:hAnsi="Arial" w:cs="Arial"/>
          <w:sz w:val="20"/>
          <w:szCs w:val="20"/>
          <w:lang w:val="en-GB"/>
        </w:rPr>
        <w:t>8</w:t>
      </w:r>
      <w:r w:rsidRPr="004045CF">
        <w:rPr>
          <w:rFonts w:ascii="Arial" w:hAnsi="Arial" w:cs="Arial"/>
          <w:sz w:val="20"/>
          <w:szCs w:val="20"/>
          <w:lang w:val="en-GB"/>
        </w:rPr>
        <w:t>,</w:t>
      </w:r>
      <w:r w:rsidRPr="004045CF">
        <w:rPr>
          <w:rFonts w:ascii="Arial" w:hAnsi="Arial" w:cs="Arial"/>
          <w:spacing w:val="-9"/>
          <w:sz w:val="20"/>
          <w:szCs w:val="20"/>
          <w:lang w:val="en-GB"/>
        </w:rPr>
        <w:t xml:space="preserve"> </w:t>
      </w:r>
      <w:r w:rsidRPr="004045CF">
        <w:rPr>
          <w:rFonts w:ascii="Arial" w:hAnsi="Arial" w:cs="Arial"/>
          <w:sz w:val="20"/>
          <w:szCs w:val="20"/>
          <w:lang w:val="en-GB"/>
        </w:rPr>
        <w:t>9.</w:t>
      </w:r>
      <w:r w:rsidR="004E1157" w:rsidRPr="004045CF">
        <w:rPr>
          <w:rFonts w:ascii="Arial" w:hAnsi="Arial" w:cs="Arial"/>
          <w:sz w:val="20"/>
          <w:szCs w:val="20"/>
          <w:lang w:val="en-GB"/>
        </w:rPr>
        <w:t>0</w:t>
      </w:r>
      <w:r w:rsidRPr="004045CF">
        <w:rPr>
          <w:rFonts w:ascii="Arial" w:hAnsi="Arial" w:cs="Arial"/>
          <w:sz w:val="20"/>
          <w:szCs w:val="20"/>
          <w:lang w:val="en-GB"/>
        </w:rPr>
        <w:t>0</w:t>
      </w:r>
      <w:r w:rsidRPr="004045CF">
        <w:rPr>
          <w:rFonts w:ascii="Arial" w:hAnsi="Arial" w:cs="Arial"/>
          <w:spacing w:val="-8"/>
          <w:sz w:val="20"/>
          <w:szCs w:val="20"/>
          <w:lang w:val="en-GB"/>
        </w:rPr>
        <w:t xml:space="preserve"> </w:t>
      </w:r>
      <w:r w:rsidR="00682F8A" w:rsidRPr="004045CF">
        <w:rPr>
          <w:rFonts w:ascii="Arial" w:hAnsi="Arial" w:cs="Arial"/>
          <w:spacing w:val="-8"/>
          <w:sz w:val="20"/>
          <w:szCs w:val="20"/>
          <w:lang w:val="en-GB"/>
        </w:rPr>
        <w:t>a</w:t>
      </w:r>
      <w:r w:rsidRPr="004045CF">
        <w:rPr>
          <w:rFonts w:ascii="Arial" w:hAnsi="Arial" w:cs="Arial"/>
          <w:spacing w:val="-1"/>
          <w:sz w:val="20"/>
          <w:szCs w:val="20"/>
          <w:lang w:val="en-GB"/>
        </w:rPr>
        <w:t>.m.</w:t>
      </w:r>
    </w:p>
    <w:p w:rsidR="00985C39" w:rsidRPr="004045CF" w:rsidRDefault="00985C39">
      <w:pPr>
        <w:spacing w:before="4"/>
        <w:rPr>
          <w:rFonts w:ascii="Arial" w:eastAsia="Book Antiqua" w:hAnsi="Arial" w:cs="Arial"/>
          <w:sz w:val="20"/>
          <w:szCs w:val="20"/>
          <w:lang w:val="en-GB"/>
        </w:rPr>
      </w:pPr>
    </w:p>
    <w:p w:rsidR="00985C39" w:rsidRPr="004045CF" w:rsidRDefault="00D51CBF">
      <w:pPr>
        <w:pStyle w:val="Heading1"/>
        <w:jc w:val="center"/>
        <w:rPr>
          <w:rFonts w:ascii="Arial" w:hAnsi="Arial" w:cs="Arial"/>
          <w:b w:val="0"/>
          <w:bCs w:val="0"/>
          <w:sz w:val="20"/>
          <w:szCs w:val="20"/>
          <w:lang w:val="en-GB"/>
        </w:rPr>
      </w:pPr>
      <w:r w:rsidRPr="004045CF">
        <w:rPr>
          <w:rFonts w:ascii="Arial" w:hAnsi="Arial" w:cs="Arial"/>
          <w:spacing w:val="-1"/>
          <w:sz w:val="20"/>
          <w:szCs w:val="20"/>
          <w:lang w:val="en-GB"/>
        </w:rPr>
        <w:t>GENERAL</w:t>
      </w:r>
      <w:r w:rsidRPr="004045CF">
        <w:rPr>
          <w:rFonts w:ascii="Arial" w:hAnsi="Arial" w:cs="Arial"/>
          <w:spacing w:val="-17"/>
          <w:sz w:val="20"/>
          <w:szCs w:val="20"/>
          <w:lang w:val="en-GB"/>
        </w:rPr>
        <w:t xml:space="preserve"> </w:t>
      </w:r>
      <w:r w:rsidRPr="004045CF">
        <w:rPr>
          <w:rFonts w:ascii="Arial" w:hAnsi="Arial" w:cs="Arial"/>
          <w:spacing w:val="-1"/>
          <w:sz w:val="20"/>
          <w:szCs w:val="20"/>
          <w:lang w:val="en-GB"/>
        </w:rPr>
        <w:t>VOTING</w:t>
      </w:r>
      <w:r w:rsidRPr="004045CF">
        <w:rPr>
          <w:rFonts w:ascii="Arial" w:hAnsi="Arial" w:cs="Arial"/>
          <w:spacing w:val="-16"/>
          <w:sz w:val="20"/>
          <w:szCs w:val="20"/>
          <w:lang w:val="en-GB"/>
        </w:rPr>
        <w:t xml:space="preserve"> </w:t>
      </w:r>
      <w:r w:rsidRPr="004045CF">
        <w:rPr>
          <w:rFonts w:ascii="Arial" w:hAnsi="Arial" w:cs="Arial"/>
          <w:spacing w:val="-1"/>
          <w:sz w:val="20"/>
          <w:szCs w:val="20"/>
          <w:lang w:val="en-GB"/>
        </w:rPr>
        <w:t>BALLOT</w:t>
      </w:r>
    </w:p>
    <w:p w:rsidR="00985C39" w:rsidRPr="004045CF" w:rsidRDefault="00985C39">
      <w:pPr>
        <w:rPr>
          <w:rFonts w:ascii="Arial" w:eastAsia="Book Antiqua" w:hAnsi="Arial" w:cs="Arial"/>
          <w:b/>
          <w:bCs/>
          <w:sz w:val="20"/>
          <w:szCs w:val="20"/>
          <w:lang w:val="en-GB"/>
        </w:rPr>
      </w:pPr>
    </w:p>
    <w:p w:rsidR="00985C39" w:rsidRPr="004045CF" w:rsidRDefault="00985C39">
      <w:pPr>
        <w:rPr>
          <w:rFonts w:ascii="Arial" w:eastAsia="Book Antiqua" w:hAnsi="Arial" w:cs="Arial"/>
          <w:sz w:val="20"/>
          <w:szCs w:val="20"/>
          <w:lang w:val="en-GB"/>
        </w:rPr>
        <w:sectPr w:rsidR="00985C39" w:rsidRPr="004045CF" w:rsidSect="00B317D5">
          <w:type w:val="continuous"/>
          <w:pgSz w:w="11900" w:h="16840"/>
          <w:pgMar w:top="1134" w:right="1134" w:bottom="1134" w:left="1418" w:header="567" w:footer="567" w:gutter="0"/>
          <w:cols w:space="1296"/>
        </w:sectPr>
      </w:pPr>
    </w:p>
    <w:p w:rsidR="00985C39" w:rsidRPr="004045CF" w:rsidRDefault="00D51CBF">
      <w:pPr>
        <w:pStyle w:val="BodyText"/>
        <w:spacing w:before="62"/>
        <w:rPr>
          <w:rFonts w:ascii="Arial" w:hAnsi="Arial" w:cs="Arial"/>
          <w:sz w:val="20"/>
          <w:szCs w:val="20"/>
          <w:lang w:val="en-GB"/>
        </w:rPr>
      </w:pPr>
      <w:r w:rsidRPr="004045CF">
        <w:rPr>
          <w:rFonts w:ascii="Arial" w:hAnsi="Arial" w:cs="Arial"/>
          <w:spacing w:val="-1"/>
          <w:sz w:val="20"/>
          <w:szCs w:val="20"/>
          <w:lang w:val="en-GB"/>
        </w:rPr>
        <w:t>Shareholder:</w:t>
      </w:r>
    </w:p>
    <w:p w:rsidR="00985C39" w:rsidRPr="004045CF" w:rsidRDefault="00D51CBF">
      <w:pPr>
        <w:pStyle w:val="BodyText"/>
        <w:spacing w:before="62" w:line="298" w:lineRule="exact"/>
        <w:ind w:left="1494"/>
        <w:jc w:val="center"/>
        <w:rPr>
          <w:rFonts w:ascii="Arial" w:hAnsi="Arial" w:cs="Arial"/>
          <w:sz w:val="20"/>
          <w:szCs w:val="20"/>
          <w:lang w:val="en-GB"/>
        </w:rPr>
      </w:pPr>
      <w:r w:rsidRPr="004045CF">
        <w:rPr>
          <w:rFonts w:ascii="Arial" w:hAnsi="Arial" w:cs="Arial"/>
          <w:sz w:val="20"/>
          <w:szCs w:val="20"/>
          <w:lang w:val="en-GB"/>
        </w:rPr>
        <w:br w:type="column"/>
      </w:r>
      <w:r w:rsidRPr="004045CF">
        <w:rPr>
          <w:rFonts w:ascii="Arial" w:hAnsi="Arial" w:cs="Arial"/>
          <w:sz w:val="20"/>
          <w:szCs w:val="20"/>
          <w:lang w:val="en-GB"/>
        </w:rPr>
        <w:t>,</w:t>
      </w:r>
      <w:r w:rsidRPr="004045CF">
        <w:rPr>
          <w:rFonts w:ascii="Arial" w:hAnsi="Arial" w:cs="Arial"/>
          <w:spacing w:val="-6"/>
          <w:sz w:val="20"/>
          <w:szCs w:val="20"/>
          <w:lang w:val="en-GB"/>
        </w:rPr>
        <w:t xml:space="preserve"> </w:t>
      </w:r>
      <w:r w:rsidRPr="004045CF">
        <w:rPr>
          <w:rFonts w:ascii="Arial" w:hAnsi="Arial" w:cs="Arial"/>
          <w:spacing w:val="-1"/>
          <w:sz w:val="20"/>
          <w:szCs w:val="20"/>
          <w:lang w:val="en-GB"/>
        </w:rPr>
        <w:t>code</w:t>
      </w:r>
    </w:p>
    <w:p w:rsidR="00985C39" w:rsidRPr="004045CF" w:rsidRDefault="00C82E85" w:rsidP="004E1157">
      <w:pPr>
        <w:rPr>
          <w:rFonts w:ascii="Arial" w:eastAsia="Book Antiqua" w:hAnsi="Arial" w:cs="Arial"/>
          <w:sz w:val="20"/>
          <w:szCs w:val="20"/>
          <w:lang w:val="en-GB"/>
        </w:rPr>
      </w:pPr>
      <w:r w:rsidRPr="004045CF">
        <w:rPr>
          <w:rFonts w:ascii="Arial" w:hAnsi="Arial" w:cs="Arial"/>
          <w:sz w:val="20"/>
          <w:szCs w:val="20"/>
          <w:lang w:val="en-GB"/>
        </w:rPr>
        <mc:AlternateContent>
          <mc:Choice Requires="wpg">
            <w:drawing>
              <wp:anchor distT="0" distB="0" distL="114300" distR="114300" simplePos="0" relativeHeight="503312528" behindDoc="1" locked="0" layoutInCell="1" allowOverlap="1">
                <wp:simplePos x="0" y="0"/>
                <wp:positionH relativeFrom="page">
                  <wp:posOffset>1973580</wp:posOffset>
                </wp:positionH>
                <wp:positionV relativeFrom="paragraph">
                  <wp:posOffset>-26670</wp:posOffset>
                </wp:positionV>
                <wp:extent cx="2904490" cy="17145"/>
                <wp:effectExtent l="1905" t="1270" r="8255" b="10160"/>
                <wp:wrapNone/>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04490" cy="17145"/>
                          <a:chOff x="3108" y="-42"/>
                          <a:chExt cx="4574" cy="27"/>
                        </a:xfrm>
                      </wpg:grpSpPr>
                      <wpg:grpSp>
                        <wpg:cNvPr id="8" name="Group 11"/>
                        <wpg:cNvGrpSpPr>
                          <a:grpSpLocks/>
                        </wpg:cNvGrpSpPr>
                        <wpg:grpSpPr bwMode="auto">
                          <a:xfrm>
                            <a:off x="3115" y="-35"/>
                            <a:ext cx="4560" cy="2"/>
                            <a:chOff x="3115" y="-35"/>
                            <a:chExt cx="4560" cy="2"/>
                          </a:xfrm>
                        </wpg:grpSpPr>
                        <wps:wsp>
                          <wps:cNvPr id="9" name="Freeform 12"/>
                          <wps:cNvSpPr>
                            <a:spLocks/>
                          </wps:cNvSpPr>
                          <wps:spPr bwMode="auto">
                            <a:xfrm>
                              <a:off x="3115" y="-35"/>
                              <a:ext cx="4560" cy="2"/>
                            </a:xfrm>
                            <a:custGeom>
                              <a:avLst/>
                              <a:gdLst>
                                <a:gd name="T0" fmla="+- 0 3115 3115"/>
                                <a:gd name="T1" fmla="*/ T0 w 4560"/>
                                <a:gd name="T2" fmla="+- 0 7675 3115"/>
                                <a:gd name="T3" fmla="*/ T2 w 4560"/>
                              </a:gdLst>
                              <a:ahLst/>
                              <a:cxnLst>
                                <a:cxn ang="0">
                                  <a:pos x="T1" y="0"/>
                                </a:cxn>
                                <a:cxn ang="0">
                                  <a:pos x="T3" y="0"/>
                                </a:cxn>
                              </a:cxnLst>
                              <a:rect l="0" t="0" r="r" b="b"/>
                              <a:pathLst>
                                <a:path w="4560">
                                  <a:moveTo>
                                    <a:pt x="0" y="0"/>
                                  </a:moveTo>
                                  <a:lnTo>
                                    <a:pt x="456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9"/>
                        <wpg:cNvGrpSpPr>
                          <a:grpSpLocks/>
                        </wpg:cNvGrpSpPr>
                        <wpg:grpSpPr bwMode="auto">
                          <a:xfrm>
                            <a:off x="6115" y="-21"/>
                            <a:ext cx="1440" cy="2"/>
                            <a:chOff x="6115" y="-21"/>
                            <a:chExt cx="1440" cy="2"/>
                          </a:xfrm>
                        </wpg:grpSpPr>
                        <wps:wsp>
                          <wps:cNvPr id="11" name="Freeform 10"/>
                          <wps:cNvSpPr>
                            <a:spLocks/>
                          </wps:cNvSpPr>
                          <wps:spPr bwMode="auto">
                            <a:xfrm>
                              <a:off x="6115" y="-21"/>
                              <a:ext cx="1440" cy="2"/>
                            </a:xfrm>
                            <a:custGeom>
                              <a:avLst/>
                              <a:gdLst>
                                <a:gd name="T0" fmla="+- 0 6115 6115"/>
                                <a:gd name="T1" fmla="*/ T0 w 1440"/>
                                <a:gd name="T2" fmla="+- 0 7555 6115"/>
                                <a:gd name="T3" fmla="*/ T2 w 1440"/>
                              </a:gdLst>
                              <a:ahLst/>
                              <a:cxnLst>
                                <a:cxn ang="0">
                                  <a:pos x="T1" y="0"/>
                                </a:cxn>
                                <a:cxn ang="0">
                                  <a:pos x="T3" y="0"/>
                                </a:cxn>
                              </a:cxnLst>
                              <a:rect l="0" t="0" r="r" b="b"/>
                              <a:pathLst>
                                <a:path w="1440">
                                  <a:moveTo>
                                    <a:pt x="0" y="0"/>
                                  </a:moveTo>
                                  <a:lnTo>
                                    <a:pt x="1440" y="0"/>
                                  </a:lnTo>
                                </a:path>
                              </a:pathLst>
                            </a:custGeom>
                            <a:noFill/>
                            <a:ln w="60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A64C647" id="Group 8" o:spid="_x0000_s1026" style="position:absolute;margin-left:155.4pt;margin-top:-2.1pt;width:228.7pt;height:1.35pt;z-index:-3952;mso-position-horizontal-relative:page" coordorigin="3108,-42" coordsize="457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">
                <v:group id="Group 11" o:spid="_x0000_s1027" style="position:absolute;left:3115;top:-35;width:4560;height:2" coordorigin="3115,-35" coordsize="45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2" o:spid="_x0000_s1028" style="position:absolute;left:3115;top:-35;width:4560;height:2;visibility:visible;mso-wrap-style:square;v-text-anchor:top" coordsize="45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" path="m,l4560,e" filled="f" strokeweight=".7pt">
                    <v:path arrowok="t" o:connecttype="custom" o:connectlocs="0,0;4560,0" o:connectangles="0,0"/>
                  </v:shape>
                </v:group>
                <v:group id="Group 9" o:spid="_x0000_s1029" style="position:absolute;left:6115;top:-21;width:1440;height:2" coordorigin="6115,-21" coordsize="14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0" o:spid="_x0000_s1030" style="position:absolute;left:6115;top:-21;width:1440;height:2;visibility:visible;mso-wrap-style:square;v-text-anchor:top" coordsize="14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" path="m,l1440,e" filled="f" strokeweight=".16922mm">
                    <v:path arrowok="t" o:connecttype="custom" o:connectlocs="0,0;1440,0" o:connectangles="0,0"/>
                  </v:shape>
                </v:group>
                <w10:wrap anchorx="page"/>
              </v:group>
            </w:pict>
          </mc:Fallback>
        </mc:AlternateContent>
      </w:r>
      <w:r w:rsidR="00D51CBF" w:rsidRPr="004045CF">
        <w:rPr>
          <w:rFonts w:ascii="Arial" w:hAnsi="Arial" w:cs="Arial"/>
          <w:i/>
          <w:spacing w:val="-1"/>
          <w:sz w:val="20"/>
          <w:szCs w:val="20"/>
          <w:lang w:val="en-GB"/>
        </w:rPr>
        <w:t>(Name,</w:t>
      </w:r>
      <w:r w:rsidR="00D51CBF" w:rsidRPr="004045CF">
        <w:rPr>
          <w:rFonts w:ascii="Arial" w:hAnsi="Arial" w:cs="Arial"/>
          <w:i/>
          <w:sz w:val="20"/>
          <w:szCs w:val="20"/>
          <w:lang w:val="en-GB"/>
        </w:rPr>
        <w:t xml:space="preserve"> </w:t>
      </w:r>
      <w:r w:rsidR="00D51CBF" w:rsidRPr="004045CF">
        <w:rPr>
          <w:rFonts w:ascii="Arial" w:hAnsi="Arial" w:cs="Arial"/>
          <w:i/>
          <w:spacing w:val="-1"/>
          <w:sz w:val="20"/>
          <w:szCs w:val="20"/>
          <w:lang w:val="en-GB"/>
        </w:rPr>
        <w:t>surname,</w:t>
      </w:r>
      <w:r w:rsidR="00D51CBF" w:rsidRPr="004045CF">
        <w:rPr>
          <w:rFonts w:ascii="Arial" w:hAnsi="Arial" w:cs="Arial"/>
          <w:i/>
          <w:sz w:val="20"/>
          <w:szCs w:val="20"/>
          <w:lang w:val="en-GB"/>
        </w:rPr>
        <w:t xml:space="preserve"> </w:t>
      </w:r>
      <w:r w:rsidR="00D51CBF" w:rsidRPr="004045CF">
        <w:rPr>
          <w:rFonts w:ascii="Arial" w:hAnsi="Arial" w:cs="Arial"/>
          <w:i/>
          <w:spacing w:val="-1"/>
          <w:sz w:val="20"/>
          <w:szCs w:val="20"/>
          <w:lang w:val="en-GB"/>
        </w:rPr>
        <w:t>personal</w:t>
      </w:r>
      <w:r w:rsidR="00D51CBF" w:rsidRPr="004045CF">
        <w:rPr>
          <w:rFonts w:ascii="Arial" w:hAnsi="Arial" w:cs="Arial"/>
          <w:i/>
          <w:spacing w:val="-2"/>
          <w:sz w:val="20"/>
          <w:szCs w:val="20"/>
          <w:lang w:val="en-GB"/>
        </w:rPr>
        <w:t xml:space="preserve"> </w:t>
      </w:r>
      <w:r w:rsidR="00D51CBF" w:rsidRPr="004045CF">
        <w:rPr>
          <w:rFonts w:ascii="Arial" w:hAnsi="Arial" w:cs="Arial"/>
          <w:i/>
          <w:spacing w:val="-1"/>
          <w:sz w:val="20"/>
          <w:szCs w:val="20"/>
          <w:lang w:val="en-GB"/>
        </w:rPr>
        <w:t>code</w:t>
      </w:r>
      <w:r w:rsidR="00D51CBF" w:rsidRPr="004045CF">
        <w:rPr>
          <w:rFonts w:ascii="Arial" w:hAnsi="Arial" w:cs="Arial"/>
          <w:i/>
          <w:sz w:val="20"/>
          <w:szCs w:val="20"/>
          <w:lang w:val="en-GB"/>
        </w:rPr>
        <w:t xml:space="preserve"> /</w:t>
      </w:r>
      <w:r w:rsidR="00D51CBF" w:rsidRPr="004045CF">
        <w:rPr>
          <w:rFonts w:ascii="Arial" w:hAnsi="Arial" w:cs="Arial"/>
          <w:i/>
          <w:spacing w:val="-1"/>
          <w:sz w:val="20"/>
          <w:szCs w:val="20"/>
          <w:lang w:val="en-GB"/>
        </w:rPr>
        <w:t xml:space="preserve"> company</w:t>
      </w:r>
      <w:r w:rsidR="00D51CBF" w:rsidRPr="004045CF">
        <w:rPr>
          <w:rFonts w:ascii="Arial" w:hAnsi="Arial" w:cs="Arial"/>
          <w:i/>
          <w:sz w:val="20"/>
          <w:szCs w:val="20"/>
          <w:lang w:val="en-GB"/>
        </w:rPr>
        <w:t xml:space="preserve"> </w:t>
      </w:r>
      <w:r w:rsidR="00D51CBF" w:rsidRPr="004045CF">
        <w:rPr>
          <w:rFonts w:ascii="Arial" w:hAnsi="Arial" w:cs="Arial"/>
          <w:i/>
          <w:spacing w:val="-1"/>
          <w:sz w:val="20"/>
          <w:szCs w:val="20"/>
          <w:lang w:val="en-GB"/>
        </w:rPr>
        <w:t>name,</w:t>
      </w:r>
      <w:r w:rsidR="00D51CBF" w:rsidRPr="004045CF">
        <w:rPr>
          <w:rFonts w:ascii="Arial" w:hAnsi="Arial" w:cs="Arial"/>
          <w:i/>
          <w:sz w:val="20"/>
          <w:szCs w:val="20"/>
          <w:lang w:val="en-GB"/>
        </w:rPr>
        <w:t xml:space="preserve"> </w:t>
      </w:r>
      <w:r w:rsidR="00D51CBF" w:rsidRPr="004045CF">
        <w:rPr>
          <w:rFonts w:ascii="Arial" w:hAnsi="Arial" w:cs="Arial"/>
          <w:i/>
          <w:spacing w:val="-1"/>
          <w:sz w:val="20"/>
          <w:szCs w:val="20"/>
          <w:lang w:val="en-GB"/>
        </w:rPr>
        <w:t>code)</w:t>
      </w:r>
    </w:p>
    <w:p w:rsidR="00985C39" w:rsidRPr="004045CF" w:rsidRDefault="00985C39">
      <w:pPr>
        <w:rPr>
          <w:rFonts w:ascii="Arial" w:eastAsia="Book Antiqua" w:hAnsi="Arial" w:cs="Arial"/>
          <w:sz w:val="20"/>
          <w:szCs w:val="20"/>
          <w:lang w:val="en-GB"/>
        </w:rPr>
        <w:sectPr w:rsidR="00985C39" w:rsidRPr="004045CF">
          <w:type w:val="continuous"/>
          <w:pgSz w:w="11900" w:h="16840"/>
          <w:pgMar w:top="680" w:right="460" w:bottom="280" w:left="760" w:header="567" w:footer="567" w:gutter="0"/>
          <w:cols w:num="2" w:space="1296" w:equalWidth="0">
            <w:col w:w="2296" w:space="100"/>
            <w:col w:w="8284"/>
          </w:cols>
        </w:sectPr>
      </w:pPr>
    </w:p>
    <w:p w:rsidR="00985C39" w:rsidRPr="004045CF" w:rsidRDefault="00985C39">
      <w:pPr>
        <w:spacing w:before="6"/>
        <w:rPr>
          <w:rFonts w:ascii="Arial" w:eastAsia="Book Antiqua" w:hAnsi="Arial" w:cs="Arial"/>
          <w:i/>
          <w:sz w:val="20"/>
          <w:szCs w:val="20"/>
          <w:lang w:val="en-GB"/>
        </w:rPr>
      </w:pPr>
    </w:p>
    <w:p w:rsidR="00985C39" w:rsidRPr="004045CF" w:rsidRDefault="00D51CBF">
      <w:pPr>
        <w:pStyle w:val="BodyText"/>
        <w:spacing w:before="53"/>
        <w:rPr>
          <w:rFonts w:ascii="Arial" w:hAnsi="Arial" w:cs="Arial"/>
          <w:spacing w:val="-1"/>
          <w:sz w:val="20"/>
          <w:szCs w:val="20"/>
          <w:lang w:val="en-GB"/>
        </w:rPr>
      </w:pPr>
      <w:r w:rsidRPr="004045CF">
        <w:rPr>
          <w:rFonts w:ascii="Arial" w:hAnsi="Arial" w:cs="Arial"/>
          <w:spacing w:val="-1"/>
          <w:sz w:val="20"/>
          <w:szCs w:val="20"/>
          <w:lang w:val="en-GB"/>
        </w:rPr>
        <w:t>Number</w:t>
      </w:r>
      <w:r w:rsidRPr="004045CF">
        <w:rPr>
          <w:rFonts w:ascii="Arial" w:hAnsi="Arial" w:cs="Arial"/>
          <w:spacing w:val="-9"/>
          <w:sz w:val="20"/>
          <w:szCs w:val="20"/>
          <w:lang w:val="en-GB"/>
        </w:rPr>
        <w:t xml:space="preserve"> </w:t>
      </w:r>
      <w:r w:rsidRPr="004045CF">
        <w:rPr>
          <w:rFonts w:ascii="Arial" w:hAnsi="Arial" w:cs="Arial"/>
          <w:sz w:val="20"/>
          <w:szCs w:val="20"/>
          <w:lang w:val="en-GB"/>
        </w:rPr>
        <w:t>of</w:t>
      </w:r>
      <w:r w:rsidRPr="004045CF">
        <w:rPr>
          <w:rFonts w:ascii="Arial" w:hAnsi="Arial" w:cs="Arial"/>
          <w:spacing w:val="-10"/>
          <w:sz w:val="20"/>
          <w:szCs w:val="20"/>
          <w:lang w:val="en-GB"/>
        </w:rPr>
        <w:t xml:space="preserve"> </w:t>
      </w:r>
      <w:r w:rsidRPr="004045CF">
        <w:rPr>
          <w:rFonts w:ascii="Arial" w:hAnsi="Arial" w:cs="Arial"/>
          <w:spacing w:val="-1"/>
          <w:sz w:val="20"/>
          <w:szCs w:val="20"/>
          <w:lang w:val="en-GB"/>
        </w:rPr>
        <w:t>shares:</w:t>
      </w:r>
    </w:p>
    <w:p w:rsidR="00D51CBF" w:rsidRPr="004045CF" w:rsidRDefault="00D51CBF">
      <w:pPr>
        <w:pStyle w:val="BodyText"/>
        <w:spacing w:before="53"/>
        <w:rPr>
          <w:rFonts w:ascii="Arial" w:hAnsi="Arial" w:cs="Arial"/>
          <w:spacing w:val="-1"/>
          <w:sz w:val="20"/>
          <w:szCs w:val="20"/>
          <w:lang w:val="en-GB"/>
        </w:rPr>
      </w:pPr>
    </w:p>
    <w:tbl>
      <w:tblPr>
        <w:tblStyle w:val="TableGrid"/>
        <w:tblW w:w="5000" w:type="pct"/>
        <w:tblLook w:val="04A0" w:firstRow="1" w:lastRow="0" w:firstColumn="1" w:lastColumn="0" w:noHBand="0" w:noVBand="1"/>
      </w:tblPr>
      <w:tblGrid>
        <w:gridCol w:w="5885"/>
        <w:gridCol w:w="1733"/>
        <w:gridCol w:w="1720"/>
      </w:tblGrid>
      <w:tr w:rsidR="00B317D5" w:rsidRPr="004045CF" w:rsidTr="00B317D5">
        <w:tc>
          <w:tcPr>
            <w:tcW w:w="3151" w:type="pct"/>
            <w:vMerge w:val="restart"/>
          </w:tcPr>
          <w:p w:rsidR="00B317D5" w:rsidRPr="004045CF" w:rsidRDefault="00B317D5" w:rsidP="00B317D5">
            <w:pPr>
              <w:pStyle w:val="BodyText"/>
              <w:spacing w:before="53"/>
              <w:ind w:left="0"/>
              <w:jc w:val="center"/>
              <w:rPr>
                <w:rFonts w:ascii="Arial" w:hAnsi="Arial" w:cs="Arial"/>
                <w:sz w:val="20"/>
                <w:szCs w:val="20"/>
                <w:lang w:val="en-GB"/>
              </w:rPr>
            </w:pPr>
            <w:r w:rsidRPr="004045CF">
              <w:rPr>
                <w:rFonts w:ascii="Arial" w:hAnsi="Arial" w:cs="Arial"/>
                <w:i/>
                <w:spacing w:val="-1"/>
                <w:sz w:val="20"/>
                <w:szCs w:val="20"/>
                <w:lang w:val="en-GB"/>
              </w:rPr>
              <w:t>Draft</w:t>
            </w:r>
            <w:r w:rsidRPr="004045CF">
              <w:rPr>
                <w:rFonts w:ascii="Arial" w:hAnsi="Arial" w:cs="Arial"/>
                <w:i/>
                <w:spacing w:val="-8"/>
                <w:sz w:val="20"/>
                <w:szCs w:val="20"/>
                <w:lang w:val="en-GB"/>
              </w:rPr>
              <w:t xml:space="preserve"> </w:t>
            </w:r>
            <w:r w:rsidRPr="004045CF">
              <w:rPr>
                <w:rFonts w:ascii="Arial" w:hAnsi="Arial" w:cs="Arial"/>
                <w:i/>
                <w:spacing w:val="-1"/>
                <w:sz w:val="20"/>
                <w:szCs w:val="20"/>
                <w:lang w:val="en-GB"/>
              </w:rPr>
              <w:t>resolutions</w:t>
            </w:r>
            <w:r w:rsidRPr="004045CF">
              <w:rPr>
                <w:rFonts w:ascii="Arial" w:hAnsi="Arial" w:cs="Arial"/>
                <w:i/>
                <w:spacing w:val="-8"/>
                <w:sz w:val="20"/>
                <w:szCs w:val="20"/>
                <w:lang w:val="en-GB"/>
              </w:rPr>
              <w:t xml:space="preserve"> </w:t>
            </w:r>
            <w:r w:rsidRPr="004045CF">
              <w:rPr>
                <w:rFonts w:ascii="Arial" w:hAnsi="Arial" w:cs="Arial"/>
                <w:i/>
                <w:spacing w:val="-1"/>
                <w:sz w:val="20"/>
                <w:szCs w:val="20"/>
                <w:lang w:val="en-GB"/>
              </w:rPr>
              <w:t>of</w:t>
            </w:r>
            <w:r w:rsidRPr="004045CF">
              <w:rPr>
                <w:rFonts w:ascii="Arial" w:hAnsi="Arial" w:cs="Arial"/>
                <w:i/>
                <w:spacing w:val="-7"/>
                <w:sz w:val="20"/>
                <w:szCs w:val="20"/>
                <w:lang w:val="en-GB"/>
              </w:rPr>
              <w:t xml:space="preserve"> </w:t>
            </w:r>
            <w:r w:rsidRPr="004045CF">
              <w:rPr>
                <w:rFonts w:ascii="Arial" w:hAnsi="Arial" w:cs="Arial"/>
                <w:i/>
                <w:spacing w:val="-1"/>
                <w:sz w:val="20"/>
                <w:szCs w:val="20"/>
                <w:lang w:val="en-GB"/>
              </w:rPr>
              <w:t>the</w:t>
            </w:r>
            <w:r w:rsidRPr="004045CF">
              <w:rPr>
                <w:rFonts w:ascii="Arial" w:hAnsi="Arial" w:cs="Arial"/>
                <w:i/>
                <w:spacing w:val="-7"/>
                <w:sz w:val="20"/>
                <w:szCs w:val="20"/>
                <w:lang w:val="en-GB"/>
              </w:rPr>
              <w:t xml:space="preserve"> </w:t>
            </w:r>
            <w:r w:rsidRPr="004045CF">
              <w:rPr>
                <w:rFonts w:ascii="Arial" w:hAnsi="Arial" w:cs="Arial"/>
                <w:i/>
                <w:spacing w:val="-1"/>
                <w:sz w:val="20"/>
                <w:szCs w:val="20"/>
                <w:lang w:val="en-GB"/>
              </w:rPr>
              <w:t>general</w:t>
            </w:r>
            <w:r w:rsidRPr="004045CF">
              <w:rPr>
                <w:rFonts w:ascii="Arial" w:hAnsi="Arial" w:cs="Arial"/>
                <w:i/>
                <w:spacing w:val="-7"/>
                <w:sz w:val="20"/>
                <w:szCs w:val="20"/>
                <w:lang w:val="en-GB"/>
              </w:rPr>
              <w:t xml:space="preserve"> </w:t>
            </w:r>
            <w:r w:rsidRPr="004045CF">
              <w:rPr>
                <w:rFonts w:ascii="Arial" w:hAnsi="Arial" w:cs="Arial"/>
                <w:i/>
                <w:spacing w:val="-1"/>
                <w:sz w:val="20"/>
                <w:szCs w:val="20"/>
                <w:lang w:val="en-GB"/>
              </w:rPr>
              <w:t>meeting</w:t>
            </w:r>
            <w:r w:rsidRPr="004045CF">
              <w:rPr>
                <w:rFonts w:ascii="Arial" w:hAnsi="Arial" w:cs="Arial"/>
                <w:i/>
                <w:spacing w:val="-7"/>
                <w:sz w:val="20"/>
                <w:szCs w:val="20"/>
                <w:lang w:val="en-GB"/>
              </w:rPr>
              <w:t xml:space="preserve"> </w:t>
            </w:r>
            <w:r w:rsidRPr="004045CF">
              <w:rPr>
                <w:rFonts w:ascii="Arial" w:hAnsi="Arial" w:cs="Arial"/>
                <w:i/>
                <w:spacing w:val="-1"/>
                <w:sz w:val="20"/>
                <w:szCs w:val="20"/>
                <w:lang w:val="en-GB"/>
              </w:rPr>
              <w:t>of</w:t>
            </w:r>
            <w:r w:rsidRPr="004045CF">
              <w:rPr>
                <w:rFonts w:ascii="Arial" w:hAnsi="Arial" w:cs="Arial"/>
                <w:i/>
                <w:spacing w:val="-7"/>
                <w:sz w:val="20"/>
                <w:szCs w:val="20"/>
                <w:lang w:val="en-GB"/>
              </w:rPr>
              <w:t xml:space="preserve"> </w:t>
            </w:r>
            <w:r w:rsidRPr="004045CF">
              <w:rPr>
                <w:rFonts w:ascii="Arial" w:hAnsi="Arial" w:cs="Arial"/>
                <w:i/>
                <w:spacing w:val="-1"/>
                <w:sz w:val="20"/>
                <w:szCs w:val="20"/>
                <w:lang w:val="en-GB"/>
              </w:rPr>
              <w:t>shareholders.</w:t>
            </w:r>
          </w:p>
        </w:tc>
        <w:tc>
          <w:tcPr>
            <w:tcW w:w="1849" w:type="pct"/>
            <w:gridSpan w:val="2"/>
          </w:tcPr>
          <w:p w:rsidR="00B317D5" w:rsidRPr="004045CF" w:rsidRDefault="00B317D5" w:rsidP="00B317D5">
            <w:pPr>
              <w:pStyle w:val="BodyText"/>
              <w:spacing w:before="53"/>
              <w:ind w:left="0"/>
              <w:jc w:val="center"/>
              <w:rPr>
                <w:rFonts w:ascii="Arial" w:hAnsi="Arial" w:cs="Arial"/>
                <w:sz w:val="20"/>
                <w:szCs w:val="20"/>
                <w:lang w:val="en-GB"/>
              </w:rPr>
            </w:pPr>
            <w:r w:rsidRPr="004045CF">
              <w:rPr>
                <w:rFonts w:ascii="Arial" w:hAnsi="Arial" w:cs="Arial"/>
                <w:i/>
                <w:spacing w:val="-1"/>
                <w:sz w:val="20"/>
                <w:szCs w:val="20"/>
                <w:lang w:val="en-GB"/>
              </w:rPr>
              <w:t>Shareholder's</w:t>
            </w:r>
            <w:r w:rsidRPr="004045CF">
              <w:rPr>
                <w:rFonts w:ascii="Arial" w:hAnsi="Arial" w:cs="Arial"/>
                <w:i/>
                <w:spacing w:val="-18"/>
                <w:sz w:val="20"/>
                <w:szCs w:val="20"/>
                <w:lang w:val="en-GB"/>
              </w:rPr>
              <w:t xml:space="preserve"> </w:t>
            </w:r>
            <w:r w:rsidRPr="004045CF">
              <w:rPr>
                <w:rFonts w:ascii="Arial" w:hAnsi="Arial" w:cs="Arial"/>
                <w:i/>
                <w:spacing w:val="-1"/>
                <w:sz w:val="20"/>
                <w:szCs w:val="20"/>
                <w:lang w:val="en-GB"/>
              </w:rPr>
              <w:t>vote</w:t>
            </w:r>
          </w:p>
        </w:tc>
      </w:tr>
      <w:tr w:rsidR="00B317D5" w:rsidRPr="004045CF" w:rsidTr="00B317D5">
        <w:tc>
          <w:tcPr>
            <w:tcW w:w="3151" w:type="pct"/>
            <w:vMerge/>
          </w:tcPr>
          <w:p w:rsidR="00B317D5" w:rsidRPr="004045CF" w:rsidRDefault="00B317D5" w:rsidP="00B317D5">
            <w:pPr>
              <w:pStyle w:val="BodyText"/>
              <w:spacing w:before="53"/>
              <w:ind w:left="0"/>
              <w:jc w:val="center"/>
              <w:rPr>
                <w:rFonts w:ascii="Arial" w:hAnsi="Arial" w:cs="Arial"/>
                <w:sz w:val="20"/>
                <w:szCs w:val="20"/>
                <w:lang w:val="en-GB"/>
              </w:rPr>
            </w:pPr>
          </w:p>
        </w:tc>
        <w:tc>
          <w:tcPr>
            <w:tcW w:w="928" w:type="pct"/>
          </w:tcPr>
          <w:p w:rsidR="00B317D5" w:rsidRPr="004045CF" w:rsidRDefault="00B317D5" w:rsidP="00B317D5">
            <w:pPr>
              <w:pStyle w:val="BodyText"/>
              <w:spacing w:before="53"/>
              <w:ind w:left="0"/>
              <w:jc w:val="center"/>
              <w:rPr>
                <w:rFonts w:ascii="Arial" w:hAnsi="Arial" w:cs="Arial"/>
                <w:sz w:val="20"/>
                <w:szCs w:val="20"/>
                <w:lang w:val="en-GB"/>
              </w:rPr>
            </w:pPr>
            <w:r w:rsidRPr="004045CF">
              <w:rPr>
                <w:rFonts w:ascii="Arial" w:hAnsi="Arial" w:cs="Arial"/>
                <w:i/>
                <w:spacing w:val="-1"/>
                <w:sz w:val="20"/>
                <w:szCs w:val="20"/>
                <w:lang w:val="en-GB"/>
              </w:rPr>
              <w:t>For</w:t>
            </w:r>
          </w:p>
        </w:tc>
        <w:tc>
          <w:tcPr>
            <w:tcW w:w="921" w:type="pct"/>
          </w:tcPr>
          <w:p w:rsidR="00B317D5" w:rsidRPr="004045CF" w:rsidRDefault="00B317D5" w:rsidP="00B317D5">
            <w:pPr>
              <w:pStyle w:val="BodyText"/>
              <w:spacing w:before="53"/>
              <w:ind w:left="0"/>
              <w:jc w:val="center"/>
              <w:rPr>
                <w:rFonts w:ascii="Arial" w:hAnsi="Arial" w:cs="Arial"/>
                <w:sz w:val="20"/>
                <w:szCs w:val="20"/>
                <w:lang w:val="en-GB"/>
              </w:rPr>
            </w:pPr>
            <w:r w:rsidRPr="004045CF">
              <w:rPr>
                <w:rFonts w:ascii="Arial" w:hAnsi="Arial" w:cs="Arial"/>
                <w:i/>
                <w:spacing w:val="-1"/>
                <w:sz w:val="20"/>
                <w:szCs w:val="20"/>
                <w:lang w:val="en-GB"/>
              </w:rPr>
              <w:t>Against</w:t>
            </w:r>
          </w:p>
        </w:tc>
      </w:tr>
      <w:tr w:rsidR="00D51CBF" w:rsidRPr="004045CF" w:rsidTr="00B317D5">
        <w:tc>
          <w:tcPr>
            <w:tcW w:w="3151" w:type="pct"/>
          </w:tcPr>
          <w:p w:rsidR="00B317D5" w:rsidRPr="004045CF" w:rsidRDefault="00B317D5" w:rsidP="00E84811">
            <w:pPr>
              <w:pStyle w:val="TableParagraph"/>
              <w:numPr>
                <w:ilvl w:val="0"/>
                <w:numId w:val="1"/>
              </w:numPr>
              <w:ind w:right="129"/>
              <w:rPr>
                <w:rFonts w:ascii="Arial" w:hAnsi="Arial" w:cs="Arial"/>
                <w:b/>
                <w:sz w:val="20"/>
                <w:szCs w:val="20"/>
                <w:lang w:val="en-GB"/>
              </w:rPr>
            </w:pPr>
            <w:r w:rsidRPr="004045CF">
              <w:rPr>
                <w:rFonts w:ascii="Arial" w:hAnsi="Arial" w:cs="Arial"/>
                <w:b/>
                <w:color w:val="000000"/>
                <w:sz w:val="20"/>
                <w:szCs w:val="20"/>
                <w:lang w:val="en-GB"/>
              </w:rPr>
              <w:t>Increase of the authorized capital of the Company.</w:t>
            </w:r>
          </w:p>
          <w:p w:rsidR="00B317D5" w:rsidRPr="004045CF" w:rsidRDefault="00B317D5" w:rsidP="00B317D5">
            <w:pPr>
              <w:pStyle w:val="TableParagraph"/>
              <w:ind w:left="99" w:right="129"/>
              <w:rPr>
                <w:rFonts w:ascii="Arial" w:hAnsi="Arial" w:cs="Arial"/>
                <w:b/>
                <w:color w:val="000000"/>
                <w:sz w:val="20"/>
                <w:szCs w:val="20"/>
                <w:lang w:val="en-GB"/>
              </w:rPr>
            </w:pPr>
          </w:p>
          <w:p w:rsidR="00E84811" w:rsidRPr="004045CF" w:rsidRDefault="00E84811" w:rsidP="00E84811">
            <w:pPr>
              <w:pStyle w:val="ListParagraph"/>
              <w:widowControl/>
              <w:numPr>
                <w:ilvl w:val="1"/>
                <w:numId w:val="1"/>
              </w:numPr>
              <w:jc w:val="both"/>
              <w:rPr>
                <w:rFonts w:ascii="Arial" w:hAnsi="Arial" w:cs="Arial"/>
                <w:bCs/>
                <w:i/>
                <w:sz w:val="20"/>
                <w:szCs w:val="20"/>
                <w:lang w:val="en-GB"/>
              </w:rPr>
            </w:pPr>
            <w:r w:rsidRPr="004045CF">
              <w:rPr>
                <w:rFonts w:ascii="Arial" w:hAnsi="Arial" w:cs="Arial"/>
                <w:bCs/>
                <w:i/>
                <w:sz w:val="20"/>
                <w:szCs w:val="20"/>
                <w:lang w:val="en-GB"/>
              </w:rPr>
              <w:t>To increase the Company’s authorized capital by EUR</w:t>
            </w:r>
            <w:r w:rsidR="00933E42" w:rsidRPr="004045CF">
              <w:rPr>
                <w:rFonts w:ascii="Arial" w:hAnsi="Arial" w:cs="Arial"/>
                <w:bCs/>
                <w:i/>
                <w:sz w:val="20"/>
                <w:szCs w:val="20"/>
                <w:lang w:val="en-GB"/>
              </w:rPr>
              <w:t> </w:t>
            </w:r>
            <w:r w:rsidR="00933E42" w:rsidRPr="004045CF">
              <w:rPr>
                <w:rFonts w:ascii="Arial" w:hAnsi="Arial" w:cs="Arial"/>
                <w:i/>
                <w:sz w:val="20"/>
                <w:szCs w:val="20"/>
                <w:lang w:val="en-GB"/>
              </w:rPr>
              <w:t>11,600,</w:t>
            </w:r>
            <w:r w:rsidRPr="004045CF">
              <w:rPr>
                <w:rFonts w:ascii="Arial" w:hAnsi="Arial" w:cs="Arial"/>
                <w:i/>
                <w:sz w:val="20"/>
                <w:szCs w:val="20"/>
                <w:lang w:val="en-GB"/>
              </w:rPr>
              <w:t xml:space="preserve">000 </w:t>
            </w:r>
            <w:r w:rsidRPr="004045CF">
              <w:rPr>
                <w:rFonts w:ascii="Arial" w:hAnsi="Arial" w:cs="Arial"/>
                <w:bCs/>
                <w:i/>
                <w:sz w:val="20"/>
                <w:szCs w:val="20"/>
                <w:lang w:val="en-GB"/>
              </w:rPr>
              <w:t xml:space="preserve">by additional contributions from </w:t>
            </w:r>
            <w:r w:rsidR="00933E42" w:rsidRPr="004045CF">
              <w:rPr>
                <w:rFonts w:ascii="Arial" w:hAnsi="Arial" w:cs="Arial"/>
                <w:i/>
                <w:sz w:val="20"/>
                <w:szCs w:val="20"/>
                <w:lang w:val="en-GB"/>
              </w:rPr>
              <w:t>EUR 54,350,713.</w:t>
            </w:r>
            <w:r w:rsidRPr="004045CF">
              <w:rPr>
                <w:rFonts w:ascii="Arial" w:hAnsi="Arial" w:cs="Arial"/>
                <w:i/>
                <w:sz w:val="20"/>
                <w:szCs w:val="20"/>
                <w:lang w:val="en-GB"/>
              </w:rPr>
              <w:t>08</w:t>
            </w:r>
            <w:r w:rsidRPr="004045CF">
              <w:rPr>
                <w:rFonts w:ascii="Arial" w:hAnsi="Arial" w:cs="Arial"/>
                <w:bCs/>
                <w:i/>
                <w:sz w:val="20"/>
                <w:szCs w:val="20"/>
                <w:lang w:val="en-GB"/>
              </w:rPr>
              <w:t xml:space="preserve"> to </w:t>
            </w:r>
            <w:r w:rsidR="00933E42" w:rsidRPr="004045CF">
              <w:rPr>
                <w:rFonts w:ascii="Arial" w:hAnsi="Arial" w:cs="Arial"/>
                <w:i/>
                <w:sz w:val="20"/>
                <w:szCs w:val="20"/>
                <w:lang w:val="en-GB"/>
              </w:rPr>
              <w:t>EUR 65,950,713.</w:t>
            </w:r>
            <w:r w:rsidRPr="004045CF">
              <w:rPr>
                <w:rFonts w:ascii="Arial" w:hAnsi="Arial" w:cs="Arial"/>
                <w:i/>
                <w:sz w:val="20"/>
                <w:szCs w:val="20"/>
                <w:lang w:val="en-GB"/>
              </w:rPr>
              <w:t xml:space="preserve">08 </w:t>
            </w:r>
            <w:r w:rsidRPr="004045CF">
              <w:rPr>
                <w:rFonts w:ascii="Arial" w:hAnsi="Arial" w:cs="Arial"/>
                <w:bCs/>
                <w:i/>
                <w:sz w:val="20"/>
                <w:szCs w:val="20"/>
                <w:lang w:val="en-GB"/>
              </w:rPr>
              <w:t xml:space="preserve">by issuing new ordinary registered </w:t>
            </w:r>
            <w:bookmarkStart w:id="0" w:name="_GoBack"/>
            <w:bookmarkEnd w:id="0"/>
            <w:r w:rsidRPr="004045CF">
              <w:rPr>
                <w:rFonts w:ascii="Arial" w:hAnsi="Arial" w:cs="Arial"/>
                <w:bCs/>
                <w:i/>
                <w:sz w:val="20"/>
                <w:szCs w:val="20"/>
                <w:lang w:val="en-GB"/>
              </w:rPr>
              <w:t>shares of the Company.</w:t>
            </w:r>
          </w:p>
          <w:p w:rsidR="00933E42" w:rsidRPr="004045CF" w:rsidRDefault="00933E42" w:rsidP="00793A9B">
            <w:pPr>
              <w:pStyle w:val="ListParagraph"/>
              <w:widowControl/>
              <w:numPr>
                <w:ilvl w:val="1"/>
                <w:numId w:val="1"/>
              </w:numPr>
              <w:jc w:val="both"/>
              <w:rPr>
                <w:rFonts w:ascii="Arial" w:hAnsi="Arial" w:cs="Arial"/>
                <w:bCs/>
                <w:i/>
                <w:sz w:val="20"/>
                <w:szCs w:val="20"/>
                <w:lang w:val="en-GB"/>
              </w:rPr>
            </w:pPr>
            <w:r w:rsidRPr="004045CF">
              <w:rPr>
                <w:rFonts w:ascii="Arial" w:hAnsi="Arial" w:cs="Arial"/>
                <w:bCs/>
                <w:i/>
                <w:sz w:val="20"/>
                <w:szCs w:val="20"/>
                <w:lang w:val="en-GB"/>
              </w:rPr>
              <w:t>Company’s authorized capital is increased by issuing up to 40,000,000 new ordinary registered shares of nominal value EUR 0.29 each (hereinafter referred to as Newly Issued Shares / Offer Shares). As per formal requirements of the applicable laws the minimum issue price of each Newly Issued Share shall therefore be deemed to be equal to EUR 0.29 each. The Company will decide the actual offering price after gauging investor interest and other related factors.</w:t>
            </w:r>
          </w:p>
          <w:p w:rsidR="00B317D5" w:rsidRPr="004045CF" w:rsidRDefault="00B317D5" w:rsidP="00E84811">
            <w:pPr>
              <w:pStyle w:val="TableParagraph"/>
              <w:numPr>
                <w:ilvl w:val="1"/>
                <w:numId w:val="1"/>
              </w:numPr>
              <w:ind w:right="129"/>
              <w:jc w:val="both"/>
              <w:rPr>
                <w:rFonts w:ascii="Arial" w:hAnsi="Arial" w:cs="Arial"/>
                <w:b/>
                <w:sz w:val="20"/>
                <w:szCs w:val="20"/>
                <w:lang w:val="en-GB"/>
              </w:rPr>
            </w:pPr>
            <w:r w:rsidRPr="004045CF">
              <w:rPr>
                <w:rFonts w:ascii="Arial" w:hAnsi="Arial" w:cs="Arial"/>
                <w:i/>
                <w:sz w:val="20"/>
                <w:szCs w:val="20"/>
                <w:lang w:val="en-GB"/>
              </w:rPr>
              <w:t>When not all the Newly Issued Shares are subscribed for within the period intended for share subscription, the authorized capital of the Company may be increased by the amount of nominal values of the shares subscribed for. In this case the Board shall be authorised to decide whether the increase of the authorized capital of the Company upon signing of not all the Newly Issued Shares should be deemed effected and (if so) the authorised capital of the Company must be increased by the amount of nominal values of the shares subscribed for.</w:t>
            </w:r>
          </w:p>
          <w:p w:rsidR="00E153F1" w:rsidRPr="004045CF" w:rsidRDefault="00353FEB" w:rsidP="00E84811">
            <w:pPr>
              <w:pStyle w:val="TableParagraph"/>
              <w:numPr>
                <w:ilvl w:val="1"/>
                <w:numId w:val="1"/>
              </w:numPr>
              <w:ind w:right="129"/>
              <w:jc w:val="both"/>
              <w:rPr>
                <w:rFonts w:ascii="Arial" w:hAnsi="Arial" w:cs="Arial"/>
                <w:sz w:val="20"/>
                <w:szCs w:val="20"/>
                <w:lang w:val="en-GB"/>
              </w:rPr>
            </w:pPr>
            <w:r w:rsidRPr="004045CF">
              <w:rPr>
                <w:rFonts w:ascii="Arial" w:hAnsi="Arial" w:cs="Arial"/>
                <w:bCs/>
                <w:i/>
                <w:sz w:val="20"/>
                <w:szCs w:val="20"/>
                <w:lang w:val="en-GB"/>
              </w:rPr>
              <w:t>To delegate to the Board of the Company to determine the final issue price of the Newly Issued Shares, define the detailed conditions and procedure for the subscription, payment and placement of the Offer Shares. The Board of the Company is commissioned and authorised to draft, approve a prospectus for the public offering of the Offer Shares and admission of all the shares of the Company to trading on regulated markets (Warsaw Stock Exchange and AB Nasdaq Vilnius) and to submit the prospectus to the Bank of Lithuania for approval in compliance with this decision and applicable legislation.</w:t>
            </w:r>
          </w:p>
          <w:p w:rsidR="00353FEB" w:rsidRPr="004045CF" w:rsidRDefault="00353FEB" w:rsidP="00353FEB">
            <w:pPr>
              <w:pStyle w:val="TableParagraph"/>
              <w:ind w:right="129"/>
              <w:jc w:val="both"/>
              <w:rPr>
                <w:rFonts w:ascii="Arial" w:hAnsi="Arial" w:cs="Arial"/>
                <w:bCs/>
                <w:i/>
                <w:sz w:val="20"/>
                <w:szCs w:val="20"/>
                <w:lang w:val="en-GB"/>
              </w:rPr>
            </w:pPr>
          </w:p>
          <w:p w:rsidR="00353FEB" w:rsidRPr="004045CF" w:rsidRDefault="00353FEB" w:rsidP="00353FEB">
            <w:pPr>
              <w:pStyle w:val="TableParagraph"/>
              <w:ind w:right="129"/>
              <w:jc w:val="both"/>
              <w:rPr>
                <w:rFonts w:ascii="Arial" w:hAnsi="Arial" w:cs="Arial"/>
                <w:sz w:val="20"/>
                <w:szCs w:val="20"/>
                <w:lang w:val="en-GB"/>
              </w:rPr>
            </w:pPr>
          </w:p>
        </w:tc>
        <w:tc>
          <w:tcPr>
            <w:tcW w:w="928" w:type="pct"/>
          </w:tcPr>
          <w:p w:rsidR="00D51CBF" w:rsidRPr="004045CF" w:rsidRDefault="00D51CBF">
            <w:pPr>
              <w:pStyle w:val="BodyText"/>
              <w:spacing w:before="53"/>
              <w:ind w:left="0"/>
              <w:rPr>
                <w:rFonts w:ascii="Arial" w:hAnsi="Arial" w:cs="Arial"/>
                <w:sz w:val="20"/>
                <w:szCs w:val="20"/>
                <w:lang w:val="en-GB"/>
              </w:rPr>
            </w:pPr>
          </w:p>
        </w:tc>
        <w:tc>
          <w:tcPr>
            <w:tcW w:w="921" w:type="pct"/>
          </w:tcPr>
          <w:p w:rsidR="00D51CBF" w:rsidRPr="004045CF" w:rsidRDefault="00D51CBF">
            <w:pPr>
              <w:pStyle w:val="BodyText"/>
              <w:spacing w:before="53"/>
              <w:ind w:left="0"/>
              <w:rPr>
                <w:rFonts w:ascii="Arial" w:hAnsi="Arial" w:cs="Arial"/>
                <w:sz w:val="20"/>
                <w:szCs w:val="20"/>
                <w:lang w:val="en-GB"/>
              </w:rPr>
            </w:pPr>
          </w:p>
        </w:tc>
      </w:tr>
      <w:tr w:rsidR="00D51CBF" w:rsidRPr="004045CF" w:rsidTr="00B317D5">
        <w:tc>
          <w:tcPr>
            <w:tcW w:w="3151" w:type="pct"/>
          </w:tcPr>
          <w:p w:rsidR="00B317D5" w:rsidRPr="004045CF" w:rsidRDefault="00B317D5" w:rsidP="00B317D5">
            <w:pPr>
              <w:pStyle w:val="TableParagraph"/>
              <w:numPr>
                <w:ilvl w:val="0"/>
                <w:numId w:val="1"/>
              </w:numPr>
              <w:ind w:right="129"/>
              <w:jc w:val="both"/>
              <w:rPr>
                <w:rFonts w:ascii="Arial" w:hAnsi="Arial" w:cs="Arial"/>
                <w:b/>
                <w:color w:val="000000"/>
                <w:sz w:val="20"/>
                <w:szCs w:val="20"/>
                <w:lang w:val="en-GB"/>
              </w:rPr>
            </w:pPr>
            <w:r w:rsidRPr="004045CF">
              <w:rPr>
                <w:rFonts w:ascii="Arial" w:hAnsi="Arial" w:cs="Arial"/>
                <w:b/>
                <w:color w:val="000000"/>
                <w:sz w:val="20"/>
                <w:szCs w:val="20"/>
                <w:lang w:val="en-GB"/>
              </w:rPr>
              <w:t>Revocation of the pre-emption rights to acquire the newly issued shares of the Company for the existing shareholders</w:t>
            </w:r>
          </w:p>
          <w:p w:rsidR="00B317D5" w:rsidRPr="004045CF" w:rsidRDefault="00B317D5" w:rsidP="00B317D5">
            <w:pPr>
              <w:pStyle w:val="TableParagraph"/>
              <w:ind w:left="459" w:right="129"/>
              <w:rPr>
                <w:rFonts w:ascii="Arial" w:hAnsi="Arial" w:cs="Arial"/>
                <w:b/>
                <w:color w:val="000000"/>
                <w:sz w:val="20"/>
                <w:szCs w:val="20"/>
                <w:lang w:val="en-GB"/>
              </w:rPr>
            </w:pPr>
          </w:p>
          <w:p w:rsidR="00D51CBF" w:rsidRPr="004045CF" w:rsidRDefault="00B317D5" w:rsidP="00353FEB">
            <w:pPr>
              <w:widowControl/>
              <w:ind w:left="459"/>
              <w:jc w:val="both"/>
              <w:rPr>
                <w:rFonts w:ascii="Arial" w:hAnsi="Arial" w:cs="Arial"/>
                <w:i/>
                <w:sz w:val="20"/>
                <w:szCs w:val="20"/>
                <w:lang w:val="en-GB"/>
              </w:rPr>
            </w:pPr>
            <w:r w:rsidRPr="004045CF">
              <w:rPr>
                <w:rFonts w:ascii="Arial" w:hAnsi="Arial" w:cs="Arial"/>
                <w:i/>
                <w:color w:val="000000"/>
                <w:sz w:val="20"/>
                <w:szCs w:val="20"/>
                <w:lang w:val="en-GB"/>
              </w:rPr>
              <w:t xml:space="preserve">Referring to the Board’s notice, to revoke the pre-emption rights to acquire the Newly Issued Shares of the Company for the existing shareholders </w:t>
            </w:r>
            <w:r w:rsidRPr="004045CF">
              <w:rPr>
                <w:rFonts w:ascii="Arial" w:hAnsi="Arial" w:cs="Arial"/>
                <w:i/>
                <w:sz w:val="20"/>
                <w:szCs w:val="20"/>
                <w:lang w:val="en-GB"/>
              </w:rPr>
              <w:t xml:space="preserve">as the result of the intention to </w:t>
            </w:r>
            <w:r w:rsidRPr="004045CF">
              <w:rPr>
                <w:rFonts w:ascii="Arial" w:hAnsi="Arial" w:cs="Arial"/>
                <w:i/>
                <w:sz w:val="20"/>
                <w:szCs w:val="20"/>
                <w:lang w:val="en-GB"/>
              </w:rPr>
              <w:lastRenderedPageBreak/>
              <w:t xml:space="preserve">publicly offer the Newly Issued Shares according to the procedure established in the Law on Securities. </w:t>
            </w:r>
          </w:p>
        </w:tc>
        <w:tc>
          <w:tcPr>
            <w:tcW w:w="928" w:type="pct"/>
          </w:tcPr>
          <w:p w:rsidR="00D51CBF" w:rsidRPr="004045CF" w:rsidRDefault="00D51CBF">
            <w:pPr>
              <w:pStyle w:val="BodyText"/>
              <w:spacing w:before="53"/>
              <w:ind w:left="0"/>
              <w:rPr>
                <w:rFonts w:ascii="Arial" w:hAnsi="Arial" w:cs="Arial"/>
                <w:sz w:val="20"/>
                <w:szCs w:val="20"/>
                <w:lang w:val="en-GB"/>
              </w:rPr>
            </w:pPr>
          </w:p>
        </w:tc>
        <w:tc>
          <w:tcPr>
            <w:tcW w:w="921" w:type="pct"/>
          </w:tcPr>
          <w:p w:rsidR="00D51CBF" w:rsidRPr="004045CF" w:rsidRDefault="00D51CBF">
            <w:pPr>
              <w:pStyle w:val="BodyText"/>
              <w:spacing w:before="53"/>
              <w:ind w:left="0"/>
              <w:rPr>
                <w:rFonts w:ascii="Arial" w:hAnsi="Arial" w:cs="Arial"/>
                <w:sz w:val="20"/>
                <w:szCs w:val="20"/>
                <w:lang w:val="en-GB"/>
              </w:rPr>
            </w:pPr>
          </w:p>
        </w:tc>
      </w:tr>
      <w:tr w:rsidR="00D51CBF" w:rsidRPr="004045CF" w:rsidTr="00B317D5">
        <w:tc>
          <w:tcPr>
            <w:tcW w:w="3151" w:type="pct"/>
          </w:tcPr>
          <w:p w:rsidR="00B317D5" w:rsidRPr="004045CF" w:rsidRDefault="00B317D5" w:rsidP="00B317D5">
            <w:pPr>
              <w:pStyle w:val="TableParagraph"/>
              <w:numPr>
                <w:ilvl w:val="0"/>
                <w:numId w:val="1"/>
              </w:numPr>
              <w:ind w:right="129"/>
              <w:jc w:val="both"/>
              <w:rPr>
                <w:rFonts w:ascii="Arial" w:hAnsi="Arial" w:cs="Arial"/>
                <w:b/>
                <w:color w:val="000000"/>
                <w:sz w:val="20"/>
                <w:szCs w:val="20"/>
                <w:lang w:val="en-GB"/>
              </w:rPr>
            </w:pPr>
            <w:r w:rsidRPr="004045CF">
              <w:rPr>
                <w:rFonts w:ascii="Arial" w:hAnsi="Arial" w:cs="Arial"/>
                <w:b/>
                <w:color w:val="000000"/>
                <w:sz w:val="20"/>
                <w:szCs w:val="20"/>
                <w:lang w:val="en-GB"/>
              </w:rPr>
              <w:t>Approval of the Articles of Association of the Company; authorization of the Head of the Company</w:t>
            </w:r>
          </w:p>
          <w:p w:rsidR="00353FEB" w:rsidRPr="004045CF" w:rsidRDefault="00353FEB" w:rsidP="00353FEB">
            <w:pPr>
              <w:widowControl/>
              <w:ind w:left="459"/>
              <w:jc w:val="both"/>
              <w:rPr>
                <w:rFonts w:ascii="Arial" w:hAnsi="Arial" w:cs="Arial"/>
                <w:sz w:val="20"/>
                <w:szCs w:val="20"/>
                <w:lang w:val="en-GB"/>
              </w:rPr>
            </w:pPr>
          </w:p>
          <w:p w:rsidR="00D51CBF" w:rsidRPr="004045CF" w:rsidRDefault="00B317D5" w:rsidP="00B317D5">
            <w:pPr>
              <w:widowControl/>
              <w:numPr>
                <w:ilvl w:val="1"/>
                <w:numId w:val="1"/>
              </w:numPr>
              <w:jc w:val="both"/>
              <w:rPr>
                <w:rFonts w:ascii="Arial" w:hAnsi="Arial" w:cs="Arial"/>
                <w:sz w:val="20"/>
                <w:szCs w:val="20"/>
                <w:lang w:val="en-GB"/>
              </w:rPr>
            </w:pPr>
            <w:r w:rsidRPr="004045CF">
              <w:rPr>
                <w:rFonts w:ascii="Arial" w:hAnsi="Arial" w:cs="Arial"/>
                <w:i/>
                <w:color w:val="000000"/>
                <w:sz w:val="20"/>
                <w:szCs w:val="20"/>
                <w:lang w:val="en-GB"/>
              </w:rPr>
              <w:t>Referring</w:t>
            </w:r>
            <w:r w:rsidRPr="004045CF">
              <w:rPr>
                <w:rFonts w:ascii="Arial" w:hAnsi="Arial" w:cs="Arial"/>
                <w:bCs/>
                <w:i/>
                <w:sz w:val="20"/>
                <w:szCs w:val="20"/>
                <w:lang w:val="en-GB"/>
              </w:rPr>
              <w:t xml:space="preserve"> to the increase of the authorised capital of the Company</w:t>
            </w:r>
            <w:r w:rsidR="00506E52" w:rsidRPr="004045CF">
              <w:rPr>
                <w:rFonts w:ascii="Arial" w:hAnsi="Arial" w:cs="Arial"/>
                <w:bCs/>
                <w:i/>
                <w:sz w:val="20"/>
                <w:szCs w:val="20"/>
                <w:lang w:val="en-GB"/>
              </w:rPr>
              <w:t xml:space="preserve"> and the changed wording of the Law on Companies of the Republic of Lithuania</w:t>
            </w:r>
            <w:r w:rsidRPr="004045CF">
              <w:rPr>
                <w:rFonts w:ascii="Arial" w:hAnsi="Arial" w:cs="Arial"/>
                <w:bCs/>
                <w:i/>
                <w:sz w:val="20"/>
                <w:szCs w:val="20"/>
                <w:lang w:val="en-GB"/>
              </w:rPr>
              <w:t>, to approve the new wording of the Articles of Association of the Company (the complete text of the amended Articles of Association is attached as an Annex No 1)</w:t>
            </w:r>
            <w:r w:rsidR="00E153F1" w:rsidRPr="004045CF">
              <w:rPr>
                <w:rFonts w:ascii="Arial" w:hAnsi="Arial" w:cs="Arial"/>
                <w:bCs/>
                <w:i/>
                <w:sz w:val="20"/>
                <w:szCs w:val="20"/>
                <w:lang w:val="en-GB"/>
              </w:rPr>
              <w:t>.</w:t>
            </w:r>
          </w:p>
          <w:p w:rsidR="00682F8A" w:rsidRPr="004045CF" w:rsidRDefault="00682F8A" w:rsidP="00B317D5">
            <w:pPr>
              <w:widowControl/>
              <w:numPr>
                <w:ilvl w:val="1"/>
                <w:numId w:val="1"/>
              </w:numPr>
              <w:jc w:val="both"/>
              <w:rPr>
                <w:rFonts w:ascii="Arial" w:hAnsi="Arial" w:cs="Arial"/>
                <w:sz w:val="20"/>
                <w:szCs w:val="20"/>
                <w:lang w:val="en-GB"/>
              </w:rPr>
            </w:pPr>
            <w:r w:rsidRPr="004045CF">
              <w:rPr>
                <w:rFonts w:ascii="Arial" w:hAnsi="Arial" w:cs="Arial"/>
                <w:bCs/>
                <w:i/>
                <w:sz w:val="20"/>
                <w:szCs w:val="20"/>
                <w:lang w:val="en-GB"/>
              </w:rPr>
              <w:t>If not all the Newly Issued Shares are subscribed for within the term for subscription of the shares and the Board of the Company decides to consider the increase of the authorised capital of the Company as effective, the Board of the Company shall make respective amendments in the Articles of Association concerning the amount of the authorised capital and the number of shares.</w:t>
            </w:r>
          </w:p>
          <w:p w:rsidR="00682F8A" w:rsidRPr="004045CF" w:rsidRDefault="00682F8A" w:rsidP="00B317D5">
            <w:pPr>
              <w:widowControl/>
              <w:numPr>
                <w:ilvl w:val="1"/>
                <w:numId w:val="1"/>
              </w:numPr>
              <w:jc w:val="both"/>
              <w:rPr>
                <w:rFonts w:ascii="Arial" w:hAnsi="Arial" w:cs="Arial"/>
                <w:sz w:val="20"/>
                <w:szCs w:val="20"/>
                <w:lang w:val="en-GB"/>
              </w:rPr>
            </w:pPr>
            <w:r w:rsidRPr="004045CF">
              <w:rPr>
                <w:rFonts w:ascii="Arial" w:hAnsi="Arial" w:cs="Arial"/>
                <w:bCs/>
                <w:i/>
                <w:sz w:val="20"/>
                <w:szCs w:val="20"/>
                <w:lang w:val="en-GB"/>
              </w:rPr>
              <w:t>To authorize the Company’s General Manager or other person authorized by him to sign and submit for registration the new wording of the Articles of Association, to draft, sign and submit to the Register of Legal Persons and/or a notary bureau and/or other organisations and institutions all and any other necessary documents required for the increase of the Company’s authorised capital and to perform any other actions in relation with this assignment.</w:t>
            </w:r>
          </w:p>
        </w:tc>
        <w:tc>
          <w:tcPr>
            <w:tcW w:w="928" w:type="pct"/>
          </w:tcPr>
          <w:p w:rsidR="00D51CBF" w:rsidRPr="004045CF" w:rsidRDefault="00D51CBF">
            <w:pPr>
              <w:pStyle w:val="BodyText"/>
              <w:spacing w:before="53"/>
              <w:ind w:left="0"/>
              <w:rPr>
                <w:rFonts w:ascii="Arial" w:hAnsi="Arial" w:cs="Arial"/>
                <w:sz w:val="20"/>
                <w:szCs w:val="20"/>
                <w:lang w:val="en-GB"/>
              </w:rPr>
            </w:pPr>
          </w:p>
        </w:tc>
        <w:tc>
          <w:tcPr>
            <w:tcW w:w="921" w:type="pct"/>
          </w:tcPr>
          <w:p w:rsidR="00D51CBF" w:rsidRPr="004045CF" w:rsidRDefault="00D51CBF">
            <w:pPr>
              <w:pStyle w:val="BodyText"/>
              <w:spacing w:before="53"/>
              <w:ind w:left="0"/>
              <w:rPr>
                <w:rFonts w:ascii="Arial" w:hAnsi="Arial" w:cs="Arial"/>
                <w:sz w:val="20"/>
                <w:szCs w:val="20"/>
                <w:lang w:val="en-GB"/>
              </w:rPr>
            </w:pPr>
          </w:p>
        </w:tc>
      </w:tr>
      <w:tr w:rsidR="00682F8A" w:rsidRPr="004045CF" w:rsidTr="00B317D5">
        <w:tc>
          <w:tcPr>
            <w:tcW w:w="3151" w:type="pct"/>
          </w:tcPr>
          <w:p w:rsidR="00353FEB" w:rsidRPr="004045CF" w:rsidRDefault="00682F8A" w:rsidP="00682F8A">
            <w:pPr>
              <w:pStyle w:val="TableParagraph"/>
              <w:numPr>
                <w:ilvl w:val="0"/>
                <w:numId w:val="1"/>
              </w:numPr>
              <w:ind w:right="129"/>
              <w:jc w:val="both"/>
              <w:rPr>
                <w:rFonts w:ascii="Arial" w:hAnsi="Arial" w:cs="Arial"/>
                <w:b/>
                <w:color w:val="000000"/>
                <w:sz w:val="20"/>
                <w:szCs w:val="20"/>
                <w:lang w:val="en-GB"/>
              </w:rPr>
            </w:pPr>
            <w:r w:rsidRPr="004045CF">
              <w:rPr>
                <w:rFonts w:ascii="Arial" w:hAnsi="Arial" w:cs="Arial"/>
                <w:b/>
                <w:color w:val="000000"/>
                <w:sz w:val="20"/>
                <w:szCs w:val="20"/>
                <w:lang w:val="en-GB"/>
              </w:rPr>
              <w:t>Authorisation to the Board to determine the final conditions of the public offer of the Company’s shares</w:t>
            </w:r>
            <w:r w:rsidRPr="004045CF">
              <w:rPr>
                <w:rFonts w:ascii="Arial" w:hAnsi="Arial" w:cs="Arial"/>
                <w:i/>
                <w:sz w:val="20"/>
                <w:szCs w:val="20"/>
                <w:lang w:val="en-GB"/>
              </w:rPr>
              <w:t xml:space="preserve"> </w:t>
            </w:r>
          </w:p>
          <w:p w:rsidR="00353FEB" w:rsidRPr="004045CF" w:rsidRDefault="00353FEB" w:rsidP="00353FEB">
            <w:pPr>
              <w:pStyle w:val="TableParagraph"/>
              <w:ind w:left="459" w:right="129"/>
              <w:jc w:val="both"/>
              <w:rPr>
                <w:rFonts w:ascii="Arial" w:hAnsi="Arial" w:cs="Arial"/>
                <w:b/>
                <w:color w:val="000000"/>
                <w:sz w:val="20"/>
                <w:szCs w:val="20"/>
                <w:lang w:val="en-GB"/>
              </w:rPr>
            </w:pPr>
          </w:p>
          <w:p w:rsidR="00682F8A" w:rsidRPr="004045CF" w:rsidRDefault="00682F8A" w:rsidP="00353FEB">
            <w:pPr>
              <w:pStyle w:val="TableParagraph"/>
              <w:ind w:left="459" w:right="129"/>
              <w:jc w:val="both"/>
              <w:rPr>
                <w:rFonts w:ascii="Arial" w:hAnsi="Arial" w:cs="Arial"/>
                <w:b/>
                <w:color w:val="000000"/>
                <w:sz w:val="20"/>
                <w:szCs w:val="20"/>
                <w:lang w:val="en-GB"/>
              </w:rPr>
            </w:pPr>
            <w:r w:rsidRPr="004045CF">
              <w:rPr>
                <w:rFonts w:ascii="Arial" w:hAnsi="Arial" w:cs="Arial"/>
                <w:i/>
                <w:color w:val="000000"/>
                <w:sz w:val="20"/>
                <w:szCs w:val="20"/>
                <w:lang w:val="en-GB"/>
              </w:rPr>
              <w:t>To authorise the Board to determine the final conditions of the public offer of the Company’s shares (Offer Shares), including, without limitation, the final issue price (sale price) of the Offer Shares, as well as the final number of the New Shares to be issued.</w:t>
            </w:r>
          </w:p>
        </w:tc>
        <w:tc>
          <w:tcPr>
            <w:tcW w:w="928" w:type="pct"/>
          </w:tcPr>
          <w:p w:rsidR="00682F8A" w:rsidRPr="004045CF" w:rsidRDefault="00682F8A">
            <w:pPr>
              <w:pStyle w:val="BodyText"/>
              <w:spacing w:before="53"/>
              <w:ind w:left="0"/>
              <w:rPr>
                <w:rFonts w:ascii="Arial" w:hAnsi="Arial" w:cs="Arial"/>
                <w:sz w:val="20"/>
                <w:szCs w:val="20"/>
                <w:lang w:val="en-GB"/>
              </w:rPr>
            </w:pPr>
          </w:p>
        </w:tc>
        <w:tc>
          <w:tcPr>
            <w:tcW w:w="921" w:type="pct"/>
          </w:tcPr>
          <w:p w:rsidR="00682F8A" w:rsidRPr="004045CF" w:rsidRDefault="00682F8A">
            <w:pPr>
              <w:pStyle w:val="BodyText"/>
              <w:spacing w:before="53"/>
              <w:ind w:left="0"/>
              <w:rPr>
                <w:rFonts w:ascii="Arial" w:hAnsi="Arial" w:cs="Arial"/>
                <w:sz w:val="20"/>
                <w:szCs w:val="20"/>
                <w:lang w:val="en-GB"/>
              </w:rPr>
            </w:pPr>
          </w:p>
        </w:tc>
      </w:tr>
      <w:tr w:rsidR="00682F8A" w:rsidRPr="004045CF" w:rsidTr="00B317D5">
        <w:tc>
          <w:tcPr>
            <w:tcW w:w="3151" w:type="pct"/>
          </w:tcPr>
          <w:p w:rsidR="00682F8A" w:rsidRPr="004045CF" w:rsidRDefault="00682F8A" w:rsidP="00682F8A">
            <w:pPr>
              <w:pStyle w:val="TableParagraph"/>
              <w:numPr>
                <w:ilvl w:val="0"/>
                <w:numId w:val="1"/>
              </w:numPr>
              <w:ind w:right="129"/>
              <w:jc w:val="both"/>
              <w:rPr>
                <w:rFonts w:ascii="Arial" w:hAnsi="Arial" w:cs="Arial"/>
                <w:b/>
                <w:sz w:val="20"/>
                <w:szCs w:val="20"/>
                <w:lang w:val="en-GB"/>
              </w:rPr>
            </w:pPr>
            <w:r w:rsidRPr="004045CF">
              <w:rPr>
                <w:rFonts w:ascii="Arial" w:hAnsi="Arial" w:cs="Arial"/>
                <w:b/>
                <w:color w:val="000000"/>
                <w:sz w:val="20"/>
                <w:szCs w:val="20"/>
                <w:lang w:val="en-GB"/>
              </w:rPr>
              <w:t xml:space="preserve">Admission to listing and trading of the </w:t>
            </w:r>
            <w:r w:rsidR="00506E52" w:rsidRPr="004045CF">
              <w:rPr>
                <w:rFonts w:ascii="Arial" w:hAnsi="Arial" w:cs="Arial"/>
                <w:b/>
                <w:color w:val="000000"/>
                <w:sz w:val="20"/>
                <w:szCs w:val="20"/>
                <w:lang w:val="en-GB"/>
              </w:rPr>
              <w:t xml:space="preserve">new </w:t>
            </w:r>
            <w:r w:rsidRPr="004045CF">
              <w:rPr>
                <w:rFonts w:ascii="Arial" w:hAnsi="Arial" w:cs="Arial"/>
                <w:b/>
                <w:color w:val="000000"/>
                <w:sz w:val="20"/>
                <w:szCs w:val="20"/>
                <w:lang w:val="en-GB"/>
              </w:rPr>
              <w:t>shares of the Company on the regulated market</w:t>
            </w:r>
            <w:r w:rsidR="00506E52" w:rsidRPr="004045CF">
              <w:rPr>
                <w:rFonts w:ascii="Arial" w:hAnsi="Arial" w:cs="Arial"/>
                <w:b/>
                <w:color w:val="000000"/>
                <w:lang w:val="en-GB"/>
              </w:rPr>
              <w:t>s</w:t>
            </w:r>
            <w:r w:rsidRPr="004045CF">
              <w:rPr>
                <w:rFonts w:ascii="Arial" w:hAnsi="Arial" w:cs="Arial"/>
                <w:b/>
                <w:color w:val="000000"/>
                <w:sz w:val="20"/>
                <w:szCs w:val="20"/>
                <w:lang w:val="en-GB"/>
              </w:rPr>
              <w:t xml:space="preserve"> and authorization of the Board to take corresponding actions</w:t>
            </w:r>
          </w:p>
          <w:p w:rsidR="00353FEB" w:rsidRPr="004045CF" w:rsidRDefault="00353FEB" w:rsidP="00682F8A">
            <w:pPr>
              <w:pStyle w:val="TableParagraph"/>
              <w:ind w:left="459" w:right="129"/>
              <w:jc w:val="both"/>
              <w:rPr>
                <w:rFonts w:ascii="Arial" w:hAnsi="Arial" w:cs="Arial"/>
                <w:i/>
                <w:sz w:val="20"/>
                <w:szCs w:val="20"/>
                <w:lang w:val="en-GB"/>
              </w:rPr>
            </w:pPr>
          </w:p>
          <w:p w:rsidR="00682F8A" w:rsidRPr="004045CF" w:rsidRDefault="00682F8A" w:rsidP="00682F8A">
            <w:pPr>
              <w:pStyle w:val="TableParagraph"/>
              <w:ind w:left="459" w:right="129"/>
              <w:jc w:val="both"/>
              <w:rPr>
                <w:rFonts w:ascii="Arial" w:hAnsi="Arial" w:cs="Arial"/>
                <w:b/>
                <w:sz w:val="20"/>
                <w:szCs w:val="20"/>
                <w:lang w:val="en-GB"/>
              </w:rPr>
            </w:pPr>
            <w:r w:rsidRPr="004045CF">
              <w:rPr>
                <w:rFonts w:ascii="Arial" w:hAnsi="Arial" w:cs="Arial"/>
                <w:i/>
                <w:color w:val="000000"/>
                <w:sz w:val="20"/>
                <w:szCs w:val="20"/>
                <w:lang w:val="en-GB"/>
              </w:rPr>
              <w:t xml:space="preserve">To initiate the admission to listing and trading of Newly Issued Shares of the Company on the regulated markets of Warsaw Stock Exchange </w:t>
            </w:r>
            <w:r w:rsidRPr="004045CF">
              <w:rPr>
                <w:rFonts w:ascii="Arial" w:hAnsi="Arial" w:cs="Arial"/>
                <w:bCs/>
                <w:i/>
                <w:sz w:val="20"/>
                <w:szCs w:val="20"/>
                <w:lang w:val="en-GB"/>
              </w:rPr>
              <w:t>AB Nasdaq Vilnius</w:t>
            </w:r>
            <w:r w:rsidRPr="004045CF">
              <w:rPr>
                <w:rFonts w:ascii="Arial" w:hAnsi="Arial" w:cs="Arial"/>
                <w:i/>
                <w:color w:val="000000"/>
                <w:sz w:val="20"/>
                <w:szCs w:val="20"/>
                <w:lang w:val="en-GB"/>
              </w:rPr>
              <w:t xml:space="preserve"> and authorize the Board of the Company to perform any corresponding actions in relation to the issue.</w:t>
            </w:r>
          </w:p>
        </w:tc>
        <w:tc>
          <w:tcPr>
            <w:tcW w:w="928" w:type="pct"/>
          </w:tcPr>
          <w:p w:rsidR="00682F8A" w:rsidRPr="004045CF" w:rsidRDefault="00682F8A">
            <w:pPr>
              <w:pStyle w:val="BodyText"/>
              <w:spacing w:before="53"/>
              <w:ind w:left="0"/>
              <w:rPr>
                <w:rFonts w:ascii="Arial" w:hAnsi="Arial" w:cs="Arial"/>
                <w:sz w:val="20"/>
                <w:szCs w:val="20"/>
                <w:lang w:val="en-GB"/>
              </w:rPr>
            </w:pPr>
          </w:p>
        </w:tc>
        <w:tc>
          <w:tcPr>
            <w:tcW w:w="921" w:type="pct"/>
          </w:tcPr>
          <w:p w:rsidR="00682F8A" w:rsidRPr="004045CF" w:rsidRDefault="00682F8A">
            <w:pPr>
              <w:pStyle w:val="BodyText"/>
              <w:spacing w:before="53"/>
              <w:ind w:left="0"/>
              <w:rPr>
                <w:rFonts w:ascii="Arial" w:hAnsi="Arial" w:cs="Arial"/>
                <w:sz w:val="20"/>
                <w:szCs w:val="20"/>
                <w:lang w:val="en-GB"/>
              </w:rPr>
            </w:pPr>
          </w:p>
        </w:tc>
      </w:tr>
    </w:tbl>
    <w:p w:rsidR="00985C39" w:rsidRPr="004045CF" w:rsidRDefault="00985C39">
      <w:pPr>
        <w:rPr>
          <w:rFonts w:ascii="Arial" w:eastAsia="Book Antiqua" w:hAnsi="Arial" w:cs="Arial"/>
          <w:sz w:val="20"/>
          <w:szCs w:val="20"/>
          <w:lang w:val="en-GB"/>
        </w:rPr>
      </w:pPr>
    </w:p>
    <w:p w:rsidR="00985C39" w:rsidRPr="004045CF" w:rsidRDefault="00985C39">
      <w:pPr>
        <w:rPr>
          <w:rFonts w:ascii="Arial" w:eastAsia="Book Antiqua" w:hAnsi="Arial" w:cs="Arial"/>
          <w:sz w:val="20"/>
          <w:szCs w:val="20"/>
          <w:lang w:val="en-GB"/>
        </w:rPr>
      </w:pPr>
    </w:p>
    <w:p w:rsidR="00985C39" w:rsidRPr="004045CF" w:rsidRDefault="00985C39">
      <w:pPr>
        <w:rPr>
          <w:rFonts w:ascii="Arial" w:eastAsia="Book Antiqua" w:hAnsi="Arial" w:cs="Arial"/>
          <w:sz w:val="20"/>
          <w:szCs w:val="20"/>
          <w:lang w:val="en-GB"/>
        </w:rPr>
      </w:pPr>
    </w:p>
    <w:p w:rsidR="00985C39" w:rsidRPr="004045CF" w:rsidRDefault="00985C39">
      <w:pPr>
        <w:spacing w:before="8"/>
        <w:rPr>
          <w:rFonts w:ascii="Arial" w:eastAsia="Book Antiqua" w:hAnsi="Arial" w:cs="Arial"/>
          <w:sz w:val="20"/>
          <w:szCs w:val="20"/>
          <w:lang w:val="en-GB"/>
        </w:rPr>
      </w:pPr>
    </w:p>
    <w:p w:rsidR="00985C39" w:rsidRPr="004045CF" w:rsidRDefault="00985C39">
      <w:pPr>
        <w:rPr>
          <w:rFonts w:ascii="Arial" w:eastAsia="Book Antiqua" w:hAnsi="Arial" w:cs="Arial"/>
          <w:sz w:val="20"/>
          <w:szCs w:val="20"/>
          <w:lang w:val="en-GB"/>
        </w:rPr>
        <w:sectPr w:rsidR="00985C39" w:rsidRPr="004045CF" w:rsidSect="00B317D5">
          <w:type w:val="continuous"/>
          <w:pgSz w:w="11900" w:h="16840"/>
          <w:pgMar w:top="1134" w:right="1134" w:bottom="1134" w:left="1418" w:header="567" w:footer="567" w:gutter="0"/>
          <w:cols w:space="1296"/>
        </w:sectPr>
      </w:pPr>
    </w:p>
    <w:p w:rsidR="00985C39" w:rsidRPr="004045CF" w:rsidRDefault="00D51CBF">
      <w:pPr>
        <w:pStyle w:val="BodyText"/>
        <w:spacing w:before="53"/>
        <w:rPr>
          <w:rFonts w:ascii="Arial" w:hAnsi="Arial" w:cs="Arial"/>
          <w:sz w:val="20"/>
          <w:szCs w:val="20"/>
          <w:lang w:val="en-GB"/>
        </w:rPr>
      </w:pPr>
      <w:r w:rsidRPr="004045CF">
        <w:rPr>
          <w:rFonts w:ascii="Arial" w:hAnsi="Arial" w:cs="Arial"/>
          <w:spacing w:val="-1"/>
          <w:sz w:val="20"/>
          <w:szCs w:val="20"/>
          <w:lang w:val="en-GB"/>
        </w:rPr>
        <w:t>Shareholder</w:t>
      </w:r>
    </w:p>
    <w:p w:rsidR="00985C39" w:rsidRPr="004045CF" w:rsidRDefault="00D51CBF">
      <w:pPr>
        <w:spacing w:before="4"/>
        <w:rPr>
          <w:rFonts w:ascii="Arial" w:eastAsia="Book Antiqua" w:hAnsi="Arial" w:cs="Arial"/>
          <w:sz w:val="20"/>
          <w:szCs w:val="20"/>
          <w:lang w:val="en-GB"/>
        </w:rPr>
      </w:pPr>
      <w:r w:rsidRPr="004045CF">
        <w:rPr>
          <w:rFonts w:ascii="Arial" w:hAnsi="Arial" w:cs="Arial"/>
          <w:sz w:val="20"/>
          <w:szCs w:val="20"/>
          <w:lang w:val="en-GB"/>
        </w:rPr>
        <w:br w:type="column"/>
      </w:r>
    </w:p>
    <w:p w:rsidR="00985C39" w:rsidRPr="004045CF" w:rsidRDefault="00C82E85">
      <w:pPr>
        <w:tabs>
          <w:tab w:val="left" w:pos="3335"/>
        </w:tabs>
        <w:spacing w:line="20" w:lineRule="atLeast"/>
        <w:ind w:left="335"/>
        <w:rPr>
          <w:rFonts w:ascii="Arial" w:eastAsia="Book Antiqua" w:hAnsi="Arial" w:cs="Arial"/>
          <w:sz w:val="20"/>
          <w:szCs w:val="20"/>
          <w:lang w:val="en-GB"/>
        </w:rPr>
      </w:pPr>
      <w:r w:rsidRPr="004045CF">
        <w:rPr>
          <w:rFonts w:ascii="Arial" w:hAnsi="Arial" w:cs="Arial"/>
          <w:sz w:val="20"/>
          <w:szCs w:val="20"/>
          <w:lang w:val="en-GB"/>
        </w:rPr>
        <mc:AlternateContent>
          <mc:Choice Requires="wpg">
            <w:drawing>
              <wp:inline distT="0" distB="0" distL="0" distR="0">
                <wp:extent cx="1531620" cy="7620"/>
                <wp:effectExtent l="7620" t="1270" r="3810" b="10160"/>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31620" cy="7620"/>
                          <a:chOff x="0" y="0"/>
                          <a:chExt cx="2412" cy="12"/>
                        </a:xfrm>
                      </wpg:grpSpPr>
                      <wpg:grpSp>
                        <wpg:cNvPr id="5" name="Group 6"/>
                        <wpg:cNvGrpSpPr>
                          <a:grpSpLocks/>
                        </wpg:cNvGrpSpPr>
                        <wpg:grpSpPr bwMode="auto">
                          <a:xfrm>
                            <a:off x="6" y="6"/>
                            <a:ext cx="2400" cy="2"/>
                            <a:chOff x="6" y="6"/>
                            <a:chExt cx="2400" cy="2"/>
                          </a:xfrm>
                        </wpg:grpSpPr>
                        <wps:wsp>
                          <wps:cNvPr id="6" name="Freeform 7"/>
                          <wps:cNvSpPr>
                            <a:spLocks/>
                          </wps:cNvSpPr>
                          <wps:spPr bwMode="auto">
                            <a:xfrm>
                              <a:off x="6" y="6"/>
                              <a:ext cx="2400" cy="2"/>
                            </a:xfrm>
                            <a:custGeom>
                              <a:avLst/>
                              <a:gdLst>
                                <a:gd name="T0" fmla="+- 0 6 6"/>
                                <a:gd name="T1" fmla="*/ T0 w 2400"/>
                                <a:gd name="T2" fmla="+- 0 2406 6"/>
                                <a:gd name="T3" fmla="*/ T2 w 2400"/>
                              </a:gdLst>
                              <a:ahLst/>
                              <a:cxnLst>
                                <a:cxn ang="0">
                                  <a:pos x="T1" y="0"/>
                                </a:cxn>
                                <a:cxn ang="0">
                                  <a:pos x="T3" y="0"/>
                                </a:cxn>
                              </a:cxnLst>
                              <a:rect l="0" t="0" r="r" b="b"/>
                              <a:pathLst>
                                <a:path w="2400">
                                  <a:moveTo>
                                    <a:pt x="0" y="0"/>
                                  </a:moveTo>
                                  <a:lnTo>
                                    <a:pt x="2400" y="0"/>
                                  </a:lnTo>
                                </a:path>
                              </a:pathLst>
                            </a:custGeom>
                            <a:noFill/>
                            <a:ln w="76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9CB6608" id="Group 5" o:spid="_x0000_s1026" style="width:120.6pt;height:.6pt;mso-position-horizontal-relative:char;mso-position-vertical-relative:line" coordsize="241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">
                <v:group id="Group 6" o:spid="_x0000_s1027" style="position:absolute;left:6;top:6;width:2400;height:2" coordorigin="6,6" coordsize="24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7" o:spid="_x0000_s1028" style="position:absolute;left:6;top:6;width:2400;height:2;visibility:visible;mso-wrap-style:square;v-text-anchor:top" coordsize="24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" path="m,l2400,e" filled="f" strokeweight=".21156mm">
                    <v:path arrowok="t" o:connecttype="custom" o:connectlocs="0,0;2400,0" o:connectangles="0,0"/>
                  </v:shape>
                </v:group>
                <w10:anchorlock/>
              </v:group>
            </w:pict>
          </mc:Fallback>
        </mc:AlternateContent>
      </w:r>
      <w:r w:rsidR="00D51CBF" w:rsidRPr="004045CF">
        <w:rPr>
          <w:rFonts w:ascii="Arial" w:hAnsi="Arial" w:cs="Arial"/>
          <w:sz w:val="20"/>
          <w:szCs w:val="20"/>
          <w:lang w:val="en-GB"/>
        </w:rPr>
        <w:tab/>
      </w:r>
      <w:r w:rsidRPr="004045CF">
        <w:rPr>
          <w:rFonts w:ascii="Arial" w:hAnsi="Arial" w:cs="Arial"/>
          <w:sz w:val="20"/>
          <w:szCs w:val="20"/>
          <w:lang w:val="en-GB"/>
        </w:rPr>
        <mc:AlternateContent>
          <mc:Choice Requires="wpg">
            <w:drawing>
              <wp:inline distT="0" distB="0" distL="0" distR="0">
                <wp:extent cx="2522220" cy="7620"/>
                <wp:effectExtent l="7620" t="1270" r="3810" b="1016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22220" cy="7620"/>
                          <a:chOff x="0" y="0"/>
                          <a:chExt cx="3972" cy="12"/>
                        </a:xfrm>
                      </wpg:grpSpPr>
                      <wpg:grpSp>
                        <wpg:cNvPr id="2" name="Group 3"/>
                        <wpg:cNvGrpSpPr>
                          <a:grpSpLocks/>
                        </wpg:cNvGrpSpPr>
                        <wpg:grpSpPr bwMode="auto">
                          <a:xfrm>
                            <a:off x="6" y="6"/>
                            <a:ext cx="3960" cy="2"/>
                            <a:chOff x="6" y="6"/>
                            <a:chExt cx="3960" cy="2"/>
                          </a:xfrm>
                        </wpg:grpSpPr>
                        <wps:wsp>
                          <wps:cNvPr id="3" name="Freeform 4"/>
                          <wps:cNvSpPr>
                            <a:spLocks/>
                          </wps:cNvSpPr>
                          <wps:spPr bwMode="auto">
                            <a:xfrm>
                              <a:off x="6" y="6"/>
                              <a:ext cx="3960" cy="2"/>
                            </a:xfrm>
                            <a:custGeom>
                              <a:avLst/>
                              <a:gdLst>
                                <a:gd name="T0" fmla="+- 0 6 6"/>
                                <a:gd name="T1" fmla="*/ T0 w 3960"/>
                                <a:gd name="T2" fmla="+- 0 3966 6"/>
                                <a:gd name="T3" fmla="*/ T2 w 3960"/>
                              </a:gdLst>
                              <a:ahLst/>
                              <a:cxnLst>
                                <a:cxn ang="0">
                                  <a:pos x="T1" y="0"/>
                                </a:cxn>
                                <a:cxn ang="0">
                                  <a:pos x="T3" y="0"/>
                                </a:cxn>
                              </a:cxnLst>
                              <a:rect l="0" t="0" r="r" b="b"/>
                              <a:pathLst>
                                <a:path w="3960">
                                  <a:moveTo>
                                    <a:pt x="0" y="0"/>
                                  </a:moveTo>
                                  <a:lnTo>
                                    <a:pt x="3960" y="0"/>
                                  </a:lnTo>
                                </a:path>
                              </a:pathLst>
                            </a:custGeom>
                            <a:noFill/>
                            <a:ln w="76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F4E663D" id="Group 2" o:spid="_x0000_s1026" style="width:198.6pt;height:.6pt;mso-position-horizontal-relative:char;mso-position-vertical-relative:line" coordsize="39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">
                <v:group id="Group 3" o:spid="_x0000_s1027" style="position:absolute;left:6;top:6;width:3960;height:2" coordorigin="6,6" coordsize="39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4" o:spid="_x0000_s1028" style="position:absolute;left:6;top:6;width:3960;height:2;visibility:visible;mso-wrap-style:square;v-text-anchor:top" coordsize="39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" path="m,l3960,e" filled="f" strokeweight=".21156mm">
                    <v:path arrowok="t" o:connecttype="custom" o:connectlocs="0,0;3960,0" o:connectangles="0,0"/>
                  </v:shape>
                </v:group>
                <w10:anchorlock/>
              </v:group>
            </w:pict>
          </mc:Fallback>
        </mc:AlternateContent>
      </w:r>
    </w:p>
    <w:p w:rsidR="00985C39" w:rsidRPr="004045CF" w:rsidRDefault="00D51CBF">
      <w:pPr>
        <w:pStyle w:val="BodyText"/>
        <w:tabs>
          <w:tab w:val="left" w:pos="4229"/>
        </w:tabs>
        <w:spacing w:before="18"/>
        <w:rPr>
          <w:rFonts w:ascii="Arial" w:hAnsi="Arial" w:cs="Arial"/>
          <w:sz w:val="20"/>
          <w:szCs w:val="20"/>
          <w:lang w:val="en-GB"/>
        </w:rPr>
      </w:pPr>
      <w:r w:rsidRPr="004045CF">
        <w:rPr>
          <w:rFonts w:ascii="Arial" w:hAnsi="Arial" w:cs="Arial"/>
          <w:spacing w:val="-1"/>
          <w:w w:val="95"/>
          <w:sz w:val="20"/>
          <w:szCs w:val="20"/>
          <w:lang w:val="en-GB"/>
        </w:rPr>
        <w:t>(Signature)</w:t>
      </w:r>
      <w:r w:rsidRPr="004045CF">
        <w:rPr>
          <w:rFonts w:ascii="Arial" w:hAnsi="Arial" w:cs="Arial"/>
          <w:spacing w:val="-1"/>
          <w:w w:val="95"/>
          <w:sz w:val="20"/>
          <w:szCs w:val="20"/>
          <w:lang w:val="en-GB"/>
        </w:rPr>
        <w:tab/>
      </w:r>
      <w:r w:rsidRPr="004045CF">
        <w:rPr>
          <w:rFonts w:ascii="Arial" w:hAnsi="Arial" w:cs="Arial"/>
          <w:spacing w:val="-1"/>
          <w:sz w:val="20"/>
          <w:szCs w:val="20"/>
          <w:lang w:val="en-GB"/>
        </w:rPr>
        <w:t>(Name</w:t>
      </w:r>
      <w:r w:rsidRPr="004045CF">
        <w:rPr>
          <w:rFonts w:ascii="Arial" w:hAnsi="Arial" w:cs="Arial"/>
          <w:spacing w:val="-11"/>
          <w:sz w:val="20"/>
          <w:szCs w:val="20"/>
          <w:lang w:val="en-GB"/>
        </w:rPr>
        <w:t xml:space="preserve"> </w:t>
      </w:r>
      <w:r w:rsidRPr="004045CF">
        <w:rPr>
          <w:rFonts w:ascii="Arial" w:hAnsi="Arial" w:cs="Arial"/>
          <w:spacing w:val="-1"/>
          <w:sz w:val="20"/>
          <w:szCs w:val="20"/>
          <w:lang w:val="en-GB"/>
        </w:rPr>
        <w:t>and</w:t>
      </w:r>
      <w:r w:rsidRPr="004045CF">
        <w:rPr>
          <w:rFonts w:ascii="Arial" w:hAnsi="Arial" w:cs="Arial"/>
          <w:spacing w:val="-12"/>
          <w:sz w:val="20"/>
          <w:szCs w:val="20"/>
          <w:lang w:val="en-GB"/>
        </w:rPr>
        <w:t xml:space="preserve"> </w:t>
      </w:r>
      <w:r w:rsidRPr="004045CF">
        <w:rPr>
          <w:rFonts w:ascii="Arial" w:hAnsi="Arial" w:cs="Arial"/>
          <w:spacing w:val="-1"/>
          <w:sz w:val="20"/>
          <w:szCs w:val="20"/>
          <w:lang w:val="en-GB"/>
        </w:rPr>
        <w:t>Surname)</w:t>
      </w:r>
    </w:p>
    <w:p w:rsidR="00985C39" w:rsidRPr="004045CF" w:rsidRDefault="00985C39">
      <w:pPr>
        <w:rPr>
          <w:rFonts w:ascii="Arial" w:hAnsi="Arial" w:cs="Arial"/>
          <w:sz w:val="20"/>
          <w:szCs w:val="20"/>
          <w:lang w:val="en-GB"/>
        </w:rPr>
        <w:sectPr w:rsidR="00985C39" w:rsidRPr="004045CF">
          <w:type w:val="continuous"/>
          <w:pgSz w:w="11900" w:h="16840"/>
          <w:pgMar w:top="680" w:right="460" w:bottom="280" w:left="760" w:header="567" w:footer="567" w:gutter="0"/>
          <w:cols w:num="2" w:space="1296" w:equalWidth="0">
            <w:col w:w="2235" w:space="957"/>
            <w:col w:w="7488"/>
          </w:cols>
        </w:sectPr>
      </w:pPr>
    </w:p>
    <w:p w:rsidR="00985C39" w:rsidRPr="004045CF" w:rsidRDefault="00985C39">
      <w:pPr>
        <w:rPr>
          <w:rFonts w:ascii="Arial" w:eastAsia="Book Antiqua" w:hAnsi="Arial" w:cs="Arial"/>
          <w:sz w:val="20"/>
          <w:szCs w:val="20"/>
          <w:lang w:val="en-GB"/>
        </w:rPr>
      </w:pPr>
    </w:p>
    <w:p w:rsidR="00985C39" w:rsidRPr="004045CF" w:rsidRDefault="00985C39">
      <w:pPr>
        <w:spacing w:before="3"/>
        <w:rPr>
          <w:rFonts w:ascii="Arial" w:eastAsia="Book Antiqua" w:hAnsi="Arial" w:cs="Arial"/>
          <w:sz w:val="20"/>
          <w:szCs w:val="20"/>
          <w:lang w:val="en-GB"/>
        </w:rPr>
      </w:pPr>
    </w:p>
    <w:p w:rsidR="00985C39" w:rsidRPr="004045CF" w:rsidRDefault="00D51CBF">
      <w:pPr>
        <w:pStyle w:val="BodyText"/>
        <w:spacing w:before="69"/>
        <w:ind w:left="0" w:right="100"/>
        <w:jc w:val="right"/>
        <w:rPr>
          <w:rFonts w:ascii="Arial" w:eastAsia="Times New Roman" w:hAnsi="Arial" w:cs="Arial"/>
          <w:sz w:val="20"/>
          <w:szCs w:val="20"/>
          <w:lang w:val="en-GB"/>
        </w:rPr>
      </w:pPr>
      <w:r w:rsidRPr="004045CF">
        <w:rPr>
          <w:rFonts w:ascii="Arial" w:hAnsi="Arial" w:cs="Arial"/>
          <w:w w:val="95"/>
          <w:sz w:val="20"/>
          <w:szCs w:val="20"/>
          <w:lang w:val="en-GB"/>
        </w:rPr>
        <w:t>1</w:t>
      </w:r>
    </w:p>
    <w:sectPr w:rsidR="00985C39" w:rsidRPr="004045CF">
      <w:type w:val="continuous"/>
      <w:pgSz w:w="11900" w:h="16840"/>
      <w:pgMar w:top="680" w:right="460" w:bottom="280" w:left="760"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163ECA"/>
    <w:multiLevelType w:val="multilevel"/>
    <w:tmpl w:val="DDACD030"/>
    <w:lvl w:ilvl="0">
      <w:start w:val="1"/>
      <w:numFmt w:val="decimal"/>
      <w:lvlText w:val="%1."/>
      <w:lvlJc w:val="left"/>
      <w:pPr>
        <w:ind w:left="459" w:hanging="360"/>
      </w:pPr>
      <w:rPr>
        <w:rFonts w:hint="default"/>
        <w:b/>
        <w:color w:val="000000"/>
      </w:rPr>
    </w:lvl>
    <w:lvl w:ilvl="1">
      <w:start w:val="1"/>
      <w:numFmt w:val="decimal"/>
      <w:isLgl/>
      <w:lvlText w:val="%1.%2."/>
      <w:lvlJc w:val="left"/>
      <w:pPr>
        <w:ind w:left="459" w:hanging="360"/>
      </w:pPr>
      <w:rPr>
        <w:rFonts w:hint="default"/>
        <w:b w:val="0"/>
        <w:i/>
      </w:rPr>
    </w:lvl>
    <w:lvl w:ilvl="2">
      <w:start w:val="1"/>
      <w:numFmt w:val="decimal"/>
      <w:isLgl/>
      <w:lvlText w:val="%1.%2.%3."/>
      <w:lvlJc w:val="left"/>
      <w:pPr>
        <w:ind w:left="819" w:hanging="720"/>
      </w:pPr>
      <w:rPr>
        <w:rFonts w:hint="default"/>
        <w:b w:val="0"/>
        <w:i/>
      </w:rPr>
    </w:lvl>
    <w:lvl w:ilvl="3">
      <w:start w:val="1"/>
      <w:numFmt w:val="decimal"/>
      <w:isLgl/>
      <w:lvlText w:val="%1.%2.%3.%4."/>
      <w:lvlJc w:val="left"/>
      <w:pPr>
        <w:ind w:left="819" w:hanging="720"/>
      </w:pPr>
      <w:rPr>
        <w:rFonts w:hint="default"/>
        <w:b w:val="0"/>
        <w:i/>
      </w:rPr>
    </w:lvl>
    <w:lvl w:ilvl="4">
      <w:start w:val="1"/>
      <w:numFmt w:val="decimal"/>
      <w:isLgl/>
      <w:lvlText w:val="%1.%2.%3.%4.%5."/>
      <w:lvlJc w:val="left"/>
      <w:pPr>
        <w:ind w:left="1179" w:hanging="1080"/>
      </w:pPr>
      <w:rPr>
        <w:rFonts w:hint="default"/>
        <w:b w:val="0"/>
        <w:i/>
      </w:rPr>
    </w:lvl>
    <w:lvl w:ilvl="5">
      <w:start w:val="1"/>
      <w:numFmt w:val="decimal"/>
      <w:isLgl/>
      <w:lvlText w:val="%1.%2.%3.%4.%5.%6."/>
      <w:lvlJc w:val="left"/>
      <w:pPr>
        <w:ind w:left="1179" w:hanging="1080"/>
      </w:pPr>
      <w:rPr>
        <w:rFonts w:hint="default"/>
        <w:b w:val="0"/>
        <w:i/>
      </w:rPr>
    </w:lvl>
    <w:lvl w:ilvl="6">
      <w:start w:val="1"/>
      <w:numFmt w:val="decimal"/>
      <w:isLgl/>
      <w:lvlText w:val="%1.%2.%3.%4.%5.%6.%7."/>
      <w:lvlJc w:val="left"/>
      <w:pPr>
        <w:ind w:left="1539" w:hanging="1440"/>
      </w:pPr>
      <w:rPr>
        <w:rFonts w:hint="default"/>
        <w:b w:val="0"/>
        <w:i/>
      </w:rPr>
    </w:lvl>
    <w:lvl w:ilvl="7">
      <w:start w:val="1"/>
      <w:numFmt w:val="decimal"/>
      <w:isLgl/>
      <w:lvlText w:val="%1.%2.%3.%4.%5.%6.%7.%8."/>
      <w:lvlJc w:val="left"/>
      <w:pPr>
        <w:ind w:left="1539" w:hanging="1440"/>
      </w:pPr>
      <w:rPr>
        <w:rFonts w:hint="default"/>
        <w:b w:val="0"/>
        <w:i/>
      </w:rPr>
    </w:lvl>
    <w:lvl w:ilvl="8">
      <w:start w:val="1"/>
      <w:numFmt w:val="decimal"/>
      <w:isLgl/>
      <w:lvlText w:val="%1.%2.%3.%4.%5.%6.%7.%8.%9."/>
      <w:lvlJc w:val="left"/>
      <w:pPr>
        <w:ind w:left="1899" w:hanging="1800"/>
      </w:pPr>
      <w:rPr>
        <w:rFonts w:hint="default"/>
        <w:b w:val="0"/>
        <w:i/>
      </w:rPr>
    </w:lvl>
  </w:abstractNum>
  <w:abstractNum w:abstractNumId="1" w15:restartNumberingAfterBreak="0">
    <w:nsid w:val="439F7C02"/>
    <w:multiLevelType w:val="hybridMultilevel"/>
    <w:tmpl w:val="67045EE8"/>
    <w:lvl w:ilvl="0" w:tplc="CA0A69EA">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9BC734C"/>
    <w:multiLevelType w:val="multilevel"/>
    <w:tmpl w:val="774E8FC8"/>
    <w:lvl w:ilvl="0">
      <w:start w:val="1"/>
      <w:numFmt w:val="decimal"/>
      <w:lvlText w:val="%1."/>
      <w:lvlJc w:val="right"/>
      <w:pPr>
        <w:ind w:left="720" w:hanging="360"/>
      </w:pPr>
      <w:rPr>
        <w:rFonts w:hint="default"/>
        <w:b/>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C39"/>
    <w:rsid w:val="001A4712"/>
    <w:rsid w:val="00353FEB"/>
    <w:rsid w:val="004045CF"/>
    <w:rsid w:val="00406757"/>
    <w:rsid w:val="004174AD"/>
    <w:rsid w:val="004E1157"/>
    <w:rsid w:val="00506E52"/>
    <w:rsid w:val="00682F8A"/>
    <w:rsid w:val="00791888"/>
    <w:rsid w:val="00793A9B"/>
    <w:rsid w:val="00922777"/>
    <w:rsid w:val="00933E42"/>
    <w:rsid w:val="00985C39"/>
    <w:rsid w:val="00995E04"/>
    <w:rsid w:val="00A33983"/>
    <w:rsid w:val="00AC5D23"/>
    <w:rsid w:val="00B20521"/>
    <w:rsid w:val="00B317D5"/>
    <w:rsid w:val="00C648E8"/>
    <w:rsid w:val="00C82E85"/>
    <w:rsid w:val="00D51CBF"/>
    <w:rsid w:val="00D84CC1"/>
    <w:rsid w:val="00DC268D"/>
    <w:rsid w:val="00DF1433"/>
    <w:rsid w:val="00E153F1"/>
    <w:rsid w:val="00E84811"/>
    <w:rsid w:val="00F61E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352EC1-D0EA-4CC2-B444-728BF861C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ind w:left="840"/>
      <w:outlineLvl w:val="0"/>
    </w:pPr>
    <w:rPr>
      <w:rFonts w:ascii="Book Antiqua" w:eastAsia="Book Antiqua" w:hAnsi="Book Antiqu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41"/>
    </w:pPr>
    <w:rPr>
      <w:rFonts w:ascii="Book Antiqua" w:eastAsia="Book Antiqua" w:hAnsi="Book Antiqua"/>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D51C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33E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3E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3007</Words>
  <Characters>1715</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General Voting Ballot at AUGA group AB Ordinary General Meeting of Shareholders on 28 April 2017</vt:lpstr>
    </vt:vector>
  </TitlesOfParts>
  <Company/>
  <LinksUpToDate>false</LinksUpToDate>
  <CharactersWithSpaces>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Voting Ballot at AUGA group AB Ordinary General Meeting of Shareholders on 28 April 2017</dc:title>
  <dc:creator>aidtau</dc:creator>
  <cp:lastModifiedBy>Marius Matiukas</cp:lastModifiedBy>
  <cp:revision>4</cp:revision>
  <dcterms:created xsi:type="dcterms:W3CDTF">2018-03-06T12:51:00Z</dcterms:created>
  <dcterms:modified xsi:type="dcterms:W3CDTF">2018-03-06T15:49:00Z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2017-04-26T00:00:00Z</vt:filetime>
  </property>
  <property fmtid="{D5CDD505-2E9C-101B-9397-08002B2CF9AE}" pid="3" name="LastSaved">
    <vt:filetime>2018-02-28T00:00:00Z</vt:filetime>
  </property>
</Properties>
</file>