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92038" w14:textId="77777777" w:rsidR="006563EE" w:rsidRPr="006563EE" w:rsidRDefault="006563EE" w:rsidP="006563EE">
      <w:pPr>
        <w:jc w:val="right"/>
        <w:rPr>
          <w:rFonts w:ascii="Nunito Sans" w:hAnsi="Nunito Sans"/>
          <w:sz w:val="22"/>
          <w:szCs w:val="22"/>
          <w:lang w:val="en-US"/>
        </w:rPr>
      </w:pPr>
      <w:r w:rsidRPr="006563EE">
        <w:rPr>
          <w:rFonts w:ascii="Nunito Sans" w:hAnsi="Nunito Sans"/>
          <w:sz w:val="22"/>
          <w:szCs w:val="22"/>
          <w:lang w:val="en-US"/>
        </w:rPr>
        <w:t>Press Release</w:t>
      </w:r>
    </w:p>
    <w:p w14:paraId="4E45CFDF" w14:textId="77777777" w:rsidR="006563EE" w:rsidRPr="006563EE" w:rsidRDefault="006563EE" w:rsidP="006563EE">
      <w:pPr>
        <w:jc w:val="right"/>
        <w:rPr>
          <w:rFonts w:ascii="Nunito Sans" w:hAnsi="Nunito Sans"/>
          <w:sz w:val="22"/>
          <w:szCs w:val="22"/>
          <w:lang w:val="en-US"/>
        </w:rPr>
      </w:pPr>
      <w:r w:rsidRPr="006563EE">
        <w:rPr>
          <w:rFonts w:ascii="Nunito Sans" w:hAnsi="Nunito Sans"/>
          <w:sz w:val="22"/>
          <w:szCs w:val="22"/>
          <w:lang w:val="en-US"/>
        </w:rPr>
        <w:t>August 7, 2026</w:t>
      </w:r>
    </w:p>
    <w:p w14:paraId="67447B72" w14:textId="77777777" w:rsidR="006563EE" w:rsidRPr="006563EE" w:rsidRDefault="006563EE" w:rsidP="006563EE">
      <w:pPr>
        <w:jc w:val="both"/>
        <w:rPr>
          <w:rFonts w:ascii="Nunito Sans" w:hAnsi="Nunito Sans"/>
          <w:sz w:val="22"/>
          <w:szCs w:val="22"/>
          <w:lang w:val="en-US"/>
        </w:rPr>
      </w:pPr>
    </w:p>
    <w:p w14:paraId="4940B1A9" w14:textId="77777777" w:rsidR="006563EE" w:rsidRPr="006563EE" w:rsidRDefault="006563EE" w:rsidP="006563EE">
      <w:pPr>
        <w:jc w:val="both"/>
        <w:rPr>
          <w:rFonts w:ascii="Nunito Sans" w:hAnsi="Nunito Sans"/>
          <w:sz w:val="22"/>
          <w:szCs w:val="22"/>
          <w:lang w:val="en-US"/>
        </w:rPr>
      </w:pPr>
      <w:r w:rsidRPr="006563EE">
        <w:rPr>
          <w:rFonts w:ascii="Nunito Sans" w:hAnsi="Nunito Sans"/>
          <w:b/>
          <w:bCs/>
          <w:sz w:val="22"/>
          <w:szCs w:val="22"/>
          <w:lang w:val="en-US"/>
        </w:rPr>
        <w:t>In the first half of 2026, Amber Grid’s revenue grew by 41 percent, and net profit increased more than sixfold</w:t>
      </w:r>
      <w:r w:rsidRPr="006563EE">
        <w:rPr>
          <w:rFonts w:ascii="Nunito Sans" w:hAnsi="Nunito Sans"/>
          <w:sz w:val="22"/>
          <w:szCs w:val="22"/>
          <w:lang w:val="en-US"/>
        </w:rPr>
        <w:t xml:space="preserve"> </w:t>
      </w:r>
    </w:p>
    <w:p w14:paraId="51EC73CA" w14:textId="77777777" w:rsidR="006563EE" w:rsidRPr="006563EE" w:rsidRDefault="006563EE" w:rsidP="006563EE">
      <w:pPr>
        <w:jc w:val="both"/>
        <w:rPr>
          <w:rFonts w:ascii="Nunito Sans" w:hAnsi="Nunito Sans"/>
          <w:sz w:val="22"/>
          <w:szCs w:val="22"/>
          <w:lang w:val="en-US"/>
        </w:rPr>
      </w:pPr>
    </w:p>
    <w:p w14:paraId="7722EC96" w14:textId="77777777" w:rsidR="006563EE" w:rsidRPr="006563EE" w:rsidRDefault="006563EE" w:rsidP="006563EE">
      <w:pPr>
        <w:jc w:val="both"/>
        <w:rPr>
          <w:rFonts w:ascii="Nunito Sans" w:hAnsi="Nunito Sans"/>
          <w:sz w:val="22"/>
          <w:szCs w:val="22"/>
          <w:lang w:val="en-US"/>
        </w:rPr>
      </w:pPr>
      <w:r w:rsidRPr="006563EE">
        <w:rPr>
          <w:rFonts w:ascii="Nunito Sans" w:hAnsi="Nunito Sans"/>
          <w:b/>
          <w:bCs/>
          <w:sz w:val="22"/>
          <w:szCs w:val="22"/>
          <w:lang w:val="en-US"/>
        </w:rPr>
        <w:t>Revenue for Amber Grid, the Lithuanian gas transmission system operator, reached 49.4 million euros in the first half of 2026—an increase of 14.4 million euros, or 41 percent, compared to the same period last year, when revenue totaled 35 million euros. The revenue growth was primarily driven by increased gas transmission volumes.</w:t>
      </w:r>
    </w:p>
    <w:p w14:paraId="11DB3F64" w14:textId="77777777" w:rsidR="006563EE" w:rsidRPr="006563EE" w:rsidRDefault="006563EE" w:rsidP="006563EE">
      <w:pPr>
        <w:jc w:val="both"/>
        <w:rPr>
          <w:rFonts w:ascii="Nunito Sans" w:hAnsi="Nunito Sans"/>
          <w:sz w:val="22"/>
          <w:szCs w:val="22"/>
          <w:lang w:val="en-US"/>
        </w:rPr>
      </w:pPr>
    </w:p>
    <w:p w14:paraId="231B8D69"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Amber Grid’s net profit for the first half of 2026 reached 18.1 million euros, an increase of 15.4 million euros—or nearly 6.5 times—compared to the first half of 2025, when it stood at 2.8 million euros.</w:t>
      </w:r>
    </w:p>
    <w:p w14:paraId="730CC3D1" w14:textId="77777777" w:rsidR="006563EE" w:rsidRPr="006563EE" w:rsidRDefault="006563EE" w:rsidP="006563EE">
      <w:pPr>
        <w:jc w:val="both"/>
        <w:rPr>
          <w:rFonts w:ascii="Nunito Sans" w:hAnsi="Nunito Sans"/>
          <w:sz w:val="22"/>
          <w:szCs w:val="22"/>
          <w:lang w:val="en-US"/>
        </w:rPr>
      </w:pPr>
    </w:p>
    <w:p w14:paraId="4BC11E7D"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“In the first half of this year, we achieved significant growth in our financial results, driven not only by higher gas transmission volumes but also by more efficient operations. The colder winter once again confirmed the importance of Lithuania’s gas transmission system to the energy security of the country and the region. To further increase the system’s efficiency, we are investing in electric compressor projects that will allow us to operate more flexibly and efficiently in the future while reducing our environmental impact,” says Gytis Fominas, Chief Financial Officer of Amber Grid.</w:t>
      </w:r>
    </w:p>
    <w:p w14:paraId="4ABB7B19" w14:textId="77777777" w:rsidR="006563EE" w:rsidRPr="006563EE" w:rsidRDefault="006563EE" w:rsidP="006563EE">
      <w:pPr>
        <w:jc w:val="both"/>
        <w:rPr>
          <w:rFonts w:ascii="Nunito Sans" w:hAnsi="Nunito Sans"/>
          <w:sz w:val="22"/>
          <w:szCs w:val="22"/>
          <w:lang w:val="en-US"/>
        </w:rPr>
      </w:pPr>
    </w:p>
    <w:p w14:paraId="156E582F"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 xml:space="preserve">The company’s earnings before interest, taxes, depreciation, and amortization (EBITDA) for the first half of 2026 amounted to 30.4 million euros—an increase of 19.4 million euros, or 176 percent, </w:t>
      </w:r>
      <w:proofErr w:type="gramStart"/>
      <w:r w:rsidRPr="006563EE">
        <w:rPr>
          <w:rFonts w:ascii="Nunito Sans" w:hAnsi="Nunito Sans"/>
          <w:sz w:val="22"/>
          <w:szCs w:val="22"/>
          <w:lang w:val="en-US"/>
        </w:rPr>
        <w:t>than</w:t>
      </w:r>
      <w:proofErr w:type="gramEnd"/>
      <w:r w:rsidRPr="006563EE">
        <w:rPr>
          <w:rFonts w:ascii="Nunito Sans" w:hAnsi="Nunito Sans"/>
          <w:sz w:val="22"/>
          <w:szCs w:val="22"/>
          <w:lang w:val="en-US"/>
        </w:rPr>
        <w:t xml:space="preserve"> in the same period last year, when EBITDA stood at 11 million euros. The growth in EBITDA was primarily driven by higher revenue and lower natural gas costs.</w:t>
      </w:r>
    </w:p>
    <w:p w14:paraId="4539BE58" w14:textId="77777777" w:rsidR="006563EE" w:rsidRPr="006563EE" w:rsidRDefault="006563EE" w:rsidP="006563EE">
      <w:pPr>
        <w:jc w:val="both"/>
        <w:rPr>
          <w:rFonts w:ascii="Nunito Sans" w:hAnsi="Nunito Sans"/>
          <w:sz w:val="22"/>
          <w:szCs w:val="22"/>
          <w:lang w:val="en-US"/>
        </w:rPr>
      </w:pPr>
    </w:p>
    <w:p w14:paraId="53480372"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The company’s adjusted financial indicators, which exclude the impact of temporary regulatory deviations, one-time transactions, and other non-recurring gains or losses, remained essentially stable. Adjusted net profit amounted to 6.3 million euros and was slightly lower than in the first half of 2025, when it stood at 6.6 million euros. Meanwhile, adjusted EBITDA increased by 5.8 percent—from 15.4 million euros to 16.3 million euros.</w:t>
      </w:r>
    </w:p>
    <w:p w14:paraId="0CB8FF37" w14:textId="77777777" w:rsidR="006563EE" w:rsidRPr="006563EE" w:rsidRDefault="006563EE" w:rsidP="006563EE">
      <w:pPr>
        <w:jc w:val="both"/>
        <w:rPr>
          <w:rFonts w:ascii="Nunito Sans" w:hAnsi="Nunito Sans"/>
          <w:sz w:val="22"/>
          <w:szCs w:val="22"/>
          <w:lang w:val="en-US"/>
        </w:rPr>
      </w:pPr>
    </w:p>
    <w:p w14:paraId="30238971"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 xml:space="preserve">The company’s operating expenses in the first half of 2026 totaled 26.4 million </w:t>
      </w:r>
      <w:proofErr w:type="gramStart"/>
      <w:r w:rsidRPr="006563EE">
        <w:rPr>
          <w:rFonts w:ascii="Nunito Sans" w:hAnsi="Nunito Sans"/>
          <w:sz w:val="22"/>
          <w:szCs w:val="22"/>
          <w:lang w:val="en-US"/>
        </w:rPr>
        <w:t>euros—</w:t>
      </w:r>
      <w:proofErr w:type="gramEnd"/>
      <w:r w:rsidRPr="006563EE">
        <w:rPr>
          <w:rFonts w:ascii="Nunito Sans" w:hAnsi="Nunito Sans"/>
          <w:sz w:val="22"/>
          <w:szCs w:val="22"/>
          <w:lang w:val="en-US"/>
        </w:rPr>
        <w:t xml:space="preserve">a decrease of 4.9 million euros, or 16 percent, compared to the same period last year, when they amounted to 31.3 million euros. The decrease in costs was primarily driven by a €4.8 million reduction in natural gas procurement costs. </w:t>
      </w:r>
    </w:p>
    <w:p w14:paraId="5E5C912F" w14:textId="77777777" w:rsidR="006563EE" w:rsidRPr="006563EE" w:rsidRDefault="006563EE" w:rsidP="006563EE">
      <w:pPr>
        <w:jc w:val="both"/>
        <w:rPr>
          <w:rFonts w:ascii="Nunito Sans" w:hAnsi="Nunito Sans"/>
          <w:sz w:val="22"/>
          <w:szCs w:val="22"/>
          <w:lang w:val="en-US"/>
        </w:rPr>
      </w:pPr>
    </w:p>
    <w:p w14:paraId="203AAFD0" w14:textId="77777777" w:rsidR="006563EE" w:rsidRPr="006563EE" w:rsidRDefault="006563EE" w:rsidP="006563EE">
      <w:pPr>
        <w:jc w:val="both"/>
        <w:rPr>
          <w:rFonts w:ascii="Nunito Sans" w:hAnsi="Nunito Sans"/>
          <w:sz w:val="22"/>
          <w:szCs w:val="22"/>
          <w:lang w:val="en-US"/>
        </w:rPr>
      </w:pPr>
      <w:r w:rsidRPr="006563EE">
        <w:rPr>
          <w:rFonts w:ascii="Nunito Sans" w:hAnsi="Nunito Sans"/>
          <w:b/>
          <w:bCs/>
          <w:sz w:val="22"/>
          <w:szCs w:val="22"/>
          <w:lang w:val="en-US"/>
        </w:rPr>
        <w:t>Gas Transmission Volumes and Market Dynamics</w:t>
      </w:r>
    </w:p>
    <w:p w14:paraId="06777C15" w14:textId="77777777" w:rsidR="006563EE" w:rsidRPr="006563EE" w:rsidRDefault="006563EE" w:rsidP="006563EE">
      <w:pPr>
        <w:jc w:val="both"/>
        <w:rPr>
          <w:rFonts w:ascii="Nunito Sans" w:hAnsi="Nunito Sans"/>
          <w:sz w:val="22"/>
          <w:szCs w:val="22"/>
          <w:lang w:val="en-US"/>
        </w:rPr>
      </w:pPr>
    </w:p>
    <w:p w14:paraId="30DFE9FA"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During the first half of 2026, a total of 21.3 TWh of gas was transported through the Lithuanian gas transmission system, excluding transit to Kaliningrad. This is 29 percent more than during the same period in 2025, when 16.5 TWh of gas was transmitted.</w:t>
      </w:r>
    </w:p>
    <w:p w14:paraId="191FE614" w14:textId="77777777" w:rsidR="006563EE" w:rsidRPr="006563EE" w:rsidRDefault="006563EE" w:rsidP="006563EE">
      <w:pPr>
        <w:jc w:val="both"/>
        <w:rPr>
          <w:rFonts w:ascii="Nunito Sans" w:hAnsi="Nunito Sans"/>
          <w:sz w:val="22"/>
          <w:szCs w:val="22"/>
          <w:lang w:val="en-US"/>
        </w:rPr>
      </w:pPr>
    </w:p>
    <w:p w14:paraId="77CA40F7"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lastRenderedPageBreak/>
        <w:t>During the first half of this year, 10.1 TWh of gas was delivered to Lithuanian gas consumers—16 percent more than in the first half of 2025 (8.7 TWh). The increase in the volume of gas supplied to the Lithuanian domestic market was driven by higher gas demand in the fertilizer production sector and a colder winter, which increased energy demand.</w:t>
      </w:r>
    </w:p>
    <w:p w14:paraId="252B2A4F" w14:textId="77777777" w:rsidR="006563EE" w:rsidRPr="006563EE" w:rsidRDefault="006563EE" w:rsidP="006563EE">
      <w:pPr>
        <w:jc w:val="both"/>
        <w:rPr>
          <w:rFonts w:ascii="Nunito Sans" w:hAnsi="Nunito Sans"/>
          <w:sz w:val="22"/>
          <w:szCs w:val="22"/>
          <w:lang w:val="en-US"/>
        </w:rPr>
      </w:pPr>
    </w:p>
    <w:p w14:paraId="0402E5CE"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 xml:space="preserve">Through the main source of gas imports—the </w:t>
      </w:r>
      <w:proofErr w:type="spellStart"/>
      <w:r w:rsidRPr="006563EE">
        <w:rPr>
          <w:rFonts w:ascii="Nunito Sans" w:hAnsi="Nunito Sans"/>
          <w:sz w:val="22"/>
          <w:szCs w:val="22"/>
          <w:lang w:val="en-US"/>
        </w:rPr>
        <w:t>Klaipėda</w:t>
      </w:r>
      <w:proofErr w:type="spellEnd"/>
      <w:r w:rsidRPr="006563EE">
        <w:rPr>
          <w:rFonts w:ascii="Nunito Sans" w:hAnsi="Nunito Sans"/>
          <w:sz w:val="22"/>
          <w:szCs w:val="22"/>
          <w:lang w:val="en-US"/>
        </w:rPr>
        <w:t xml:space="preserve"> LNG terminal—18.6 TWh was supplied in the first half of the year, accounting for nearly 88 percent of all gas transported into the system. Injections via the LNG terminal increased by nearly 31 percent compared to the same period last year.</w:t>
      </w:r>
    </w:p>
    <w:p w14:paraId="7E36BFC9" w14:textId="77777777" w:rsidR="006563EE" w:rsidRPr="006563EE" w:rsidRDefault="006563EE" w:rsidP="006563EE">
      <w:pPr>
        <w:jc w:val="both"/>
        <w:rPr>
          <w:rFonts w:ascii="Nunito Sans" w:hAnsi="Nunito Sans"/>
          <w:sz w:val="22"/>
          <w:szCs w:val="22"/>
          <w:lang w:val="en-US"/>
        </w:rPr>
      </w:pPr>
    </w:p>
    <w:p w14:paraId="15688BD1"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To meet the needs of Latvia, Estonia, and Finland, 8.8 TWh of gas was transmitted via the gas pipeline interconnection between Lithuania and Latvia—47 percent more than in the first half of 2025. Flows to Poland increased by 40 percent—from 1.6 TWh to 2.3 TWh.</w:t>
      </w:r>
    </w:p>
    <w:p w14:paraId="66C885E6" w14:textId="77777777" w:rsidR="006563EE" w:rsidRPr="006563EE" w:rsidRDefault="006563EE" w:rsidP="006563EE">
      <w:pPr>
        <w:jc w:val="both"/>
        <w:rPr>
          <w:rFonts w:ascii="Nunito Sans" w:hAnsi="Nunito Sans"/>
          <w:sz w:val="22"/>
          <w:szCs w:val="22"/>
          <w:lang w:val="en-US"/>
        </w:rPr>
      </w:pPr>
    </w:p>
    <w:p w14:paraId="35C5B281"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These growing regional flows once again confirm the importance of Lithuania’s gas transmission infrastructure in strengthening the “Amber Gas Corridor”—reliable gas supply routes between the Baltic states, Poland, and the wider European region. As was the case last year, a portion of the gas flows was redirected to meet Ukraine’s gas needs.</w:t>
      </w:r>
    </w:p>
    <w:p w14:paraId="7C5DD28E" w14:textId="77777777" w:rsidR="006563EE" w:rsidRPr="006563EE" w:rsidRDefault="006563EE" w:rsidP="006563EE">
      <w:pPr>
        <w:jc w:val="both"/>
        <w:rPr>
          <w:rFonts w:ascii="Nunito Sans" w:hAnsi="Nunito Sans"/>
          <w:sz w:val="22"/>
          <w:szCs w:val="22"/>
          <w:lang w:val="en-US"/>
        </w:rPr>
      </w:pPr>
    </w:p>
    <w:p w14:paraId="36638DAB" w14:textId="77777777" w:rsidR="006563EE" w:rsidRPr="006563EE" w:rsidRDefault="006563EE" w:rsidP="006563EE">
      <w:pPr>
        <w:jc w:val="both"/>
        <w:rPr>
          <w:rFonts w:ascii="Nunito Sans" w:hAnsi="Nunito Sans"/>
          <w:sz w:val="22"/>
          <w:szCs w:val="22"/>
          <w:lang w:val="en-US"/>
        </w:rPr>
      </w:pPr>
      <w:r w:rsidRPr="006563EE">
        <w:rPr>
          <w:rFonts w:ascii="Nunito Sans" w:hAnsi="Nunito Sans"/>
          <w:b/>
          <w:bCs/>
          <w:sz w:val="22"/>
          <w:szCs w:val="22"/>
          <w:lang w:val="en-US"/>
        </w:rPr>
        <w:t>Green Transition and Strategic Directions</w:t>
      </w:r>
    </w:p>
    <w:p w14:paraId="243EAB2B" w14:textId="77777777" w:rsidR="006563EE" w:rsidRPr="006563EE" w:rsidRDefault="006563EE" w:rsidP="006563EE">
      <w:pPr>
        <w:jc w:val="both"/>
        <w:rPr>
          <w:rFonts w:ascii="Nunito Sans" w:hAnsi="Nunito Sans"/>
          <w:sz w:val="22"/>
          <w:szCs w:val="22"/>
          <w:lang w:val="en-US"/>
        </w:rPr>
      </w:pPr>
    </w:p>
    <w:p w14:paraId="1339667E"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 xml:space="preserve">“In the first half of 2026, the company’s strategic directions continued to be shaped in line with the updated National Energy Independence Strategy. In the gas sector, this means placing greater emphasis on strengthening the physical and cyber resilience of critical infrastructure, ensuring and increasing international gas flows from the </w:t>
      </w:r>
      <w:proofErr w:type="spellStart"/>
      <w:r w:rsidRPr="006563EE">
        <w:rPr>
          <w:rFonts w:ascii="Nunito Sans" w:hAnsi="Nunito Sans"/>
          <w:sz w:val="22"/>
          <w:szCs w:val="22"/>
          <w:lang w:val="en-US"/>
        </w:rPr>
        <w:t>Klaipėda</w:t>
      </w:r>
      <w:proofErr w:type="spellEnd"/>
      <w:r w:rsidRPr="006563EE">
        <w:rPr>
          <w:rFonts w:ascii="Nunito Sans" w:hAnsi="Nunito Sans"/>
          <w:sz w:val="22"/>
          <w:szCs w:val="22"/>
          <w:lang w:val="en-US"/>
        </w:rPr>
        <w:t xml:space="preserve"> LNG terminal toward Central Europe and Ukraine,</w:t>
      </w:r>
    </w:p>
    <w:p w14:paraId="1C1DA965"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the integration of biomethane, the expansion of green gas infrastructure, and preparations for the development of the Nordic and Baltic hydrogen network,” says Tomas Urmanavičius, Director of Organizational Development at Amber Grid.</w:t>
      </w:r>
    </w:p>
    <w:p w14:paraId="38F85551" w14:textId="77777777" w:rsidR="006563EE" w:rsidRPr="006563EE" w:rsidRDefault="006563EE" w:rsidP="006563EE">
      <w:pPr>
        <w:jc w:val="both"/>
        <w:rPr>
          <w:rFonts w:ascii="Nunito Sans" w:hAnsi="Nunito Sans"/>
          <w:sz w:val="22"/>
          <w:szCs w:val="22"/>
          <w:lang w:val="en-US"/>
        </w:rPr>
      </w:pPr>
    </w:p>
    <w:p w14:paraId="29EDE529"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The volume of biomethane injected into Lithuania’s gas transmission and distribution system continues to grow rapidly. In the first half of 2026, 242.9 GWh of biomethane was injected into the system—2.6 times more than during the same period in 2025. In addition, three projects to connect biogas production facilities to the transmission system have been completed.</w:t>
      </w:r>
    </w:p>
    <w:p w14:paraId="267D1C7B" w14:textId="77777777" w:rsidR="006563EE" w:rsidRPr="006563EE" w:rsidRDefault="006563EE" w:rsidP="006563EE">
      <w:pPr>
        <w:jc w:val="both"/>
        <w:rPr>
          <w:rFonts w:ascii="Nunito Sans" w:hAnsi="Nunito Sans"/>
          <w:sz w:val="22"/>
          <w:szCs w:val="22"/>
          <w:lang w:val="en-US"/>
        </w:rPr>
      </w:pPr>
    </w:p>
    <w:p w14:paraId="28BA5235" w14:textId="77777777" w:rsidR="006563EE" w:rsidRPr="006563EE" w:rsidRDefault="006563EE" w:rsidP="006563EE">
      <w:pPr>
        <w:jc w:val="both"/>
        <w:rPr>
          <w:rFonts w:ascii="Nunito Sans" w:hAnsi="Nunito Sans"/>
          <w:sz w:val="22"/>
          <w:szCs w:val="22"/>
          <w:lang w:val="en-US"/>
        </w:rPr>
      </w:pPr>
      <w:r w:rsidRPr="006563EE">
        <w:rPr>
          <w:rFonts w:ascii="Nunito Sans" w:hAnsi="Nunito Sans"/>
          <w:sz w:val="22"/>
          <w:szCs w:val="22"/>
          <w:lang w:val="en-US"/>
        </w:rPr>
        <w:t xml:space="preserve">This year, the company also joined the European ERGaR platform, </w:t>
      </w:r>
      <w:proofErr w:type="gramStart"/>
      <w:r w:rsidRPr="006563EE">
        <w:rPr>
          <w:rFonts w:ascii="Nunito Sans" w:hAnsi="Nunito Sans"/>
          <w:sz w:val="22"/>
          <w:szCs w:val="22"/>
          <w:lang w:val="en-US"/>
        </w:rPr>
        <w:t>opening up</w:t>
      </w:r>
      <w:proofErr w:type="gramEnd"/>
      <w:r w:rsidRPr="006563EE">
        <w:rPr>
          <w:rFonts w:ascii="Nunito Sans" w:hAnsi="Nunito Sans"/>
          <w:sz w:val="22"/>
          <w:szCs w:val="22"/>
          <w:lang w:val="en-US"/>
        </w:rPr>
        <w:t xml:space="preserve"> more opportunities for Lithuanian biomethane producers to export their products and trade renewable gas guarantees of origin on international markets.</w:t>
      </w:r>
    </w:p>
    <w:p w14:paraId="0EF08596" w14:textId="77777777" w:rsidR="006563EE" w:rsidRPr="006563EE" w:rsidRDefault="006563EE" w:rsidP="006563EE">
      <w:pPr>
        <w:jc w:val="both"/>
        <w:rPr>
          <w:rFonts w:ascii="Nunito Sans" w:hAnsi="Nunito Sans"/>
          <w:sz w:val="22"/>
          <w:szCs w:val="22"/>
          <w:lang w:val="en-US"/>
        </w:rPr>
      </w:pPr>
    </w:p>
    <w:p w14:paraId="3C418629" w14:textId="77777777" w:rsidR="006563EE" w:rsidRPr="006563EE" w:rsidRDefault="006563EE" w:rsidP="006563EE">
      <w:pPr>
        <w:jc w:val="both"/>
        <w:rPr>
          <w:rFonts w:ascii="Nunito Sans" w:hAnsi="Nunito Sans"/>
          <w:sz w:val="22"/>
          <w:szCs w:val="22"/>
          <w:lang w:val="en-US"/>
        </w:rPr>
      </w:pPr>
      <w:r w:rsidRPr="006563EE">
        <w:rPr>
          <w:rFonts w:ascii="Nunito Sans" w:hAnsi="Nunito Sans"/>
          <w:i/>
          <w:iCs/>
          <w:sz w:val="22"/>
          <w:szCs w:val="22"/>
          <w:lang w:val="en-US"/>
        </w:rPr>
        <w:t>AB “Amber Grid” is the operator of the Lithuanian gas transmission system and is part of the EPSO-G group of companies. The company operates a 2,288-km-long high-pressure gas pipeline network throughout Lithuania. It also manages more than 60 gas distribution and metering stations, as well as two gas compressor stations.</w:t>
      </w:r>
    </w:p>
    <w:p w14:paraId="38C4B55A" w14:textId="77777777" w:rsidR="006563EE" w:rsidRPr="006563EE" w:rsidRDefault="006563EE" w:rsidP="006563EE">
      <w:pPr>
        <w:jc w:val="both"/>
        <w:rPr>
          <w:rFonts w:ascii="Nunito Sans" w:hAnsi="Nunito Sans"/>
          <w:sz w:val="22"/>
          <w:szCs w:val="22"/>
          <w:lang w:val="en-US"/>
        </w:rPr>
      </w:pPr>
    </w:p>
    <w:p w14:paraId="6D6E0B18" w14:textId="77777777" w:rsidR="006563EE" w:rsidRPr="006563EE" w:rsidRDefault="006563EE" w:rsidP="006563EE">
      <w:pPr>
        <w:jc w:val="both"/>
        <w:rPr>
          <w:rFonts w:ascii="Nunito Sans" w:hAnsi="Nunito Sans"/>
          <w:sz w:val="22"/>
          <w:szCs w:val="22"/>
          <w:lang w:val="en-US"/>
        </w:rPr>
      </w:pPr>
      <w:r w:rsidRPr="006563EE">
        <w:rPr>
          <w:rFonts w:ascii="Nunito Sans" w:hAnsi="Nunito Sans"/>
          <w:i/>
          <w:iCs/>
          <w:sz w:val="22"/>
          <w:szCs w:val="22"/>
          <w:lang w:val="en-US"/>
        </w:rPr>
        <w:lastRenderedPageBreak/>
        <w:t xml:space="preserve">AB Amber Grid’s system is interconnected with the gas transmission systems of four other countries and the </w:t>
      </w:r>
      <w:proofErr w:type="spellStart"/>
      <w:r w:rsidRPr="006563EE">
        <w:rPr>
          <w:rFonts w:ascii="Nunito Sans" w:hAnsi="Nunito Sans"/>
          <w:i/>
          <w:iCs/>
          <w:sz w:val="22"/>
          <w:szCs w:val="22"/>
          <w:lang w:val="en-US"/>
        </w:rPr>
        <w:t>Klaipėda</w:t>
      </w:r>
      <w:proofErr w:type="spellEnd"/>
      <w:r w:rsidRPr="006563EE">
        <w:rPr>
          <w:rFonts w:ascii="Nunito Sans" w:hAnsi="Nunito Sans"/>
          <w:i/>
          <w:iCs/>
          <w:sz w:val="22"/>
          <w:szCs w:val="22"/>
          <w:lang w:val="en-US"/>
        </w:rPr>
        <w:t xml:space="preserve"> LNG terminal. Amber Grid’s shares are listed on the Baltic Secondary List of the NASDAQ Vilnius Stock Exchange. The Company’s main shareholder is EPSO-G, 100 percent of whose shares are owned by the Ministry of Energy of the Republic of Lithuania.</w:t>
      </w:r>
    </w:p>
    <w:p w14:paraId="69C7E4A3" w14:textId="77777777" w:rsidR="00BF0B88" w:rsidRPr="006563EE" w:rsidRDefault="00BF0B88" w:rsidP="004927B5">
      <w:pPr>
        <w:jc w:val="both"/>
        <w:rPr>
          <w:rFonts w:ascii="Nunito Sans" w:hAnsi="Nunito Sans"/>
          <w:sz w:val="22"/>
          <w:szCs w:val="22"/>
          <w:lang w:val="en-US"/>
        </w:rPr>
      </w:pPr>
    </w:p>
    <w:sectPr w:rsidR="00BF0B88" w:rsidRPr="006563EE">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12E4B" w14:textId="77777777" w:rsidR="002059AD" w:rsidRDefault="002059AD" w:rsidP="00B46AC1">
      <w:r>
        <w:separator/>
      </w:r>
    </w:p>
  </w:endnote>
  <w:endnote w:type="continuationSeparator" w:id="0">
    <w:p w14:paraId="21E6ECF9" w14:textId="77777777" w:rsidR="002059AD" w:rsidRDefault="002059AD" w:rsidP="00B46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Nunito Sans">
    <w:charset w:val="BA"/>
    <w:family w:val="auto"/>
    <w:pitch w:val="variable"/>
    <w:sig w:usb0="A00002FF" w:usb1="5000204B"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8D652" w14:textId="77777777" w:rsidR="007437E5" w:rsidRDefault="004B440F">
    <w:pPr>
      <w:pStyle w:val="Footer"/>
    </w:pPr>
    <w:r>
      <w:rPr>
        <w:noProof/>
      </w:rPr>
      <w:drawing>
        <wp:inline distT="0" distB="0" distL="0" distR="0" wp14:anchorId="3081378B" wp14:editId="683CAE0E">
          <wp:extent cx="5731510" cy="200097"/>
          <wp:effectExtent l="0" t="0" r="2540" b="9525"/>
          <wp:docPr id="446806934" name="Graphic 10">
            <a:extLst xmlns:a="http://schemas.openxmlformats.org/drawingml/2006/main">
              <a:ext uri="{FF2B5EF4-FFF2-40B4-BE49-F238E27FC236}">
                <a16:creationId xmlns:a16="http://schemas.microsoft.com/office/drawing/2014/main" id="{FD419BA3-2163-461D-B117-2CE659D32D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08427" name="Graphic 10"/>
                  <pic:cNvPicPr/>
                </pic:nvPicPr>
                <pic:blipFill>
                  <a:blip r:embed="rId1">
                    <a:extLst>
                      <a:ext uri="{96DAC541-7B7A-43D3-8B79-37D633B846F1}">
                        <asvg:svgBlip xmlns:asvg="http://schemas.microsoft.com/office/drawing/2016/SVG/main" r:embed="rId2"/>
                      </a:ext>
                    </a:extLst>
                  </a:blip>
                  <a:stretch>
                    <a:fillRect/>
                  </a:stretch>
                </pic:blipFill>
                <pic:spPr>
                  <a:xfrm>
                    <a:off x="0" y="0"/>
                    <a:ext cx="5731510" cy="2000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08836" w14:textId="77777777" w:rsidR="002059AD" w:rsidRDefault="002059AD" w:rsidP="00B46AC1">
      <w:r>
        <w:separator/>
      </w:r>
    </w:p>
  </w:footnote>
  <w:footnote w:type="continuationSeparator" w:id="0">
    <w:p w14:paraId="6F243B04" w14:textId="77777777" w:rsidR="002059AD" w:rsidRDefault="002059AD" w:rsidP="00B46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FC7B2" w14:textId="77777777" w:rsidR="00B46AC1" w:rsidRDefault="004B440F">
    <w:pPr>
      <w:pStyle w:val="Header"/>
    </w:pPr>
    <w:r>
      <w:rPr>
        <w:noProof/>
      </w:rPr>
      <w:drawing>
        <wp:inline distT="0" distB="0" distL="0" distR="0" wp14:anchorId="6CECD493" wp14:editId="54A3F1D4">
          <wp:extent cx="895350" cy="284884"/>
          <wp:effectExtent l="0" t="0" r="0" b="0"/>
          <wp:docPr id="2064413739" name="Graphic 1">
            <a:extLst xmlns:a="http://schemas.openxmlformats.org/drawingml/2006/main">
              <a:ext uri="{FF2B5EF4-FFF2-40B4-BE49-F238E27FC236}">
                <a16:creationId xmlns:a16="http://schemas.microsoft.com/office/drawing/2014/main" id="{266C2508-F540-4554-AE52-BFFE9208F9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75044" name="Graphic 1412275044"/>
                  <pic:cNvPicPr/>
                </pic:nvPicPr>
                <pic:blipFill>
                  <a:blip r:embed="rId1">
                    <a:extLst>
                      <a:ext uri="{96DAC541-7B7A-43D3-8B79-37D633B846F1}">
                        <asvg:svgBlip xmlns:asvg="http://schemas.microsoft.com/office/drawing/2016/SVG/main" r:embed="rId2"/>
                      </a:ext>
                    </a:extLst>
                  </a:blip>
                  <a:stretch>
                    <a:fillRect/>
                  </a:stretch>
                </pic:blipFill>
                <pic:spPr>
                  <a:xfrm>
                    <a:off x="0" y="0"/>
                    <a:ext cx="971682" cy="3091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7FE"/>
    <w:rsid w:val="00005203"/>
    <w:rsid w:val="00007644"/>
    <w:rsid w:val="0001385F"/>
    <w:rsid w:val="00030BDD"/>
    <w:rsid w:val="000410DF"/>
    <w:rsid w:val="000435D4"/>
    <w:rsid w:val="00054AF7"/>
    <w:rsid w:val="0006310C"/>
    <w:rsid w:val="00065C18"/>
    <w:rsid w:val="0007474B"/>
    <w:rsid w:val="000751ED"/>
    <w:rsid w:val="00081E1C"/>
    <w:rsid w:val="00083C2A"/>
    <w:rsid w:val="000911F1"/>
    <w:rsid w:val="000945A9"/>
    <w:rsid w:val="000A0799"/>
    <w:rsid w:val="000A4D6C"/>
    <w:rsid w:val="000B2F70"/>
    <w:rsid w:val="000D2749"/>
    <w:rsid w:val="000E2E2F"/>
    <w:rsid w:val="000E31D1"/>
    <w:rsid w:val="0010164A"/>
    <w:rsid w:val="001049E9"/>
    <w:rsid w:val="00105620"/>
    <w:rsid w:val="001074F1"/>
    <w:rsid w:val="00113513"/>
    <w:rsid w:val="00115744"/>
    <w:rsid w:val="00115DAA"/>
    <w:rsid w:val="0011657D"/>
    <w:rsid w:val="0012286D"/>
    <w:rsid w:val="001267AB"/>
    <w:rsid w:val="00127CF1"/>
    <w:rsid w:val="00134047"/>
    <w:rsid w:val="0013618C"/>
    <w:rsid w:val="00141B4C"/>
    <w:rsid w:val="00147ECD"/>
    <w:rsid w:val="00154748"/>
    <w:rsid w:val="001555E0"/>
    <w:rsid w:val="00167A51"/>
    <w:rsid w:val="00170F0C"/>
    <w:rsid w:val="0017529B"/>
    <w:rsid w:val="00175909"/>
    <w:rsid w:val="001832C7"/>
    <w:rsid w:val="00184FB9"/>
    <w:rsid w:val="00187AAB"/>
    <w:rsid w:val="00190D98"/>
    <w:rsid w:val="001949E0"/>
    <w:rsid w:val="0019721B"/>
    <w:rsid w:val="001A151B"/>
    <w:rsid w:val="001B2A55"/>
    <w:rsid w:val="001B437B"/>
    <w:rsid w:val="001C4431"/>
    <w:rsid w:val="001E2C31"/>
    <w:rsid w:val="001E3B17"/>
    <w:rsid w:val="001F13CE"/>
    <w:rsid w:val="002023B0"/>
    <w:rsid w:val="002059AD"/>
    <w:rsid w:val="0021344E"/>
    <w:rsid w:val="002148B5"/>
    <w:rsid w:val="00216D0B"/>
    <w:rsid w:val="00221164"/>
    <w:rsid w:val="00226050"/>
    <w:rsid w:val="00226650"/>
    <w:rsid w:val="002326F5"/>
    <w:rsid w:val="00232970"/>
    <w:rsid w:val="002358CD"/>
    <w:rsid w:val="00235FFB"/>
    <w:rsid w:val="0024152A"/>
    <w:rsid w:val="0024260F"/>
    <w:rsid w:val="002455AD"/>
    <w:rsid w:val="0024593E"/>
    <w:rsid w:val="00247A67"/>
    <w:rsid w:val="00251B43"/>
    <w:rsid w:val="0025397B"/>
    <w:rsid w:val="00254692"/>
    <w:rsid w:val="00262135"/>
    <w:rsid w:val="00270615"/>
    <w:rsid w:val="00270706"/>
    <w:rsid w:val="0027777D"/>
    <w:rsid w:val="00282118"/>
    <w:rsid w:val="002846C4"/>
    <w:rsid w:val="00295837"/>
    <w:rsid w:val="002B4A89"/>
    <w:rsid w:val="002B5955"/>
    <w:rsid w:val="002C3361"/>
    <w:rsid w:val="002E0E4F"/>
    <w:rsid w:val="002F0CEF"/>
    <w:rsid w:val="002F282B"/>
    <w:rsid w:val="002F378B"/>
    <w:rsid w:val="00312334"/>
    <w:rsid w:val="00314233"/>
    <w:rsid w:val="00331D7A"/>
    <w:rsid w:val="003353FF"/>
    <w:rsid w:val="003410C8"/>
    <w:rsid w:val="0034285D"/>
    <w:rsid w:val="00344D78"/>
    <w:rsid w:val="0035290F"/>
    <w:rsid w:val="00352E72"/>
    <w:rsid w:val="0036530B"/>
    <w:rsid w:val="00365419"/>
    <w:rsid w:val="003718CC"/>
    <w:rsid w:val="00373E33"/>
    <w:rsid w:val="003740F9"/>
    <w:rsid w:val="00380008"/>
    <w:rsid w:val="00396B16"/>
    <w:rsid w:val="003A51A2"/>
    <w:rsid w:val="003B3D2D"/>
    <w:rsid w:val="003B3F11"/>
    <w:rsid w:val="003B62C6"/>
    <w:rsid w:val="003C36FC"/>
    <w:rsid w:val="003C3FA2"/>
    <w:rsid w:val="003C67D0"/>
    <w:rsid w:val="003E36E5"/>
    <w:rsid w:val="003E4155"/>
    <w:rsid w:val="003E4220"/>
    <w:rsid w:val="003E48D2"/>
    <w:rsid w:val="0040309A"/>
    <w:rsid w:val="004037DF"/>
    <w:rsid w:val="00403B8C"/>
    <w:rsid w:val="004043C6"/>
    <w:rsid w:val="004066F5"/>
    <w:rsid w:val="00410EA8"/>
    <w:rsid w:val="00423C58"/>
    <w:rsid w:val="00441723"/>
    <w:rsid w:val="004549A9"/>
    <w:rsid w:val="00457F56"/>
    <w:rsid w:val="00460E27"/>
    <w:rsid w:val="00461DF1"/>
    <w:rsid w:val="004650AF"/>
    <w:rsid w:val="00467A6B"/>
    <w:rsid w:val="00475520"/>
    <w:rsid w:val="0048168B"/>
    <w:rsid w:val="004822EF"/>
    <w:rsid w:val="004910E5"/>
    <w:rsid w:val="004927B5"/>
    <w:rsid w:val="00494124"/>
    <w:rsid w:val="00494E9F"/>
    <w:rsid w:val="00495C01"/>
    <w:rsid w:val="004B2FD9"/>
    <w:rsid w:val="004B440F"/>
    <w:rsid w:val="004C1B4D"/>
    <w:rsid w:val="004C2CEF"/>
    <w:rsid w:val="004D360C"/>
    <w:rsid w:val="004D6D36"/>
    <w:rsid w:val="004D7DE6"/>
    <w:rsid w:val="004E7C83"/>
    <w:rsid w:val="004F68EC"/>
    <w:rsid w:val="004F70EE"/>
    <w:rsid w:val="005010B2"/>
    <w:rsid w:val="00504767"/>
    <w:rsid w:val="00506BB8"/>
    <w:rsid w:val="00507383"/>
    <w:rsid w:val="0052199D"/>
    <w:rsid w:val="00522AAD"/>
    <w:rsid w:val="0052413F"/>
    <w:rsid w:val="00524698"/>
    <w:rsid w:val="0052544F"/>
    <w:rsid w:val="005310E5"/>
    <w:rsid w:val="005378FE"/>
    <w:rsid w:val="0054127F"/>
    <w:rsid w:val="00542E47"/>
    <w:rsid w:val="0055381A"/>
    <w:rsid w:val="00562F8B"/>
    <w:rsid w:val="00574C0F"/>
    <w:rsid w:val="005765F5"/>
    <w:rsid w:val="00581558"/>
    <w:rsid w:val="00584454"/>
    <w:rsid w:val="00584E9C"/>
    <w:rsid w:val="00595458"/>
    <w:rsid w:val="00595CC1"/>
    <w:rsid w:val="005A76EB"/>
    <w:rsid w:val="005A78A9"/>
    <w:rsid w:val="005B0C09"/>
    <w:rsid w:val="005B586A"/>
    <w:rsid w:val="005C1324"/>
    <w:rsid w:val="005C4224"/>
    <w:rsid w:val="005C53DE"/>
    <w:rsid w:val="005C6177"/>
    <w:rsid w:val="005D3DB5"/>
    <w:rsid w:val="005D46CC"/>
    <w:rsid w:val="005E3FF6"/>
    <w:rsid w:val="00601803"/>
    <w:rsid w:val="00604FE5"/>
    <w:rsid w:val="00610034"/>
    <w:rsid w:val="006141D9"/>
    <w:rsid w:val="00626DA5"/>
    <w:rsid w:val="00635087"/>
    <w:rsid w:val="0063792C"/>
    <w:rsid w:val="00655859"/>
    <w:rsid w:val="00655D84"/>
    <w:rsid w:val="006563EE"/>
    <w:rsid w:val="006603EE"/>
    <w:rsid w:val="006651A3"/>
    <w:rsid w:val="00677F94"/>
    <w:rsid w:val="00685B7E"/>
    <w:rsid w:val="00687AA9"/>
    <w:rsid w:val="00697406"/>
    <w:rsid w:val="006B699B"/>
    <w:rsid w:val="006D0553"/>
    <w:rsid w:val="006F001D"/>
    <w:rsid w:val="00702236"/>
    <w:rsid w:val="00711364"/>
    <w:rsid w:val="00712EF9"/>
    <w:rsid w:val="00717A05"/>
    <w:rsid w:val="00725861"/>
    <w:rsid w:val="007437E5"/>
    <w:rsid w:val="00743C14"/>
    <w:rsid w:val="00743DF6"/>
    <w:rsid w:val="00746EC9"/>
    <w:rsid w:val="00755FDD"/>
    <w:rsid w:val="00763C36"/>
    <w:rsid w:val="00764860"/>
    <w:rsid w:val="00765CD0"/>
    <w:rsid w:val="00771885"/>
    <w:rsid w:val="0077274D"/>
    <w:rsid w:val="00772AD5"/>
    <w:rsid w:val="00773324"/>
    <w:rsid w:val="00780F29"/>
    <w:rsid w:val="0079189D"/>
    <w:rsid w:val="007943D7"/>
    <w:rsid w:val="007A015B"/>
    <w:rsid w:val="007A0A60"/>
    <w:rsid w:val="007A5167"/>
    <w:rsid w:val="007B27FC"/>
    <w:rsid w:val="007B58F7"/>
    <w:rsid w:val="007F0371"/>
    <w:rsid w:val="007F7DAF"/>
    <w:rsid w:val="00807B96"/>
    <w:rsid w:val="00810AB9"/>
    <w:rsid w:val="00820520"/>
    <w:rsid w:val="008219A3"/>
    <w:rsid w:val="00825B92"/>
    <w:rsid w:val="00827452"/>
    <w:rsid w:val="00830B74"/>
    <w:rsid w:val="00834895"/>
    <w:rsid w:val="0084176A"/>
    <w:rsid w:val="008466E3"/>
    <w:rsid w:val="008518E3"/>
    <w:rsid w:val="00853068"/>
    <w:rsid w:val="008577E8"/>
    <w:rsid w:val="0086632C"/>
    <w:rsid w:val="008678EA"/>
    <w:rsid w:val="008764BC"/>
    <w:rsid w:val="00877BD0"/>
    <w:rsid w:val="0089069B"/>
    <w:rsid w:val="008930A5"/>
    <w:rsid w:val="00894F84"/>
    <w:rsid w:val="008A2011"/>
    <w:rsid w:val="008A5133"/>
    <w:rsid w:val="008B6435"/>
    <w:rsid w:val="008B7454"/>
    <w:rsid w:val="008B7D14"/>
    <w:rsid w:val="008C1248"/>
    <w:rsid w:val="008C6D81"/>
    <w:rsid w:val="008D2E3C"/>
    <w:rsid w:val="008D53DD"/>
    <w:rsid w:val="008D5CB3"/>
    <w:rsid w:val="008D6376"/>
    <w:rsid w:val="008F3215"/>
    <w:rsid w:val="00902CE7"/>
    <w:rsid w:val="009048E6"/>
    <w:rsid w:val="009137E3"/>
    <w:rsid w:val="009304C2"/>
    <w:rsid w:val="00937219"/>
    <w:rsid w:val="00940DBB"/>
    <w:rsid w:val="009616D1"/>
    <w:rsid w:val="00970F25"/>
    <w:rsid w:val="0098294F"/>
    <w:rsid w:val="0099252B"/>
    <w:rsid w:val="00993175"/>
    <w:rsid w:val="0099602B"/>
    <w:rsid w:val="009A226D"/>
    <w:rsid w:val="009B1DDB"/>
    <w:rsid w:val="009C49CE"/>
    <w:rsid w:val="009C6D97"/>
    <w:rsid w:val="009C7E13"/>
    <w:rsid w:val="009D17FE"/>
    <w:rsid w:val="009D6190"/>
    <w:rsid w:val="009D6E76"/>
    <w:rsid w:val="009D72F0"/>
    <w:rsid w:val="009E59A6"/>
    <w:rsid w:val="009F0598"/>
    <w:rsid w:val="009F335F"/>
    <w:rsid w:val="009F3876"/>
    <w:rsid w:val="00A00B41"/>
    <w:rsid w:val="00A01EBC"/>
    <w:rsid w:val="00A03949"/>
    <w:rsid w:val="00A05D5A"/>
    <w:rsid w:val="00A108B1"/>
    <w:rsid w:val="00A11ACC"/>
    <w:rsid w:val="00A14B00"/>
    <w:rsid w:val="00A154A8"/>
    <w:rsid w:val="00A24C07"/>
    <w:rsid w:val="00A25450"/>
    <w:rsid w:val="00A2703F"/>
    <w:rsid w:val="00A31097"/>
    <w:rsid w:val="00A35424"/>
    <w:rsid w:val="00A37913"/>
    <w:rsid w:val="00A40359"/>
    <w:rsid w:val="00A53BBB"/>
    <w:rsid w:val="00A55FCB"/>
    <w:rsid w:val="00A56266"/>
    <w:rsid w:val="00A56E3F"/>
    <w:rsid w:val="00A6476E"/>
    <w:rsid w:val="00A65F4E"/>
    <w:rsid w:val="00A76FA0"/>
    <w:rsid w:val="00A77061"/>
    <w:rsid w:val="00A773D8"/>
    <w:rsid w:val="00A87A0C"/>
    <w:rsid w:val="00A87BAD"/>
    <w:rsid w:val="00A97DD3"/>
    <w:rsid w:val="00AC3B8C"/>
    <w:rsid w:val="00AC407C"/>
    <w:rsid w:val="00AC7693"/>
    <w:rsid w:val="00AD1DDF"/>
    <w:rsid w:val="00AD2D78"/>
    <w:rsid w:val="00AD39C6"/>
    <w:rsid w:val="00AD5F76"/>
    <w:rsid w:val="00AE6EE0"/>
    <w:rsid w:val="00AF340A"/>
    <w:rsid w:val="00AF632F"/>
    <w:rsid w:val="00B031D8"/>
    <w:rsid w:val="00B03303"/>
    <w:rsid w:val="00B049A6"/>
    <w:rsid w:val="00B049DB"/>
    <w:rsid w:val="00B06DBB"/>
    <w:rsid w:val="00B105AE"/>
    <w:rsid w:val="00B1080C"/>
    <w:rsid w:val="00B2384C"/>
    <w:rsid w:val="00B2408C"/>
    <w:rsid w:val="00B276BC"/>
    <w:rsid w:val="00B30EC7"/>
    <w:rsid w:val="00B4199D"/>
    <w:rsid w:val="00B440CD"/>
    <w:rsid w:val="00B46AC1"/>
    <w:rsid w:val="00B4790D"/>
    <w:rsid w:val="00B5224E"/>
    <w:rsid w:val="00B55433"/>
    <w:rsid w:val="00B55947"/>
    <w:rsid w:val="00B57963"/>
    <w:rsid w:val="00B60006"/>
    <w:rsid w:val="00B60515"/>
    <w:rsid w:val="00B671B3"/>
    <w:rsid w:val="00B67DD8"/>
    <w:rsid w:val="00B72FF6"/>
    <w:rsid w:val="00B74E14"/>
    <w:rsid w:val="00B80707"/>
    <w:rsid w:val="00B82A3A"/>
    <w:rsid w:val="00B87160"/>
    <w:rsid w:val="00B91B40"/>
    <w:rsid w:val="00BB4784"/>
    <w:rsid w:val="00BB7BA8"/>
    <w:rsid w:val="00BC3854"/>
    <w:rsid w:val="00BD16DB"/>
    <w:rsid w:val="00BD4752"/>
    <w:rsid w:val="00BD5831"/>
    <w:rsid w:val="00BF0B88"/>
    <w:rsid w:val="00C06455"/>
    <w:rsid w:val="00C11B08"/>
    <w:rsid w:val="00C131CC"/>
    <w:rsid w:val="00C17386"/>
    <w:rsid w:val="00C24527"/>
    <w:rsid w:val="00C24C35"/>
    <w:rsid w:val="00C33F27"/>
    <w:rsid w:val="00C3458A"/>
    <w:rsid w:val="00C415C2"/>
    <w:rsid w:val="00C42F3D"/>
    <w:rsid w:val="00C42F9D"/>
    <w:rsid w:val="00C53EC7"/>
    <w:rsid w:val="00C549CC"/>
    <w:rsid w:val="00C578DF"/>
    <w:rsid w:val="00C60877"/>
    <w:rsid w:val="00C6274D"/>
    <w:rsid w:val="00C7089F"/>
    <w:rsid w:val="00C729D5"/>
    <w:rsid w:val="00C75BB3"/>
    <w:rsid w:val="00C82B89"/>
    <w:rsid w:val="00C83CE8"/>
    <w:rsid w:val="00C83DE3"/>
    <w:rsid w:val="00C861E9"/>
    <w:rsid w:val="00C91643"/>
    <w:rsid w:val="00CA66D8"/>
    <w:rsid w:val="00CA718F"/>
    <w:rsid w:val="00CB0689"/>
    <w:rsid w:val="00CB1920"/>
    <w:rsid w:val="00CB4141"/>
    <w:rsid w:val="00CC0A23"/>
    <w:rsid w:val="00CC1017"/>
    <w:rsid w:val="00CC11AB"/>
    <w:rsid w:val="00CC1F66"/>
    <w:rsid w:val="00CD0B99"/>
    <w:rsid w:val="00CD15A5"/>
    <w:rsid w:val="00CD2EA9"/>
    <w:rsid w:val="00CD47D1"/>
    <w:rsid w:val="00CD6FB6"/>
    <w:rsid w:val="00CE18E5"/>
    <w:rsid w:val="00CE34CD"/>
    <w:rsid w:val="00CE720B"/>
    <w:rsid w:val="00CF0AA9"/>
    <w:rsid w:val="00D00698"/>
    <w:rsid w:val="00D04D8E"/>
    <w:rsid w:val="00D13C08"/>
    <w:rsid w:val="00D222BA"/>
    <w:rsid w:val="00D22DBE"/>
    <w:rsid w:val="00D23E9F"/>
    <w:rsid w:val="00D32A5D"/>
    <w:rsid w:val="00D342C2"/>
    <w:rsid w:val="00D37067"/>
    <w:rsid w:val="00D3721D"/>
    <w:rsid w:val="00D5094C"/>
    <w:rsid w:val="00D55AC3"/>
    <w:rsid w:val="00D56025"/>
    <w:rsid w:val="00D64146"/>
    <w:rsid w:val="00D64D43"/>
    <w:rsid w:val="00D65F1A"/>
    <w:rsid w:val="00D726F6"/>
    <w:rsid w:val="00D7277E"/>
    <w:rsid w:val="00D76D39"/>
    <w:rsid w:val="00D81E22"/>
    <w:rsid w:val="00D82F1E"/>
    <w:rsid w:val="00D83E2E"/>
    <w:rsid w:val="00D86F91"/>
    <w:rsid w:val="00D916A4"/>
    <w:rsid w:val="00D919A3"/>
    <w:rsid w:val="00D937A9"/>
    <w:rsid w:val="00DB09F5"/>
    <w:rsid w:val="00DB2B09"/>
    <w:rsid w:val="00DB4F2F"/>
    <w:rsid w:val="00DC0999"/>
    <w:rsid w:val="00DC6845"/>
    <w:rsid w:val="00DD5113"/>
    <w:rsid w:val="00DD61C8"/>
    <w:rsid w:val="00DD6920"/>
    <w:rsid w:val="00DE1D00"/>
    <w:rsid w:val="00DF1A2A"/>
    <w:rsid w:val="00DF2EFF"/>
    <w:rsid w:val="00E00002"/>
    <w:rsid w:val="00E0237F"/>
    <w:rsid w:val="00E0368E"/>
    <w:rsid w:val="00E04C3E"/>
    <w:rsid w:val="00E152A4"/>
    <w:rsid w:val="00E17191"/>
    <w:rsid w:val="00E27E4D"/>
    <w:rsid w:val="00E31E36"/>
    <w:rsid w:val="00E33D44"/>
    <w:rsid w:val="00E42AA9"/>
    <w:rsid w:val="00E45B95"/>
    <w:rsid w:val="00E478F9"/>
    <w:rsid w:val="00E61B06"/>
    <w:rsid w:val="00E66835"/>
    <w:rsid w:val="00E713BF"/>
    <w:rsid w:val="00E900A7"/>
    <w:rsid w:val="00E903DA"/>
    <w:rsid w:val="00E95031"/>
    <w:rsid w:val="00EA485D"/>
    <w:rsid w:val="00EB5864"/>
    <w:rsid w:val="00EB6E77"/>
    <w:rsid w:val="00EB73C5"/>
    <w:rsid w:val="00EB78FA"/>
    <w:rsid w:val="00ED135D"/>
    <w:rsid w:val="00ED3FA8"/>
    <w:rsid w:val="00ED71DA"/>
    <w:rsid w:val="00EE46FD"/>
    <w:rsid w:val="00EE56D6"/>
    <w:rsid w:val="00EE57CA"/>
    <w:rsid w:val="00F003D0"/>
    <w:rsid w:val="00F00B2D"/>
    <w:rsid w:val="00F059B7"/>
    <w:rsid w:val="00F068FB"/>
    <w:rsid w:val="00F073D0"/>
    <w:rsid w:val="00F10B3A"/>
    <w:rsid w:val="00F129B5"/>
    <w:rsid w:val="00F13331"/>
    <w:rsid w:val="00F1420A"/>
    <w:rsid w:val="00F145FF"/>
    <w:rsid w:val="00F148BE"/>
    <w:rsid w:val="00F15580"/>
    <w:rsid w:val="00F209D8"/>
    <w:rsid w:val="00F24BD1"/>
    <w:rsid w:val="00F35804"/>
    <w:rsid w:val="00F35846"/>
    <w:rsid w:val="00F61C43"/>
    <w:rsid w:val="00F667C0"/>
    <w:rsid w:val="00F70B26"/>
    <w:rsid w:val="00F72D51"/>
    <w:rsid w:val="00F74089"/>
    <w:rsid w:val="00F75907"/>
    <w:rsid w:val="00F8059F"/>
    <w:rsid w:val="00F80C50"/>
    <w:rsid w:val="00F81CB1"/>
    <w:rsid w:val="00F82E85"/>
    <w:rsid w:val="00F916B7"/>
    <w:rsid w:val="00F92544"/>
    <w:rsid w:val="00F945F0"/>
    <w:rsid w:val="00F95642"/>
    <w:rsid w:val="00F95B79"/>
    <w:rsid w:val="00F96F1C"/>
    <w:rsid w:val="00FA236B"/>
    <w:rsid w:val="00FB7AD5"/>
    <w:rsid w:val="00FC2032"/>
    <w:rsid w:val="00FC20F3"/>
    <w:rsid w:val="00FC4E58"/>
    <w:rsid w:val="00FC4F13"/>
    <w:rsid w:val="00FC7455"/>
    <w:rsid w:val="00FD2455"/>
    <w:rsid w:val="00FD5521"/>
    <w:rsid w:val="00FE1265"/>
    <w:rsid w:val="00FE15D2"/>
    <w:rsid w:val="00FF0CFD"/>
    <w:rsid w:val="00FF2CB5"/>
    <w:rsid w:val="00FF39DC"/>
    <w:rsid w:val="00FF495A"/>
    <w:rsid w:val="00FF6EF7"/>
    <w:rsid w:val="062728B9"/>
    <w:rsid w:val="078E4640"/>
    <w:rsid w:val="0875CEA1"/>
    <w:rsid w:val="0880950F"/>
    <w:rsid w:val="088A9C66"/>
    <w:rsid w:val="096589BB"/>
    <w:rsid w:val="09A84834"/>
    <w:rsid w:val="0EB14AEF"/>
    <w:rsid w:val="10FCC09E"/>
    <w:rsid w:val="11D8091C"/>
    <w:rsid w:val="1334ECBD"/>
    <w:rsid w:val="14B76E33"/>
    <w:rsid w:val="17A1C6F9"/>
    <w:rsid w:val="1935DC01"/>
    <w:rsid w:val="1AC428AB"/>
    <w:rsid w:val="1B045638"/>
    <w:rsid w:val="1E69721F"/>
    <w:rsid w:val="1FA0F540"/>
    <w:rsid w:val="230D1613"/>
    <w:rsid w:val="240D281B"/>
    <w:rsid w:val="246B9563"/>
    <w:rsid w:val="25F3E35F"/>
    <w:rsid w:val="2656E4FF"/>
    <w:rsid w:val="26959F85"/>
    <w:rsid w:val="2B1E12B3"/>
    <w:rsid w:val="2B2FF868"/>
    <w:rsid w:val="2BCE1DD2"/>
    <w:rsid w:val="2C3FC234"/>
    <w:rsid w:val="2D19D4E0"/>
    <w:rsid w:val="2EECE220"/>
    <w:rsid w:val="308B673D"/>
    <w:rsid w:val="32477F03"/>
    <w:rsid w:val="33065022"/>
    <w:rsid w:val="33EB2879"/>
    <w:rsid w:val="34521442"/>
    <w:rsid w:val="36D45A6B"/>
    <w:rsid w:val="38F61FBD"/>
    <w:rsid w:val="39A9F713"/>
    <w:rsid w:val="3A7FB948"/>
    <w:rsid w:val="3C86E89B"/>
    <w:rsid w:val="3D06B170"/>
    <w:rsid w:val="3D1AC018"/>
    <w:rsid w:val="4025385C"/>
    <w:rsid w:val="450BBC19"/>
    <w:rsid w:val="461CB92E"/>
    <w:rsid w:val="46732172"/>
    <w:rsid w:val="4996837B"/>
    <w:rsid w:val="4A1F1AE0"/>
    <w:rsid w:val="4A569BBB"/>
    <w:rsid w:val="4B81EF42"/>
    <w:rsid w:val="4D1937FD"/>
    <w:rsid w:val="4D9D22EA"/>
    <w:rsid w:val="4DCCAAE3"/>
    <w:rsid w:val="4E3B3757"/>
    <w:rsid w:val="51527067"/>
    <w:rsid w:val="51F1FDE1"/>
    <w:rsid w:val="5376AAB2"/>
    <w:rsid w:val="53AF7BD8"/>
    <w:rsid w:val="56FC5AC4"/>
    <w:rsid w:val="57C01CE6"/>
    <w:rsid w:val="5B898C41"/>
    <w:rsid w:val="5E71FE68"/>
    <w:rsid w:val="5FFFDB55"/>
    <w:rsid w:val="60B59031"/>
    <w:rsid w:val="612A3EA0"/>
    <w:rsid w:val="638A2761"/>
    <w:rsid w:val="647A923F"/>
    <w:rsid w:val="66CDF125"/>
    <w:rsid w:val="69132DF0"/>
    <w:rsid w:val="696A2590"/>
    <w:rsid w:val="6A0EF219"/>
    <w:rsid w:val="6AE9F7DC"/>
    <w:rsid w:val="6BABE455"/>
    <w:rsid w:val="6C8BA55D"/>
    <w:rsid w:val="6D75F100"/>
    <w:rsid w:val="6DA3713A"/>
    <w:rsid w:val="6E8BD0E8"/>
    <w:rsid w:val="6E9B66C7"/>
    <w:rsid w:val="6F9C2C48"/>
    <w:rsid w:val="70FEA218"/>
    <w:rsid w:val="7294A281"/>
    <w:rsid w:val="73E9813A"/>
    <w:rsid w:val="74024E5C"/>
    <w:rsid w:val="75207B6D"/>
    <w:rsid w:val="754882BB"/>
    <w:rsid w:val="756F2398"/>
    <w:rsid w:val="79DFE76E"/>
    <w:rsid w:val="7CBCE333"/>
    <w:rsid w:val="7D8953D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4A12C"/>
  <w15:chartTrackingRefBased/>
  <w15:docId w15:val="{98D43950-7930-401D-9217-3760DA138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7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7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7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7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7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7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7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7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7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7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7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7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7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7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7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7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7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7FE"/>
    <w:rPr>
      <w:rFonts w:eastAsiaTheme="majorEastAsia" w:cstheme="majorBidi"/>
      <w:color w:val="272727" w:themeColor="text1" w:themeTint="D8"/>
    </w:rPr>
  </w:style>
  <w:style w:type="paragraph" w:styleId="Title">
    <w:name w:val="Title"/>
    <w:basedOn w:val="Normal"/>
    <w:next w:val="Normal"/>
    <w:link w:val="TitleChar"/>
    <w:uiPriority w:val="10"/>
    <w:qFormat/>
    <w:rsid w:val="009D17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7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7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7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7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17FE"/>
    <w:rPr>
      <w:i/>
      <w:iCs/>
      <w:color w:val="404040" w:themeColor="text1" w:themeTint="BF"/>
    </w:rPr>
  </w:style>
  <w:style w:type="paragraph" w:styleId="ListParagraph">
    <w:name w:val="List Paragraph"/>
    <w:basedOn w:val="Normal"/>
    <w:uiPriority w:val="34"/>
    <w:qFormat/>
    <w:rsid w:val="009D17FE"/>
    <w:pPr>
      <w:ind w:left="720"/>
      <w:contextualSpacing/>
    </w:pPr>
  </w:style>
  <w:style w:type="character" w:styleId="IntenseEmphasis">
    <w:name w:val="Intense Emphasis"/>
    <w:basedOn w:val="DefaultParagraphFont"/>
    <w:uiPriority w:val="21"/>
    <w:qFormat/>
    <w:rsid w:val="009D17FE"/>
    <w:rPr>
      <w:i/>
      <w:iCs/>
      <w:color w:val="0F4761" w:themeColor="accent1" w:themeShade="BF"/>
    </w:rPr>
  </w:style>
  <w:style w:type="paragraph" w:styleId="IntenseQuote">
    <w:name w:val="Intense Quote"/>
    <w:basedOn w:val="Normal"/>
    <w:next w:val="Normal"/>
    <w:link w:val="IntenseQuoteChar"/>
    <w:uiPriority w:val="30"/>
    <w:qFormat/>
    <w:rsid w:val="009D17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7FE"/>
    <w:rPr>
      <w:i/>
      <w:iCs/>
      <w:color w:val="0F4761" w:themeColor="accent1" w:themeShade="BF"/>
    </w:rPr>
  </w:style>
  <w:style w:type="character" w:styleId="IntenseReference">
    <w:name w:val="Intense Reference"/>
    <w:basedOn w:val="DefaultParagraphFont"/>
    <w:uiPriority w:val="32"/>
    <w:qFormat/>
    <w:rsid w:val="009D17FE"/>
    <w:rPr>
      <w:b/>
      <w:bCs/>
      <w:smallCaps/>
      <w:color w:val="0F4761" w:themeColor="accent1" w:themeShade="BF"/>
      <w:spacing w:val="5"/>
    </w:rPr>
  </w:style>
  <w:style w:type="paragraph" w:styleId="Header">
    <w:name w:val="header"/>
    <w:basedOn w:val="Normal"/>
    <w:link w:val="HeaderChar"/>
    <w:uiPriority w:val="99"/>
    <w:unhideWhenUsed/>
    <w:rsid w:val="00B46AC1"/>
    <w:pPr>
      <w:tabs>
        <w:tab w:val="center" w:pos="4819"/>
        <w:tab w:val="right" w:pos="9638"/>
      </w:tabs>
    </w:pPr>
  </w:style>
  <w:style w:type="character" w:customStyle="1" w:styleId="HeaderChar">
    <w:name w:val="Header Char"/>
    <w:basedOn w:val="DefaultParagraphFont"/>
    <w:link w:val="Header"/>
    <w:uiPriority w:val="99"/>
    <w:rsid w:val="00B46AC1"/>
  </w:style>
  <w:style w:type="paragraph" w:styleId="Footer">
    <w:name w:val="footer"/>
    <w:basedOn w:val="Normal"/>
    <w:link w:val="FooterChar"/>
    <w:uiPriority w:val="99"/>
    <w:unhideWhenUsed/>
    <w:rsid w:val="00B46AC1"/>
    <w:pPr>
      <w:tabs>
        <w:tab w:val="center" w:pos="4819"/>
        <w:tab w:val="right" w:pos="9638"/>
      </w:tabs>
    </w:pPr>
  </w:style>
  <w:style w:type="character" w:customStyle="1" w:styleId="FooterChar">
    <w:name w:val="Footer Char"/>
    <w:basedOn w:val="DefaultParagraphFont"/>
    <w:link w:val="Footer"/>
    <w:uiPriority w:val="99"/>
    <w:rsid w:val="00B46AC1"/>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853068"/>
  </w:style>
  <w:style w:type="paragraph" w:styleId="CommentSubject">
    <w:name w:val="annotation subject"/>
    <w:basedOn w:val="CommentText"/>
    <w:next w:val="CommentText"/>
    <w:link w:val="CommentSubjectChar"/>
    <w:uiPriority w:val="99"/>
    <w:semiHidden/>
    <w:unhideWhenUsed/>
    <w:rsid w:val="000D2749"/>
    <w:rPr>
      <w:b/>
      <w:bCs/>
    </w:rPr>
  </w:style>
  <w:style w:type="character" w:customStyle="1" w:styleId="CommentSubjectChar">
    <w:name w:val="Comment Subject Char"/>
    <w:basedOn w:val="CommentTextChar"/>
    <w:link w:val="CommentSubject"/>
    <w:uiPriority w:val="99"/>
    <w:semiHidden/>
    <w:rsid w:val="000D2749"/>
    <w:rPr>
      <w:b/>
      <w:bCs/>
      <w:sz w:val="20"/>
      <w:szCs w:val="20"/>
    </w:rPr>
  </w:style>
  <w:style w:type="character" w:customStyle="1" w:styleId="ng-star-inserted1">
    <w:name w:val="ng-star-inserted1"/>
    <w:basedOn w:val="DefaultParagraphFont"/>
    <w:rsid w:val="004D6D36"/>
  </w:style>
  <w:style w:type="paragraph" w:styleId="NormalWeb">
    <w:name w:val="Normal (Web)"/>
    <w:basedOn w:val="Normal"/>
    <w:uiPriority w:val="99"/>
    <w:unhideWhenUsed/>
    <w:rsid w:val="004D6D36"/>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16</TotalTime>
  <Pages>3</Pages>
  <Words>3766</Words>
  <Characters>2148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Matas Miknevičius</dc:creator>
  <cp:keywords/>
  <dc:description/>
  <cp:lastModifiedBy>Eglė Krasauskienė</cp:lastModifiedBy>
  <cp:revision>12</cp:revision>
  <dcterms:created xsi:type="dcterms:W3CDTF">2026-08-05T09:08:00Z</dcterms:created>
  <dcterms:modified xsi:type="dcterms:W3CDTF">2026-08-07T11:51:00Z</dcterms:modified>
</cp:coreProperties>
</file>