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C8DCD" w14:textId="77777777" w:rsidR="00CD0B99" w:rsidRDefault="00CD0B99" w:rsidP="004927B5">
      <w:pPr>
        <w:jc w:val="both"/>
        <w:rPr>
          <w:rFonts w:ascii="Nunito Sans" w:hAnsi="Nunito Sans" w:cs="Calibri"/>
          <w:b/>
          <w:bCs/>
          <w:sz w:val="22"/>
          <w:szCs w:val="22"/>
        </w:rPr>
      </w:pPr>
    </w:p>
    <w:p w14:paraId="303D0D77" w14:textId="77777777" w:rsidR="00ED135D" w:rsidRPr="0077274D" w:rsidRDefault="00ED135D" w:rsidP="00ED135D">
      <w:pPr>
        <w:jc w:val="right"/>
        <w:rPr>
          <w:rFonts w:ascii="Nunito Sans" w:hAnsi="Nunito Sans"/>
          <w:sz w:val="22"/>
          <w:szCs w:val="22"/>
        </w:rPr>
      </w:pPr>
      <w:r w:rsidRPr="0077274D">
        <w:rPr>
          <w:rFonts w:ascii="Nunito Sans" w:hAnsi="Nunito Sans"/>
          <w:sz w:val="22"/>
          <w:szCs w:val="22"/>
        </w:rPr>
        <w:t>Pranešimas žiniasklaidai</w:t>
      </w:r>
    </w:p>
    <w:p w14:paraId="313A4827" w14:textId="14345644" w:rsidR="00ED135D" w:rsidRPr="0077274D" w:rsidRDefault="00ED135D" w:rsidP="00ED135D">
      <w:pPr>
        <w:jc w:val="right"/>
        <w:rPr>
          <w:rFonts w:ascii="Nunito Sans" w:hAnsi="Nunito Sans"/>
          <w:sz w:val="22"/>
          <w:szCs w:val="22"/>
        </w:rPr>
      </w:pPr>
      <w:r w:rsidRPr="0077274D">
        <w:rPr>
          <w:rFonts w:ascii="Nunito Sans" w:hAnsi="Nunito Sans"/>
          <w:sz w:val="22"/>
          <w:szCs w:val="22"/>
        </w:rPr>
        <w:t xml:space="preserve">2026 m. </w:t>
      </w:r>
      <w:r w:rsidR="00A2703F">
        <w:rPr>
          <w:rFonts w:ascii="Nunito Sans" w:hAnsi="Nunito Sans"/>
          <w:sz w:val="22"/>
          <w:szCs w:val="22"/>
        </w:rPr>
        <w:t>rugpjū</w:t>
      </w:r>
      <w:r w:rsidR="00216D0B">
        <w:rPr>
          <w:rFonts w:ascii="Nunito Sans" w:hAnsi="Nunito Sans"/>
          <w:sz w:val="22"/>
          <w:szCs w:val="22"/>
        </w:rPr>
        <w:t xml:space="preserve">čio </w:t>
      </w:r>
      <w:r w:rsidR="00216D0B">
        <w:rPr>
          <w:rFonts w:ascii="Nunito Sans" w:hAnsi="Nunito Sans"/>
          <w:sz w:val="22"/>
          <w:szCs w:val="22"/>
          <w:lang w:val="en-US"/>
        </w:rPr>
        <w:t>7</w:t>
      </w:r>
      <w:r w:rsidRPr="0077274D">
        <w:rPr>
          <w:rFonts w:ascii="Nunito Sans" w:hAnsi="Nunito Sans"/>
          <w:sz w:val="22"/>
          <w:szCs w:val="22"/>
        </w:rPr>
        <w:t xml:space="preserve"> d.</w:t>
      </w:r>
    </w:p>
    <w:p w14:paraId="4B4EE510" w14:textId="77777777" w:rsidR="00A2703F" w:rsidRDefault="00A2703F" w:rsidP="00A2703F">
      <w:pPr>
        <w:jc w:val="both"/>
        <w:rPr>
          <w:rFonts w:ascii="Nunito Sans" w:hAnsi="Nunito Sans"/>
          <w:b/>
          <w:bCs/>
          <w:sz w:val="22"/>
          <w:szCs w:val="22"/>
        </w:rPr>
      </w:pPr>
    </w:p>
    <w:p w14:paraId="36548844" w14:textId="5F25E1A8" w:rsidR="00A2703F" w:rsidRPr="00A2703F" w:rsidRDefault="00A2703F" w:rsidP="00A2703F">
      <w:pPr>
        <w:jc w:val="both"/>
        <w:rPr>
          <w:rFonts w:ascii="Nunito Sans" w:hAnsi="Nunito Sans"/>
          <w:b/>
          <w:bCs/>
          <w:sz w:val="22"/>
          <w:szCs w:val="22"/>
        </w:rPr>
      </w:pPr>
      <w:r w:rsidRPr="00A2703F">
        <w:rPr>
          <w:rFonts w:ascii="Nunito Sans" w:hAnsi="Nunito Sans"/>
          <w:b/>
          <w:bCs/>
          <w:sz w:val="22"/>
          <w:szCs w:val="22"/>
        </w:rPr>
        <w:t xml:space="preserve">Pirmąjį 2026 m. pusmetį „Amber Grid“ pajamos augo 41 proc., grynasis pelnas – daugiau nei 6 kartus </w:t>
      </w:r>
    </w:p>
    <w:p w14:paraId="63FC72EA" w14:textId="77777777" w:rsidR="00A2703F" w:rsidRPr="00A2703F" w:rsidRDefault="00A2703F" w:rsidP="00A2703F">
      <w:pPr>
        <w:jc w:val="both"/>
        <w:rPr>
          <w:rFonts w:ascii="Nunito Sans" w:hAnsi="Nunito Sans"/>
          <w:b/>
          <w:bCs/>
          <w:sz w:val="22"/>
          <w:szCs w:val="22"/>
        </w:rPr>
      </w:pPr>
    </w:p>
    <w:p w14:paraId="66D16F85" w14:textId="1C462642" w:rsidR="00A2703F" w:rsidRPr="00A2703F" w:rsidRDefault="00A2703F" w:rsidP="00A2703F">
      <w:pPr>
        <w:jc w:val="both"/>
        <w:rPr>
          <w:rFonts w:ascii="Nunito Sans" w:hAnsi="Nunito Sans"/>
          <w:b/>
          <w:bCs/>
          <w:sz w:val="22"/>
          <w:szCs w:val="22"/>
        </w:rPr>
      </w:pPr>
      <w:r w:rsidRPr="00A2703F">
        <w:rPr>
          <w:rFonts w:ascii="Nunito Sans" w:hAnsi="Nunito Sans"/>
          <w:b/>
          <w:bCs/>
          <w:sz w:val="22"/>
          <w:szCs w:val="22"/>
        </w:rPr>
        <w:t xml:space="preserve">Lietuvos dujų perdavimo sistemos operatoriaus „Amber Grid“ pajamos 2026 metų pirmąjį pusmetį siekė 49,4 mln. eurų – tai 14,4 mln. eurų, arba 41 proc. daugiau nei tuo pačiu laikotarpiu pernai, kai jos sudarė </w:t>
      </w:r>
      <w:r w:rsidRPr="00A2703F">
        <w:rPr>
          <w:rFonts w:ascii="Nunito Sans" w:hAnsi="Nunito Sans"/>
          <w:b/>
          <w:bCs/>
          <w:sz w:val="22"/>
          <w:szCs w:val="22"/>
          <w:lang w:val="en-US"/>
        </w:rPr>
        <w:t>35 mln. eur</w:t>
      </w:r>
      <w:r w:rsidRPr="00A2703F">
        <w:rPr>
          <w:rFonts w:ascii="Nunito Sans" w:hAnsi="Nunito Sans"/>
          <w:b/>
          <w:bCs/>
          <w:sz w:val="22"/>
          <w:szCs w:val="22"/>
        </w:rPr>
        <w:t xml:space="preserve">ų. Pajamų augimą daugiausia lėmė išaugę </w:t>
      </w:r>
      <w:r w:rsidR="00F073D0">
        <w:rPr>
          <w:rFonts w:ascii="Nunito Sans" w:hAnsi="Nunito Sans"/>
          <w:b/>
          <w:bCs/>
          <w:sz w:val="22"/>
          <w:szCs w:val="22"/>
        </w:rPr>
        <w:t>per</w:t>
      </w:r>
      <w:r w:rsidR="00B30EC7">
        <w:rPr>
          <w:rFonts w:ascii="Nunito Sans" w:hAnsi="Nunito Sans"/>
          <w:b/>
          <w:bCs/>
          <w:sz w:val="22"/>
          <w:szCs w:val="22"/>
        </w:rPr>
        <w:t>duot</w:t>
      </w:r>
      <w:r w:rsidR="007A5167">
        <w:rPr>
          <w:rFonts w:ascii="Nunito Sans" w:hAnsi="Nunito Sans"/>
          <w:b/>
          <w:bCs/>
          <w:sz w:val="22"/>
          <w:szCs w:val="22"/>
        </w:rPr>
        <w:t>i</w:t>
      </w:r>
      <w:r w:rsidR="00F073D0" w:rsidRPr="00A2703F">
        <w:rPr>
          <w:rFonts w:ascii="Nunito Sans" w:hAnsi="Nunito Sans"/>
          <w:b/>
          <w:bCs/>
          <w:sz w:val="22"/>
          <w:szCs w:val="22"/>
        </w:rPr>
        <w:t xml:space="preserve"> </w:t>
      </w:r>
      <w:r w:rsidRPr="00A2703F">
        <w:rPr>
          <w:rFonts w:ascii="Nunito Sans" w:hAnsi="Nunito Sans"/>
          <w:b/>
          <w:bCs/>
          <w:sz w:val="22"/>
          <w:szCs w:val="22"/>
        </w:rPr>
        <w:t>dujų kiekiai</w:t>
      </w:r>
      <w:r w:rsidR="00475520">
        <w:rPr>
          <w:rFonts w:ascii="Nunito Sans" w:hAnsi="Nunito Sans"/>
          <w:b/>
          <w:bCs/>
          <w:sz w:val="22"/>
          <w:szCs w:val="22"/>
        </w:rPr>
        <w:t>.</w:t>
      </w:r>
    </w:p>
    <w:p w14:paraId="0BB02C78" w14:textId="77777777" w:rsidR="00A2703F" w:rsidRPr="00A2703F" w:rsidRDefault="00A2703F" w:rsidP="00A2703F">
      <w:pPr>
        <w:jc w:val="both"/>
        <w:rPr>
          <w:rFonts w:ascii="Nunito Sans" w:hAnsi="Nunito Sans"/>
          <w:sz w:val="22"/>
          <w:szCs w:val="22"/>
        </w:rPr>
      </w:pPr>
    </w:p>
    <w:p w14:paraId="00A6A155" w14:textId="77777777" w:rsidR="00A2703F" w:rsidRPr="00A2703F" w:rsidRDefault="00A2703F" w:rsidP="00A2703F">
      <w:pPr>
        <w:jc w:val="both"/>
        <w:rPr>
          <w:rFonts w:ascii="Nunito Sans" w:hAnsi="Nunito Sans"/>
          <w:sz w:val="22"/>
          <w:szCs w:val="22"/>
        </w:rPr>
      </w:pPr>
      <w:r w:rsidRPr="00A2703F">
        <w:rPr>
          <w:rFonts w:ascii="Nunito Sans" w:hAnsi="Nunito Sans"/>
          <w:sz w:val="22"/>
          <w:szCs w:val="22"/>
        </w:rPr>
        <w:t>„Amber Grid“ grynasis pelnas 2026 m. pirmąjį pusmetį siekė 18,1 mln. eurų ir buvo 15,</w:t>
      </w:r>
      <w:r w:rsidRPr="00A2703F">
        <w:rPr>
          <w:rFonts w:ascii="Nunito Sans" w:hAnsi="Nunito Sans"/>
          <w:sz w:val="22"/>
          <w:szCs w:val="22"/>
          <w:lang w:val="en-US"/>
        </w:rPr>
        <w:t>4</w:t>
      </w:r>
      <w:r w:rsidRPr="00A2703F">
        <w:rPr>
          <w:rFonts w:ascii="Nunito Sans" w:hAnsi="Nunito Sans"/>
          <w:sz w:val="22"/>
          <w:szCs w:val="22"/>
        </w:rPr>
        <w:t xml:space="preserve"> mln. eurų, arba beveik 6,5 karto, didesnis nei 2025 m. pirmąjį pusmetį, kai jis sudarė 2,8 mln. eurų.</w:t>
      </w:r>
    </w:p>
    <w:p w14:paraId="1387F407" w14:textId="77777777" w:rsidR="00A2703F" w:rsidRPr="00A2703F" w:rsidRDefault="00A2703F" w:rsidP="00A2703F">
      <w:pPr>
        <w:jc w:val="both"/>
        <w:rPr>
          <w:rFonts w:ascii="Nunito Sans" w:hAnsi="Nunito Sans"/>
          <w:sz w:val="22"/>
          <w:szCs w:val="22"/>
        </w:rPr>
      </w:pPr>
    </w:p>
    <w:p w14:paraId="61A96238" w14:textId="77777777" w:rsidR="00A2703F" w:rsidRPr="00A2703F" w:rsidRDefault="00A2703F" w:rsidP="00A2703F">
      <w:pPr>
        <w:jc w:val="both"/>
        <w:rPr>
          <w:rFonts w:ascii="Nunito Sans" w:hAnsi="Nunito Sans"/>
          <w:sz w:val="22"/>
          <w:szCs w:val="22"/>
        </w:rPr>
      </w:pPr>
      <w:r w:rsidRPr="00A2703F">
        <w:rPr>
          <w:rFonts w:ascii="Nunito Sans" w:hAnsi="Nunito Sans"/>
          <w:sz w:val="22"/>
          <w:szCs w:val="22"/>
        </w:rPr>
        <w:t>„Pirmąjį šių metų pusmetį pasiekėme reikšmingą finansinių rezultatų augimą, kurį lėmė ne tik didesnės dujų perdavimo apimtys, bet ir efektyvesnė veikla. Šaltesnė žiema dar kartą patvirtino Lietuvos dujų perdavimo sistemos svarbą šalies ir regiono energetiniam saugumui. Siekdami ir toliau didinti sistemos efektyvumą, investuojame į elektrinių kompresorių projektus, kurie ateityje leis dirbti lanksčiau, efektyviau ir mažinant poveikį aplinkai“, – sako Gytis Fominas, „Amber Grid“ finansų direktorius.</w:t>
      </w:r>
    </w:p>
    <w:p w14:paraId="3A29F418" w14:textId="77777777" w:rsidR="00A2703F" w:rsidRPr="00A2703F" w:rsidRDefault="00A2703F" w:rsidP="00A2703F">
      <w:pPr>
        <w:jc w:val="both"/>
        <w:rPr>
          <w:rFonts w:ascii="Nunito Sans" w:hAnsi="Nunito Sans"/>
          <w:sz w:val="22"/>
          <w:szCs w:val="22"/>
        </w:rPr>
      </w:pPr>
    </w:p>
    <w:p w14:paraId="7686149B" w14:textId="4701F0B7" w:rsidR="00A2703F" w:rsidRPr="00A2703F" w:rsidRDefault="00A2703F" w:rsidP="00A2703F">
      <w:pPr>
        <w:jc w:val="both"/>
        <w:rPr>
          <w:rFonts w:ascii="Nunito Sans" w:hAnsi="Nunito Sans"/>
          <w:sz w:val="22"/>
          <w:szCs w:val="22"/>
        </w:rPr>
      </w:pPr>
      <w:r w:rsidRPr="00A2703F">
        <w:rPr>
          <w:rFonts w:ascii="Nunito Sans" w:hAnsi="Nunito Sans"/>
          <w:sz w:val="22"/>
          <w:szCs w:val="22"/>
        </w:rPr>
        <w:t>Bendrovės veiklos pelnas prieš palūkanas, mokesčius, nusidėvėjimą ir amortizaciją (EBITDA) 2026 m. pirmąjį pusmetį siekė 30,4 mln. eurų – tai 19,4 mln. eurų, arba 176 proc., daugiau nei tuo pačiu laikotarpiu pernai, kai EBITDA sudarė 11 mln. eurų. EBITDA augimą daugiausia lėmė padidėjusios pajamos bei sumažėjusios gamtinių dujų sąnaudos.</w:t>
      </w:r>
      <w:r w:rsidR="00C24C35">
        <w:rPr>
          <w:rFonts w:ascii="Nunito Sans" w:hAnsi="Nunito Sans"/>
          <w:sz w:val="22"/>
          <w:szCs w:val="22"/>
        </w:rPr>
        <w:t xml:space="preserve"> </w:t>
      </w:r>
    </w:p>
    <w:p w14:paraId="10D180FD" w14:textId="77777777" w:rsidR="00A2703F" w:rsidRPr="00A2703F" w:rsidRDefault="00A2703F" w:rsidP="00A2703F">
      <w:pPr>
        <w:jc w:val="both"/>
        <w:rPr>
          <w:rFonts w:ascii="Nunito Sans" w:hAnsi="Nunito Sans"/>
          <w:sz w:val="22"/>
          <w:szCs w:val="22"/>
        </w:rPr>
      </w:pPr>
    </w:p>
    <w:p w14:paraId="5CC4D13E" w14:textId="77777777" w:rsidR="00DD6920" w:rsidRPr="00DD6920" w:rsidRDefault="00DD6920" w:rsidP="00DD6920">
      <w:pPr>
        <w:jc w:val="both"/>
        <w:rPr>
          <w:rFonts w:ascii="Nunito Sans" w:hAnsi="Nunito Sans"/>
          <w:sz w:val="22"/>
          <w:szCs w:val="22"/>
        </w:rPr>
      </w:pPr>
      <w:r w:rsidRPr="00DD6920">
        <w:rPr>
          <w:rFonts w:ascii="Nunito Sans" w:hAnsi="Nunito Sans"/>
          <w:sz w:val="22"/>
          <w:szCs w:val="22"/>
        </w:rPr>
        <w:t>Bendrovės koreguoti finansiniai rodikliai, eliminuojantys laikinų reguliacinių nuokrypių, vienkartinių sandorių ir kito netipinio pelno ar nuostolių įtaką, iš esmės išliko stabilūs. Koreguotas grynasis pelnas siekė 6,3 mln. eurų ir buvo šiek tiek mažesnis nei 2025 m. pirmąjį pusmetį, kai sudarė 6,6 mln. eurų. Tuo metu koreguota EBITDA padidėjo 5,8 proc. – nuo 15,4 mln. eurų iki 16,3 mln. eurų.</w:t>
      </w:r>
    </w:p>
    <w:p w14:paraId="37D01B02" w14:textId="53EDE7AD" w:rsidR="007B27FC" w:rsidRDefault="007B27FC" w:rsidP="00A2703F">
      <w:pPr>
        <w:jc w:val="both"/>
        <w:rPr>
          <w:rFonts w:ascii="Nunito Sans" w:hAnsi="Nunito Sans"/>
          <w:sz w:val="22"/>
          <w:szCs w:val="22"/>
        </w:rPr>
      </w:pPr>
    </w:p>
    <w:p w14:paraId="504E14FE" w14:textId="38F205AA" w:rsidR="00A2703F" w:rsidRPr="00A2703F" w:rsidRDefault="00A2703F" w:rsidP="00A2703F">
      <w:pPr>
        <w:jc w:val="both"/>
        <w:rPr>
          <w:rFonts w:ascii="Nunito Sans" w:hAnsi="Nunito Sans"/>
          <w:sz w:val="22"/>
          <w:szCs w:val="22"/>
        </w:rPr>
      </w:pPr>
      <w:r w:rsidRPr="00A2703F">
        <w:rPr>
          <w:rFonts w:ascii="Nunito Sans" w:hAnsi="Nunito Sans"/>
          <w:sz w:val="22"/>
          <w:szCs w:val="22"/>
        </w:rPr>
        <w:t xml:space="preserve">Bendrovės veiklos sąnaudos 2026 m. pirmąjį pusmetį siekė 26,4 mln. eurų – jos buvo 4,9 mln. eurų, arba 16 proc., mažesnės nei tuo pačiu laikotarpiu pernai, kai sudarė 31,3 mln. eurų. Didžiausią įtaką sąnaudų mažėjimui turėjo 4,8 mln. eurų sumažėjusios technologinės gamtinių dujų sąnaudos. </w:t>
      </w:r>
    </w:p>
    <w:p w14:paraId="5E883F1F" w14:textId="77777777" w:rsidR="00A2703F" w:rsidRPr="00A2703F" w:rsidRDefault="00A2703F" w:rsidP="00A2703F">
      <w:pPr>
        <w:jc w:val="both"/>
        <w:rPr>
          <w:rFonts w:ascii="Nunito Sans" w:hAnsi="Nunito Sans"/>
          <w:sz w:val="22"/>
          <w:szCs w:val="22"/>
        </w:rPr>
      </w:pPr>
    </w:p>
    <w:p w14:paraId="2BEA62DA" w14:textId="77777777" w:rsidR="00A2703F" w:rsidRPr="00A2703F" w:rsidRDefault="00A2703F" w:rsidP="00A2703F">
      <w:pPr>
        <w:jc w:val="both"/>
        <w:rPr>
          <w:rFonts w:ascii="Nunito Sans" w:hAnsi="Nunito Sans"/>
          <w:b/>
          <w:bCs/>
          <w:sz w:val="22"/>
          <w:szCs w:val="22"/>
        </w:rPr>
      </w:pPr>
      <w:r w:rsidRPr="00A2703F">
        <w:rPr>
          <w:rFonts w:ascii="Nunito Sans" w:hAnsi="Nunito Sans"/>
          <w:b/>
          <w:bCs/>
          <w:sz w:val="22"/>
          <w:szCs w:val="22"/>
        </w:rPr>
        <w:t>Dujų perdavimo kiekiai ir rinkos dinamika</w:t>
      </w:r>
    </w:p>
    <w:p w14:paraId="59DF0FD3" w14:textId="77777777" w:rsidR="00A2703F" w:rsidRPr="00A2703F" w:rsidRDefault="00A2703F" w:rsidP="00A2703F">
      <w:pPr>
        <w:jc w:val="both"/>
        <w:rPr>
          <w:rFonts w:ascii="Nunito Sans" w:hAnsi="Nunito Sans"/>
          <w:b/>
          <w:bCs/>
          <w:sz w:val="22"/>
          <w:szCs w:val="22"/>
        </w:rPr>
      </w:pPr>
    </w:p>
    <w:p w14:paraId="5D6EE831" w14:textId="28B950FE" w:rsidR="00A2703F" w:rsidRPr="00A2703F" w:rsidRDefault="00A2703F" w:rsidP="00A2703F">
      <w:pPr>
        <w:jc w:val="both"/>
        <w:rPr>
          <w:rFonts w:ascii="Nunito Sans" w:hAnsi="Nunito Sans"/>
          <w:sz w:val="22"/>
          <w:szCs w:val="22"/>
        </w:rPr>
      </w:pPr>
      <w:r w:rsidRPr="00A2703F">
        <w:rPr>
          <w:rFonts w:ascii="Nunito Sans" w:hAnsi="Nunito Sans"/>
          <w:sz w:val="22"/>
          <w:szCs w:val="22"/>
        </w:rPr>
        <w:t xml:space="preserve">Per pirmąjį 2026 m. pusmetį </w:t>
      </w:r>
      <w:r w:rsidR="4B81EF42" w:rsidRPr="2BCE1DD2">
        <w:rPr>
          <w:rFonts w:ascii="Nunito Sans" w:hAnsi="Nunito Sans"/>
          <w:sz w:val="22"/>
          <w:szCs w:val="22"/>
        </w:rPr>
        <w:t>į</w:t>
      </w:r>
      <w:r w:rsidRPr="00A2703F">
        <w:rPr>
          <w:rFonts w:ascii="Nunito Sans" w:hAnsi="Nunito Sans"/>
          <w:sz w:val="22"/>
          <w:szCs w:val="22"/>
        </w:rPr>
        <w:t xml:space="preserve"> Lietuvos dujų perdavimo sistemą iš viso buvo transportuota 21,3 TWh dujų, neįskaitant tranzito į Karaliaučių. Tai 29 proc. daugiau nei tuo pačiu laikotarpiu 2025 m., kai buvo perduota 16,5 TWh dujų. </w:t>
      </w:r>
    </w:p>
    <w:p w14:paraId="02CE9824" w14:textId="77777777" w:rsidR="00A2703F" w:rsidRPr="00A2703F" w:rsidRDefault="00A2703F" w:rsidP="00A2703F">
      <w:pPr>
        <w:jc w:val="both"/>
        <w:rPr>
          <w:rFonts w:ascii="Nunito Sans" w:hAnsi="Nunito Sans"/>
          <w:sz w:val="22"/>
          <w:szCs w:val="22"/>
        </w:rPr>
      </w:pPr>
    </w:p>
    <w:p w14:paraId="4AAF459D" w14:textId="3AA6B520" w:rsidR="00A2703F" w:rsidRPr="00A2703F" w:rsidRDefault="00A2703F" w:rsidP="00A2703F">
      <w:pPr>
        <w:jc w:val="both"/>
        <w:rPr>
          <w:rFonts w:ascii="Nunito Sans" w:hAnsi="Nunito Sans"/>
          <w:sz w:val="22"/>
          <w:szCs w:val="22"/>
        </w:rPr>
      </w:pPr>
      <w:r w:rsidRPr="00A2703F">
        <w:rPr>
          <w:rFonts w:ascii="Nunito Sans" w:hAnsi="Nunito Sans"/>
          <w:sz w:val="22"/>
          <w:szCs w:val="22"/>
        </w:rPr>
        <w:t xml:space="preserve">Per pirmąjį šių metų pusmetį Lietuvos dujų vartotojams perduota 10,1 TWh dujų – 16 proc. daugiau nei 2025 m. pirmąjį pusmetį (8,7 TWh). </w:t>
      </w:r>
      <w:r w:rsidR="001C4431" w:rsidRPr="001C4431">
        <w:rPr>
          <w:rFonts w:ascii="Nunito Sans" w:hAnsi="Nunito Sans"/>
          <w:sz w:val="22"/>
          <w:szCs w:val="22"/>
        </w:rPr>
        <w:t xml:space="preserve">Perduotų dujų kiekio augimą Lietuvos vidaus rinkoje lėmė didesnis dujų poreikis trąšų gamybos sektoriuje ir šaltesnė žiema, padidinusi energijos </w:t>
      </w:r>
      <w:r w:rsidR="001C4431" w:rsidRPr="34521442">
        <w:rPr>
          <w:rFonts w:ascii="Nunito Sans" w:hAnsi="Nunito Sans"/>
          <w:sz w:val="22"/>
          <w:szCs w:val="22"/>
        </w:rPr>
        <w:t>poreikį</w:t>
      </w:r>
      <w:r w:rsidR="10FCC09E" w:rsidRPr="34521442">
        <w:rPr>
          <w:rFonts w:ascii="Nunito Sans" w:hAnsi="Nunito Sans"/>
          <w:sz w:val="22"/>
          <w:szCs w:val="22"/>
        </w:rPr>
        <w:t xml:space="preserve">. </w:t>
      </w:r>
    </w:p>
    <w:p w14:paraId="410E7C24" w14:textId="77777777" w:rsidR="00A2703F" w:rsidRPr="00A2703F" w:rsidRDefault="00A2703F" w:rsidP="00A2703F">
      <w:pPr>
        <w:jc w:val="both"/>
        <w:rPr>
          <w:rFonts w:ascii="Nunito Sans" w:hAnsi="Nunito Sans"/>
          <w:sz w:val="22"/>
          <w:szCs w:val="22"/>
        </w:rPr>
      </w:pPr>
    </w:p>
    <w:p w14:paraId="63BD5555" w14:textId="1E0B7B13" w:rsidR="00A2703F" w:rsidRPr="00A2703F" w:rsidRDefault="00A2703F" w:rsidP="00A2703F">
      <w:pPr>
        <w:jc w:val="both"/>
        <w:rPr>
          <w:rFonts w:ascii="Nunito Sans" w:hAnsi="Nunito Sans"/>
          <w:sz w:val="22"/>
          <w:szCs w:val="22"/>
        </w:rPr>
      </w:pPr>
      <w:r w:rsidRPr="00A2703F">
        <w:rPr>
          <w:rFonts w:ascii="Nunito Sans" w:hAnsi="Nunito Sans"/>
          <w:sz w:val="22"/>
          <w:szCs w:val="22"/>
        </w:rPr>
        <w:t xml:space="preserve">Per pagrindinį dujų importo šaltinį – Klaipėdos SGD terminalą – pirmąjį pusmetį buvo patiekta 18,6 TWh, arba beveik 88 proc. visų į sistemą transportuotų dujų. </w:t>
      </w:r>
      <w:r w:rsidR="00AC7693">
        <w:rPr>
          <w:rFonts w:ascii="Nunito Sans" w:hAnsi="Nunito Sans"/>
          <w:sz w:val="22"/>
          <w:szCs w:val="22"/>
        </w:rPr>
        <w:t>Į</w:t>
      </w:r>
      <w:r w:rsidR="00AD39C6">
        <w:rPr>
          <w:rFonts w:ascii="Nunito Sans" w:hAnsi="Nunito Sans"/>
          <w:sz w:val="22"/>
          <w:szCs w:val="22"/>
        </w:rPr>
        <w:t>leid</w:t>
      </w:r>
      <w:r w:rsidR="00CF0AA9">
        <w:rPr>
          <w:rFonts w:ascii="Nunito Sans" w:hAnsi="Nunito Sans"/>
          <w:sz w:val="22"/>
          <w:szCs w:val="22"/>
        </w:rPr>
        <w:t>imas</w:t>
      </w:r>
      <w:r w:rsidR="00AC7693" w:rsidRPr="00A2703F">
        <w:rPr>
          <w:rFonts w:ascii="Nunito Sans" w:hAnsi="Nunito Sans"/>
          <w:sz w:val="22"/>
          <w:szCs w:val="22"/>
        </w:rPr>
        <w:t xml:space="preserve"> </w:t>
      </w:r>
      <w:r w:rsidRPr="00A2703F">
        <w:rPr>
          <w:rFonts w:ascii="Nunito Sans" w:hAnsi="Nunito Sans"/>
          <w:sz w:val="22"/>
          <w:szCs w:val="22"/>
        </w:rPr>
        <w:t>per SGD terminalą, palyginti su praėjusių metų tuo pačiu laikotarpiu, padidėjo beveik 31 proc.</w:t>
      </w:r>
    </w:p>
    <w:p w14:paraId="717F7910" w14:textId="77777777" w:rsidR="00A2703F" w:rsidRPr="00A2703F" w:rsidRDefault="00A2703F" w:rsidP="00A2703F">
      <w:pPr>
        <w:jc w:val="both"/>
        <w:rPr>
          <w:rFonts w:ascii="Nunito Sans" w:hAnsi="Nunito Sans"/>
          <w:sz w:val="22"/>
          <w:szCs w:val="22"/>
        </w:rPr>
      </w:pPr>
    </w:p>
    <w:p w14:paraId="42545D30" w14:textId="77777777" w:rsidR="00A2703F" w:rsidRPr="00A2703F" w:rsidRDefault="00A2703F" w:rsidP="00A2703F">
      <w:pPr>
        <w:jc w:val="both"/>
        <w:rPr>
          <w:rFonts w:ascii="Nunito Sans" w:hAnsi="Nunito Sans"/>
          <w:sz w:val="22"/>
          <w:szCs w:val="22"/>
        </w:rPr>
      </w:pPr>
      <w:r w:rsidRPr="00A2703F">
        <w:rPr>
          <w:rFonts w:ascii="Nunito Sans" w:hAnsi="Nunito Sans"/>
          <w:sz w:val="22"/>
          <w:szCs w:val="22"/>
        </w:rPr>
        <w:t xml:space="preserve">Latvijos, Estijos ir Suomijos poreikiams per dujotiekių jungtį tarp Lietuvos ir Latvijos buvo perduota 8,8 TWh dujų – 47 proc. daugiau nei 2025 m. pirmąjį pusmetį. Srautai į Lenkiją didėjo 40 proc. – nuo 1,6 TWh iki 2,3 TWh. </w:t>
      </w:r>
    </w:p>
    <w:p w14:paraId="3987D660" w14:textId="77777777" w:rsidR="00A2703F" w:rsidRPr="00A2703F" w:rsidRDefault="00A2703F" w:rsidP="00A2703F">
      <w:pPr>
        <w:jc w:val="both"/>
        <w:rPr>
          <w:rFonts w:ascii="Nunito Sans" w:hAnsi="Nunito Sans"/>
          <w:sz w:val="22"/>
          <w:szCs w:val="22"/>
        </w:rPr>
      </w:pPr>
    </w:p>
    <w:p w14:paraId="2B37F5D8" w14:textId="77777777" w:rsidR="00A2703F" w:rsidRPr="00A2703F" w:rsidRDefault="00A2703F" w:rsidP="00A2703F">
      <w:pPr>
        <w:jc w:val="both"/>
        <w:rPr>
          <w:rFonts w:ascii="Nunito Sans" w:hAnsi="Nunito Sans"/>
          <w:sz w:val="22"/>
          <w:szCs w:val="22"/>
        </w:rPr>
      </w:pPr>
      <w:r w:rsidRPr="00A2703F">
        <w:rPr>
          <w:rFonts w:ascii="Nunito Sans" w:hAnsi="Nunito Sans"/>
          <w:sz w:val="22"/>
          <w:szCs w:val="22"/>
        </w:rPr>
        <w:t>Augantys regioniniai srautai dar kartą patvirtina Lietuvos dujų perdavimo infrastruktūros svarbą stiprinant „Amber Gas Corridor“ kryptį – patikimus dujų tiekimo kelius tarp Baltijos šalių, Lenkijos ir platesnio Europos regiono. Kaip ir pernai, dalis dujų srautų buvo nukreipta Ukrainos dujų poreikiams patenkinti.</w:t>
      </w:r>
    </w:p>
    <w:p w14:paraId="1CDF3890" w14:textId="77777777" w:rsidR="00A2703F" w:rsidRPr="00A2703F" w:rsidRDefault="00A2703F" w:rsidP="00A2703F">
      <w:pPr>
        <w:jc w:val="both"/>
        <w:rPr>
          <w:rFonts w:ascii="Nunito Sans" w:hAnsi="Nunito Sans"/>
          <w:sz w:val="22"/>
          <w:szCs w:val="22"/>
        </w:rPr>
      </w:pPr>
    </w:p>
    <w:p w14:paraId="79B87780" w14:textId="401690A0" w:rsidR="00A2703F" w:rsidRPr="00A2703F" w:rsidRDefault="00A2703F" w:rsidP="00A2703F">
      <w:pPr>
        <w:jc w:val="both"/>
      </w:pPr>
      <w:r w:rsidRPr="00A2703F">
        <w:rPr>
          <w:rFonts w:ascii="Nunito Sans" w:hAnsi="Nunito Sans"/>
          <w:b/>
          <w:bCs/>
          <w:sz w:val="22"/>
          <w:szCs w:val="22"/>
        </w:rPr>
        <w:t>Žalioji transformacija ir strateginės kryptys</w:t>
      </w:r>
    </w:p>
    <w:p w14:paraId="7ABCBA69" w14:textId="49652AE9" w:rsidR="3A7FB948" w:rsidRDefault="3A7FB948" w:rsidP="3A7FB948">
      <w:pPr>
        <w:jc w:val="both"/>
        <w:rPr>
          <w:rFonts w:ascii="Nunito Sans" w:hAnsi="Nunito Sans"/>
          <w:b/>
          <w:bCs/>
          <w:sz w:val="22"/>
          <w:szCs w:val="22"/>
        </w:rPr>
      </w:pPr>
    </w:p>
    <w:p w14:paraId="34CD6A14" w14:textId="77777777" w:rsidR="00A2703F" w:rsidRPr="00A2703F" w:rsidRDefault="00A2703F" w:rsidP="00A2703F">
      <w:pPr>
        <w:jc w:val="both"/>
        <w:rPr>
          <w:rFonts w:ascii="Nunito Sans" w:hAnsi="Nunito Sans"/>
          <w:sz w:val="22"/>
          <w:szCs w:val="22"/>
        </w:rPr>
      </w:pPr>
      <w:r w:rsidRPr="00A2703F">
        <w:rPr>
          <w:rFonts w:ascii="Nunito Sans" w:hAnsi="Nunito Sans"/>
          <w:sz w:val="22"/>
          <w:szCs w:val="22"/>
        </w:rPr>
        <w:t>„2026 m. pirmąjį pusmetį bendrovės veiklos kryptys toliau buvo formuojamos atsižvelgiant į atnaujintą Nacionalinę energetinės nepriklausomybės strategiją. Dujų sektoriuje tai reiškia didesnį dėmesį kritinės infrastruktūros fizinio ir kibernetinio atsparumo stiprinimui, tarptautinių dujų srautų iš Klaipėdos SGD terminalo užtikrinimui ir didinimui Centrinės Europos bei Ukrainos kryptimi, biometano integracijai, žaliųjų dujų infrastruktūros plėtrai ir pasirengimui Šiaurės ir Baltijos šalių vandenilio tinklo vystymui“, – teigia „Amber Grid“ Organizacijos pažangos direktorius Tomas Urmanavičius.</w:t>
      </w:r>
    </w:p>
    <w:p w14:paraId="476B4F6A" w14:textId="77777777" w:rsidR="00A2703F" w:rsidRPr="00A2703F" w:rsidRDefault="00A2703F" w:rsidP="00A2703F">
      <w:pPr>
        <w:jc w:val="both"/>
        <w:rPr>
          <w:rFonts w:ascii="Nunito Sans" w:hAnsi="Nunito Sans"/>
          <w:sz w:val="22"/>
          <w:szCs w:val="22"/>
        </w:rPr>
      </w:pPr>
    </w:p>
    <w:p w14:paraId="7AD280A7" w14:textId="28047116" w:rsidR="00A2703F" w:rsidRPr="002148B5" w:rsidRDefault="00A2703F" w:rsidP="00A2703F">
      <w:pPr>
        <w:jc w:val="both"/>
        <w:rPr>
          <w:rFonts w:ascii="Nunito Sans" w:hAnsi="Nunito Sans"/>
          <w:sz w:val="22"/>
          <w:szCs w:val="22"/>
          <w:lang w:val="en-US"/>
        </w:rPr>
      </w:pPr>
      <w:r w:rsidRPr="00A2703F">
        <w:rPr>
          <w:rFonts w:ascii="Nunito Sans" w:hAnsi="Nunito Sans"/>
          <w:sz w:val="22"/>
          <w:szCs w:val="22"/>
        </w:rPr>
        <w:t>Į Lietuvos dujų perdavimo ir skirstymo sistemą įleidžiamo biometano kiekis toliau sparčiai auga. 2026 m. pirmąjį pusmetį į sistemą buvo įleista 242,9 GWh biometano – 2,6 karto daugiau nei per tą patį laikotarpį 2025 m.</w:t>
      </w:r>
      <w:r w:rsidR="00A37913">
        <w:rPr>
          <w:rFonts w:ascii="Nunito Sans" w:hAnsi="Nunito Sans"/>
          <w:sz w:val="22"/>
          <w:szCs w:val="22"/>
        </w:rPr>
        <w:t xml:space="preserve"> </w:t>
      </w:r>
      <w:r w:rsidR="00AC407C">
        <w:rPr>
          <w:rFonts w:ascii="Nunito Sans" w:hAnsi="Nunito Sans"/>
          <w:sz w:val="22"/>
          <w:szCs w:val="22"/>
        </w:rPr>
        <w:t>Be to, u</w:t>
      </w:r>
      <w:r w:rsidR="00A37913">
        <w:rPr>
          <w:rFonts w:ascii="Nunito Sans" w:hAnsi="Nunito Sans"/>
          <w:sz w:val="22"/>
          <w:szCs w:val="22"/>
        </w:rPr>
        <w:t xml:space="preserve">žbaigti trys biodujų gamybos </w:t>
      </w:r>
      <w:r w:rsidR="00081E1C">
        <w:rPr>
          <w:rFonts w:ascii="Nunito Sans" w:hAnsi="Nunito Sans"/>
          <w:sz w:val="22"/>
          <w:szCs w:val="22"/>
        </w:rPr>
        <w:t>įrenginių prijungimo prie perdavimo sistemos projektai</w:t>
      </w:r>
      <w:r w:rsidR="00D342C2">
        <w:rPr>
          <w:rFonts w:ascii="Nunito Sans" w:hAnsi="Nunito Sans"/>
          <w:sz w:val="22"/>
          <w:szCs w:val="22"/>
        </w:rPr>
        <w:t>.</w:t>
      </w:r>
    </w:p>
    <w:p w14:paraId="789E7D20" w14:textId="77777777" w:rsidR="00A2703F" w:rsidRPr="00A2703F" w:rsidRDefault="00A2703F" w:rsidP="00A2703F">
      <w:pPr>
        <w:jc w:val="both"/>
        <w:rPr>
          <w:rFonts w:ascii="Nunito Sans" w:hAnsi="Nunito Sans"/>
          <w:sz w:val="22"/>
          <w:szCs w:val="22"/>
        </w:rPr>
      </w:pPr>
    </w:p>
    <w:p w14:paraId="73333B91" w14:textId="77777777" w:rsidR="00A2703F" w:rsidRPr="00A2703F" w:rsidRDefault="00A2703F" w:rsidP="00A2703F">
      <w:pPr>
        <w:jc w:val="both"/>
        <w:rPr>
          <w:rFonts w:ascii="Nunito Sans" w:hAnsi="Nunito Sans"/>
          <w:sz w:val="22"/>
          <w:szCs w:val="22"/>
        </w:rPr>
      </w:pPr>
      <w:r w:rsidRPr="00A2703F">
        <w:rPr>
          <w:rFonts w:ascii="Nunito Sans" w:hAnsi="Nunito Sans"/>
          <w:sz w:val="22"/>
          <w:szCs w:val="22"/>
        </w:rPr>
        <w:t>Šiemet bendrovė taip pat prisijungė prie europinės ERGaR platformos, todėl Lietuvos biometano gamintojams atsivėrė daugiau galimybių eksportuoti savo produkciją ir prekiauti atsinaujinančių dujų kilmės garantijomis tarptautinėse rinkose.</w:t>
      </w:r>
    </w:p>
    <w:p w14:paraId="3BD46B51" w14:textId="77777777" w:rsidR="00A2703F" w:rsidRPr="004D6D36" w:rsidRDefault="00A2703F" w:rsidP="004D6D36">
      <w:pPr>
        <w:jc w:val="both"/>
        <w:rPr>
          <w:rFonts w:ascii="Nunito Sans" w:hAnsi="Nunito Sans" w:cs="Calibri"/>
          <w:b/>
          <w:bCs/>
          <w:sz w:val="22"/>
          <w:szCs w:val="22"/>
        </w:rPr>
      </w:pPr>
    </w:p>
    <w:p w14:paraId="284B39BE" w14:textId="77777777" w:rsidR="00DD5113" w:rsidRPr="004927B5" w:rsidRDefault="00DD5113" w:rsidP="004927B5">
      <w:pPr>
        <w:jc w:val="both"/>
        <w:rPr>
          <w:rFonts w:ascii="Nunito Sans" w:hAnsi="Nunito Sans" w:cs="Calibri"/>
          <w:i/>
          <w:iCs/>
          <w:sz w:val="22"/>
          <w:szCs w:val="22"/>
        </w:rPr>
      </w:pPr>
      <w:r w:rsidRPr="004927B5">
        <w:rPr>
          <w:rFonts w:ascii="Nunito Sans" w:hAnsi="Nunito Sans" w:cs="Calibri"/>
          <w:i/>
          <w:iCs/>
          <w:sz w:val="22"/>
          <w:szCs w:val="22"/>
        </w:rPr>
        <w:t>AB „Amber Grid“ yra Lietuvos dujų perdavimo sistemos operatorius, priklausantis EPSO-G įmonių grupei. Bendrovė eksploatuoja 2 288 km ilgio aukšto slėgio dujotiekių tinklą visoje Lietuvoje. Ji taip pat valdo daugiau nei 60 dujų skirstymo ir apskaitos stočių bei dvi dujų kompresorių stotis.</w:t>
      </w:r>
    </w:p>
    <w:p w14:paraId="68F2FF52" w14:textId="77777777" w:rsidR="00DD5113" w:rsidRPr="004927B5" w:rsidRDefault="00DD5113" w:rsidP="004927B5">
      <w:pPr>
        <w:jc w:val="both"/>
        <w:rPr>
          <w:rFonts w:ascii="Nunito Sans" w:hAnsi="Nunito Sans" w:cs="Calibri"/>
          <w:i/>
          <w:iCs/>
          <w:sz w:val="22"/>
          <w:szCs w:val="22"/>
        </w:rPr>
      </w:pPr>
    </w:p>
    <w:p w14:paraId="74991BAD" w14:textId="3AE4D8BF" w:rsidR="00BF0B88" w:rsidRPr="004927B5" w:rsidRDefault="00DD5113" w:rsidP="004927B5">
      <w:pPr>
        <w:jc w:val="both"/>
        <w:rPr>
          <w:rFonts w:ascii="Nunito Sans" w:hAnsi="Nunito Sans" w:cs="Calibri"/>
          <w:sz w:val="22"/>
          <w:szCs w:val="22"/>
        </w:rPr>
      </w:pPr>
      <w:r w:rsidRPr="004927B5">
        <w:rPr>
          <w:rFonts w:ascii="Nunito Sans" w:hAnsi="Nunito Sans" w:cs="Calibri"/>
          <w:i/>
          <w:iCs/>
          <w:sz w:val="22"/>
          <w:szCs w:val="22"/>
        </w:rPr>
        <w:t>AB „Amber Grid“ sistema yra sujungta su keturių kitų šalių dujų perdavimo sistemomis ir Klaipėdos SGD terminalu. „Amber Grid“ akcijos yra įtrauktos į NASDAQ Vilniaus vertybinių popierių biržos Baltijos antrinį sąrašą. Pagrindinis Bendrovės akcininkas yra EPSO-G, kurios 100 proc. akcijų priklauso Lietuvos Respublikos energetikos ministerijai.</w:t>
      </w:r>
      <w:r w:rsidR="00807B96">
        <w:rPr>
          <w:rFonts w:ascii="Nunito Sans" w:hAnsi="Nunito Sans" w:cs="Calibri"/>
          <w:i/>
          <w:iCs/>
          <w:sz w:val="22"/>
          <w:szCs w:val="22"/>
        </w:rPr>
        <w:t xml:space="preserve"> </w:t>
      </w:r>
    </w:p>
    <w:p w14:paraId="78949B54" w14:textId="77777777" w:rsidR="00BF0B88" w:rsidRPr="004927B5" w:rsidRDefault="00BF0B88" w:rsidP="004927B5">
      <w:pPr>
        <w:jc w:val="both"/>
        <w:rPr>
          <w:rFonts w:ascii="Nunito Sans" w:hAnsi="Nunito Sans" w:cs="Calibri"/>
          <w:sz w:val="22"/>
          <w:szCs w:val="22"/>
        </w:rPr>
      </w:pPr>
      <w:r w:rsidRPr="004927B5">
        <w:rPr>
          <w:rFonts w:ascii="Nunito Sans" w:hAnsi="Nunito Sans" w:cs="Calibri"/>
          <w:sz w:val="22"/>
          <w:szCs w:val="22"/>
        </w:rPr>
        <w:t> </w:t>
      </w:r>
    </w:p>
    <w:p w14:paraId="69C7E4A3" w14:textId="77777777" w:rsidR="00BF0B88" w:rsidRPr="004927B5" w:rsidRDefault="00BF0B88" w:rsidP="004927B5">
      <w:pPr>
        <w:jc w:val="both"/>
        <w:rPr>
          <w:rFonts w:ascii="Nunito Sans" w:hAnsi="Nunito Sans"/>
        </w:rPr>
      </w:pPr>
    </w:p>
    <w:sectPr w:rsidR="00BF0B88" w:rsidRPr="004927B5">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09584" w14:textId="77777777" w:rsidR="00522AAD" w:rsidRDefault="00522AAD" w:rsidP="00B46AC1">
      <w:r>
        <w:separator/>
      </w:r>
    </w:p>
  </w:endnote>
  <w:endnote w:type="continuationSeparator" w:id="0">
    <w:p w14:paraId="3CEDA4A0" w14:textId="77777777" w:rsidR="00522AAD" w:rsidRDefault="00522AAD" w:rsidP="00B46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Nunito Sans">
    <w:altName w:val="Calibri"/>
    <w:charset w:val="BA"/>
    <w:family w:val="auto"/>
    <w:pitch w:val="variable"/>
    <w:sig w:usb0="A00002FF" w:usb1="5000204B" w:usb2="00000000" w:usb3="00000000" w:csb0="00000197"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8D652" w14:textId="77777777" w:rsidR="007437E5" w:rsidRDefault="004B440F">
    <w:pPr>
      <w:pStyle w:val="Footer"/>
    </w:pPr>
    <w:r>
      <w:rPr>
        <w:noProof/>
      </w:rPr>
      <w:drawing>
        <wp:inline distT="0" distB="0" distL="0" distR="0" wp14:anchorId="3081378B" wp14:editId="683CAE0E">
          <wp:extent cx="5731510" cy="200097"/>
          <wp:effectExtent l="0" t="0" r="2540" b="9525"/>
          <wp:docPr id="446806934" name="Graphic 10">
            <a:extLst xmlns:a="http://schemas.openxmlformats.org/drawingml/2006/main">
              <a:ext uri="{FF2B5EF4-FFF2-40B4-BE49-F238E27FC236}">
                <a16:creationId xmlns:a16="http://schemas.microsoft.com/office/drawing/2014/main" id="{FD419BA3-2163-461D-B117-2CE659D32D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08427" name="Graphic 10"/>
                  <pic:cNvPicPr/>
                </pic:nvPicPr>
                <pic:blipFill>
                  <a:blip r:embed="rId1">
                    <a:extLst>
                      <a:ext uri="{96DAC541-7B7A-43D3-8B79-37D633B846F1}">
                        <asvg:svgBlip xmlns:asvg="http://schemas.microsoft.com/office/drawing/2016/SVG/main" r:embed="rId2"/>
                      </a:ext>
                    </a:extLst>
                  </a:blip>
                  <a:stretch>
                    <a:fillRect/>
                  </a:stretch>
                </pic:blipFill>
                <pic:spPr>
                  <a:xfrm>
                    <a:off x="0" y="0"/>
                    <a:ext cx="5731510" cy="20009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A12BC" w14:textId="77777777" w:rsidR="00522AAD" w:rsidRDefault="00522AAD" w:rsidP="00B46AC1">
      <w:r>
        <w:separator/>
      </w:r>
    </w:p>
  </w:footnote>
  <w:footnote w:type="continuationSeparator" w:id="0">
    <w:p w14:paraId="2FCD0760" w14:textId="77777777" w:rsidR="00522AAD" w:rsidRDefault="00522AAD" w:rsidP="00B46A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FC7B2" w14:textId="77777777" w:rsidR="00B46AC1" w:rsidRDefault="004B440F">
    <w:pPr>
      <w:pStyle w:val="Header"/>
    </w:pPr>
    <w:r>
      <w:rPr>
        <w:noProof/>
      </w:rPr>
      <w:drawing>
        <wp:inline distT="0" distB="0" distL="0" distR="0" wp14:anchorId="6CECD493" wp14:editId="54A3F1D4">
          <wp:extent cx="895350" cy="284884"/>
          <wp:effectExtent l="0" t="0" r="0" b="0"/>
          <wp:docPr id="2064413739" name="Graphic 1">
            <a:extLst xmlns:a="http://schemas.openxmlformats.org/drawingml/2006/main">
              <a:ext uri="{FF2B5EF4-FFF2-40B4-BE49-F238E27FC236}">
                <a16:creationId xmlns:a16="http://schemas.microsoft.com/office/drawing/2014/main" id="{266C2508-F540-4554-AE52-BFFE9208F9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275044" name="Graphic 1412275044"/>
                  <pic:cNvPicPr/>
                </pic:nvPicPr>
                <pic:blipFill>
                  <a:blip r:embed="rId1">
                    <a:extLst>
                      <a:ext uri="{96DAC541-7B7A-43D3-8B79-37D633B846F1}">
                        <asvg:svgBlip xmlns:asvg="http://schemas.microsoft.com/office/drawing/2016/SVG/main" r:embed="rId2"/>
                      </a:ext>
                    </a:extLst>
                  </a:blip>
                  <a:stretch>
                    <a:fillRect/>
                  </a:stretch>
                </pic:blipFill>
                <pic:spPr>
                  <a:xfrm>
                    <a:off x="0" y="0"/>
                    <a:ext cx="971682" cy="30917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7FE"/>
    <w:rsid w:val="00005203"/>
    <w:rsid w:val="00007644"/>
    <w:rsid w:val="0001385F"/>
    <w:rsid w:val="00030BDD"/>
    <w:rsid w:val="000410DF"/>
    <w:rsid w:val="000435D4"/>
    <w:rsid w:val="00054AF7"/>
    <w:rsid w:val="0006310C"/>
    <w:rsid w:val="00065C18"/>
    <w:rsid w:val="0007474B"/>
    <w:rsid w:val="000751ED"/>
    <w:rsid w:val="00081E1C"/>
    <w:rsid w:val="00083C2A"/>
    <w:rsid w:val="000911F1"/>
    <w:rsid w:val="000945A9"/>
    <w:rsid w:val="000A0799"/>
    <w:rsid w:val="000A4D6C"/>
    <w:rsid w:val="000B2F70"/>
    <w:rsid w:val="000D2749"/>
    <w:rsid w:val="000E2E2F"/>
    <w:rsid w:val="000E31D1"/>
    <w:rsid w:val="0010164A"/>
    <w:rsid w:val="001049E9"/>
    <w:rsid w:val="00105620"/>
    <w:rsid w:val="001074F1"/>
    <w:rsid w:val="00113513"/>
    <w:rsid w:val="00115744"/>
    <w:rsid w:val="00115DAA"/>
    <w:rsid w:val="0011657D"/>
    <w:rsid w:val="0012286D"/>
    <w:rsid w:val="001267AB"/>
    <w:rsid w:val="00127CF1"/>
    <w:rsid w:val="00134047"/>
    <w:rsid w:val="0013618C"/>
    <w:rsid w:val="00141B4C"/>
    <w:rsid w:val="00147ECD"/>
    <w:rsid w:val="00154748"/>
    <w:rsid w:val="001555E0"/>
    <w:rsid w:val="00167A51"/>
    <w:rsid w:val="00170F0C"/>
    <w:rsid w:val="0017529B"/>
    <w:rsid w:val="00175909"/>
    <w:rsid w:val="001832C7"/>
    <w:rsid w:val="00184FB9"/>
    <w:rsid w:val="00187AAB"/>
    <w:rsid w:val="00190D98"/>
    <w:rsid w:val="001949E0"/>
    <w:rsid w:val="0019721B"/>
    <w:rsid w:val="001A151B"/>
    <w:rsid w:val="001B2A55"/>
    <w:rsid w:val="001B437B"/>
    <w:rsid w:val="001C4431"/>
    <w:rsid w:val="001E2C31"/>
    <w:rsid w:val="001E3B17"/>
    <w:rsid w:val="001F13CE"/>
    <w:rsid w:val="002023B0"/>
    <w:rsid w:val="0021344E"/>
    <w:rsid w:val="002148B5"/>
    <w:rsid w:val="00216D0B"/>
    <w:rsid w:val="00221164"/>
    <w:rsid w:val="00226050"/>
    <w:rsid w:val="00226650"/>
    <w:rsid w:val="002326F5"/>
    <w:rsid w:val="00232970"/>
    <w:rsid w:val="002358CD"/>
    <w:rsid w:val="00235FFB"/>
    <w:rsid w:val="0024152A"/>
    <w:rsid w:val="0024260F"/>
    <w:rsid w:val="002455AD"/>
    <w:rsid w:val="0024593E"/>
    <w:rsid w:val="00247A67"/>
    <w:rsid w:val="00251B43"/>
    <w:rsid w:val="0025397B"/>
    <w:rsid w:val="00254692"/>
    <w:rsid w:val="00262135"/>
    <w:rsid w:val="00270615"/>
    <w:rsid w:val="00270706"/>
    <w:rsid w:val="0027777D"/>
    <w:rsid w:val="00282118"/>
    <w:rsid w:val="002846C4"/>
    <w:rsid w:val="00295837"/>
    <w:rsid w:val="002B4A89"/>
    <w:rsid w:val="002B5955"/>
    <w:rsid w:val="002C3361"/>
    <w:rsid w:val="002E0E4F"/>
    <w:rsid w:val="002F0CEF"/>
    <w:rsid w:val="002F282B"/>
    <w:rsid w:val="002F378B"/>
    <w:rsid w:val="00312334"/>
    <w:rsid w:val="00314233"/>
    <w:rsid w:val="00331D7A"/>
    <w:rsid w:val="003353FF"/>
    <w:rsid w:val="003410C8"/>
    <w:rsid w:val="0034285D"/>
    <w:rsid w:val="00344D78"/>
    <w:rsid w:val="0035290F"/>
    <w:rsid w:val="00352E72"/>
    <w:rsid w:val="0036530B"/>
    <w:rsid w:val="00365419"/>
    <w:rsid w:val="003718CC"/>
    <w:rsid w:val="00373E33"/>
    <w:rsid w:val="003740F9"/>
    <w:rsid w:val="00380008"/>
    <w:rsid w:val="00396B16"/>
    <w:rsid w:val="003A51A2"/>
    <w:rsid w:val="003B3D2D"/>
    <w:rsid w:val="003B3F11"/>
    <w:rsid w:val="003B62C6"/>
    <w:rsid w:val="003C36FC"/>
    <w:rsid w:val="003C3FA2"/>
    <w:rsid w:val="003C67D0"/>
    <w:rsid w:val="003E36E5"/>
    <w:rsid w:val="003E4155"/>
    <w:rsid w:val="003E4220"/>
    <w:rsid w:val="003E48D2"/>
    <w:rsid w:val="0040309A"/>
    <w:rsid w:val="004037DF"/>
    <w:rsid w:val="00403B8C"/>
    <w:rsid w:val="004043C6"/>
    <w:rsid w:val="004066F5"/>
    <w:rsid w:val="00410EA8"/>
    <w:rsid w:val="00423C58"/>
    <w:rsid w:val="00441723"/>
    <w:rsid w:val="004549A9"/>
    <w:rsid w:val="00457F56"/>
    <w:rsid w:val="00460E27"/>
    <w:rsid w:val="00461DF1"/>
    <w:rsid w:val="004650AF"/>
    <w:rsid w:val="00467A6B"/>
    <w:rsid w:val="00475520"/>
    <w:rsid w:val="0048168B"/>
    <w:rsid w:val="004822EF"/>
    <w:rsid w:val="004910E5"/>
    <w:rsid w:val="004927B5"/>
    <w:rsid w:val="00494124"/>
    <w:rsid w:val="00494E9F"/>
    <w:rsid w:val="00495C01"/>
    <w:rsid w:val="004B2FD9"/>
    <w:rsid w:val="004B440F"/>
    <w:rsid w:val="004C1B4D"/>
    <w:rsid w:val="004C2CEF"/>
    <w:rsid w:val="004D360C"/>
    <w:rsid w:val="004D6D36"/>
    <w:rsid w:val="004D7DE6"/>
    <w:rsid w:val="004E7C83"/>
    <w:rsid w:val="004F68EC"/>
    <w:rsid w:val="004F70EE"/>
    <w:rsid w:val="005010B2"/>
    <w:rsid w:val="00504767"/>
    <w:rsid w:val="00506BB8"/>
    <w:rsid w:val="00507383"/>
    <w:rsid w:val="0052199D"/>
    <w:rsid w:val="00522AAD"/>
    <w:rsid w:val="0052413F"/>
    <w:rsid w:val="00524698"/>
    <w:rsid w:val="0052544F"/>
    <w:rsid w:val="005310E5"/>
    <w:rsid w:val="005378FE"/>
    <w:rsid w:val="0054127F"/>
    <w:rsid w:val="00542E47"/>
    <w:rsid w:val="0055381A"/>
    <w:rsid w:val="00562F8B"/>
    <w:rsid w:val="00574C0F"/>
    <w:rsid w:val="005765F5"/>
    <w:rsid w:val="00581558"/>
    <w:rsid w:val="00584454"/>
    <w:rsid w:val="00584E9C"/>
    <w:rsid w:val="00595458"/>
    <w:rsid w:val="00595CC1"/>
    <w:rsid w:val="005A76EB"/>
    <w:rsid w:val="005A78A9"/>
    <w:rsid w:val="005B0C09"/>
    <w:rsid w:val="005B586A"/>
    <w:rsid w:val="005C1324"/>
    <w:rsid w:val="005C4224"/>
    <w:rsid w:val="005C53DE"/>
    <w:rsid w:val="005C6177"/>
    <w:rsid w:val="005D3DB5"/>
    <w:rsid w:val="005D46CC"/>
    <w:rsid w:val="005E3FF6"/>
    <w:rsid w:val="00601803"/>
    <w:rsid w:val="00604FE5"/>
    <w:rsid w:val="00610034"/>
    <w:rsid w:val="006141D9"/>
    <w:rsid w:val="00626DA5"/>
    <w:rsid w:val="00635087"/>
    <w:rsid w:val="0063792C"/>
    <w:rsid w:val="00655859"/>
    <w:rsid w:val="00655D84"/>
    <w:rsid w:val="006603EE"/>
    <w:rsid w:val="006651A3"/>
    <w:rsid w:val="00677F94"/>
    <w:rsid w:val="00685B7E"/>
    <w:rsid w:val="00687AA9"/>
    <w:rsid w:val="00697406"/>
    <w:rsid w:val="006B699B"/>
    <w:rsid w:val="006D0553"/>
    <w:rsid w:val="006F001D"/>
    <w:rsid w:val="00702236"/>
    <w:rsid w:val="00711364"/>
    <w:rsid w:val="00712EF9"/>
    <w:rsid w:val="00717A05"/>
    <w:rsid w:val="00725861"/>
    <w:rsid w:val="007437E5"/>
    <w:rsid w:val="00743C14"/>
    <w:rsid w:val="00743DF6"/>
    <w:rsid w:val="00746EC9"/>
    <w:rsid w:val="00755FDD"/>
    <w:rsid w:val="00763C36"/>
    <w:rsid w:val="00764860"/>
    <w:rsid w:val="00765CD0"/>
    <w:rsid w:val="00771885"/>
    <w:rsid w:val="0077274D"/>
    <w:rsid w:val="00772AD5"/>
    <w:rsid w:val="00773324"/>
    <w:rsid w:val="00780F29"/>
    <w:rsid w:val="0079189D"/>
    <w:rsid w:val="007943D7"/>
    <w:rsid w:val="007A015B"/>
    <w:rsid w:val="007A0A60"/>
    <w:rsid w:val="007A5167"/>
    <w:rsid w:val="007B27FC"/>
    <w:rsid w:val="007B58F7"/>
    <w:rsid w:val="007F0371"/>
    <w:rsid w:val="007F7DAF"/>
    <w:rsid w:val="00807B96"/>
    <w:rsid w:val="00810AB9"/>
    <w:rsid w:val="00820520"/>
    <w:rsid w:val="008219A3"/>
    <w:rsid w:val="00825B92"/>
    <w:rsid w:val="00827452"/>
    <w:rsid w:val="00830B74"/>
    <w:rsid w:val="00834895"/>
    <w:rsid w:val="0084176A"/>
    <w:rsid w:val="008466E3"/>
    <w:rsid w:val="008518E3"/>
    <w:rsid w:val="00853068"/>
    <w:rsid w:val="008577E8"/>
    <w:rsid w:val="0086632C"/>
    <w:rsid w:val="008678EA"/>
    <w:rsid w:val="008764BC"/>
    <w:rsid w:val="00877BD0"/>
    <w:rsid w:val="0089069B"/>
    <w:rsid w:val="008930A5"/>
    <w:rsid w:val="00894F84"/>
    <w:rsid w:val="008A2011"/>
    <w:rsid w:val="008A5133"/>
    <w:rsid w:val="008B6435"/>
    <w:rsid w:val="008B7454"/>
    <w:rsid w:val="008B7D14"/>
    <w:rsid w:val="008C1248"/>
    <w:rsid w:val="008C6D81"/>
    <w:rsid w:val="008D2E3C"/>
    <w:rsid w:val="008D53DD"/>
    <w:rsid w:val="008D5CB3"/>
    <w:rsid w:val="008D6376"/>
    <w:rsid w:val="008F3215"/>
    <w:rsid w:val="00902CE7"/>
    <w:rsid w:val="009048E6"/>
    <w:rsid w:val="009137E3"/>
    <w:rsid w:val="009304C2"/>
    <w:rsid w:val="00937219"/>
    <w:rsid w:val="00940DBB"/>
    <w:rsid w:val="009616D1"/>
    <w:rsid w:val="00970F25"/>
    <w:rsid w:val="0098294F"/>
    <w:rsid w:val="0099252B"/>
    <w:rsid w:val="00993175"/>
    <w:rsid w:val="0099602B"/>
    <w:rsid w:val="009A226D"/>
    <w:rsid w:val="009B1DDB"/>
    <w:rsid w:val="009C49CE"/>
    <w:rsid w:val="009C6D97"/>
    <w:rsid w:val="009C7E13"/>
    <w:rsid w:val="009D17FE"/>
    <w:rsid w:val="009D6190"/>
    <w:rsid w:val="009D6E76"/>
    <w:rsid w:val="009D72F0"/>
    <w:rsid w:val="009E59A6"/>
    <w:rsid w:val="009F0598"/>
    <w:rsid w:val="009F335F"/>
    <w:rsid w:val="009F3876"/>
    <w:rsid w:val="00A00B41"/>
    <w:rsid w:val="00A01EBC"/>
    <w:rsid w:val="00A03949"/>
    <w:rsid w:val="00A05D5A"/>
    <w:rsid w:val="00A108B1"/>
    <w:rsid w:val="00A11ACC"/>
    <w:rsid w:val="00A14B00"/>
    <w:rsid w:val="00A154A8"/>
    <w:rsid w:val="00A24C07"/>
    <w:rsid w:val="00A25450"/>
    <w:rsid w:val="00A2703F"/>
    <w:rsid w:val="00A31097"/>
    <w:rsid w:val="00A35424"/>
    <w:rsid w:val="00A37913"/>
    <w:rsid w:val="00A40359"/>
    <w:rsid w:val="00A53BBB"/>
    <w:rsid w:val="00A55FCB"/>
    <w:rsid w:val="00A56266"/>
    <w:rsid w:val="00A56E3F"/>
    <w:rsid w:val="00A6476E"/>
    <w:rsid w:val="00A65F4E"/>
    <w:rsid w:val="00A76FA0"/>
    <w:rsid w:val="00A77061"/>
    <w:rsid w:val="00A773D8"/>
    <w:rsid w:val="00A87A0C"/>
    <w:rsid w:val="00A87BAD"/>
    <w:rsid w:val="00A97DD3"/>
    <w:rsid w:val="00AC3B8C"/>
    <w:rsid w:val="00AC407C"/>
    <w:rsid w:val="00AC7693"/>
    <w:rsid w:val="00AD1DDF"/>
    <w:rsid w:val="00AD2D78"/>
    <w:rsid w:val="00AD39C6"/>
    <w:rsid w:val="00AD5F76"/>
    <w:rsid w:val="00AE6EE0"/>
    <w:rsid w:val="00AF340A"/>
    <w:rsid w:val="00AF632F"/>
    <w:rsid w:val="00B031D8"/>
    <w:rsid w:val="00B03303"/>
    <w:rsid w:val="00B049A6"/>
    <w:rsid w:val="00B049DB"/>
    <w:rsid w:val="00B06DBB"/>
    <w:rsid w:val="00B105AE"/>
    <w:rsid w:val="00B1080C"/>
    <w:rsid w:val="00B2384C"/>
    <w:rsid w:val="00B2408C"/>
    <w:rsid w:val="00B276BC"/>
    <w:rsid w:val="00B30EC7"/>
    <w:rsid w:val="00B4199D"/>
    <w:rsid w:val="00B440CD"/>
    <w:rsid w:val="00B46AC1"/>
    <w:rsid w:val="00B4790D"/>
    <w:rsid w:val="00B5224E"/>
    <w:rsid w:val="00B55433"/>
    <w:rsid w:val="00B55947"/>
    <w:rsid w:val="00B57963"/>
    <w:rsid w:val="00B60006"/>
    <w:rsid w:val="00B60515"/>
    <w:rsid w:val="00B671B3"/>
    <w:rsid w:val="00B67DD8"/>
    <w:rsid w:val="00B72FF6"/>
    <w:rsid w:val="00B74E14"/>
    <w:rsid w:val="00B80707"/>
    <w:rsid w:val="00B82A3A"/>
    <w:rsid w:val="00B87160"/>
    <w:rsid w:val="00B91B40"/>
    <w:rsid w:val="00BB4784"/>
    <w:rsid w:val="00BB7BA8"/>
    <w:rsid w:val="00BC3854"/>
    <w:rsid w:val="00BD16DB"/>
    <w:rsid w:val="00BD4752"/>
    <w:rsid w:val="00BD5831"/>
    <w:rsid w:val="00BF0B88"/>
    <w:rsid w:val="00C06455"/>
    <w:rsid w:val="00C11B08"/>
    <w:rsid w:val="00C131CC"/>
    <w:rsid w:val="00C17386"/>
    <w:rsid w:val="00C24527"/>
    <w:rsid w:val="00C24C35"/>
    <w:rsid w:val="00C33F27"/>
    <w:rsid w:val="00C3458A"/>
    <w:rsid w:val="00C415C2"/>
    <w:rsid w:val="00C42F3D"/>
    <w:rsid w:val="00C42F9D"/>
    <w:rsid w:val="00C53EC7"/>
    <w:rsid w:val="00C549CC"/>
    <w:rsid w:val="00C578DF"/>
    <w:rsid w:val="00C60877"/>
    <w:rsid w:val="00C6274D"/>
    <w:rsid w:val="00C7089F"/>
    <w:rsid w:val="00C729D5"/>
    <w:rsid w:val="00C75BB3"/>
    <w:rsid w:val="00C82B89"/>
    <w:rsid w:val="00C83CE8"/>
    <w:rsid w:val="00C83DE3"/>
    <w:rsid w:val="00C861E9"/>
    <w:rsid w:val="00C91643"/>
    <w:rsid w:val="00CA66D8"/>
    <w:rsid w:val="00CA718F"/>
    <w:rsid w:val="00CB0689"/>
    <w:rsid w:val="00CB1920"/>
    <w:rsid w:val="00CB4141"/>
    <w:rsid w:val="00CC0A23"/>
    <w:rsid w:val="00CC1017"/>
    <w:rsid w:val="00CC11AB"/>
    <w:rsid w:val="00CC1F66"/>
    <w:rsid w:val="00CD0B99"/>
    <w:rsid w:val="00CD15A5"/>
    <w:rsid w:val="00CD2EA9"/>
    <w:rsid w:val="00CD47D1"/>
    <w:rsid w:val="00CD6FB6"/>
    <w:rsid w:val="00CE18E5"/>
    <w:rsid w:val="00CE34CD"/>
    <w:rsid w:val="00CE720B"/>
    <w:rsid w:val="00CF0AA9"/>
    <w:rsid w:val="00D00698"/>
    <w:rsid w:val="00D04D8E"/>
    <w:rsid w:val="00D13C08"/>
    <w:rsid w:val="00D222BA"/>
    <w:rsid w:val="00D22DBE"/>
    <w:rsid w:val="00D23E9F"/>
    <w:rsid w:val="00D32A5D"/>
    <w:rsid w:val="00D342C2"/>
    <w:rsid w:val="00D37067"/>
    <w:rsid w:val="00D3721D"/>
    <w:rsid w:val="00D5094C"/>
    <w:rsid w:val="00D55AC3"/>
    <w:rsid w:val="00D56025"/>
    <w:rsid w:val="00D64146"/>
    <w:rsid w:val="00D64D43"/>
    <w:rsid w:val="00D65F1A"/>
    <w:rsid w:val="00D726F6"/>
    <w:rsid w:val="00D7277E"/>
    <w:rsid w:val="00D76D39"/>
    <w:rsid w:val="00D81E22"/>
    <w:rsid w:val="00D82F1E"/>
    <w:rsid w:val="00D83E2E"/>
    <w:rsid w:val="00D86F91"/>
    <w:rsid w:val="00D916A4"/>
    <w:rsid w:val="00D919A3"/>
    <w:rsid w:val="00D937A9"/>
    <w:rsid w:val="00DB09F5"/>
    <w:rsid w:val="00DB2B09"/>
    <w:rsid w:val="00DB4F2F"/>
    <w:rsid w:val="00DC0999"/>
    <w:rsid w:val="00DC6845"/>
    <w:rsid w:val="00DD5113"/>
    <w:rsid w:val="00DD61C8"/>
    <w:rsid w:val="00DD6920"/>
    <w:rsid w:val="00DE1D00"/>
    <w:rsid w:val="00DF1A2A"/>
    <w:rsid w:val="00DF2EFF"/>
    <w:rsid w:val="00E00002"/>
    <w:rsid w:val="00E0237F"/>
    <w:rsid w:val="00E0368E"/>
    <w:rsid w:val="00E04C3E"/>
    <w:rsid w:val="00E152A4"/>
    <w:rsid w:val="00E17191"/>
    <w:rsid w:val="00E27E4D"/>
    <w:rsid w:val="00E31E36"/>
    <w:rsid w:val="00E33D44"/>
    <w:rsid w:val="00E42AA9"/>
    <w:rsid w:val="00E45B95"/>
    <w:rsid w:val="00E478F9"/>
    <w:rsid w:val="00E61B06"/>
    <w:rsid w:val="00E66835"/>
    <w:rsid w:val="00E713BF"/>
    <w:rsid w:val="00E900A7"/>
    <w:rsid w:val="00E903DA"/>
    <w:rsid w:val="00E95031"/>
    <w:rsid w:val="00EA485D"/>
    <w:rsid w:val="00EB5864"/>
    <w:rsid w:val="00EB6E77"/>
    <w:rsid w:val="00EB73C5"/>
    <w:rsid w:val="00EB78FA"/>
    <w:rsid w:val="00ED135D"/>
    <w:rsid w:val="00ED3FA8"/>
    <w:rsid w:val="00ED71DA"/>
    <w:rsid w:val="00EE46FD"/>
    <w:rsid w:val="00EE56D6"/>
    <w:rsid w:val="00EE57CA"/>
    <w:rsid w:val="00F003D0"/>
    <w:rsid w:val="00F00B2D"/>
    <w:rsid w:val="00F059B7"/>
    <w:rsid w:val="00F068FB"/>
    <w:rsid w:val="00F073D0"/>
    <w:rsid w:val="00F10B3A"/>
    <w:rsid w:val="00F13331"/>
    <w:rsid w:val="00F1420A"/>
    <w:rsid w:val="00F145FF"/>
    <w:rsid w:val="00F148BE"/>
    <w:rsid w:val="00F15580"/>
    <w:rsid w:val="00F209D8"/>
    <w:rsid w:val="00F24BD1"/>
    <w:rsid w:val="00F35804"/>
    <w:rsid w:val="00F35846"/>
    <w:rsid w:val="00F61C43"/>
    <w:rsid w:val="00F667C0"/>
    <w:rsid w:val="00F70B26"/>
    <w:rsid w:val="00F72D51"/>
    <w:rsid w:val="00F74089"/>
    <w:rsid w:val="00F75907"/>
    <w:rsid w:val="00F8059F"/>
    <w:rsid w:val="00F80C50"/>
    <w:rsid w:val="00F81CB1"/>
    <w:rsid w:val="00F82E85"/>
    <w:rsid w:val="00F916B7"/>
    <w:rsid w:val="00F92544"/>
    <w:rsid w:val="00F945F0"/>
    <w:rsid w:val="00F95642"/>
    <w:rsid w:val="00F95B79"/>
    <w:rsid w:val="00F96F1C"/>
    <w:rsid w:val="00FA236B"/>
    <w:rsid w:val="00FB7AD5"/>
    <w:rsid w:val="00FC2032"/>
    <w:rsid w:val="00FC20F3"/>
    <w:rsid w:val="00FC4E58"/>
    <w:rsid w:val="00FC4F13"/>
    <w:rsid w:val="00FC7455"/>
    <w:rsid w:val="00FD2455"/>
    <w:rsid w:val="00FD5521"/>
    <w:rsid w:val="00FE1265"/>
    <w:rsid w:val="00FE15D2"/>
    <w:rsid w:val="00FF0CFD"/>
    <w:rsid w:val="00FF2CB5"/>
    <w:rsid w:val="00FF39DC"/>
    <w:rsid w:val="00FF495A"/>
    <w:rsid w:val="00FF6EF7"/>
    <w:rsid w:val="062728B9"/>
    <w:rsid w:val="078E4640"/>
    <w:rsid w:val="0875CEA1"/>
    <w:rsid w:val="0880950F"/>
    <w:rsid w:val="088A9C66"/>
    <w:rsid w:val="096589BB"/>
    <w:rsid w:val="09A84834"/>
    <w:rsid w:val="0EB14AEF"/>
    <w:rsid w:val="10FCC09E"/>
    <w:rsid w:val="11D8091C"/>
    <w:rsid w:val="1334ECBD"/>
    <w:rsid w:val="14B76E33"/>
    <w:rsid w:val="17A1C6F9"/>
    <w:rsid w:val="1935DC01"/>
    <w:rsid w:val="1AC428AB"/>
    <w:rsid w:val="1B045638"/>
    <w:rsid w:val="1E69721F"/>
    <w:rsid w:val="1FA0F540"/>
    <w:rsid w:val="230D1613"/>
    <w:rsid w:val="240D281B"/>
    <w:rsid w:val="246B9563"/>
    <w:rsid w:val="25F3E35F"/>
    <w:rsid w:val="2656E4FF"/>
    <w:rsid w:val="26959F85"/>
    <w:rsid w:val="2B1E12B3"/>
    <w:rsid w:val="2B2FF868"/>
    <w:rsid w:val="2BCE1DD2"/>
    <w:rsid w:val="2C3FC234"/>
    <w:rsid w:val="2D19D4E0"/>
    <w:rsid w:val="2EECE220"/>
    <w:rsid w:val="308B673D"/>
    <w:rsid w:val="32477F03"/>
    <w:rsid w:val="33065022"/>
    <w:rsid w:val="33EB2879"/>
    <w:rsid w:val="34521442"/>
    <w:rsid w:val="36D45A6B"/>
    <w:rsid w:val="38F61FBD"/>
    <w:rsid w:val="39A9F713"/>
    <w:rsid w:val="3A7FB948"/>
    <w:rsid w:val="3C86E89B"/>
    <w:rsid w:val="3D06B170"/>
    <w:rsid w:val="3D1AC018"/>
    <w:rsid w:val="4025385C"/>
    <w:rsid w:val="450BBC19"/>
    <w:rsid w:val="461CB92E"/>
    <w:rsid w:val="46732172"/>
    <w:rsid w:val="4996837B"/>
    <w:rsid w:val="4A1F1AE0"/>
    <w:rsid w:val="4A569BBB"/>
    <w:rsid w:val="4B81EF42"/>
    <w:rsid w:val="4D1937FD"/>
    <w:rsid w:val="4D9D22EA"/>
    <w:rsid w:val="4DCCAAE3"/>
    <w:rsid w:val="4E3B3757"/>
    <w:rsid w:val="51527067"/>
    <w:rsid w:val="51F1FDE1"/>
    <w:rsid w:val="5376AAB2"/>
    <w:rsid w:val="53AF7BD8"/>
    <w:rsid w:val="56FC5AC4"/>
    <w:rsid w:val="57C01CE6"/>
    <w:rsid w:val="5B898C41"/>
    <w:rsid w:val="5E71FE68"/>
    <w:rsid w:val="5FFFDB55"/>
    <w:rsid w:val="60B59031"/>
    <w:rsid w:val="612A3EA0"/>
    <w:rsid w:val="638A2761"/>
    <w:rsid w:val="647A923F"/>
    <w:rsid w:val="66CDF125"/>
    <w:rsid w:val="69132DF0"/>
    <w:rsid w:val="696A2590"/>
    <w:rsid w:val="6A0EF219"/>
    <w:rsid w:val="6AE9F7DC"/>
    <w:rsid w:val="6BABE455"/>
    <w:rsid w:val="6C8BA55D"/>
    <w:rsid w:val="6D75F100"/>
    <w:rsid w:val="6DA3713A"/>
    <w:rsid w:val="6E8BD0E8"/>
    <w:rsid w:val="6E9B66C7"/>
    <w:rsid w:val="6F9C2C48"/>
    <w:rsid w:val="70FEA218"/>
    <w:rsid w:val="7294A281"/>
    <w:rsid w:val="73E9813A"/>
    <w:rsid w:val="74024E5C"/>
    <w:rsid w:val="75207B6D"/>
    <w:rsid w:val="754882BB"/>
    <w:rsid w:val="756F2398"/>
    <w:rsid w:val="79DFE76E"/>
    <w:rsid w:val="7CBCE333"/>
    <w:rsid w:val="7D8953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484A12C"/>
  <w15:chartTrackingRefBased/>
  <w15:docId w15:val="{98D43950-7930-401D-9217-3760DA138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17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17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17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17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17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17F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17F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17F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17F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17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17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17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17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17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17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17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17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17FE"/>
    <w:rPr>
      <w:rFonts w:eastAsiaTheme="majorEastAsia" w:cstheme="majorBidi"/>
      <w:color w:val="272727" w:themeColor="text1" w:themeTint="D8"/>
    </w:rPr>
  </w:style>
  <w:style w:type="paragraph" w:styleId="Title">
    <w:name w:val="Title"/>
    <w:basedOn w:val="Normal"/>
    <w:next w:val="Normal"/>
    <w:link w:val="TitleChar"/>
    <w:uiPriority w:val="10"/>
    <w:qFormat/>
    <w:rsid w:val="009D17F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17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17F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17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17F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D17FE"/>
    <w:rPr>
      <w:i/>
      <w:iCs/>
      <w:color w:val="404040" w:themeColor="text1" w:themeTint="BF"/>
    </w:rPr>
  </w:style>
  <w:style w:type="paragraph" w:styleId="ListParagraph">
    <w:name w:val="List Paragraph"/>
    <w:basedOn w:val="Normal"/>
    <w:uiPriority w:val="34"/>
    <w:qFormat/>
    <w:rsid w:val="009D17FE"/>
    <w:pPr>
      <w:ind w:left="720"/>
      <w:contextualSpacing/>
    </w:pPr>
  </w:style>
  <w:style w:type="character" w:styleId="IntenseEmphasis">
    <w:name w:val="Intense Emphasis"/>
    <w:basedOn w:val="DefaultParagraphFont"/>
    <w:uiPriority w:val="21"/>
    <w:qFormat/>
    <w:rsid w:val="009D17FE"/>
    <w:rPr>
      <w:i/>
      <w:iCs/>
      <w:color w:val="0F4761" w:themeColor="accent1" w:themeShade="BF"/>
    </w:rPr>
  </w:style>
  <w:style w:type="paragraph" w:styleId="IntenseQuote">
    <w:name w:val="Intense Quote"/>
    <w:basedOn w:val="Normal"/>
    <w:next w:val="Normal"/>
    <w:link w:val="IntenseQuoteChar"/>
    <w:uiPriority w:val="30"/>
    <w:qFormat/>
    <w:rsid w:val="009D17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17FE"/>
    <w:rPr>
      <w:i/>
      <w:iCs/>
      <w:color w:val="0F4761" w:themeColor="accent1" w:themeShade="BF"/>
    </w:rPr>
  </w:style>
  <w:style w:type="character" w:styleId="IntenseReference">
    <w:name w:val="Intense Reference"/>
    <w:basedOn w:val="DefaultParagraphFont"/>
    <w:uiPriority w:val="32"/>
    <w:qFormat/>
    <w:rsid w:val="009D17FE"/>
    <w:rPr>
      <w:b/>
      <w:bCs/>
      <w:smallCaps/>
      <w:color w:val="0F4761" w:themeColor="accent1" w:themeShade="BF"/>
      <w:spacing w:val="5"/>
    </w:rPr>
  </w:style>
  <w:style w:type="paragraph" w:styleId="Header">
    <w:name w:val="header"/>
    <w:basedOn w:val="Normal"/>
    <w:link w:val="HeaderChar"/>
    <w:uiPriority w:val="99"/>
    <w:unhideWhenUsed/>
    <w:rsid w:val="00B46AC1"/>
    <w:pPr>
      <w:tabs>
        <w:tab w:val="center" w:pos="4819"/>
        <w:tab w:val="right" w:pos="9638"/>
      </w:tabs>
    </w:pPr>
  </w:style>
  <w:style w:type="character" w:customStyle="1" w:styleId="HeaderChar">
    <w:name w:val="Header Char"/>
    <w:basedOn w:val="DefaultParagraphFont"/>
    <w:link w:val="Header"/>
    <w:uiPriority w:val="99"/>
    <w:rsid w:val="00B46AC1"/>
  </w:style>
  <w:style w:type="paragraph" w:styleId="Footer">
    <w:name w:val="footer"/>
    <w:basedOn w:val="Normal"/>
    <w:link w:val="FooterChar"/>
    <w:uiPriority w:val="99"/>
    <w:unhideWhenUsed/>
    <w:rsid w:val="00B46AC1"/>
    <w:pPr>
      <w:tabs>
        <w:tab w:val="center" w:pos="4819"/>
        <w:tab w:val="right" w:pos="9638"/>
      </w:tabs>
    </w:pPr>
  </w:style>
  <w:style w:type="character" w:customStyle="1" w:styleId="FooterChar">
    <w:name w:val="Footer Char"/>
    <w:basedOn w:val="DefaultParagraphFont"/>
    <w:link w:val="Footer"/>
    <w:uiPriority w:val="99"/>
    <w:rsid w:val="00B46AC1"/>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53068"/>
  </w:style>
  <w:style w:type="paragraph" w:styleId="CommentSubject">
    <w:name w:val="annotation subject"/>
    <w:basedOn w:val="CommentText"/>
    <w:next w:val="CommentText"/>
    <w:link w:val="CommentSubjectChar"/>
    <w:uiPriority w:val="99"/>
    <w:semiHidden/>
    <w:unhideWhenUsed/>
    <w:rsid w:val="000D2749"/>
    <w:rPr>
      <w:b/>
      <w:bCs/>
    </w:rPr>
  </w:style>
  <w:style w:type="character" w:customStyle="1" w:styleId="CommentSubjectChar">
    <w:name w:val="Comment Subject Char"/>
    <w:basedOn w:val="CommentTextChar"/>
    <w:link w:val="CommentSubject"/>
    <w:uiPriority w:val="99"/>
    <w:semiHidden/>
    <w:rsid w:val="000D2749"/>
    <w:rPr>
      <w:b/>
      <w:bCs/>
      <w:sz w:val="20"/>
      <w:szCs w:val="20"/>
    </w:rPr>
  </w:style>
  <w:style w:type="character" w:customStyle="1" w:styleId="ng-star-inserted1">
    <w:name w:val="ng-star-inserted1"/>
    <w:basedOn w:val="DefaultParagraphFont"/>
    <w:rsid w:val="004D6D36"/>
  </w:style>
  <w:style w:type="paragraph" w:styleId="NormalWeb">
    <w:name w:val="Normal (Web)"/>
    <w:basedOn w:val="Normal"/>
    <w:uiPriority w:val="99"/>
    <w:unhideWhenUsed/>
    <w:rsid w:val="004D6D36"/>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7"/>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0a194c4-decd-49a7-b39f-0e1f771bc324}" enabled="1" method="Privileged" siteId="{e54289c6-b630-4215-acc5-57eec01212d6}" removed="0"/>
</clbl:labelList>
</file>

<file path=docProps/app.xml><?xml version="1.0" encoding="utf-8"?>
<Properties xmlns="http://schemas.openxmlformats.org/officeDocument/2006/extended-properties" xmlns:vt="http://schemas.openxmlformats.org/officeDocument/2006/docPropsVTypes">
  <Template>Normal.dotm</Template>
  <TotalTime>15</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Matas Miknevičius</dc:creator>
  <cp:keywords/>
  <dc:description/>
  <cp:lastModifiedBy>Eglė Krasauskienė</cp:lastModifiedBy>
  <cp:revision>11</cp:revision>
  <dcterms:created xsi:type="dcterms:W3CDTF">2026-08-05T09:08:00Z</dcterms:created>
  <dcterms:modified xsi:type="dcterms:W3CDTF">2026-08-06T09:01:00Z</dcterms:modified>
</cp:coreProperties>
</file>