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208" w:rsidRPr="00AB2C03" w:rsidRDefault="00AB2C03" w:rsidP="00AB2C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B2C03">
        <w:rPr>
          <w:rFonts w:ascii="Arial" w:hAnsi="Arial" w:cs="Arial"/>
          <w:b/>
          <w:sz w:val="24"/>
          <w:szCs w:val="24"/>
        </w:rPr>
        <w:t>CARTA DE PRESENTACIÓN</w:t>
      </w:r>
    </w:p>
    <w:p w:rsidR="00AB2C03" w:rsidRPr="00AB2C03" w:rsidRDefault="00AB2C03" w:rsidP="00AB2C03">
      <w:pPr>
        <w:spacing w:after="0" w:line="240" w:lineRule="auto"/>
        <w:jc w:val="center"/>
        <w:rPr>
          <w:rFonts w:ascii="Arial" w:hAnsi="Arial" w:cs="Arial"/>
          <w:b/>
        </w:rPr>
      </w:pPr>
    </w:p>
    <w:p w:rsidR="00AB2C03" w:rsidRPr="00AB2C03" w:rsidRDefault="00AB2C03" w:rsidP="00AB2C03">
      <w:pPr>
        <w:spacing w:after="0" w:line="240" w:lineRule="auto"/>
        <w:jc w:val="center"/>
        <w:rPr>
          <w:rFonts w:ascii="Arial" w:hAnsi="Arial" w:cs="Arial"/>
        </w:rPr>
      </w:pPr>
      <w:r w:rsidRPr="00AB2C03">
        <w:rPr>
          <w:rFonts w:ascii="Arial" w:hAnsi="Arial" w:cs="Arial"/>
          <w:b/>
        </w:rPr>
        <w:t>Reporte Sobre el Cumplimiento del Código de Buen Gobierno Corporativo para las Sociedades Peruanas</w:t>
      </w:r>
    </w:p>
    <w:p w:rsidR="00AB2C03" w:rsidRPr="00AB2C03" w:rsidRDefault="00AB2C03" w:rsidP="00AB2C03">
      <w:pPr>
        <w:spacing w:after="0" w:line="240" w:lineRule="auto"/>
        <w:rPr>
          <w:rFonts w:ascii="Arial" w:hAnsi="Arial" w:cs="Arial"/>
        </w:rPr>
      </w:pPr>
    </w:p>
    <w:p w:rsidR="00AB2C03" w:rsidRDefault="00AB2C03" w:rsidP="00AB2C03">
      <w:pPr>
        <w:spacing w:after="0" w:line="240" w:lineRule="auto"/>
        <w:rPr>
          <w:rFonts w:ascii="Arial" w:hAnsi="Arial" w:cs="Arial"/>
        </w:rPr>
      </w:pPr>
    </w:p>
    <w:p w:rsidR="00AB2C03" w:rsidRPr="00CB5DDD" w:rsidRDefault="00AB2C03" w:rsidP="00AB2C03">
      <w:pPr>
        <w:spacing w:after="0" w:line="240" w:lineRule="auto"/>
        <w:rPr>
          <w:rFonts w:ascii="Arial" w:hAnsi="Arial" w:cs="Arial"/>
        </w:rPr>
      </w:pPr>
    </w:p>
    <w:p w:rsidR="00AB2C03" w:rsidRPr="00CB5DDD" w:rsidRDefault="00AB2C03" w:rsidP="00AB2C03">
      <w:pPr>
        <w:spacing w:after="0" w:line="240" w:lineRule="auto"/>
        <w:rPr>
          <w:rFonts w:ascii="Arial" w:hAnsi="Arial" w:cs="Arial"/>
        </w:rPr>
      </w:pPr>
    </w:p>
    <w:p w:rsidR="0048600B" w:rsidRDefault="00376256" w:rsidP="00AB2C0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r w:rsidR="00AB2C03" w:rsidRPr="00CB5DDD">
        <w:rPr>
          <w:rFonts w:ascii="Arial" w:hAnsi="Arial" w:cs="Arial"/>
        </w:rPr>
        <w:t xml:space="preserve">Cementos Pacasmayo S.A.A. </w:t>
      </w:r>
      <w:r>
        <w:rPr>
          <w:rFonts w:ascii="Arial" w:hAnsi="Arial" w:cs="Arial"/>
        </w:rPr>
        <w:t xml:space="preserve">estamos convencidos que el desarrollo de las buenas </w:t>
      </w:r>
      <w:r w:rsidR="0048600B">
        <w:rPr>
          <w:rFonts w:ascii="Arial" w:hAnsi="Arial" w:cs="Arial"/>
        </w:rPr>
        <w:t xml:space="preserve">prácticas </w:t>
      </w:r>
      <w:r>
        <w:rPr>
          <w:rFonts w:ascii="Arial" w:hAnsi="Arial" w:cs="Arial"/>
        </w:rPr>
        <w:t xml:space="preserve">de </w:t>
      </w:r>
      <w:r w:rsidR="0048600B">
        <w:rPr>
          <w:rFonts w:ascii="Arial" w:hAnsi="Arial" w:cs="Arial"/>
        </w:rPr>
        <w:t>gobierno corporativo</w:t>
      </w:r>
      <w:r w:rsidR="00A45870">
        <w:rPr>
          <w:rFonts w:ascii="Arial" w:hAnsi="Arial" w:cs="Arial"/>
        </w:rPr>
        <w:t xml:space="preserve"> son fundamentales para una gestión exitosa de nuestra empresa en el largo plazo</w:t>
      </w:r>
      <w:r w:rsidR="0048600B">
        <w:rPr>
          <w:rFonts w:ascii="Arial" w:hAnsi="Arial" w:cs="Arial"/>
        </w:rPr>
        <w:t xml:space="preserve">, </w:t>
      </w:r>
      <w:r w:rsidR="00A45870">
        <w:rPr>
          <w:rFonts w:ascii="Arial" w:hAnsi="Arial" w:cs="Arial"/>
        </w:rPr>
        <w:t xml:space="preserve">por lo cual nos encontramos comprometidos en </w:t>
      </w:r>
      <w:r w:rsidR="00CA774D">
        <w:rPr>
          <w:rFonts w:ascii="Arial" w:hAnsi="Arial" w:cs="Arial"/>
        </w:rPr>
        <w:t xml:space="preserve">mantener los altos estándares </w:t>
      </w:r>
      <w:r w:rsidR="00493E9E">
        <w:rPr>
          <w:rFonts w:ascii="Arial" w:hAnsi="Arial" w:cs="Arial"/>
        </w:rPr>
        <w:t>logrado</w:t>
      </w:r>
      <w:r w:rsidR="00CA774D">
        <w:rPr>
          <w:rFonts w:ascii="Arial" w:hAnsi="Arial" w:cs="Arial"/>
        </w:rPr>
        <w:t>s</w:t>
      </w:r>
      <w:r w:rsidR="00493E9E">
        <w:rPr>
          <w:rFonts w:ascii="Arial" w:hAnsi="Arial" w:cs="Arial"/>
        </w:rPr>
        <w:t xml:space="preserve"> </w:t>
      </w:r>
      <w:r w:rsidR="00A45870">
        <w:rPr>
          <w:rFonts w:ascii="Arial" w:hAnsi="Arial" w:cs="Arial"/>
        </w:rPr>
        <w:t xml:space="preserve">en esta materia </w:t>
      </w:r>
      <w:r w:rsidR="00493E9E">
        <w:rPr>
          <w:rFonts w:ascii="Arial" w:hAnsi="Arial" w:cs="Arial"/>
        </w:rPr>
        <w:t>a lo largo de los años</w:t>
      </w:r>
      <w:r w:rsidR="0048600B">
        <w:rPr>
          <w:rFonts w:ascii="Arial" w:hAnsi="Arial" w:cs="Arial"/>
        </w:rPr>
        <w:t>.</w:t>
      </w:r>
    </w:p>
    <w:p w:rsidR="0048600B" w:rsidRDefault="00617834" w:rsidP="00486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Como </w:t>
      </w:r>
      <w:r w:rsidR="00DE62EA">
        <w:rPr>
          <w:rFonts w:ascii="Arial" w:hAnsi="Arial" w:cs="Arial"/>
        </w:rPr>
        <w:t xml:space="preserve">resultado de </w:t>
      </w:r>
      <w:r w:rsidR="004B359E">
        <w:rPr>
          <w:rFonts w:ascii="Arial" w:hAnsi="Arial" w:cs="Arial"/>
        </w:rPr>
        <w:t>nuestro compromiso</w:t>
      </w:r>
      <w:r>
        <w:rPr>
          <w:rFonts w:ascii="Arial" w:hAnsi="Arial" w:cs="Arial"/>
        </w:rPr>
        <w:t xml:space="preserve">, </w:t>
      </w:r>
      <w:r w:rsidR="004B359E">
        <w:rPr>
          <w:rFonts w:ascii="Arial" w:hAnsi="Arial" w:cs="Arial"/>
        </w:rPr>
        <w:t xml:space="preserve">Cementos Pacasmayo </w:t>
      </w:r>
      <w:r w:rsidR="00A45870">
        <w:rPr>
          <w:rFonts w:ascii="Arial" w:hAnsi="Arial" w:cs="Arial"/>
        </w:rPr>
        <w:t xml:space="preserve">S.A.A. ha sido </w:t>
      </w:r>
      <w:r w:rsidR="00DE62EA">
        <w:rPr>
          <w:rFonts w:ascii="Arial" w:hAnsi="Arial" w:cs="Arial"/>
        </w:rPr>
        <w:t>seleccionada</w:t>
      </w:r>
      <w:r w:rsidR="004B359E">
        <w:rPr>
          <w:rFonts w:ascii="Arial" w:hAnsi="Arial" w:cs="Arial"/>
        </w:rPr>
        <w:t xml:space="preserve"> </w:t>
      </w:r>
      <w:r w:rsidR="00A45870">
        <w:rPr>
          <w:rFonts w:ascii="Arial" w:hAnsi="Arial" w:cs="Arial"/>
        </w:rPr>
        <w:t>en el 2019</w:t>
      </w:r>
      <w:r w:rsidR="004B359E">
        <w:rPr>
          <w:rFonts w:ascii="Arial" w:hAnsi="Arial" w:cs="Arial"/>
        </w:rPr>
        <w:t xml:space="preserve"> como una de las </w:t>
      </w:r>
      <w:r w:rsidR="00A45870">
        <w:rPr>
          <w:rFonts w:ascii="Arial" w:hAnsi="Arial" w:cs="Arial"/>
        </w:rPr>
        <w:t>diez</w:t>
      </w:r>
      <w:r w:rsidR="004B359E">
        <w:rPr>
          <w:rFonts w:ascii="Arial" w:hAnsi="Arial" w:cs="Arial"/>
        </w:rPr>
        <w:t xml:space="preserve"> empresas que conforman </w:t>
      </w:r>
      <w:r w:rsidR="00A45870">
        <w:rPr>
          <w:rFonts w:ascii="Arial" w:hAnsi="Arial" w:cs="Arial"/>
        </w:rPr>
        <w:t xml:space="preserve">el S&amp;P/BVL </w:t>
      </w:r>
      <w:r w:rsidR="00AB2C03" w:rsidRPr="00CB5DDD">
        <w:rPr>
          <w:rFonts w:ascii="Arial" w:hAnsi="Arial" w:cs="Arial"/>
        </w:rPr>
        <w:t>Índice de Buen Gobierno Corporativo (IB</w:t>
      </w:r>
      <w:r w:rsidR="00E20ABB">
        <w:rPr>
          <w:rFonts w:ascii="Arial" w:hAnsi="Arial" w:cs="Arial"/>
        </w:rPr>
        <w:t>G</w:t>
      </w:r>
      <w:r w:rsidR="00AB2C03" w:rsidRPr="00CB5DDD">
        <w:rPr>
          <w:rFonts w:ascii="Arial" w:hAnsi="Arial" w:cs="Arial"/>
        </w:rPr>
        <w:t>C)</w:t>
      </w:r>
      <w:r w:rsidR="00DE62EA">
        <w:rPr>
          <w:rFonts w:ascii="Arial" w:hAnsi="Arial" w:cs="Arial"/>
        </w:rPr>
        <w:t xml:space="preserve">, </w:t>
      </w:r>
      <w:r w:rsidR="00E20ABB">
        <w:rPr>
          <w:rFonts w:ascii="Arial" w:hAnsi="Arial" w:cs="Arial"/>
        </w:rPr>
        <w:t xml:space="preserve">que distingue a las empresas con los mejores estándares de Gobierno Corporativo en la BVL, </w:t>
      </w:r>
      <w:r w:rsidR="00DE62EA">
        <w:rPr>
          <w:rFonts w:ascii="Arial" w:hAnsi="Arial" w:cs="Arial"/>
        </w:rPr>
        <w:t xml:space="preserve">habiendo </w:t>
      </w:r>
      <w:r w:rsidR="00D1118A">
        <w:rPr>
          <w:rFonts w:ascii="Arial" w:hAnsi="Arial" w:cs="Arial"/>
        </w:rPr>
        <w:t xml:space="preserve">obtenido un resultado de </w:t>
      </w:r>
      <w:r w:rsidR="00E20ABB">
        <w:rPr>
          <w:rFonts w:ascii="Arial" w:hAnsi="Arial" w:cs="Arial"/>
        </w:rPr>
        <w:t>96.51</w:t>
      </w:r>
      <w:r w:rsidR="00D1118A">
        <w:rPr>
          <w:rFonts w:ascii="Arial" w:hAnsi="Arial" w:cs="Arial"/>
        </w:rPr>
        <w:t xml:space="preserve">% de cumplimiento </w:t>
      </w:r>
      <w:r w:rsidR="00E20ABB">
        <w:rPr>
          <w:rFonts w:ascii="Arial" w:hAnsi="Arial" w:cs="Arial"/>
        </w:rPr>
        <w:t>del Código de Buen Gobierno Corporativo para las Sociedades Peruanas  según la aplicación de los parámetros de validación de la BVL</w:t>
      </w:r>
      <w:r w:rsidR="00D1118A">
        <w:rPr>
          <w:rFonts w:ascii="Arial" w:hAnsi="Arial" w:cs="Arial"/>
        </w:rPr>
        <w:t>, y un puntaje de</w:t>
      </w:r>
      <w:r w:rsidR="00BC22C9">
        <w:rPr>
          <w:rFonts w:ascii="Arial" w:hAnsi="Arial" w:cs="Arial"/>
        </w:rPr>
        <w:t xml:space="preserve"> 3.44</w:t>
      </w:r>
      <w:r w:rsidR="00D1118A">
        <w:rPr>
          <w:rFonts w:ascii="Arial" w:hAnsi="Arial" w:cs="Arial"/>
        </w:rPr>
        <w:t xml:space="preserve"> en la encuesta “La Voz del Mercado” realizada por la BVL con Ernst &amp; Young</w:t>
      </w:r>
      <w:r w:rsidR="004B359E">
        <w:rPr>
          <w:rFonts w:ascii="Arial" w:hAnsi="Arial" w:cs="Arial"/>
        </w:rPr>
        <w:t xml:space="preserve">, lo que la ubica en el </w:t>
      </w:r>
      <w:r w:rsidR="00BC22C9">
        <w:rPr>
          <w:rFonts w:ascii="Arial" w:hAnsi="Arial" w:cs="Arial"/>
        </w:rPr>
        <w:t>décimo</w:t>
      </w:r>
      <w:r w:rsidR="004B359E">
        <w:rPr>
          <w:rFonts w:ascii="Arial" w:hAnsi="Arial" w:cs="Arial"/>
        </w:rPr>
        <w:t xml:space="preserve"> lugar del ranking de la referida encuesta</w:t>
      </w:r>
      <w:r w:rsidR="00AB2C03" w:rsidRPr="00CB5DDD">
        <w:rPr>
          <w:rFonts w:ascii="Arial" w:hAnsi="Arial" w:cs="Arial"/>
        </w:rPr>
        <w:t>.</w:t>
      </w:r>
      <w:r w:rsidR="004B359E">
        <w:rPr>
          <w:rFonts w:ascii="Arial" w:hAnsi="Arial" w:cs="Arial"/>
        </w:rPr>
        <w:t xml:space="preserve"> Este es el </w:t>
      </w:r>
      <w:r w:rsidR="00E20ABB">
        <w:rPr>
          <w:rFonts w:ascii="Arial" w:hAnsi="Arial" w:cs="Arial"/>
        </w:rPr>
        <w:t>décimo</w:t>
      </w:r>
      <w:r w:rsidR="004B359E">
        <w:rPr>
          <w:rFonts w:ascii="Arial" w:hAnsi="Arial" w:cs="Arial"/>
        </w:rPr>
        <w:t xml:space="preserve"> año consecutivo que Cementos Pacasmayo </w:t>
      </w:r>
      <w:r w:rsidR="00E20ABB">
        <w:rPr>
          <w:rFonts w:ascii="Arial" w:hAnsi="Arial" w:cs="Arial"/>
        </w:rPr>
        <w:t xml:space="preserve">S.A.A. </w:t>
      </w:r>
      <w:r w:rsidR="00225826">
        <w:rPr>
          <w:rFonts w:ascii="Arial" w:hAnsi="Arial" w:cs="Arial"/>
        </w:rPr>
        <w:t>es seleccionada como una de las empresas que conforman el IBGC.</w:t>
      </w:r>
    </w:p>
    <w:p w:rsidR="00894907" w:rsidRDefault="00894907" w:rsidP="0048600B">
      <w:pPr>
        <w:jc w:val="both"/>
        <w:rPr>
          <w:rFonts w:ascii="Arial" w:hAnsi="Arial" w:cs="Arial"/>
        </w:rPr>
      </w:pPr>
      <w:r w:rsidRPr="00E51DB1">
        <w:rPr>
          <w:rFonts w:ascii="Arial" w:hAnsi="Arial" w:cs="Arial"/>
        </w:rPr>
        <w:t xml:space="preserve">Dentro de los aspectos a resaltar </w:t>
      </w:r>
      <w:r>
        <w:rPr>
          <w:rFonts w:ascii="Arial" w:hAnsi="Arial" w:cs="Arial"/>
        </w:rPr>
        <w:t xml:space="preserve">durante el 2019 se ha continuado con el fortalecimiento de nuestras políticas y procedimientos, así como la consolidación de nuestro sistema de prevención, habiendo no solamente logrado </w:t>
      </w:r>
      <w:r w:rsidR="008A4F0F">
        <w:rPr>
          <w:rFonts w:ascii="Arial" w:hAnsi="Arial" w:cs="Arial"/>
        </w:rPr>
        <w:t xml:space="preserve">el </w:t>
      </w:r>
      <w:r>
        <w:rPr>
          <w:rFonts w:ascii="Arial" w:hAnsi="Arial" w:cs="Arial"/>
        </w:rPr>
        <w:t>manten</w:t>
      </w:r>
      <w:r w:rsidR="008A4F0F">
        <w:rPr>
          <w:rFonts w:ascii="Arial" w:hAnsi="Arial" w:cs="Arial"/>
        </w:rPr>
        <w:t>imiento de</w:t>
      </w:r>
      <w:r>
        <w:rPr>
          <w:rFonts w:ascii="Arial" w:hAnsi="Arial" w:cs="Arial"/>
        </w:rPr>
        <w:t xml:space="preserve"> </w:t>
      </w:r>
      <w:r w:rsidRPr="00E51DB1">
        <w:rPr>
          <w:rFonts w:ascii="Arial" w:hAnsi="Arial" w:cs="Arial"/>
        </w:rPr>
        <w:t xml:space="preserve">la certificación </w:t>
      </w:r>
      <w:r w:rsidRPr="001C143B">
        <w:rPr>
          <w:rFonts w:ascii="Arial" w:hAnsi="Arial" w:cs="Arial"/>
          <w:u w:val="single"/>
        </w:rPr>
        <w:t>ISO 37001:2016</w:t>
      </w:r>
      <w:r w:rsidRPr="00E51DB1">
        <w:rPr>
          <w:rFonts w:ascii="Arial" w:hAnsi="Arial" w:cs="Arial"/>
        </w:rPr>
        <w:t xml:space="preserve"> </w:t>
      </w:r>
      <w:r w:rsidRPr="000E4FD3">
        <w:rPr>
          <w:rFonts w:ascii="Arial" w:hAnsi="Arial" w:cs="Arial"/>
          <w:u w:val="single"/>
        </w:rPr>
        <w:t xml:space="preserve">“Sistemas de Gestión </w:t>
      </w:r>
      <w:proofErr w:type="spellStart"/>
      <w:r w:rsidRPr="000E4FD3">
        <w:rPr>
          <w:rFonts w:ascii="Arial" w:hAnsi="Arial" w:cs="Arial"/>
          <w:u w:val="single"/>
        </w:rPr>
        <w:t>Antisoborno</w:t>
      </w:r>
      <w:proofErr w:type="spellEnd"/>
      <w:r>
        <w:rPr>
          <w:rFonts w:ascii="Arial" w:hAnsi="Arial" w:cs="Arial"/>
        </w:rPr>
        <w:t>”</w:t>
      </w:r>
      <w:r w:rsidR="00F4041B">
        <w:rPr>
          <w:rFonts w:ascii="Arial" w:hAnsi="Arial" w:cs="Arial"/>
        </w:rPr>
        <w:t xml:space="preserve"> (con alcance ampliado a lavado de activos y financiamiento al terrorismo) </w:t>
      </w:r>
      <w:r>
        <w:rPr>
          <w:rFonts w:ascii="Arial" w:hAnsi="Arial" w:cs="Arial"/>
        </w:rPr>
        <w:t>obtenida durante el año previo</w:t>
      </w:r>
      <w:r w:rsidR="00F4041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sino </w:t>
      </w:r>
      <w:r w:rsidR="00F4041B">
        <w:rPr>
          <w:rFonts w:ascii="Arial" w:hAnsi="Arial" w:cs="Arial"/>
        </w:rPr>
        <w:t xml:space="preserve">también </w:t>
      </w:r>
      <w:r>
        <w:rPr>
          <w:rFonts w:ascii="Arial" w:hAnsi="Arial" w:cs="Arial"/>
        </w:rPr>
        <w:t xml:space="preserve">ampliado su alcance </w:t>
      </w:r>
      <w:r w:rsidR="00F4041B">
        <w:rPr>
          <w:rFonts w:ascii="Arial" w:hAnsi="Arial" w:cs="Arial"/>
        </w:rPr>
        <w:t>para incluir tráfico de influencias, colusión y libre competencia</w:t>
      </w:r>
      <w:r w:rsidRPr="00E51DB1">
        <w:rPr>
          <w:rFonts w:ascii="Arial" w:hAnsi="Arial" w:cs="Arial"/>
        </w:rPr>
        <w:t>.</w:t>
      </w:r>
    </w:p>
    <w:p w:rsidR="00617834" w:rsidRDefault="00EA1536" w:rsidP="00486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Lima, febrero de 20</w:t>
      </w:r>
      <w:r w:rsidR="00894907">
        <w:rPr>
          <w:rFonts w:ascii="Arial" w:hAnsi="Arial" w:cs="Arial"/>
        </w:rPr>
        <w:t>20</w:t>
      </w:r>
    </w:p>
    <w:p w:rsidR="00AB2C03" w:rsidRPr="00CB5DDD" w:rsidRDefault="00AB2C03" w:rsidP="00EA1536">
      <w:pPr>
        <w:jc w:val="both"/>
        <w:rPr>
          <w:rFonts w:ascii="Arial" w:hAnsi="Arial" w:cs="Arial"/>
        </w:rPr>
      </w:pPr>
    </w:p>
    <w:sectPr w:rsidR="00AB2C03" w:rsidRPr="00CB5DDD" w:rsidSect="0038120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03"/>
    <w:rsid w:val="00013DDE"/>
    <w:rsid w:val="00111C95"/>
    <w:rsid w:val="001F59BC"/>
    <w:rsid w:val="00225826"/>
    <w:rsid w:val="00365922"/>
    <w:rsid w:val="00376256"/>
    <w:rsid w:val="00381208"/>
    <w:rsid w:val="00404800"/>
    <w:rsid w:val="0048600B"/>
    <w:rsid w:val="00491EB7"/>
    <w:rsid w:val="00493E9E"/>
    <w:rsid w:val="004B359E"/>
    <w:rsid w:val="00617834"/>
    <w:rsid w:val="00727EE5"/>
    <w:rsid w:val="0073006F"/>
    <w:rsid w:val="00894907"/>
    <w:rsid w:val="008A4F0F"/>
    <w:rsid w:val="00A1288C"/>
    <w:rsid w:val="00A45870"/>
    <w:rsid w:val="00AB2C03"/>
    <w:rsid w:val="00AE5766"/>
    <w:rsid w:val="00BC22C9"/>
    <w:rsid w:val="00C95E51"/>
    <w:rsid w:val="00CA774D"/>
    <w:rsid w:val="00CB5DDD"/>
    <w:rsid w:val="00D1118A"/>
    <w:rsid w:val="00DE62EA"/>
    <w:rsid w:val="00E04551"/>
    <w:rsid w:val="00E20ABB"/>
    <w:rsid w:val="00EA1536"/>
    <w:rsid w:val="00F4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9C1141-0D2A-4D95-A122-A030AAFB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2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F5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5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EDF7C-0FC1-495B-9863-ABFE69DE1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Cementos Pacasmayo S.A.A.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DRoda</dc:creator>
  <cp:lastModifiedBy>Urquizo Suarez Dora Ines</cp:lastModifiedBy>
  <cp:revision>2</cp:revision>
  <cp:lastPrinted>2020-02-11T21:57:00Z</cp:lastPrinted>
  <dcterms:created xsi:type="dcterms:W3CDTF">2020-02-13T02:11:00Z</dcterms:created>
  <dcterms:modified xsi:type="dcterms:W3CDTF">2020-02-13T02:11:00Z</dcterms:modified>
</cp:coreProperties>
</file>