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21B55" w14:textId="284BDD86" w:rsidR="0069349C" w:rsidRPr="00AA25C6" w:rsidRDefault="0069349C" w:rsidP="0069349C">
      <w:pPr>
        <w:rPr>
          <w:rFonts w:cstheme="minorHAnsi"/>
          <w:lang w:val="fi-FI"/>
        </w:rPr>
      </w:pPr>
      <w:r w:rsidRPr="00AA25C6">
        <w:rPr>
          <w:rFonts w:cstheme="minorHAnsi"/>
          <w:lang w:val="fi-FI"/>
        </w:rPr>
        <w:t xml:space="preserve">Dovre Group </w:t>
      </w:r>
      <w:r w:rsidR="00673871" w:rsidRPr="00AA25C6">
        <w:rPr>
          <w:rFonts w:cstheme="minorHAnsi"/>
          <w:lang w:val="fi-FI"/>
        </w:rPr>
        <w:t>Oyj</w:t>
      </w:r>
      <w:r w:rsidRPr="00AA25C6">
        <w:rPr>
          <w:rFonts w:cstheme="minorHAnsi"/>
          <w:lang w:val="fi-FI"/>
        </w:rPr>
        <w:t xml:space="preserve">                    </w:t>
      </w:r>
      <w:r w:rsidR="00272F1C">
        <w:rPr>
          <w:rFonts w:cstheme="minorHAnsi"/>
          <w:lang w:val="fi-FI"/>
        </w:rPr>
        <w:tab/>
        <w:t>Sisäpiiritieto</w:t>
      </w:r>
      <w:r w:rsidR="00F02D59" w:rsidRPr="00AA25C6">
        <w:rPr>
          <w:rFonts w:cstheme="minorHAnsi"/>
          <w:lang w:val="fi-FI"/>
        </w:rPr>
        <w:t xml:space="preserve"> </w:t>
      </w:r>
      <w:r w:rsidR="00F02D59" w:rsidRPr="00AA25C6">
        <w:rPr>
          <w:rFonts w:cstheme="minorHAnsi"/>
          <w:lang w:val="fi-FI"/>
        </w:rPr>
        <w:tab/>
      </w:r>
      <w:r w:rsidR="00F02D59" w:rsidRPr="00AA25C6">
        <w:rPr>
          <w:rFonts w:cstheme="minorHAnsi"/>
          <w:lang w:val="fi-FI"/>
        </w:rPr>
        <w:tab/>
      </w:r>
      <w:r w:rsidR="00F02D59" w:rsidRPr="00AA25C6">
        <w:rPr>
          <w:rFonts w:cstheme="minorHAnsi"/>
          <w:lang w:val="fi-FI"/>
        </w:rPr>
        <w:tab/>
      </w:r>
      <w:r w:rsidR="006F0210">
        <w:rPr>
          <w:rFonts w:cstheme="minorHAnsi"/>
          <w:lang w:val="fi-FI"/>
        </w:rPr>
        <w:t>2.8.2022 klo 19</w:t>
      </w:r>
      <w:r w:rsidR="00E36F1E" w:rsidRPr="00AA25C6">
        <w:rPr>
          <w:rFonts w:cstheme="minorHAnsi"/>
          <w:lang w:val="fi-FI"/>
        </w:rPr>
        <w:t>.00</w:t>
      </w:r>
      <w:r w:rsidR="00C35126" w:rsidRPr="00AA25C6">
        <w:rPr>
          <w:rFonts w:cstheme="minorHAnsi"/>
          <w:lang w:val="fi-FI"/>
        </w:rPr>
        <w:br/>
      </w:r>
    </w:p>
    <w:p w14:paraId="398F7767" w14:textId="3CB04491" w:rsidR="00676528" w:rsidRPr="00AA25C6" w:rsidRDefault="00676528" w:rsidP="00676528">
      <w:pPr>
        <w:pStyle w:val="Heading3"/>
        <w:shd w:val="clear" w:color="auto" w:fill="FFFFFF"/>
        <w:spacing w:before="0" w:after="225" w:line="300" w:lineRule="atLeast"/>
        <w:rPr>
          <w:rFonts w:asciiTheme="minorHAnsi" w:hAnsiTheme="minorHAnsi" w:cstheme="minorHAnsi"/>
          <w:color w:val="auto"/>
          <w:sz w:val="22"/>
          <w:szCs w:val="22"/>
          <w:lang w:val="fi-FI"/>
        </w:rPr>
      </w:pPr>
      <w:r w:rsidRPr="00AA25C6">
        <w:rPr>
          <w:rFonts w:asciiTheme="minorHAnsi" w:eastAsiaTheme="minorHAnsi" w:hAnsiTheme="minorHAnsi" w:cstheme="minorHAnsi"/>
          <w:b/>
          <w:color w:val="auto"/>
          <w:sz w:val="22"/>
          <w:szCs w:val="22"/>
          <w:lang w:val="fi-FI"/>
        </w:rPr>
        <w:t xml:space="preserve">Positiivinen tulosvaroitus: Dovre Group </w:t>
      </w:r>
      <w:r w:rsidR="009A5A47" w:rsidRPr="00AA25C6">
        <w:rPr>
          <w:rFonts w:asciiTheme="minorHAnsi" w:eastAsiaTheme="minorHAnsi" w:hAnsiTheme="minorHAnsi" w:cstheme="minorHAnsi"/>
          <w:b/>
          <w:color w:val="auto"/>
          <w:sz w:val="22"/>
          <w:szCs w:val="22"/>
          <w:lang w:val="fi-FI"/>
        </w:rPr>
        <w:t xml:space="preserve">Oyj </w:t>
      </w:r>
      <w:r w:rsidRPr="00AA25C6">
        <w:rPr>
          <w:rFonts w:asciiTheme="minorHAnsi" w:eastAsiaTheme="minorHAnsi" w:hAnsiTheme="minorHAnsi" w:cstheme="minorHAnsi"/>
          <w:b/>
          <w:color w:val="auto"/>
          <w:sz w:val="22"/>
          <w:szCs w:val="22"/>
          <w:lang w:val="fi-FI"/>
        </w:rPr>
        <w:t>nostaa liikevaihto- ja liike</w:t>
      </w:r>
      <w:r w:rsidR="00FB675D" w:rsidRPr="00AA25C6">
        <w:rPr>
          <w:rFonts w:asciiTheme="minorHAnsi" w:eastAsiaTheme="minorHAnsi" w:hAnsiTheme="minorHAnsi" w:cstheme="minorHAnsi"/>
          <w:b/>
          <w:color w:val="auto"/>
          <w:sz w:val="22"/>
          <w:szCs w:val="22"/>
          <w:lang w:val="fi-FI"/>
        </w:rPr>
        <w:t>voitto</w:t>
      </w:r>
      <w:r w:rsidR="00D80B9A" w:rsidRPr="00AA25C6">
        <w:rPr>
          <w:rFonts w:asciiTheme="minorHAnsi" w:eastAsiaTheme="minorHAnsi" w:hAnsiTheme="minorHAnsi" w:cstheme="minorHAnsi"/>
          <w:b/>
          <w:color w:val="auto"/>
          <w:sz w:val="22"/>
          <w:szCs w:val="22"/>
          <w:lang w:val="fi-FI"/>
        </w:rPr>
        <w:t>-</w:t>
      </w:r>
      <w:r w:rsidRPr="00AA25C6">
        <w:rPr>
          <w:rFonts w:asciiTheme="minorHAnsi" w:eastAsiaTheme="minorHAnsi" w:hAnsiTheme="minorHAnsi" w:cstheme="minorHAnsi"/>
          <w:b/>
          <w:color w:val="auto"/>
          <w:sz w:val="22"/>
          <w:szCs w:val="22"/>
          <w:lang w:val="fi-FI"/>
        </w:rPr>
        <w:t>ohjeistustaan</w:t>
      </w:r>
    </w:p>
    <w:p w14:paraId="4FE476FE" w14:textId="125F2A3E" w:rsidR="00676528" w:rsidRPr="00AA25C6" w:rsidRDefault="00676528" w:rsidP="00676528">
      <w:pPr>
        <w:shd w:val="clear" w:color="auto" w:fill="FFFFFF"/>
        <w:spacing w:after="0" w:line="240" w:lineRule="auto"/>
        <w:rPr>
          <w:rFonts w:cstheme="minorHAnsi"/>
          <w:lang w:val="fi-FI"/>
        </w:rPr>
      </w:pPr>
      <w:r w:rsidRPr="00AA25C6">
        <w:rPr>
          <w:rFonts w:cstheme="minorHAnsi"/>
          <w:b/>
          <w:lang w:val="fi-FI"/>
        </w:rPr>
        <w:t xml:space="preserve">Dovre Group </w:t>
      </w:r>
      <w:r w:rsidR="003A76F0" w:rsidRPr="00AA25C6">
        <w:rPr>
          <w:rFonts w:cstheme="minorHAnsi"/>
          <w:b/>
          <w:lang w:val="fi-FI"/>
        </w:rPr>
        <w:t xml:space="preserve">Oyj </w:t>
      </w:r>
      <w:r w:rsidRPr="00AA25C6">
        <w:rPr>
          <w:rFonts w:cstheme="minorHAnsi"/>
          <w:b/>
          <w:lang w:val="fi-FI"/>
        </w:rPr>
        <w:t>nostaa liikevaihto- ja liike</w:t>
      </w:r>
      <w:r w:rsidR="0076019E" w:rsidRPr="00AA25C6">
        <w:rPr>
          <w:rFonts w:cstheme="minorHAnsi"/>
          <w:b/>
          <w:lang w:val="fi-FI"/>
        </w:rPr>
        <w:t>voitto</w:t>
      </w:r>
      <w:r w:rsidR="00D80B9A" w:rsidRPr="00AA25C6">
        <w:rPr>
          <w:rFonts w:cstheme="minorHAnsi"/>
          <w:b/>
          <w:lang w:val="fi-FI"/>
        </w:rPr>
        <w:t>-</w:t>
      </w:r>
      <w:r w:rsidR="00711F59" w:rsidRPr="00AA25C6">
        <w:rPr>
          <w:rFonts w:cstheme="minorHAnsi"/>
          <w:b/>
          <w:lang w:val="fi-FI"/>
        </w:rPr>
        <w:t>ohjeistustaan</w:t>
      </w:r>
      <w:r w:rsidR="00E36F1E" w:rsidRPr="00AA25C6">
        <w:rPr>
          <w:rFonts w:cstheme="minorHAnsi"/>
          <w:b/>
          <w:lang w:val="fi-FI"/>
        </w:rPr>
        <w:t xml:space="preserve"> vuodelle 2022</w:t>
      </w:r>
      <w:r w:rsidRPr="00AA25C6">
        <w:rPr>
          <w:rFonts w:cstheme="minorHAnsi"/>
          <w:lang w:val="fi-FI"/>
        </w:rPr>
        <w:t>:</w:t>
      </w:r>
    </w:p>
    <w:p w14:paraId="1BE4F771" w14:textId="77777777" w:rsidR="00C477D8" w:rsidRPr="00AA25C6" w:rsidRDefault="00C477D8" w:rsidP="00676528">
      <w:pPr>
        <w:shd w:val="clear" w:color="auto" w:fill="FFFFFF"/>
        <w:spacing w:after="0" w:line="240" w:lineRule="auto"/>
        <w:rPr>
          <w:rFonts w:cstheme="minorHAnsi"/>
          <w:lang w:val="fi-FI"/>
        </w:rPr>
      </w:pPr>
    </w:p>
    <w:p w14:paraId="7E4209EE" w14:textId="655489CD" w:rsidR="00E36F1E" w:rsidRPr="00AA25C6" w:rsidRDefault="00E36F1E" w:rsidP="00E36F1E">
      <w:pPr>
        <w:shd w:val="clear" w:color="auto" w:fill="FFFFFF"/>
        <w:spacing w:after="100" w:afterAutospacing="1"/>
        <w:rPr>
          <w:rFonts w:cstheme="minorHAnsi"/>
          <w:lang w:val="fi-FI" w:eastAsia="nb-NO"/>
        </w:rPr>
      </w:pPr>
      <w:r w:rsidRPr="00AA25C6">
        <w:rPr>
          <w:rFonts w:cstheme="minorHAnsi"/>
          <w:b/>
          <w:bCs/>
          <w:shd w:val="clear" w:color="auto" w:fill="FFFFFF"/>
          <w:lang w:val="fi-FI"/>
        </w:rPr>
        <w:t xml:space="preserve">Uusi ohjeistus vuodelle 2022: </w:t>
      </w:r>
      <w:r w:rsidRPr="00AA25C6">
        <w:rPr>
          <w:rFonts w:cstheme="minorHAnsi"/>
          <w:lang w:val="fi-FI" w:eastAsia="nb-NO"/>
        </w:rPr>
        <w:t xml:space="preserve">Dovren liikevaihdon vuonna 2022 odotetaan olevan yli 185 miljoonaa </w:t>
      </w:r>
      <w:r w:rsidR="00D805ED">
        <w:rPr>
          <w:rFonts w:cstheme="minorHAnsi"/>
          <w:lang w:val="fi-FI" w:eastAsia="nb-NO"/>
        </w:rPr>
        <w:t xml:space="preserve">euroa </w:t>
      </w:r>
      <w:r w:rsidRPr="00AA25C6">
        <w:rPr>
          <w:rFonts w:cstheme="minorHAnsi"/>
          <w:lang w:val="fi-FI" w:eastAsia="nb-NO"/>
        </w:rPr>
        <w:t xml:space="preserve">ja liikevoiton (EBIT) välillä 6,5 – 7,5 miljoonaa euroa. </w:t>
      </w:r>
    </w:p>
    <w:p w14:paraId="4F827370" w14:textId="1CB4F822" w:rsidR="00E36F1E" w:rsidRPr="00AA25C6" w:rsidRDefault="00E36F1E" w:rsidP="00E36F1E">
      <w:pPr>
        <w:rPr>
          <w:rFonts w:cstheme="minorHAnsi"/>
          <w:lang w:val="fi-FI"/>
        </w:rPr>
      </w:pPr>
      <w:r w:rsidRPr="00AA25C6">
        <w:rPr>
          <w:rFonts w:cstheme="minorHAnsi"/>
          <w:b/>
          <w:bCs/>
          <w:shd w:val="clear" w:color="auto" w:fill="FFFFFF"/>
          <w:lang w:val="fi-FI"/>
        </w:rPr>
        <w:t>Vanha ohjeistus vuodelle 2022</w:t>
      </w:r>
      <w:r w:rsidR="007265D8" w:rsidRPr="00AA25C6">
        <w:rPr>
          <w:rFonts w:cstheme="minorHAnsi"/>
          <w:b/>
          <w:bCs/>
          <w:shd w:val="clear" w:color="auto" w:fill="FFFFFF"/>
          <w:lang w:val="fi-FI"/>
        </w:rPr>
        <w:t>:</w:t>
      </w:r>
      <w:r w:rsidRPr="00AA25C6">
        <w:rPr>
          <w:rFonts w:cstheme="minorHAnsi"/>
          <w:b/>
          <w:bCs/>
          <w:shd w:val="clear" w:color="auto" w:fill="FFFFFF"/>
          <w:lang w:val="fi-FI"/>
        </w:rPr>
        <w:t xml:space="preserve"> </w:t>
      </w:r>
      <w:r w:rsidRPr="00AA25C6">
        <w:rPr>
          <w:rFonts w:cstheme="minorHAnsi"/>
          <w:shd w:val="clear" w:color="auto" w:fill="FFFFFF"/>
          <w:lang w:val="fi-FI"/>
        </w:rPr>
        <w:t xml:space="preserve">(julkaistu ensimmäisen kerran 24.2.2022): </w:t>
      </w:r>
      <w:r w:rsidRPr="00AA25C6">
        <w:rPr>
          <w:rFonts w:cstheme="minorHAnsi"/>
          <w:lang w:val="fi-FI"/>
        </w:rPr>
        <w:t>Dovre Groupin liikevaihdon vuonna 2022 arvioidaan olevan yli 165 miljoonaa euroa (2021: 142,7 miljoonaa euroa). Liikevoiton (EBIT) arvioidaan olevan parempi kuin edellisenä vuonna (2021: 6,1 miljoonaa euroa).</w:t>
      </w:r>
    </w:p>
    <w:p w14:paraId="2EA81C27" w14:textId="2915383B" w:rsidR="007265D8" w:rsidRPr="00AA25C6" w:rsidRDefault="007265D8" w:rsidP="00E36F1E">
      <w:pPr>
        <w:rPr>
          <w:rFonts w:cstheme="minorHAnsi"/>
          <w:lang w:val="fi-FI"/>
        </w:rPr>
      </w:pPr>
      <w:r w:rsidRPr="00AA25C6">
        <w:rPr>
          <w:rFonts w:cstheme="minorHAnsi"/>
          <w:lang w:val="fi-FI"/>
        </w:rPr>
        <w:t>Ohjeistuksen noston syynä on se, että Dovren palveluiden kysynnän odotetaan jatkuvan hyvänä vuoden toisella puoliskolla.</w:t>
      </w:r>
    </w:p>
    <w:p w14:paraId="23B19716" w14:textId="5CE37783" w:rsidR="009B16E9" w:rsidRPr="00AA25C6" w:rsidRDefault="00E36F1E" w:rsidP="006F0210">
      <w:pPr>
        <w:shd w:val="clear" w:color="auto" w:fill="FFFFFF"/>
        <w:spacing w:after="100" w:afterAutospacing="1"/>
        <w:rPr>
          <w:rFonts w:cstheme="minorHAnsi"/>
          <w:lang w:val="fi-FI" w:eastAsia="nb-NO"/>
        </w:rPr>
      </w:pPr>
      <w:r w:rsidRPr="00AA25C6">
        <w:rPr>
          <w:rFonts w:cstheme="minorHAnsi"/>
          <w:lang w:val="fi-FI" w:eastAsia="nb-NO"/>
        </w:rPr>
        <w:t xml:space="preserve">Dovre Group julkaisee </w:t>
      </w:r>
      <w:r w:rsidR="007265D8" w:rsidRPr="00AA25C6">
        <w:rPr>
          <w:rFonts w:cstheme="minorHAnsi"/>
          <w:lang w:val="fi-FI" w:eastAsia="nb-NO"/>
        </w:rPr>
        <w:t>puolivuosikatsauksensa</w:t>
      </w:r>
      <w:r w:rsidRPr="00AA25C6">
        <w:rPr>
          <w:rFonts w:cstheme="minorHAnsi"/>
          <w:lang w:val="fi-FI" w:eastAsia="nb-NO"/>
        </w:rPr>
        <w:t xml:space="preserve"> (1.1. – 30.6.2022) 18.8.2022. Hiljaisen jakson vuoksi yhtiö ei kommentoi </w:t>
      </w:r>
      <w:r w:rsidR="007265D8" w:rsidRPr="00AA25C6">
        <w:rPr>
          <w:rFonts w:cstheme="minorHAnsi"/>
          <w:lang w:val="fi-FI" w:eastAsia="nb-NO"/>
        </w:rPr>
        <w:t>tätä tiedotetta enempää.</w:t>
      </w:r>
      <w:bookmarkStart w:id="0" w:name="_GoBack"/>
      <w:bookmarkEnd w:id="0"/>
    </w:p>
    <w:p w14:paraId="65EB4C31" w14:textId="77777777" w:rsidR="00AA25C6" w:rsidRPr="00AA25C6" w:rsidRDefault="00AA25C6" w:rsidP="00AA25C6">
      <w:pPr>
        <w:rPr>
          <w:rFonts w:cstheme="minorHAnsi"/>
          <w:i/>
          <w:iCs/>
          <w:lang w:val="fi-FI"/>
        </w:rPr>
      </w:pPr>
      <w:r w:rsidRPr="00AA25C6">
        <w:rPr>
          <w:rFonts w:cstheme="minorHAnsi"/>
          <w:b/>
          <w:bCs/>
          <w:i/>
          <w:iCs/>
          <w:lang w:val="fi-FI"/>
        </w:rPr>
        <w:t>Dovre Group</w:t>
      </w:r>
      <w:r w:rsidRPr="00AA25C6">
        <w:rPr>
          <w:rFonts w:cstheme="minorHAnsi"/>
          <w:i/>
          <w:iCs/>
          <w:lang w:val="fi-FI"/>
        </w:rPr>
        <w:t xml:space="preserve"> on kansainvälisesti toimiva projektihenkilöstön ja -johtamisen palvelutoimittaja. Dovre Group -konsernin liiketoimintaryhmät ovat Projektihenkilöstö, Konsultointi ja Uusiutuva energia. Konsernilla on toimipisteet Kanadassa, Norjassa, Singaporessa, Suomessa ja Yhdysvalloissa. Maailmanlaajuisesti konsernissa toimii yli 800 henkilöä. Dovre Group Oyj on listattu Nasdaq Helsingissä (tunnus: DOV1V).</w:t>
      </w:r>
    </w:p>
    <w:p w14:paraId="20AC65FA" w14:textId="16E39DE1" w:rsidR="0069349C" w:rsidRPr="00AA25C6" w:rsidRDefault="0069349C" w:rsidP="0069349C">
      <w:pPr>
        <w:rPr>
          <w:rFonts w:cstheme="minorHAnsi"/>
          <w:lang w:val="fi-FI"/>
        </w:rPr>
      </w:pPr>
    </w:p>
    <w:p w14:paraId="0B771135" w14:textId="56F42349" w:rsidR="00176F68" w:rsidRPr="00AA25C6" w:rsidRDefault="00176F68" w:rsidP="0069349C">
      <w:pPr>
        <w:rPr>
          <w:rFonts w:cstheme="minorHAnsi"/>
          <w:lang w:val="fi-FI"/>
        </w:rPr>
      </w:pPr>
      <w:r w:rsidRPr="00AA25C6">
        <w:rPr>
          <w:rFonts w:cstheme="minorHAnsi"/>
          <w:lang w:val="fi-FI"/>
        </w:rPr>
        <w:t>JAKELU:</w:t>
      </w:r>
      <w:r w:rsidRPr="00AA25C6">
        <w:rPr>
          <w:rFonts w:cstheme="minorHAnsi"/>
          <w:lang w:val="fi-FI"/>
        </w:rPr>
        <w:br/>
        <w:t>Nasdaq Helsinki</w:t>
      </w:r>
      <w:r w:rsidRPr="00AA25C6">
        <w:rPr>
          <w:rFonts w:cstheme="minorHAnsi"/>
          <w:lang w:val="fi-FI"/>
        </w:rPr>
        <w:br/>
        <w:t>Keskeiset tiedotusvälineet</w:t>
      </w:r>
      <w:r w:rsidRPr="00AA25C6">
        <w:rPr>
          <w:rFonts w:cstheme="minorHAnsi"/>
          <w:lang w:val="fi-FI"/>
        </w:rPr>
        <w:br/>
      </w:r>
      <w:hyperlink r:id="rId4" w:history="1">
        <w:r w:rsidRPr="00AA25C6">
          <w:rPr>
            <w:rStyle w:val="Hyperlink"/>
            <w:rFonts w:cstheme="minorHAnsi"/>
            <w:color w:val="auto"/>
            <w:lang w:val="fi-FI"/>
          </w:rPr>
          <w:t>www.dovregroup.com</w:t>
        </w:r>
      </w:hyperlink>
    </w:p>
    <w:p w14:paraId="20F8561A" w14:textId="46BAE885" w:rsidR="00176F68" w:rsidRPr="00176F68" w:rsidRDefault="00176F68" w:rsidP="0069349C">
      <w:pPr>
        <w:rPr>
          <w:rFonts w:ascii="Arial" w:hAnsi="Arial" w:cs="Arial"/>
          <w:sz w:val="24"/>
          <w:szCs w:val="24"/>
          <w:lang w:val="fi-FI"/>
        </w:rPr>
      </w:pPr>
      <w:r w:rsidRPr="00E36F1E">
        <w:rPr>
          <w:rFonts w:ascii="Arial" w:hAnsi="Arial" w:cs="Arial"/>
          <w:sz w:val="24"/>
          <w:szCs w:val="24"/>
          <w:lang w:val="fi-FI"/>
        </w:rPr>
        <w:br/>
      </w:r>
    </w:p>
    <w:sectPr w:rsidR="00176F68" w:rsidRPr="00176F68" w:rsidSect="00531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9C"/>
    <w:rsid w:val="000503DD"/>
    <w:rsid w:val="0008516B"/>
    <w:rsid w:val="0008640C"/>
    <w:rsid w:val="00087434"/>
    <w:rsid w:val="000878BA"/>
    <w:rsid w:val="00096840"/>
    <w:rsid w:val="000B24AD"/>
    <w:rsid w:val="0017623B"/>
    <w:rsid w:val="00176F68"/>
    <w:rsid w:val="00194572"/>
    <w:rsid w:val="001D44E6"/>
    <w:rsid w:val="0021443B"/>
    <w:rsid w:val="00272F1C"/>
    <w:rsid w:val="002A2EA4"/>
    <w:rsid w:val="002A3CBC"/>
    <w:rsid w:val="002B1317"/>
    <w:rsid w:val="002C482C"/>
    <w:rsid w:val="00315593"/>
    <w:rsid w:val="00333F26"/>
    <w:rsid w:val="003A76F0"/>
    <w:rsid w:val="003D5276"/>
    <w:rsid w:val="00417D53"/>
    <w:rsid w:val="00424C5D"/>
    <w:rsid w:val="004371E9"/>
    <w:rsid w:val="00452E7C"/>
    <w:rsid w:val="00475514"/>
    <w:rsid w:val="0048577E"/>
    <w:rsid w:val="004E681A"/>
    <w:rsid w:val="005033EF"/>
    <w:rsid w:val="00524587"/>
    <w:rsid w:val="00531D26"/>
    <w:rsid w:val="005644EC"/>
    <w:rsid w:val="00592B60"/>
    <w:rsid w:val="005943A1"/>
    <w:rsid w:val="00652913"/>
    <w:rsid w:val="00657D5A"/>
    <w:rsid w:val="00673871"/>
    <w:rsid w:val="00676528"/>
    <w:rsid w:val="0069349C"/>
    <w:rsid w:val="006A126D"/>
    <w:rsid w:val="006B1AE8"/>
    <w:rsid w:val="006F0210"/>
    <w:rsid w:val="00711F59"/>
    <w:rsid w:val="007265D8"/>
    <w:rsid w:val="0076019E"/>
    <w:rsid w:val="00774CEF"/>
    <w:rsid w:val="007C0C48"/>
    <w:rsid w:val="007D25EF"/>
    <w:rsid w:val="007D28F4"/>
    <w:rsid w:val="007F6DCD"/>
    <w:rsid w:val="00802DDA"/>
    <w:rsid w:val="00857970"/>
    <w:rsid w:val="00962C71"/>
    <w:rsid w:val="0097485D"/>
    <w:rsid w:val="009A5A47"/>
    <w:rsid w:val="009B16E9"/>
    <w:rsid w:val="009C63A8"/>
    <w:rsid w:val="00A07718"/>
    <w:rsid w:val="00A17659"/>
    <w:rsid w:val="00A22800"/>
    <w:rsid w:val="00A34F09"/>
    <w:rsid w:val="00A43673"/>
    <w:rsid w:val="00AA25C6"/>
    <w:rsid w:val="00AA729C"/>
    <w:rsid w:val="00B50B70"/>
    <w:rsid w:val="00B53170"/>
    <w:rsid w:val="00B82F11"/>
    <w:rsid w:val="00B95B43"/>
    <w:rsid w:val="00C25BBE"/>
    <w:rsid w:val="00C35126"/>
    <w:rsid w:val="00C477D8"/>
    <w:rsid w:val="00C742A3"/>
    <w:rsid w:val="00D775D1"/>
    <w:rsid w:val="00D805ED"/>
    <w:rsid w:val="00D80B9A"/>
    <w:rsid w:val="00DF15D2"/>
    <w:rsid w:val="00E01167"/>
    <w:rsid w:val="00E36F1E"/>
    <w:rsid w:val="00EA24FA"/>
    <w:rsid w:val="00EC23D0"/>
    <w:rsid w:val="00EE3F3A"/>
    <w:rsid w:val="00EF09AC"/>
    <w:rsid w:val="00F02D59"/>
    <w:rsid w:val="00F46D32"/>
    <w:rsid w:val="00F94D2D"/>
    <w:rsid w:val="00FA6723"/>
    <w:rsid w:val="00FB675D"/>
    <w:rsid w:val="00FB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39C1"/>
  <w15:docId w15:val="{CD47ACF6-FAB7-4597-8F91-3B06A027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D26"/>
  </w:style>
  <w:style w:type="paragraph" w:styleId="Heading1">
    <w:name w:val="heading 1"/>
    <w:basedOn w:val="Normal"/>
    <w:link w:val="Heading1Char"/>
    <w:uiPriority w:val="9"/>
    <w:qFormat/>
    <w:rsid w:val="007D25EF"/>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6765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593"/>
    <w:rPr>
      <w:color w:val="0563C1" w:themeColor="hyperlink"/>
      <w:u w:val="single"/>
    </w:rPr>
  </w:style>
  <w:style w:type="paragraph" w:styleId="BalloonText">
    <w:name w:val="Balloon Text"/>
    <w:basedOn w:val="Normal"/>
    <w:link w:val="BalloonTextChar"/>
    <w:uiPriority w:val="99"/>
    <w:semiHidden/>
    <w:unhideWhenUsed/>
    <w:rsid w:val="006A1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26D"/>
    <w:rPr>
      <w:rFonts w:ascii="Segoe UI" w:hAnsi="Segoe UI" w:cs="Segoe UI"/>
      <w:sz w:val="18"/>
      <w:szCs w:val="18"/>
    </w:rPr>
  </w:style>
  <w:style w:type="character" w:customStyle="1" w:styleId="Heading1Char">
    <w:name w:val="Heading 1 Char"/>
    <w:basedOn w:val="DefaultParagraphFont"/>
    <w:link w:val="Heading1"/>
    <w:uiPriority w:val="9"/>
    <w:rsid w:val="007D25EF"/>
    <w:rPr>
      <w:rFonts w:ascii="Times New Roman" w:hAnsi="Times New Roman" w:cs="Times New Roman"/>
      <w:b/>
      <w:bCs/>
      <w:kern w:val="36"/>
      <w:sz w:val="48"/>
      <w:szCs w:val="48"/>
      <w:lang w:eastAsia="en-GB"/>
    </w:rPr>
  </w:style>
  <w:style w:type="paragraph" w:styleId="NormalWeb">
    <w:name w:val="Normal (Web)"/>
    <w:basedOn w:val="Normal"/>
    <w:uiPriority w:val="99"/>
    <w:semiHidden/>
    <w:unhideWhenUsed/>
    <w:rsid w:val="007D25E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3Char">
    <w:name w:val="Heading 3 Char"/>
    <w:basedOn w:val="DefaultParagraphFont"/>
    <w:link w:val="Heading3"/>
    <w:uiPriority w:val="9"/>
    <w:rsid w:val="00676528"/>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76528"/>
    <w:rPr>
      <w:b/>
      <w:bCs/>
    </w:rPr>
  </w:style>
  <w:style w:type="character" w:styleId="CommentReference">
    <w:name w:val="annotation reference"/>
    <w:basedOn w:val="DefaultParagraphFont"/>
    <w:uiPriority w:val="99"/>
    <w:semiHidden/>
    <w:unhideWhenUsed/>
    <w:rsid w:val="003D5276"/>
    <w:rPr>
      <w:sz w:val="16"/>
      <w:szCs w:val="16"/>
    </w:rPr>
  </w:style>
  <w:style w:type="paragraph" w:styleId="CommentText">
    <w:name w:val="annotation text"/>
    <w:basedOn w:val="Normal"/>
    <w:link w:val="CommentTextChar"/>
    <w:uiPriority w:val="99"/>
    <w:semiHidden/>
    <w:unhideWhenUsed/>
    <w:rsid w:val="003D5276"/>
    <w:pPr>
      <w:spacing w:line="240" w:lineRule="auto"/>
    </w:pPr>
    <w:rPr>
      <w:sz w:val="20"/>
      <w:szCs w:val="20"/>
    </w:rPr>
  </w:style>
  <w:style w:type="character" w:customStyle="1" w:styleId="CommentTextChar">
    <w:name w:val="Comment Text Char"/>
    <w:basedOn w:val="DefaultParagraphFont"/>
    <w:link w:val="CommentText"/>
    <w:uiPriority w:val="99"/>
    <w:semiHidden/>
    <w:rsid w:val="003D5276"/>
    <w:rPr>
      <w:sz w:val="20"/>
      <w:szCs w:val="20"/>
    </w:rPr>
  </w:style>
  <w:style w:type="paragraph" w:styleId="CommentSubject">
    <w:name w:val="annotation subject"/>
    <w:basedOn w:val="CommentText"/>
    <w:next w:val="CommentText"/>
    <w:link w:val="CommentSubjectChar"/>
    <w:uiPriority w:val="99"/>
    <w:semiHidden/>
    <w:unhideWhenUsed/>
    <w:rsid w:val="003D5276"/>
    <w:rPr>
      <w:b/>
      <w:bCs/>
    </w:rPr>
  </w:style>
  <w:style w:type="character" w:customStyle="1" w:styleId="CommentSubjectChar">
    <w:name w:val="Comment Subject Char"/>
    <w:basedOn w:val="CommentTextChar"/>
    <w:link w:val="CommentSubject"/>
    <w:uiPriority w:val="99"/>
    <w:semiHidden/>
    <w:rsid w:val="003D52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019286">
      <w:bodyDiv w:val="1"/>
      <w:marLeft w:val="0"/>
      <w:marRight w:val="0"/>
      <w:marTop w:val="0"/>
      <w:marBottom w:val="0"/>
      <w:divBdr>
        <w:top w:val="none" w:sz="0" w:space="0" w:color="auto"/>
        <w:left w:val="none" w:sz="0" w:space="0" w:color="auto"/>
        <w:bottom w:val="none" w:sz="0" w:space="0" w:color="auto"/>
        <w:right w:val="none" w:sz="0" w:space="0" w:color="auto"/>
      </w:divBdr>
    </w:div>
    <w:div w:id="1081218664">
      <w:bodyDiv w:val="1"/>
      <w:marLeft w:val="0"/>
      <w:marRight w:val="0"/>
      <w:marTop w:val="0"/>
      <w:marBottom w:val="0"/>
      <w:divBdr>
        <w:top w:val="none" w:sz="0" w:space="0" w:color="auto"/>
        <w:left w:val="none" w:sz="0" w:space="0" w:color="auto"/>
        <w:bottom w:val="none" w:sz="0" w:space="0" w:color="auto"/>
        <w:right w:val="none" w:sz="0" w:space="0" w:color="auto"/>
      </w:divBdr>
    </w:div>
    <w:div w:id="1333995695">
      <w:bodyDiv w:val="1"/>
      <w:marLeft w:val="0"/>
      <w:marRight w:val="0"/>
      <w:marTop w:val="0"/>
      <w:marBottom w:val="0"/>
      <w:divBdr>
        <w:top w:val="none" w:sz="0" w:space="0" w:color="auto"/>
        <w:left w:val="none" w:sz="0" w:space="0" w:color="auto"/>
        <w:bottom w:val="none" w:sz="0" w:space="0" w:color="auto"/>
        <w:right w:val="none" w:sz="0" w:space="0" w:color="auto"/>
      </w:divBdr>
    </w:div>
    <w:div w:id="1339961876">
      <w:bodyDiv w:val="1"/>
      <w:marLeft w:val="0"/>
      <w:marRight w:val="0"/>
      <w:marTop w:val="0"/>
      <w:marBottom w:val="0"/>
      <w:divBdr>
        <w:top w:val="none" w:sz="0" w:space="0" w:color="auto"/>
        <w:left w:val="none" w:sz="0" w:space="0" w:color="auto"/>
        <w:bottom w:val="none" w:sz="0" w:space="0" w:color="auto"/>
        <w:right w:val="none" w:sz="0" w:space="0" w:color="auto"/>
      </w:divBdr>
    </w:div>
    <w:div w:id="191007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vr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 Saukkonen</dc:creator>
  <cp:lastModifiedBy>Sirpa Haavisto</cp:lastModifiedBy>
  <cp:revision>28</cp:revision>
  <cp:lastPrinted>2020-01-30T09:18:00Z</cp:lastPrinted>
  <dcterms:created xsi:type="dcterms:W3CDTF">2021-09-22T07:17:00Z</dcterms:created>
  <dcterms:modified xsi:type="dcterms:W3CDTF">2022-08-02T07:53:00Z</dcterms:modified>
</cp:coreProperties>
</file>