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X="1450" w:tblpY="5799"/>
        <w:tblW w:w="3000" w:type="pct"/>
        <w:tblLook w:val="00A0" w:firstRow="1" w:lastRow="0" w:firstColumn="1" w:lastColumn="0" w:noHBand="0" w:noVBand="0"/>
      </w:tblPr>
      <w:tblGrid>
        <w:gridCol w:w="5783"/>
      </w:tblGrid>
      <w:tr w:rsidR="00675301" w:rsidRPr="009B45AE" w:rsidTr="003E0DFA">
        <w:tc>
          <w:tcPr>
            <w:tcW w:w="5912" w:type="dxa"/>
          </w:tcPr>
          <w:p w:rsidR="00675301" w:rsidRPr="004C2C20" w:rsidRDefault="000A538F" w:rsidP="00BE2908">
            <w:pPr>
              <w:pStyle w:val="Eivli"/>
              <w:rPr>
                <w:rFonts w:ascii="FoundrySterling-Medium" w:hAnsi="FoundrySterling-Medium"/>
                <w:color w:val="404040"/>
                <w:sz w:val="24"/>
                <w:szCs w:val="24"/>
              </w:rPr>
            </w:pPr>
            <w:r>
              <w:rPr>
                <w:rFonts w:ascii="FoundrySterling-Medium" w:eastAsia="FoundrySterling-Medium" w:hAnsi="FoundrySterling-Medium" w:cs="FoundrySterling-Medium"/>
                <w:color w:val="404040"/>
                <w:sz w:val="24"/>
                <w:szCs w:val="24"/>
                <w:lang w:val="en-GB" w:bidi="en-GB"/>
              </w:rPr>
              <w:t>Financial statements release, Jan–Dec 2017</w:t>
            </w:r>
          </w:p>
        </w:tc>
      </w:tr>
    </w:tbl>
    <w:p w:rsidR="00675301" w:rsidRPr="009B45AE" w:rsidRDefault="0018426A" w:rsidP="00535890">
      <w:pPr>
        <w:rPr>
          <w:szCs w:val="24"/>
        </w:rPr>
      </w:pPr>
      <w:r>
        <w:rPr>
          <w:noProof/>
          <w:lang w:val="en-GB" w:bidi="en-GB"/>
        </w:rPr>
        <w:drawing>
          <wp:anchor distT="0" distB="0" distL="114300" distR="114300" simplePos="0" relativeHeight="251658240" behindDoc="1" locked="0" layoutInCell="1" allowOverlap="1">
            <wp:simplePos x="0" y="0"/>
            <wp:positionH relativeFrom="column">
              <wp:posOffset>2748915</wp:posOffset>
            </wp:positionH>
            <wp:positionV relativeFrom="paragraph">
              <wp:posOffset>1748155</wp:posOffset>
            </wp:positionV>
            <wp:extent cx="5591810" cy="8395970"/>
            <wp:effectExtent l="0" t="0" r="8890" b="5080"/>
            <wp:wrapNone/>
            <wp:docPr id="12" name="Kuva 3" descr="Timjami_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mjami_1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810" cy="8395970"/>
                    </a:xfrm>
                    <a:prstGeom prst="rect">
                      <a:avLst/>
                    </a:prstGeom>
                    <a:noFill/>
                  </pic:spPr>
                </pic:pic>
              </a:graphicData>
            </a:graphic>
          </wp:anchor>
        </w:drawing>
      </w:r>
      <w:r>
        <w:rPr>
          <w:noProof/>
          <w:lang w:val="en-GB" w:bidi="en-GB"/>
        </w:rPr>
        <w:drawing>
          <wp:anchor distT="0" distB="0" distL="114300" distR="114300" simplePos="0" relativeHeight="251657216" behindDoc="0" locked="1" layoutInCell="1" allowOverlap="1">
            <wp:simplePos x="0" y="0"/>
            <wp:positionH relativeFrom="column">
              <wp:posOffset>171450</wp:posOffset>
            </wp:positionH>
            <wp:positionV relativeFrom="paragraph">
              <wp:posOffset>791845</wp:posOffset>
            </wp:positionV>
            <wp:extent cx="1490980" cy="1122045"/>
            <wp:effectExtent l="0" t="0" r="0" b="1905"/>
            <wp:wrapNone/>
            <wp:docPr id="11"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980" cy="1122045"/>
                    </a:xfrm>
                    <a:prstGeom prst="rect">
                      <a:avLst/>
                    </a:prstGeom>
                    <a:noFill/>
                  </pic:spPr>
                </pic:pic>
              </a:graphicData>
            </a:graphic>
          </wp:anchor>
        </w:drawing>
      </w:r>
      <w:r w:rsidR="00675301" w:rsidRPr="009B45AE">
        <w:rPr>
          <w:rFonts w:ascii="FoundrySterling-Book" w:eastAsia="FoundrySterling-Book" w:hAnsi="FoundrySterling-Book" w:cs="FoundrySterling-Book"/>
          <w:szCs w:val="24"/>
          <w:lang w:val="en-GB" w:bidi="en-GB"/>
        </w:rPr>
        <w:br w:type="page"/>
      </w:r>
      <w:bookmarkStart w:id="0" w:name="_Hlk496291757"/>
      <w:r w:rsidR="00675301">
        <w:rPr>
          <w:rFonts w:ascii="FoundrySterling-Book" w:eastAsia="FoundrySterling-Book" w:hAnsi="FoundrySterling-Book" w:cs="FoundrySterling-Book"/>
          <w:szCs w:val="24"/>
          <w:lang w:val="en-GB" w:bidi="en-GB"/>
        </w:rPr>
        <w:lastRenderedPageBreak/>
        <w:t>Tulikivi Corporation</w:t>
      </w:r>
      <w:r w:rsidR="00675301">
        <w:rPr>
          <w:rFonts w:ascii="FoundrySterling-Book" w:eastAsia="FoundrySterling-Book" w:hAnsi="FoundrySterling-Book" w:cs="FoundrySterling-Book"/>
          <w:b/>
          <w:szCs w:val="24"/>
          <w:lang w:val="en-GB" w:bidi="en-GB"/>
        </w:rPr>
        <w:tab/>
      </w:r>
      <w:r w:rsidR="00675301">
        <w:rPr>
          <w:rFonts w:ascii="FoundrySterling-Book" w:eastAsia="FoundrySterling-Book" w:hAnsi="FoundrySterling-Book" w:cs="FoundrySterling-Book"/>
          <w:b/>
          <w:szCs w:val="24"/>
          <w:lang w:val="en-GB" w:bidi="en-GB"/>
        </w:rPr>
        <w:tab/>
      </w:r>
      <w:r w:rsidR="00675301">
        <w:rPr>
          <w:rFonts w:ascii="FoundrySterling-Book" w:eastAsia="FoundrySterling-Book" w:hAnsi="FoundrySterling-Book" w:cs="FoundrySterling-Book"/>
          <w:b/>
          <w:szCs w:val="24"/>
          <w:lang w:val="en-GB" w:bidi="en-GB"/>
        </w:rPr>
        <w:tab/>
      </w:r>
    </w:p>
    <w:p w:rsidR="00B13033" w:rsidRPr="002F01F3" w:rsidRDefault="000A538F" w:rsidP="00DE7695">
      <w:pPr>
        <w:rPr>
          <w:rFonts w:ascii="FoundrySterling-Book" w:hAnsi="FoundrySterling-Book"/>
          <w:b/>
          <w:szCs w:val="24"/>
        </w:rPr>
      </w:pPr>
      <w:r>
        <w:rPr>
          <w:rFonts w:ascii="FoundrySterling-Book" w:eastAsia="FoundrySterling-Book" w:hAnsi="FoundrySterling-Book" w:cs="FoundrySterling-Book"/>
          <w:b/>
          <w:szCs w:val="24"/>
          <w:lang w:val="en-GB" w:bidi="en-GB"/>
        </w:rPr>
        <w:t xml:space="preserve">Financial statements </w:t>
      </w:r>
      <w:r w:rsidRPr="002F01F3">
        <w:rPr>
          <w:rFonts w:ascii="FoundrySterling-Book" w:eastAsia="FoundrySterling-Book" w:hAnsi="FoundrySterling-Book" w:cs="FoundrySterling-Book"/>
          <w:b/>
          <w:szCs w:val="24"/>
          <w:lang w:val="en-GB" w:bidi="en-GB"/>
        </w:rPr>
        <w:t>release, Jan–Dec 2017: Profitability improves, higher export net sales, parent company’s equity less than half of share capital</w:t>
      </w:r>
    </w:p>
    <w:p w:rsidR="00675301" w:rsidRPr="00D93EC1" w:rsidRDefault="000A538F" w:rsidP="00EE64C7">
      <w:pPr>
        <w:outlineLvl w:val="0"/>
        <w:rPr>
          <w:rFonts w:ascii="FoundrySterling-Book" w:hAnsi="FoundrySterling-Book"/>
          <w:b/>
          <w:szCs w:val="24"/>
        </w:rPr>
      </w:pPr>
      <w:r w:rsidRPr="002F01F3">
        <w:rPr>
          <w:rFonts w:ascii="FoundrySterling-Book" w:eastAsia="FoundrySterling-Book" w:hAnsi="FoundrySterling-Book" w:cs="FoundrySterling-Book"/>
          <w:b/>
          <w:szCs w:val="24"/>
          <w:lang w:val="en-GB" w:bidi="en-GB"/>
        </w:rPr>
        <w:t>9 February 2018 at 1 p.m.</w:t>
      </w:r>
    </w:p>
    <w:p w:rsidR="00675301" w:rsidRPr="00D93EC1" w:rsidRDefault="00675301" w:rsidP="00EE64C7">
      <w:pPr>
        <w:outlineLvl w:val="0"/>
        <w:rPr>
          <w:rFonts w:ascii="FoundrySterling-Book" w:hAnsi="FoundrySterling-Book"/>
          <w:szCs w:val="24"/>
        </w:rPr>
      </w:pPr>
    </w:p>
    <w:p w:rsidR="00675301" w:rsidRPr="00D93EC1" w:rsidRDefault="00675301" w:rsidP="00EE64C7">
      <w:pPr>
        <w:rPr>
          <w:rFonts w:ascii="FoundrySterling-Book" w:hAnsi="FoundrySterling-Book"/>
          <w:szCs w:val="24"/>
        </w:rPr>
      </w:pPr>
      <w:r w:rsidRPr="00D93EC1">
        <w:rPr>
          <w:rFonts w:ascii="FoundrySterling-Book" w:eastAsia="FoundrySterling-Book" w:hAnsi="FoundrySterling-Book" w:cs="FoundrySterling-Book"/>
          <w:szCs w:val="24"/>
          <w:lang w:val="en-GB" w:bidi="en-GB"/>
        </w:rPr>
        <w:t xml:space="preserve">- The Tulikivi Group’s fourth-quarter net sales totalled EUR 8.6 million (EUR 8.5 million Q4/2016), the fourth-quarter operating result was EUR 0.0 (-0.1) million and the profit before taxes was EUR -0.2 (-0.3) million. </w:t>
      </w:r>
    </w:p>
    <w:p w:rsidR="00B73F2C" w:rsidRPr="00D93EC1" w:rsidRDefault="00B73F2C" w:rsidP="00B73F2C">
      <w:pPr>
        <w:rPr>
          <w:rFonts w:ascii="FoundrySterling-Book" w:hAnsi="FoundrySterling-Book"/>
          <w:szCs w:val="24"/>
        </w:rPr>
      </w:pPr>
      <w:r w:rsidRPr="00D93EC1">
        <w:rPr>
          <w:rFonts w:ascii="FoundrySterling-Book" w:eastAsia="FoundrySterling-Book" w:hAnsi="FoundrySterling-Book" w:cs="FoundrySterling-Book"/>
          <w:szCs w:val="24"/>
          <w:lang w:val="en-GB" w:bidi="en-GB"/>
        </w:rPr>
        <w:t xml:space="preserve">- The 2017 net sales of the Tulikivi Group were EUR 29.3 million (EUR 30.5 million Jan-Dec/2016), the operating result </w:t>
      </w:r>
    </w:p>
    <w:p w:rsidR="00B73F2C" w:rsidRPr="00D93EC1" w:rsidRDefault="00AA539E" w:rsidP="00B73F2C">
      <w:pPr>
        <w:rPr>
          <w:rFonts w:ascii="FoundrySterling-Book" w:hAnsi="FoundrySterling-Book"/>
          <w:szCs w:val="24"/>
        </w:rPr>
      </w:pPr>
      <w:r>
        <w:rPr>
          <w:rFonts w:ascii="FoundrySterling-Book" w:eastAsia="FoundrySterling-Book" w:hAnsi="FoundrySterling-Book" w:cs="FoundrySterling-Book"/>
          <w:szCs w:val="24"/>
          <w:lang w:val="en-GB" w:bidi="en-GB"/>
        </w:rPr>
        <w:t xml:space="preserve">was EUR -0.4 (-1.4) million and the result before taxes was EUR -1.2 (-2.1) million. </w:t>
      </w:r>
    </w:p>
    <w:p w:rsidR="00675301" w:rsidRPr="00D93EC1" w:rsidRDefault="00675301" w:rsidP="00EE64C7">
      <w:pPr>
        <w:rPr>
          <w:rFonts w:ascii="FoundrySterling-Book" w:hAnsi="FoundrySterling-Book"/>
          <w:szCs w:val="24"/>
        </w:rPr>
      </w:pPr>
      <w:r w:rsidRPr="00D93EC1">
        <w:rPr>
          <w:rFonts w:ascii="FoundrySterling-Book" w:eastAsia="FoundrySterling-Book" w:hAnsi="FoundrySterling-Book" w:cs="FoundrySterling-Book"/>
          <w:szCs w:val="24"/>
          <w:lang w:val="en-GB" w:bidi="en-GB"/>
        </w:rPr>
        <w:t>- Net cash flow from operating activities was EUR 0.9 (2.1) million in the fourth quarter and EUR 1.9 (2.0) million in the review period.</w:t>
      </w:r>
    </w:p>
    <w:p w:rsidR="003B443E" w:rsidRPr="00D93EC1" w:rsidRDefault="00675301" w:rsidP="00EE64C7">
      <w:pPr>
        <w:rPr>
          <w:rFonts w:ascii="FoundrySterling-Book" w:hAnsi="FoundrySterling-Book"/>
          <w:szCs w:val="24"/>
        </w:rPr>
      </w:pPr>
      <w:r w:rsidRPr="00D93EC1">
        <w:rPr>
          <w:rFonts w:ascii="FoundrySterling-Book" w:eastAsia="FoundrySterling-Book" w:hAnsi="FoundrySterling-Book" w:cs="FoundrySterling-Book"/>
          <w:szCs w:val="24"/>
          <w:lang w:val="en-GB" w:bidi="en-GB"/>
        </w:rPr>
        <w:t>- The year-end order books stood at EUR 2.9 (3.2) million.</w:t>
      </w:r>
    </w:p>
    <w:p w:rsidR="00125271" w:rsidRDefault="00003620" w:rsidP="0080316A">
      <w:pPr>
        <w:pStyle w:val="HTML-esimuotoiltu"/>
        <w:rPr>
          <w:rFonts w:ascii="FoundrySterling-Book" w:hAnsi="FoundrySterling-Book" w:cs="Courier New"/>
          <w:sz w:val="24"/>
          <w:szCs w:val="24"/>
        </w:rPr>
      </w:pPr>
      <w:r w:rsidRPr="00D93EC1">
        <w:rPr>
          <w:rFonts w:ascii="FoundrySterling-Book" w:eastAsia="FoundrySterling-Book" w:hAnsi="FoundrySterling-Book" w:cs="Courier New"/>
          <w:sz w:val="24"/>
          <w:szCs w:val="24"/>
          <w:lang w:val="en-GB" w:bidi="en-GB"/>
        </w:rPr>
        <w:t>- Sales of the new Karelia fire place collection are developing well both in exports and domestically</w:t>
      </w:r>
    </w:p>
    <w:p w:rsidR="005D7913" w:rsidRPr="002F01F3" w:rsidRDefault="005D7913" w:rsidP="0080316A">
      <w:pPr>
        <w:pStyle w:val="HTML-esimuotoiltu"/>
        <w:rPr>
          <w:rFonts w:ascii="FoundrySterling-Book" w:hAnsi="FoundrySterling-Book" w:cs="Courier New"/>
          <w:sz w:val="24"/>
          <w:szCs w:val="24"/>
        </w:rPr>
      </w:pPr>
      <w:r w:rsidRPr="002F01F3">
        <w:rPr>
          <w:rFonts w:ascii="FoundrySterling-Book" w:eastAsia="FoundrySterling-Book" w:hAnsi="FoundrySterling-Book" w:cs="Courier New"/>
          <w:sz w:val="24"/>
          <w:szCs w:val="24"/>
          <w:lang w:val="en-GB" w:bidi="en-GB"/>
        </w:rPr>
        <w:t>- The parent company’s equity was EUR 2.4 million in the financial statements, while share capital is EUR 6.3 million, which means that parent company equity is less than 50% of share capital. The matter will be considered at the Annual General Meeting.</w:t>
      </w:r>
    </w:p>
    <w:p w:rsidR="00675301" w:rsidRPr="00D416FF" w:rsidRDefault="00675301" w:rsidP="0080316A">
      <w:pPr>
        <w:pStyle w:val="HTML-esimuotoiltu"/>
        <w:rPr>
          <w:rFonts w:ascii="FoundrySterling-Book" w:hAnsi="FoundrySterling-Book" w:cs="FoundrySterling-Book"/>
          <w:sz w:val="24"/>
          <w:szCs w:val="24"/>
          <w:lang w:eastAsia="en-US"/>
        </w:rPr>
      </w:pPr>
      <w:r w:rsidRPr="002F01F3">
        <w:rPr>
          <w:rFonts w:ascii="FoundrySterling-Book" w:eastAsia="FoundrySterling-Book" w:hAnsi="FoundrySterling-Book" w:cs="Courier New"/>
          <w:sz w:val="24"/>
          <w:szCs w:val="24"/>
          <w:lang w:val="en-GB" w:bidi="en-GB"/>
        </w:rPr>
        <w:t xml:space="preserve">- </w:t>
      </w:r>
      <w:proofErr w:type="gramStart"/>
      <w:r w:rsidRPr="002F01F3">
        <w:rPr>
          <w:rFonts w:ascii="FoundrySterling-Book" w:eastAsia="FoundrySterling-Book" w:hAnsi="FoundrySterling-Book" w:cs="Courier New"/>
          <w:sz w:val="24"/>
          <w:szCs w:val="24"/>
          <w:lang w:val="en-GB" w:bidi="en-GB"/>
        </w:rPr>
        <w:t>Future outlook</w:t>
      </w:r>
      <w:proofErr w:type="gramEnd"/>
      <w:r w:rsidRPr="002F01F3">
        <w:rPr>
          <w:rFonts w:ascii="FoundrySterling-Book" w:eastAsia="FoundrySterling-Book" w:hAnsi="FoundrySterling-Book" w:cs="Courier New"/>
          <w:sz w:val="24"/>
          <w:szCs w:val="24"/>
          <w:lang w:val="en-GB" w:bidi="en-GB"/>
        </w:rPr>
        <w:t xml:space="preserve">: </w:t>
      </w:r>
      <w:r w:rsidR="00C90B94" w:rsidRPr="002F01F3">
        <w:rPr>
          <w:rFonts w:ascii="FoundrySterling-Book" w:eastAsia="FoundrySterling-Book" w:hAnsi="FoundrySterling-Book" w:cs="Courier New"/>
          <w:sz w:val="24"/>
          <w:szCs w:val="24"/>
          <w:lang w:val="en-GB" w:bidi="en-GB"/>
        </w:rPr>
        <w:t>Net sales are expected to increase in 2018, and the operating profit is expected to be positive.</w:t>
      </w:r>
    </w:p>
    <w:bookmarkEnd w:id="0"/>
    <w:p w:rsidR="00F063E9" w:rsidRDefault="00F063E9" w:rsidP="00535890">
      <w:pPr>
        <w:autoSpaceDE w:val="0"/>
        <w:autoSpaceDN w:val="0"/>
        <w:adjustRightInd w:val="0"/>
        <w:rPr>
          <w:rFonts w:ascii="FoundrySterling-Book" w:hAnsi="FoundrySterling-Book" w:cs="Helv"/>
          <w:szCs w:val="24"/>
        </w:rPr>
      </w:pPr>
    </w:p>
    <w:p w:rsidR="00B9077E" w:rsidRDefault="00B9077E" w:rsidP="00535890">
      <w:pPr>
        <w:autoSpaceDE w:val="0"/>
        <w:autoSpaceDN w:val="0"/>
        <w:adjustRightInd w:val="0"/>
        <w:rPr>
          <w:rFonts w:ascii="FoundrySterling-Book" w:hAnsi="FoundrySterling-Book" w:cs="Helv"/>
          <w:szCs w:val="24"/>
        </w:rPr>
      </w:pPr>
    </w:p>
    <w:p w:rsidR="00A96521" w:rsidRDefault="00B9077E" w:rsidP="00535890">
      <w:pPr>
        <w:autoSpaceDE w:val="0"/>
        <w:autoSpaceDN w:val="0"/>
        <w:adjustRightInd w:val="0"/>
        <w:rPr>
          <w:rFonts w:ascii="FoundrySterling-Book" w:hAnsi="FoundrySterling-Book" w:cs="Helv"/>
          <w:szCs w:val="24"/>
        </w:rPr>
      </w:pPr>
      <w:r w:rsidRPr="00B9077E">
        <w:drawing>
          <wp:inline distT="0" distB="0" distL="0" distR="0" wp14:anchorId="152EFAB6" wp14:editId="1E899939">
            <wp:extent cx="6120130" cy="1462405"/>
            <wp:effectExtent l="0" t="0" r="0" b="444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1462405"/>
                    </a:xfrm>
                    <a:prstGeom prst="rect">
                      <a:avLst/>
                    </a:prstGeom>
                  </pic:spPr>
                </pic:pic>
              </a:graphicData>
            </a:graphic>
          </wp:inline>
        </w:drawing>
      </w:r>
    </w:p>
    <w:p w:rsidR="00A7433E" w:rsidRDefault="00A7433E" w:rsidP="00535890">
      <w:pPr>
        <w:autoSpaceDE w:val="0"/>
        <w:autoSpaceDN w:val="0"/>
        <w:adjustRightInd w:val="0"/>
        <w:rPr>
          <w:rFonts w:ascii="FoundrySterling-Book" w:hAnsi="FoundrySterling-Book" w:cs="Helv"/>
          <w:szCs w:val="24"/>
        </w:rPr>
      </w:pPr>
    </w:p>
    <w:p w:rsidR="00A96521" w:rsidRDefault="00A96521" w:rsidP="00535890">
      <w:pPr>
        <w:autoSpaceDE w:val="0"/>
        <w:autoSpaceDN w:val="0"/>
        <w:adjustRightInd w:val="0"/>
        <w:rPr>
          <w:rFonts w:ascii="FoundrySterling-Book" w:hAnsi="FoundrySterling-Book" w:cs="Helv"/>
          <w:szCs w:val="24"/>
        </w:rPr>
      </w:pPr>
    </w:p>
    <w:p w:rsidR="00A7433E" w:rsidRDefault="00A7433E" w:rsidP="00EE64C7">
      <w:pPr>
        <w:rPr>
          <w:rFonts w:ascii="FoundrySterling-Book" w:hAnsi="FoundrySterling-Book" w:cs="Courier New"/>
          <w:b/>
          <w:szCs w:val="24"/>
        </w:rPr>
      </w:pPr>
    </w:p>
    <w:p w:rsidR="00675301" w:rsidRPr="00734D35" w:rsidRDefault="00675301" w:rsidP="00EE64C7">
      <w:pPr>
        <w:rPr>
          <w:rFonts w:ascii="FoundrySterling-Book" w:hAnsi="FoundrySterling-Book" w:cs="Courier New"/>
          <w:b/>
          <w:color w:val="000000"/>
          <w:szCs w:val="24"/>
        </w:rPr>
      </w:pPr>
      <w:r w:rsidRPr="00734D35">
        <w:rPr>
          <w:rFonts w:ascii="FoundrySterling-Book" w:eastAsia="FoundrySterling-Book" w:hAnsi="FoundrySterling-Book" w:cs="Courier New"/>
          <w:b/>
          <w:szCs w:val="24"/>
          <w:lang w:val="en-GB" w:bidi="en-GB"/>
        </w:rPr>
        <w:t>Comments by Heikki Vauhkonen, Managing Director:</w:t>
      </w:r>
    </w:p>
    <w:p w:rsidR="006C6102" w:rsidRDefault="006C6102" w:rsidP="00E82B3E">
      <w:pPr>
        <w:autoSpaceDE w:val="0"/>
        <w:autoSpaceDN w:val="0"/>
        <w:spacing w:after="240"/>
        <w:rPr>
          <w:rFonts w:ascii="FoundrySterling-Book" w:hAnsi="FoundrySterling-Book"/>
          <w:highlight w:val="yellow"/>
        </w:rPr>
      </w:pPr>
      <w:bookmarkStart w:id="1" w:name="_Hlk480747137"/>
    </w:p>
    <w:p w:rsidR="00F12A10" w:rsidRPr="001B28B5" w:rsidRDefault="00BC0378" w:rsidP="00285272">
      <w:pPr>
        <w:autoSpaceDE w:val="0"/>
        <w:autoSpaceDN w:val="0"/>
        <w:spacing w:after="240"/>
        <w:rPr>
          <w:rFonts w:ascii="FoundrySterling-Book" w:hAnsi="FoundrySterling-Book"/>
        </w:rPr>
      </w:pPr>
      <w:r w:rsidRPr="001B28B5">
        <w:rPr>
          <w:rFonts w:ascii="FoundrySterling-Book" w:eastAsia="FoundrySterling-Book" w:hAnsi="FoundrySterling-Book" w:cs="FoundrySterling-Book"/>
          <w:lang w:val="en-GB" w:bidi="en-GB"/>
        </w:rPr>
        <w:t>Export sales of Tulikivi products continued to increase in the final quarter of 2017. In Central Europe, the new Karelia collection has substantially increased dealers’ and consumers' interest towards Tulikivi products. The sales outlook for early 2018 is better than a year ago in all the main export markets thanks to the Karelia collection.</w:t>
      </w:r>
    </w:p>
    <w:p w:rsidR="00F12A10" w:rsidRPr="002F01F3" w:rsidRDefault="00F12A10" w:rsidP="00285272">
      <w:pPr>
        <w:autoSpaceDE w:val="0"/>
        <w:autoSpaceDN w:val="0"/>
        <w:spacing w:after="240"/>
        <w:rPr>
          <w:rFonts w:ascii="FoundrySterling-Book" w:hAnsi="FoundrySterling-Book"/>
        </w:rPr>
      </w:pPr>
      <w:r w:rsidRPr="002F01F3">
        <w:rPr>
          <w:rFonts w:ascii="FoundrySterling-Book" w:eastAsia="FoundrySterling-Book" w:hAnsi="FoundrySterling-Book" w:cs="FoundrySterling-Book"/>
          <w:lang w:val="en-GB" w:bidi="en-GB"/>
        </w:rPr>
        <w:lastRenderedPageBreak/>
        <w:t xml:space="preserve">The new </w:t>
      </w:r>
      <w:proofErr w:type="spellStart"/>
      <w:r w:rsidRPr="002F01F3">
        <w:rPr>
          <w:rFonts w:ascii="FoundrySterling-Book" w:eastAsia="FoundrySterling-Book" w:hAnsi="FoundrySterling-Book" w:cs="FoundrySterling-Book"/>
          <w:lang w:val="en-GB" w:bidi="en-GB"/>
        </w:rPr>
        <w:t>Pielinen</w:t>
      </w:r>
      <w:proofErr w:type="spellEnd"/>
      <w:r w:rsidRPr="002F01F3">
        <w:rPr>
          <w:rFonts w:ascii="FoundrySterling-Book" w:eastAsia="FoundrySterling-Book" w:hAnsi="FoundrySterling-Book" w:cs="FoundrySterling-Book"/>
          <w:lang w:val="en-GB" w:bidi="en-GB"/>
        </w:rPr>
        <w:t xml:space="preserve"> collection, launched in October, has also received a good welcome. The products in the collection are </w:t>
      </w:r>
      <w:r w:rsidR="00CB3338" w:rsidRPr="002F01F3">
        <w:rPr>
          <w:rFonts w:ascii="FoundrySterling-Book" w:eastAsia="FoundrySterling-Book" w:hAnsi="FoundrySterling-Book" w:cs="FoundrySterling-Book"/>
          <w:lang w:val="en-GB" w:bidi="en-GB"/>
        </w:rPr>
        <w:t xml:space="preserve">also </w:t>
      </w:r>
      <w:r w:rsidRPr="002F01F3">
        <w:rPr>
          <w:rFonts w:ascii="FoundrySterling-Book" w:eastAsia="FoundrySterling-Book" w:hAnsi="FoundrySterling-Book" w:cs="FoundrySterling-Book"/>
          <w:lang w:val="en-GB" w:bidi="en-GB"/>
        </w:rPr>
        <w:t xml:space="preserve">modern Scandinavian design with a new technique for soapstone surface finish. The </w:t>
      </w:r>
      <w:proofErr w:type="spellStart"/>
      <w:r w:rsidRPr="002F01F3">
        <w:rPr>
          <w:rFonts w:ascii="FoundrySterling-Book" w:eastAsia="FoundrySterling-Book" w:hAnsi="FoundrySterling-Book" w:cs="FoundrySterling-Book"/>
          <w:lang w:val="en-GB" w:bidi="en-GB"/>
        </w:rPr>
        <w:t>Pielinen</w:t>
      </w:r>
      <w:proofErr w:type="spellEnd"/>
      <w:r w:rsidRPr="002F01F3">
        <w:rPr>
          <w:rFonts w:ascii="FoundrySterling-Book" w:eastAsia="FoundrySterling-Book" w:hAnsi="FoundrySterling-Book" w:cs="FoundrySterling-Book"/>
          <w:lang w:val="en-GB" w:bidi="en-GB"/>
        </w:rPr>
        <w:t xml:space="preserve"> products are compact and easy to install. They are especially well suited for the Central European market as well as markets where there is no expertise in installing heat-retaining fireplaces.</w:t>
      </w:r>
      <w:r w:rsidR="00C44A35" w:rsidRPr="002F01F3">
        <w:rPr>
          <w:rFonts w:ascii="FoundrySterling-Book" w:eastAsia="FoundrySterling-Book" w:hAnsi="FoundrySterling-Book" w:cs="FoundrySterling-Book"/>
          <w:lang w:val="en-GB" w:bidi="en-GB"/>
        </w:rPr>
        <w:t xml:space="preserve"> </w:t>
      </w:r>
      <w:r w:rsidRPr="002F01F3">
        <w:rPr>
          <w:rFonts w:ascii="FoundrySterling-Book" w:eastAsia="FoundrySterling-Book" w:hAnsi="FoundrySterling-Book" w:cs="FoundrySterling-Book"/>
          <w:lang w:val="en-GB" w:bidi="en-GB"/>
        </w:rPr>
        <w:t xml:space="preserve"> </w:t>
      </w:r>
    </w:p>
    <w:p w:rsidR="00675F06" w:rsidRPr="001B28B5" w:rsidRDefault="00EB6855" w:rsidP="00675F06">
      <w:pPr>
        <w:autoSpaceDE w:val="0"/>
        <w:autoSpaceDN w:val="0"/>
        <w:spacing w:after="240"/>
        <w:rPr>
          <w:rFonts w:ascii="FoundrySterling-Book" w:hAnsi="FoundrySterling-Book"/>
        </w:rPr>
      </w:pPr>
      <w:r w:rsidRPr="002F01F3">
        <w:rPr>
          <w:rFonts w:ascii="FoundrySterling-Book" w:eastAsia="FoundrySterling-Book" w:hAnsi="FoundrySterling-Book" w:cs="FoundrySterling-Book"/>
          <w:lang w:val="en-GB" w:bidi="en-GB"/>
        </w:rPr>
        <w:t>The order intake and net sales from Russia, our largest export country, increases thanks to active development</w:t>
      </w:r>
      <w:r w:rsidRPr="001B28B5">
        <w:rPr>
          <w:rFonts w:ascii="FoundrySterling-Book" w:eastAsia="FoundrySterling-Book" w:hAnsi="FoundrySterling-Book" w:cs="FoundrySterling-Book"/>
          <w:lang w:val="en-GB" w:bidi="en-GB"/>
        </w:rPr>
        <w:t xml:space="preserve"> of distribution channels and market environment that was more positive than in 2016.</w:t>
      </w:r>
    </w:p>
    <w:p w:rsidR="004F2EBC" w:rsidRPr="001B28B5" w:rsidRDefault="004F2EBC" w:rsidP="004F2EBC">
      <w:pPr>
        <w:autoSpaceDE w:val="0"/>
        <w:autoSpaceDN w:val="0"/>
        <w:spacing w:after="240"/>
        <w:rPr>
          <w:rFonts w:ascii="FoundrySterling-Book" w:hAnsi="FoundrySterling-Book"/>
        </w:rPr>
      </w:pPr>
      <w:r w:rsidRPr="001B28B5">
        <w:rPr>
          <w:rFonts w:ascii="FoundrySterling-Book" w:eastAsia="FoundrySterling-Book" w:hAnsi="FoundrySterling-Book" w:cs="FoundrySterling-Book"/>
          <w:lang w:val="en-GB" w:bidi="en-GB"/>
        </w:rPr>
        <w:t xml:space="preserve">In Finland the increase in sales of fireplaces to customers building new homes slowed down after the first half of the year but was nevertheless positive overall. Domestic sales decreases in the renovation market and as a result, the Finnish distribution channel was renewed. The goal is to increase the number of active service points. </w:t>
      </w:r>
    </w:p>
    <w:p w:rsidR="002B7C4D" w:rsidRPr="001B28B5" w:rsidRDefault="000824C1" w:rsidP="002B7C4D">
      <w:pPr>
        <w:autoSpaceDE w:val="0"/>
        <w:autoSpaceDN w:val="0"/>
        <w:spacing w:after="240"/>
        <w:rPr>
          <w:rFonts w:ascii="FoundrySterling-Book" w:hAnsi="FoundrySterling-Book" w:cs="FoundrySterling-Book"/>
          <w:szCs w:val="24"/>
        </w:rPr>
      </w:pPr>
      <w:r w:rsidRPr="001B28B5">
        <w:rPr>
          <w:rFonts w:ascii="FoundrySterling-Book" w:eastAsia="FoundrySterling-Book" w:hAnsi="FoundrySterling-Book" w:cs="FoundrySterling-Book"/>
          <w:color w:val="000000"/>
          <w:szCs w:val="24"/>
          <w:lang w:val="en-GB" w:bidi="en-GB"/>
        </w:rPr>
        <w:t>In the fourth quarter, the company’s order intake was EUR 8.3 (8.4) million. Order intake for fireplaces and saunas increased. Order intake of stove liner stones and interior stone products, and fireplaces in Finland, declined.</w:t>
      </w:r>
    </w:p>
    <w:p w:rsidR="0024094D" w:rsidRPr="001B28B5" w:rsidRDefault="000824C1" w:rsidP="00917A13">
      <w:pPr>
        <w:autoSpaceDE w:val="0"/>
        <w:autoSpaceDN w:val="0"/>
        <w:spacing w:after="240"/>
        <w:rPr>
          <w:rFonts w:ascii="FoundrySterling-Book" w:hAnsi="FoundrySterling-Book"/>
        </w:rPr>
      </w:pPr>
      <w:r w:rsidRPr="001B28B5">
        <w:rPr>
          <w:rFonts w:ascii="FoundrySterling-Book" w:eastAsia="FoundrySterling-Book" w:hAnsi="FoundrySterling-Book" w:cs="FoundrySterling-Book"/>
          <w:color w:val="000000"/>
          <w:szCs w:val="24"/>
          <w:lang w:val="en-GB" w:bidi="en-GB"/>
        </w:rPr>
        <w:t xml:space="preserve">The company’s order books at the end of the year amounted to EUR 2.9 (3.2) million. </w:t>
      </w:r>
    </w:p>
    <w:p w:rsidR="00917A13" w:rsidRPr="001B28B5" w:rsidRDefault="000824C1" w:rsidP="0024094D">
      <w:pPr>
        <w:rPr>
          <w:rFonts w:ascii="FoundrySterling-Book" w:hAnsi="FoundrySterling-Book"/>
        </w:rPr>
      </w:pPr>
      <w:r w:rsidRPr="001B28B5">
        <w:rPr>
          <w:rFonts w:ascii="FoundrySterling-Book" w:eastAsia="FoundrySterling-Book" w:hAnsi="FoundrySterling-Book" w:cs="FoundrySterling-Book"/>
          <w:lang w:val="en-GB" w:bidi="en-GB"/>
        </w:rPr>
        <w:t xml:space="preserve">In addition to efficiency measures, the focus of demand on the new Karelia collection has improved profitability. Due to improved productivity, decreased fixed costs and lower depreciation, the company’s operating result for the review period improved by EUR 1.0 million compared to the previous year. </w:t>
      </w:r>
    </w:p>
    <w:p w:rsidR="00917A13" w:rsidRPr="001B28B5" w:rsidRDefault="00917A13" w:rsidP="0024094D">
      <w:pPr>
        <w:rPr>
          <w:rFonts w:ascii="FoundrySterling-Book" w:hAnsi="FoundrySterling-Book"/>
        </w:rPr>
      </w:pPr>
    </w:p>
    <w:p w:rsidR="001C6A73" w:rsidRPr="002F01F3" w:rsidRDefault="00287FF0" w:rsidP="0024094D">
      <w:pPr>
        <w:rPr>
          <w:rFonts w:ascii="FoundrySterling-Book" w:hAnsi="FoundrySterling-Book"/>
        </w:rPr>
      </w:pPr>
      <w:r w:rsidRPr="002F01F3">
        <w:rPr>
          <w:rFonts w:ascii="FoundrySterling-Book" w:eastAsia="FoundrySterling-Book" w:hAnsi="FoundrySterling-Book" w:cs="FoundrySterling-Book"/>
          <w:lang w:val="en-GB" w:bidi="en-GB"/>
        </w:rPr>
        <w:t xml:space="preserve">The new Karelia fireplace collection has been very well received in Finland and abroad. </w:t>
      </w:r>
      <w:r w:rsidR="001C6A73" w:rsidRPr="002F01F3">
        <w:rPr>
          <w:rFonts w:ascii="FoundrySterling-Book" w:eastAsia="FoundrySterling-Book" w:hAnsi="FoundrySterling-Book" w:cs="FoundrySterling-Book"/>
          <w:lang w:val="en-GB" w:bidi="en-GB"/>
        </w:rPr>
        <w:t xml:space="preserve">The significantly improved confidence of Finnish consumers is expected to increase small house construction. </w:t>
      </w:r>
      <w:r w:rsidRPr="002F01F3">
        <w:rPr>
          <w:rFonts w:ascii="FoundrySterling-Book" w:eastAsia="FoundrySterling-Book" w:hAnsi="FoundrySterling-Book" w:cs="FoundrySterling-Book"/>
          <w:lang w:val="en-GB" w:bidi="en-GB"/>
        </w:rPr>
        <w:t>We are continuing our efforts to enhance sales efficiency to increase renovation sales.</w:t>
      </w:r>
    </w:p>
    <w:p w:rsidR="001C6A73" w:rsidRPr="002F01F3" w:rsidRDefault="001C6A73" w:rsidP="0024094D">
      <w:pPr>
        <w:rPr>
          <w:rFonts w:ascii="FoundrySterling-Book" w:hAnsi="FoundrySterling-Book"/>
        </w:rPr>
      </w:pPr>
    </w:p>
    <w:p w:rsidR="006B5AF9" w:rsidRPr="002F01F3" w:rsidRDefault="006B5AF9" w:rsidP="006B5AF9">
      <w:pPr>
        <w:rPr>
          <w:rFonts w:ascii="FoundrySterling-Book" w:hAnsi="FoundrySterling-Book"/>
        </w:rPr>
      </w:pPr>
      <w:r w:rsidRPr="002F01F3">
        <w:rPr>
          <w:rFonts w:ascii="FoundrySterling-Book" w:eastAsia="FoundrySterling-Book" w:hAnsi="FoundrySterling-Book" w:cs="FoundrySterling-Book"/>
          <w:lang w:val="en-GB" w:bidi="en-GB"/>
        </w:rPr>
        <w:t xml:space="preserve">The highly successful development work of the Karelia and </w:t>
      </w:r>
      <w:proofErr w:type="spellStart"/>
      <w:r w:rsidRPr="002F01F3">
        <w:rPr>
          <w:rFonts w:ascii="FoundrySterling-Book" w:eastAsia="FoundrySterling-Book" w:hAnsi="FoundrySterling-Book" w:cs="FoundrySterling-Book"/>
          <w:lang w:val="en-GB" w:bidi="en-GB"/>
        </w:rPr>
        <w:t>Pielinen</w:t>
      </w:r>
      <w:proofErr w:type="spellEnd"/>
      <w:r w:rsidRPr="002F01F3">
        <w:rPr>
          <w:rFonts w:ascii="FoundrySterling-Book" w:eastAsia="FoundrySterling-Book" w:hAnsi="FoundrySterling-Book" w:cs="FoundrySterling-Book"/>
          <w:lang w:val="en-GB" w:bidi="en-GB"/>
        </w:rPr>
        <w:t xml:space="preserve"> collections provides an opportunity to increase net sales and profitability in 2018 in both Finland and exports.</w:t>
      </w:r>
    </w:p>
    <w:p w:rsidR="006B5AF9" w:rsidRPr="002F01F3" w:rsidRDefault="006B5AF9" w:rsidP="0024094D">
      <w:pPr>
        <w:rPr>
          <w:rFonts w:ascii="FoundrySterling-Book" w:hAnsi="FoundrySterling-Book"/>
        </w:rPr>
      </w:pPr>
    </w:p>
    <w:p w:rsidR="002325CB" w:rsidRDefault="002325CB" w:rsidP="0024094D">
      <w:pPr>
        <w:rPr>
          <w:rFonts w:ascii="FoundrySterling-Book" w:hAnsi="FoundrySterling-Book"/>
          <w:highlight w:val="yellow"/>
        </w:rPr>
      </w:pPr>
    </w:p>
    <w:p w:rsidR="0048404F" w:rsidRDefault="0048404F" w:rsidP="0024094D">
      <w:pPr>
        <w:rPr>
          <w:rFonts w:ascii="FoundrySterling-Book" w:hAnsi="FoundrySterling-Book"/>
          <w:highlight w:val="yellow"/>
        </w:rPr>
      </w:pPr>
    </w:p>
    <w:bookmarkEnd w:id="1"/>
    <w:p w:rsidR="00675301" w:rsidRPr="00C03D88" w:rsidRDefault="00B43E19" w:rsidP="00EE64C7">
      <w:pPr>
        <w:outlineLvl w:val="0"/>
        <w:rPr>
          <w:rFonts w:ascii="FoundrySterling-Book" w:hAnsi="FoundrySterling-Book"/>
          <w:b/>
          <w:szCs w:val="24"/>
        </w:rPr>
      </w:pPr>
      <w:r>
        <w:rPr>
          <w:rFonts w:ascii="FoundrySterling-Book" w:eastAsia="FoundrySterling-Book" w:hAnsi="FoundrySterling-Book" w:cs="FoundrySterling-Book"/>
          <w:b/>
          <w:szCs w:val="24"/>
          <w:lang w:val="en-GB" w:bidi="en-GB"/>
        </w:rPr>
        <w:t>Financial statements Jan–Dec 2017</w:t>
      </w:r>
    </w:p>
    <w:p w:rsidR="00675301" w:rsidRPr="00C03D88" w:rsidRDefault="00675301" w:rsidP="00EE64C7">
      <w:pPr>
        <w:outlineLvl w:val="0"/>
        <w:rPr>
          <w:rFonts w:ascii="FoundrySterling-Book" w:hAnsi="FoundrySterling-Book"/>
          <w:b/>
          <w:szCs w:val="24"/>
        </w:rPr>
      </w:pPr>
    </w:p>
    <w:p w:rsidR="00675301" w:rsidRPr="00C03D88" w:rsidRDefault="00675301" w:rsidP="00EE64C7">
      <w:pPr>
        <w:outlineLvl w:val="0"/>
        <w:rPr>
          <w:rFonts w:ascii="FoundrySterling-Book" w:hAnsi="FoundrySterling-Book"/>
          <w:b/>
          <w:szCs w:val="24"/>
        </w:rPr>
      </w:pPr>
      <w:r w:rsidRPr="00C03D88">
        <w:rPr>
          <w:rFonts w:ascii="FoundrySterling-Book" w:eastAsia="FoundrySterling-Book" w:hAnsi="FoundrySterling-Book" w:cs="FoundrySterling-Book"/>
          <w:b/>
          <w:szCs w:val="24"/>
          <w:lang w:val="en-GB" w:bidi="en-GB"/>
        </w:rPr>
        <w:t xml:space="preserve">Operating environment </w:t>
      </w:r>
    </w:p>
    <w:p w:rsidR="00675301" w:rsidRPr="00C03D88" w:rsidRDefault="00675301" w:rsidP="00EE64C7">
      <w:pPr>
        <w:rPr>
          <w:rFonts w:ascii="FoundrySterling-Book" w:hAnsi="FoundrySterling-Book" w:cs="Courier"/>
          <w:color w:val="000000"/>
          <w:szCs w:val="24"/>
        </w:rPr>
      </w:pPr>
    </w:p>
    <w:p w:rsidR="00E3412C" w:rsidRPr="00675F06" w:rsidRDefault="00997780" w:rsidP="00675F06">
      <w:pPr>
        <w:autoSpaceDE w:val="0"/>
        <w:autoSpaceDN w:val="0"/>
        <w:spacing w:after="240"/>
        <w:rPr>
          <w:rFonts w:ascii="FoundrySterling-Book" w:hAnsi="FoundrySterling-Book" w:cs="FoundrySterling-Book"/>
          <w:color w:val="000000"/>
          <w:szCs w:val="24"/>
        </w:rPr>
      </w:pPr>
      <w:r w:rsidRPr="001C6A73">
        <w:rPr>
          <w:rFonts w:ascii="FoundrySterling-Book" w:eastAsia="FoundrySterling-Book" w:hAnsi="FoundrySterling-Book" w:cs="FoundrySterling-Book"/>
          <w:color w:val="000000"/>
          <w:szCs w:val="24"/>
          <w:lang w:val="en-GB" w:bidi="en-GB"/>
        </w:rPr>
        <w:t xml:space="preserve">The recovery of low-rise housing construction and renovation projects, and the improvement in consumer confidence compared with 2016, have energised demand for construction in Finland. Low-rise housing construction has begun to increase in the EU, which will boost the performance </w:t>
      </w:r>
      <w:r w:rsidRPr="001C6A73">
        <w:rPr>
          <w:rFonts w:ascii="FoundrySterling-Book" w:eastAsia="FoundrySterling-Book" w:hAnsi="FoundrySterling-Book" w:cs="FoundrySterling-Book"/>
          <w:color w:val="000000"/>
          <w:szCs w:val="24"/>
          <w:lang w:val="en-GB" w:bidi="en-GB"/>
        </w:rPr>
        <w:lastRenderedPageBreak/>
        <w:t xml:space="preserve">of the fireplace market </w:t>
      </w:r>
      <w:proofErr w:type="gramStart"/>
      <w:r w:rsidRPr="001C6A73">
        <w:rPr>
          <w:rFonts w:ascii="FoundrySterling-Book" w:eastAsia="FoundrySterling-Book" w:hAnsi="FoundrySterling-Book" w:cs="FoundrySterling-Book"/>
          <w:color w:val="000000"/>
          <w:szCs w:val="24"/>
          <w:lang w:val="en-GB" w:bidi="en-GB"/>
        </w:rPr>
        <w:t>in the near future</w:t>
      </w:r>
      <w:proofErr w:type="gramEnd"/>
      <w:r w:rsidRPr="001C6A73">
        <w:rPr>
          <w:rFonts w:ascii="FoundrySterling-Book" w:eastAsia="FoundrySterling-Book" w:hAnsi="FoundrySterling-Book" w:cs="FoundrySterling-Book"/>
          <w:color w:val="000000"/>
          <w:szCs w:val="24"/>
          <w:lang w:val="en-GB" w:bidi="en-GB"/>
        </w:rPr>
        <w:t>.</w:t>
      </w:r>
      <w:r w:rsidR="00C44A35">
        <w:rPr>
          <w:rFonts w:ascii="FoundrySterling-Book" w:eastAsia="FoundrySterling-Book" w:hAnsi="FoundrySterling-Book" w:cs="FoundrySterling-Book"/>
          <w:color w:val="000000"/>
          <w:szCs w:val="24"/>
          <w:lang w:val="en-GB" w:bidi="en-GB"/>
        </w:rPr>
        <w:t xml:space="preserve"> </w:t>
      </w:r>
      <w:r w:rsidRPr="001C6A73">
        <w:rPr>
          <w:rFonts w:ascii="FoundrySterling-Book" w:eastAsia="FoundrySterling-Book" w:hAnsi="FoundrySterling-Book" w:cs="FoundrySterling-Book"/>
          <w:color w:val="000000"/>
          <w:szCs w:val="24"/>
          <w:lang w:val="en-GB" w:bidi="en-GB"/>
        </w:rPr>
        <w:t>In Russia, demand for Tulikivi products is growing but dependent on the exchange rate of the rouble and the performance of the Russian economy.</w:t>
      </w:r>
      <w:r w:rsidR="00C44A35">
        <w:rPr>
          <w:rFonts w:ascii="FoundrySterling-Book" w:eastAsia="FoundrySterling-Book" w:hAnsi="FoundrySterling-Book" w:cs="FoundrySterling-Book"/>
          <w:color w:val="000000"/>
          <w:szCs w:val="24"/>
          <w:lang w:val="en-GB" w:bidi="en-GB"/>
        </w:rPr>
        <w:t xml:space="preserve"> </w:t>
      </w:r>
    </w:p>
    <w:p w:rsidR="00373410" w:rsidRDefault="00373410"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eastAsia="FoundrySterling-Book" w:hAnsi="FoundrySterling-Book" w:cs="FoundrySterling-Book"/>
          <w:b/>
          <w:szCs w:val="24"/>
          <w:lang w:val="en-GB" w:bidi="en-GB"/>
        </w:rPr>
        <w:t>Net sales and result</w:t>
      </w:r>
    </w:p>
    <w:p w:rsidR="00675301" w:rsidRPr="009B45AE" w:rsidRDefault="00675301" w:rsidP="00EE64C7">
      <w:pPr>
        <w:rPr>
          <w:rFonts w:ascii="FoundrySterling-Book" w:hAnsi="FoundrySterling-Book"/>
          <w:szCs w:val="24"/>
        </w:rPr>
      </w:pPr>
    </w:p>
    <w:p w:rsidR="00C5085A" w:rsidRPr="001725EF" w:rsidRDefault="00675301" w:rsidP="00C5085A">
      <w:pPr>
        <w:rPr>
          <w:rFonts w:ascii="FoundrySterling-Book" w:hAnsi="FoundrySterling-Book"/>
        </w:rPr>
      </w:pPr>
      <w:r w:rsidRPr="001725EF">
        <w:rPr>
          <w:rFonts w:ascii="FoundrySterling-Book" w:eastAsia="FoundrySterling-Book" w:hAnsi="FoundrySterling-Book" w:cs="FoundrySterling-Book"/>
          <w:szCs w:val="24"/>
          <w:lang w:val="en-GB" w:bidi="en-GB"/>
        </w:rPr>
        <w:t xml:space="preserve">The Tulikivi Group’s fourth-quarter net sales totalled EUR 8.6 million (EUR 8.5 million for Q4/2016). The operating result was EUR 0.0 (-0.1) million, and the profit before taxes was EUR -0.2 (-0.3) million. </w:t>
      </w:r>
    </w:p>
    <w:p w:rsidR="00335714" w:rsidRDefault="00335714" w:rsidP="00F33FC4">
      <w:pPr>
        <w:rPr>
          <w:rFonts w:ascii="FoundrySterling-Book" w:hAnsi="FoundrySterling-Book"/>
          <w:szCs w:val="24"/>
        </w:rPr>
      </w:pPr>
    </w:p>
    <w:p w:rsidR="0098389C" w:rsidRDefault="008F2D2D" w:rsidP="0098389C">
      <w:pPr>
        <w:rPr>
          <w:rFonts w:ascii="FoundrySterling-Book" w:hAnsi="FoundrySterling-Book"/>
          <w:highlight w:val="yellow"/>
        </w:rPr>
      </w:pPr>
      <w:r w:rsidRPr="00C16F49">
        <w:rPr>
          <w:rFonts w:ascii="FoundrySterling-Book" w:eastAsia="FoundrySterling-Book" w:hAnsi="FoundrySterling-Book" w:cs="FoundrySterling-Book"/>
          <w:szCs w:val="24"/>
          <w:lang w:val="en-GB" w:bidi="en-GB"/>
        </w:rPr>
        <w:t xml:space="preserve">The Tulikivi Group’s net sales in 2017 totalled EUR 29.3 million (EUR 30.5 million in 2016). The operating result was EUR -0.4 (-1.4) million, and the result before taxes was EUR -1.2 (-2.1) million. In addition to efficiency measures, the focus of demand on the new Karelia collection has improved profitability. Due to improved productivity, decreased fixed costs and lower depreciation, the company’s operating result for the review period improved by EUR 1.0 million compared to the previous year. </w:t>
      </w:r>
    </w:p>
    <w:p w:rsidR="00C24C76" w:rsidRPr="00A34A70" w:rsidRDefault="00C24C76" w:rsidP="0098389C">
      <w:pPr>
        <w:rPr>
          <w:rFonts w:ascii="FoundrySterling-Book" w:hAnsi="FoundrySterling-Book"/>
        </w:rPr>
      </w:pPr>
    </w:p>
    <w:p w:rsidR="00A46737" w:rsidRPr="00A34A70" w:rsidRDefault="00CF5ACB" w:rsidP="00A46737">
      <w:pPr>
        <w:autoSpaceDE w:val="0"/>
        <w:autoSpaceDN w:val="0"/>
        <w:spacing w:after="240"/>
        <w:rPr>
          <w:rFonts w:ascii="FoundrySterling-Book" w:hAnsi="FoundrySterling-Book" w:cs="FoundrySterling-Book"/>
          <w:szCs w:val="24"/>
        </w:rPr>
      </w:pPr>
      <w:r w:rsidRPr="00A34A70">
        <w:rPr>
          <w:rFonts w:ascii="FoundrySterling-Book" w:eastAsia="FoundrySterling-Book" w:hAnsi="FoundrySterling-Book" w:cs="FoundrySterling-Book"/>
          <w:color w:val="000000"/>
          <w:szCs w:val="24"/>
          <w:lang w:val="en-GB" w:bidi="en-GB"/>
        </w:rPr>
        <w:t>The company’s order books at the end of the year amounted to EUR 2.9 (3.2) million. In the fourth quarter, the company’s order intake was EUR 8.3 (8.4) million. Order intake for fireplaces and saunas increased. Order intake of stove liner stones and interior stone products, and fireplaces in Finland, declined.</w:t>
      </w:r>
    </w:p>
    <w:p w:rsidR="001B28B5" w:rsidRPr="002F01F3" w:rsidRDefault="00675301" w:rsidP="001B28B5">
      <w:pPr>
        <w:autoSpaceDE w:val="0"/>
        <w:autoSpaceDN w:val="0"/>
        <w:spacing w:after="240"/>
        <w:rPr>
          <w:rFonts w:ascii="FoundrySterling-Book" w:hAnsi="FoundrySterling-Book"/>
        </w:rPr>
      </w:pPr>
      <w:bookmarkStart w:id="2" w:name="_Hlk480824626"/>
      <w:r w:rsidRPr="002F01F3">
        <w:rPr>
          <w:rFonts w:ascii="FoundrySterling-Book" w:eastAsia="FoundrySterling-Book" w:hAnsi="FoundrySterling-Book" w:cs="FoundrySterling-Book"/>
          <w:szCs w:val="24"/>
          <w:lang w:val="en-GB" w:bidi="en-GB"/>
        </w:rPr>
        <w:t xml:space="preserve">Net sales in Finland increased in the financial year and were EUR 13.4 (15.5) million, or 45.6% (50.9%) of total net sales. In Finland the increase in sales of fireplaces to customers building new homes slowed down after the first half of the year but was nevertheless positive overall. </w:t>
      </w:r>
      <w:r w:rsidR="001B28B5" w:rsidRPr="002F01F3">
        <w:rPr>
          <w:rFonts w:ascii="FoundrySterling-Book" w:eastAsia="FoundrySterling-Book" w:hAnsi="FoundrySterling-Book" w:cs="FoundrySterling-Book"/>
          <w:lang w:val="en-GB" w:bidi="en-GB"/>
        </w:rPr>
        <w:t xml:space="preserve">Domestic sales decreased in the renovation market and as a result, the Finnish distribution channel was renewed at the end of 2017. The goal is to increase the number of active service points. </w:t>
      </w:r>
    </w:p>
    <w:p w:rsidR="001B28B5" w:rsidRPr="002F01F3" w:rsidRDefault="00675301" w:rsidP="001B28B5">
      <w:pPr>
        <w:autoSpaceDE w:val="0"/>
        <w:autoSpaceDN w:val="0"/>
        <w:spacing w:after="240"/>
        <w:rPr>
          <w:rFonts w:ascii="FoundrySterling-Book" w:hAnsi="FoundrySterling-Book"/>
        </w:rPr>
      </w:pPr>
      <w:r w:rsidRPr="002F01F3">
        <w:rPr>
          <w:rFonts w:ascii="FoundrySterling-Book" w:eastAsia="FoundrySterling-Book" w:hAnsi="FoundrySterling-Book" w:cs="FoundrySterling-Book"/>
          <w:szCs w:val="24"/>
          <w:lang w:val="en-GB" w:bidi="en-GB"/>
        </w:rPr>
        <w:t>Net sales from exports amounted to EUR 15.9 (15.0) million in the financial year. The principal export countries were Russia, Germany, France, Sweden and Denmark.</w:t>
      </w:r>
      <w:bookmarkStart w:id="3" w:name="_Hlk480747252"/>
      <w:bookmarkEnd w:id="2"/>
      <w:r w:rsidR="001B28B5" w:rsidRPr="002F01F3">
        <w:rPr>
          <w:rFonts w:ascii="FoundrySterling-Book" w:eastAsia="FoundrySterling-Book" w:hAnsi="FoundrySterling-Book" w:cs="FoundrySterling-Book"/>
          <w:lang w:val="en-GB" w:bidi="en-GB"/>
        </w:rPr>
        <w:t xml:space="preserve"> Export sales of Tulikivi products continued to increase in the final quarter of 2017. In Central Europe, the new Karelia collection has substantially increased dealers’ and consumers' interest towards Tulikivi products. The sales outlook for early 2018 is better than a year ago in all the main export markets thanks to the Karelia collection.</w:t>
      </w:r>
    </w:p>
    <w:p w:rsidR="00EB6855" w:rsidRPr="002F01F3" w:rsidRDefault="00EB6855" w:rsidP="00EB6855">
      <w:pPr>
        <w:autoSpaceDE w:val="0"/>
        <w:autoSpaceDN w:val="0"/>
        <w:spacing w:after="240"/>
        <w:rPr>
          <w:rFonts w:ascii="FoundrySterling-Book" w:hAnsi="FoundrySterling-Book"/>
        </w:rPr>
      </w:pPr>
      <w:r w:rsidRPr="002F01F3">
        <w:rPr>
          <w:rFonts w:ascii="FoundrySterling-Book" w:eastAsia="FoundrySterling-Book" w:hAnsi="FoundrySterling-Book" w:cs="FoundrySterling-Book"/>
          <w:lang w:val="en-GB" w:bidi="en-GB"/>
        </w:rPr>
        <w:t>The order intake and net sales from Russia, our largest export country, increases thanks to active development of distribution channels and market environment that was more positive than in 2016.</w:t>
      </w:r>
    </w:p>
    <w:bookmarkEnd w:id="3"/>
    <w:p w:rsidR="001B28B5" w:rsidRPr="009C7576" w:rsidRDefault="001B28B5" w:rsidP="001B28B5">
      <w:pPr>
        <w:rPr>
          <w:rFonts w:ascii="FoundrySterling-Book" w:hAnsi="FoundrySterling-Book"/>
        </w:rPr>
      </w:pPr>
      <w:r w:rsidRPr="002F01F3">
        <w:rPr>
          <w:rFonts w:ascii="FoundrySterling-Book" w:eastAsia="FoundrySterling-Book" w:hAnsi="FoundrySterling-Book" w:cs="FoundrySterling-Book"/>
          <w:lang w:val="en-GB" w:bidi="en-GB"/>
        </w:rPr>
        <w:t>The new Karelia fireplace collection has been very well received in Finland and abroad. The significantly improved confidence of Finnish consumers is expected to increase small house construction. We are continuing our efforts to</w:t>
      </w:r>
      <w:r w:rsidRPr="009C7576">
        <w:rPr>
          <w:rFonts w:ascii="FoundrySterling-Book" w:eastAsia="FoundrySterling-Book" w:hAnsi="FoundrySterling-Book" w:cs="FoundrySterling-Book"/>
          <w:lang w:val="en-GB" w:bidi="en-GB"/>
        </w:rPr>
        <w:t xml:space="preserve"> enhance sales efficiency to increase renovation sales.</w:t>
      </w:r>
    </w:p>
    <w:p w:rsidR="00571B8C" w:rsidRPr="00A34A70" w:rsidRDefault="00571B8C" w:rsidP="00EE64C7">
      <w:pPr>
        <w:outlineLvl w:val="0"/>
        <w:rPr>
          <w:rFonts w:ascii="FoundrySterling-Book" w:hAnsi="FoundrySterling-Book"/>
          <w:b/>
          <w:szCs w:val="24"/>
        </w:rPr>
      </w:pPr>
    </w:p>
    <w:p w:rsidR="00E84F5B" w:rsidRPr="00A34A70" w:rsidRDefault="00E84F5B" w:rsidP="00E84F5B">
      <w:pPr>
        <w:rPr>
          <w:rFonts w:ascii="FoundrySterling-Book" w:hAnsi="FoundrySterling-Book"/>
        </w:rPr>
      </w:pPr>
      <w:r w:rsidRPr="002F01F3">
        <w:rPr>
          <w:rFonts w:ascii="FoundrySterling-Book" w:eastAsia="FoundrySterling-Book" w:hAnsi="FoundrySterling-Book" w:cs="FoundrySterling-Book"/>
          <w:lang w:val="en-GB" w:bidi="en-GB"/>
        </w:rPr>
        <w:t xml:space="preserve">The highly successful development work of the Karelia and </w:t>
      </w:r>
      <w:proofErr w:type="spellStart"/>
      <w:r w:rsidRPr="002F01F3">
        <w:rPr>
          <w:rFonts w:ascii="FoundrySterling-Book" w:eastAsia="FoundrySterling-Book" w:hAnsi="FoundrySterling-Book" w:cs="FoundrySterling-Book"/>
          <w:lang w:val="en-GB" w:bidi="en-GB"/>
        </w:rPr>
        <w:t>Pielinen</w:t>
      </w:r>
      <w:proofErr w:type="spellEnd"/>
      <w:r w:rsidRPr="002F01F3">
        <w:rPr>
          <w:rFonts w:ascii="FoundrySterling-Book" w:eastAsia="FoundrySterling-Book" w:hAnsi="FoundrySterling-Book" w:cs="FoundrySterling-Book"/>
          <w:lang w:val="en-GB" w:bidi="en-GB"/>
        </w:rPr>
        <w:t xml:space="preserve"> collections provides an opportunity to increase net sales and profitability in 2018 in both Finland and exports.</w:t>
      </w:r>
    </w:p>
    <w:p w:rsidR="001C6A73" w:rsidRDefault="001C6A73" w:rsidP="00EE64C7">
      <w:pPr>
        <w:outlineLvl w:val="0"/>
        <w:rPr>
          <w:rFonts w:ascii="FoundrySterling-Book" w:hAnsi="FoundrySterling-Book"/>
          <w:b/>
          <w:szCs w:val="24"/>
        </w:rPr>
      </w:pPr>
    </w:p>
    <w:p w:rsidR="00441BBE" w:rsidRDefault="00441BBE" w:rsidP="00EE64C7">
      <w:pPr>
        <w:outlineLvl w:val="0"/>
        <w:rPr>
          <w:rFonts w:ascii="FoundrySterling-Book" w:hAnsi="FoundrySterling-Book"/>
          <w:b/>
          <w:szCs w:val="24"/>
        </w:rPr>
      </w:pPr>
    </w:p>
    <w:p w:rsidR="00675301" w:rsidRPr="00BC5122" w:rsidRDefault="00675301" w:rsidP="00EE64C7">
      <w:pPr>
        <w:outlineLvl w:val="0"/>
        <w:rPr>
          <w:rFonts w:ascii="FoundrySterling-Book" w:hAnsi="FoundrySterling-Book"/>
          <w:b/>
          <w:szCs w:val="24"/>
        </w:rPr>
      </w:pPr>
      <w:r w:rsidRPr="00A34A70">
        <w:rPr>
          <w:rFonts w:ascii="FoundrySterling-Book" w:eastAsia="FoundrySterling-Book" w:hAnsi="FoundrySterling-Book" w:cs="FoundrySterling-Book"/>
          <w:b/>
          <w:szCs w:val="24"/>
          <w:lang w:val="en-GB" w:bidi="en-GB"/>
        </w:rPr>
        <w:t>Financing</w:t>
      </w:r>
    </w:p>
    <w:p w:rsidR="0094333F" w:rsidRDefault="0094333F" w:rsidP="005D2A83">
      <w:pPr>
        <w:jc w:val="both"/>
        <w:rPr>
          <w:rFonts w:ascii="FoundrySterling-Book" w:hAnsi="FoundrySterling-Book"/>
          <w:szCs w:val="24"/>
        </w:rPr>
      </w:pPr>
    </w:p>
    <w:p w:rsidR="009A68A9" w:rsidRPr="00C16F49" w:rsidRDefault="009A68A9" w:rsidP="009A68A9">
      <w:pPr>
        <w:jc w:val="both"/>
        <w:rPr>
          <w:rFonts w:ascii="FoundrySterling-Book" w:hAnsi="FoundrySterling-Book"/>
          <w:szCs w:val="24"/>
        </w:rPr>
      </w:pPr>
      <w:r w:rsidRPr="00C16F49">
        <w:rPr>
          <w:rFonts w:ascii="FoundrySterling-Book" w:eastAsia="FoundrySterling-Book" w:hAnsi="FoundrySterling-Book" w:cs="FoundrySterling-Book"/>
          <w:szCs w:val="24"/>
          <w:lang w:val="en-GB" w:bidi="en-GB"/>
        </w:rPr>
        <w:t>In the fourth quarter, net cash flow from operating activities was EUR 0.9 (2.1) million and EUR 1.9 (2.0) million during the financial year. Working capital decreased by EUR 1.5 (-1.8) million during the financial year. At the end of 2016, working capital stood at EUR 2.2 (3.7) million.</w:t>
      </w:r>
      <w:r w:rsidR="00C44A35">
        <w:rPr>
          <w:rFonts w:ascii="FoundrySterling-Book" w:eastAsia="FoundrySterling-Book" w:hAnsi="FoundrySterling-Book" w:cs="FoundrySterling-Book"/>
          <w:szCs w:val="24"/>
          <w:lang w:val="en-GB" w:bidi="en-GB"/>
        </w:rPr>
        <w:t xml:space="preserve"> </w:t>
      </w:r>
    </w:p>
    <w:p w:rsidR="0054512C" w:rsidRPr="00C16F49" w:rsidRDefault="0054512C" w:rsidP="005D2A83">
      <w:pPr>
        <w:jc w:val="both"/>
        <w:rPr>
          <w:rFonts w:ascii="FoundrySterling-Book" w:hAnsi="FoundrySterling-Book"/>
          <w:szCs w:val="24"/>
        </w:rPr>
      </w:pPr>
    </w:p>
    <w:p w:rsidR="0039292B" w:rsidRDefault="00931FC7" w:rsidP="007158D2">
      <w:pPr>
        <w:jc w:val="both"/>
        <w:rPr>
          <w:rFonts w:ascii="FoundrySterling-Book" w:hAnsi="FoundrySterling-Book"/>
          <w:szCs w:val="24"/>
        </w:rPr>
      </w:pPr>
      <w:r>
        <w:rPr>
          <w:rFonts w:ascii="FoundrySterling-Book" w:eastAsia="FoundrySterling-Book" w:hAnsi="FoundrySterling-Book" w:cs="FoundrySterling-Book"/>
          <w:szCs w:val="24"/>
          <w:lang w:val="en-GB" w:bidi="en-GB"/>
        </w:rPr>
        <w:t xml:space="preserve">Loan repayments totalled EUR 0.7 (1.4) million in the financial year. Interest-bearing debt stood at EUR 15.7 (16.4) million at the end of the financial year, and net financial expenses for the financial year were EUR 0.8 (0.8) million. The equity ratio at the end of the financial year was 30.7% (33.4%). The ratio of interest-bearing net debt to equity, or gearing, was 135.3% (125.0%). The current ratio was 0.5 (1.1). Equity per share was EUR 0.19 (0.21). At the end of the </w:t>
      </w:r>
      <w:proofErr w:type="gramStart"/>
      <w:r>
        <w:rPr>
          <w:rFonts w:ascii="FoundrySterling-Book" w:eastAsia="FoundrySterling-Book" w:hAnsi="FoundrySterling-Book" w:cs="FoundrySterling-Book"/>
          <w:szCs w:val="24"/>
          <w:lang w:val="en-GB" w:bidi="en-GB"/>
        </w:rPr>
        <w:t>financial year</w:t>
      </w:r>
      <w:proofErr w:type="gramEnd"/>
      <w:r>
        <w:rPr>
          <w:rFonts w:ascii="FoundrySterling-Book" w:eastAsia="FoundrySterling-Book" w:hAnsi="FoundrySterling-Book" w:cs="FoundrySterling-Book"/>
          <w:szCs w:val="24"/>
          <w:lang w:val="en-GB" w:bidi="en-GB"/>
        </w:rPr>
        <w:t>, the Group’s cash and other liquid assets totalled EUR 0.6 (0.9) million.</w:t>
      </w:r>
    </w:p>
    <w:p w:rsidR="0039292B" w:rsidRDefault="0039292B" w:rsidP="007158D2">
      <w:pPr>
        <w:jc w:val="both"/>
        <w:rPr>
          <w:rFonts w:ascii="FoundrySterling-Book" w:hAnsi="FoundrySterling-Book"/>
          <w:szCs w:val="24"/>
        </w:rPr>
      </w:pPr>
    </w:p>
    <w:p w:rsidR="007158D2" w:rsidRDefault="00A67056" w:rsidP="007158D2">
      <w:pPr>
        <w:jc w:val="both"/>
        <w:rPr>
          <w:rFonts w:ascii="FoundrySterling-Book" w:hAnsi="FoundrySterling-Book"/>
          <w:szCs w:val="24"/>
        </w:rPr>
      </w:pPr>
      <w:r w:rsidRPr="006462AC">
        <w:rPr>
          <w:rFonts w:ascii="FoundrySterling-Book" w:eastAsia="FoundrySterling-Book" w:hAnsi="FoundrySterling-Book" w:cs="FoundrySterling-Book"/>
          <w:szCs w:val="24"/>
          <w:lang w:val="en-GB" w:bidi="en-GB"/>
        </w:rPr>
        <w:t xml:space="preserve">The financing agreement includes covenants concerning EBITDA, the equity ratio and the ratio of debt to EBITDA. </w:t>
      </w:r>
    </w:p>
    <w:p w:rsidR="00B34B93" w:rsidRPr="002F01F3" w:rsidRDefault="00B34B93" w:rsidP="00EE64C7">
      <w:pPr>
        <w:rPr>
          <w:rFonts w:ascii="FoundrySterling-Book" w:hAnsi="FoundrySterling-Book"/>
          <w:szCs w:val="24"/>
        </w:rPr>
      </w:pPr>
      <w:r w:rsidRPr="002F01F3">
        <w:rPr>
          <w:rFonts w:ascii="FoundrySterling-Book" w:eastAsia="FoundrySterling-Book" w:hAnsi="FoundrySterling-Book" w:cs="FoundrySterling-Book"/>
          <w:szCs w:val="24"/>
          <w:lang w:val="en-GB" w:bidi="en-GB"/>
        </w:rPr>
        <w:t xml:space="preserve">The company has concluded a new agreement with its finance providers on the 2018 repayment programme and negotiated a waiver on its covenants concerning EBITDA and the ratio of net debt to EBITDA at 31 December 2017. </w:t>
      </w:r>
      <w:r w:rsidR="006803A4" w:rsidRPr="002F01F3">
        <w:rPr>
          <w:rFonts w:ascii="FoundrySterling-Book" w:eastAsia="FoundrySterling-Book" w:hAnsi="FoundrySterling-Book" w:cs="FoundrySterling-Book"/>
          <w:szCs w:val="24"/>
          <w:lang w:val="en-GB" w:bidi="en-GB"/>
        </w:rPr>
        <w:t xml:space="preserve">In the company management’s </w:t>
      </w:r>
      <w:proofErr w:type="gramStart"/>
      <w:r w:rsidR="006803A4" w:rsidRPr="002F01F3">
        <w:rPr>
          <w:rFonts w:ascii="FoundrySterling-Book" w:eastAsia="FoundrySterling-Book" w:hAnsi="FoundrySterling-Book" w:cs="FoundrySterling-Book"/>
          <w:szCs w:val="24"/>
          <w:lang w:val="en-GB" w:bidi="en-GB"/>
        </w:rPr>
        <w:t>opinion</w:t>
      </w:r>
      <w:proofErr w:type="gramEnd"/>
      <w:r w:rsidR="006803A4" w:rsidRPr="002F01F3">
        <w:rPr>
          <w:rFonts w:ascii="FoundrySterling-Book" w:eastAsia="FoundrySterling-Book" w:hAnsi="FoundrySterling-Book" w:cs="FoundrySterling-Book"/>
          <w:szCs w:val="24"/>
          <w:lang w:val="en-GB" w:bidi="en-GB"/>
        </w:rPr>
        <w:t xml:space="preserve"> the company will not meets its covenants concerning EBITDA and the ratio of net debt to EBITDA at 30 June 2018, as a result of which long-term financial liabilities have been classified and short-term financial liabilities in these financial statements in accordance with the IFRS standard. The management does believe, however, that it will receive wavers from its financing providers on said covenants at 30 June 2018 </w:t>
      </w:r>
      <w:r w:rsidR="008532C4" w:rsidRPr="002F01F3">
        <w:rPr>
          <w:rFonts w:ascii="FoundrySterling-Book" w:eastAsia="FoundrySterling-Book" w:hAnsi="FoundrySterling-Book" w:cs="FoundrySterling-Book"/>
          <w:szCs w:val="24"/>
          <w:lang w:val="en-GB" w:bidi="en-GB"/>
        </w:rPr>
        <w:t xml:space="preserve">and that as a result, they will not demand the repayment of debt. </w:t>
      </w:r>
      <w:r w:rsidR="00C31F70" w:rsidRPr="002F01F3">
        <w:rPr>
          <w:rFonts w:ascii="FoundrySterling-Book" w:eastAsia="FoundrySterling-Book" w:hAnsi="FoundrySterling-Book" w:cs="FoundrySterling-Book"/>
          <w:szCs w:val="24"/>
          <w:lang w:val="en-GB" w:bidi="en-GB"/>
        </w:rPr>
        <w:t xml:space="preserve">The company has already agreed with its financing providers that it will commence negotiations on a new repayment programme and its terms no later than 1 September 2018. </w:t>
      </w:r>
    </w:p>
    <w:p w:rsidR="00C87EF0" w:rsidRPr="002F01F3" w:rsidRDefault="00C87EF0" w:rsidP="00EE64C7">
      <w:pPr>
        <w:rPr>
          <w:rFonts w:ascii="FoundrySterling-Book" w:hAnsi="FoundrySterling-Book"/>
          <w:szCs w:val="24"/>
        </w:rPr>
      </w:pPr>
    </w:p>
    <w:p w:rsidR="00894CF9" w:rsidRPr="002F01F3" w:rsidRDefault="006302B0" w:rsidP="00DF7327">
      <w:pPr>
        <w:pStyle w:val="HTML-esimuotoiltu"/>
        <w:rPr>
          <w:rFonts w:ascii="FoundrySterling-Book" w:hAnsi="FoundrySterling-Book" w:cs="Courier New"/>
          <w:sz w:val="24"/>
          <w:szCs w:val="24"/>
        </w:rPr>
      </w:pPr>
      <w:proofErr w:type="gramStart"/>
      <w:r w:rsidRPr="002F01F3">
        <w:rPr>
          <w:rFonts w:ascii="FoundrySterling-Book" w:eastAsia="FoundrySterling-Book" w:hAnsi="FoundrySterling-Book" w:cs="FoundrySterling-Book"/>
          <w:sz w:val="24"/>
          <w:szCs w:val="24"/>
          <w:lang w:val="en-GB" w:bidi="en-GB"/>
        </w:rPr>
        <w:t>As a result of</w:t>
      </w:r>
      <w:proofErr w:type="gramEnd"/>
      <w:r w:rsidRPr="002F01F3">
        <w:rPr>
          <w:rFonts w:ascii="FoundrySterling-Book" w:eastAsia="FoundrySterling-Book" w:hAnsi="FoundrySterling-Book" w:cs="FoundrySterling-Book"/>
          <w:sz w:val="24"/>
          <w:szCs w:val="24"/>
          <w:lang w:val="en-GB" w:bidi="en-GB"/>
        </w:rPr>
        <w:t xml:space="preserve"> posting a loss, the parent company’s equity has fallen to less than 50% of share capital. The parent company’s equity was EUR 2.4 million (consolidated equity EUR 11.2 million) in the financial statements, while share capital is EUR 6.3 million (consolidated share capital EUR 6.3 million). As a result, the company’s Board of Directors has </w:t>
      </w:r>
      <w:proofErr w:type="gramStart"/>
      <w:r w:rsidRPr="002F01F3">
        <w:rPr>
          <w:rFonts w:ascii="FoundrySterling-Book" w:eastAsia="FoundrySterling-Book" w:hAnsi="FoundrySterling-Book" w:cs="FoundrySterling-Book"/>
          <w:sz w:val="24"/>
          <w:szCs w:val="24"/>
          <w:lang w:val="en-GB" w:bidi="en-GB"/>
        </w:rPr>
        <w:t>taken action</w:t>
      </w:r>
      <w:proofErr w:type="gramEnd"/>
      <w:r w:rsidRPr="002F01F3">
        <w:rPr>
          <w:rFonts w:ascii="FoundrySterling-Book" w:eastAsia="FoundrySterling-Book" w:hAnsi="FoundrySterling-Book" w:cs="FoundrySterling-Book"/>
          <w:sz w:val="24"/>
          <w:szCs w:val="24"/>
          <w:lang w:val="en-GB" w:bidi="en-GB"/>
        </w:rPr>
        <w:t xml:space="preserve"> as referred to in Chapter 20, section 23, subsection 1, of the Limited Liability Companies Act.</w:t>
      </w:r>
      <w:r w:rsidR="00C44A35" w:rsidRPr="002F01F3">
        <w:rPr>
          <w:rFonts w:ascii="FoundrySterling-Book" w:eastAsia="FoundrySterling-Book" w:hAnsi="FoundrySterling-Book" w:cs="FoundrySterling-Book"/>
          <w:sz w:val="24"/>
          <w:szCs w:val="24"/>
          <w:lang w:val="en-GB" w:bidi="en-GB"/>
        </w:rPr>
        <w:t xml:space="preserve"> </w:t>
      </w:r>
      <w:r w:rsidRPr="002F01F3">
        <w:rPr>
          <w:rFonts w:ascii="FoundrySterling-Book" w:eastAsia="FoundrySterling-Book" w:hAnsi="FoundrySterling-Book" w:cs="FoundrySterling-Book"/>
          <w:sz w:val="24"/>
          <w:szCs w:val="24"/>
          <w:lang w:val="en-GB" w:bidi="en-GB"/>
        </w:rPr>
        <w:t xml:space="preserve">The financial statements referred to in the Limited Liability Companies Act will be for the period January-December 2017. As required in the Limited Liability Companies Act, the annual general meeting that will decide on the Board’s proposal concerning measures required by the company’s financial situation will be the company’s Annual General Meeting to be held on 19 April 2018. The Board of Directors’ proposal to the Annual General Meeting will consider, among other things, the company’s </w:t>
      </w:r>
      <w:r w:rsidRPr="002F01F3">
        <w:rPr>
          <w:rFonts w:ascii="FoundrySterling-Book" w:eastAsia="FoundrySterling-Book" w:hAnsi="FoundrySterling-Book" w:cs="FoundrySterling-Book"/>
          <w:sz w:val="24"/>
          <w:szCs w:val="24"/>
          <w:lang w:val="en-GB" w:bidi="en-GB"/>
        </w:rPr>
        <w:lastRenderedPageBreak/>
        <w:t xml:space="preserve">positive performance budgeted for 2018 and what is stated under Investments and product development in </w:t>
      </w:r>
      <w:proofErr w:type="gramStart"/>
      <w:r w:rsidRPr="002F01F3">
        <w:rPr>
          <w:rFonts w:ascii="FoundrySterling-Book" w:eastAsia="FoundrySterling-Book" w:hAnsi="FoundrySterling-Book" w:cs="FoundrySterling-Book"/>
          <w:sz w:val="24"/>
          <w:szCs w:val="24"/>
          <w:lang w:val="en-GB" w:bidi="en-GB"/>
        </w:rPr>
        <w:t>this financial statements</w:t>
      </w:r>
      <w:proofErr w:type="gramEnd"/>
      <w:r w:rsidRPr="002F01F3">
        <w:rPr>
          <w:rFonts w:ascii="FoundrySterling-Book" w:eastAsia="FoundrySterling-Book" w:hAnsi="FoundrySterling-Book" w:cs="FoundrySterling-Book"/>
          <w:sz w:val="24"/>
          <w:szCs w:val="24"/>
          <w:lang w:val="en-GB" w:bidi="en-GB"/>
        </w:rPr>
        <w:t xml:space="preserve"> release. </w:t>
      </w:r>
    </w:p>
    <w:p w:rsidR="008532C4" w:rsidRPr="002F01F3" w:rsidRDefault="008532C4" w:rsidP="00EE64C7">
      <w:pPr>
        <w:rPr>
          <w:rFonts w:ascii="FoundrySterling-Book" w:hAnsi="FoundrySterling-Book"/>
          <w:szCs w:val="24"/>
        </w:rPr>
      </w:pPr>
    </w:p>
    <w:p w:rsidR="00894CF9" w:rsidRPr="002F01F3" w:rsidRDefault="00894CF9" w:rsidP="00EE64C7">
      <w:pPr>
        <w:rPr>
          <w:rFonts w:ascii="FoundrySterling-Book" w:hAnsi="FoundrySterling-Book"/>
          <w:szCs w:val="24"/>
        </w:rPr>
      </w:pPr>
    </w:p>
    <w:p w:rsidR="00675301" w:rsidRPr="00BC5122" w:rsidRDefault="00675301" w:rsidP="00EE64C7">
      <w:pPr>
        <w:rPr>
          <w:rFonts w:ascii="FoundrySterling-Book" w:hAnsi="FoundrySterling-Book"/>
          <w:b/>
          <w:szCs w:val="24"/>
        </w:rPr>
      </w:pPr>
      <w:r w:rsidRPr="002F01F3">
        <w:rPr>
          <w:rFonts w:ascii="FoundrySterling-Book" w:eastAsia="FoundrySterling-Book" w:hAnsi="FoundrySterling-Book" w:cs="FoundrySterling-Book"/>
          <w:b/>
          <w:szCs w:val="24"/>
          <w:lang w:val="en-GB" w:bidi="en-GB"/>
        </w:rPr>
        <w:t>Investments and product development</w:t>
      </w:r>
      <w:r w:rsidRPr="00BC5122">
        <w:rPr>
          <w:rFonts w:ascii="FoundrySterling-Book" w:eastAsia="FoundrySterling-Book" w:hAnsi="FoundrySterling-Book" w:cs="FoundrySterling-Book"/>
          <w:b/>
          <w:szCs w:val="24"/>
          <w:lang w:val="en-GB" w:bidi="en-GB"/>
        </w:rPr>
        <w:t xml:space="preserve"> </w:t>
      </w:r>
    </w:p>
    <w:p w:rsidR="00555950" w:rsidRPr="00BC5122" w:rsidRDefault="00555950" w:rsidP="00EE64C7">
      <w:pPr>
        <w:rPr>
          <w:rFonts w:ascii="FoundrySterling-Book" w:hAnsi="FoundrySterling-Book"/>
          <w:b/>
          <w:szCs w:val="24"/>
        </w:rPr>
      </w:pPr>
    </w:p>
    <w:p w:rsidR="008363D1" w:rsidRDefault="00675301" w:rsidP="008363D1">
      <w:pPr>
        <w:autoSpaceDE w:val="0"/>
        <w:autoSpaceDN w:val="0"/>
        <w:spacing w:after="240"/>
        <w:rPr>
          <w:rFonts w:ascii="FoundrySterling-Book" w:hAnsi="FoundrySterling-Book"/>
        </w:rPr>
      </w:pPr>
      <w:r w:rsidRPr="00BC5122">
        <w:rPr>
          <w:rFonts w:ascii="FoundrySterling-Book" w:eastAsia="FoundrySterling-Book" w:hAnsi="FoundrySterling-Book" w:cs="FoundrySterling-Book"/>
          <w:szCs w:val="24"/>
          <w:lang w:val="en-GB" w:bidi="en-GB"/>
        </w:rPr>
        <w:t xml:space="preserve">The Group’s investments for the financial year totalled EUR 1.5 (1.3) million. The company introduced its new soapstone collection at the Batibouw fair in Belgium at the beginning of 2017. The Karelia fireplace collection is based on a new kind of surface finish of soapstone and a high quality of design. In conjunction with the renewal of the collection, the company invested in changes to production lines and a new surface finishing technology. </w:t>
      </w:r>
    </w:p>
    <w:p w:rsidR="004D3527" w:rsidRPr="002F01F3" w:rsidRDefault="00F1302C" w:rsidP="004D3527">
      <w:pPr>
        <w:autoSpaceDE w:val="0"/>
        <w:autoSpaceDN w:val="0"/>
        <w:spacing w:after="240"/>
        <w:rPr>
          <w:rFonts w:ascii="FoundrySterling-Book" w:hAnsi="FoundrySterling-Book"/>
        </w:rPr>
      </w:pPr>
      <w:r w:rsidRPr="002F01F3">
        <w:rPr>
          <w:rFonts w:ascii="FoundrySterling-Book" w:eastAsia="FoundrySterling-Book" w:hAnsi="FoundrySterling-Book" w:cs="FoundrySterling-Book"/>
          <w:lang w:val="en-GB" w:bidi="en-GB"/>
        </w:rPr>
        <w:t xml:space="preserve">A new collection named </w:t>
      </w:r>
      <w:proofErr w:type="spellStart"/>
      <w:r w:rsidRPr="002F01F3">
        <w:rPr>
          <w:rFonts w:ascii="FoundrySterling-Book" w:eastAsia="FoundrySterling-Book" w:hAnsi="FoundrySterling-Book" w:cs="FoundrySterling-Book"/>
          <w:lang w:val="en-GB" w:bidi="en-GB"/>
        </w:rPr>
        <w:t>Pielinen</w:t>
      </w:r>
      <w:proofErr w:type="spellEnd"/>
      <w:r w:rsidRPr="002F01F3">
        <w:rPr>
          <w:rFonts w:ascii="FoundrySterling-Book" w:eastAsia="FoundrySterling-Book" w:hAnsi="FoundrySterling-Book" w:cs="FoundrySterling-Book"/>
          <w:lang w:val="en-GB" w:bidi="en-GB"/>
        </w:rPr>
        <w:t xml:space="preserve"> was launched in October 2017. The products in the collection are also modern Scandinavian design with a new technique for soapstone surface finish. The </w:t>
      </w:r>
      <w:proofErr w:type="spellStart"/>
      <w:r w:rsidRPr="002F01F3">
        <w:rPr>
          <w:rFonts w:ascii="FoundrySterling-Book" w:eastAsia="FoundrySterling-Book" w:hAnsi="FoundrySterling-Book" w:cs="FoundrySterling-Book"/>
          <w:lang w:val="en-GB" w:bidi="en-GB"/>
        </w:rPr>
        <w:t>Pielinen</w:t>
      </w:r>
      <w:proofErr w:type="spellEnd"/>
      <w:r w:rsidRPr="002F01F3">
        <w:rPr>
          <w:rFonts w:ascii="FoundrySterling-Book" w:eastAsia="FoundrySterling-Book" w:hAnsi="FoundrySterling-Book" w:cs="FoundrySterling-Book"/>
          <w:lang w:val="en-GB" w:bidi="en-GB"/>
        </w:rPr>
        <w:t xml:space="preserve"> products are compact and easy to install. </w:t>
      </w:r>
      <w:r w:rsidR="004D3527" w:rsidRPr="002F01F3">
        <w:rPr>
          <w:rFonts w:ascii="FoundrySterling-Book" w:eastAsia="FoundrySterling-Book" w:hAnsi="FoundrySterling-Book" w:cs="FoundrySterling-Book"/>
          <w:lang w:val="en-GB" w:bidi="en-GB"/>
        </w:rPr>
        <w:t>They are especially well suited for the Central European market as well as markets where there is no expertise in installing heat-retaining fireplaces.</w:t>
      </w:r>
      <w:r w:rsidR="00C44A35" w:rsidRPr="002F01F3">
        <w:rPr>
          <w:rFonts w:ascii="FoundrySterling-Book" w:eastAsia="FoundrySterling-Book" w:hAnsi="FoundrySterling-Book" w:cs="FoundrySterling-Book"/>
          <w:lang w:val="en-GB" w:bidi="en-GB"/>
        </w:rPr>
        <w:t xml:space="preserve"> </w:t>
      </w:r>
      <w:r w:rsidR="004D3527" w:rsidRPr="002F01F3">
        <w:rPr>
          <w:rFonts w:ascii="FoundrySterling-Book" w:eastAsia="FoundrySterling-Book" w:hAnsi="FoundrySterling-Book" w:cs="FoundrySterling-Book"/>
          <w:lang w:val="en-GB" w:bidi="en-GB"/>
        </w:rPr>
        <w:t xml:space="preserve"> </w:t>
      </w:r>
    </w:p>
    <w:p w:rsidR="004E3A1C" w:rsidRPr="00BC5122" w:rsidRDefault="004E3A1C" w:rsidP="004E3A1C">
      <w:pPr>
        <w:rPr>
          <w:rFonts w:ascii="FoundrySterling-Book" w:hAnsi="FoundrySterling-Book" w:cs="Helv"/>
          <w:color w:val="000000"/>
          <w:szCs w:val="24"/>
        </w:rPr>
      </w:pPr>
      <w:bookmarkStart w:id="4" w:name="_Hlk505090573"/>
      <w:r w:rsidRPr="002F01F3">
        <w:rPr>
          <w:rFonts w:ascii="FoundrySterling-Book" w:eastAsia="FoundrySterling-Book" w:hAnsi="FoundrySterling-Book" w:cs="FoundrySterling-Book"/>
          <w:szCs w:val="24"/>
          <w:lang w:val="en-GB" w:bidi="en-GB"/>
        </w:rPr>
        <w:t>Research and</w:t>
      </w:r>
      <w:r w:rsidRPr="00A34A70">
        <w:rPr>
          <w:rFonts w:ascii="FoundrySterling-Book" w:eastAsia="FoundrySterling-Book" w:hAnsi="FoundrySterling-Book" w:cs="FoundrySterling-Book"/>
          <w:szCs w:val="24"/>
          <w:lang w:val="en-GB" w:bidi="en-GB"/>
        </w:rPr>
        <w:t xml:space="preserve"> development expenditure was EUR 1.0 (1.0) million, or 3.6% (3.4%) of net sales. EUR 0.5 (0.5) million of this was capitalised in the balance sheet.</w:t>
      </w:r>
      <w:bookmarkEnd w:id="4"/>
    </w:p>
    <w:p w:rsidR="0094333F" w:rsidRDefault="0094333F" w:rsidP="00EE64C7">
      <w:pPr>
        <w:outlineLvl w:val="0"/>
        <w:rPr>
          <w:rFonts w:ascii="FoundrySterling-Book" w:hAnsi="FoundrySterling-Book"/>
          <w:b/>
          <w:szCs w:val="24"/>
        </w:rPr>
      </w:pPr>
    </w:p>
    <w:p w:rsidR="00537D07" w:rsidRPr="006C6102" w:rsidRDefault="00537D07" w:rsidP="002717BB">
      <w:pPr>
        <w:autoSpaceDE w:val="0"/>
        <w:autoSpaceDN w:val="0"/>
        <w:spacing w:after="240"/>
        <w:rPr>
          <w:rFonts w:ascii="FoundrySterling-Book" w:hAnsi="FoundrySterling-Book"/>
          <w:szCs w:val="24"/>
        </w:rPr>
      </w:pPr>
      <w:r w:rsidRPr="008363D1">
        <w:rPr>
          <w:rFonts w:ascii="FoundrySterling-Book" w:eastAsia="FoundrySterling-Book" w:hAnsi="FoundrySterling-Book" w:cs="FoundrySterling-Book"/>
          <w:lang w:val="en-GB" w:bidi="en-GB"/>
        </w:rPr>
        <w:t>The company’s soapstone reserves increased by 1.6 million cubic meters when the Finnish Safety and Chemicals Agency granted permission on 27 March 2017 to expand the Vaaralampi mining patent in Juuka. The added reserves are equal to the stone demand of more than 10 years.</w:t>
      </w:r>
    </w:p>
    <w:p w:rsidR="002952AF" w:rsidRPr="00657EB3" w:rsidRDefault="005145F8" w:rsidP="0048404F">
      <w:pPr>
        <w:autoSpaceDE w:val="0"/>
        <w:autoSpaceDN w:val="0"/>
        <w:rPr>
          <w:rFonts w:ascii="FoundrySterling-Book" w:hAnsi="FoundrySterling-Book" w:cs="Arial"/>
          <w:color w:val="000000"/>
          <w:szCs w:val="24"/>
        </w:rPr>
      </w:pPr>
      <w:r w:rsidRPr="002952AF">
        <w:rPr>
          <w:rFonts w:ascii="FoundrySterling-Book" w:eastAsia="FoundrySterling-Book" w:hAnsi="FoundrySterling-Book" w:cs="Calibri"/>
          <w:szCs w:val="24"/>
          <w:lang w:val="en-GB" w:bidi="en-GB"/>
        </w:rPr>
        <w:t xml:space="preserve">On 20 April 2017 Tulikivi announced its decision to study opportunities to exploit the talc reserves in the Suomussalmi deposit. Tulikivi Corporation’s soapstone reserves in Suomussalmi have talc reserves that are believed to be suitable for talc production. On 13 June 2017 Tulikivi announced that according to analyses conducted by the Geological Survey of Finland, the talc grades of the deposit correspond to previous talc projects carried out in Finland in terms of talc content, yield and brightness. Based on the earlier drilling tests that Tulikivi carried out </w:t>
      </w:r>
      <w:proofErr w:type="gramStart"/>
      <w:r w:rsidRPr="002952AF">
        <w:rPr>
          <w:rFonts w:ascii="FoundrySterling-Book" w:eastAsia="FoundrySterling-Book" w:hAnsi="FoundrySterling-Book" w:cs="Calibri"/>
          <w:szCs w:val="24"/>
          <w:lang w:val="en-GB" w:bidi="en-GB"/>
        </w:rPr>
        <w:t>for the purpose of</w:t>
      </w:r>
      <w:proofErr w:type="gramEnd"/>
      <w:r w:rsidRPr="002952AF">
        <w:rPr>
          <w:rFonts w:ascii="FoundrySterling-Book" w:eastAsia="FoundrySterling-Book" w:hAnsi="FoundrySterling-Book" w:cs="Calibri"/>
          <w:szCs w:val="24"/>
          <w:lang w:val="en-GB" w:bidi="en-GB"/>
        </w:rPr>
        <w:t xml:space="preserve"> soapstone production and the new test results, Tulikivi estimates that there are approximately 20 million tonnes of talc ore in Suomussalmi. On 24 August 2017 Tulikivi announced </w:t>
      </w:r>
      <w:r w:rsidRPr="002F01F3">
        <w:rPr>
          <w:rFonts w:ascii="FoundrySterling-Book" w:eastAsia="FoundrySterling-Book" w:hAnsi="FoundrySterling-Book" w:cs="Calibri"/>
          <w:szCs w:val="24"/>
          <w:lang w:val="en-GB" w:bidi="en-GB"/>
        </w:rPr>
        <w:t xml:space="preserve">that during summer, it had explored potential partners’ interest in exploiting the Suomussalmi talc deposit </w:t>
      </w:r>
      <w:proofErr w:type="gramStart"/>
      <w:r w:rsidRPr="002F01F3">
        <w:rPr>
          <w:rFonts w:ascii="FoundrySterling-Book" w:eastAsia="FoundrySterling-Book" w:hAnsi="FoundrySterling-Book" w:cs="Calibri"/>
          <w:szCs w:val="24"/>
          <w:lang w:val="en-GB" w:bidi="en-GB"/>
        </w:rPr>
        <w:t>on the basis of</w:t>
      </w:r>
      <w:proofErr w:type="gramEnd"/>
      <w:r w:rsidRPr="002F01F3">
        <w:rPr>
          <w:rFonts w:ascii="FoundrySterling-Book" w:eastAsia="FoundrySterling-Book" w:hAnsi="FoundrySterling-Book" w:cs="Calibri"/>
          <w:szCs w:val="24"/>
          <w:lang w:val="en-GB" w:bidi="en-GB"/>
        </w:rPr>
        <w:t xml:space="preserve"> the Geological Survey of Finland’s analysis and the earlier drilling tests.</w:t>
      </w:r>
      <w:r w:rsidR="00C44A35" w:rsidRPr="002F01F3">
        <w:rPr>
          <w:rFonts w:ascii="FoundrySterling-Book" w:eastAsia="FoundrySterling-Book" w:hAnsi="FoundrySterling-Book" w:cs="Calibri"/>
          <w:szCs w:val="24"/>
          <w:lang w:val="en-GB" w:bidi="en-GB"/>
        </w:rPr>
        <w:t xml:space="preserve"> </w:t>
      </w:r>
      <w:r w:rsidR="002952AF" w:rsidRPr="002F01F3">
        <w:rPr>
          <w:rFonts w:ascii="FoundrySterling-Book" w:eastAsia="FoundrySterling-Book" w:hAnsi="FoundrySterling-Book" w:cs="Arial"/>
          <w:color w:val="000000"/>
          <w:szCs w:val="24"/>
          <w:lang w:val="en-GB" w:bidi="en-GB"/>
        </w:rPr>
        <w:t>In September 2017, based on the feedback received, Tulikivi's Board of Directors launched preparations for the sale of the talc deposit. As a part of this process</w:t>
      </w:r>
      <w:r w:rsidR="0048404F" w:rsidRPr="002F01F3">
        <w:rPr>
          <w:rFonts w:ascii="FoundrySterling-Book" w:eastAsia="FoundrySterling-Book" w:hAnsi="FoundrySterling-Book" w:cs="FoundrySterling-Book"/>
          <w:szCs w:val="24"/>
          <w:lang w:val="en-GB" w:bidi="en-GB"/>
        </w:rPr>
        <w:t xml:space="preserve">, the company ordered an official ore study that meets the international JORC code of a part of the </w:t>
      </w:r>
      <w:proofErr w:type="spellStart"/>
      <w:r w:rsidR="0048404F" w:rsidRPr="002F01F3">
        <w:rPr>
          <w:rFonts w:ascii="FoundrySterling-Book" w:eastAsia="FoundrySterling-Book" w:hAnsi="FoundrySterling-Book" w:cs="FoundrySterling-Book"/>
          <w:szCs w:val="24"/>
          <w:lang w:val="en-GB" w:bidi="en-GB"/>
        </w:rPr>
        <w:t>Haaponen</w:t>
      </w:r>
      <w:proofErr w:type="spellEnd"/>
      <w:r w:rsidR="0048404F" w:rsidRPr="002F01F3">
        <w:rPr>
          <w:rFonts w:ascii="FoundrySterling-Book" w:eastAsia="FoundrySterling-Book" w:hAnsi="FoundrySterling-Book" w:cs="FoundrySterling-Book"/>
          <w:szCs w:val="24"/>
          <w:lang w:val="en-GB" w:bidi="en-GB"/>
        </w:rPr>
        <w:t xml:space="preserve"> deposit in </w:t>
      </w:r>
      <w:proofErr w:type="spellStart"/>
      <w:r w:rsidR="0048404F" w:rsidRPr="002F01F3">
        <w:rPr>
          <w:rFonts w:ascii="FoundrySterling-Book" w:eastAsia="FoundrySterling-Book" w:hAnsi="FoundrySterling-Book" w:cs="FoundrySterling-Book"/>
          <w:szCs w:val="24"/>
          <w:lang w:val="en-GB" w:bidi="en-GB"/>
        </w:rPr>
        <w:t>Suomussalmi</w:t>
      </w:r>
      <w:proofErr w:type="spellEnd"/>
      <w:r w:rsidR="0048404F" w:rsidRPr="002F01F3">
        <w:rPr>
          <w:rFonts w:ascii="FoundrySterling-Book" w:eastAsia="FoundrySterling-Book" w:hAnsi="FoundrySterling-Book" w:cs="FoundrySterling-Book"/>
          <w:szCs w:val="24"/>
          <w:lang w:val="en-GB" w:bidi="en-GB"/>
        </w:rPr>
        <w:t xml:space="preserve"> from the Geological Survey of Finland. The initial stage of the study will cover a roughly 6-million-tonne part of the talc deposit. The purpose of the study is to verify the concentration capacity of the deposit for the purposes of talc production. Other studies will also be conducted </w:t>
      </w:r>
      <w:r w:rsidR="0048404F" w:rsidRPr="002F01F3">
        <w:rPr>
          <w:rFonts w:ascii="FoundrySterling-Book" w:eastAsia="FoundrySterling-Book" w:hAnsi="FoundrySterling-Book" w:cs="FoundrySterling-Book"/>
          <w:szCs w:val="24"/>
          <w:lang w:val="en-GB" w:bidi="en-GB"/>
        </w:rPr>
        <w:lastRenderedPageBreak/>
        <w:t xml:space="preserve">concerning talc quarrying and concentration. The studies will be conducted in collaboration with the Kainuu ELY Centre. </w:t>
      </w:r>
      <w:r w:rsidR="00827905" w:rsidRPr="002F01F3">
        <w:rPr>
          <w:rFonts w:ascii="FoundrySterling-Book" w:eastAsia="FoundrySterling-Book" w:hAnsi="FoundrySterling-Book" w:cs="FoundrySterling-Book"/>
          <w:szCs w:val="24"/>
          <w:lang w:val="en-GB" w:bidi="en-GB"/>
        </w:rPr>
        <w:t>The goal is to complete this work</w:t>
      </w:r>
      <w:r w:rsidR="0048404F" w:rsidRPr="002F01F3">
        <w:rPr>
          <w:rFonts w:ascii="FoundrySterling-Book" w:eastAsia="FoundrySterling-Book" w:hAnsi="FoundrySterling-Book" w:cs="FoundrySterling-Book"/>
          <w:szCs w:val="24"/>
          <w:lang w:val="en-GB" w:bidi="en-GB"/>
        </w:rPr>
        <w:t xml:space="preserve"> during spring 2018. </w:t>
      </w:r>
      <w:r w:rsidR="004772B4" w:rsidRPr="002F01F3">
        <w:rPr>
          <w:rFonts w:ascii="FoundrySterling-Book" w:eastAsia="FoundrySterling-Book" w:hAnsi="FoundrySterling-Book" w:cs="Arial"/>
          <w:color w:val="000000"/>
          <w:szCs w:val="24"/>
          <w:lang w:val="en-GB" w:bidi="en-GB"/>
        </w:rPr>
        <w:t>Evaluation of the success of sales or its financial impact is premature.</w:t>
      </w:r>
    </w:p>
    <w:p w:rsidR="002E32E7" w:rsidRDefault="002E32E7" w:rsidP="00E57ED7">
      <w:pPr>
        <w:autoSpaceDE w:val="0"/>
        <w:autoSpaceDN w:val="0"/>
        <w:adjustRightInd w:val="0"/>
        <w:rPr>
          <w:rFonts w:ascii="FoundrySterling-Book" w:hAnsi="FoundrySterling-Book"/>
          <w:b/>
          <w:szCs w:val="24"/>
        </w:rPr>
      </w:pPr>
    </w:p>
    <w:p w:rsidR="0048404F" w:rsidRPr="006C6102" w:rsidRDefault="0048404F" w:rsidP="00E57ED7">
      <w:pPr>
        <w:autoSpaceDE w:val="0"/>
        <w:autoSpaceDN w:val="0"/>
        <w:adjustRightInd w:val="0"/>
        <w:rPr>
          <w:rFonts w:ascii="FoundrySterling-Book" w:hAnsi="FoundrySterling-Book"/>
          <w:b/>
          <w:szCs w:val="24"/>
        </w:rPr>
      </w:pPr>
    </w:p>
    <w:p w:rsidR="00675301" w:rsidRPr="00BC5122" w:rsidRDefault="00675301" w:rsidP="00EE64C7">
      <w:pPr>
        <w:outlineLvl w:val="0"/>
        <w:rPr>
          <w:rFonts w:ascii="FoundrySterling-Book" w:hAnsi="FoundrySterling-Book"/>
          <w:b/>
          <w:szCs w:val="24"/>
        </w:rPr>
      </w:pPr>
      <w:r w:rsidRPr="00BC5122">
        <w:rPr>
          <w:rFonts w:ascii="FoundrySterling-Book" w:eastAsia="FoundrySterling-Book" w:hAnsi="FoundrySterling-Book" w:cs="FoundrySterling-Book"/>
          <w:b/>
          <w:szCs w:val="24"/>
          <w:lang w:val="en-GB" w:bidi="en-GB"/>
        </w:rPr>
        <w:t>Personnel</w:t>
      </w:r>
    </w:p>
    <w:p w:rsidR="00675301" w:rsidRPr="00BC5122" w:rsidRDefault="00675301" w:rsidP="00EE64C7">
      <w:pPr>
        <w:autoSpaceDE w:val="0"/>
        <w:autoSpaceDN w:val="0"/>
        <w:adjustRightInd w:val="0"/>
        <w:rPr>
          <w:rFonts w:ascii="FoundrySterling-Book" w:hAnsi="FoundrySterling-Book" w:cs="FoundrySterling-Book"/>
          <w:szCs w:val="24"/>
          <w:lang w:eastAsia="en-US"/>
        </w:rPr>
      </w:pPr>
    </w:p>
    <w:p w:rsidR="007C170A" w:rsidRDefault="00F20440" w:rsidP="00A53136">
      <w:pPr>
        <w:rPr>
          <w:rFonts w:ascii="FoundrySterling-Book" w:hAnsi="FoundrySterling-Book" w:cs="FoundrySterling-Book"/>
          <w:szCs w:val="24"/>
          <w:lang w:eastAsia="en-US"/>
        </w:rPr>
      </w:pPr>
      <w:r w:rsidRPr="00BC5122">
        <w:rPr>
          <w:rFonts w:ascii="FoundrySterling-Book" w:eastAsia="FoundrySterling-Book" w:hAnsi="FoundrySterling-Book" w:cs="FoundrySterling-Book"/>
          <w:szCs w:val="24"/>
          <w:lang w:val="en-GB" w:bidi="en-GB"/>
        </w:rPr>
        <w:t xml:space="preserve">The Group employed an average of 208 (209) people during the financial year. Salaries and bonuses during the financial year totalled EUR 9.1 (8.9) million. The number of personnel will be adjusted through lay-offs in accordance with the level of demand. </w:t>
      </w:r>
      <w:bookmarkStart w:id="5" w:name="_Hlk505090713"/>
      <w:r w:rsidRPr="00BC5122">
        <w:rPr>
          <w:rFonts w:ascii="FoundrySterling-Book" w:eastAsia="FoundrySterling-Book" w:hAnsi="FoundrySterling-Book" w:cs="FoundrySterling-Book"/>
          <w:szCs w:val="24"/>
          <w:lang w:val="en-GB" w:bidi="en-GB"/>
        </w:rPr>
        <w:t xml:space="preserve">In addition to temporary lay-offs, no members of the office staff are currently laid off. </w:t>
      </w:r>
      <w:bookmarkEnd w:id="5"/>
      <w:r w:rsidRPr="00BC5122">
        <w:rPr>
          <w:rFonts w:ascii="FoundrySterling-Book" w:eastAsia="FoundrySterling-Book" w:hAnsi="FoundrySterling-Book" w:cs="FoundrySterling-Book"/>
          <w:szCs w:val="24"/>
          <w:lang w:val="en-GB" w:bidi="en-GB"/>
        </w:rPr>
        <w:t xml:space="preserve">The Tulikivi Group has an incentive pay scheme for all personnel. The company also has a stock option scheme for the management that was launched in 2013. </w:t>
      </w:r>
    </w:p>
    <w:p w:rsidR="00E3412C" w:rsidRDefault="00E3412C" w:rsidP="00EE64C7">
      <w:pPr>
        <w:outlineLvl w:val="0"/>
        <w:rPr>
          <w:rFonts w:ascii="FoundrySterling-Book" w:hAnsi="FoundrySterling-Book"/>
          <w:b/>
          <w:szCs w:val="24"/>
        </w:rPr>
      </w:pPr>
    </w:p>
    <w:p w:rsidR="00E3412C" w:rsidRDefault="00E3412C"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eastAsia="FoundrySterling-Book" w:hAnsi="FoundrySterling-Book" w:cs="FoundrySterling-Book"/>
          <w:b/>
          <w:szCs w:val="24"/>
          <w:lang w:val="en-GB" w:bidi="en-GB"/>
        </w:rPr>
        <w:t>Annual General Meeting</w:t>
      </w:r>
    </w:p>
    <w:p w:rsidR="00675301" w:rsidRPr="009B45AE" w:rsidRDefault="00675301" w:rsidP="00EE64C7">
      <w:pPr>
        <w:outlineLvl w:val="0"/>
        <w:rPr>
          <w:rFonts w:ascii="FoundrySterling-Book" w:hAnsi="FoundrySterling-Book"/>
          <w:szCs w:val="24"/>
        </w:rPr>
      </w:pPr>
    </w:p>
    <w:p w:rsidR="00675301" w:rsidRPr="006B5718" w:rsidRDefault="00C752A7" w:rsidP="00EE64C7">
      <w:pPr>
        <w:outlineLvl w:val="0"/>
        <w:rPr>
          <w:rFonts w:ascii="FoundrySterling-Book" w:hAnsi="FoundrySterling-Book"/>
          <w:szCs w:val="24"/>
        </w:rPr>
      </w:pPr>
      <w:r w:rsidRPr="006B5718">
        <w:rPr>
          <w:rFonts w:ascii="FoundrySterling-Book" w:eastAsia="FoundrySterling-Book" w:hAnsi="FoundrySterling-Book" w:cs="FoundrySterling-Book"/>
          <w:szCs w:val="24"/>
          <w:lang w:val="en-GB" w:bidi="en-GB"/>
        </w:rPr>
        <w:t xml:space="preserve">Tulikivi Corporation’s Annual General Meeting, held on 20 April 2017, resolved not to distribute a dividend on the 2016 financial year. Jaakko Aspara, Markku Rönkkö, Paula Salastie, Reijo Svanborg, Jyrki Tähtinen and Heikki Vauhkonen were elected as members of the Board of Directors </w:t>
      </w:r>
      <w:proofErr w:type="gramStart"/>
      <w:r w:rsidRPr="006B5718">
        <w:rPr>
          <w:rFonts w:ascii="FoundrySterling-Book" w:eastAsia="FoundrySterling-Book" w:hAnsi="FoundrySterling-Book" w:cs="FoundrySterling-Book"/>
          <w:szCs w:val="24"/>
          <w:lang w:val="en-GB" w:bidi="en-GB"/>
        </w:rPr>
        <w:t>The</w:t>
      </w:r>
      <w:proofErr w:type="gramEnd"/>
      <w:r w:rsidRPr="006B5718">
        <w:rPr>
          <w:rFonts w:ascii="FoundrySterling-Book" w:eastAsia="FoundrySterling-Book" w:hAnsi="FoundrySterling-Book" w:cs="FoundrySterling-Book"/>
          <w:szCs w:val="24"/>
          <w:lang w:val="en-GB" w:bidi="en-GB"/>
        </w:rPr>
        <w:t xml:space="preserve"> Board elected Jyrki Tähtinen as its Chairman. The auditor appointed was KPMG Oy Ab, Authorised Public Accountants, with Kirsi Jantunen, APA, as chief auditor. </w:t>
      </w:r>
    </w:p>
    <w:p w:rsidR="00C9522A" w:rsidRPr="006B5718" w:rsidRDefault="00C9522A" w:rsidP="00E12394">
      <w:pPr>
        <w:outlineLvl w:val="0"/>
        <w:rPr>
          <w:rFonts w:ascii="FoundrySterling-Book" w:hAnsi="FoundrySterling-Book"/>
          <w:b/>
          <w:szCs w:val="24"/>
        </w:rPr>
      </w:pPr>
    </w:p>
    <w:p w:rsidR="0008613E" w:rsidRPr="006B5718" w:rsidRDefault="0008613E" w:rsidP="00EE64C7">
      <w:pPr>
        <w:rPr>
          <w:rFonts w:ascii="FoundrySterling-Book" w:hAnsi="FoundrySterling-Book" w:cs="Courier New"/>
          <w:szCs w:val="24"/>
        </w:rPr>
      </w:pPr>
      <w:r w:rsidRPr="006B5718">
        <w:rPr>
          <w:rFonts w:ascii="FoundrySterling-Book" w:eastAsia="FoundrySterling-Book" w:hAnsi="FoundrySterling-Book" w:cs="Courier New"/>
          <w:szCs w:val="24"/>
          <w:lang w:val="en-GB" w:bidi="en-GB"/>
        </w:rPr>
        <w:t xml:space="preserve">The Annual General Meeting authorised the Board of Directors to decide on issuing new shares and on the transfer of Tulikivi Corporation shares held by the company in accordance with the proposals of the Board. Tulikivi can issue new shares or transfer treasury shares held by the company as follows: a maximum of 10,437,748 Series A shares and a maximum of 1,536,500 Series K shares. </w:t>
      </w:r>
    </w:p>
    <w:p w:rsidR="0008613E" w:rsidRPr="006B5718" w:rsidRDefault="0008613E" w:rsidP="00EE64C7">
      <w:pPr>
        <w:rPr>
          <w:rFonts w:ascii="FoundrySterling-Book" w:hAnsi="FoundrySterling-Book" w:cs="Courier New"/>
          <w:szCs w:val="24"/>
        </w:rPr>
      </w:pPr>
    </w:p>
    <w:p w:rsidR="0008613E" w:rsidRPr="006B5718" w:rsidRDefault="0008613E" w:rsidP="00EE64C7">
      <w:pPr>
        <w:rPr>
          <w:rFonts w:ascii="FoundrySterling-Book" w:hAnsi="FoundrySterling-Book" w:cs="Courier New"/>
          <w:szCs w:val="24"/>
        </w:rPr>
      </w:pPr>
      <w:r w:rsidRPr="006B5718">
        <w:rPr>
          <w:rFonts w:ascii="FoundrySterling-Book" w:eastAsia="FoundrySterling-Book" w:hAnsi="FoundrySterling-Book" w:cs="Courier New"/>
          <w:szCs w:val="24"/>
          <w:lang w:val="en-GB" w:bidi="en-GB"/>
        </w:rPr>
        <w:t xml:space="preserve">The authorisation includes the right to decide on a directed rights issue, deviating from the shareholders’ right of pre-emption, </w:t>
      </w:r>
      <w:proofErr w:type="gramStart"/>
      <w:r w:rsidRPr="006B5718">
        <w:rPr>
          <w:rFonts w:ascii="FoundrySterling-Book" w:eastAsia="FoundrySterling-Book" w:hAnsi="FoundrySterling-Book" w:cs="Courier New"/>
          <w:szCs w:val="24"/>
          <w:lang w:val="en-GB" w:bidi="en-GB"/>
        </w:rPr>
        <w:t>provided that</w:t>
      </w:r>
      <w:proofErr w:type="gramEnd"/>
      <w:r w:rsidRPr="006B5718">
        <w:rPr>
          <w:rFonts w:ascii="FoundrySterling-Book" w:eastAsia="FoundrySterling-Book" w:hAnsi="FoundrySterling-Book" w:cs="Courier New"/>
          <w:szCs w:val="24"/>
          <w:lang w:val="en-GB" w:bidi="en-GB"/>
        </w:rPr>
        <w:t xml:space="preserve"> there is compelling financial reason for the company. The authorisation also includes the right to decide on a bonus issue to the company itself, where the number of shares issued to the company is no more than one tenth of the total number of the company’s shares.</w:t>
      </w:r>
    </w:p>
    <w:p w:rsidR="0008613E" w:rsidRPr="006B5718" w:rsidRDefault="0008613E" w:rsidP="00EE64C7">
      <w:pPr>
        <w:rPr>
          <w:rFonts w:ascii="FoundrySterling-Book" w:hAnsi="FoundrySterling-Book" w:cs="Courier New"/>
          <w:szCs w:val="24"/>
        </w:rPr>
      </w:pPr>
    </w:p>
    <w:p w:rsidR="0008613E" w:rsidRPr="0008613E" w:rsidRDefault="0008613E" w:rsidP="00EE64C7">
      <w:pPr>
        <w:rPr>
          <w:rFonts w:ascii="FoundrySterling-Book" w:hAnsi="FoundrySterling-Book" w:cs="Courier New"/>
          <w:szCs w:val="24"/>
        </w:rPr>
      </w:pPr>
      <w:r w:rsidRPr="006B5718">
        <w:rPr>
          <w:rFonts w:ascii="FoundrySterling-Book" w:eastAsia="FoundrySterling-Book" w:hAnsi="FoundrySterling-Book" w:cs="Courier New"/>
          <w:szCs w:val="24"/>
          <w:lang w:val="en-GB" w:bidi="en-GB"/>
        </w:rPr>
        <w:t>The authorisation also includes the right to issue special rights referred to in Chapter 10, section 1, of the Limited Liability Companies Act, which would give entitlement to Tulikivi shares against payment or by setting off the receivable. The authorisation includes the right to pay the company’s share rewards. The Board is authorised to decide on other matters concerning share issues. The authorisation is valid until the 2018 Annual General Meeting.</w:t>
      </w:r>
    </w:p>
    <w:p w:rsidR="005D2A83" w:rsidRDefault="005D2A83" w:rsidP="00EE64C7">
      <w:pPr>
        <w:rPr>
          <w:rFonts w:ascii="FoundrySterling-Book" w:hAnsi="FoundrySterling-Book" w:cs="Courier New"/>
          <w:b/>
          <w:szCs w:val="24"/>
        </w:rPr>
      </w:pPr>
    </w:p>
    <w:p w:rsidR="00CB5E69" w:rsidRDefault="00CB5E69" w:rsidP="00EE64C7">
      <w:pPr>
        <w:rPr>
          <w:rFonts w:ascii="FoundrySterling-Book" w:hAnsi="FoundrySterling-Book" w:cs="Courier New"/>
          <w:b/>
          <w:szCs w:val="24"/>
        </w:rPr>
      </w:pPr>
    </w:p>
    <w:p w:rsidR="00675301" w:rsidRPr="009B45AE" w:rsidRDefault="00675301" w:rsidP="00EE64C7">
      <w:pPr>
        <w:rPr>
          <w:rFonts w:ascii="FoundrySterling-Book" w:hAnsi="FoundrySterling-Book" w:cs="Courier New"/>
          <w:b/>
          <w:szCs w:val="24"/>
        </w:rPr>
      </w:pPr>
      <w:r w:rsidRPr="009B45AE">
        <w:rPr>
          <w:rFonts w:ascii="FoundrySterling-Book" w:eastAsia="FoundrySterling-Book" w:hAnsi="FoundrySterling-Book" w:cs="Courier New"/>
          <w:b/>
          <w:szCs w:val="24"/>
          <w:lang w:val="en-GB" w:bidi="en-GB"/>
        </w:rPr>
        <w:t>Treasury shares</w:t>
      </w:r>
    </w:p>
    <w:p w:rsidR="00675301" w:rsidRPr="009B45AE" w:rsidRDefault="00675301" w:rsidP="00EE64C7">
      <w:pPr>
        <w:rPr>
          <w:rStyle w:val="HTML-kirjoituskone"/>
          <w:rFonts w:ascii="FoundrySterling-Book" w:hAnsi="FoundrySterling-Book" w:cs="Courier New"/>
          <w:sz w:val="24"/>
          <w:szCs w:val="24"/>
        </w:rPr>
      </w:pPr>
    </w:p>
    <w:p w:rsidR="00675301" w:rsidRDefault="00675301" w:rsidP="00EE64C7">
      <w:pPr>
        <w:rPr>
          <w:rStyle w:val="HTML-kirjoituskone"/>
          <w:rFonts w:ascii="FoundrySterling-Book" w:hAnsi="FoundrySterling-Book" w:cs="Courier New"/>
          <w:sz w:val="24"/>
          <w:szCs w:val="24"/>
        </w:rPr>
      </w:pPr>
      <w:r w:rsidRPr="002F1AD8">
        <w:rPr>
          <w:rStyle w:val="HTML-kirjoituskone"/>
          <w:rFonts w:ascii="FoundrySterling-Book" w:eastAsia="FoundrySterling-Book" w:hAnsi="FoundrySterling-Book" w:cs="Courier New"/>
          <w:sz w:val="24"/>
          <w:szCs w:val="24"/>
          <w:lang w:val="en-GB" w:bidi="en-GB"/>
        </w:rPr>
        <w:t xml:space="preserve">The company did not purchase or assign any treasury shares during the reporting period. At the end of the period, the total number of Tulikivi shares held by the company was 124,200 Series A shares, corresponding to 0.2 per cent of the company’s share capital and 0.1 per cent of all voting rights. </w:t>
      </w:r>
    </w:p>
    <w:p w:rsidR="00FF559D" w:rsidRDefault="00FF559D" w:rsidP="00BE2908">
      <w:pPr>
        <w:rPr>
          <w:rFonts w:ascii="FoundrySterling-Book" w:hAnsi="FoundrySterling-Book" w:cs="Courier New"/>
          <w:b/>
          <w:szCs w:val="24"/>
        </w:rPr>
      </w:pPr>
    </w:p>
    <w:p w:rsidR="002E32E7" w:rsidRDefault="002E32E7" w:rsidP="00BE2908">
      <w:pPr>
        <w:rPr>
          <w:rFonts w:ascii="FoundrySterling-Book" w:hAnsi="FoundrySterling-Book" w:cs="Courier New"/>
          <w:b/>
          <w:szCs w:val="24"/>
        </w:rPr>
      </w:pPr>
    </w:p>
    <w:p w:rsidR="00CC7F6C" w:rsidRDefault="00CC7F6C" w:rsidP="00BE2908">
      <w:pPr>
        <w:rPr>
          <w:rFonts w:ascii="FoundrySterling-Book" w:hAnsi="FoundrySterling-Book" w:cs="Courier New"/>
          <w:b/>
          <w:szCs w:val="24"/>
        </w:rPr>
      </w:pPr>
      <w:r>
        <w:rPr>
          <w:rFonts w:ascii="FoundrySterling-Book" w:eastAsia="FoundrySterling-Book" w:hAnsi="FoundrySterling-Book" w:cs="Courier New"/>
          <w:b/>
          <w:szCs w:val="24"/>
          <w:lang w:val="en-GB" w:bidi="en-GB"/>
        </w:rPr>
        <w:t>Board of Directors’ proposal on use of distributable equity</w:t>
      </w:r>
    </w:p>
    <w:p w:rsidR="00CC7F6C" w:rsidRDefault="00CC7F6C" w:rsidP="00BE2908">
      <w:pPr>
        <w:rPr>
          <w:rStyle w:val="HTML-kirjoituskone"/>
          <w:rFonts w:ascii="FoundrySterling-Book" w:hAnsi="FoundrySterling-Book" w:cs="Courier New"/>
          <w:sz w:val="24"/>
          <w:szCs w:val="24"/>
        </w:rPr>
      </w:pPr>
    </w:p>
    <w:p w:rsidR="00CC7F6C" w:rsidRDefault="00CC7F6C" w:rsidP="00BE2908">
      <w:pPr>
        <w:rPr>
          <w:rStyle w:val="HTML-kirjoituskone"/>
          <w:rFonts w:ascii="FoundrySterling-Book" w:hAnsi="FoundrySterling-Book" w:cs="Courier New"/>
          <w:sz w:val="24"/>
          <w:szCs w:val="24"/>
        </w:rPr>
      </w:pPr>
      <w:r>
        <w:rPr>
          <w:rStyle w:val="HTML-kirjoituskone"/>
          <w:rFonts w:ascii="FoundrySterling-Book" w:eastAsia="FoundrySterling-Book" w:hAnsi="FoundrySterling-Book" w:cs="Courier New"/>
          <w:sz w:val="24"/>
          <w:szCs w:val="24"/>
          <w:lang w:val="en-GB" w:bidi="en-GB"/>
        </w:rPr>
        <w:t>The parent company has no distributable equity. The Board will propose to the Annual General Meeting that no dividend be paid out for 2017.</w:t>
      </w:r>
    </w:p>
    <w:p w:rsidR="00CC7F6C" w:rsidRDefault="00CC7F6C" w:rsidP="00BE2908">
      <w:pPr>
        <w:rPr>
          <w:rFonts w:ascii="FoundrySterling-Book" w:hAnsi="FoundrySterling-Book" w:cs="Courier New"/>
          <w:b/>
          <w:szCs w:val="24"/>
        </w:rPr>
      </w:pPr>
    </w:p>
    <w:p w:rsidR="00BE2908" w:rsidRDefault="00BE2908" w:rsidP="00EE64C7">
      <w:pPr>
        <w:rPr>
          <w:rFonts w:ascii="FoundrySterling-Book" w:hAnsi="FoundrySterling-Book"/>
          <w:b/>
          <w:szCs w:val="24"/>
        </w:rPr>
      </w:pPr>
    </w:p>
    <w:p w:rsidR="00675301" w:rsidRPr="00C6214A" w:rsidRDefault="00675301" w:rsidP="00EE64C7">
      <w:pPr>
        <w:rPr>
          <w:rFonts w:ascii="FoundrySterling-Book" w:hAnsi="FoundrySterling-Book"/>
          <w:b/>
          <w:szCs w:val="24"/>
        </w:rPr>
      </w:pPr>
      <w:r w:rsidRPr="00C6214A">
        <w:rPr>
          <w:rFonts w:ascii="FoundrySterling-Book" w:eastAsia="FoundrySterling-Book" w:hAnsi="FoundrySterling-Book" w:cs="FoundrySterling-Book"/>
          <w:b/>
          <w:szCs w:val="24"/>
          <w:lang w:val="en-GB" w:bidi="en-GB"/>
        </w:rPr>
        <w:t>Near-term risks and uncertainties</w:t>
      </w:r>
    </w:p>
    <w:p w:rsidR="00675301" w:rsidRPr="00C6214A" w:rsidRDefault="00675301" w:rsidP="00EE64C7">
      <w:pPr>
        <w:rPr>
          <w:rFonts w:ascii="FoundrySterling-Book" w:hAnsi="FoundrySterling-Book" w:cs="Courier New"/>
          <w:szCs w:val="24"/>
        </w:rPr>
      </w:pPr>
    </w:p>
    <w:p w:rsidR="00321593" w:rsidRPr="002F01F3" w:rsidRDefault="00FE51E9" w:rsidP="00EE64C7">
      <w:pPr>
        <w:rPr>
          <w:rFonts w:ascii="FoundrySterling-Book" w:hAnsi="FoundrySterling-Book" w:cs="Courier New"/>
          <w:szCs w:val="24"/>
        </w:rPr>
      </w:pPr>
      <w:r w:rsidRPr="002F01F3">
        <w:rPr>
          <w:rFonts w:ascii="FoundrySterling-Book" w:eastAsia="FoundrySterling-Book" w:hAnsi="FoundrySterling-Book" w:cs="Courier New"/>
          <w:szCs w:val="24"/>
          <w:lang w:val="en-GB" w:bidi="en-GB"/>
        </w:rPr>
        <w:t xml:space="preserve">The Group’s most significant risk is the decline in net sales in the principal market areas. </w:t>
      </w:r>
      <w:r w:rsidR="006B38D6" w:rsidRPr="002F01F3">
        <w:rPr>
          <w:rFonts w:ascii="FoundrySterling-Book" w:eastAsia="FoundrySterling-Book" w:hAnsi="FoundrySterling-Book" w:cs="Courier New"/>
          <w:szCs w:val="24"/>
          <w:lang w:val="en-GB" w:bidi="en-GB"/>
        </w:rPr>
        <w:t>A potential halt in the restarted growth in new construction and renovation projects would affect the demand for Tulikivi products in Finland. The slower-than-predicted recovery of the markets in Central Europe and the uncertain economic situation in Russia also have an impact on the demand for fireplaces.</w:t>
      </w:r>
    </w:p>
    <w:p w:rsidR="006858E5" w:rsidRPr="002F01F3" w:rsidRDefault="006858E5" w:rsidP="00EE64C7">
      <w:pPr>
        <w:rPr>
          <w:rFonts w:ascii="FoundrySterling-Book" w:hAnsi="FoundrySterling-Book" w:cs="Courier New"/>
          <w:szCs w:val="24"/>
        </w:rPr>
      </w:pPr>
    </w:p>
    <w:p w:rsidR="00830187" w:rsidRPr="002F01F3" w:rsidRDefault="00CC66BF" w:rsidP="00830187">
      <w:pPr>
        <w:rPr>
          <w:rFonts w:ascii="FoundrySterling-Book" w:hAnsi="FoundrySterling-Book"/>
          <w:szCs w:val="24"/>
        </w:rPr>
      </w:pPr>
      <w:r w:rsidRPr="002F01F3">
        <w:rPr>
          <w:rFonts w:ascii="FoundrySterling-Book" w:eastAsia="FoundrySterling-Book" w:hAnsi="FoundrySterling-Book" w:cs="Courier New"/>
          <w:szCs w:val="24"/>
          <w:lang w:val="en-GB" w:bidi="en-GB"/>
        </w:rPr>
        <w:t xml:space="preserve">Improving the Group’s financing position and securing the continuation of financing require an improvement in profitability. If the company’s business operations and result do not develop as planned, the repayment of its debts may create a greater burden on the company’s cash flow than anticipated. A further risk is that the company will not succeed in negotiating a sufficient repayment programme and terms with the financing providers. </w:t>
      </w:r>
    </w:p>
    <w:p w:rsidR="00614006" w:rsidRPr="002F01F3" w:rsidRDefault="00614006" w:rsidP="00EE64C7">
      <w:pPr>
        <w:rPr>
          <w:rFonts w:ascii="FoundrySterling-Book" w:hAnsi="FoundrySterling-Book" w:cs="Courier New"/>
          <w:szCs w:val="24"/>
        </w:rPr>
      </w:pPr>
    </w:p>
    <w:p w:rsidR="00C21C22" w:rsidRDefault="000C0AEA" w:rsidP="000C0AEA">
      <w:pPr>
        <w:rPr>
          <w:rFonts w:ascii="FoundrySterling-Book" w:hAnsi="FoundrySterling-Book" w:cs="Courier New"/>
          <w:szCs w:val="24"/>
        </w:rPr>
      </w:pPr>
      <w:proofErr w:type="gramStart"/>
      <w:r w:rsidRPr="002F01F3">
        <w:rPr>
          <w:rFonts w:ascii="FoundrySterling-Book" w:eastAsia="FoundrySterling-Book" w:hAnsi="FoundrySterling-Book" w:cs="Courier New"/>
          <w:szCs w:val="24"/>
          <w:lang w:val="en-GB" w:bidi="en-GB"/>
        </w:rPr>
        <w:t>As regards</w:t>
      </w:r>
      <w:proofErr w:type="gramEnd"/>
      <w:r w:rsidRPr="002F01F3">
        <w:rPr>
          <w:rFonts w:ascii="FoundrySterling-Book" w:eastAsia="FoundrySterling-Book" w:hAnsi="FoundrySterling-Book" w:cs="Courier New"/>
          <w:szCs w:val="24"/>
          <w:lang w:val="en-GB" w:bidi="en-GB"/>
        </w:rPr>
        <w:t xml:space="preserve"> the company’s foreign currency risk, the most significant currencies are the Russian rouble and the U.S. dollar. About 90 per cent of the company’s cash flow is in euros, which means the company’s exposure to foreign currency risks is very low. A weakening of currencies may have an adverse effect on the sales margin.</w:t>
      </w:r>
    </w:p>
    <w:p w:rsidR="00C21C22" w:rsidRDefault="00C21C22" w:rsidP="000C0AEA">
      <w:pPr>
        <w:rPr>
          <w:rFonts w:ascii="FoundrySterling-Book" w:hAnsi="FoundrySterling-Book" w:cs="Courier New"/>
          <w:szCs w:val="24"/>
        </w:rPr>
      </w:pPr>
    </w:p>
    <w:p w:rsidR="000C0AEA" w:rsidRPr="00C6214A" w:rsidRDefault="00C21C22" w:rsidP="000C0AEA">
      <w:pPr>
        <w:rPr>
          <w:rFonts w:ascii="FoundrySterling-Book" w:hAnsi="FoundrySterling-Book" w:cs="Courier New"/>
          <w:szCs w:val="24"/>
        </w:rPr>
      </w:pPr>
      <w:r>
        <w:rPr>
          <w:rFonts w:ascii="FoundrySterling-Book" w:eastAsia="FoundrySterling-Book" w:hAnsi="FoundrySterling-Book" w:cs="Courier New"/>
          <w:szCs w:val="24"/>
          <w:lang w:val="en-GB" w:bidi="en-GB"/>
        </w:rPr>
        <w:t>The risks are described in more detail on page 82 of the 2016 annual report and in the 2017 annual report that will be published during the week beginning on 19 March 2018 (week 12).</w:t>
      </w:r>
    </w:p>
    <w:p w:rsidR="0012325B" w:rsidRDefault="0012325B" w:rsidP="00EE64C7">
      <w:pPr>
        <w:autoSpaceDE w:val="0"/>
        <w:autoSpaceDN w:val="0"/>
        <w:adjustRightInd w:val="0"/>
        <w:rPr>
          <w:rFonts w:ascii="FoundrySterling-Book" w:hAnsi="FoundrySterling-Book"/>
          <w:b/>
          <w:szCs w:val="24"/>
        </w:rPr>
      </w:pPr>
    </w:p>
    <w:p w:rsidR="001B28B5" w:rsidRDefault="001B28B5" w:rsidP="00EE64C7">
      <w:pPr>
        <w:autoSpaceDE w:val="0"/>
        <w:autoSpaceDN w:val="0"/>
        <w:adjustRightInd w:val="0"/>
        <w:rPr>
          <w:rFonts w:ascii="FoundrySterling-Book" w:hAnsi="FoundrySterling-Book"/>
          <w:b/>
          <w:szCs w:val="24"/>
        </w:rPr>
      </w:pPr>
    </w:p>
    <w:p w:rsidR="00675301" w:rsidRPr="002F01F3" w:rsidRDefault="00675301" w:rsidP="00EE64C7">
      <w:pPr>
        <w:autoSpaceDE w:val="0"/>
        <w:autoSpaceDN w:val="0"/>
        <w:adjustRightInd w:val="0"/>
        <w:rPr>
          <w:rFonts w:ascii="FoundrySterling-Book" w:hAnsi="FoundrySterling-Book"/>
          <w:b/>
          <w:szCs w:val="24"/>
        </w:rPr>
      </w:pPr>
      <w:proofErr w:type="gramStart"/>
      <w:r w:rsidRPr="002F01F3">
        <w:rPr>
          <w:rFonts w:ascii="FoundrySterling-Book" w:eastAsia="FoundrySterling-Book" w:hAnsi="FoundrySterling-Book" w:cs="FoundrySterling-Book"/>
          <w:b/>
          <w:szCs w:val="24"/>
          <w:lang w:val="en-GB" w:bidi="en-GB"/>
        </w:rPr>
        <w:t>Future outlook</w:t>
      </w:r>
      <w:proofErr w:type="gramEnd"/>
    </w:p>
    <w:p w:rsidR="009F7AAB" w:rsidRPr="00D416FF" w:rsidRDefault="00675301" w:rsidP="009F7AAB">
      <w:pPr>
        <w:pStyle w:val="HTML-esimuotoiltu"/>
        <w:rPr>
          <w:rFonts w:ascii="FoundrySterling-Book" w:hAnsi="FoundrySterling-Book" w:cs="FoundrySterling-Book"/>
          <w:sz w:val="24"/>
          <w:szCs w:val="24"/>
          <w:lang w:eastAsia="en-US"/>
        </w:rPr>
      </w:pPr>
      <w:r w:rsidRPr="002F01F3">
        <w:rPr>
          <w:rFonts w:ascii="FoundrySterling-Book" w:eastAsia="FoundrySterling-Book" w:hAnsi="FoundrySterling-Book" w:cs="FoundrySterling-Book"/>
          <w:b/>
          <w:szCs w:val="24"/>
          <w:lang w:val="en-GB" w:bidi="en-GB"/>
        </w:rPr>
        <w:br/>
      </w:r>
      <w:r w:rsidR="009F7AAB" w:rsidRPr="002F01F3">
        <w:rPr>
          <w:rFonts w:ascii="FoundrySterling-Book" w:eastAsia="FoundrySterling-Book" w:hAnsi="FoundrySterling-Book" w:cs="Courier New"/>
          <w:sz w:val="24"/>
          <w:szCs w:val="24"/>
          <w:lang w:val="en-GB" w:bidi="en-GB"/>
        </w:rPr>
        <w:t>Net sales are expected to increase in 2018, and the operating profit is expected to be positive.</w:t>
      </w:r>
    </w:p>
    <w:p w:rsidR="001B28B5" w:rsidRPr="00D416FF" w:rsidRDefault="001B28B5" w:rsidP="00464074">
      <w:pPr>
        <w:pStyle w:val="HTML-esimuotoiltu"/>
        <w:rPr>
          <w:rFonts w:ascii="FoundrySterling-Book" w:hAnsi="FoundrySterling-Book" w:cs="FoundrySterling-Book"/>
          <w:sz w:val="24"/>
          <w:szCs w:val="24"/>
          <w:lang w:eastAsia="en-US"/>
        </w:rPr>
      </w:pPr>
    </w:p>
    <w:p w:rsidR="002E770A" w:rsidRDefault="002E770A" w:rsidP="00EE64C7">
      <w:pPr>
        <w:rPr>
          <w:rFonts w:ascii="FoundrySterling-Book" w:hAnsi="FoundrySterling-Book"/>
          <w:szCs w:val="24"/>
        </w:rPr>
      </w:pPr>
    </w:p>
    <w:p w:rsidR="00992FE0" w:rsidRDefault="00B9077E" w:rsidP="00EE64C7">
      <w:pPr>
        <w:rPr>
          <w:rFonts w:ascii="FoundrySterling-Book" w:hAnsi="FoundrySterling-Book"/>
          <w:szCs w:val="24"/>
        </w:rPr>
      </w:pPr>
      <w:r w:rsidRPr="00B9077E">
        <w:drawing>
          <wp:inline distT="0" distB="0" distL="0" distR="0" wp14:anchorId="3ADDF1BE" wp14:editId="723F1D33">
            <wp:extent cx="6120130" cy="4893310"/>
            <wp:effectExtent l="0" t="0" r="0" b="254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893310"/>
                    </a:xfrm>
                    <a:prstGeom prst="rect">
                      <a:avLst/>
                    </a:prstGeom>
                  </pic:spPr>
                </pic:pic>
              </a:graphicData>
            </a:graphic>
          </wp:inline>
        </w:drawing>
      </w:r>
    </w:p>
    <w:p w:rsidR="00675301" w:rsidRDefault="00675301" w:rsidP="0035527C">
      <w:pPr>
        <w:rPr>
          <w:noProof/>
        </w:rPr>
      </w:pPr>
    </w:p>
    <w:p w:rsidR="001F229B" w:rsidRPr="00BD29F1" w:rsidRDefault="001F229B" w:rsidP="0035527C">
      <w:pPr>
        <w:rPr>
          <w:noProof/>
          <w:szCs w:val="24"/>
        </w:rPr>
      </w:pPr>
    </w:p>
    <w:p w:rsidR="00675301" w:rsidRPr="009B45AE" w:rsidRDefault="00675301" w:rsidP="0035527C">
      <w:pPr>
        <w:rPr>
          <w:rFonts w:ascii="FoundrySterling-Book" w:hAnsi="FoundrySterling-Book"/>
          <w:b/>
          <w:szCs w:val="24"/>
        </w:rPr>
      </w:pPr>
    </w:p>
    <w:p w:rsidR="00675301" w:rsidRPr="009B45AE" w:rsidRDefault="00675301" w:rsidP="0035527C">
      <w:pPr>
        <w:rPr>
          <w:rFonts w:ascii="FoundrySterling-Book" w:hAnsi="FoundrySterling-Book"/>
          <w:b/>
          <w:szCs w:val="24"/>
        </w:rPr>
      </w:pPr>
    </w:p>
    <w:p w:rsidR="00675301" w:rsidRPr="00BD29F1" w:rsidRDefault="00B9077E" w:rsidP="009B45AE">
      <w:pPr>
        <w:tabs>
          <w:tab w:val="right" w:pos="4820"/>
          <w:tab w:val="right" w:pos="5954"/>
          <w:tab w:val="right" w:pos="7088"/>
          <w:tab w:val="right" w:pos="8080"/>
          <w:tab w:val="right" w:pos="9639"/>
        </w:tabs>
        <w:outlineLvl w:val="0"/>
        <w:rPr>
          <w:noProof/>
          <w:szCs w:val="24"/>
        </w:rPr>
      </w:pPr>
      <w:r w:rsidRPr="00B9077E">
        <w:lastRenderedPageBreak/>
        <w:drawing>
          <wp:inline distT="0" distB="0" distL="0" distR="0" wp14:anchorId="6FB54FEC" wp14:editId="7412FD62">
            <wp:extent cx="6120130" cy="5629275"/>
            <wp:effectExtent l="0" t="0" r="0" b="952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5629275"/>
                    </a:xfrm>
                    <a:prstGeom prst="rect">
                      <a:avLst/>
                    </a:prstGeom>
                  </pic:spPr>
                </pic:pic>
              </a:graphicData>
            </a:graphic>
          </wp:inline>
        </w:drawing>
      </w:r>
    </w:p>
    <w:p w:rsidR="00675301" w:rsidRDefault="00675301"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1F229B" w:rsidRPr="007717FA" w:rsidRDefault="00B9077E" w:rsidP="009B45AE">
      <w:pPr>
        <w:tabs>
          <w:tab w:val="right" w:pos="4820"/>
          <w:tab w:val="right" w:pos="5954"/>
          <w:tab w:val="right" w:pos="7088"/>
          <w:tab w:val="right" w:pos="8080"/>
          <w:tab w:val="right" w:pos="9639"/>
        </w:tabs>
        <w:rPr>
          <w:szCs w:val="24"/>
        </w:rPr>
      </w:pPr>
      <w:r w:rsidRPr="00B9077E">
        <w:lastRenderedPageBreak/>
        <w:drawing>
          <wp:inline distT="0" distB="0" distL="0" distR="0" wp14:anchorId="3A3EA9DF" wp14:editId="1FCB337A">
            <wp:extent cx="6120130" cy="4764405"/>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4764405"/>
                    </a:xfrm>
                    <a:prstGeom prst="rect">
                      <a:avLst/>
                    </a:prstGeom>
                  </pic:spPr>
                </pic:pic>
              </a:graphicData>
            </a:graphic>
          </wp:inline>
        </w:drawing>
      </w:r>
    </w:p>
    <w:p w:rsidR="00675301" w:rsidRDefault="00675301"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052C63" w:rsidRDefault="00B9077E" w:rsidP="009B45AE">
      <w:pPr>
        <w:tabs>
          <w:tab w:val="right" w:pos="4820"/>
          <w:tab w:val="right" w:pos="5954"/>
          <w:tab w:val="right" w:pos="7088"/>
          <w:tab w:val="right" w:pos="8080"/>
          <w:tab w:val="right" w:pos="8931"/>
          <w:tab w:val="right" w:pos="9639"/>
        </w:tabs>
        <w:rPr>
          <w:noProof/>
        </w:rPr>
      </w:pPr>
      <w:r w:rsidRPr="00B9077E">
        <w:lastRenderedPageBreak/>
        <w:drawing>
          <wp:inline distT="0" distB="0" distL="0" distR="0" wp14:anchorId="27116E43" wp14:editId="086FA73A">
            <wp:extent cx="6120130" cy="671068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6710680"/>
                    </a:xfrm>
                    <a:prstGeom prst="rect">
                      <a:avLst/>
                    </a:prstGeom>
                  </pic:spPr>
                </pic:pic>
              </a:graphicData>
            </a:graphic>
          </wp:inline>
        </w:drawing>
      </w:r>
    </w:p>
    <w:p w:rsidR="00BD774D" w:rsidRDefault="00B9077E" w:rsidP="009B45AE">
      <w:pPr>
        <w:tabs>
          <w:tab w:val="right" w:pos="4820"/>
          <w:tab w:val="right" w:pos="5954"/>
          <w:tab w:val="right" w:pos="7088"/>
          <w:tab w:val="right" w:pos="8080"/>
          <w:tab w:val="right" w:pos="8931"/>
          <w:tab w:val="right" w:pos="9639"/>
        </w:tabs>
        <w:rPr>
          <w:noProof/>
        </w:rPr>
      </w:pPr>
      <w:r w:rsidRPr="00B9077E">
        <w:lastRenderedPageBreak/>
        <w:drawing>
          <wp:inline distT="0" distB="0" distL="0" distR="0" wp14:anchorId="37D33E6F" wp14:editId="1202B51C">
            <wp:extent cx="6120130" cy="2046605"/>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046605"/>
                    </a:xfrm>
                    <a:prstGeom prst="rect">
                      <a:avLst/>
                    </a:prstGeom>
                  </pic:spPr>
                </pic:pic>
              </a:graphicData>
            </a:graphic>
          </wp:inline>
        </w:drawing>
      </w:r>
    </w:p>
    <w:p w:rsidR="000A3C74" w:rsidRDefault="000A3C74" w:rsidP="009B45AE">
      <w:pPr>
        <w:tabs>
          <w:tab w:val="right" w:pos="4820"/>
          <w:tab w:val="right" w:pos="5954"/>
          <w:tab w:val="right" w:pos="7088"/>
          <w:tab w:val="right" w:pos="8080"/>
          <w:tab w:val="right" w:pos="8931"/>
          <w:tab w:val="right" w:pos="9639"/>
        </w:tabs>
        <w:rPr>
          <w:noProof/>
        </w:rPr>
      </w:pPr>
    </w:p>
    <w:p w:rsidR="00B9077E" w:rsidRDefault="00B9077E" w:rsidP="009B45AE">
      <w:pPr>
        <w:tabs>
          <w:tab w:val="right" w:pos="4820"/>
          <w:tab w:val="right" w:pos="5954"/>
          <w:tab w:val="right" w:pos="7088"/>
          <w:tab w:val="right" w:pos="8080"/>
          <w:tab w:val="right" w:pos="8931"/>
          <w:tab w:val="right" w:pos="9639"/>
        </w:tabs>
        <w:rPr>
          <w:noProof/>
        </w:rPr>
      </w:pPr>
    </w:p>
    <w:p w:rsidR="00BD774D" w:rsidRDefault="00B9077E" w:rsidP="009B45AE">
      <w:pPr>
        <w:tabs>
          <w:tab w:val="right" w:pos="4820"/>
          <w:tab w:val="right" w:pos="5954"/>
          <w:tab w:val="right" w:pos="7088"/>
          <w:tab w:val="right" w:pos="8080"/>
          <w:tab w:val="right" w:pos="8931"/>
          <w:tab w:val="right" w:pos="9639"/>
        </w:tabs>
        <w:rPr>
          <w:noProof/>
        </w:rPr>
      </w:pPr>
      <w:r w:rsidRPr="00B9077E">
        <w:drawing>
          <wp:inline distT="0" distB="0" distL="0" distR="0" wp14:anchorId="193ED156" wp14:editId="7400B8FA">
            <wp:extent cx="6120130" cy="4401185"/>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401185"/>
                    </a:xfrm>
                    <a:prstGeom prst="rect">
                      <a:avLst/>
                    </a:prstGeom>
                  </pic:spPr>
                </pic:pic>
              </a:graphicData>
            </a:graphic>
          </wp:inline>
        </w:drawing>
      </w:r>
    </w:p>
    <w:p w:rsidR="00B9077E" w:rsidRDefault="00B9077E" w:rsidP="00C5163A">
      <w:pPr>
        <w:rPr>
          <w:rFonts w:ascii="FoundrySterling-Book" w:eastAsia="FoundrySterling-Book" w:hAnsi="FoundrySterling-Book" w:cs="FoundrySterling-Book"/>
          <w:szCs w:val="24"/>
          <w:lang w:val="en-GB" w:bidi="en-GB"/>
        </w:rPr>
      </w:pPr>
    </w:p>
    <w:p w:rsidR="00B9077E" w:rsidRDefault="00B9077E" w:rsidP="00C5163A">
      <w:pPr>
        <w:rPr>
          <w:rFonts w:ascii="FoundrySterling-Book" w:eastAsia="FoundrySterling-Book" w:hAnsi="FoundrySterling-Book" w:cs="FoundrySterling-Book"/>
          <w:szCs w:val="24"/>
          <w:lang w:val="en-GB" w:bidi="en-GB"/>
        </w:rPr>
      </w:pPr>
    </w:p>
    <w:p w:rsidR="00B9077E" w:rsidRDefault="00B9077E" w:rsidP="00C5163A">
      <w:pPr>
        <w:rPr>
          <w:rFonts w:ascii="FoundrySterling-Book" w:eastAsia="FoundrySterling-Book" w:hAnsi="FoundrySterling-Book" w:cs="FoundrySterling-Book"/>
          <w:szCs w:val="24"/>
          <w:lang w:val="en-GB" w:bidi="en-GB"/>
        </w:rPr>
      </w:pPr>
    </w:p>
    <w:p w:rsidR="00675301" w:rsidRPr="00536AD7" w:rsidRDefault="00675301" w:rsidP="00C5163A">
      <w:pPr>
        <w:rPr>
          <w:rFonts w:ascii="FoundrySterling-Book" w:hAnsi="FoundrySterling-Book"/>
          <w:szCs w:val="24"/>
        </w:rPr>
      </w:pPr>
      <w:r>
        <w:rPr>
          <w:rFonts w:ascii="FoundrySterling-Book" w:eastAsia="FoundrySterling-Book" w:hAnsi="FoundrySterling-Book" w:cs="FoundrySterling-Book"/>
          <w:szCs w:val="24"/>
          <w:lang w:val="en-GB" w:bidi="en-GB"/>
        </w:rPr>
        <w:lastRenderedPageBreak/>
        <w:t xml:space="preserve">Notes to the financial statements </w:t>
      </w:r>
    </w:p>
    <w:p w:rsidR="00675301" w:rsidRDefault="00675301" w:rsidP="00C5163A">
      <w:pPr>
        <w:rPr>
          <w:rFonts w:ascii="FoundrySterling-Book" w:hAnsi="FoundrySterling-Book"/>
          <w:szCs w:val="24"/>
        </w:rPr>
      </w:pPr>
    </w:p>
    <w:p w:rsidR="00FA0462" w:rsidRDefault="00FD2070" w:rsidP="00C5163A">
      <w:pPr>
        <w:rPr>
          <w:rFonts w:ascii="FoundrySterling-Book" w:hAnsi="FoundrySterling-Book"/>
          <w:szCs w:val="24"/>
        </w:rPr>
      </w:pPr>
      <w:r>
        <w:rPr>
          <w:rFonts w:ascii="FoundrySterling-Book" w:eastAsia="FoundrySterling-Book" w:hAnsi="FoundrySterling-Book" w:cs="FoundrySterling-Book"/>
          <w:szCs w:val="24"/>
          <w:lang w:val="en-GB" w:bidi="en-GB"/>
        </w:rPr>
        <w:t>The information presented in the financial statements release has not been audited.</w:t>
      </w:r>
    </w:p>
    <w:p w:rsidR="00FA0462" w:rsidRDefault="00FA0462" w:rsidP="00C5163A">
      <w:pPr>
        <w:rPr>
          <w:rFonts w:ascii="FoundrySterling-Book" w:hAnsi="FoundrySterling-Book"/>
          <w:szCs w:val="24"/>
        </w:rPr>
      </w:pPr>
    </w:p>
    <w:p w:rsidR="00675301" w:rsidRDefault="009B47E5"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roofErr w:type="gramStart"/>
      <w:r>
        <w:rPr>
          <w:rFonts w:ascii="FoundrySterling-Book" w:eastAsia="FoundrySterling-Book" w:hAnsi="FoundrySterling-Book" w:cs="FoundrySterling-Book"/>
          <w:sz w:val="24"/>
          <w:szCs w:val="24"/>
          <w:lang w:val="en-GB" w:bidi="en-GB"/>
        </w:rPr>
        <w:t>This financial statements</w:t>
      </w:r>
      <w:proofErr w:type="gramEnd"/>
      <w:r>
        <w:rPr>
          <w:rFonts w:ascii="FoundrySterling-Book" w:eastAsia="FoundrySterling-Book" w:hAnsi="FoundrySterling-Book" w:cs="FoundrySterling-Book"/>
          <w:sz w:val="24"/>
          <w:szCs w:val="24"/>
          <w:lang w:val="en-GB" w:bidi="en-GB"/>
        </w:rPr>
        <w:t xml:space="preserve"> release has been prepared in accordance with the IAS 34 Interim Financial Reporting standard. Tulikivi has applied the same IFRS accounting principles in </w:t>
      </w:r>
      <w:proofErr w:type="gramStart"/>
      <w:r>
        <w:rPr>
          <w:rFonts w:ascii="FoundrySterling-Book" w:eastAsia="FoundrySterling-Book" w:hAnsi="FoundrySterling-Book" w:cs="FoundrySterling-Book"/>
          <w:sz w:val="24"/>
          <w:szCs w:val="24"/>
          <w:lang w:val="en-GB" w:bidi="en-GB"/>
        </w:rPr>
        <w:t>this financial statements</w:t>
      </w:r>
      <w:proofErr w:type="gramEnd"/>
      <w:r>
        <w:rPr>
          <w:rFonts w:ascii="FoundrySterling-Book" w:eastAsia="FoundrySterling-Book" w:hAnsi="FoundrySterling-Book" w:cs="FoundrySterling-Book"/>
          <w:sz w:val="24"/>
          <w:szCs w:val="24"/>
          <w:lang w:val="en-GB" w:bidi="en-GB"/>
        </w:rPr>
        <w:t xml:space="preserve"> release as in the previous consolidated financial statements. The key figures presented in the financial statements release have been calculated using the same formulas as the latest financial statements for 2016. As there are no non-recurring expenses in this or the preceding review period, no figures based on non-recurring expenses are presented. The formulas can be found on page 86 of the Annual Report 2016.</w:t>
      </w:r>
    </w:p>
    <w:p w:rsidR="002D68C7" w:rsidRDefault="002D68C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rsidR="00BD774D" w:rsidRDefault="008B1334"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8B1334">
        <w:drawing>
          <wp:inline distT="0" distB="0" distL="0" distR="0" wp14:anchorId="1AB5BB89" wp14:editId="7D17B6B8">
            <wp:extent cx="6120130" cy="3159760"/>
            <wp:effectExtent l="0" t="0" r="0" b="254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3159760"/>
                    </a:xfrm>
                    <a:prstGeom prst="rect">
                      <a:avLst/>
                    </a:prstGeom>
                  </pic:spPr>
                </pic:pic>
              </a:graphicData>
            </a:graphic>
          </wp:inline>
        </w:drawing>
      </w:r>
    </w:p>
    <w:p w:rsidR="00E9440A" w:rsidRDefault="00E9440A" w:rsidP="002D68C7">
      <w:pPr>
        <w:pStyle w:val="Leipteksti3"/>
        <w:tabs>
          <w:tab w:val="right" w:pos="4253"/>
          <w:tab w:val="right" w:pos="4820"/>
          <w:tab w:val="right" w:pos="5103"/>
          <w:tab w:val="right" w:pos="5954"/>
          <w:tab w:val="right" w:pos="6237"/>
          <w:tab w:val="right" w:pos="6804"/>
          <w:tab w:val="right" w:pos="7088"/>
          <w:tab w:val="right" w:pos="7655"/>
          <w:tab w:val="right" w:pos="8080"/>
          <w:tab w:val="right" w:pos="8505"/>
          <w:tab w:val="right" w:pos="8931"/>
          <w:tab w:val="right" w:pos="9639"/>
        </w:tabs>
        <w:spacing w:after="0"/>
        <w:rPr>
          <w:rFonts w:ascii="FoundrySterling-Book" w:hAnsi="FoundrySterling-Book"/>
          <w:sz w:val="24"/>
          <w:szCs w:val="24"/>
        </w:rPr>
      </w:pPr>
    </w:p>
    <w:p w:rsidR="00675301" w:rsidRPr="00536AD7" w:rsidRDefault="00675301" w:rsidP="00C5163A">
      <w:pPr>
        <w:tabs>
          <w:tab w:val="right" w:pos="4820"/>
          <w:tab w:val="right" w:pos="5387"/>
          <w:tab w:val="right" w:pos="7088"/>
          <w:tab w:val="right" w:pos="8460"/>
          <w:tab w:val="right" w:pos="9639"/>
        </w:tabs>
        <w:jc w:val="both"/>
        <w:rPr>
          <w:rFonts w:ascii="FoundrySterling-Book" w:hAnsi="FoundrySterling-Book" w:cs="Courier New"/>
          <w:color w:val="000000"/>
          <w:szCs w:val="24"/>
        </w:rPr>
      </w:pPr>
      <w:r w:rsidRPr="00536AD7">
        <w:rPr>
          <w:rFonts w:ascii="FoundrySterling-Book" w:eastAsia="FoundrySterling-Book" w:hAnsi="FoundrySterling-Book" w:cs="Courier New"/>
          <w:color w:val="000000"/>
          <w:szCs w:val="24"/>
          <w:lang w:val="en-GB" w:bidi="en-GB"/>
        </w:rPr>
        <w:tab/>
      </w:r>
      <w:r w:rsidRPr="00536AD7">
        <w:rPr>
          <w:rFonts w:ascii="FoundrySterling-Book" w:eastAsia="FoundrySterling-Book" w:hAnsi="FoundrySterling-Book" w:cs="Courier New"/>
          <w:color w:val="000000"/>
          <w:szCs w:val="24"/>
          <w:lang w:val="en-GB" w:bidi="en-GB"/>
        </w:rPr>
        <w:tab/>
      </w:r>
    </w:p>
    <w:p w:rsidR="00BD774D" w:rsidRDefault="00BD774D"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rPr>
      </w:pPr>
    </w:p>
    <w:p w:rsidR="00675301" w:rsidRPr="00536AD7" w:rsidRDefault="00675301"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highlight w:val="yellow"/>
        </w:rPr>
      </w:pPr>
      <w:r w:rsidRPr="00536AD7">
        <w:rPr>
          <w:rFonts w:ascii="FoundrySterling-Book" w:eastAsia="FoundrySterling-Book" w:hAnsi="FoundrySterling-Book" w:cs="Courier New"/>
          <w:color w:val="000000"/>
          <w:szCs w:val="24"/>
          <w:lang w:val="en-GB" w:bidi="en-GB"/>
        </w:rPr>
        <w:t xml:space="preserve">The fair value of derivatives is the gain or loss for closing the contract based on market rates at the balance sheet date. Derivatives contracts belong to level 2 of the fair value hierarchy. Available-for-sale financial assets are investments in unlisted shares They are valued at acquisition cost because their fair value cannot be reliably determined. </w:t>
      </w:r>
    </w:p>
    <w:p w:rsidR="00675301" w:rsidRDefault="00675301" w:rsidP="00C5163A">
      <w:pPr>
        <w:rPr>
          <w:szCs w:val="24"/>
        </w:rPr>
      </w:pPr>
    </w:p>
    <w:p w:rsidR="00675301" w:rsidRDefault="008B1334" w:rsidP="00C5163A">
      <w:pPr>
        <w:rPr>
          <w:szCs w:val="24"/>
        </w:rPr>
      </w:pPr>
      <w:r w:rsidRPr="008B1334">
        <w:lastRenderedPageBreak/>
        <w:drawing>
          <wp:inline distT="0" distB="0" distL="0" distR="0" wp14:anchorId="459946B3" wp14:editId="7D726A99">
            <wp:extent cx="6120130" cy="4545965"/>
            <wp:effectExtent l="0" t="0" r="0" b="6985"/>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545965"/>
                    </a:xfrm>
                    <a:prstGeom prst="rect">
                      <a:avLst/>
                    </a:prstGeom>
                  </pic:spPr>
                </pic:pic>
              </a:graphicData>
            </a:graphic>
          </wp:inline>
        </w:drawing>
      </w:r>
      <w:bookmarkStart w:id="6" w:name="_GoBack"/>
      <w:bookmarkEnd w:id="6"/>
    </w:p>
    <w:p w:rsidR="00675301" w:rsidRPr="00402D90" w:rsidRDefault="00675301" w:rsidP="00C5163A">
      <w:pPr>
        <w:rPr>
          <w:noProof/>
          <w:szCs w:val="24"/>
        </w:rPr>
      </w:pPr>
    </w:p>
    <w:p w:rsidR="00675301"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CA18A5" w:rsidRDefault="00CA18A5"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675301" w:rsidRPr="005F0D5A" w:rsidRDefault="00C44A35" w:rsidP="00C5163A">
      <w:pPr>
        <w:tabs>
          <w:tab w:val="right" w:pos="4820"/>
          <w:tab w:val="right" w:pos="5954"/>
          <w:tab w:val="right" w:pos="7088"/>
          <w:tab w:val="right" w:pos="8080"/>
          <w:tab w:val="right" w:pos="8931"/>
          <w:tab w:val="right" w:pos="9639"/>
        </w:tabs>
        <w:jc w:val="both"/>
        <w:rPr>
          <w:rFonts w:ascii="FoundrySterling-Book" w:hAnsi="FoundrySterling-Book" w:cs="Courier New"/>
          <w:b/>
          <w:color w:val="000000"/>
          <w:szCs w:val="24"/>
        </w:rPr>
      </w:pPr>
      <w:r>
        <w:rPr>
          <w:rFonts w:ascii="FoundrySterling-Book" w:eastAsia="FoundrySterling-Book" w:hAnsi="FoundrySterling-Book" w:cs="Courier New"/>
          <w:color w:val="000000"/>
          <w:szCs w:val="24"/>
          <w:lang w:val="en-GB" w:bidi="en-GB"/>
        </w:rPr>
        <w:t>Share capital</w:t>
      </w:r>
    </w:p>
    <w:p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Share capital by share series</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ab/>
        <w:t>Shares</w:t>
      </w:r>
      <w:r w:rsidR="00C44A35">
        <w:rPr>
          <w:rFonts w:ascii="FoundrySterling-Book" w:eastAsia="FoundrySterling-Book" w:hAnsi="FoundrySterling-Book" w:cs="Courier New"/>
          <w:color w:val="000000"/>
          <w:szCs w:val="24"/>
          <w:lang w:val="en-GB" w:bidi="en-GB"/>
        </w:rPr>
        <w:t xml:space="preserve"> </w:t>
      </w:r>
      <w:r w:rsidRPr="005F0D5A">
        <w:rPr>
          <w:rFonts w:ascii="FoundrySterling-Book" w:eastAsia="FoundrySterling-Book" w:hAnsi="FoundrySterling-Book" w:cs="Courier New"/>
          <w:color w:val="000000"/>
          <w:szCs w:val="24"/>
          <w:lang w:val="en-GB" w:bidi="en-GB"/>
        </w:rPr>
        <w:tab/>
        <w:t xml:space="preserve">Percentage, </w:t>
      </w:r>
      <w:r w:rsidRPr="005F0D5A">
        <w:rPr>
          <w:rFonts w:ascii="FoundrySterling-Book" w:eastAsia="FoundrySterling-Book" w:hAnsi="FoundrySterling-Book" w:cs="Courier New"/>
          <w:color w:val="000000"/>
          <w:szCs w:val="24"/>
          <w:lang w:val="en-GB" w:bidi="en-GB"/>
        </w:rPr>
        <w:tab/>
        <w:t xml:space="preserve">Percentage, </w:t>
      </w:r>
      <w:r w:rsidRPr="005F0D5A">
        <w:rPr>
          <w:rFonts w:ascii="FoundrySterling-Book" w:eastAsia="FoundrySterling-Book" w:hAnsi="FoundrySterling-Book" w:cs="Courier New"/>
          <w:color w:val="000000"/>
          <w:szCs w:val="24"/>
          <w:lang w:val="en-GB" w:bidi="en-GB"/>
        </w:rPr>
        <w:tab/>
        <w:t>Percentage,</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ab/>
      </w:r>
      <w:r w:rsidRPr="005F0D5A">
        <w:rPr>
          <w:rFonts w:ascii="FoundrySterling-Book" w:eastAsia="FoundrySterling-Book" w:hAnsi="FoundrySterling-Book" w:cs="Courier New"/>
          <w:color w:val="000000"/>
          <w:szCs w:val="24"/>
          <w:lang w:val="en-GB" w:bidi="en-GB"/>
        </w:rPr>
        <w:tab/>
        <w:t>%</w:t>
      </w:r>
      <w:r w:rsidRPr="005F0D5A">
        <w:rPr>
          <w:rFonts w:ascii="FoundrySterling-Book" w:eastAsia="FoundrySterling-Book" w:hAnsi="FoundrySterling-Book" w:cs="Courier New"/>
          <w:color w:val="000000"/>
          <w:szCs w:val="24"/>
          <w:lang w:val="en-GB" w:bidi="en-GB"/>
        </w:rPr>
        <w:tab/>
        <w:t>%</w:t>
      </w:r>
      <w:r w:rsidRPr="005F0D5A">
        <w:rPr>
          <w:rFonts w:ascii="FoundrySterling-Book" w:eastAsia="FoundrySterling-Book" w:hAnsi="FoundrySterling-Book" w:cs="Courier New"/>
          <w:color w:val="000000"/>
          <w:szCs w:val="24"/>
          <w:lang w:val="en-GB" w:bidi="en-GB"/>
        </w:rPr>
        <w:tab/>
        <w:t>EUR</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ab/>
      </w:r>
      <w:r w:rsidRPr="005F0D5A">
        <w:rPr>
          <w:rFonts w:ascii="FoundrySterling-Book" w:eastAsia="FoundrySterling-Book" w:hAnsi="FoundrySterling-Book" w:cs="Courier New"/>
          <w:color w:val="000000"/>
          <w:szCs w:val="24"/>
          <w:lang w:val="en-GB" w:bidi="en-GB"/>
        </w:rPr>
        <w:tab/>
        <w:t>shares</w:t>
      </w:r>
      <w:r w:rsidRPr="005F0D5A">
        <w:rPr>
          <w:rFonts w:ascii="FoundrySterling-Book" w:eastAsia="FoundrySterling-Book" w:hAnsi="FoundrySterling-Book" w:cs="Courier New"/>
          <w:color w:val="000000"/>
          <w:szCs w:val="24"/>
          <w:lang w:val="en-GB" w:bidi="en-GB"/>
        </w:rPr>
        <w:tab/>
        <w:t>votes</w:t>
      </w:r>
      <w:r w:rsidRPr="005F0D5A">
        <w:rPr>
          <w:rFonts w:ascii="FoundrySterling-Book" w:eastAsia="FoundrySterling-Book" w:hAnsi="FoundrySterling-Book" w:cs="Courier New"/>
          <w:color w:val="000000"/>
          <w:szCs w:val="24"/>
          <w:lang w:val="en-GB" w:bidi="en-GB"/>
        </w:rPr>
        <w:tab/>
        <w:t>share</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ab/>
      </w:r>
      <w:r w:rsidRPr="005F0D5A">
        <w:rPr>
          <w:rFonts w:ascii="FoundrySterling-Book" w:eastAsia="FoundrySterling-Book" w:hAnsi="FoundrySterling-Book" w:cs="Courier New"/>
          <w:color w:val="000000"/>
          <w:szCs w:val="24"/>
          <w:lang w:val="en-GB" w:bidi="en-GB"/>
        </w:rPr>
        <w:tab/>
        <w:t>capital</w:t>
      </w:r>
      <w:r w:rsidRPr="005F0D5A">
        <w:rPr>
          <w:rFonts w:ascii="FoundrySterling-Book" w:eastAsia="FoundrySterling-Book" w:hAnsi="FoundrySterling-Book" w:cs="Courier New"/>
          <w:color w:val="000000"/>
          <w:szCs w:val="24"/>
          <w:lang w:val="en-GB" w:bidi="en-GB"/>
        </w:rPr>
        <w:tab/>
      </w:r>
      <w:r w:rsidRPr="005F0D5A">
        <w:rPr>
          <w:rFonts w:ascii="FoundrySterling-Book" w:eastAsia="FoundrySterling-Book" w:hAnsi="FoundrySterling-Book" w:cs="Courier New"/>
          <w:color w:val="000000"/>
          <w:szCs w:val="24"/>
          <w:lang w:val="en-GB" w:bidi="en-GB"/>
        </w:rPr>
        <w:tab/>
      </w:r>
      <w:proofErr w:type="spellStart"/>
      <w:r w:rsidRPr="005F0D5A">
        <w:rPr>
          <w:rFonts w:ascii="FoundrySterling-Book" w:eastAsia="FoundrySterling-Book" w:hAnsi="FoundrySterling-Book" w:cs="Courier New"/>
          <w:color w:val="000000"/>
          <w:szCs w:val="24"/>
          <w:lang w:val="en-GB" w:bidi="en-GB"/>
        </w:rPr>
        <w:t>capital</w:t>
      </w:r>
      <w:proofErr w:type="spellEnd"/>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Series K shares (10 votes)</w:t>
      </w:r>
      <w:r w:rsidRPr="005F0D5A">
        <w:rPr>
          <w:rFonts w:ascii="FoundrySterling-Book" w:eastAsia="FoundrySterling-Book" w:hAnsi="FoundrySterling-Book" w:cs="Courier New"/>
          <w:color w:val="000000"/>
          <w:szCs w:val="24"/>
          <w:lang w:val="en-GB" w:bidi="en-GB"/>
        </w:rPr>
        <w:tab/>
        <w:t>7 682 500</w:t>
      </w:r>
      <w:r w:rsidRPr="005F0D5A">
        <w:rPr>
          <w:rFonts w:ascii="FoundrySterling-Book" w:eastAsia="FoundrySterling-Book" w:hAnsi="FoundrySterling-Book" w:cs="Courier New"/>
          <w:color w:val="000000"/>
          <w:szCs w:val="24"/>
          <w:lang w:val="en-GB" w:bidi="en-GB"/>
        </w:rPr>
        <w:tab/>
        <w:t>12.8</w:t>
      </w:r>
      <w:r w:rsidRPr="005F0D5A">
        <w:rPr>
          <w:rFonts w:ascii="FoundrySterling-Book" w:eastAsia="FoundrySterling-Book" w:hAnsi="FoundrySterling-Book" w:cs="Courier New"/>
          <w:color w:val="000000"/>
          <w:szCs w:val="24"/>
          <w:lang w:val="en-GB" w:bidi="en-GB"/>
        </w:rPr>
        <w:tab/>
        <w:t>59.5</w:t>
      </w:r>
      <w:r w:rsidRPr="005F0D5A">
        <w:rPr>
          <w:rFonts w:ascii="FoundrySterling-Book" w:eastAsia="FoundrySterling-Book" w:hAnsi="FoundrySterling-Book" w:cs="Courier New"/>
          <w:color w:val="000000"/>
          <w:szCs w:val="24"/>
          <w:lang w:val="en-GB" w:bidi="en-GB"/>
        </w:rPr>
        <w:tab/>
        <w:t xml:space="preserve"> 810 255</w:t>
      </w:r>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Series A shares (1 vote)</w:t>
      </w:r>
      <w:r w:rsidRPr="005F0D5A">
        <w:rPr>
          <w:rFonts w:ascii="FoundrySterling-Book" w:eastAsia="FoundrySterling-Book" w:hAnsi="FoundrySterling-Book" w:cs="Courier New"/>
          <w:color w:val="000000"/>
          <w:szCs w:val="24"/>
          <w:lang w:val="en-GB" w:bidi="en-GB"/>
        </w:rPr>
        <w:tab/>
        <w:t>52 188 743</w:t>
      </w:r>
      <w:r w:rsidRPr="005F0D5A">
        <w:rPr>
          <w:rFonts w:ascii="FoundrySterling-Book" w:eastAsia="FoundrySterling-Book" w:hAnsi="FoundrySterling-Book" w:cs="Courier New"/>
          <w:color w:val="000000"/>
          <w:szCs w:val="24"/>
          <w:lang w:val="en-GB" w:bidi="en-GB"/>
        </w:rPr>
        <w:tab/>
        <w:t>87.2</w:t>
      </w:r>
      <w:r w:rsidRPr="005F0D5A">
        <w:rPr>
          <w:rFonts w:ascii="FoundrySterling-Book" w:eastAsia="FoundrySterling-Book" w:hAnsi="FoundrySterling-Book" w:cs="Courier New"/>
          <w:color w:val="000000"/>
          <w:szCs w:val="24"/>
          <w:lang w:val="en-GB" w:bidi="en-GB"/>
        </w:rPr>
        <w:tab/>
        <w:t>40.5</w:t>
      </w:r>
      <w:r w:rsidRPr="005F0D5A">
        <w:rPr>
          <w:rFonts w:ascii="FoundrySterling-Book" w:eastAsia="FoundrySterling-Book" w:hAnsi="FoundrySterling-Book" w:cs="Courier New"/>
          <w:color w:val="000000"/>
          <w:szCs w:val="24"/>
          <w:lang w:val="en-GB" w:bidi="en-GB"/>
        </w:rPr>
        <w:tab/>
        <w:t>5 504 220</w:t>
      </w:r>
    </w:p>
    <w:p w:rsidR="00675301" w:rsidRPr="00536AD7" w:rsidRDefault="00C83896"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Total</w:t>
      </w:r>
      <w:r w:rsidR="00C44A35">
        <w:rPr>
          <w:rFonts w:ascii="FoundrySterling-Book" w:eastAsia="FoundrySterling-Book" w:hAnsi="FoundrySterling-Book" w:cs="Courier New"/>
          <w:color w:val="000000"/>
          <w:szCs w:val="24"/>
          <w:lang w:val="en-GB" w:bidi="en-GB"/>
        </w:rPr>
        <w:t>,</w:t>
      </w:r>
      <w:r w:rsidRPr="005F0D5A">
        <w:rPr>
          <w:rFonts w:ascii="FoundrySterling-Book" w:eastAsia="FoundrySterling-Book" w:hAnsi="FoundrySterling-Book" w:cs="Courier New"/>
          <w:color w:val="000000"/>
          <w:szCs w:val="24"/>
          <w:lang w:val="en-GB" w:bidi="en-GB"/>
        </w:rPr>
        <w:t xml:space="preserve"> 31 December 2017</w:t>
      </w:r>
      <w:r w:rsidRPr="005F0D5A">
        <w:rPr>
          <w:rFonts w:ascii="FoundrySterling-Book" w:eastAsia="FoundrySterling-Book" w:hAnsi="FoundrySterling-Book" w:cs="Courier New"/>
          <w:color w:val="000000"/>
          <w:szCs w:val="24"/>
          <w:lang w:val="en-GB" w:bidi="en-GB"/>
        </w:rPr>
        <w:tab/>
        <w:t>59 871 243</w:t>
      </w:r>
      <w:r w:rsidRPr="005F0D5A">
        <w:rPr>
          <w:rFonts w:ascii="FoundrySterling-Book" w:eastAsia="FoundrySterling-Book" w:hAnsi="FoundrySterling-Book" w:cs="Courier New"/>
          <w:color w:val="000000"/>
          <w:szCs w:val="24"/>
          <w:lang w:val="en-GB" w:bidi="en-GB"/>
        </w:rPr>
        <w:tab/>
        <w:t>100.0</w:t>
      </w:r>
      <w:r w:rsidRPr="005F0D5A">
        <w:rPr>
          <w:rFonts w:ascii="FoundrySterling-Book" w:eastAsia="FoundrySterling-Book" w:hAnsi="FoundrySterling-Book" w:cs="Courier New"/>
          <w:color w:val="000000"/>
          <w:szCs w:val="24"/>
          <w:lang w:val="en-GB" w:bidi="en-GB"/>
        </w:rPr>
        <w:tab/>
        <w:t>100.0</w:t>
      </w:r>
      <w:r w:rsidRPr="005F0D5A">
        <w:rPr>
          <w:rFonts w:ascii="FoundrySterling-Book" w:eastAsia="FoundrySterling-Book" w:hAnsi="FoundrySterling-Book" w:cs="Courier New"/>
          <w:color w:val="000000"/>
          <w:szCs w:val="24"/>
          <w:lang w:val="en-GB" w:bidi="en-GB"/>
        </w:rPr>
        <w:tab/>
        <w:t>6 314 475</w:t>
      </w:r>
    </w:p>
    <w:p w:rsidR="00675301" w:rsidRPr="00536AD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p>
    <w:p w:rsidR="00675301" w:rsidRDefault="00675301" w:rsidP="00C5163A">
      <w:pPr>
        <w:rPr>
          <w:rFonts w:ascii="FoundrySterling-Book" w:hAnsi="FoundrySterling-Book"/>
          <w:szCs w:val="24"/>
        </w:rPr>
      </w:pPr>
    </w:p>
    <w:p w:rsidR="00675301" w:rsidRPr="00237E43" w:rsidRDefault="00675301" w:rsidP="00076C88">
      <w:pPr>
        <w:tabs>
          <w:tab w:val="right" w:pos="5103"/>
          <w:tab w:val="right" w:pos="6237"/>
          <w:tab w:val="right" w:pos="7371"/>
          <w:tab w:val="right" w:pos="8505"/>
          <w:tab w:val="right" w:pos="9000"/>
        </w:tabs>
        <w:jc w:val="both"/>
        <w:rPr>
          <w:rFonts w:ascii="FoundrySterling-Book" w:hAnsi="FoundrySterling-Book"/>
          <w:szCs w:val="24"/>
          <w:highlight w:val="yellow"/>
        </w:rPr>
      </w:pPr>
      <w:r w:rsidRPr="00536AD7">
        <w:rPr>
          <w:rFonts w:ascii="FoundrySterling-Book" w:eastAsia="FoundrySterling-Book" w:hAnsi="FoundrySterling-Book" w:cs="FoundrySterling-Book"/>
          <w:szCs w:val="24"/>
          <w:lang w:val="en-GB" w:bidi="en-GB"/>
        </w:rPr>
        <w:lastRenderedPageBreak/>
        <w:t>There have been no changes in Tulikivi Corporation´s share capital during the financial year. According to the Articles of Association, the dividend paid on Series A shares shall be EUR 0.0017 higher than the dividend paid on Series K shares. The A share is listed on NASDAQ OMX Helsinki. At the end of the review period, the company held 124,200 series A shares.</w:t>
      </w:r>
    </w:p>
    <w:p w:rsidR="00BE6299" w:rsidRDefault="00BE6299" w:rsidP="00C5163A">
      <w:pPr>
        <w:jc w:val="both"/>
        <w:rPr>
          <w:rFonts w:ascii="FoundrySterling-Book" w:hAnsi="FoundrySterling-Book"/>
          <w:szCs w:val="24"/>
        </w:rPr>
      </w:pPr>
    </w:p>
    <w:p w:rsidR="00675301" w:rsidRPr="00F8047F" w:rsidRDefault="00675301" w:rsidP="00C5163A">
      <w:pPr>
        <w:jc w:val="both"/>
        <w:rPr>
          <w:rFonts w:ascii="FoundrySterling-Book" w:hAnsi="FoundrySterling-Book"/>
          <w:b/>
          <w:szCs w:val="24"/>
        </w:rPr>
      </w:pPr>
      <w:r w:rsidRPr="00F8047F">
        <w:rPr>
          <w:rFonts w:ascii="FoundrySterling-Book" w:eastAsia="FoundrySterling-Book" w:hAnsi="FoundrySterling-Book" w:cs="FoundrySterling-Book"/>
          <w:szCs w:val="24"/>
          <w:lang w:val="en-GB" w:bidi="en-GB"/>
        </w:rPr>
        <w:t xml:space="preserve">Related party transactions (EUR 1 000) </w:t>
      </w:r>
    </w:p>
    <w:p w:rsidR="00675301" w:rsidRPr="003F4F15" w:rsidRDefault="00675301" w:rsidP="00C5163A">
      <w:pPr>
        <w:tabs>
          <w:tab w:val="right" w:pos="5670"/>
          <w:tab w:val="right" w:pos="7371"/>
        </w:tabs>
        <w:jc w:val="both"/>
        <w:rPr>
          <w:rFonts w:ascii="FoundrySterling-Book" w:hAnsi="FoundrySterling-Book"/>
          <w:szCs w:val="24"/>
        </w:rPr>
      </w:pPr>
      <w:r w:rsidRPr="00F8047F">
        <w:rPr>
          <w:rFonts w:ascii="FoundrySterling-Book" w:eastAsia="FoundrySterling-Book" w:hAnsi="FoundrySterling-Book" w:cs="FoundrySterling-Book"/>
          <w:szCs w:val="24"/>
          <w:lang w:val="en-GB" w:bidi="en-GB"/>
        </w:rPr>
        <w:t>There are no transactions with associated companies.</w:t>
      </w:r>
    </w:p>
    <w:p w:rsidR="00675301" w:rsidRDefault="00C21778" w:rsidP="00C5163A">
      <w:pPr>
        <w:rPr>
          <w:rFonts w:ascii="FoundrySterling-Book" w:hAnsi="FoundrySterling-Book"/>
          <w:szCs w:val="24"/>
        </w:rPr>
      </w:pPr>
      <w:r>
        <w:rPr>
          <w:rFonts w:ascii="FoundrySterling-Book" w:eastAsia="FoundrySterling-Book" w:hAnsi="FoundrySterling-Book" w:cs="FoundrySterling-Book"/>
          <w:szCs w:val="24"/>
          <w:lang w:val="en-GB" w:bidi="en-GB"/>
        </w:rPr>
        <w:tab/>
      </w:r>
      <w:r>
        <w:rPr>
          <w:rFonts w:ascii="FoundrySterling-Book" w:eastAsia="FoundrySterling-Book" w:hAnsi="FoundrySterling-Book" w:cs="FoundrySterling-Book"/>
          <w:szCs w:val="24"/>
          <w:lang w:val="en-GB" w:bidi="en-GB"/>
        </w:rPr>
        <w:tab/>
      </w:r>
      <w:r>
        <w:rPr>
          <w:rFonts w:ascii="FoundrySterling-Book" w:eastAsia="FoundrySterling-Book" w:hAnsi="FoundrySterling-Book" w:cs="FoundrySterling-Book"/>
          <w:szCs w:val="24"/>
          <w:lang w:val="en-GB" w:bidi="en-GB"/>
        </w:rPr>
        <w:tab/>
      </w:r>
      <w:r>
        <w:rPr>
          <w:rFonts w:ascii="FoundrySterling-Book" w:eastAsia="FoundrySterling-Book" w:hAnsi="FoundrySterling-Book" w:cs="FoundrySterling-Book"/>
          <w:szCs w:val="24"/>
          <w:lang w:val="en-GB" w:bidi="en-GB"/>
        </w:rPr>
        <w:tab/>
      </w:r>
    </w:p>
    <w:p w:rsidR="00675301" w:rsidRPr="004E0A42" w:rsidRDefault="00675301" w:rsidP="00C5163A">
      <w:pPr>
        <w:rPr>
          <w:rFonts w:ascii="FoundrySterling-Book" w:hAnsi="FoundrySterling-Book"/>
          <w:szCs w:val="24"/>
        </w:rPr>
      </w:pPr>
      <w:r w:rsidRPr="004E0A42">
        <w:rPr>
          <w:rFonts w:ascii="FoundrySterling-Book" w:eastAsia="FoundrySterling-Book" w:hAnsi="FoundrySterling-Book" w:cs="FoundrySterling-Book"/>
          <w:szCs w:val="24"/>
          <w:lang w:val="en-GB" w:bidi="en-GB"/>
        </w:rPr>
        <w:t>Transactions with other related parties</w:t>
      </w:r>
    </w:p>
    <w:p w:rsidR="00675301" w:rsidRPr="00BC5122" w:rsidRDefault="00675301" w:rsidP="00C5163A">
      <w:pPr>
        <w:pStyle w:val="Leipteksti3"/>
        <w:tabs>
          <w:tab w:val="right" w:pos="5954"/>
        </w:tabs>
        <w:rPr>
          <w:rFonts w:ascii="FoundrySterling-Book" w:hAnsi="FoundrySterling-Book"/>
          <w:sz w:val="24"/>
          <w:szCs w:val="24"/>
        </w:rPr>
      </w:pPr>
      <w:r w:rsidRPr="004E0A42">
        <w:rPr>
          <w:rFonts w:ascii="FoundrySterling-Book" w:eastAsia="FoundrySterling-Book" w:hAnsi="FoundrySterling-Book" w:cs="FoundrySterling-Book"/>
          <w:sz w:val="24"/>
          <w:szCs w:val="24"/>
          <w:lang w:val="en-GB" w:bidi="en-GB"/>
        </w:rPr>
        <w:t>Tulikivi Corporation is a founder member of the Finnish Stone Research Foundation. The company has leased offices and storage facilities from a property owned by the Foundation and the North Karelia Educational Federation of Municipalities. The rent paid for these facilities was EUR 36 (41) thousand in the financial year. The rent corresponds to market rents. The company's sales of services and land leases from the Foundation came to EUR 2 (2) thousand.</w:t>
      </w:r>
      <w:r w:rsidR="00C44A35">
        <w:rPr>
          <w:rFonts w:ascii="FoundrySterling-Book" w:eastAsia="FoundrySterling-Book" w:hAnsi="FoundrySterling-Book" w:cs="FoundrySterling-Book"/>
          <w:sz w:val="24"/>
          <w:szCs w:val="24"/>
          <w:lang w:val="en-GB" w:bidi="en-GB"/>
        </w:rPr>
        <w:t xml:space="preserve"> </w:t>
      </w:r>
    </w:p>
    <w:p w:rsidR="00B81DA6" w:rsidRDefault="00B81DA6" w:rsidP="00536AD7">
      <w:pPr>
        <w:pStyle w:val="Leipteksti3"/>
        <w:tabs>
          <w:tab w:val="right" w:pos="5954"/>
        </w:tabs>
        <w:rPr>
          <w:rFonts w:ascii="FoundrySterling-Book" w:hAnsi="FoundrySterling-Book"/>
          <w:sz w:val="24"/>
          <w:szCs w:val="24"/>
        </w:rPr>
      </w:pPr>
    </w:p>
    <w:p w:rsidR="00675301" w:rsidRPr="003F4F15" w:rsidRDefault="00675301" w:rsidP="00536AD7">
      <w:pPr>
        <w:pStyle w:val="Leipteksti3"/>
        <w:tabs>
          <w:tab w:val="right" w:pos="5954"/>
        </w:tabs>
        <w:rPr>
          <w:rFonts w:ascii="FoundrySterling-Book" w:hAnsi="FoundrySterling-Book"/>
          <w:sz w:val="24"/>
          <w:szCs w:val="24"/>
        </w:rPr>
      </w:pPr>
      <w:r w:rsidRPr="003F4F15">
        <w:rPr>
          <w:rFonts w:ascii="FoundrySterling-Book" w:eastAsia="FoundrySterling-Book" w:hAnsi="FoundrySterling-Book" w:cs="FoundrySterling-Book"/>
          <w:sz w:val="24"/>
          <w:szCs w:val="24"/>
          <w:lang w:val="en-GB" w:bidi="en-GB"/>
        </w:rPr>
        <w:t>Management benefits (EUR 1 000)</w:t>
      </w:r>
      <w:r w:rsidRPr="003F4F15">
        <w:rPr>
          <w:rFonts w:ascii="FoundrySterling-Book" w:eastAsia="FoundrySterling-Book" w:hAnsi="FoundrySterling-Book" w:cs="FoundrySterling-Book"/>
          <w:sz w:val="24"/>
          <w:szCs w:val="24"/>
          <w:lang w:val="en-GB" w:bidi="en-GB"/>
        </w:rPr>
        <w:tab/>
      </w:r>
      <w:r w:rsidRPr="003F4F15">
        <w:rPr>
          <w:rFonts w:ascii="FoundrySterling-Book" w:eastAsia="FoundrySterling-Book" w:hAnsi="FoundrySterling-Book" w:cs="FoundrySterling-Book"/>
          <w:sz w:val="24"/>
          <w:szCs w:val="24"/>
          <w:lang w:val="en-GB" w:bidi="en-GB"/>
        </w:rPr>
        <w:tab/>
      </w:r>
    </w:p>
    <w:p w:rsidR="00675301" w:rsidRPr="003F4F15" w:rsidRDefault="0055253A" w:rsidP="007E4575">
      <w:pPr>
        <w:pStyle w:val="Leipteksti3"/>
        <w:tabs>
          <w:tab w:val="right" w:pos="5954"/>
          <w:tab w:val="right" w:pos="6946"/>
          <w:tab w:val="right" w:pos="8364"/>
        </w:tabs>
        <w:ind w:left="5216"/>
        <w:rPr>
          <w:rFonts w:ascii="FoundrySterling-Book" w:hAnsi="FoundrySterling-Book"/>
          <w:sz w:val="24"/>
          <w:szCs w:val="24"/>
        </w:rPr>
      </w:pPr>
      <w:r w:rsidRPr="003F4F15">
        <w:rPr>
          <w:rFonts w:ascii="FoundrySterling-Book" w:eastAsia="FoundrySterling-Book" w:hAnsi="FoundrySterling-Book" w:cs="FoundrySterling-Book"/>
          <w:sz w:val="24"/>
          <w:szCs w:val="24"/>
          <w:lang w:val="en-GB" w:bidi="en-GB"/>
        </w:rPr>
        <w:tab/>
      </w:r>
      <w:r w:rsidR="00C44A35">
        <w:rPr>
          <w:rFonts w:ascii="FoundrySterling-Book" w:eastAsia="FoundrySterling-Book" w:hAnsi="FoundrySterling-Book" w:cs="FoundrySterling-Book"/>
          <w:sz w:val="24"/>
          <w:szCs w:val="24"/>
          <w:lang w:val="en-GB" w:bidi="en-GB"/>
        </w:rPr>
        <w:t xml:space="preserve">  </w:t>
      </w:r>
      <w:r w:rsidRPr="003F4F15">
        <w:rPr>
          <w:rFonts w:ascii="FoundrySterling-Book" w:eastAsia="FoundrySterling-Book" w:hAnsi="FoundrySterling-Book" w:cs="FoundrySterling-Book"/>
          <w:sz w:val="24"/>
          <w:szCs w:val="24"/>
          <w:lang w:val="en-GB" w:bidi="en-GB"/>
        </w:rPr>
        <w:t xml:space="preserve"> </w:t>
      </w:r>
      <w:r w:rsidRPr="003F4F15">
        <w:rPr>
          <w:rFonts w:ascii="FoundrySterling-Book" w:eastAsia="FoundrySterling-Book" w:hAnsi="FoundrySterling-Book" w:cs="FoundrySterling-Book"/>
          <w:sz w:val="24"/>
          <w:szCs w:val="24"/>
          <w:lang w:val="en-GB" w:bidi="en-GB"/>
        </w:rPr>
        <w:tab/>
        <w:t xml:space="preserve"> 1-12/17</w:t>
      </w:r>
      <w:r w:rsidRPr="003F4F15">
        <w:rPr>
          <w:rFonts w:ascii="FoundrySterling-Book" w:eastAsia="FoundrySterling-Book" w:hAnsi="FoundrySterling-Book" w:cs="FoundrySterling-Book"/>
          <w:sz w:val="24"/>
          <w:szCs w:val="24"/>
          <w:lang w:val="en-GB" w:bidi="en-GB"/>
        </w:rPr>
        <w:tab/>
      </w:r>
      <w:r w:rsidR="00C44A35">
        <w:rPr>
          <w:rFonts w:ascii="FoundrySterling-Book" w:eastAsia="FoundrySterling-Book" w:hAnsi="FoundrySterling-Book" w:cs="FoundrySterling-Book"/>
          <w:sz w:val="24"/>
          <w:szCs w:val="24"/>
          <w:lang w:val="en-GB" w:bidi="en-GB"/>
        </w:rPr>
        <w:t xml:space="preserve"> </w:t>
      </w:r>
      <w:r w:rsidRPr="003F4F15">
        <w:rPr>
          <w:rFonts w:ascii="FoundrySterling-Book" w:eastAsia="FoundrySterling-Book" w:hAnsi="FoundrySterling-Book" w:cs="FoundrySterling-Book"/>
          <w:sz w:val="24"/>
          <w:szCs w:val="24"/>
          <w:lang w:val="en-GB" w:bidi="en-GB"/>
        </w:rPr>
        <w:t xml:space="preserve"> </w:t>
      </w:r>
      <w:r w:rsidR="002F01F3">
        <w:rPr>
          <w:rFonts w:ascii="FoundrySterling-Book" w:eastAsia="FoundrySterling-Book" w:hAnsi="FoundrySterling-Book" w:cs="FoundrySterling-Book"/>
          <w:sz w:val="24"/>
          <w:szCs w:val="24"/>
          <w:lang w:val="en-GB" w:bidi="en-GB"/>
        </w:rPr>
        <w:t xml:space="preserve"> </w:t>
      </w:r>
      <w:r w:rsidRPr="003F4F15">
        <w:rPr>
          <w:rFonts w:ascii="FoundrySterling-Book" w:eastAsia="FoundrySterling-Book" w:hAnsi="FoundrySterling-Book" w:cs="FoundrySterling-Book"/>
          <w:sz w:val="24"/>
          <w:szCs w:val="24"/>
          <w:lang w:val="en-GB" w:bidi="en-GB"/>
        </w:rPr>
        <w:t>1-12/16</w:t>
      </w:r>
    </w:p>
    <w:p w:rsidR="002F01F3" w:rsidRDefault="00675301" w:rsidP="00CF1A95">
      <w:pPr>
        <w:pStyle w:val="Leipteksti3"/>
        <w:tabs>
          <w:tab w:val="right" w:pos="5954"/>
          <w:tab w:val="right" w:pos="6946"/>
          <w:tab w:val="right" w:pos="8364"/>
        </w:tabs>
        <w:rPr>
          <w:rFonts w:ascii="FoundrySterling-Book" w:eastAsia="FoundrySterling-Book" w:hAnsi="FoundrySterling-Book" w:cs="FoundrySterling-Book"/>
          <w:sz w:val="24"/>
          <w:szCs w:val="24"/>
          <w:lang w:val="en-GB" w:bidi="en-GB"/>
        </w:rPr>
      </w:pPr>
      <w:r w:rsidRPr="003F4F15">
        <w:rPr>
          <w:rFonts w:ascii="FoundrySterling-Book" w:eastAsia="FoundrySterling-Book" w:hAnsi="FoundrySterling-Book" w:cs="FoundrySterling-Book"/>
          <w:sz w:val="24"/>
          <w:szCs w:val="24"/>
          <w:lang w:val="en-GB" w:bidi="en-GB"/>
        </w:rPr>
        <w:t xml:space="preserve"> </w:t>
      </w:r>
      <w:r w:rsidRPr="003F4F15">
        <w:rPr>
          <w:rFonts w:ascii="FoundrySterling-Book" w:eastAsia="FoundrySterling-Book" w:hAnsi="FoundrySterling-Book" w:cs="FoundrySterling-Book"/>
          <w:sz w:val="24"/>
          <w:szCs w:val="24"/>
          <w:lang w:val="en-GB" w:bidi="en-GB"/>
        </w:rPr>
        <w:br/>
        <w:t xml:space="preserve">Salaries and other short-term employee </w:t>
      </w:r>
      <w:r w:rsidRPr="003F4F15">
        <w:rPr>
          <w:rFonts w:ascii="FoundrySterling-Book" w:eastAsia="FoundrySterling-Book" w:hAnsi="FoundrySterling-Book" w:cs="FoundrySterling-Book"/>
          <w:sz w:val="24"/>
          <w:szCs w:val="24"/>
          <w:lang w:val="en-GB" w:bidi="en-GB"/>
        </w:rPr>
        <w:br/>
        <w:t>benefits of the members of the Board of Directors and the Managing Director</w:t>
      </w:r>
      <w:r w:rsidR="002F01F3">
        <w:rPr>
          <w:rFonts w:ascii="FoundrySterling-Book" w:eastAsia="FoundrySterling-Book" w:hAnsi="FoundrySterling-Book" w:cs="FoundrySterling-Book"/>
          <w:sz w:val="24"/>
          <w:szCs w:val="24"/>
          <w:lang w:val="en-GB" w:bidi="en-GB"/>
        </w:rPr>
        <w:tab/>
      </w:r>
      <w:r w:rsidR="002F01F3">
        <w:rPr>
          <w:rFonts w:ascii="FoundrySterling-Book" w:eastAsia="FoundrySterling-Book" w:hAnsi="FoundrySterling-Book" w:cs="FoundrySterling-Book"/>
          <w:sz w:val="24"/>
          <w:szCs w:val="24"/>
          <w:lang w:val="en-GB" w:bidi="en-GB"/>
        </w:rPr>
        <w:tab/>
      </w:r>
    </w:p>
    <w:p w:rsidR="00675301" w:rsidRDefault="00675301" w:rsidP="00CF1A95">
      <w:pPr>
        <w:pStyle w:val="Leipteksti3"/>
        <w:tabs>
          <w:tab w:val="right" w:pos="5954"/>
          <w:tab w:val="right" w:pos="6946"/>
          <w:tab w:val="right" w:pos="8364"/>
        </w:tabs>
        <w:rPr>
          <w:rFonts w:ascii="FoundrySterling-Book" w:hAnsi="FoundrySterling-Book" w:cs="Courier New"/>
          <w:b/>
          <w:szCs w:val="24"/>
        </w:rPr>
      </w:pPr>
      <w:r w:rsidRPr="003F4F15">
        <w:rPr>
          <w:rFonts w:ascii="FoundrySterling-Book" w:eastAsia="FoundrySterling-Book" w:hAnsi="FoundrySterling-Book" w:cs="FoundrySterling-Book"/>
          <w:sz w:val="24"/>
          <w:szCs w:val="24"/>
          <w:lang w:val="en-GB" w:bidi="en-GB"/>
        </w:rPr>
        <w:tab/>
      </w:r>
      <w:r w:rsidR="00C44A35">
        <w:rPr>
          <w:rFonts w:ascii="FoundrySterling-Book" w:eastAsia="FoundrySterling-Book" w:hAnsi="FoundrySterling-Book" w:cs="FoundrySterling-Book"/>
          <w:sz w:val="24"/>
          <w:szCs w:val="24"/>
          <w:lang w:val="en-GB" w:bidi="en-GB"/>
        </w:rPr>
        <w:t xml:space="preserve"> </w:t>
      </w:r>
      <w:r w:rsidRPr="003F4F15">
        <w:rPr>
          <w:rFonts w:ascii="FoundrySterling-Book" w:eastAsia="FoundrySterling-Book" w:hAnsi="FoundrySterling-Book" w:cs="FoundrySterling-Book"/>
          <w:sz w:val="24"/>
          <w:szCs w:val="24"/>
          <w:lang w:val="en-GB" w:bidi="en-GB"/>
        </w:rPr>
        <w:t xml:space="preserve"> </w:t>
      </w:r>
      <w:r w:rsidRPr="003F4F15">
        <w:rPr>
          <w:rFonts w:ascii="FoundrySterling-Book" w:eastAsia="FoundrySterling-Book" w:hAnsi="FoundrySterling-Book" w:cs="FoundrySterling-Book"/>
          <w:sz w:val="24"/>
          <w:szCs w:val="24"/>
          <w:lang w:val="en-GB" w:bidi="en-GB"/>
        </w:rPr>
        <w:tab/>
        <w:t>374</w:t>
      </w:r>
      <w:r w:rsidRPr="003F4F15">
        <w:rPr>
          <w:rFonts w:ascii="FoundrySterling-Book" w:eastAsia="FoundrySterling-Book" w:hAnsi="FoundrySterling-Book" w:cs="FoundrySterling-Book"/>
          <w:sz w:val="24"/>
          <w:szCs w:val="24"/>
          <w:lang w:val="en-GB" w:bidi="en-GB"/>
        </w:rPr>
        <w:tab/>
        <w:t>351</w:t>
      </w:r>
    </w:p>
    <w:p w:rsidR="0079291B" w:rsidRDefault="0079291B"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252CFE" w:rsidRDefault="00AA5575"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252CFE">
        <w:rPr>
          <w:rFonts w:ascii="FoundrySterling-Book" w:eastAsia="FoundrySterling-Book" w:hAnsi="FoundrySterling-Book" w:cs="Courier New"/>
          <w:szCs w:val="24"/>
          <w:lang w:val="en-GB" w:bidi="en-GB"/>
        </w:rPr>
        <w:t xml:space="preserve">Principal shareholders on 31 December 2017 </w:t>
      </w:r>
    </w:p>
    <w:p w:rsidR="00F063E9" w:rsidRPr="00252CFE" w:rsidRDefault="00F063E9"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972035" w:rsidRDefault="00675301"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972035">
        <w:rPr>
          <w:rFonts w:ascii="FoundrySterling-Book" w:eastAsia="FoundrySterling-Book" w:hAnsi="FoundrySterling-Book" w:cs="Courier New"/>
          <w:szCs w:val="24"/>
          <w:lang w:val="en-GB" w:bidi="en-GB"/>
        </w:rPr>
        <w:t>Name of shareholder</w:t>
      </w:r>
      <w:r w:rsidR="00C44A35">
        <w:rPr>
          <w:rFonts w:ascii="FoundrySterling-Book" w:eastAsia="FoundrySterling-Book" w:hAnsi="FoundrySterling-Book" w:cs="Courier New"/>
          <w:szCs w:val="24"/>
          <w:lang w:val="en-GB" w:bidi="en-GB"/>
        </w:rPr>
        <w:t xml:space="preserve">            </w:t>
      </w:r>
      <w:r w:rsidRPr="00972035">
        <w:rPr>
          <w:rFonts w:ascii="FoundrySterling-Book" w:eastAsia="FoundrySterling-Book" w:hAnsi="FoundrySterling-Book" w:cs="Courier New"/>
          <w:szCs w:val="24"/>
          <w:lang w:val="en-GB" w:bidi="en-GB"/>
        </w:rPr>
        <w:tab/>
      </w:r>
      <w:r w:rsidRPr="00972035">
        <w:rPr>
          <w:rFonts w:ascii="FoundrySterling-Book" w:eastAsia="FoundrySterling-Book" w:hAnsi="FoundrySterling-Book" w:cs="Courier New"/>
          <w:szCs w:val="24"/>
          <w:lang w:val="en-GB" w:bidi="en-GB"/>
        </w:rPr>
        <w:tab/>
      </w:r>
      <w:r w:rsidRPr="00972035">
        <w:rPr>
          <w:rFonts w:ascii="FoundrySterling-Book" w:eastAsia="FoundrySterling-Book" w:hAnsi="FoundrySterling-Book" w:cs="Courier New"/>
          <w:szCs w:val="24"/>
          <w:lang w:val="en-GB" w:bidi="en-GB"/>
        </w:rPr>
        <w:tab/>
        <w:t>Shares</w:t>
      </w:r>
      <w:r w:rsidRPr="00972035">
        <w:rPr>
          <w:rFonts w:ascii="FoundrySterling-Book" w:eastAsia="FoundrySterling-Book" w:hAnsi="FoundrySterling-Book" w:cs="Courier New"/>
          <w:szCs w:val="24"/>
          <w:lang w:val="en-GB" w:bidi="en-GB"/>
        </w:rPr>
        <w:tab/>
      </w:r>
      <w:r w:rsidRPr="00972035">
        <w:rPr>
          <w:rFonts w:ascii="FoundrySterling-Book" w:eastAsia="FoundrySterling-Book" w:hAnsi="FoundrySterling-Book" w:cs="Courier New"/>
          <w:szCs w:val="24"/>
          <w:lang w:val="en-GB" w:bidi="en-GB"/>
        </w:rPr>
        <w:tab/>
        <w:t>Percentage</w:t>
      </w:r>
    </w:p>
    <w:p w:rsidR="00675301" w:rsidRPr="00972035" w:rsidRDefault="00675301" w:rsidP="00C5163A">
      <w:pPr>
        <w:tabs>
          <w:tab w:val="right" w:pos="4820"/>
          <w:tab w:val="right" w:pos="5954"/>
          <w:tab w:val="right" w:pos="7088"/>
          <w:tab w:val="right" w:pos="9000"/>
          <w:tab w:val="right" w:pos="9639"/>
        </w:tabs>
        <w:jc w:val="both"/>
        <w:rPr>
          <w:rFonts w:ascii="FoundrySterling-Book" w:hAnsi="FoundrySterling-Book" w:cs="Courier New"/>
          <w:szCs w:val="24"/>
        </w:rPr>
      </w:pPr>
      <w:r w:rsidRPr="00972035">
        <w:rPr>
          <w:rFonts w:ascii="FoundrySterling-Book" w:eastAsia="FoundrySterling-Book" w:hAnsi="FoundrySterling-Book" w:cs="Courier New"/>
          <w:szCs w:val="24"/>
          <w:lang w:val="en-GB" w:bidi="en-GB"/>
        </w:rPr>
        <w:tab/>
      </w:r>
      <w:r w:rsidRPr="00972035">
        <w:rPr>
          <w:rFonts w:ascii="FoundrySterling-Book" w:eastAsia="FoundrySterling-Book" w:hAnsi="FoundrySterling-Book" w:cs="Courier New"/>
          <w:szCs w:val="24"/>
          <w:lang w:val="en-GB" w:bidi="en-GB"/>
        </w:rPr>
        <w:tab/>
      </w:r>
      <w:r w:rsidRPr="00972035">
        <w:rPr>
          <w:rFonts w:ascii="FoundrySterling-Book" w:eastAsia="FoundrySterling-Book" w:hAnsi="FoundrySterling-Book" w:cs="Courier New"/>
          <w:szCs w:val="24"/>
          <w:lang w:val="en-GB" w:bidi="en-GB"/>
        </w:rPr>
        <w:tab/>
      </w:r>
      <w:r w:rsidRPr="00972035">
        <w:rPr>
          <w:rFonts w:ascii="FoundrySterling-Book" w:eastAsia="FoundrySterling-Book" w:hAnsi="FoundrySterling-Book" w:cs="Courier New"/>
          <w:szCs w:val="24"/>
          <w:lang w:val="en-GB" w:bidi="en-GB"/>
        </w:rPr>
        <w:tab/>
        <w:t>of votes</w:t>
      </w:r>
    </w:p>
    <w:p w:rsidR="00675301" w:rsidRPr="002E32E7" w:rsidRDefault="00675301"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Vauhkonen Heikki</w:t>
      </w:r>
      <w:r w:rsidRPr="002E32E7">
        <w:rPr>
          <w:rFonts w:ascii="FoundrySterling-Book" w:eastAsia="FoundrySterling-Book" w:hAnsi="FoundrySterling-Book" w:cs="Courier New"/>
          <w:szCs w:val="24"/>
          <w:lang w:val="en-GB" w:bidi="en-GB"/>
        </w:rPr>
        <w:tab/>
      </w:r>
      <w:r w:rsidRPr="002E32E7">
        <w:rPr>
          <w:rFonts w:ascii="FoundrySterling-Book" w:eastAsia="FoundrySterling-Book" w:hAnsi="FoundrySterling-Book" w:cs="Courier New"/>
          <w:szCs w:val="24"/>
          <w:lang w:val="en-GB" w:bidi="en-GB"/>
        </w:rPr>
        <w:tab/>
        <w:t>6 873 839</w:t>
      </w:r>
      <w:r w:rsidRPr="002E32E7">
        <w:rPr>
          <w:rFonts w:ascii="FoundrySterling-Book" w:eastAsia="FoundrySterling-Book" w:hAnsi="FoundrySterling-Book" w:cs="Courier New"/>
          <w:szCs w:val="24"/>
          <w:lang w:val="en-GB" w:bidi="en-GB"/>
        </w:rPr>
        <w:tab/>
        <w:t>45.9%</w:t>
      </w:r>
    </w:p>
    <w:p w:rsidR="00266BD6" w:rsidRPr="002E32E7" w:rsidRDefault="00F804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Elo Mutual Pension Insurance Company</w:t>
      </w:r>
      <w:r w:rsidRPr="002E32E7">
        <w:rPr>
          <w:rFonts w:ascii="FoundrySterling-Book" w:eastAsia="FoundrySterling-Book" w:hAnsi="FoundrySterling-Book" w:cs="Courier New"/>
          <w:szCs w:val="24"/>
          <w:lang w:val="en-GB" w:bidi="en-GB"/>
        </w:rPr>
        <w:tab/>
      </w:r>
      <w:r w:rsidRPr="002E32E7">
        <w:rPr>
          <w:rFonts w:ascii="FoundrySterling-Book" w:eastAsia="FoundrySterling-Book" w:hAnsi="FoundrySterling-Book" w:cs="Courier New"/>
          <w:szCs w:val="24"/>
          <w:lang w:val="en-GB" w:bidi="en-GB"/>
        </w:rPr>
        <w:tab/>
        <w:t>4 545 454</w:t>
      </w:r>
      <w:r w:rsidRPr="002E32E7">
        <w:rPr>
          <w:rFonts w:ascii="FoundrySterling-Book" w:eastAsia="FoundrySterling-Book" w:hAnsi="FoundrySterling-Book" w:cs="Courier New"/>
          <w:szCs w:val="24"/>
          <w:lang w:val="en-GB" w:bidi="en-GB"/>
        </w:rPr>
        <w:tab/>
        <w:t>3.5%</w:t>
      </w:r>
    </w:p>
    <w:p w:rsidR="00675301" w:rsidRPr="002E32E7" w:rsidRDefault="007B3108"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Ilmarinen Mutual Pension Insurance Company</w:t>
      </w:r>
      <w:r w:rsidRPr="002E32E7">
        <w:rPr>
          <w:rFonts w:ascii="FoundrySterling-Book" w:eastAsia="FoundrySterling-Book" w:hAnsi="FoundrySterling-Book" w:cs="Courier New"/>
          <w:szCs w:val="24"/>
          <w:lang w:val="en-GB" w:bidi="en-GB"/>
        </w:rPr>
        <w:tab/>
        <w:t>3 720 562</w:t>
      </w:r>
      <w:r w:rsidRPr="002E32E7">
        <w:rPr>
          <w:rFonts w:ascii="FoundrySterling-Book" w:eastAsia="FoundrySterling-Book" w:hAnsi="FoundrySterling-Book" w:cs="Courier New"/>
          <w:szCs w:val="24"/>
          <w:lang w:val="en-GB" w:bidi="en-GB"/>
        </w:rPr>
        <w:tab/>
        <w:t>2.9%</w:t>
      </w:r>
    </w:p>
    <w:p w:rsidR="00266BD6" w:rsidRPr="002E32E7" w:rsidRDefault="00F804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Elo Eliisa</w:t>
      </w:r>
      <w:r w:rsidRPr="002E32E7">
        <w:rPr>
          <w:rFonts w:ascii="FoundrySterling-Book" w:eastAsia="FoundrySterling-Book" w:hAnsi="FoundrySterling-Book" w:cs="Courier New"/>
          <w:szCs w:val="24"/>
          <w:lang w:val="en-GB" w:bidi="en-GB"/>
        </w:rPr>
        <w:tab/>
      </w:r>
      <w:r w:rsidRPr="002E32E7">
        <w:rPr>
          <w:rFonts w:ascii="FoundrySterling-Book" w:eastAsia="FoundrySterling-Book" w:hAnsi="FoundrySterling-Book" w:cs="Courier New"/>
          <w:szCs w:val="24"/>
          <w:lang w:val="en-GB" w:bidi="en-GB"/>
        </w:rPr>
        <w:tab/>
        <w:t>3 108 536</w:t>
      </w:r>
      <w:r w:rsidRPr="002E32E7">
        <w:rPr>
          <w:rFonts w:ascii="FoundrySterling-Book" w:eastAsia="FoundrySterling-Book" w:hAnsi="FoundrySterling-Book" w:cs="Courier New"/>
          <w:szCs w:val="24"/>
          <w:lang w:val="en-GB" w:bidi="en-GB"/>
        </w:rPr>
        <w:tab/>
        <w:t>5.7%</w:t>
      </w:r>
    </w:p>
    <w:p w:rsidR="00D6722B" w:rsidRPr="002E32E7" w:rsidRDefault="007B40B2"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Toivanen Jouko</w:t>
      </w:r>
      <w:r w:rsidRPr="002E32E7">
        <w:rPr>
          <w:rFonts w:ascii="FoundrySterling-Book" w:eastAsia="FoundrySterling-Book" w:hAnsi="FoundrySterling-Book" w:cs="Courier New"/>
          <w:szCs w:val="24"/>
          <w:lang w:val="en-GB" w:bidi="en-GB"/>
        </w:rPr>
        <w:tab/>
      </w:r>
      <w:r w:rsidRPr="002E32E7">
        <w:rPr>
          <w:rFonts w:ascii="FoundrySterling-Book" w:eastAsia="FoundrySterling-Book" w:hAnsi="FoundrySterling-Book" w:cs="Courier New"/>
          <w:szCs w:val="24"/>
          <w:lang w:val="en-GB" w:bidi="en-GB"/>
        </w:rPr>
        <w:tab/>
        <w:t>2 531 259</w:t>
      </w:r>
      <w:r w:rsidRPr="002E32E7">
        <w:rPr>
          <w:rFonts w:ascii="FoundrySterling-Book" w:eastAsia="FoundrySterling-Book" w:hAnsi="FoundrySterling-Book" w:cs="Courier New"/>
          <w:szCs w:val="24"/>
          <w:lang w:val="en-GB" w:bidi="en-GB"/>
        </w:rPr>
        <w:tab/>
        <w:t>2.7%</w:t>
      </w:r>
    </w:p>
    <w:p w:rsidR="00093B9D" w:rsidRPr="002E32E7" w:rsidRDefault="00093B9D"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Finnish Cultural Foundation</w:t>
      </w:r>
      <w:r w:rsidRPr="002E32E7">
        <w:rPr>
          <w:rFonts w:ascii="FoundrySterling-Book" w:eastAsia="FoundrySterling-Book" w:hAnsi="FoundrySterling-Book" w:cs="Courier New"/>
          <w:szCs w:val="24"/>
          <w:lang w:val="en-GB" w:bidi="en-GB"/>
        </w:rPr>
        <w:tab/>
      </w:r>
      <w:r w:rsidRPr="002E32E7">
        <w:rPr>
          <w:rFonts w:ascii="FoundrySterling-Book" w:eastAsia="FoundrySterling-Book" w:hAnsi="FoundrySterling-Book" w:cs="Courier New"/>
          <w:szCs w:val="24"/>
          <w:lang w:val="en-GB" w:bidi="en-GB"/>
        </w:rPr>
        <w:tab/>
        <w:t>2 258 181</w:t>
      </w:r>
      <w:r w:rsidRPr="002E32E7">
        <w:rPr>
          <w:rFonts w:ascii="FoundrySterling-Book" w:eastAsia="FoundrySterling-Book" w:hAnsi="FoundrySterling-Book" w:cs="Courier New"/>
          <w:szCs w:val="24"/>
          <w:lang w:val="en-GB" w:bidi="en-GB"/>
        </w:rPr>
        <w:tab/>
        <w:t>2.4%</w:t>
      </w:r>
    </w:p>
    <w:p w:rsidR="00675301" w:rsidRPr="002E32E7" w:rsidRDefault="00F804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Mutanen Susanna</w:t>
      </w:r>
      <w:r w:rsidRPr="002E32E7">
        <w:rPr>
          <w:rFonts w:ascii="FoundrySterling-Book" w:eastAsia="FoundrySterling-Book" w:hAnsi="FoundrySterling-Book" w:cs="Courier New"/>
          <w:szCs w:val="24"/>
          <w:lang w:val="en-GB" w:bidi="en-GB"/>
        </w:rPr>
        <w:tab/>
      </w:r>
      <w:r w:rsidRPr="002E32E7">
        <w:rPr>
          <w:rFonts w:ascii="FoundrySterling-Book" w:eastAsia="FoundrySterling-Book" w:hAnsi="FoundrySterling-Book" w:cs="Courier New"/>
          <w:szCs w:val="24"/>
          <w:lang w:val="en-GB" w:bidi="en-GB"/>
        </w:rPr>
        <w:tab/>
        <w:t>1 643 800</w:t>
      </w:r>
      <w:r w:rsidRPr="002E32E7">
        <w:rPr>
          <w:rFonts w:ascii="FoundrySterling-Book" w:eastAsia="FoundrySterling-Book" w:hAnsi="FoundrySterling-Book" w:cs="Courier New"/>
          <w:szCs w:val="24"/>
          <w:lang w:val="en-GB" w:bidi="en-GB"/>
        </w:rPr>
        <w:tab/>
        <w:t>6.8%</w:t>
      </w:r>
    </w:p>
    <w:p w:rsidR="00795422" w:rsidRPr="002E32E7" w:rsidRDefault="00795422"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Fennia Mutual Insurance Company</w:t>
      </w:r>
      <w:r w:rsidRPr="002E32E7">
        <w:rPr>
          <w:rFonts w:ascii="FoundrySterling-Book" w:eastAsia="FoundrySterling-Book" w:hAnsi="FoundrySterling-Book" w:cs="Courier New"/>
          <w:szCs w:val="24"/>
          <w:lang w:val="en-GB" w:bidi="en-GB"/>
        </w:rPr>
        <w:tab/>
      </w:r>
      <w:r w:rsidRPr="002E32E7">
        <w:rPr>
          <w:rFonts w:ascii="FoundrySterling-Book" w:eastAsia="FoundrySterling-Book" w:hAnsi="FoundrySterling-Book" w:cs="Courier New"/>
          <w:szCs w:val="24"/>
          <w:lang w:val="en-GB" w:bidi="en-GB"/>
        </w:rPr>
        <w:tab/>
        <w:t>1 515 151</w:t>
      </w:r>
      <w:r w:rsidRPr="002E32E7">
        <w:rPr>
          <w:rFonts w:ascii="FoundrySterling-Book" w:eastAsia="FoundrySterling-Book" w:hAnsi="FoundrySterling-Book" w:cs="Courier New"/>
          <w:szCs w:val="24"/>
          <w:lang w:val="en-GB" w:bidi="en-GB"/>
        </w:rPr>
        <w:tab/>
        <w:t>1.2%</w:t>
      </w:r>
    </w:p>
    <w:p w:rsidR="00512331" w:rsidRPr="002E32E7" w:rsidRDefault="00D6722B"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Nikkola Jarkko</w:t>
      </w:r>
      <w:r w:rsidRPr="002E32E7">
        <w:rPr>
          <w:rFonts w:ascii="FoundrySterling-Book" w:eastAsia="FoundrySterling-Book" w:hAnsi="FoundrySterling-Book" w:cs="Courier New"/>
          <w:szCs w:val="24"/>
          <w:lang w:val="en-GB" w:bidi="en-GB"/>
        </w:rPr>
        <w:tab/>
      </w:r>
      <w:r w:rsidRPr="002E32E7">
        <w:rPr>
          <w:rFonts w:ascii="FoundrySterling-Book" w:eastAsia="FoundrySterling-Book" w:hAnsi="FoundrySterling-Book" w:cs="Courier New"/>
          <w:szCs w:val="24"/>
          <w:lang w:val="en-GB" w:bidi="en-GB"/>
        </w:rPr>
        <w:tab/>
        <w:t>1 320 200</w:t>
      </w:r>
      <w:r w:rsidRPr="002E32E7">
        <w:rPr>
          <w:rFonts w:ascii="FoundrySterling-Book" w:eastAsia="FoundrySterling-Book" w:hAnsi="FoundrySterling-Book" w:cs="Courier New"/>
          <w:szCs w:val="24"/>
          <w:lang w:val="en-GB" w:bidi="en-GB"/>
        </w:rPr>
        <w:tab/>
        <w:t>1.0%</w:t>
      </w:r>
    </w:p>
    <w:p w:rsidR="00657EB3" w:rsidRPr="002E32E7" w:rsidRDefault="00657EB3"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eastAsia="FoundrySterling-Book" w:hAnsi="FoundrySterling-Book" w:cs="Courier New"/>
          <w:szCs w:val="24"/>
          <w:lang w:val="en-GB" w:bidi="en-GB"/>
        </w:rPr>
        <w:t>EVK-Capital Oy</w:t>
      </w:r>
      <w:r w:rsidRPr="002E32E7">
        <w:rPr>
          <w:rFonts w:ascii="FoundrySterling-Book" w:eastAsia="FoundrySterling-Book" w:hAnsi="FoundrySterling-Book" w:cs="Courier New"/>
          <w:szCs w:val="24"/>
          <w:lang w:val="en-GB" w:bidi="en-GB"/>
        </w:rPr>
        <w:tab/>
      </w:r>
      <w:r w:rsidRPr="002E32E7">
        <w:rPr>
          <w:rFonts w:ascii="FoundrySterling-Book" w:eastAsia="FoundrySterling-Book" w:hAnsi="FoundrySterling-Book" w:cs="Courier New"/>
          <w:szCs w:val="24"/>
          <w:lang w:val="en-GB" w:bidi="en-GB"/>
        </w:rPr>
        <w:tab/>
        <w:t>1 000 000</w:t>
      </w:r>
      <w:r w:rsidRPr="002E32E7">
        <w:rPr>
          <w:rFonts w:ascii="FoundrySterling-Book" w:eastAsia="FoundrySterling-Book" w:hAnsi="FoundrySterling-Book" w:cs="Courier New"/>
          <w:szCs w:val="24"/>
          <w:lang w:val="en-GB" w:bidi="en-GB"/>
        </w:rPr>
        <w:tab/>
        <w:t>0.8%</w:t>
      </w:r>
      <w:r w:rsidRPr="002E32E7">
        <w:rPr>
          <w:rFonts w:ascii="FoundrySterling-Book" w:eastAsia="FoundrySterling-Book" w:hAnsi="FoundrySterling-Book" w:cs="Courier New"/>
          <w:szCs w:val="24"/>
          <w:lang w:val="en-GB" w:bidi="en-GB"/>
        </w:rPr>
        <w:tab/>
      </w:r>
    </w:p>
    <w:p w:rsidR="00675301" w:rsidRPr="00A752A6" w:rsidRDefault="00C44A35" w:rsidP="00C5163A">
      <w:pPr>
        <w:tabs>
          <w:tab w:val="right" w:pos="4820"/>
          <w:tab w:val="right" w:pos="7088"/>
          <w:tab w:val="right" w:pos="9000"/>
          <w:tab w:val="right" w:pos="9639"/>
        </w:tabs>
        <w:jc w:val="both"/>
        <w:rPr>
          <w:rFonts w:ascii="FoundrySterling-Book" w:hAnsi="FoundrySterling-Book" w:cs="Courier New"/>
          <w:color w:val="FF0000"/>
          <w:szCs w:val="24"/>
        </w:rPr>
      </w:pPr>
      <w:r>
        <w:rPr>
          <w:rFonts w:ascii="FoundrySterling-Book" w:eastAsia="FoundrySterling-Book" w:hAnsi="FoundrySterling-Book" w:cs="Courier New"/>
          <w:szCs w:val="24"/>
          <w:lang w:val="en-GB" w:bidi="en-GB"/>
        </w:rPr>
        <w:t xml:space="preserve">   </w:t>
      </w:r>
      <w:r w:rsidR="00675301" w:rsidRPr="00A752A6">
        <w:rPr>
          <w:rFonts w:ascii="FoundrySterling-Book" w:eastAsia="FoundrySterling-Book" w:hAnsi="FoundrySterling-Book" w:cs="Courier New"/>
          <w:szCs w:val="24"/>
          <w:lang w:val="en-GB" w:bidi="en-GB"/>
        </w:rPr>
        <w:t>Others</w:t>
      </w:r>
      <w:r w:rsidR="00675301" w:rsidRPr="00A752A6">
        <w:rPr>
          <w:rFonts w:ascii="FoundrySterling-Book" w:eastAsia="FoundrySterling-Book" w:hAnsi="FoundrySterling-Book" w:cs="Courier New"/>
          <w:szCs w:val="24"/>
          <w:lang w:val="en-GB" w:bidi="en-GB"/>
        </w:rPr>
        <w:tab/>
      </w:r>
      <w:r w:rsidR="00675301" w:rsidRPr="00A752A6">
        <w:rPr>
          <w:rFonts w:ascii="FoundrySterling-Book" w:eastAsia="FoundrySterling-Book" w:hAnsi="FoundrySterling-Book" w:cs="Courier New"/>
          <w:szCs w:val="24"/>
          <w:lang w:val="en-GB" w:bidi="en-GB"/>
        </w:rPr>
        <w:tab/>
        <w:t>31 355 761</w:t>
      </w:r>
      <w:r w:rsidR="00675301" w:rsidRPr="00A752A6">
        <w:rPr>
          <w:rFonts w:ascii="FoundrySterling-Book" w:eastAsia="FoundrySterling-Book" w:hAnsi="FoundrySterling-Book" w:cs="Courier New"/>
          <w:szCs w:val="24"/>
          <w:lang w:val="en-GB" w:bidi="en-GB"/>
        </w:rPr>
        <w:tab/>
        <w:t>27.1%</w:t>
      </w:r>
    </w:p>
    <w:p w:rsidR="00CA18A5" w:rsidRPr="00A752A6" w:rsidRDefault="00CA18A5" w:rsidP="00C5163A">
      <w:pPr>
        <w:tabs>
          <w:tab w:val="right" w:pos="5103"/>
          <w:tab w:val="right" w:pos="6237"/>
          <w:tab w:val="right" w:pos="7371"/>
          <w:tab w:val="right" w:pos="8505"/>
        </w:tabs>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rPr>
          <w:rFonts w:ascii="FoundrySterling-Book" w:hAnsi="FoundrySterling-Book" w:cs="Courier New"/>
          <w:szCs w:val="24"/>
        </w:rPr>
      </w:pPr>
      <w:r w:rsidRPr="00A752A6">
        <w:rPr>
          <w:rFonts w:ascii="FoundrySterling-Book" w:eastAsia="FoundrySterling-Book" w:hAnsi="FoundrySterling-Book" w:cs="Courier New"/>
          <w:szCs w:val="24"/>
          <w:lang w:val="en-GB" w:bidi="en-GB"/>
        </w:rPr>
        <w:lastRenderedPageBreak/>
        <w:t>The companies included in the Group are the parent company Tulikivi Corporation, Tulikivi U.S.</w:t>
      </w:r>
      <w:r w:rsidR="00C44A35">
        <w:rPr>
          <w:rFonts w:ascii="FoundrySterling-Book" w:eastAsia="FoundrySterling-Book" w:hAnsi="FoundrySterling-Book" w:cs="Courier New"/>
          <w:szCs w:val="24"/>
          <w:lang w:val="en-GB" w:bidi="en-GB"/>
        </w:rPr>
        <w:t xml:space="preserve"> </w:t>
      </w:r>
      <w:r w:rsidRPr="00A752A6">
        <w:rPr>
          <w:rFonts w:ascii="FoundrySterling-Book" w:eastAsia="FoundrySterling-Book" w:hAnsi="FoundrySterling-Book" w:cs="Courier New"/>
          <w:szCs w:val="24"/>
          <w:lang w:val="en-GB" w:bidi="en-GB"/>
        </w:rPr>
        <w:t xml:space="preserve">Inc. and OOO Tulikivi. Group companies also include Tulikivi GmbH and The New Alberene Stone Company, Inc., which are dormant. </w:t>
      </w: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jc w:val="both"/>
        <w:outlineLvl w:val="0"/>
        <w:rPr>
          <w:rFonts w:ascii="FoundrySterling-Book" w:hAnsi="FoundrySterling-Book" w:cs="Courier New"/>
          <w:szCs w:val="24"/>
        </w:rPr>
      </w:pPr>
      <w:r w:rsidRPr="00536AD7">
        <w:rPr>
          <w:rFonts w:ascii="FoundrySterling-Book" w:eastAsia="FoundrySterling-Book" w:hAnsi="FoundrySterling-Book" w:cs="Courier New"/>
          <w:szCs w:val="24"/>
          <w:lang w:val="en-GB" w:bidi="en-GB"/>
        </w:rPr>
        <w:t xml:space="preserve">TULIKIVI CORPORATION </w:t>
      </w:r>
    </w:p>
    <w:p w:rsidR="00675301" w:rsidRPr="00536AD7" w:rsidRDefault="00675301" w:rsidP="00C5163A">
      <w:pPr>
        <w:tabs>
          <w:tab w:val="right" w:pos="5103"/>
          <w:tab w:val="right" w:pos="6237"/>
          <w:tab w:val="right" w:pos="7371"/>
          <w:tab w:val="right" w:pos="8505"/>
        </w:tabs>
        <w:jc w:val="both"/>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eastAsia="FoundrySterling-Book" w:hAnsi="FoundrySterling-Book" w:cs="Courier New"/>
          <w:szCs w:val="24"/>
          <w:lang w:val="en-GB" w:bidi="en-GB"/>
        </w:rPr>
        <w:t>Board of Directors</w:t>
      </w:r>
    </w:p>
    <w:p w:rsidR="00675301" w:rsidRPr="00536AD7" w:rsidRDefault="00675301" w:rsidP="00C5163A">
      <w:pPr>
        <w:ind w:left="1304" w:hanging="1304"/>
        <w:outlineLvl w:val="0"/>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eastAsia="FoundrySterling-Book" w:hAnsi="FoundrySterling-Book" w:cs="Courier New"/>
          <w:szCs w:val="24"/>
          <w:lang w:val="en-GB" w:bidi="en-GB"/>
        </w:rPr>
        <w:t>Distribution: NASDAQ OMX Helsinki</w:t>
      </w: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eastAsia="FoundrySterling-Book" w:hAnsi="FoundrySterling-Book" w:cs="Courier New"/>
          <w:szCs w:val="24"/>
          <w:lang w:val="en-GB" w:bidi="en-GB"/>
        </w:rPr>
        <w:t>Key media</w:t>
      </w:r>
    </w:p>
    <w:p w:rsidR="00675301" w:rsidRPr="00536AD7" w:rsidRDefault="00660DFE" w:rsidP="00C5163A">
      <w:pPr>
        <w:ind w:left="1304" w:hanging="1304"/>
        <w:outlineLvl w:val="0"/>
        <w:rPr>
          <w:rFonts w:ascii="FoundrySterling-Book" w:hAnsi="FoundrySterling-Book" w:cs="Courier New"/>
          <w:szCs w:val="24"/>
        </w:rPr>
      </w:pPr>
      <w:r>
        <w:rPr>
          <w:rFonts w:ascii="FoundrySterling-Book" w:eastAsia="FoundrySterling-Book" w:hAnsi="FoundrySterling-Book" w:cs="Courier New"/>
          <w:szCs w:val="24"/>
          <w:lang w:val="en-GB" w:bidi="en-GB"/>
        </w:rPr>
        <w:t>www.tulikivi.com</w:t>
      </w:r>
    </w:p>
    <w:p w:rsidR="00675301" w:rsidRPr="00536AD7" w:rsidRDefault="005F0D5A" w:rsidP="005F0D5A">
      <w:pPr>
        <w:ind w:left="1304" w:hanging="1304"/>
        <w:outlineLvl w:val="0"/>
        <w:rPr>
          <w:rFonts w:ascii="FoundrySterling-Book" w:hAnsi="FoundrySterling-Book"/>
          <w:b/>
          <w:szCs w:val="24"/>
        </w:rPr>
      </w:pPr>
      <w:r>
        <w:rPr>
          <w:rFonts w:ascii="FoundrySterling-Book" w:eastAsia="FoundrySterling-Book" w:hAnsi="FoundrySterling-Book" w:cs="Courier New"/>
          <w:szCs w:val="24"/>
          <w:lang w:val="en-GB" w:bidi="en-GB"/>
        </w:rPr>
        <w:t>Further information: Heikki Vauhkonen, Managing Director, tel. +358 (0)207 636 555</w:t>
      </w:r>
    </w:p>
    <w:sectPr w:rsidR="00675301" w:rsidRPr="00536AD7" w:rsidSect="00E11852">
      <w:headerReference w:type="default" r:id="rId19"/>
      <w:footerReference w:type="default" r:id="rId20"/>
      <w:pgSz w:w="11906" w:h="16838" w:code="9"/>
      <w:pgMar w:top="2516" w:right="1134" w:bottom="269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64C" w:rsidRDefault="0070564C">
      <w:r>
        <w:separator/>
      </w:r>
    </w:p>
  </w:endnote>
  <w:endnote w:type="continuationSeparator" w:id="0">
    <w:p w:rsidR="0070564C" w:rsidRDefault="0070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FoundrySterling-Book">
    <w:altName w:val="Calibri"/>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Sterling-Medium">
    <w:altName w:val="Calibri"/>
    <w:panose1 w:val="00000500000000000000"/>
    <w:charset w:val="00"/>
    <w:family w:val="auto"/>
    <w:pitch w:val="variable"/>
    <w:sig w:usb0="80000027" w:usb1="0000004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undry Sterling OT2 Medium">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05" w:rsidRDefault="00827905">
    <w:pPr>
      <w:pStyle w:val="Alatunniste"/>
      <w:rPr>
        <w:rFonts w:ascii="FoundrySterling-Medium" w:hAnsi="FoundrySterling-Medium"/>
        <w:color w:val="404040"/>
        <w:sz w:val="36"/>
        <w:szCs w:val="36"/>
      </w:rPr>
    </w:pPr>
  </w:p>
  <w:p w:rsidR="00827905" w:rsidRPr="00E11852" w:rsidRDefault="00827905">
    <w:pPr>
      <w:pStyle w:val="Alatunniste"/>
    </w:pPr>
  </w:p>
  <w:p w:rsidR="00827905" w:rsidRPr="00E11852" w:rsidRDefault="00827905" w:rsidP="00F9391E">
    <w:pPr>
      <w:pStyle w:val="Laina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64C" w:rsidRDefault="0070564C">
      <w:r>
        <w:separator/>
      </w:r>
    </w:p>
  </w:footnote>
  <w:footnote w:type="continuationSeparator" w:id="0">
    <w:p w:rsidR="0070564C" w:rsidRDefault="0070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05" w:rsidRDefault="00827905">
    <w:pPr>
      <w:pStyle w:val="Yltunniste"/>
      <w:tabs>
        <w:tab w:val="clear" w:pos="4819"/>
        <w:tab w:val="left" w:pos="3600"/>
      </w:tabs>
      <w:rPr>
        <w:rStyle w:val="Sivunumero"/>
      </w:rPr>
    </w:pPr>
    <w:r>
      <w:rPr>
        <w:noProof/>
        <w:lang w:val="en-GB" w:bidi="en-GB"/>
      </w:rPr>
      <w:drawing>
        <wp:anchor distT="0" distB="0" distL="114300" distR="114300" simplePos="0" relativeHeight="251660288" behindDoc="0" locked="1" layoutInCell="1" allowOverlap="1">
          <wp:simplePos x="0" y="0"/>
          <wp:positionH relativeFrom="column">
            <wp:posOffset>-53340</wp:posOffset>
          </wp:positionH>
          <wp:positionV relativeFrom="paragraph">
            <wp:posOffset>-33655</wp:posOffset>
          </wp:positionV>
          <wp:extent cx="1068705" cy="798195"/>
          <wp:effectExtent l="0" t="0" r="0" b="1905"/>
          <wp:wrapNone/>
          <wp:docPr id="2"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798195"/>
                  </a:xfrm>
                  <a:prstGeom prst="rect">
                    <a:avLst/>
                  </a:prstGeom>
                  <a:noFill/>
                </pic:spPr>
              </pic:pic>
            </a:graphicData>
          </a:graphic>
        </wp:anchor>
      </w:drawing>
    </w:r>
    <w:r w:rsidRPr="006D580B">
      <w:rPr>
        <w:lang w:val="en-GB" w:bidi="en-GB"/>
      </w:rPr>
      <w:tab/>
    </w:r>
    <w:r w:rsidRPr="006D580B">
      <w:rPr>
        <w:lang w:val="en-GB" w:bidi="en-GB"/>
      </w:rPr>
      <w:tab/>
    </w:r>
    <w:r w:rsidRPr="006D580B">
      <w:rPr>
        <w:rStyle w:val="Sivunumero"/>
        <w:lang w:val="en-GB" w:bidi="en-GB"/>
      </w:rPr>
      <w:fldChar w:fldCharType="begin"/>
    </w:r>
    <w:r w:rsidRPr="006D580B">
      <w:rPr>
        <w:rStyle w:val="Sivunumero"/>
        <w:lang w:val="en-GB" w:bidi="en-GB"/>
      </w:rPr>
      <w:instrText xml:space="preserve"> PAGE </w:instrText>
    </w:r>
    <w:r w:rsidRPr="006D580B">
      <w:rPr>
        <w:rStyle w:val="Sivunumero"/>
        <w:lang w:val="en-GB" w:bidi="en-GB"/>
      </w:rPr>
      <w:fldChar w:fldCharType="separate"/>
    </w:r>
    <w:r w:rsidR="008B1334">
      <w:rPr>
        <w:rStyle w:val="Sivunumero"/>
        <w:noProof/>
        <w:lang w:val="en-GB" w:bidi="en-GB"/>
      </w:rPr>
      <w:t>15</w:t>
    </w:r>
    <w:r w:rsidRPr="006D580B">
      <w:rPr>
        <w:rStyle w:val="Sivunumero"/>
        <w:lang w:val="en-GB" w:bidi="en-GB"/>
      </w:rPr>
      <w:fldChar w:fldCharType="end"/>
    </w:r>
    <w:r w:rsidRPr="006D580B">
      <w:rPr>
        <w:rStyle w:val="Sivunumero"/>
        <w:lang w:val="en-GB" w:bidi="en-GB"/>
      </w:rPr>
      <w:t xml:space="preserve"> (16)</w:t>
    </w:r>
  </w:p>
  <w:p w:rsidR="00827905" w:rsidRDefault="00C44A35">
    <w:pPr>
      <w:pStyle w:val="Yltunniste"/>
      <w:tabs>
        <w:tab w:val="clear" w:pos="4819"/>
        <w:tab w:val="left" w:pos="3600"/>
      </w:tabs>
      <w:rPr>
        <w:rStyle w:val="Sivunumero"/>
        <w:rFonts w:ascii="Foundry Sterling OT2 Medium" w:hAnsi="Foundry Sterling OT2 Medium"/>
        <w:color w:val="FF0000"/>
      </w:rPr>
    </w:pPr>
    <w:r>
      <w:rPr>
        <w:rStyle w:val="Sivunumero"/>
        <w:rFonts w:ascii="Foundry Sterling OT2 Medium" w:eastAsia="Foundry Sterling OT2 Medium" w:hAnsi="Foundry Sterling OT2 Medium" w:cs="Foundry Sterling OT2 Medium"/>
        <w:color w:val="FF0000"/>
        <w:lang w:val="en-GB" w:bidi="en-GB"/>
      </w:rPr>
      <w:t xml:space="preserve">                 </w:t>
    </w:r>
  </w:p>
  <w:p w:rsidR="00827905" w:rsidRPr="00FB4F16" w:rsidRDefault="00B9077E">
    <w:pPr>
      <w:pStyle w:val="Yltunniste"/>
      <w:tabs>
        <w:tab w:val="clear" w:pos="4819"/>
        <w:tab w:val="left" w:pos="3600"/>
      </w:tabs>
      <w:rPr>
        <w:rStyle w:val="Sivunumero"/>
        <w:rFonts w:ascii="FoundrySterling-Medium" w:hAnsi="FoundrySterling-Medium"/>
        <w:color w:val="FF0000"/>
        <w:sz w:val="22"/>
        <w:szCs w:val="22"/>
      </w:rPr>
    </w:pPr>
    <w:r>
      <w:rPr>
        <w:rStyle w:val="Sivunumero"/>
        <w:rFonts w:ascii="Foundry Sterling OT2 Medium" w:eastAsia="Foundry Sterling OT2 Medium" w:hAnsi="Foundry Sterling OT2 Medium" w:cs="Foundry Sterling OT2 Medium"/>
        <w:color w:val="FF0000"/>
        <w:lang w:val="en-GB" w:bidi="en-GB"/>
      </w:rPr>
      <w:tab/>
    </w:r>
    <w:r w:rsidR="00827905">
      <w:rPr>
        <w:rStyle w:val="Sivunumero"/>
        <w:rFonts w:ascii="Foundry Sterling OT2 Medium" w:eastAsia="Foundry Sterling OT2 Medium" w:hAnsi="Foundry Sterling OT2 Medium" w:cs="Foundry Sterling OT2 Medium"/>
        <w:color w:val="FF0000"/>
        <w:lang w:val="en-GB" w:bidi="en-GB"/>
      </w:rPr>
      <w:t>FINANCIAL STATEMENTS RELEASE Jan–Dec 2017</w:t>
    </w:r>
  </w:p>
  <w:p w:rsidR="00827905" w:rsidRDefault="00827905">
    <w:pPr>
      <w:pStyle w:val="Yltunniste"/>
      <w:tabs>
        <w:tab w:val="clear" w:pos="4819"/>
        <w:tab w:val="left" w:pos="3600"/>
      </w:tabs>
      <w:rPr>
        <w:rStyle w:val="Sivunumero"/>
      </w:rPr>
    </w:pPr>
    <w:r>
      <w:rPr>
        <w:rStyle w:val="Sivunumero"/>
        <w:lang w:val="en-GB" w:bidi="en-GB"/>
      </w:rPr>
      <w:tab/>
    </w:r>
  </w:p>
  <w:p w:rsidR="00827905" w:rsidRDefault="00827905">
    <w:pPr>
      <w:pStyle w:val="Yltunniste"/>
      <w:tabs>
        <w:tab w:val="clear" w:pos="4819"/>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2D81"/>
    <w:multiLevelType w:val="hybridMultilevel"/>
    <w:tmpl w:val="A7C48A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4124EC"/>
    <w:multiLevelType w:val="singleLevel"/>
    <w:tmpl w:val="792021EE"/>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41231298"/>
    <w:multiLevelType w:val="hybridMultilevel"/>
    <w:tmpl w:val="EFA2AE22"/>
    <w:lvl w:ilvl="0" w:tplc="3050CC20">
      <w:start w:val="1"/>
      <w:numFmt w:val="bullet"/>
      <w:lvlText w:val=""/>
      <w:lvlJc w:val="left"/>
      <w:pPr>
        <w:tabs>
          <w:tab w:val="num" w:pos="2018"/>
        </w:tabs>
        <w:ind w:left="2018" w:hanging="360"/>
      </w:pPr>
      <w:rPr>
        <w:rFonts w:ascii="Symbol" w:hAnsi="Symbol" w:hint="default"/>
      </w:rPr>
    </w:lvl>
    <w:lvl w:ilvl="1" w:tplc="975E85D6" w:tentative="1">
      <w:start w:val="1"/>
      <w:numFmt w:val="bullet"/>
      <w:lvlText w:val="o"/>
      <w:lvlJc w:val="left"/>
      <w:pPr>
        <w:tabs>
          <w:tab w:val="num" w:pos="2738"/>
        </w:tabs>
        <w:ind w:left="2738" w:hanging="360"/>
      </w:pPr>
      <w:rPr>
        <w:rFonts w:ascii="Courier New" w:hAnsi="Courier New" w:hint="default"/>
      </w:rPr>
    </w:lvl>
    <w:lvl w:ilvl="2" w:tplc="EE3888A6" w:tentative="1">
      <w:start w:val="1"/>
      <w:numFmt w:val="bullet"/>
      <w:lvlText w:val=""/>
      <w:lvlJc w:val="left"/>
      <w:pPr>
        <w:tabs>
          <w:tab w:val="num" w:pos="3458"/>
        </w:tabs>
        <w:ind w:left="3458" w:hanging="360"/>
      </w:pPr>
      <w:rPr>
        <w:rFonts w:ascii="Wingdings" w:hAnsi="Wingdings" w:hint="default"/>
      </w:rPr>
    </w:lvl>
    <w:lvl w:ilvl="3" w:tplc="E6805ABE" w:tentative="1">
      <w:start w:val="1"/>
      <w:numFmt w:val="bullet"/>
      <w:lvlText w:val=""/>
      <w:lvlJc w:val="left"/>
      <w:pPr>
        <w:tabs>
          <w:tab w:val="num" w:pos="4178"/>
        </w:tabs>
        <w:ind w:left="4178" w:hanging="360"/>
      </w:pPr>
      <w:rPr>
        <w:rFonts w:ascii="Symbol" w:hAnsi="Symbol" w:hint="default"/>
      </w:rPr>
    </w:lvl>
    <w:lvl w:ilvl="4" w:tplc="A2FC1F80" w:tentative="1">
      <w:start w:val="1"/>
      <w:numFmt w:val="bullet"/>
      <w:lvlText w:val="o"/>
      <w:lvlJc w:val="left"/>
      <w:pPr>
        <w:tabs>
          <w:tab w:val="num" w:pos="4898"/>
        </w:tabs>
        <w:ind w:left="4898" w:hanging="360"/>
      </w:pPr>
      <w:rPr>
        <w:rFonts w:ascii="Courier New" w:hAnsi="Courier New" w:hint="default"/>
      </w:rPr>
    </w:lvl>
    <w:lvl w:ilvl="5" w:tplc="BC00FC1A" w:tentative="1">
      <w:start w:val="1"/>
      <w:numFmt w:val="bullet"/>
      <w:lvlText w:val=""/>
      <w:lvlJc w:val="left"/>
      <w:pPr>
        <w:tabs>
          <w:tab w:val="num" w:pos="5618"/>
        </w:tabs>
        <w:ind w:left="5618" w:hanging="360"/>
      </w:pPr>
      <w:rPr>
        <w:rFonts w:ascii="Wingdings" w:hAnsi="Wingdings" w:hint="default"/>
      </w:rPr>
    </w:lvl>
    <w:lvl w:ilvl="6" w:tplc="1E0ACFDA" w:tentative="1">
      <w:start w:val="1"/>
      <w:numFmt w:val="bullet"/>
      <w:lvlText w:val=""/>
      <w:lvlJc w:val="left"/>
      <w:pPr>
        <w:tabs>
          <w:tab w:val="num" w:pos="6338"/>
        </w:tabs>
        <w:ind w:left="6338" w:hanging="360"/>
      </w:pPr>
      <w:rPr>
        <w:rFonts w:ascii="Symbol" w:hAnsi="Symbol" w:hint="default"/>
      </w:rPr>
    </w:lvl>
    <w:lvl w:ilvl="7" w:tplc="75B4EE62" w:tentative="1">
      <w:start w:val="1"/>
      <w:numFmt w:val="bullet"/>
      <w:lvlText w:val="o"/>
      <w:lvlJc w:val="left"/>
      <w:pPr>
        <w:tabs>
          <w:tab w:val="num" w:pos="7058"/>
        </w:tabs>
        <w:ind w:left="7058" w:hanging="360"/>
      </w:pPr>
      <w:rPr>
        <w:rFonts w:ascii="Courier New" w:hAnsi="Courier New" w:hint="default"/>
      </w:rPr>
    </w:lvl>
    <w:lvl w:ilvl="8" w:tplc="D9320C0E" w:tentative="1">
      <w:start w:val="1"/>
      <w:numFmt w:val="bullet"/>
      <w:lvlText w:val=""/>
      <w:lvlJc w:val="left"/>
      <w:pPr>
        <w:tabs>
          <w:tab w:val="num" w:pos="7778"/>
        </w:tabs>
        <w:ind w:left="7778" w:hanging="360"/>
      </w:pPr>
      <w:rPr>
        <w:rFonts w:ascii="Wingdings" w:hAnsi="Wingdings" w:hint="default"/>
      </w:rPr>
    </w:lvl>
  </w:abstractNum>
  <w:abstractNum w:abstractNumId="3" w15:restartNumberingAfterBreak="0">
    <w:nsid w:val="46766CEB"/>
    <w:multiLevelType w:val="hybridMultilevel"/>
    <w:tmpl w:val="0B7E23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5D277207"/>
    <w:multiLevelType w:val="hybridMultilevel"/>
    <w:tmpl w:val="DCB83996"/>
    <w:lvl w:ilvl="0" w:tplc="B26EB45E">
      <w:start w:val="11"/>
      <w:numFmt w:val="bullet"/>
      <w:lvlText w:val="-"/>
      <w:lvlJc w:val="left"/>
      <w:pPr>
        <w:tabs>
          <w:tab w:val="num" w:pos="1658"/>
        </w:tabs>
        <w:ind w:left="1658" w:hanging="360"/>
      </w:pPr>
      <w:rPr>
        <w:rFonts w:ascii="Times New Roman" w:eastAsia="Times New Roman" w:hAnsi="Times New Roman" w:hint="default"/>
      </w:rPr>
    </w:lvl>
    <w:lvl w:ilvl="1" w:tplc="2DEAC562" w:tentative="1">
      <w:start w:val="1"/>
      <w:numFmt w:val="bullet"/>
      <w:lvlText w:val="o"/>
      <w:lvlJc w:val="left"/>
      <w:pPr>
        <w:tabs>
          <w:tab w:val="num" w:pos="2378"/>
        </w:tabs>
        <w:ind w:left="2378" w:hanging="360"/>
      </w:pPr>
      <w:rPr>
        <w:rFonts w:ascii="Courier New" w:hAnsi="Courier New" w:hint="default"/>
      </w:rPr>
    </w:lvl>
    <w:lvl w:ilvl="2" w:tplc="BAF290A6" w:tentative="1">
      <w:start w:val="1"/>
      <w:numFmt w:val="bullet"/>
      <w:lvlText w:val=""/>
      <w:lvlJc w:val="left"/>
      <w:pPr>
        <w:tabs>
          <w:tab w:val="num" w:pos="3098"/>
        </w:tabs>
        <w:ind w:left="3098" w:hanging="360"/>
      </w:pPr>
      <w:rPr>
        <w:rFonts w:ascii="Wingdings" w:hAnsi="Wingdings" w:hint="default"/>
      </w:rPr>
    </w:lvl>
    <w:lvl w:ilvl="3" w:tplc="DE14673C" w:tentative="1">
      <w:start w:val="1"/>
      <w:numFmt w:val="bullet"/>
      <w:lvlText w:val=""/>
      <w:lvlJc w:val="left"/>
      <w:pPr>
        <w:tabs>
          <w:tab w:val="num" w:pos="3818"/>
        </w:tabs>
        <w:ind w:left="3818" w:hanging="360"/>
      </w:pPr>
      <w:rPr>
        <w:rFonts w:ascii="Symbol" w:hAnsi="Symbol" w:hint="default"/>
      </w:rPr>
    </w:lvl>
    <w:lvl w:ilvl="4" w:tplc="E57C67FE" w:tentative="1">
      <w:start w:val="1"/>
      <w:numFmt w:val="bullet"/>
      <w:lvlText w:val="o"/>
      <w:lvlJc w:val="left"/>
      <w:pPr>
        <w:tabs>
          <w:tab w:val="num" w:pos="4538"/>
        </w:tabs>
        <w:ind w:left="4538" w:hanging="360"/>
      </w:pPr>
      <w:rPr>
        <w:rFonts w:ascii="Courier New" w:hAnsi="Courier New" w:hint="default"/>
      </w:rPr>
    </w:lvl>
    <w:lvl w:ilvl="5" w:tplc="F036D8AA" w:tentative="1">
      <w:start w:val="1"/>
      <w:numFmt w:val="bullet"/>
      <w:lvlText w:val=""/>
      <w:lvlJc w:val="left"/>
      <w:pPr>
        <w:tabs>
          <w:tab w:val="num" w:pos="5258"/>
        </w:tabs>
        <w:ind w:left="5258" w:hanging="360"/>
      </w:pPr>
      <w:rPr>
        <w:rFonts w:ascii="Wingdings" w:hAnsi="Wingdings" w:hint="default"/>
      </w:rPr>
    </w:lvl>
    <w:lvl w:ilvl="6" w:tplc="6BE0EB46" w:tentative="1">
      <w:start w:val="1"/>
      <w:numFmt w:val="bullet"/>
      <w:lvlText w:val=""/>
      <w:lvlJc w:val="left"/>
      <w:pPr>
        <w:tabs>
          <w:tab w:val="num" w:pos="5978"/>
        </w:tabs>
        <w:ind w:left="5978" w:hanging="360"/>
      </w:pPr>
      <w:rPr>
        <w:rFonts w:ascii="Symbol" w:hAnsi="Symbol" w:hint="default"/>
      </w:rPr>
    </w:lvl>
    <w:lvl w:ilvl="7" w:tplc="8974C2B8" w:tentative="1">
      <w:start w:val="1"/>
      <w:numFmt w:val="bullet"/>
      <w:lvlText w:val="o"/>
      <w:lvlJc w:val="left"/>
      <w:pPr>
        <w:tabs>
          <w:tab w:val="num" w:pos="6698"/>
        </w:tabs>
        <w:ind w:left="6698" w:hanging="360"/>
      </w:pPr>
      <w:rPr>
        <w:rFonts w:ascii="Courier New" w:hAnsi="Courier New" w:hint="default"/>
      </w:rPr>
    </w:lvl>
    <w:lvl w:ilvl="8" w:tplc="AAE23B96" w:tentative="1">
      <w:start w:val="1"/>
      <w:numFmt w:val="bullet"/>
      <w:lvlText w:val=""/>
      <w:lvlJc w:val="left"/>
      <w:pPr>
        <w:tabs>
          <w:tab w:val="num" w:pos="7418"/>
        </w:tabs>
        <w:ind w:left="741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37"/>
    <w:rsid w:val="0000014B"/>
    <w:rsid w:val="00000E09"/>
    <w:rsid w:val="000017F3"/>
    <w:rsid w:val="000024FD"/>
    <w:rsid w:val="000025C8"/>
    <w:rsid w:val="00002CCD"/>
    <w:rsid w:val="0000343D"/>
    <w:rsid w:val="00003620"/>
    <w:rsid w:val="000048DC"/>
    <w:rsid w:val="0000565C"/>
    <w:rsid w:val="00005942"/>
    <w:rsid w:val="00005A41"/>
    <w:rsid w:val="000063D3"/>
    <w:rsid w:val="00006762"/>
    <w:rsid w:val="00007257"/>
    <w:rsid w:val="00010522"/>
    <w:rsid w:val="00011CB8"/>
    <w:rsid w:val="00013C5A"/>
    <w:rsid w:val="0001521C"/>
    <w:rsid w:val="0001597C"/>
    <w:rsid w:val="00017C50"/>
    <w:rsid w:val="0002086C"/>
    <w:rsid w:val="000211F2"/>
    <w:rsid w:val="00021BED"/>
    <w:rsid w:val="00022FEB"/>
    <w:rsid w:val="000232FD"/>
    <w:rsid w:val="00026926"/>
    <w:rsid w:val="000277B5"/>
    <w:rsid w:val="00030322"/>
    <w:rsid w:val="00030B77"/>
    <w:rsid w:val="00030DB6"/>
    <w:rsid w:val="00031AD4"/>
    <w:rsid w:val="00031CED"/>
    <w:rsid w:val="000354FB"/>
    <w:rsid w:val="000356FD"/>
    <w:rsid w:val="000366A0"/>
    <w:rsid w:val="00036D1C"/>
    <w:rsid w:val="000372F4"/>
    <w:rsid w:val="00037C41"/>
    <w:rsid w:val="00040024"/>
    <w:rsid w:val="0004104A"/>
    <w:rsid w:val="00045221"/>
    <w:rsid w:val="00045A81"/>
    <w:rsid w:val="00045D11"/>
    <w:rsid w:val="00045F3C"/>
    <w:rsid w:val="000471C3"/>
    <w:rsid w:val="000476A0"/>
    <w:rsid w:val="000501F2"/>
    <w:rsid w:val="00051FAD"/>
    <w:rsid w:val="0005258B"/>
    <w:rsid w:val="00052C63"/>
    <w:rsid w:val="00052CDE"/>
    <w:rsid w:val="00054416"/>
    <w:rsid w:val="0005444A"/>
    <w:rsid w:val="0005476C"/>
    <w:rsid w:val="00055BAA"/>
    <w:rsid w:val="000566FB"/>
    <w:rsid w:val="00056710"/>
    <w:rsid w:val="00056755"/>
    <w:rsid w:val="000572E6"/>
    <w:rsid w:val="0005783C"/>
    <w:rsid w:val="000603EC"/>
    <w:rsid w:val="00060B62"/>
    <w:rsid w:val="00061C10"/>
    <w:rsid w:val="0006281F"/>
    <w:rsid w:val="00063BDF"/>
    <w:rsid w:val="0006485A"/>
    <w:rsid w:val="00066238"/>
    <w:rsid w:val="00067A11"/>
    <w:rsid w:val="00071388"/>
    <w:rsid w:val="00072D74"/>
    <w:rsid w:val="000747A3"/>
    <w:rsid w:val="00076314"/>
    <w:rsid w:val="000768D2"/>
    <w:rsid w:val="00076BC1"/>
    <w:rsid w:val="00076C78"/>
    <w:rsid w:val="00076C88"/>
    <w:rsid w:val="00076F34"/>
    <w:rsid w:val="00077839"/>
    <w:rsid w:val="00077B17"/>
    <w:rsid w:val="0008096C"/>
    <w:rsid w:val="00081364"/>
    <w:rsid w:val="000816D0"/>
    <w:rsid w:val="00081C21"/>
    <w:rsid w:val="000824C1"/>
    <w:rsid w:val="00083022"/>
    <w:rsid w:val="0008613E"/>
    <w:rsid w:val="000863CC"/>
    <w:rsid w:val="0009022F"/>
    <w:rsid w:val="00091379"/>
    <w:rsid w:val="00092A88"/>
    <w:rsid w:val="000934BC"/>
    <w:rsid w:val="00093B9D"/>
    <w:rsid w:val="000941C7"/>
    <w:rsid w:val="000954E7"/>
    <w:rsid w:val="00095F29"/>
    <w:rsid w:val="000967B2"/>
    <w:rsid w:val="000972D3"/>
    <w:rsid w:val="000973F2"/>
    <w:rsid w:val="000A0B1B"/>
    <w:rsid w:val="000A15F2"/>
    <w:rsid w:val="000A180A"/>
    <w:rsid w:val="000A2EB6"/>
    <w:rsid w:val="000A3C74"/>
    <w:rsid w:val="000A487C"/>
    <w:rsid w:val="000A538F"/>
    <w:rsid w:val="000A5AA1"/>
    <w:rsid w:val="000A7A3D"/>
    <w:rsid w:val="000B0239"/>
    <w:rsid w:val="000B10A8"/>
    <w:rsid w:val="000B1245"/>
    <w:rsid w:val="000B23A6"/>
    <w:rsid w:val="000B26FE"/>
    <w:rsid w:val="000B38A5"/>
    <w:rsid w:val="000B463A"/>
    <w:rsid w:val="000B7050"/>
    <w:rsid w:val="000B7B12"/>
    <w:rsid w:val="000B7B47"/>
    <w:rsid w:val="000C0234"/>
    <w:rsid w:val="000C0987"/>
    <w:rsid w:val="000C0AEA"/>
    <w:rsid w:val="000C2026"/>
    <w:rsid w:val="000C244E"/>
    <w:rsid w:val="000C295C"/>
    <w:rsid w:val="000C5D57"/>
    <w:rsid w:val="000D16B4"/>
    <w:rsid w:val="000D35D1"/>
    <w:rsid w:val="000D3637"/>
    <w:rsid w:val="000D4107"/>
    <w:rsid w:val="000D474E"/>
    <w:rsid w:val="000D52B1"/>
    <w:rsid w:val="000D5B1B"/>
    <w:rsid w:val="000D6D84"/>
    <w:rsid w:val="000D7077"/>
    <w:rsid w:val="000D7AC5"/>
    <w:rsid w:val="000D7B92"/>
    <w:rsid w:val="000E02E8"/>
    <w:rsid w:val="000E05CE"/>
    <w:rsid w:val="000E0978"/>
    <w:rsid w:val="000E1433"/>
    <w:rsid w:val="000E6143"/>
    <w:rsid w:val="000E7594"/>
    <w:rsid w:val="000E7D81"/>
    <w:rsid w:val="000F14E8"/>
    <w:rsid w:val="000F3766"/>
    <w:rsid w:val="000F4BF2"/>
    <w:rsid w:val="000F5618"/>
    <w:rsid w:val="000F5636"/>
    <w:rsid w:val="000F7559"/>
    <w:rsid w:val="00101676"/>
    <w:rsid w:val="0010311E"/>
    <w:rsid w:val="00103480"/>
    <w:rsid w:val="0010385A"/>
    <w:rsid w:val="00104B11"/>
    <w:rsid w:val="00105E86"/>
    <w:rsid w:val="0010611C"/>
    <w:rsid w:val="00106E1F"/>
    <w:rsid w:val="00107646"/>
    <w:rsid w:val="00107676"/>
    <w:rsid w:val="00110086"/>
    <w:rsid w:val="001103D0"/>
    <w:rsid w:val="00111045"/>
    <w:rsid w:val="00111154"/>
    <w:rsid w:val="00111532"/>
    <w:rsid w:val="00112398"/>
    <w:rsid w:val="00112B36"/>
    <w:rsid w:val="00113669"/>
    <w:rsid w:val="00113B92"/>
    <w:rsid w:val="00114955"/>
    <w:rsid w:val="00114B74"/>
    <w:rsid w:val="00114BB4"/>
    <w:rsid w:val="00115B51"/>
    <w:rsid w:val="0011608A"/>
    <w:rsid w:val="001163E3"/>
    <w:rsid w:val="001169A9"/>
    <w:rsid w:val="00117AB7"/>
    <w:rsid w:val="0012025D"/>
    <w:rsid w:val="00120CCC"/>
    <w:rsid w:val="00121CCD"/>
    <w:rsid w:val="001229DB"/>
    <w:rsid w:val="00122DDD"/>
    <w:rsid w:val="0012325B"/>
    <w:rsid w:val="00125271"/>
    <w:rsid w:val="001302F7"/>
    <w:rsid w:val="00131134"/>
    <w:rsid w:val="00132C51"/>
    <w:rsid w:val="001342A0"/>
    <w:rsid w:val="00134820"/>
    <w:rsid w:val="001359A8"/>
    <w:rsid w:val="00136759"/>
    <w:rsid w:val="00137BC0"/>
    <w:rsid w:val="0014070B"/>
    <w:rsid w:val="00141459"/>
    <w:rsid w:val="00143957"/>
    <w:rsid w:val="0014420D"/>
    <w:rsid w:val="001449CB"/>
    <w:rsid w:val="001449D8"/>
    <w:rsid w:val="00146341"/>
    <w:rsid w:val="00146916"/>
    <w:rsid w:val="001472B6"/>
    <w:rsid w:val="00147D17"/>
    <w:rsid w:val="00147E73"/>
    <w:rsid w:val="00150231"/>
    <w:rsid w:val="00151100"/>
    <w:rsid w:val="00151329"/>
    <w:rsid w:val="001526DF"/>
    <w:rsid w:val="001532A0"/>
    <w:rsid w:val="001533AB"/>
    <w:rsid w:val="0015342E"/>
    <w:rsid w:val="00156190"/>
    <w:rsid w:val="001564DF"/>
    <w:rsid w:val="001602DC"/>
    <w:rsid w:val="001607FF"/>
    <w:rsid w:val="00160D68"/>
    <w:rsid w:val="00161F67"/>
    <w:rsid w:val="00164F71"/>
    <w:rsid w:val="0016658B"/>
    <w:rsid w:val="001713F0"/>
    <w:rsid w:val="00171687"/>
    <w:rsid w:val="001721A7"/>
    <w:rsid w:val="001725EF"/>
    <w:rsid w:val="00173DCC"/>
    <w:rsid w:val="0017543B"/>
    <w:rsid w:val="001759F0"/>
    <w:rsid w:val="00175F0F"/>
    <w:rsid w:val="00176F95"/>
    <w:rsid w:val="001803B0"/>
    <w:rsid w:val="001814DF"/>
    <w:rsid w:val="00181C2B"/>
    <w:rsid w:val="00182E0E"/>
    <w:rsid w:val="00183C04"/>
    <w:rsid w:val="0018426A"/>
    <w:rsid w:val="00184A6C"/>
    <w:rsid w:val="00184D12"/>
    <w:rsid w:val="001862F9"/>
    <w:rsid w:val="0018700A"/>
    <w:rsid w:val="0019028C"/>
    <w:rsid w:val="0019041C"/>
    <w:rsid w:val="001912E4"/>
    <w:rsid w:val="00191478"/>
    <w:rsid w:val="00194C79"/>
    <w:rsid w:val="00195483"/>
    <w:rsid w:val="001966BC"/>
    <w:rsid w:val="00196D50"/>
    <w:rsid w:val="00197774"/>
    <w:rsid w:val="00197FAB"/>
    <w:rsid w:val="001A0308"/>
    <w:rsid w:val="001A2804"/>
    <w:rsid w:val="001A33E9"/>
    <w:rsid w:val="001A3889"/>
    <w:rsid w:val="001A3FD2"/>
    <w:rsid w:val="001A549E"/>
    <w:rsid w:val="001A751B"/>
    <w:rsid w:val="001B22CE"/>
    <w:rsid w:val="001B28B5"/>
    <w:rsid w:val="001B2D93"/>
    <w:rsid w:val="001B3B0E"/>
    <w:rsid w:val="001B3C68"/>
    <w:rsid w:val="001B5068"/>
    <w:rsid w:val="001B6470"/>
    <w:rsid w:val="001B70DB"/>
    <w:rsid w:val="001C0A10"/>
    <w:rsid w:val="001C31B1"/>
    <w:rsid w:val="001C3671"/>
    <w:rsid w:val="001C4E8D"/>
    <w:rsid w:val="001C502D"/>
    <w:rsid w:val="001C6A73"/>
    <w:rsid w:val="001D02F4"/>
    <w:rsid w:val="001D1EE0"/>
    <w:rsid w:val="001D2903"/>
    <w:rsid w:val="001D44AE"/>
    <w:rsid w:val="001D4A10"/>
    <w:rsid w:val="001D4F3A"/>
    <w:rsid w:val="001D4F6D"/>
    <w:rsid w:val="001E0490"/>
    <w:rsid w:val="001E197C"/>
    <w:rsid w:val="001E3B28"/>
    <w:rsid w:val="001E6135"/>
    <w:rsid w:val="001F01DE"/>
    <w:rsid w:val="001F0EA1"/>
    <w:rsid w:val="001F13C9"/>
    <w:rsid w:val="001F1471"/>
    <w:rsid w:val="001F1513"/>
    <w:rsid w:val="001F229B"/>
    <w:rsid w:val="001F292A"/>
    <w:rsid w:val="001F2C90"/>
    <w:rsid w:val="001F3A77"/>
    <w:rsid w:val="001F4FB5"/>
    <w:rsid w:val="001F643C"/>
    <w:rsid w:val="001F6C18"/>
    <w:rsid w:val="001F6E07"/>
    <w:rsid w:val="001F77B1"/>
    <w:rsid w:val="001F7FB5"/>
    <w:rsid w:val="002002F6"/>
    <w:rsid w:val="00200ADD"/>
    <w:rsid w:val="00201C5D"/>
    <w:rsid w:val="00202435"/>
    <w:rsid w:val="00202BA4"/>
    <w:rsid w:val="00203091"/>
    <w:rsid w:val="00203E75"/>
    <w:rsid w:val="0020420D"/>
    <w:rsid w:val="002059A7"/>
    <w:rsid w:val="00206A55"/>
    <w:rsid w:val="00207A98"/>
    <w:rsid w:val="00211451"/>
    <w:rsid w:val="00211991"/>
    <w:rsid w:val="00212966"/>
    <w:rsid w:val="002139FD"/>
    <w:rsid w:val="00214AA0"/>
    <w:rsid w:val="0021536F"/>
    <w:rsid w:val="002165E2"/>
    <w:rsid w:val="002167BE"/>
    <w:rsid w:val="00216880"/>
    <w:rsid w:val="002179CF"/>
    <w:rsid w:val="00217A2D"/>
    <w:rsid w:val="00217C7D"/>
    <w:rsid w:val="00220AF2"/>
    <w:rsid w:val="00221103"/>
    <w:rsid w:val="002215AD"/>
    <w:rsid w:val="00222399"/>
    <w:rsid w:val="00222546"/>
    <w:rsid w:val="00224375"/>
    <w:rsid w:val="002243CE"/>
    <w:rsid w:val="00224634"/>
    <w:rsid w:val="00224722"/>
    <w:rsid w:val="00224834"/>
    <w:rsid w:val="00226278"/>
    <w:rsid w:val="002278E2"/>
    <w:rsid w:val="002313EA"/>
    <w:rsid w:val="002325CB"/>
    <w:rsid w:val="00232B53"/>
    <w:rsid w:val="002334AD"/>
    <w:rsid w:val="00234CA3"/>
    <w:rsid w:val="00235E04"/>
    <w:rsid w:val="00237778"/>
    <w:rsid w:val="002377A3"/>
    <w:rsid w:val="00237AFF"/>
    <w:rsid w:val="00237D9F"/>
    <w:rsid w:val="00237E43"/>
    <w:rsid w:val="0024094D"/>
    <w:rsid w:val="002423EB"/>
    <w:rsid w:val="002432C2"/>
    <w:rsid w:val="00245428"/>
    <w:rsid w:val="002456C8"/>
    <w:rsid w:val="002457F3"/>
    <w:rsid w:val="002508C6"/>
    <w:rsid w:val="00251EE0"/>
    <w:rsid w:val="00252AE1"/>
    <w:rsid w:val="00252B36"/>
    <w:rsid w:val="00252CFE"/>
    <w:rsid w:val="0025347F"/>
    <w:rsid w:val="00254F45"/>
    <w:rsid w:val="002552D8"/>
    <w:rsid w:val="00255B41"/>
    <w:rsid w:val="00256233"/>
    <w:rsid w:val="00256300"/>
    <w:rsid w:val="00256469"/>
    <w:rsid w:val="002573E0"/>
    <w:rsid w:val="0026033E"/>
    <w:rsid w:val="00260443"/>
    <w:rsid w:val="00261F37"/>
    <w:rsid w:val="00262CA5"/>
    <w:rsid w:val="00262FEB"/>
    <w:rsid w:val="0026341F"/>
    <w:rsid w:val="00265E6D"/>
    <w:rsid w:val="00266BD6"/>
    <w:rsid w:val="00270A59"/>
    <w:rsid w:val="00270AA3"/>
    <w:rsid w:val="002717BB"/>
    <w:rsid w:val="00273ADE"/>
    <w:rsid w:val="002758B4"/>
    <w:rsid w:val="00277905"/>
    <w:rsid w:val="002803EB"/>
    <w:rsid w:val="002804FB"/>
    <w:rsid w:val="00280D0D"/>
    <w:rsid w:val="00281972"/>
    <w:rsid w:val="00281B1E"/>
    <w:rsid w:val="002834B1"/>
    <w:rsid w:val="00283F5B"/>
    <w:rsid w:val="00284489"/>
    <w:rsid w:val="00284691"/>
    <w:rsid w:val="00284C54"/>
    <w:rsid w:val="00284DCE"/>
    <w:rsid w:val="00285272"/>
    <w:rsid w:val="002871DD"/>
    <w:rsid w:val="00287BDD"/>
    <w:rsid w:val="00287FF0"/>
    <w:rsid w:val="002936FA"/>
    <w:rsid w:val="00293C4F"/>
    <w:rsid w:val="00294009"/>
    <w:rsid w:val="002949CB"/>
    <w:rsid w:val="002952AF"/>
    <w:rsid w:val="00295881"/>
    <w:rsid w:val="00296059"/>
    <w:rsid w:val="00296CCE"/>
    <w:rsid w:val="002977AF"/>
    <w:rsid w:val="002A1C54"/>
    <w:rsid w:val="002A47B4"/>
    <w:rsid w:val="002A4CB1"/>
    <w:rsid w:val="002A4D41"/>
    <w:rsid w:val="002A5CF5"/>
    <w:rsid w:val="002A6A90"/>
    <w:rsid w:val="002A7182"/>
    <w:rsid w:val="002B009E"/>
    <w:rsid w:val="002B3466"/>
    <w:rsid w:val="002B7B34"/>
    <w:rsid w:val="002B7C4D"/>
    <w:rsid w:val="002C018B"/>
    <w:rsid w:val="002C0E23"/>
    <w:rsid w:val="002C26D7"/>
    <w:rsid w:val="002C3F46"/>
    <w:rsid w:val="002C44C9"/>
    <w:rsid w:val="002C45EF"/>
    <w:rsid w:val="002C5014"/>
    <w:rsid w:val="002D09E8"/>
    <w:rsid w:val="002D103B"/>
    <w:rsid w:val="002D3198"/>
    <w:rsid w:val="002D3612"/>
    <w:rsid w:val="002D3B51"/>
    <w:rsid w:val="002D3CA1"/>
    <w:rsid w:val="002D4A71"/>
    <w:rsid w:val="002D4B5C"/>
    <w:rsid w:val="002D53C9"/>
    <w:rsid w:val="002D624E"/>
    <w:rsid w:val="002D68C7"/>
    <w:rsid w:val="002D700D"/>
    <w:rsid w:val="002E0F9C"/>
    <w:rsid w:val="002E1099"/>
    <w:rsid w:val="002E19BD"/>
    <w:rsid w:val="002E2AC8"/>
    <w:rsid w:val="002E2D0C"/>
    <w:rsid w:val="002E32E7"/>
    <w:rsid w:val="002E3477"/>
    <w:rsid w:val="002E3A06"/>
    <w:rsid w:val="002E3A89"/>
    <w:rsid w:val="002E4872"/>
    <w:rsid w:val="002E4C9B"/>
    <w:rsid w:val="002E55AE"/>
    <w:rsid w:val="002E56D2"/>
    <w:rsid w:val="002E6127"/>
    <w:rsid w:val="002E67C1"/>
    <w:rsid w:val="002E7561"/>
    <w:rsid w:val="002E770A"/>
    <w:rsid w:val="002E77D7"/>
    <w:rsid w:val="002E7A55"/>
    <w:rsid w:val="002E7A5F"/>
    <w:rsid w:val="002E7BFA"/>
    <w:rsid w:val="002F01F3"/>
    <w:rsid w:val="002F1573"/>
    <w:rsid w:val="002F185A"/>
    <w:rsid w:val="002F1AD8"/>
    <w:rsid w:val="002F5840"/>
    <w:rsid w:val="002F6364"/>
    <w:rsid w:val="002F6495"/>
    <w:rsid w:val="002F6BEE"/>
    <w:rsid w:val="002F7B22"/>
    <w:rsid w:val="00302ED0"/>
    <w:rsid w:val="003036ED"/>
    <w:rsid w:val="00303ED3"/>
    <w:rsid w:val="003061F5"/>
    <w:rsid w:val="003078EF"/>
    <w:rsid w:val="00312D85"/>
    <w:rsid w:val="00314D87"/>
    <w:rsid w:val="003158B9"/>
    <w:rsid w:val="0031681D"/>
    <w:rsid w:val="00316FAC"/>
    <w:rsid w:val="003207A0"/>
    <w:rsid w:val="00320F23"/>
    <w:rsid w:val="00321593"/>
    <w:rsid w:val="0032239D"/>
    <w:rsid w:val="00323177"/>
    <w:rsid w:val="003236CC"/>
    <w:rsid w:val="00326875"/>
    <w:rsid w:val="003269E1"/>
    <w:rsid w:val="00326C52"/>
    <w:rsid w:val="00326F1D"/>
    <w:rsid w:val="00327A02"/>
    <w:rsid w:val="0033222D"/>
    <w:rsid w:val="00333ECE"/>
    <w:rsid w:val="003346DA"/>
    <w:rsid w:val="003350FD"/>
    <w:rsid w:val="00335538"/>
    <w:rsid w:val="00335714"/>
    <w:rsid w:val="00336621"/>
    <w:rsid w:val="00336856"/>
    <w:rsid w:val="0033690A"/>
    <w:rsid w:val="003372DC"/>
    <w:rsid w:val="00340A28"/>
    <w:rsid w:val="00340DB7"/>
    <w:rsid w:val="00342D29"/>
    <w:rsid w:val="00342F64"/>
    <w:rsid w:val="003440E7"/>
    <w:rsid w:val="003441B8"/>
    <w:rsid w:val="00344B03"/>
    <w:rsid w:val="00344DEF"/>
    <w:rsid w:val="00345BE4"/>
    <w:rsid w:val="003468A7"/>
    <w:rsid w:val="00346ED8"/>
    <w:rsid w:val="00347917"/>
    <w:rsid w:val="00350FFD"/>
    <w:rsid w:val="00352835"/>
    <w:rsid w:val="00352C49"/>
    <w:rsid w:val="0035327A"/>
    <w:rsid w:val="00354C46"/>
    <w:rsid w:val="0035527C"/>
    <w:rsid w:val="0035586A"/>
    <w:rsid w:val="00355CF7"/>
    <w:rsid w:val="00357206"/>
    <w:rsid w:val="0035724A"/>
    <w:rsid w:val="00361235"/>
    <w:rsid w:val="00361DCC"/>
    <w:rsid w:val="00362880"/>
    <w:rsid w:val="00362891"/>
    <w:rsid w:val="00363A7F"/>
    <w:rsid w:val="00364250"/>
    <w:rsid w:val="00365162"/>
    <w:rsid w:val="00365190"/>
    <w:rsid w:val="0036533F"/>
    <w:rsid w:val="00365984"/>
    <w:rsid w:val="00365EC8"/>
    <w:rsid w:val="0036777A"/>
    <w:rsid w:val="003701A2"/>
    <w:rsid w:val="003716C8"/>
    <w:rsid w:val="00372133"/>
    <w:rsid w:val="003724DE"/>
    <w:rsid w:val="003728FE"/>
    <w:rsid w:val="00373410"/>
    <w:rsid w:val="003806E2"/>
    <w:rsid w:val="0038132F"/>
    <w:rsid w:val="003814C0"/>
    <w:rsid w:val="00384557"/>
    <w:rsid w:val="00385E5D"/>
    <w:rsid w:val="00386AFD"/>
    <w:rsid w:val="00386BE2"/>
    <w:rsid w:val="003872BD"/>
    <w:rsid w:val="0038745A"/>
    <w:rsid w:val="00387B03"/>
    <w:rsid w:val="00391F01"/>
    <w:rsid w:val="0039292B"/>
    <w:rsid w:val="003939AC"/>
    <w:rsid w:val="00394456"/>
    <w:rsid w:val="00395224"/>
    <w:rsid w:val="0039687D"/>
    <w:rsid w:val="00396C5B"/>
    <w:rsid w:val="00396CFD"/>
    <w:rsid w:val="0039761F"/>
    <w:rsid w:val="003A03A2"/>
    <w:rsid w:val="003A12CB"/>
    <w:rsid w:val="003A2257"/>
    <w:rsid w:val="003A2302"/>
    <w:rsid w:val="003A2ADC"/>
    <w:rsid w:val="003A2DB7"/>
    <w:rsid w:val="003A3410"/>
    <w:rsid w:val="003A353F"/>
    <w:rsid w:val="003A414C"/>
    <w:rsid w:val="003A4D1A"/>
    <w:rsid w:val="003A4E9B"/>
    <w:rsid w:val="003A5C09"/>
    <w:rsid w:val="003A6122"/>
    <w:rsid w:val="003A721D"/>
    <w:rsid w:val="003A7889"/>
    <w:rsid w:val="003B1117"/>
    <w:rsid w:val="003B1C7F"/>
    <w:rsid w:val="003B34B5"/>
    <w:rsid w:val="003B3956"/>
    <w:rsid w:val="003B3E22"/>
    <w:rsid w:val="003B443E"/>
    <w:rsid w:val="003B4839"/>
    <w:rsid w:val="003B4AB6"/>
    <w:rsid w:val="003B4B18"/>
    <w:rsid w:val="003B56E7"/>
    <w:rsid w:val="003B6D83"/>
    <w:rsid w:val="003B6F74"/>
    <w:rsid w:val="003C0E0A"/>
    <w:rsid w:val="003C14FA"/>
    <w:rsid w:val="003C1506"/>
    <w:rsid w:val="003C5183"/>
    <w:rsid w:val="003C64D6"/>
    <w:rsid w:val="003C74E2"/>
    <w:rsid w:val="003D1613"/>
    <w:rsid w:val="003D1AAF"/>
    <w:rsid w:val="003D21D9"/>
    <w:rsid w:val="003D35B9"/>
    <w:rsid w:val="003D4E79"/>
    <w:rsid w:val="003D53E0"/>
    <w:rsid w:val="003D57ED"/>
    <w:rsid w:val="003D6958"/>
    <w:rsid w:val="003D6F33"/>
    <w:rsid w:val="003E0DFA"/>
    <w:rsid w:val="003E173B"/>
    <w:rsid w:val="003E25E0"/>
    <w:rsid w:val="003E3566"/>
    <w:rsid w:val="003E3C0F"/>
    <w:rsid w:val="003E3DB0"/>
    <w:rsid w:val="003E5F2C"/>
    <w:rsid w:val="003E6C49"/>
    <w:rsid w:val="003E74ED"/>
    <w:rsid w:val="003F02CB"/>
    <w:rsid w:val="003F19F1"/>
    <w:rsid w:val="003F240F"/>
    <w:rsid w:val="003F2C34"/>
    <w:rsid w:val="003F3415"/>
    <w:rsid w:val="003F49FD"/>
    <w:rsid w:val="003F4F15"/>
    <w:rsid w:val="003F750D"/>
    <w:rsid w:val="004002D0"/>
    <w:rsid w:val="004010E4"/>
    <w:rsid w:val="00401CB4"/>
    <w:rsid w:val="00402098"/>
    <w:rsid w:val="004024F8"/>
    <w:rsid w:val="00402A12"/>
    <w:rsid w:val="00402D90"/>
    <w:rsid w:val="0040496B"/>
    <w:rsid w:val="004064FF"/>
    <w:rsid w:val="00406F30"/>
    <w:rsid w:val="00407C38"/>
    <w:rsid w:val="00410F0A"/>
    <w:rsid w:val="00411DA2"/>
    <w:rsid w:val="0041260F"/>
    <w:rsid w:val="00412F10"/>
    <w:rsid w:val="004143A8"/>
    <w:rsid w:val="00416579"/>
    <w:rsid w:val="00416971"/>
    <w:rsid w:val="00416F56"/>
    <w:rsid w:val="00421ECB"/>
    <w:rsid w:val="00421ED1"/>
    <w:rsid w:val="00424C69"/>
    <w:rsid w:val="00426C09"/>
    <w:rsid w:val="00426D48"/>
    <w:rsid w:val="004277EA"/>
    <w:rsid w:val="004279D5"/>
    <w:rsid w:val="0043152E"/>
    <w:rsid w:val="00431D79"/>
    <w:rsid w:val="0043289E"/>
    <w:rsid w:val="00433E97"/>
    <w:rsid w:val="00435052"/>
    <w:rsid w:val="00435287"/>
    <w:rsid w:val="0043531A"/>
    <w:rsid w:val="004361CF"/>
    <w:rsid w:val="00436396"/>
    <w:rsid w:val="004367C0"/>
    <w:rsid w:val="004367F7"/>
    <w:rsid w:val="00436C0F"/>
    <w:rsid w:val="004375B6"/>
    <w:rsid w:val="00437611"/>
    <w:rsid w:val="00441262"/>
    <w:rsid w:val="00441BBE"/>
    <w:rsid w:val="00442372"/>
    <w:rsid w:val="00444835"/>
    <w:rsid w:val="00447DDE"/>
    <w:rsid w:val="00450231"/>
    <w:rsid w:val="0045023E"/>
    <w:rsid w:val="00450CC0"/>
    <w:rsid w:val="00451D20"/>
    <w:rsid w:val="00451F8D"/>
    <w:rsid w:val="00452EAB"/>
    <w:rsid w:val="00452FDC"/>
    <w:rsid w:val="004535DA"/>
    <w:rsid w:val="00453882"/>
    <w:rsid w:val="00453E44"/>
    <w:rsid w:val="00457601"/>
    <w:rsid w:val="0046089D"/>
    <w:rsid w:val="00461B9C"/>
    <w:rsid w:val="004631F5"/>
    <w:rsid w:val="00463F2D"/>
    <w:rsid w:val="00464074"/>
    <w:rsid w:val="0046505F"/>
    <w:rsid w:val="00466C89"/>
    <w:rsid w:val="004720DB"/>
    <w:rsid w:val="00472732"/>
    <w:rsid w:val="00474482"/>
    <w:rsid w:val="004746CE"/>
    <w:rsid w:val="004772B4"/>
    <w:rsid w:val="00480219"/>
    <w:rsid w:val="00481438"/>
    <w:rsid w:val="0048175E"/>
    <w:rsid w:val="004817DA"/>
    <w:rsid w:val="0048240C"/>
    <w:rsid w:val="00483F1F"/>
    <w:rsid w:val="0048404F"/>
    <w:rsid w:val="00484985"/>
    <w:rsid w:val="0048615E"/>
    <w:rsid w:val="00490405"/>
    <w:rsid w:val="004907C2"/>
    <w:rsid w:val="00490FCB"/>
    <w:rsid w:val="00493045"/>
    <w:rsid w:val="00493F88"/>
    <w:rsid w:val="00494AFF"/>
    <w:rsid w:val="00496111"/>
    <w:rsid w:val="00496358"/>
    <w:rsid w:val="004965C8"/>
    <w:rsid w:val="00496CEA"/>
    <w:rsid w:val="00496F8A"/>
    <w:rsid w:val="00497C45"/>
    <w:rsid w:val="004A03DA"/>
    <w:rsid w:val="004A0BC4"/>
    <w:rsid w:val="004A13B4"/>
    <w:rsid w:val="004A1ECA"/>
    <w:rsid w:val="004A2B09"/>
    <w:rsid w:val="004A2BB2"/>
    <w:rsid w:val="004A2C94"/>
    <w:rsid w:val="004A2D5B"/>
    <w:rsid w:val="004A4695"/>
    <w:rsid w:val="004A6D1C"/>
    <w:rsid w:val="004A7148"/>
    <w:rsid w:val="004A7B6C"/>
    <w:rsid w:val="004B199C"/>
    <w:rsid w:val="004B21BE"/>
    <w:rsid w:val="004B2D47"/>
    <w:rsid w:val="004B3203"/>
    <w:rsid w:val="004B3D57"/>
    <w:rsid w:val="004B4D42"/>
    <w:rsid w:val="004B51BE"/>
    <w:rsid w:val="004B72DF"/>
    <w:rsid w:val="004C050C"/>
    <w:rsid w:val="004C1771"/>
    <w:rsid w:val="004C2B69"/>
    <w:rsid w:val="004C2C20"/>
    <w:rsid w:val="004C3D73"/>
    <w:rsid w:val="004C4817"/>
    <w:rsid w:val="004C5234"/>
    <w:rsid w:val="004C59BC"/>
    <w:rsid w:val="004C5CBE"/>
    <w:rsid w:val="004C5E42"/>
    <w:rsid w:val="004C6060"/>
    <w:rsid w:val="004C69AC"/>
    <w:rsid w:val="004C6D2B"/>
    <w:rsid w:val="004C7A43"/>
    <w:rsid w:val="004C7AD0"/>
    <w:rsid w:val="004D2D5A"/>
    <w:rsid w:val="004D3527"/>
    <w:rsid w:val="004D469F"/>
    <w:rsid w:val="004D4889"/>
    <w:rsid w:val="004D5019"/>
    <w:rsid w:val="004D5ADB"/>
    <w:rsid w:val="004D61ED"/>
    <w:rsid w:val="004E0A42"/>
    <w:rsid w:val="004E14B9"/>
    <w:rsid w:val="004E1EE0"/>
    <w:rsid w:val="004E291D"/>
    <w:rsid w:val="004E34D4"/>
    <w:rsid w:val="004E3A1C"/>
    <w:rsid w:val="004E5C46"/>
    <w:rsid w:val="004E6B30"/>
    <w:rsid w:val="004E7AF1"/>
    <w:rsid w:val="004E7CE1"/>
    <w:rsid w:val="004E7E91"/>
    <w:rsid w:val="004E7EA8"/>
    <w:rsid w:val="004E7F14"/>
    <w:rsid w:val="004E7FB9"/>
    <w:rsid w:val="004F09DD"/>
    <w:rsid w:val="004F2A9F"/>
    <w:rsid w:val="004F2EBC"/>
    <w:rsid w:val="004F4BAD"/>
    <w:rsid w:val="004F600E"/>
    <w:rsid w:val="005000E9"/>
    <w:rsid w:val="005002BB"/>
    <w:rsid w:val="00501B23"/>
    <w:rsid w:val="00502396"/>
    <w:rsid w:val="00502FE1"/>
    <w:rsid w:val="005033FD"/>
    <w:rsid w:val="00503727"/>
    <w:rsid w:val="005040DD"/>
    <w:rsid w:val="00504A97"/>
    <w:rsid w:val="0050510C"/>
    <w:rsid w:val="00507677"/>
    <w:rsid w:val="00507C00"/>
    <w:rsid w:val="005120E8"/>
    <w:rsid w:val="00512331"/>
    <w:rsid w:val="005145F8"/>
    <w:rsid w:val="00514889"/>
    <w:rsid w:val="0051510F"/>
    <w:rsid w:val="00515BBB"/>
    <w:rsid w:val="0051735D"/>
    <w:rsid w:val="0051756C"/>
    <w:rsid w:val="00517E81"/>
    <w:rsid w:val="00520140"/>
    <w:rsid w:val="00520286"/>
    <w:rsid w:val="00520725"/>
    <w:rsid w:val="00520B17"/>
    <w:rsid w:val="00521F23"/>
    <w:rsid w:val="005237F4"/>
    <w:rsid w:val="0052409E"/>
    <w:rsid w:val="0052606A"/>
    <w:rsid w:val="00527B95"/>
    <w:rsid w:val="00527CDB"/>
    <w:rsid w:val="0053042D"/>
    <w:rsid w:val="005310C2"/>
    <w:rsid w:val="00531849"/>
    <w:rsid w:val="00531AE4"/>
    <w:rsid w:val="00532342"/>
    <w:rsid w:val="00532839"/>
    <w:rsid w:val="00532D48"/>
    <w:rsid w:val="00532F8F"/>
    <w:rsid w:val="00534312"/>
    <w:rsid w:val="00535890"/>
    <w:rsid w:val="00535B93"/>
    <w:rsid w:val="00536AD7"/>
    <w:rsid w:val="00537610"/>
    <w:rsid w:val="00537BE3"/>
    <w:rsid w:val="00537D07"/>
    <w:rsid w:val="005406CB"/>
    <w:rsid w:val="005408F4"/>
    <w:rsid w:val="00541362"/>
    <w:rsid w:val="005426F5"/>
    <w:rsid w:val="0054512C"/>
    <w:rsid w:val="00547C2F"/>
    <w:rsid w:val="0055074A"/>
    <w:rsid w:val="00550776"/>
    <w:rsid w:val="0055192F"/>
    <w:rsid w:val="0055253A"/>
    <w:rsid w:val="00552B45"/>
    <w:rsid w:val="0055324C"/>
    <w:rsid w:val="00554E57"/>
    <w:rsid w:val="005552CD"/>
    <w:rsid w:val="005558D9"/>
    <w:rsid w:val="00555950"/>
    <w:rsid w:val="005573EC"/>
    <w:rsid w:val="005613DD"/>
    <w:rsid w:val="00562F4D"/>
    <w:rsid w:val="005646FD"/>
    <w:rsid w:val="0056537F"/>
    <w:rsid w:val="00565775"/>
    <w:rsid w:val="00565ED2"/>
    <w:rsid w:val="005662F4"/>
    <w:rsid w:val="00567710"/>
    <w:rsid w:val="00567F09"/>
    <w:rsid w:val="00571B8C"/>
    <w:rsid w:val="005725E2"/>
    <w:rsid w:val="00572B06"/>
    <w:rsid w:val="00574C54"/>
    <w:rsid w:val="0057527A"/>
    <w:rsid w:val="0057554A"/>
    <w:rsid w:val="00580811"/>
    <w:rsid w:val="005812A4"/>
    <w:rsid w:val="005821BA"/>
    <w:rsid w:val="005823EA"/>
    <w:rsid w:val="00582A32"/>
    <w:rsid w:val="0058579E"/>
    <w:rsid w:val="005865CF"/>
    <w:rsid w:val="0059298F"/>
    <w:rsid w:val="00592CFC"/>
    <w:rsid w:val="00593CC1"/>
    <w:rsid w:val="00594601"/>
    <w:rsid w:val="00595120"/>
    <w:rsid w:val="00596420"/>
    <w:rsid w:val="00596D50"/>
    <w:rsid w:val="0059705A"/>
    <w:rsid w:val="0059707D"/>
    <w:rsid w:val="00597D5E"/>
    <w:rsid w:val="00597DD4"/>
    <w:rsid w:val="005A2CA9"/>
    <w:rsid w:val="005A3F88"/>
    <w:rsid w:val="005A4103"/>
    <w:rsid w:val="005A516A"/>
    <w:rsid w:val="005A6168"/>
    <w:rsid w:val="005A7746"/>
    <w:rsid w:val="005A7C52"/>
    <w:rsid w:val="005B043C"/>
    <w:rsid w:val="005B15E8"/>
    <w:rsid w:val="005B2AD4"/>
    <w:rsid w:val="005B2D15"/>
    <w:rsid w:val="005B2FC0"/>
    <w:rsid w:val="005B3C27"/>
    <w:rsid w:val="005B433A"/>
    <w:rsid w:val="005B4E58"/>
    <w:rsid w:val="005B5450"/>
    <w:rsid w:val="005B5691"/>
    <w:rsid w:val="005B6732"/>
    <w:rsid w:val="005B7CDA"/>
    <w:rsid w:val="005C0AE4"/>
    <w:rsid w:val="005C1A53"/>
    <w:rsid w:val="005C215C"/>
    <w:rsid w:val="005C354F"/>
    <w:rsid w:val="005C5586"/>
    <w:rsid w:val="005C57EA"/>
    <w:rsid w:val="005C6168"/>
    <w:rsid w:val="005C7356"/>
    <w:rsid w:val="005D0245"/>
    <w:rsid w:val="005D0DD5"/>
    <w:rsid w:val="005D2A83"/>
    <w:rsid w:val="005D3646"/>
    <w:rsid w:val="005D3DED"/>
    <w:rsid w:val="005D605C"/>
    <w:rsid w:val="005D6544"/>
    <w:rsid w:val="005D7365"/>
    <w:rsid w:val="005D74B0"/>
    <w:rsid w:val="005D76F1"/>
    <w:rsid w:val="005D7913"/>
    <w:rsid w:val="005D7E5E"/>
    <w:rsid w:val="005E0064"/>
    <w:rsid w:val="005E0626"/>
    <w:rsid w:val="005E0B64"/>
    <w:rsid w:val="005E33BC"/>
    <w:rsid w:val="005E3B25"/>
    <w:rsid w:val="005E4DC1"/>
    <w:rsid w:val="005E5420"/>
    <w:rsid w:val="005E571E"/>
    <w:rsid w:val="005E5988"/>
    <w:rsid w:val="005E7AB1"/>
    <w:rsid w:val="005E7F12"/>
    <w:rsid w:val="005F0D5A"/>
    <w:rsid w:val="005F11A9"/>
    <w:rsid w:val="005F2335"/>
    <w:rsid w:val="005F389A"/>
    <w:rsid w:val="005F3FB6"/>
    <w:rsid w:val="005F4A41"/>
    <w:rsid w:val="005F5AB5"/>
    <w:rsid w:val="005F60D9"/>
    <w:rsid w:val="005F6B3B"/>
    <w:rsid w:val="005F6F19"/>
    <w:rsid w:val="005F7627"/>
    <w:rsid w:val="005F76CB"/>
    <w:rsid w:val="005F798A"/>
    <w:rsid w:val="005F7BF3"/>
    <w:rsid w:val="00603815"/>
    <w:rsid w:val="00603FE7"/>
    <w:rsid w:val="00604679"/>
    <w:rsid w:val="00610CE1"/>
    <w:rsid w:val="006111B7"/>
    <w:rsid w:val="00613167"/>
    <w:rsid w:val="00613442"/>
    <w:rsid w:val="00614006"/>
    <w:rsid w:val="0061480A"/>
    <w:rsid w:val="006149CC"/>
    <w:rsid w:val="0061593E"/>
    <w:rsid w:val="00616497"/>
    <w:rsid w:val="00616832"/>
    <w:rsid w:val="00616CF4"/>
    <w:rsid w:val="00617484"/>
    <w:rsid w:val="0062069D"/>
    <w:rsid w:val="006208DE"/>
    <w:rsid w:val="00620BA1"/>
    <w:rsid w:val="00622378"/>
    <w:rsid w:val="00622507"/>
    <w:rsid w:val="006302B0"/>
    <w:rsid w:val="00631008"/>
    <w:rsid w:val="00631771"/>
    <w:rsid w:val="00632E85"/>
    <w:rsid w:val="00633A4A"/>
    <w:rsid w:val="0063426C"/>
    <w:rsid w:val="00634743"/>
    <w:rsid w:val="006348A4"/>
    <w:rsid w:val="006356D8"/>
    <w:rsid w:val="006364D6"/>
    <w:rsid w:val="006375FF"/>
    <w:rsid w:val="00637665"/>
    <w:rsid w:val="006406A8"/>
    <w:rsid w:val="00640F04"/>
    <w:rsid w:val="0064262E"/>
    <w:rsid w:val="00643130"/>
    <w:rsid w:val="00643E61"/>
    <w:rsid w:val="00643F3B"/>
    <w:rsid w:val="00645DAC"/>
    <w:rsid w:val="00645FE2"/>
    <w:rsid w:val="00646256"/>
    <w:rsid w:val="006462AC"/>
    <w:rsid w:val="00647A3A"/>
    <w:rsid w:val="00650568"/>
    <w:rsid w:val="00650996"/>
    <w:rsid w:val="00650BAC"/>
    <w:rsid w:val="00650BB1"/>
    <w:rsid w:val="006547DE"/>
    <w:rsid w:val="00655FA4"/>
    <w:rsid w:val="00656A3D"/>
    <w:rsid w:val="00656C9E"/>
    <w:rsid w:val="006572C3"/>
    <w:rsid w:val="00657724"/>
    <w:rsid w:val="00657EB3"/>
    <w:rsid w:val="00657EE4"/>
    <w:rsid w:val="00660330"/>
    <w:rsid w:val="00660DFE"/>
    <w:rsid w:val="00661656"/>
    <w:rsid w:val="00663281"/>
    <w:rsid w:val="00663EEE"/>
    <w:rsid w:val="006647FE"/>
    <w:rsid w:val="0066555C"/>
    <w:rsid w:val="00665B24"/>
    <w:rsid w:val="00667676"/>
    <w:rsid w:val="00670ADA"/>
    <w:rsid w:val="00670DD8"/>
    <w:rsid w:val="00671476"/>
    <w:rsid w:val="00672717"/>
    <w:rsid w:val="00675244"/>
    <w:rsid w:val="00675301"/>
    <w:rsid w:val="00675386"/>
    <w:rsid w:val="00675F06"/>
    <w:rsid w:val="006775B1"/>
    <w:rsid w:val="006803A4"/>
    <w:rsid w:val="00680806"/>
    <w:rsid w:val="00680C57"/>
    <w:rsid w:val="00682276"/>
    <w:rsid w:val="006827FF"/>
    <w:rsid w:val="00682F97"/>
    <w:rsid w:val="006839AC"/>
    <w:rsid w:val="0068477B"/>
    <w:rsid w:val="006858E5"/>
    <w:rsid w:val="0068680A"/>
    <w:rsid w:val="0068793B"/>
    <w:rsid w:val="00690432"/>
    <w:rsid w:val="0069233A"/>
    <w:rsid w:val="006923DB"/>
    <w:rsid w:val="006925B3"/>
    <w:rsid w:val="0069286E"/>
    <w:rsid w:val="00692E3D"/>
    <w:rsid w:val="0069446E"/>
    <w:rsid w:val="00696926"/>
    <w:rsid w:val="006978C5"/>
    <w:rsid w:val="006A111D"/>
    <w:rsid w:val="006A11CD"/>
    <w:rsid w:val="006A1A42"/>
    <w:rsid w:val="006A29D2"/>
    <w:rsid w:val="006A2C83"/>
    <w:rsid w:val="006A591C"/>
    <w:rsid w:val="006A70FA"/>
    <w:rsid w:val="006B115B"/>
    <w:rsid w:val="006B11E6"/>
    <w:rsid w:val="006B26E6"/>
    <w:rsid w:val="006B38D6"/>
    <w:rsid w:val="006B3CC2"/>
    <w:rsid w:val="006B3D79"/>
    <w:rsid w:val="006B4FF7"/>
    <w:rsid w:val="006B5613"/>
    <w:rsid w:val="006B5718"/>
    <w:rsid w:val="006B5AF9"/>
    <w:rsid w:val="006C00BE"/>
    <w:rsid w:val="006C1AD4"/>
    <w:rsid w:val="006C1E18"/>
    <w:rsid w:val="006C45E4"/>
    <w:rsid w:val="006C5FCB"/>
    <w:rsid w:val="006C600F"/>
    <w:rsid w:val="006C6102"/>
    <w:rsid w:val="006C63E3"/>
    <w:rsid w:val="006C6CB9"/>
    <w:rsid w:val="006C6F76"/>
    <w:rsid w:val="006C7D23"/>
    <w:rsid w:val="006D01DC"/>
    <w:rsid w:val="006D05CE"/>
    <w:rsid w:val="006D0C09"/>
    <w:rsid w:val="006D1525"/>
    <w:rsid w:val="006D3A2F"/>
    <w:rsid w:val="006D3E12"/>
    <w:rsid w:val="006D4BDC"/>
    <w:rsid w:val="006D4E7A"/>
    <w:rsid w:val="006D580B"/>
    <w:rsid w:val="006D6E30"/>
    <w:rsid w:val="006D6F81"/>
    <w:rsid w:val="006D7D7B"/>
    <w:rsid w:val="006E038D"/>
    <w:rsid w:val="006E1957"/>
    <w:rsid w:val="006E2642"/>
    <w:rsid w:val="006E3053"/>
    <w:rsid w:val="006E48AE"/>
    <w:rsid w:val="006E5B27"/>
    <w:rsid w:val="006E5E65"/>
    <w:rsid w:val="006E5EA2"/>
    <w:rsid w:val="006E6534"/>
    <w:rsid w:val="006E7333"/>
    <w:rsid w:val="006E7781"/>
    <w:rsid w:val="006E7E96"/>
    <w:rsid w:val="006F1A14"/>
    <w:rsid w:val="006F34CD"/>
    <w:rsid w:val="006F38FA"/>
    <w:rsid w:val="006F3D45"/>
    <w:rsid w:val="006F4089"/>
    <w:rsid w:val="006F48BF"/>
    <w:rsid w:val="006F5675"/>
    <w:rsid w:val="006F5D91"/>
    <w:rsid w:val="006F6218"/>
    <w:rsid w:val="006F6D62"/>
    <w:rsid w:val="007021E3"/>
    <w:rsid w:val="007026F1"/>
    <w:rsid w:val="007027C5"/>
    <w:rsid w:val="007030C2"/>
    <w:rsid w:val="00703789"/>
    <w:rsid w:val="007040BC"/>
    <w:rsid w:val="007052F1"/>
    <w:rsid w:val="0070564C"/>
    <w:rsid w:val="0070696D"/>
    <w:rsid w:val="00706B6D"/>
    <w:rsid w:val="00706C3B"/>
    <w:rsid w:val="0070746C"/>
    <w:rsid w:val="0071249B"/>
    <w:rsid w:val="00712EF3"/>
    <w:rsid w:val="00713ADE"/>
    <w:rsid w:val="00713CDF"/>
    <w:rsid w:val="00715498"/>
    <w:rsid w:val="007158D2"/>
    <w:rsid w:val="00715A82"/>
    <w:rsid w:val="00715C45"/>
    <w:rsid w:val="00722B74"/>
    <w:rsid w:val="00725D05"/>
    <w:rsid w:val="00726220"/>
    <w:rsid w:val="00726949"/>
    <w:rsid w:val="00726E04"/>
    <w:rsid w:val="007277DB"/>
    <w:rsid w:val="00730747"/>
    <w:rsid w:val="007311E0"/>
    <w:rsid w:val="00731668"/>
    <w:rsid w:val="0073270A"/>
    <w:rsid w:val="00732850"/>
    <w:rsid w:val="007328AE"/>
    <w:rsid w:val="00732DCD"/>
    <w:rsid w:val="00733337"/>
    <w:rsid w:val="00733655"/>
    <w:rsid w:val="00734C56"/>
    <w:rsid w:val="00734D35"/>
    <w:rsid w:val="007359A7"/>
    <w:rsid w:val="00736FAA"/>
    <w:rsid w:val="00737804"/>
    <w:rsid w:val="00737847"/>
    <w:rsid w:val="007416CC"/>
    <w:rsid w:val="00741868"/>
    <w:rsid w:val="00742029"/>
    <w:rsid w:val="007428FA"/>
    <w:rsid w:val="00744A34"/>
    <w:rsid w:val="00745851"/>
    <w:rsid w:val="00746419"/>
    <w:rsid w:val="00746EE6"/>
    <w:rsid w:val="007479FD"/>
    <w:rsid w:val="007517A6"/>
    <w:rsid w:val="007524EA"/>
    <w:rsid w:val="007531A3"/>
    <w:rsid w:val="00756C6B"/>
    <w:rsid w:val="00757646"/>
    <w:rsid w:val="007602DF"/>
    <w:rsid w:val="00761B50"/>
    <w:rsid w:val="00761E75"/>
    <w:rsid w:val="00764AD9"/>
    <w:rsid w:val="007704CD"/>
    <w:rsid w:val="00770EC5"/>
    <w:rsid w:val="007717FA"/>
    <w:rsid w:val="00771E66"/>
    <w:rsid w:val="00771F11"/>
    <w:rsid w:val="007725D3"/>
    <w:rsid w:val="007727D2"/>
    <w:rsid w:val="00772B22"/>
    <w:rsid w:val="0077463D"/>
    <w:rsid w:val="007751FF"/>
    <w:rsid w:val="0077554D"/>
    <w:rsid w:val="00777C39"/>
    <w:rsid w:val="007807AC"/>
    <w:rsid w:val="007812A1"/>
    <w:rsid w:val="00782A0C"/>
    <w:rsid w:val="00782D93"/>
    <w:rsid w:val="007833BC"/>
    <w:rsid w:val="00783AE2"/>
    <w:rsid w:val="00786106"/>
    <w:rsid w:val="007863C7"/>
    <w:rsid w:val="00786675"/>
    <w:rsid w:val="00791077"/>
    <w:rsid w:val="00791232"/>
    <w:rsid w:val="0079291B"/>
    <w:rsid w:val="00793097"/>
    <w:rsid w:val="00794F7F"/>
    <w:rsid w:val="00795422"/>
    <w:rsid w:val="0079579C"/>
    <w:rsid w:val="007961CC"/>
    <w:rsid w:val="007963F6"/>
    <w:rsid w:val="00796C10"/>
    <w:rsid w:val="00797054"/>
    <w:rsid w:val="007A1807"/>
    <w:rsid w:val="007A2C66"/>
    <w:rsid w:val="007A37BA"/>
    <w:rsid w:val="007A4F8B"/>
    <w:rsid w:val="007A5AB7"/>
    <w:rsid w:val="007A5E32"/>
    <w:rsid w:val="007A6CE6"/>
    <w:rsid w:val="007B113C"/>
    <w:rsid w:val="007B1928"/>
    <w:rsid w:val="007B1B81"/>
    <w:rsid w:val="007B226C"/>
    <w:rsid w:val="007B26B1"/>
    <w:rsid w:val="007B2F43"/>
    <w:rsid w:val="007B3108"/>
    <w:rsid w:val="007B3506"/>
    <w:rsid w:val="007B3B11"/>
    <w:rsid w:val="007B40B2"/>
    <w:rsid w:val="007B5550"/>
    <w:rsid w:val="007C170A"/>
    <w:rsid w:val="007C2652"/>
    <w:rsid w:val="007C2CA3"/>
    <w:rsid w:val="007C30D6"/>
    <w:rsid w:val="007C6B65"/>
    <w:rsid w:val="007C7743"/>
    <w:rsid w:val="007D0841"/>
    <w:rsid w:val="007D0F28"/>
    <w:rsid w:val="007D21CC"/>
    <w:rsid w:val="007D49C6"/>
    <w:rsid w:val="007D554E"/>
    <w:rsid w:val="007D609B"/>
    <w:rsid w:val="007D625B"/>
    <w:rsid w:val="007D69FE"/>
    <w:rsid w:val="007D7574"/>
    <w:rsid w:val="007D7897"/>
    <w:rsid w:val="007E0ECB"/>
    <w:rsid w:val="007E17F5"/>
    <w:rsid w:val="007E1E38"/>
    <w:rsid w:val="007E2707"/>
    <w:rsid w:val="007E29ED"/>
    <w:rsid w:val="007E4575"/>
    <w:rsid w:val="007E4D99"/>
    <w:rsid w:val="007E4DC5"/>
    <w:rsid w:val="007E4FB7"/>
    <w:rsid w:val="007E61CB"/>
    <w:rsid w:val="007E6683"/>
    <w:rsid w:val="007E7EC3"/>
    <w:rsid w:val="007F0FA9"/>
    <w:rsid w:val="007F3296"/>
    <w:rsid w:val="007F3732"/>
    <w:rsid w:val="007F5A22"/>
    <w:rsid w:val="007F6DEF"/>
    <w:rsid w:val="007F7CFE"/>
    <w:rsid w:val="0080316A"/>
    <w:rsid w:val="00803F3F"/>
    <w:rsid w:val="008052CB"/>
    <w:rsid w:val="008054F3"/>
    <w:rsid w:val="00810B54"/>
    <w:rsid w:val="00811C07"/>
    <w:rsid w:val="0081243B"/>
    <w:rsid w:val="008169BC"/>
    <w:rsid w:val="00817D17"/>
    <w:rsid w:val="00820E27"/>
    <w:rsid w:val="0082154C"/>
    <w:rsid w:val="008221FA"/>
    <w:rsid w:val="00823A3D"/>
    <w:rsid w:val="00823ECA"/>
    <w:rsid w:val="00824A98"/>
    <w:rsid w:val="00825EAD"/>
    <w:rsid w:val="00826497"/>
    <w:rsid w:val="008270EC"/>
    <w:rsid w:val="00827596"/>
    <w:rsid w:val="008277D2"/>
    <w:rsid w:val="00827905"/>
    <w:rsid w:val="00830187"/>
    <w:rsid w:val="00831757"/>
    <w:rsid w:val="00834178"/>
    <w:rsid w:val="008363D1"/>
    <w:rsid w:val="008368B8"/>
    <w:rsid w:val="00836CAC"/>
    <w:rsid w:val="00836DAF"/>
    <w:rsid w:val="00836DE7"/>
    <w:rsid w:val="00837850"/>
    <w:rsid w:val="00840876"/>
    <w:rsid w:val="008412D5"/>
    <w:rsid w:val="00841EF2"/>
    <w:rsid w:val="0084229C"/>
    <w:rsid w:val="00842BFA"/>
    <w:rsid w:val="008433D4"/>
    <w:rsid w:val="008434CE"/>
    <w:rsid w:val="008443FA"/>
    <w:rsid w:val="00844E49"/>
    <w:rsid w:val="0084675B"/>
    <w:rsid w:val="008467D1"/>
    <w:rsid w:val="00847B2A"/>
    <w:rsid w:val="0085129D"/>
    <w:rsid w:val="008514B8"/>
    <w:rsid w:val="008532C4"/>
    <w:rsid w:val="00853974"/>
    <w:rsid w:val="0085413B"/>
    <w:rsid w:val="00856567"/>
    <w:rsid w:val="00857EDA"/>
    <w:rsid w:val="00860E44"/>
    <w:rsid w:val="00860EED"/>
    <w:rsid w:val="00861896"/>
    <w:rsid w:val="0086190A"/>
    <w:rsid w:val="00862493"/>
    <w:rsid w:val="00862A21"/>
    <w:rsid w:val="00863601"/>
    <w:rsid w:val="00863DB8"/>
    <w:rsid w:val="00864018"/>
    <w:rsid w:val="008648A6"/>
    <w:rsid w:val="00865922"/>
    <w:rsid w:val="008701EE"/>
    <w:rsid w:val="00871176"/>
    <w:rsid w:val="00871615"/>
    <w:rsid w:val="0087234B"/>
    <w:rsid w:val="00873710"/>
    <w:rsid w:val="008740BB"/>
    <w:rsid w:val="00874806"/>
    <w:rsid w:val="008753E3"/>
    <w:rsid w:val="00875B4B"/>
    <w:rsid w:val="00877584"/>
    <w:rsid w:val="00877E80"/>
    <w:rsid w:val="008804EE"/>
    <w:rsid w:val="008805DD"/>
    <w:rsid w:val="00880DDC"/>
    <w:rsid w:val="00881A3F"/>
    <w:rsid w:val="00881BD9"/>
    <w:rsid w:val="0088235B"/>
    <w:rsid w:val="00882424"/>
    <w:rsid w:val="008867A2"/>
    <w:rsid w:val="00887764"/>
    <w:rsid w:val="008904B0"/>
    <w:rsid w:val="008911F9"/>
    <w:rsid w:val="00893A72"/>
    <w:rsid w:val="00893AD5"/>
    <w:rsid w:val="00894C0B"/>
    <w:rsid w:val="00894CF9"/>
    <w:rsid w:val="00895FEA"/>
    <w:rsid w:val="00896A5A"/>
    <w:rsid w:val="00896B67"/>
    <w:rsid w:val="00896EF0"/>
    <w:rsid w:val="008A08AB"/>
    <w:rsid w:val="008A0FB8"/>
    <w:rsid w:val="008A241C"/>
    <w:rsid w:val="008A2799"/>
    <w:rsid w:val="008A4108"/>
    <w:rsid w:val="008A560E"/>
    <w:rsid w:val="008A5981"/>
    <w:rsid w:val="008A6674"/>
    <w:rsid w:val="008A6D7C"/>
    <w:rsid w:val="008A70AE"/>
    <w:rsid w:val="008A73BB"/>
    <w:rsid w:val="008A7807"/>
    <w:rsid w:val="008A7836"/>
    <w:rsid w:val="008B063C"/>
    <w:rsid w:val="008B1334"/>
    <w:rsid w:val="008B1F8E"/>
    <w:rsid w:val="008B329D"/>
    <w:rsid w:val="008B3519"/>
    <w:rsid w:val="008B46CC"/>
    <w:rsid w:val="008B4A18"/>
    <w:rsid w:val="008B6BDC"/>
    <w:rsid w:val="008C02A7"/>
    <w:rsid w:val="008C0D13"/>
    <w:rsid w:val="008C1070"/>
    <w:rsid w:val="008C26ED"/>
    <w:rsid w:val="008C3A1C"/>
    <w:rsid w:val="008C5138"/>
    <w:rsid w:val="008D0DB2"/>
    <w:rsid w:val="008D0E27"/>
    <w:rsid w:val="008D149B"/>
    <w:rsid w:val="008D204A"/>
    <w:rsid w:val="008D24A7"/>
    <w:rsid w:val="008D429F"/>
    <w:rsid w:val="008D76D7"/>
    <w:rsid w:val="008D785E"/>
    <w:rsid w:val="008E07B4"/>
    <w:rsid w:val="008E0B7C"/>
    <w:rsid w:val="008E30A3"/>
    <w:rsid w:val="008E38CE"/>
    <w:rsid w:val="008E3AF7"/>
    <w:rsid w:val="008E49D4"/>
    <w:rsid w:val="008E53FA"/>
    <w:rsid w:val="008F000A"/>
    <w:rsid w:val="008F007A"/>
    <w:rsid w:val="008F094B"/>
    <w:rsid w:val="008F10D1"/>
    <w:rsid w:val="008F13FE"/>
    <w:rsid w:val="008F1E94"/>
    <w:rsid w:val="008F2D2D"/>
    <w:rsid w:val="008F3E71"/>
    <w:rsid w:val="008F4326"/>
    <w:rsid w:val="008F5D49"/>
    <w:rsid w:val="008F6B41"/>
    <w:rsid w:val="008F79BF"/>
    <w:rsid w:val="009001C6"/>
    <w:rsid w:val="00901324"/>
    <w:rsid w:val="0090176D"/>
    <w:rsid w:val="00901B7C"/>
    <w:rsid w:val="009021DC"/>
    <w:rsid w:val="009027E3"/>
    <w:rsid w:val="00903038"/>
    <w:rsid w:val="00904351"/>
    <w:rsid w:val="00905BE3"/>
    <w:rsid w:val="009063F1"/>
    <w:rsid w:val="009073AD"/>
    <w:rsid w:val="00907B98"/>
    <w:rsid w:val="00910048"/>
    <w:rsid w:val="009105C4"/>
    <w:rsid w:val="00911E59"/>
    <w:rsid w:val="00913E56"/>
    <w:rsid w:val="00913FB6"/>
    <w:rsid w:val="00914B4A"/>
    <w:rsid w:val="00915043"/>
    <w:rsid w:val="009152B1"/>
    <w:rsid w:val="009156E7"/>
    <w:rsid w:val="00916DB5"/>
    <w:rsid w:val="00916DE1"/>
    <w:rsid w:val="00917A13"/>
    <w:rsid w:val="009201A8"/>
    <w:rsid w:val="009201DD"/>
    <w:rsid w:val="009202A2"/>
    <w:rsid w:val="00920868"/>
    <w:rsid w:val="00920ABA"/>
    <w:rsid w:val="00921106"/>
    <w:rsid w:val="00921246"/>
    <w:rsid w:val="0092299C"/>
    <w:rsid w:val="009234BE"/>
    <w:rsid w:val="00924272"/>
    <w:rsid w:val="00924D29"/>
    <w:rsid w:val="009268F8"/>
    <w:rsid w:val="00926EA1"/>
    <w:rsid w:val="009300F4"/>
    <w:rsid w:val="00931330"/>
    <w:rsid w:val="009314F3"/>
    <w:rsid w:val="00931FC7"/>
    <w:rsid w:val="00932611"/>
    <w:rsid w:val="00934155"/>
    <w:rsid w:val="009343A4"/>
    <w:rsid w:val="009348E4"/>
    <w:rsid w:val="009358B2"/>
    <w:rsid w:val="00935BD1"/>
    <w:rsid w:val="0093664E"/>
    <w:rsid w:val="00936E0B"/>
    <w:rsid w:val="00937E84"/>
    <w:rsid w:val="00940C4E"/>
    <w:rsid w:val="00940ED7"/>
    <w:rsid w:val="00941D8E"/>
    <w:rsid w:val="0094257D"/>
    <w:rsid w:val="0094287A"/>
    <w:rsid w:val="0094304F"/>
    <w:rsid w:val="0094333F"/>
    <w:rsid w:val="0094357C"/>
    <w:rsid w:val="00944898"/>
    <w:rsid w:val="00945F26"/>
    <w:rsid w:val="009464D4"/>
    <w:rsid w:val="00946E3E"/>
    <w:rsid w:val="00947FE8"/>
    <w:rsid w:val="009513AF"/>
    <w:rsid w:val="009517A9"/>
    <w:rsid w:val="00951E7A"/>
    <w:rsid w:val="00952D4D"/>
    <w:rsid w:val="009530B1"/>
    <w:rsid w:val="00954F30"/>
    <w:rsid w:val="0095505D"/>
    <w:rsid w:val="009550DA"/>
    <w:rsid w:val="00955351"/>
    <w:rsid w:val="00956B81"/>
    <w:rsid w:val="00957501"/>
    <w:rsid w:val="00960900"/>
    <w:rsid w:val="00960FF5"/>
    <w:rsid w:val="00961333"/>
    <w:rsid w:val="00961647"/>
    <w:rsid w:val="00961F42"/>
    <w:rsid w:val="00962002"/>
    <w:rsid w:val="00964767"/>
    <w:rsid w:val="0096515B"/>
    <w:rsid w:val="00965927"/>
    <w:rsid w:val="009669EE"/>
    <w:rsid w:val="009703D7"/>
    <w:rsid w:val="00971033"/>
    <w:rsid w:val="00972035"/>
    <w:rsid w:val="00972157"/>
    <w:rsid w:val="0097219E"/>
    <w:rsid w:val="00972534"/>
    <w:rsid w:val="009736A7"/>
    <w:rsid w:val="00973819"/>
    <w:rsid w:val="00973C94"/>
    <w:rsid w:val="00976326"/>
    <w:rsid w:val="00977F52"/>
    <w:rsid w:val="00980EB1"/>
    <w:rsid w:val="009824FE"/>
    <w:rsid w:val="0098294F"/>
    <w:rsid w:val="00982AA1"/>
    <w:rsid w:val="0098311A"/>
    <w:rsid w:val="009837C4"/>
    <w:rsid w:val="0098389C"/>
    <w:rsid w:val="00983BC5"/>
    <w:rsid w:val="00983E5B"/>
    <w:rsid w:val="00984695"/>
    <w:rsid w:val="00984A0B"/>
    <w:rsid w:val="009854EF"/>
    <w:rsid w:val="00985CB7"/>
    <w:rsid w:val="00986184"/>
    <w:rsid w:val="00986B73"/>
    <w:rsid w:val="00986E22"/>
    <w:rsid w:val="009905B7"/>
    <w:rsid w:val="0099142E"/>
    <w:rsid w:val="00992238"/>
    <w:rsid w:val="009923E8"/>
    <w:rsid w:val="00992FE0"/>
    <w:rsid w:val="009933BC"/>
    <w:rsid w:val="00993652"/>
    <w:rsid w:val="0099379C"/>
    <w:rsid w:val="00994259"/>
    <w:rsid w:val="00994E8C"/>
    <w:rsid w:val="00995643"/>
    <w:rsid w:val="009957C7"/>
    <w:rsid w:val="00995BF5"/>
    <w:rsid w:val="00995E78"/>
    <w:rsid w:val="009965B3"/>
    <w:rsid w:val="00997780"/>
    <w:rsid w:val="009A1003"/>
    <w:rsid w:val="009A2186"/>
    <w:rsid w:val="009A377E"/>
    <w:rsid w:val="009A4BF2"/>
    <w:rsid w:val="009A60DC"/>
    <w:rsid w:val="009A68A9"/>
    <w:rsid w:val="009A68FF"/>
    <w:rsid w:val="009A6C64"/>
    <w:rsid w:val="009A7431"/>
    <w:rsid w:val="009A747E"/>
    <w:rsid w:val="009B0CBA"/>
    <w:rsid w:val="009B17AF"/>
    <w:rsid w:val="009B45AE"/>
    <w:rsid w:val="009B47E5"/>
    <w:rsid w:val="009B6981"/>
    <w:rsid w:val="009B6FA3"/>
    <w:rsid w:val="009B78A6"/>
    <w:rsid w:val="009C1F0E"/>
    <w:rsid w:val="009C2B6E"/>
    <w:rsid w:val="009C2D92"/>
    <w:rsid w:val="009C3652"/>
    <w:rsid w:val="009C401D"/>
    <w:rsid w:val="009C4889"/>
    <w:rsid w:val="009C5258"/>
    <w:rsid w:val="009C6458"/>
    <w:rsid w:val="009C6814"/>
    <w:rsid w:val="009C7069"/>
    <w:rsid w:val="009C7576"/>
    <w:rsid w:val="009C798D"/>
    <w:rsid w:val="009D104F"/>
    <w:rsid w:val="009D2717"/>
    <w:rsid w:val="009D28B2"/>
    <w:rsid w:val="009D3795"/>
    <w:rsid w:val="009D5226"/>
    <w:rsid w:val="009D6581"/>
    <w:rsid w:val="009D673E"/>
    <w:rsid w:val="009E01E6"/>
    <w:rsid w:val="009E2D69"/>
    <w:rsid w:val="009E3BB8"/>
    <w:rsid w:val="009E3E4D"/>
    <w:rsid w:val="009E4162"/>
    <w:rsid w:val="009E65B4"/>
    <w:rsid w:val="009E6D62"/>
    <w:rsid w:val="009E7853"/>
    <w:rsid w:val="009F05C1"/>
    <w:rsid w:val="009F1866"/>
    <w:rsid w:val="009F19EE"/>
    <w:rsid w:val="009F49CF"/>
    <w:rsid w:val="009F7AAB"/>
    <w:rsid w:val="00A00879"/>
    <w:rsid w:val="00A00A6E"/>
    <w:rsid w:val="00A0108F"/>
    <w:rsid w:val="00A025DB"/>
    <w:rsid w:val="00A02F55"/>
    <w:rsid w:val="00A04579"/>
    <w:rsid w:val="00A0494D"/>
    <w:rsid w:val="00A0533E"/>
    <w:rsid w:val="00A05824"/>
    <w:rsid w:val="00A05A16"/>
    <w:rsid w:val="00A05F4F"/>
    <w:rsid w:val="00A07117"/>
    <w:rsid w:val="00A0715D"/>
    <w:rsid w:val="00A07625"/>
    <w:rsid w:val="00A129BA"/>
    <w:rsid w:val="00A14C19"/>
    <w:rsid w:val="00A1513A"/>
    <w:rsid w:val="00A161B9"/>
    <w:rsid w:val="00A1696A"/>
    <w:rsid w:val="00A2049F"/>
    <w:rsid w:val="00A20B7A"/>
    <w:rsid w:val="00A2543B"/>
    <w:rsid w:val="00A31499"/>
    <w:rsid w:val="00A31D0C"/>
    <w:rsid w:val="00A33452"/>
    <w:rsid w:val="00A33B58"/>
    <w:rsid w:val="00A34A70"/>
    <w:rsid w:val="00A358DC"/>
    <w:rsid w:val="00A35E43"/>
    <w:rsid w:val="00A37711"/>
    <w:rsid w:val="00A37E70"/>
    <w:rsid w:val="00A4055A"/>
    <w:rsid w:val="00A406D5"/>
    <w:rsid w:val="00A40BD0"/>
    <w:rsid w:val="00A42355"/>
    <w:rsid w:val="00A43ADB"/>
    <w:rsid w:val="00A43BB9"/>
    <w:rsid w:val="00A45DB8"/>
    <w:rsid w:val="00A45ED0"/>
    <w:rsid w:val="00A45F77"/>
    <w:rsid w:val="00A4602D"/>
    <w:rsid w:val="00A46737"/>
    <w:rsid w:val="00A5162A"/>
    <w:rsid w:val="00A5207F"/>
    <w:rsid w:val="00A5232F"/>
    <w:rsid w:val="00A52D22"/>
    <w:rsid w:val="00A53136"/>
    <w:rsid w:val="00A53503"/>
    <w:rsid w:val="00A5403D"/>
    <w:rsid w:val="00A547E9"/>
    <w:rsid w:val="00A547FF"/>
    <w:rsid w:val="00A601C7"/>
    <w:rsid w:val="00A604C9"/>
    <w:rsid w:val="00A6134B"/>
    <w:rsid w:val="00A6274C"/>
    <w:rsid w:val="00A62B62"/>
    <w:rsid w:val="00A62DC7"/>
    <w:rsid w:val="00A62EDE"/>
    <w:rsid w:val="00A6355C"/>
    <w:rsid w:val="00A64420"/>
    <w:rsid w:val="00A64F81"/>
    <w:rsid w:val="00A66BBD"/>
    <w:rsid w:val="00A67056"/>
    <w:rsid w:val="00A6758D"/>
    <w:rsid w:val="00A7206D"/>
    <w:rsid w:val="00A723D0"/>
    <w:rsid w:val="00A72920"/>
    <w:rsid w:val="00A731D6"/>
    <w:rsid w:val="00A73926"/>
    <w:rsid w:val="00A7433E"/>
    <w:rsid w:val="00A750D4"/>
    <w:rsid w:val="00A752A6"/>
    <w:rsid w:val="00A76323"/>
    <w:rsid w:val="00A76A81"/>
    <w:rsid w:val="00A77140"/>
    <w:rsid w:val="00A77F10"/>
    <w:rsid w:val="00A80492"/>
    <w:rsid w:val="00A80588"/>
    <w:rsid w:val="00A8095A"/>
    <w:rsid w:val="00A811E6"/>
    <w:rsid w:val="00A81555"/>
    <w:rsid w:val="00A825E5"/>
    <w:rsid w:val="00A827D5"/>
    <w:rsid w:val="00A82BCD"/>
    <w:rsid w:val="00A82E5C"/>
    <w:rsid w:val="00A8627F"/>
    <w:rsid w:val="00A86AD2"/>
    <w:rsid w:val="00A8783D"/>
    <w:rsid w:val="00A87E6B"/>
    <w:rsid w:val="00A93D33"/>
    <w:rsid w:val="00A9404C"/>
    <w:rsid w:val="00A94FDA"/>
    <w:rsid w:val="00A953AA"/>
    <w:rsid w:val="00A96521"/>
    <w:rsid w:val="00A971B4"/>
    <w:rsid w:val="00A97A9D"/>
    <w:rsid w:val="00AA16A3"/>
    <w:rsid w:val="00AA263D"/>
    <w:rsid w:val="00AA3603"/>
    <w:rsid w:val="00AA3691"/>
    <w:rsid w:val="00AA379F"/>
    <w:rsid w:val="00AA37B9"/>
    <w:rsid w:val="00AA4A6F"/>
    <w:rsid w:val="00AA539E"/>
    <w:rsid w:val="00AA5575"/>
    <w:rsid w:val="00AA69B5"/>
    <w:rsid w:val="00AB0A37"/>
    <w:rsid w:val="00AB0C1C"/>
    <w:rsid w:val="00AB0C9F"/>
    <w:rsid w:val="00AB0CC5"/>
    <w:rsid w:val="00AB1710"/>
    <w:rsid w:val="00AB1BFA"/>
    <w:rsid w:val="00AB1EFA"/>
    <w:rsid w:val="00AB3884"/>
    <w:rsid w:val="00AB4439"/>
    <w:rsid w:val="00AB4DFE"/>
    <w:rsid w:val="00AC24D7"/>
    <w:rsid w:val="00AC284D"/>
    <w:rsid w:val="00AC2911"/>
    <w:rsid w:val="00AC542D"/>
    <w:rsid w:val="00AC5CB5"/>
    <w:rsid w:val="00AC5F57"/>
    <w:rsid w:val="00AC6709"/>
    <w:rsid w:val="00AC6D3C"/>
    <w:rsid w:val="00AC7AF4"/>
    <w:rsid w:val="00AD2877"/>
    <w:rsid w:val="00AD2D86"/>
    <w:rsid w:val="00AD2F36"/>
    <w:rsid w:val="00AD37AE"/>
    <w:rsid w:val="00AD3AC3"/>
    <w:rsid w:val="00AD4BE2"/>
    <w:rsid w:val="00AD5179"/>
    <w:rsid w:val="00AD62DA"/>
    <w:rsid w:val="00AD633A"/>
    <w:rsid w:val="00AD763D"/>
    <w:rsid w:val="00AD76A1"/>
    <w:rsid w:val="00AD78E4"/>
    <w:rsid w:val="00AD7E97"/>
    <w:rsid w:val="00AE0488"/>
    <w:rsid w:val="00AE075D"/>
    <w:rsid w:val="00AE0EA4"/>
    <w:rsid w:val="00AE114B"/>
    <w:rsid w:val="00AE1372"/>
    <w:rsid w:val="00AE2024"/>
    <w:rsid w:val="00AE256D"/>
    <w:rsid w:val="00AE296D"/>
    <w:rsid w:val="00AE3906"/>
    <w:rsid w:val="00AE40E0"/>
    <w:rsid w:val="00AE424D"/>
    <w:rsid w:val="00AE659C"/>
    <w:rsid w:val="00AE7C92"/>
    <w:rsid w:val="00AF0AB8"/>
    <w:rsid w:val="00AF0FBC"/>
    <w:rsid w:val="00AF1914"/>
    <w:rsid w:val="00AF266E"/>
    <w:rsid w:val="00AF5E6E"/>
    <w:rsid w:val="00AF7CF3"/>
    <w:rsid w:val="00B0039A"/>
    <w:rsid w:val="00B02302"/>
    <w:rsid w:val="00B048F2"/>
    <w:rsid w:val="00B04AD8"/>
    <w:rsid w:val="00B04BAC"/>
    <w:rsid w:val="00B06339"/>
    <w:rsid w:val="00B072A4"/>
    <w:rsid w:val="00B10EDD"/>
    <w:rsid w:val="00B11377"/>
    <w:rsid w:val="00B1231D"/>
    <w:rsid w:val="00B12623"/>
    <w:rsid w:val="00B13033"/>
    <w:rsid w:val="00B1349D"/>
    <w:rsid w:val="00B14847"/>
    <w:rsid w:val="00B15497"/>
    <w:rsid w:val="00B155E1"/>
    <w:rsid w:val="00B172CC"/>
    <w:rsid w:val="00B20A9B"/>
    <w:rsid w:val="00B21FA3"/>
    <w:rsid w:val="00B22014"/>
    <w:rsid w:val="00B22989"/>
    <w:rsid w:val="00B22B3D"/>
    <w:rsid w:val="00B24999"/>
    <w:rsid w:val="00B2535A"/>
    <w:rsid w:val="00B253FC"/>
    <w:rsid w:val="00B260C1"/>
    <w:rsid w:val="00B26493"/>
    <w:rsid w:val="00B26B60"/>
    <w:rsid w:val="00B26F02"/>
    <w:rsid w:val="00B27DB0"/>
    <w:rsid w:val="00B32C0B"/>
    <w:rsid w:val="00B33A13"/>
    <w:rsid w:val="00B34072"/>
    <w:rsid w:val="00B34B93"/>
    <w:rsid w:val="00B35016"/>
    <w:rsid w:val="00B3760E"/>
    <w:rsid w:val="00B3775F"/>
    <w:rsid w:val="00B4005D"/>
    <w:rsid w:val="00B4029B"/>
    <w:rsid w:val="00B41422"/>
    <w:rsid w:val="00B414C2"/>
    <w:rsid w:val="00B41F40"/>
    <w:rsid w:val="00B42141"/>
    <w:rsid w:val="00B42A2F"/>
    <w:rsid w:val="00B43E19"/>
    <w:rsid w:val="00B44E2A"/>
    <w:rsid w:val="00B45520"/>
    <w:rsid w:val="00B45E7B"/>
    <w:rsid w:val="00B46120"/>
    <w:rsid w:val="00B47A6C"/>
    <w:rsid w:val="00B47E7D"/>
    <w:rsid w:val="00B50A90"/>
    <w:rsid w:val="00B511EC"/>
    <w:rsid w:val="00B5194E"/>
    <w:rsid w:val="00B52B2C"/>
    <w:rsid w:val="00B52B30"/>
    <w:rsid w:val="00B53117"/>
    <w:rsid w:val="00B54520"/>
    <w:rsid w:val="00B54557"/>
    <w:rsid w:val="00B54C84"/>
    <w:rsid w:val="00B562C3"/>
    <w:rsid w:val="00B56A6F"/>
    <w:rsid w:val="00B577D3"/>
    <w:rsid w:val="00B60FED"/>
    <w:rsid w:val="00B6237F"/>
    <w:rsid w:val="00B63BBF"/>
    <w:rsid w:val="00B63FE3"/>
    <w:rsid w:val="00B64E73"/>
    <w:rsid w:val="00B65472"/>
    <w:rsid w:val="00B65E3F"/>
    <w:rsid w:val="00B70273"/>
    <w:rsid w:val="00B70BB2"/>
    <w:rsid w:val="00B71172"/>
    <w:rsid w:val="00B73F2C"/>
    <w:rsid w:val="00B747EE"/>
    <w:rsid w:val="00B74965"/>
    <w:rsid w:val="00B75B69"/>
    <w:rsid w:val="00B77345"/>
    <w:rsid w:val="00B809B6"/>
    <w:rsid w:val="00B815AB"/>
    <w:rsid w:val="00B81DA6"/>
    <w:rsid w:val="00B84D7D"/>
    <w:rsid w:val="00B86674"/>
    <w:rsid w:val="00B86DB0"/>
    <w:rsid w:val="00B8785F"/>
    <w:rsid w:val="00B9077E"/>
    <w:rsid w:val="00B92339"/>
    <w:rsid w:val="00B937CA"/>
    <w:rsid w:val="00B96AFD"/>
    <w:rsid w:val="00B97C2C"/>
    <w:rsid w:val="00BA073C"/>
    <w:rsid w:val="00BA083C"/>
    <w:rsid w:val="00BA0DF1"/>
    <w:rsid w:val="00BA1ABF"/>
    <w:rsid w:val="00BA28E2"/>
    <w:rsid w:val="00BA2AB0"/>
    <w:rsid w:val="00BA3ABA"/>
    <w:rsid w:val="00BA3C0D"/>
    <w:rsid w:val="00BA5658"/>
    <w:rsid w:val="00BA6BDF"/>
    <w:rsid w:val="00BB0ADD"/>
    <w:rsid w:val="00BB1258"/>
    <w:rsid w:val="00BB15A8"/>
    <w:rsid w:val="00BB26C5"/>
    <w:rsid w:val="00BB2C3E"/>
    <w:rsid w:val="00BB2FD3"/>
    <w:rsid w:val="00BB411C"/>
    <w:rsid w:val="00BB5A74"/>
    <w:rsid w:val="00BB5A9D"/>
    <w:rsid w:val="00BC0378"/>
    <w:rsid w:val="00BC0F0F"/>
    <w:rsid w:val="00BC13D4"/>
    <w:rsid w:val="00BC3490"/>
    <w:rsid w:val="00BC3D3A"/>
    <w:rsid w:val="00BC4BE6"/>
    <w:rsid w:val="00BC4DF8"/>
    <w:rsid w:val="00BC4EC5"/>
    <w:rsid w:val="00BC5122"/>
    <w:rsid w:val="00BC5250"/>
    <w:rsid w:val="00BC759C"/>
    <w:rsid w:val="00BC7BA5"/>
    <w:rsid w:val="00BC7D2D"/>
    <w:rsid w:val="00BD021E"/>
    <w:rsid w:val="00BD2430"/>
    <w:rsid w:val="00BD29F1"/>
    <w:rsid w:val="00BD4919"/>
    <w:rsid w:val="00BD4FCC"/>
    <w:rsid w:val="00BD7571"/>
    <w:rsid w:val="00BD774D"/>
    <w:rsid w:val="00BD7C07"/>
    <w:rsid w:val="00BE0C3F"/>
    <w:rsid w:val="00BE18F8"/>
    <w:rsid w:val="00BE2730"/>
    <w:rsid w:val="00BE2908"/>
    <w:rsid w:val="00BE408D"/>
    <w:rsid w:val="00BE566E"/>
    <w:rsid w:val="00BE6299"/>
    <w:rsid w:val="00BE6C06"/>
    <w:rsid w:val="00BE6D43"/>
    <w:rsid w:val="00BF08A7"/>
    <w:rsid w:val="00BF13C5"/>
    <w:rsid w:val="00BF3601"/>
    <w:rsid w:val="00BF42DA"/>
    <w:rsid w:val="00BF48AC"/>
    <w:rsid w:val="00BF6A75"/>
    <w:rsid w:val="00BF7DE5"/>
    <w:rsid w:val="00C008CC"/>
    <w:rsid w:val="00C00FFD"/>
    <w:rsid w:val="00C025B5"/>
    <w:rsid w:val="00C03D88"/>
    <w:rsid w:val="00C04771"/>
    <w:rsid w:val="00C04978"/>
    <w:rsid w:val="00C05AD0"/>
    <w:rsid w:val="00C05D1A"/>
    <w:rsid w:val="00C05F0B"/>
    <w:rsid w:val="00C0717A"/>
    <w:rsid w:val="00C07ED4"/>
    <w:rsid w:val="00C07EF7"/>
    <w:rsid w:val="00C10A65"/>
    <w:rsid w:val="00C136EE"/>
    <w:rsid w:val="00C14529"/>
    <w:rsid w:val="00C15953"/>
    <w:rsid w:val="00C169F7"/>
    <w:rsid w:val="00C16C04"/>
    <w:rsid w:val="00C16F49"/>
    <w:rsid w:val="00C20E2D"/>
    <w:rsid w:val="00C21778"/>
    <w:rsid w:val="00C219E1"/>
    <w:rsid w:val="00C21C22"/>
    <w:rsid w:val="00C2223B"/>
    <w:rsid w:val="00C2263B"/>
    <w:rsid w:val="00C22D64"/>
    <w:rsid w:val="00C24C76"/>
    <w:rsid w:val="00C26D0C"/>
    <w:rsid w:val="00C26D5E"/>
    <w:rsid w:val="00C30751"/>
    <w:rsid w:val="00C30A58"/>
    <w:rsid w:val="00C31513"/>
    <w:rsid w:val="00C31F70"/>
    <w:rsid w:val="00C33246"/>
    <w:rsid w:val="00C3386F"/>
    <w:rsid w:val="00C34216"/>
    <w:rsid w:val="00C342BD"/>
    <w:rsid w:val="00C36DAF"/>
    <w:rsid w:val="00C36EA1"/>
    <w:rsid w:val="00C3788F"/>
    <w:rsid w:val="00C40013"/>
    <w:rsid w:val="00C400B8"/>
    <w:rsid w:val="00C40ECA"/>
    <w:rsid w:val="00C41702"/>
    <w:rsid w:val="00C42AC5"/>
    <w:rsid w:val="00C43FB1"/>
    <w:rsid w:val="00C4485C"/>
    <w:rsid w:val="00C44A35"/>
    <w:rsid w:val="00C45713"/>
    <w:rsid w:val="00C46334"/>
    <w:rsid w:val="00C46649"/>
    <w:rsid w:val="00C46918"/>
    <w:rsid w:val="00C46D74"/>
    <w:rsid w:val="00C46DF5"/>
    <w:rsid w:val="00C47663"/>
    <w:rsid w:val="00C5085A"/>
    <w:rsid w:val="00C514C8"/>
    <w:rsid w:val="00C5163A"/>
    <w:rsid w:val="00C51C5F"/>
    <w:rsid w:val="00C52D8E"/>
    <w:rsid w:val="00C53992"/>
    <w:rsid w:val="00C5421F"/>
    <w:rsid w:val="00C542E5"/>
    <w:rsid w:val="00C54891"/>
    <w:rsid w:val="00C54B15"/>
    <w:rsid w:val="00C54DCF"/>
    <w:rsid w:val="00C55C21"/>
    <w:rsid w:val="00C56CA2"/>
    <w:rsid w:val="00C57A4D"/>
    <w:rsid w:val="00C57C38"/>
    <w:rsid w:val="00C57C66"/>
    <w:rsid w:val="00C62079"/>
    <w:rsid w:val="00C6214A"/>
    <w:rsid w:val="00C62D25"/>
    <w:rsid w:val="00C64A44"/>
    <w:rsid w:val="00C6571A"/>
    <w:rsid w:val="00C65FFA"/>
    <w:rsid w:val="00C66331"/>
    <w:rsid w:val="00C66A5F"/>
    <w:rsid w:val="00C67425"/>
    <w:rsid w:val="00C67775"/>
    <w:rsid w:val="00C6797F"/>
    <w:rsid w:val="00C71B2C"/>
    <w:rsid w:val="00C7213A"/>
    <w:rsid w:val="00C72716"/>
    <w:rsid w:val="00C734F7"/>
    <w:rsid w:val="00C73603"/>
    <w:rsid w:val="00C73ACD"/>
    <w:rsid w:val="00C74077"/>
    <w:rsid w:val="00C752A7"/>
    <w:rsid w:val="00C76440"/>
    <w:rsid w:val="00C805BF"/>
    <w:rsid w:val="00C80E78"/>
    <w:rsid w:val="00C81337"/>
    <w:rsid w:val="00C816FA"/>
    <w:rsid w:val="00C81913"/>
    <w:rsid w:val="00C83573"/>
    <w:rsid w:val="00C83896"/>
    <w:rsid w:val="00C846A2"/>
    <w:rsid w:val="00C85AB5"/>
    <w:rsid w:val="00C85CAA"/>
    <w:rsid w:val="00C868DD"/>
    <w:rsid w:val="00C86D4C"/>
    <w:rsid w:val="00C87BDE"/>
    <w:rsid w:val="00C87EF0"/>
    <w:rsid w:val="00C90B94"/>
    <w:rsid w:val="00C929DC"/>
    <w:rsid w:val="00C93F5A"/>
    <w:rsid w:val="00C941F0"/>
    <w:rsid w:val="00C944C4"/>
    <w:rsid w:val="00C9522A"/>
    <w:rsid w:val="00C96231"/>
    <w:rsid w:val="00C96800"/>
    <w:rsid w:val="00C96F8A"/>
    <w:rsid w:val="00CA0D19"/>
    <w:rsid w:val="00CA10F9"/>
    <w:rsid w:val="00CA18A5"/>
    <w:rsid w:val="00CA2C4E"/>
    <w:rsid w:val="00CA2F5D"/>
    <w:rsid w:val="00CA371E"/>
    <w:rsid w:val="00CA3821"/>
    <w:rsid w:val="00CA4613"/>
    <w:rsid w:val="00CA5668"/>
    <w:rsid w:val="00CA5BB8"/>
    <w:rsid w:val="00CA61BB"/>
    <w:rsid w:val="00CA7495"/>
    <w:rsid w:val="00CA7B17"/>
    <w:rsid w:val="00CB091B"/>
    <w:rsid w:val="00CB1184"/>
    <w:rsid w:val="00CB16D3"/>
    <w:rsid w:val="00CB19BC"/>
    <w:rsid w:val="00CB27CD"/>
    <w:rsid w:val="00CB2E7D"/>
    <w:rsid w:val="00CB3338"/>
    <w:rsid w:val="00CB4A8F"/>
    <w:rsid w:val="00CB4CB3"/>
    <w:rsid w:val="00CB4F89"/>
    <w:rsid w:val="00CB5E69"/>
    <w:rsid w:val="00CB689D"/>
    <w:rsid w:val="00CB79A6"/>
    <w:rsid w:val="00CB79CC"/>
    <w:rsid w:val="00CC077B"/>
    <w:rsid w:val="00CC1C13"/>
    <w:rsid w:val="00CC28D0"/>
    <w:rsid w:val="00CC3037"/>
    <w:rsid w:val="00CC66BF"/>
    <w:rsid w:val="00CC7493"/>
    <w:rsid w:val="00CC7F6C"/>
    <w:rsid w:val="00CD0FB6"/>
    <w:rsid w:val="00CD1667"/>
    <w:rsid w:val="00CD2052"/>
    <w:rsid w:val="00CD3805"/>
    <w:rsid w:val="00CD52E1"/>
    <w:rsid w:val="00CD57C1"/>
    <w:rsid w:val="00CD6B5F"/>
    <w:rsid w:val="00CD7DA1"/>
    <w:rsid w:val="00CE1D82"/>
    <w:rsid w:val="00CE3443"/>
    <w:rsid w:val="00CE455F"/>
    <w:rsid w:val="00CF1A95"/>
    <w:rsid w:val="00CF287A"/>
    <w:rsid w:val="00CF3000"/>
    <w:rsid w:val="00CF3BD3"/>
    <w:rsid w:val="00CF4991"/>
    <w:rsid w:val="00CF51D9"/>
    <w:rsid w:val="00CF5ACB"/>
    <w:rsid w:val="00CF5E1D"/>
    <w:rsid w:val="00CF63D6"/>
    <w:rsid w:val="00CF6BCE"/>
    <w:rsid w:val="00CF7F29"/>
    <w:rsid w:val="00D00027"/>
    <w:rsid w:val="00D00A4B"/>
    <w:rsid w:val="00D00B96"/>
    <w:rsid w:val="00D03BC9"/>
    <w:rsid w:val="00D041BF"/>
    <w:rsid w:val="00D051EF"/>
    <w:rsid w:val="00D0549D"/>
    <w:rsid w:val="00D063D7"/>
    <w:rsid w:val="00D108E7"/>
    <w:rsid w:val="00D10F7D"/>
    <w:rsid w:val="00D10F96"/>
    <w:rsid w:val="00D15D7C"/>
    <w:rsid w:val="00D16BC7"/>
    <w:rsid w:val="00D21907"/>
    <w:rsid w:val="00D21C75"/>
    <w:rsid w:val="00D21FA7"/>
    <w:rsid w:val="00D21FD6"/>
    <w:rsid w:val="00D2222C"/>
    <w:rsid w:val="00D224E8"/>
    <w:rsid w:val="00D233CE"/>
    <w:rsid w:val="00D23BEE"/>
    <w:rsid w:val="00D24F8A"/>
    <w:rsid w:val="00D27F90"/>
    <w:rsid w:val="00D311B6"/>
    <w:rsid w:val="00D32AEE"/>
    <w:rsid w:val="00D33AC2"/>
    <w:rsid w:val="00D33B33"/>
    <w:rsid w:val="00D33BD0"/>
    <w:rsid w:val="00D33E7C"/>
    <w:rsid w:val="00D34244"/>
    <w:rsid w:val="00D34FEE"/>
    <w:rsid w:val="00D3500A"/>
    <w:rsid w:val="00D354DB"/>
    <w:rsid w:val="00D36319"/>
    <w:rsid w:val="00D366C9"/>
    <w:rsid w:val="00D40B82"/>
    <w:rsid w:val="00D41643"/>
    <w:rsid w:val="00D416FF"/>
    <w:rsid w:val="00D4193B"/>
    <w:rsid w:val="00D41A16"/>
    <w:rsid w:val="00D41EAB"/>
    <w:rsid w:val="00D43426"/>
    <w:rsid w:val="00D435C3"/>
    <w:rsid w:val="00D44449"/>
    <w:rsid w:val="00D449F5"/>
    <w:rsid w:val="00D45128"/>
    <w:rsid w:val="00D4582A"/>
    <w:rsid w:val="00D45C6F"/>
    <w:rsid w:val="00D504DE"/>
    <w:rsid w:val="00D50CBD"/>
    <w:rsid w:val="00D50F19"/>
    <w:rsid w:val="00D5105C"/>
    <w:rsid w:val="00D510D3"/>
    <w:rsid w:val="00D512EB"/>
    <w:rsid w:val="00D5188D"/>
    <w:rsid w:val="00D51D3D"/>
    <w:rsid w:val="00D52131"/>
    <w:rsid w:val="00D52516"/>
    <w:rsid w:val="00D532D3"/>
    <w:rsid w:val="00D54B22"/>
    <w:rsid w:val="00D556E3"/>
    <w:rsid w:val="00D55EB2"/>
    <w:rsid w:val="00D56D81"/>
    <w:rsid w:val="00D56DE7"/>
    <w:rsid w:val="00D56FBB"/>
    <w:rsid w:val="00D625C0"/>
    <w:rsid w:val="00D62D78"/>
    <w:rsid w:val="00D6311C"/>
    <w:rsid w:val="00D6319A"/>
    <w:rsid w:val="00D63F70"/>
    <w:rsid w:val="00D6465E"/>
    <w:rsid w:val="00D65E49"/>
    <w:rsid w:val="00D6722B"/>
    <w:rsid w:val="00D70047"/>
    <w:rsid w:val="00D7086D"/>
    <w:rsid w:val="00D70B74"/>
    <w:rsid w:val="00D71270"/>
    <w:rsid w:val="00D7181E"/>
    <w:rsid w:val="00D71975"/>
    <w:rsid w:val="00D7337E"/>
    <w:rsid w:val="00D73792"/>
    <w:rsid w:val="00D753DC"/>
    <w:rsid w:val="00D7549A"/>
    <w:rsid w:val="00D75A4E"/>
    <w:rsid w:val="00D767CF"/>
    <w:rsid w:val="00D76AFD"/>
    <w:rsid w:val="00D7754B"/>
    <w:rsid w:val="00D77778"/>
    <w:rsid w:val="00D80A74"/>
    <w:rsid w:val="00D80D6E"/>
    <w:rsid w:val="00D84C85"/>
    <w:rsid w:val="00D8590B"/>
    <w:rsid w:val="00D87B87"/>
    <w:rsid w:val="00D9116C"/>
    <w:rsid w:val="00D93639"/>
    <w:rsid w:val="00D93EC1"/>
    <w:rsid w:val="00D940ED"/>
    <w:rsid w:val="00D95EFF"/>
    <w:rsid w:val="00DA0736"/>
    <w:rsid w:val="00DA1FF7"/>
    <w:rsid w:val="00DA2468"/>
    <w:rsid w:val="00DA2C2F"/>
    <w:rsid w:val="00DA31EC"/>
    <w:rsid w:val="00DA32AB"/>
    <w:rsid w:val="00DA4285"/>
    <w:rsid w:val="00DA540D"/>
    <w:rsid w:val="00DA7E02"/>
    <w:rsid w:val="00DB17A2"/>
    <w:rsid w:val="00DB2116"/>
    <w:rsid w:val="00DB278D"/>
    <w:rsid w:val="00DB2A69"/>
    <w:rsid w:val="00DB606E"/>
    <w:rsid w:val="00DB613D"/>
    <w:rsid w:val="00DC1766"/>
    <w:rsid w:val="00DC2BEC"/>
    <w:rsid w:val="00DC3342"/>
    <w:rsid w:val="00DC41C9"/>
    <w:rsid w:val="00DC41DF"/>
    <w:rsid w:val="00DC6733"/>
    <w:rsid w:val="00DC6C23"/>
    <w:rsid w:val="00DC711B"/>
    <w:rsid w:val="00DC778B"/>
    <w:rsid w:val="00DC78D1"/>
    <w:rsid w:val="00DD09B0"/>
    <w:rsid w:val="00DD111E"/>
    <w:rsid w:val="00DD1919"/>
    <w:rsid w:val="00DD268F"/>
    <w:rsid w:val="00DD5544"/>
    <w:rsid w:val="00DD61AF"/>
    <w:rsid w:val="00DD726A"/>
    <w:rsid w:val="00DD7375"/>
    <w:rsid w:val="00DD789D"/>
    <w:rsid w:val="00DE0897"/>
    <w:rsid w:val="00DE0B73"/>
    <w:rsid w:val="00DE1887"/>
    <w:rsid w:val="00DE1F2C"/>
    <w:rsid w:val="00DE43CD"/>
    <w:rsid w:val="00DE51A6"/>
    <w:rsid w:val="00DE5475"/>
    <w:rsid w:val="00DE5502"/>
    <w:rsid w:val="00DE5FBD"/>
    <w:rsid w:val="00DE6AAB"/>
    <w:rsid w:val="00DE7695"/>
    <w:rsid w:val="00DE77E1"/>
    <w:rsid w:val="00DF04C2"/>
    <w:rsid w:val="00DF086E"/>
    <w:rsid w:val="00DF0C93"/>
    <w:rsid w:val="00DF0E4B"/>
    <w:rsid w:val="00DF1505"/>
    <w:rsid w:val="00DF1C63"/>
    <w:rsid w:val="00DF2CBE"/>
    <w:rsid w:val="00DF3A46"/>
    <w:rsid w:val="00DF3ADC"/>
    <w:rsid w:val="00DF48D1"/>
    <w:rsid w:val="00DF510A"/>
    <w:rsid w:val="00DF5404"/>
    <w:rsid w:val="00DF5D07"/>
    <w:rsid w:val="00DF636A"/>
    <w:rsid w:val="00DF72D4"/>
    <w:rsid w:val="00DF7327"/>
    <w:rsid w:val="00E00FE2"/>
    <w:rsid w:val="00E01D28"/>
    <w:rsid w:val="00E03841"/>
    <w:rsid w:val="00E04F74"/>
    <w:rsid w:val="00E052AA"/>
    <w:rsid w:val="00E07747"/>
    <w:rsid w:val="00E10BE9"/>
    <w:rsid w:val="00E11852"/>
    <w:rsid w:val="00E118B6"/>
    <w:rsid w:val="00E12394"/>
    <w:rsid w:val="00E1269D"/>
    <w:rsid w:val="00E1278A"/>
    <w:rsid w:val="00E13363"/>
    <w:rsid w:val="00E14191"/>
    <w:rsid w:val="00E15495"/>
    <w:rsid w:val="00E15B5A"/>
    <w:rsid w:val="00E16FD9"/>
    <w:rsid w:val="00E217BF"/>
    <w:rsid w:val="00E22C2E"/>
    <w:rsid w:val="00E230AE"/>
    <w:rsid w:val="00E237BF"/>
    <w:rsid w:val="00E241E1"/>
    <w:rsid w:val="00E24916"/>
    <w:rsid w:val="00E24F10"/>
    <w:rsid w:val="00E253D6"/>
    <w:rsid w:val="00E258AE"/>
    <w:rsid w:val="00E309B8"/>
    <w:rsid w:val="00E30CAC"/>
    <w:rsid w:val="00E311F5"/>
    <w:rsid w:val="00E334F6"/>
    <w:rsid w:val="00E335B6"/>
    <w:rsid w:val="00E3412C"/>
    <w:rsid w:val="00E359F3"/>
    <w:rsid w:val="00E36313"/>
    <w:rsid w:val="00E36E42"/>
    <w:rsid w:val="00E37248"/>
    <w:rsid w:val="00E4075C"/>
    <w:rsid w:val="00E4158F"/>
    <w:rsid w:val="00E42C9E"/>
    <w:rsid w:val="00E444C3"/>
    <w:rsid w:val="00E44DF3"/>
    <w:rsid w:val="00E504F9"/>
    <w:rsid w:val="00E50A9F"/>
    <w:rsid w:val="00E51ED5"/>
    <w:rsid w:val="00E520F1"/>
    <w:rsid w:val="00E528D2"/>
    <w:rsid w:val="00E52BD5"/>
    <w:rsid w:val="00E535F1"/>
    <w:rsid w:val="00E55542"/>
    <w:rsid w:val="00E556C3"/>
    <w:rsid w:val="00E57772"/>
    <w:rsid w:val="00E57ED7"/>
    <w:rsid w:val="00E608DB"/>
    <w:rsid w:val="00E60A39"/>
    <w:rsid w:val="00E61EFA"/>
    <w:rsid w:val="00E623D6"/>
    <w:rsid w:val="00E63217"/>
    <w:rsid w:val="00E64553"/>
    <w:rsid w:val="00E653F1"/>
    <w:rsid w:val="00E66143"/>
    <w:rsid w:val="00E66851"/>
    <w:rsid w:val="00E67144"/>
    <w:rsid w:val="00E6750F"/>
    <w:rsid w:val="00E677BD"/>
    <w:rsid w:val="00E67CEA"/>
    <w:rsid w:val="00E702A1"/>
    <w:rsid w:val="00E7065A"/>
    <w:rsid w:val="00E708EC"/>
    <w:rsid w:val="00E7289C"/>
    <w:rsid w:val="00E72DBE"/>
    <w:rsid w:val="00E72EBB"/>
    <w:rsid w:val="00E731C2"/>
    <w:rsid w:val="00E73DC1"/>
    <w:rsid w:val="00E746D0"/>
    <w:rsid w:val="00E74E1E"/>
    <w:rsid w:val="00E74E64"/>
    <w:rsid w:val="00E77648"/>
    <w:rsid w:val="00E776E3"/>
    <w:rsid w:val="00E77862"/>
    <w:rsid w:val="00E80298"/>
    <w:rsid w:val="00E8030B"/>
    <w:rsid w:val="00E81FF2"/>
    <w:rsid w:val="00E822F1"/>
    <w:rsid w:val="00E82B3E"/>
    <w:rsid w:val="00E845A7"/>
    <w:rsid w:val="00E84F5B"/>
    <w:rsid w:val="00E85748"/>
    <w:rsid w:val="00E86BE6"/>
    <w:rsid w:val="00E87619"/>
    <w:rsid w:val="00E879BD"/>
    <w:rsid w:val="00E90ACB"/>
    <w:rsid w:val="00E91141"/>
    <w:rsid w:val="00E93A37"/>
    <w:rsid w:val="00E93EFB"/>
    <w:rsid w:val="00E9440A"/>
    <w:rsid w:val="00E94E40"/>
    <w:rsid w:val="00E95EA7"/>
    <w:rsid w:val="00E9653A"/>
    <w:rsid w:val="00E96DAC"/>
    <w:rsid w:val="00E97418"/>
    <w:rsid w:val="00E9744C"/>
    <w:rsid w:val="00E97550"/>
    <w:rsid w:val="00E97B7E"/>
    <w:rsid w:val="00EA16EC"/>
    <w:rsid w:val="00EA230F"/>
    <w:rsid w:val="00EA4C08"/>
    <w:rsid w:val="00EA4DB9"/>
    <w:rsid w:val="00EA5146"/>
    <w:rsid w:val="00EA7822"/>
    <w:rsid w:val="00EB09CE"/>
    <w:rsid w:val="00EB1789"/>
    <w:rsid w:val="00EB234E"/>
    <w:rsid w:val="00EB25CE"/>
    <w:rsid w:val="00EB2B79"/>
    <w:rsid w:val="00EB331A"/>
    <w:rsid w:val="00EB40DF"/>
    <w:rsid w:val="00EB51DA"/>
    <w:rsid w:val="00EB598D"/>
    <w:rsid w:val="00EB6855"/>
    <w:rsid w:val="00EB731F"/>
    <w:rsid w:val="00EC06DE"/>
    <w:rsid w:val="00EC23EA"/>
    <w:rsid w:val="00EC53D0"/>
    <w:rsid w:val="00EC5648"/>
    <w:rsid w:val="00EC5BAB"/>
    <w:rsid w:val="00EC7B31"/>
    <w:rsid w:val="00ED069D"/>
    <w:rsid w:val="00ED12D9"/>
    <w:rsid w:val="00ED208A"/>
    <w:rsid w:val="00ED327C"/>
    <w:rsid w:val="00ED339A"/>
    <w:rsid w:val="00ED5348"/>
    <w:rsid w:val="00ED5FC7"/>
    <w:rsid w:val="00ED6E5D"/>
    <w:rsid w:val="00EE0A94"/>
    <w:rsid w:val="00EE1571"/>
    <w:rsid w:val="00EE3747"/>
    <w:rsid w:val="00EE409E"/>
    <w:rsid w:val="00EE567F"/>
    <w:rsid w:val="00EE5EE5"/>
    <w:rsid w:val="00EE64C7"/>
    <w:rsid w:val="00EE6994"/>
    <w:rsid w:val="00EE70F6"/>
    <w:rsid w:val="00EE7A9B"/>
    <w:rsid w:val="00EF2019"/>
    <w:rsid w:val="00EF2022"/>
    <w:rsid w:val="00EF22A9"/>
    <w:rsid w:val="00EF2BDC"/>
    <w:rsid w:val="00EF3DAB"/>
    <w:rsid w:val="00EF554C"/>
    <w:rsid w:val="00EF587A"/>
    <w:rsid w:val="00EF6ED1"/>
    <w:rsid w:val="00EF7A30"/>
    <w:rsid w:val="00F01088"/>
    <w:rsid w:val="00F01AC6"/>
    <w:rsid w:val="00F02365"/>
    <w:rsid w:val="00F032D7"/>
    <w:rsid w:val="00F044BB"/>
    <w:rsid w:val="00F04D2B"/>
    <w:rsid w:val="00F0504B"/>
    <w:rsid w:val="00F056BC"/>
    <w:rsid w:val="00F05AEB"/>
    <w:rsid w:val="00F063B8"/>
    <w:rsid w:val="00F063E9"/>
    <w:rsid w:val="00F06E37"/>
    <w:rsid w:val="00F072D3"/>
    <w:rsid w:val="00F10B36"/>
    <w:rsid w:val="00F11475"/>
    <w:rsid w:val="00F12A10"/>
    <w:rsid w:val="00F1302C"/>
    <w:rsid w:val="00F143D4"/>
    <w:rsid w:val="00F1494B"/>
    <w:rsid w:val="00F14A90"/>
    <w:rsid w:val="00F15375"/>
    <w:rsid w:val="00F20440"/>
    <w:rsid w:val="00F206F5"/>
    <w:rsid w:val="00F236FF"/>
    <w:rsid w:val="00F25F40"/>
    <w:rsid w:val="00F312F0"/>
    <w:rsid w:val="00F31C9F"/>
    <w:rsid w:val="00F32156"/>
    <w:rsid w:val="00F3370A"/>
    <w:rsid w:val="00F33BAB"/>
    <w:rsid w:val="00F33FC4"/>
    <w:rsid w:val="00F34090"/>
    <w:rsid w:val="00F34885"/>
    <w:rsid w:val="00F34FF9"/>
    <w:rsid w:val="00F35A66"/>
    <w:rsid w:val="00F37536"/>
    <w:rsid w:val="00F37576"/>
    <w:rsid w:val="00F40F83"/>
    <w:rsid w:val="00F42124"/>
    <w:rsid w:val="00F4228F"/>
    <w:rsid w:val="00F42B37"/>
    <w:rsid w:val="00F42F8B"/>
    <w:rsid w:val="00F436A5"/>
    <w:rsid w:val="00F44A8F"/>
    <w:rsid w:val="00F45139"/>
    <w:rsid w:val="00F45323"/>
    <w:rsid w:val="00F4567E"/>
    <w:rsid w:val="00F45FD4"/>
    <w:rsid w:val="00F46645"/>
    <w:rsid w:val="00F46858"/>
    <w:rsid w:val="00F470E7"/>
    <w:rsid w:val="00F50F72"/>
    <w:rsid w:val="00F515DF"/>
    <w:rsid w:val="00F51A36"/>
    <w:rsid w:val="00F529E1"/>
    <w:rsid w:val="00F53267"/>
    <w:rsid w:val="00F53E0A"/>
    <w:rsid w:val="00F5484C"/>
    <w:rsid w:val="00F56194"/>
    <w:rsid w:val="00F56C7A"/>
    <w:rsid w:val="00F57651"/>
    <w:rsid w:val="00F6005A"/>
    <w:rsid w:val="00F603EE"/>
    <w:rsid w:val="00F60603"/>
    <w:rsid w:val="00F61EA7"/>
    <w:rsid w:val="00F62E10"/>
    <w:rsid w:val="00F63A8A"/>
    <w:rsid w:val="00F63E49"/>
    <w:rsid w:val="00F6575A"/>
    <w:rsid w:val="00F664BC"/>
    <w:rsid w:val="00F66B5B"/>
    <w:rsid w:val="00F66C05"/>
    <w:rsid w:val="00F67CCF"/>
    <w:rsid w:val="00F70E03"/>
    <w:rsid w:val="00F73784"/>
    <w:rsid w:val="00F7390E"/>
    <w:rsid w:val="00F739D9"/>
    <w:rsid w:val="00F74279"/>
    <w:rsid w:val="00F746F6"/>
    <w:rsid w:val="00F74B8A"/>
    <w:rsid w:val="00F75101"/>
    <w:rsid w:val="00F756D5"/>
    <w:rsid w:val="00F767F1"/>
    <w:rsid w:val="00F775DD"/>
    <w:rsid w:val="00F8047F"/>
    <w:rsid w:val="00F81EC7"/>
    <w:rsid w:val="00F82775"/>
    <w:rsid w:val="00F8286A"/>
    <w:rsid w:val="00F8286B"/>
    <w:rsid w:val="00F82AD5"/>
    <w:rsid w:val="00F840C9"/>
    <w:rsid w:val="00F84317"/>
    <w:rsid w:val="00F844FE"/>
    <w:rsid w:val="00F84C84"/>
    <w:rsid w:val="00F85BF6"/>
    <w:rsid w:val="00F85F05"/>
    <w:rsid w:val="00F86208"/>
    <w:rsid w:val="00F86344"/>
    <w:rsid w:val="00F90A51"/>
    <w:rsid w:val="00F91945"/>
    <w:rsid w:val="00F9195D"/>
    <w:rsid w:val="00F92732"/>
    <w:rsid w:val="00F93425"/>
    <w:rsid w:val="00F9391E"/>
    <w:rsid w:val="00F9423D"/>
    <w:rsid w:val="00F9481B"/>
    <w:rsid w:val="00F94D3E"/>
    <w:rsid w:val="00F951C3"/>
    <w:rsid w:val="00FA0462"/>
    <w:rsid w:val="00FA10DB"/>
    <w:rsid w:val="00FA1291"/>
    <w:rsid w:val="00FA1825"/>
    <w:rsid w:val="00FA2CB1"/>
    <w:rsid w:val="00FA312F"/>
    <w:rsid w:val="00FA4B3E"/>
    <w:rsid w:val="00FA5B3D"/>
    <w:rsid w:val="00FA6999"/>
    <w:rsid w:val="00FB11BD"/>
    <w:rsid w:val="00FB1563"/>
    <w:rsid w:val="00FB1EBA"/>
    <w:rsid w:val="00FB369F"/>
    <w:rsid w:val="00FB400B"/>
    <w:rsid w:val="00FB4F16"/>
    <w:rsid w:val="00FB59AC"/>
    <w:rsid w:val="00FB5FB5"/>
    <w:rsid w:val="00FB6C0F"/>
    <w:rsid w:val="00FB7157"/>
    <w:rsid w:val="00FB7D05"/>
    <w:rsid w:val="00FB7FD8"/>
    <w:rsid w:val="00FC01B5"/>
    <w:rsid w:val="00FC26F2"/>
    <w:rsid w:val="00FC277C"/>
    <w:rsid w:val="00FC2FF5"/>
    <w:rsid w:val="00FC310F"/>
    <w:rsid w:val="00FC5C5C"/>
    <w:rsid w:val="00FC5D53"/>
    <w:rsid w:val="00FC7572"/>
    <w:rsid w:val="00FC7C80"/>
    <w:rsid w:val="00FD11A2"/>
    <w:rsid w:val="00FD1587"/>
    <w:rsid w:val="00FD2070"/>
    <w:rsid w:val="00FD2A17"/>
    <w:rsid w:val="00FD2BE0"/>
    <w:rsid w:val="00FD3669"/>
    <w:rsid w:val="00FE0327"/>
    <w:rsid w:val="00FE106D"/>
    <w:rsid w:val="00FE1F57"/>
    <w:rsid w:val="00FE204F"/>
    <w:rsid w:val="00FE239F"/>
    <w:rsid w:val="00FE2E40"/>
    <w:rsid w:val="00FE3A5B"/>
    <w:rsid w:val="00FE46CE"/>
    <w:rsid w:val="00FE4FFE"/>
    <w:rsid w:val="00FE51E9"/>
    <w:rsid w:val="00FE56DB"/>
    <w:rsid w:val="00FE6450"/>
    <w:rsid w:val="00FE7E34"/>
    <w:rsid w:val="00FF018B"/>
    <w:rsid w:val="00FF023B"/>
    <w:rsid w:val="00FF1F1C"/>
    <w:rsid w:val="00FF202C"/>
    <w:rsid w:val="00FF2607"/>
    <w:rsid w:val="00FF2976"/>
    <w:rsid w:val="00FF31B2"/>
    <w:rsid w:val="00FF35A3"/>
    <w:rsid w:val="00FF559D"/>
    <w:rsid w:val="00FF61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DE5379"/>
  <w15:docId w15:val="{85D414C1-6853-4109-9CA7-9D9C01D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54E57"/>
    <w:rPr>
      <w:rFonts w:ascii="AGaramond" w:hAnsi="AGaramond"/>
      <w:sz w:val="24"/>
      <w:szCs w:val="20"/>
    </w:rPr>
  </w:style>
  <w:style w:type="paragraph" w:styleId="Otsikko1">
    <w:name w:val="heading 1"/>
    <w:basedOn w:val="Normaali"/>
    <w:next w:val="Normaali"/>
    <w:link w:val="Otsikko1Char"/>
    <w:uiPriority w:val="99"/>
    <w:qFormat/>
    <w:rsid w:val="00B24999"/>
    <w:pPr>
      <w:keepNext/>
      <w:outlineLvl w:val="0"/>
    </w:pPr>
    <w:rPr>
      <w:rFonts w:ascii="Cambria" w:hAnsi="Cambria"/>
      <w:b/>
      <w:kern w:val="32"/>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468A7"/>
    <w:rPr>
      <w:rFonts w:ascii="Cambria" w:hAnsi="Cambria"/>
      <w:b/>
      <w:kern w:val="32"/>
      <w:sz w:val="32"/>
    </w:rPr>
  </w:style>
  <w:style w:type="paragraph" w:styleId="Yltunniste">
    <w:name w:val="header"/>
    <w:basedOn w:val="Normaali"/>
    <w:link w:val="YltunnisteChar"/>
    <w:uiPriority w:val="99"/>
    <w:rsid w:val="00E677BD"/>
    <w:pPr>
      <w:tabs>
        <w:tab w:val="center" w:pos="4819"/>
        <w:tab w:val="right" w:pos="9638"/>
      </w:tabs>
    </w:pPr>
    <w:rPr>
      <w:sz w:val="20"/>
    </w:rPr>
  </w:style>
  <w:style w:type="character" w:customStyle="1" w:styleId="YltunnisteChar">
    <w:name w:val="Ylätunniste Char"/>
    <w:basedOn w:val="Kappaleenoletusfontti"/>
    <w:link w:val="Yltunniste"/>
    <w:uiPriority w:val="99"/>
    <w:semiHidden/>
    <w:locked/>
    <w:rsid w:val="003468A7"/>
    <w:rPr>
      <w:rFonts w:ascii="AGaramond" w:hAnsi="AGaramond"/>
      <w:sz w:val="20"/>
    </w:rPr>
  </w:style>
  <w:style w:type="paragraph" w:styleId="Alatunniste">
    <w:name w:val="footer"/>
    <w:basedOn w:val="Normaali"/>
    <w:link w:val="AlatunnisteChar"/>
    <w:uiPriority w:val="99"/>
    <w:rsid w:val="00E677BD"/>
    <w:pPr>
      <w:tabs>
        <w:tab w:val="center" w:pos="4819"/>
        <w:tab w:val="right" w:pos="9638"/>
      </w:tabs>
    </w:pPr>
    <w:rPr>
      <w:rFonts w:ascii="FoundrySterling-Book" w:hAnsi="FoundrySterling-Book"/>
      <w:lang w:eastAsia="en-US"/>
    </w:rPr>
  </w:style>
  <w:style w:type="character" w:customStyle="1" w:styleId="AlatunnisteChar">
    <w:name w:val="Alatunniste Char"/>
    <w:basedOn w:val="Kappaleenoletusfontti"/>
    <w:link w:val="Alatunniste"/>
    <w:uiPriority w:val="99"/>
    <w:locked/>
    <w:rsid w:val="002423EB"/>
    <w:rPr>
      <w:rFonts w:ascii="FoundrySterling-Book" w:hAnsi="FoundrySterling-Book"/>
      <w:sz w:val="24"/>
      <w:lang w:eastAsia="en-US"/>
    </w:rPr>
  </w:style>
  <w:style w:type="character" w:styleId="Hyperlinkki">
    <w:name w:val="Hyperlink"/>
    <w:basedOn w:val="Kappaleenoletusfontti"/>
    <w:uiPriority w:val="99"/>
    <w:rsid w:val="00E677BD"/>
    <w:rPr>
      <w:rFonts w:cs="Times New Roman"/>
      <w:color w:val="0000FF"/>
      <w:u w:val="single"/>
    </w:rPr>
  </w:style>
  <w:style w:type="character" w:styleId="AvattuHyperlinkki">
    <w:name w:val="FollowedHyperlink"/>
    <w:basedOn w:val="Kappaleenoletusfontti"/>
    <w:uiPriority w:val="99"/>
    <w:rsid w:val="00E677BD"/>
    <w:rPr>
      <w:rFonts w:cs="Times New Roman"/>
      <w:color w:val="800080"/>
      <w:u w:val="single"/>
    </w:rPr>
  </w:style>
  <w:style w:type="paragraph" w:styleId="Sisennettyleipteksti">
    <w:name w:val="Body Text Indent"/>
    <w:basedOn w:val="Normaali"/>
    <w:link w:val="SisennettyleiptekstiChar"/>
    <w:uiPriority w:val="99"/>
    <w:rsid w:val="00E677BD"/>
    <w:pPr>
      <w:ind w:left="1298"/>
    </w:pPr>
    <w:rPr>
      <w:sz w:val="20"/>
    </w:rPr>
  </w:style>
  <w:style w:type="character" w:customStyle="1" w:styleId="SisennettyleiptekstiChar">
    <w:name w:val="Sisennetty leipäteksti Char"/>
    <w:basedOn w:val="Kappaleenoletusfontti"/>
    <w:link w:val="Sisennettyleipteksti"/>
    <w:uiPriority w:val="99"/>
    <w:semiHidden/>
    <w:locked/>
    <w:rsid w:val="003468A7"/>
    <w:rPr>
      <w:rFonts w:ascii="AGaramond" w:hAnsi="AGaramond"/>
      <w:sz w:val="20"/>
    </w:rPr>
  </w:style>
  <w:style w:type="character" w:styleId="Sivunumero">
    <w:name w:val="page number"/>
    <w:basedOn w:val="Kappaleenoletusfontti"/>
    <w:uiPriority w:val="99"/>
    <w:rsid w:val="00E677BD"/>
    <w:rPr>
      <w:rFonts w:cs="Times New Roman"/>
    </w:rPr>
  </w:style>
  <w:style w:type="paragraph" w:styleId="Seliteteksti">
    <w:name w:val="Balloon Text"/>
    <w:basedOn w:val="Normaali"/>
    <w:link w:val="SelitetekstiChar"/>
    <w:uiPriority w:val="99"/>
    <w:rsid w:val="00646256"/>
    <w:rPr>
      <w:rFonts w:ascii="Tahoma" w:hAnsi="Tahoma"/>
      <w:sz w:val="16"/>
      <w:lang w:eastAsia="en-US"/>
    </w:rPr>
  </w:style>
  <w:style w:type="character" w:customStyle="1" w:styleId="SelitetekstiChar">
    <w:name w:val="Seliteteksti Char"/>
    <w:basedOn w:val="Kappaleenoletusfontti"/>
    <w:link w:val="Seliteteksti"/>
    <w:uiPriority w:val="99"/>
    <w:locked/>
    <w:rsid w:val="00646256"/>
    <w:rPr>
      <w:rFonts w:ascii="Tahoma" w:hAnsi="Tahoma"/>
      <w:sz w:val="16"/>
      <w:lang w:eastAsia="en-US"/>
    </w:rPr>
  </w:style>
  <w:style w:type="paragraph" w:styleId="Alaotsikko">
    <w:name w:val="Subtitle"/>
    <w:basedOn w:val="Normaali"/>
    <w:next w:val="Normaali"/>
    <w:link w:val="AlaotsikkoChar"/>
    <w:uiPriority w:val="99"/>
    <w:qFormat/>
    <w:rsid w:val="00B24999"/>
    <w:pPr>
      <w:spacing w:after="60"/>
      <w:jc w:val="center"/>
      <w:outlineLvl w:val="1"/>
    </w:pPr>
    <w:rPr>
      <w:rFonts w:ascii="FoundrySterling-Book" w:hAnsi="FoundrySterling-Book"/>
      <w:lang w:eastAsia="en-US"/>
    </w:rPr>
  </w:style>
  <w:style w:type="character" w:customStyle="1" w:styleId="AlaotsikkoChar">
    <w:name w:val="Alaotsikko Char"/>
    <w:basedOn w:val="Kappaleenoletusfontti"/>
    <w:link w:val="Alaotsikko"/>
    <w:uiPriority w:val="99"/>
    <w:locked/>
    <w:rsid w:val="00B24999"/>
    <w:rPr>
      <w:rFonts w:ascii="FoundrySterling-Book" w:hAnsi="FoundrySterling-Book"/>
      <w:sz w:val="24"/>
      <w:lang w:eastAsia="en-US"/>
    </w:rPr>
  </w:style>
  <w:style w:type="paragraph" w:styleId="Otsikko">
    <w:name w:val="Title"/>
    <w:basedOn w:val="Normaali"/>
    <w:next w:val="Normaali"/>
    <w:link w:val="OtsikkoChar"/>
    <w:uiPriority w:val="99"/>
    <w:qFormat/>
    <w:rsid w:val="00B24999"/>
    <w:pPr>
      <w:spacing w:before="240" w:after="60"/>
      <w:jc w:val="center"/>
      <w:outlineLvl w:val="0"/>
    </w:pPr>
    <w:rPr>
      <w:rFonts w:ascii="Cambria" w:hAnsi="Cambria"/>
      <w:b/>
      <w:kern w:val="28"/>
      <w:sz w:val="32"/>
      <w:lang w:eastAsia="en-US"/>
    </w:rPr>
  </w:style>
  <w:style w:type="character" w:customStyle="1" w:styleId="OtsikkoChar">
    <w:name w:val="Otsikko Char"/>
    <w:basedOn w:val="Kappaleenoletusfontti"/>
    <w:link w:val="Otsikko"/>
    <w:uiPriority w:val="99"/>
    <w:locked/>
    <w:rsid w:val="00B24999"/>
    <w:rPr>
      <w:rFonts w:ascii="Cambria" w:hAnsi="Cambria"/>
      <w:b/>
      <w:kern w:val="28"/>
      <w:sz w:val="32"/>
      <w:lang w:eastAsia="en-US"/>
    </w:rPr>
  </w:style>
  <w:style w:type="paragraph" w:styleId="Lainaus">
    <w:name w:val="Quote"/>
    <w:aliases w:val="alatunniste"/>
    <w:basedOn w:val="Normaali"/>
    <w:next w:val="Normaali"/>
    <w:link w:val="LainausChar"/>
    <w:uiPriority w:val="99"/>
    <w:qFormat/>
    <w:rsid w:val="00F9391E"/>
    <w:rPr>
      <w:rFonts w:ascii="FoundrySterling-Book" w:hAnsi="FoundrySterling-Book"/>
      <w:color w:val="000000"/>
      <w:kern w:val="24"/>
      <w:sz w:val="16"/>
      <w:lang w:eastAsia="en-US"/>
    </w:rPr>
  </w:style>
  <w:style w:type="character" w:customStyle="1" w:styleId="LainausChar">
    <w:name w:val="Lainaus Char"/>
    <w:aliases w:val="alatunniste Char"/>
    <w:basedOn w:val="Kappaleenoletusfontti"/>
    <w:link w:val="Lainaus"/>
    <w:uiPriority w:val="99"/>
    <w:locked/>
    <w:rsid w:val="00F9391E"/>
    <w:rPr>
      <w:rFonts w:ascii="FoundrySterling-Book" w:hAnsi="FoundrySterling-Book"/>
      <w:color w:val="000000"/>
      <w:kern w:val="24"/>
      <w:sz w:val="16"/>
      <w:lang w:eastAsia="en-US"/>
    </w:rPr>
  </w:style>
  <w:style w:type="paragraph" w:styleId="NormaaliWWW">
    <w:name w:val="Normal (Web)"/>
    <w:basedOn w:val="Normaali"/>
    <w:uiPriority w:val="99"/>
    <w:rsid w:val="00554E57"/>
    <w:pPr>
      <w:spacing w:before="75" w:after="75"/>
    </w:pPr>
    <w:rPr>
      <w:rFonts w:ascii="Times New Roman" w:hAnsi="Times New Roman"/>
      <w:color w:val="000000"/>
      <w:szCs w:val="24"/>
    </w:rPr>
  </w:style>
  <w:style w:type="paragraph" w:styleId="Leipteksti3">
    <w:name w:val="Body Text 3"/>
    <w:basedOn w:val="Normaali"/>
    <w:link w:val="Leipteksti3Char"/>
    <w:uiPriority w:val="99"/>
    <w:rsid w:val="006D580B"/>
    <w:pPr>
      <w:spacing w:after="120"/>
    </w:pPr>
    <w:rPr>
      <w:sz w:val="16"/>
    </w:rPr>
  </w:style>
  <w:style w:type="character" w:customStyle="1" w:styleId="Leipteksti3Char">
    <w:name w:val="Leipäteksti 3 Char"/>
    <w:basedOn w:val="Kappaleenoletusfontti"/>
    <w:link w:val="Leipteksti3"/>
    <w:uiPriority w:val="99"/>
    <w:locked/>
    <w:rsid w:val="006D580B"/>
    <w:rPr>
      <w:rFonts w:ascii="AGaramond" w:hAnsi="AGaramond"/>
      <w:sz w:val="16"/>
    </w:rPr>
  </w:style>
  <w:style w:type="paragraph" w:styleId="Leipteksti">
    <w:name w:val="Body Text"/>
    <w:basedOn w:val="Normaali"/>
    <w:link w:val="LeiptekstiChar"/>
    <w:uiPriority w:val="99"/>
    <w:rsid w:val="006D580B"/>
    <w:pPr>
      <w:spacing w:after="120"/>
    </w:pPr>
  </w:style>
  <w:style w:type="character" w:customStyle="1" w:styleId="LeiptekstiChar">
    <w:name w:val="Leipäteksti Char"/>
    <w:basedOn w:val="Kappaleenoletusfontti"/>
    <w:link w:val="Leipteksti"/>
    <w:uiPriority w:val="99"/>
    <w:locked/>
    <w:rsid w:val="006D580B"/>
    <w:rPr>
      <w:rFonts w:ascii="AGaramond" w:hAnsi="AGaramond"/>
      <w:sz w:val="24"/>
    </w:rPr>
  </w:style>
  <w:style w:type="paragraph" w:styleId="Alaviitteenteksti">
    <w:name w:val="footnote text"/>
    <w:basedOn w:val="Normaali"/>
    <w:link w:val="AlaviitteentekstiChar"/>
    <w:uiPriority w:val="99"/>
    <w:rsid w:val="006D580B"/>
    <w:rPr>
      <w:sz w:val="20"/>
    </w:rPr>
  </w:style>
  <w:style w:type="character" w:customStyle="1" w:styleId="AlaviitteentekstiChar">
    <w:name w:val="Alaviitteen teksti Char"/>
    <w:basedOn w:val="Kappaleenoletusfontti"/>
    <w:link w:val="Alaviitteenteksti"/>
    <w:uiPriority w:val="99"/>
    <w:locked/>
    <w:rsid w:val="006D580B"/>
    <w:rPr>
      <w:rFonts w:ascii="AGaramond" w:hAnsi="AGaramond"/>
    </w:rPr>
  </w:style>
  <w:style w:type="character" w:styleId="HTML-kirjoituskone">
    <w:name w:val="HTML Typewriter"/>
    <w:basedOn w:val="Kappaleenoletusfontti"/>
    <w:uiPriority w:val="99"/>
    <w:rsid w:val="006D580B"/>
    <w:rPr>
      <w:rFonts w:ascii="Courier New" w:hAnsi="Courier New" w:cs="Times New Roman"/>
      <w:sz w:val="20"/>
    </w:rPr>
  </w:style>
  <w:style w:type="paragraph" w:styleId="HTML-esimuotoiltu">
    <w:name w:val="HTML Preformatted"/>
    <w:basedOn w:val="Normaali"/>
    <w:link w:val="HTML-esimuotoiltuChar"/>
    <w:uiPriority w:val="99"/>
    <w:rsid w:val="006D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esimuotoiltuChar">
    <w:name w:val="HTML-esimuotoiltu Char"/>
    <w:basedOn w:val="Kappaleenoletusfontti"/>
    <w:link w:val="HTML-esimuotoiltu"/>
    <w:uiPriority w:val="99"/>
    <w:locked/>
    <w:rsid w:val="006D580B"/>
    <w:rPr>
      <w:rFonts w:ascii="Courier New" w:hAnsi="Courier New"/>
    </w:rPr>
  </w:style>
  <w:style w:type="character" w:styleId="Kommentinviite">
    <w:name w:val="annotation reference"/>
    <w:basedOn w:val="Kappaleenoletusfontti"/>
    <w:uiPriority w:val="99"/>
    <w:rsid w:val="00BB5A74"/>
    <w:rPr>
      <w:rFonts w:cs="Times New Roman"/>
      <w:sz w:val="16"/>
    </w:rPr>
  </w:style>
  <w:style w:type="paragraph" w:styleId="Kommentinteksti">
    <w:name w:val="annotation text"/>
    <w:basedOn w:val="Normaali"/>
    <w:link w:val="KommentintekstiChar"/>
    <w:uiPriority w:val="99"/>
    <w:rsid w:val="00BB5A74"/>
    <w:rPr>
      <w:sz w:val="20"/>
    </w:rPr>
  </w:style>
  <w:style w:type="character" w:customStyle="1" w:styleId="KommentintekstiChar">
    <w:name w:val="Kommentin teksti Char"/>
    <w:basedOn w:val="Kappaleenoletusfontti"/>
    <w:link w:val="Kommentinteksti"/>
    <w:uiPriority w:val="99"/>
    <w:locked/>
    <w:rsid w:val="00BB5A74"/>
    <w:rPr>
      <w:rFonts w:ascii="AGaramond" w:hAnsi="AGaramond"/>
    </w:rPr>
  </w:style>
  <w:style w:type="paragraph" w:styleId="Kommentinotsikko">
    <w:name w:val="annotation subject"/>
    <w:basedOn w:val="Kommentinteksti"/>
    <w:next w:val="Kommentinteksti"/>
    <w:link w:val="KommentinotsikkoChar"/>
    <w:uiPriority w:val="99"/>
    <w:rsid w:val="00BB5A74"/>
    <w:rPr>
      <w:b/>
    </w:rPr>
  </w:style>
  <w:style w:type="character" w:customStyle="1" w:styleId="KommentinotsikkoChar">
    <w:name w:val="Kommentin otsikko Char"/>
    <w:basedOn w:val="KommentintekstiChar"/>
    <w:link w:val="Kommentinotsikko"/>
    <w:uiPriority w:val="99"/>
    <w:locked/>
    <w:rsid w:val="00BB5A74"/>
    <w:rPr>
      <w:rFonts w:ascii="AGaramond" w:hAnsi="AGaramond"/>
      <w:b/>
    </w:rPr>
  </w:style>
  <w:style w:type="paragraph" w:customStyle="1" w:styleId="Default">
    <w:name w:val="Default"/>
    <w:uiPriority w:val="99"/>
    <w:rsid w:val="00E37248"/>
    <w:pPr>
      <w:autoSpaceDE w:val="0"/>
      <w:autoSpaceDN w:val="0"/>
      <w:adjustRightInd w:val="0"/>
    </w:pPr>
    <w:rPr>
      <w:rFonts w:ascii="Courier New" w:hAnsi="Courier New" w:cs="Courier New"/>
      <w:color w:val="000000"/>
      <w:sz w:val="24"/>
      <w:szCs w:val="24"/>
    </w:rPr>
  </w:style>
  <w:style w:type="paragraph" w:styleId="Eivli">
    <w:name w:val="No Spacing"/>
    <w:link w:val="EivliChar"/>
    <w:uiPriority w:val="99"/>
    <w:qFormat/>
    <w:rsid w:val="003E0DFA"/>
    <w:rPr>
      <w:rFonts w:ascii="Calibri" w:hAnsi="Calibri"/>
      <w:szCs w:val="20"/>
      <w:lang w:eastAsia="en-US"/>
    </w:rPr>
  </w:style>
  <w:style w:type="character" w:customStyle="1" w:styleId="EivliChar">
    <w:name w:val="Ei väliä Char"/>
    <w:link w:val="Eivli"/>
    <w:uiPriority w:val="99"/>
    <w:locked/>
    <w:rsid w:val="003E0DFA"/>
    <w:rPr>
      <w:rFonts w:ascii="Calibri" w:hAnsi="Calibri"/>
      <w:sz w:val="22"/>
      <w:lang w:val="fi-FI" w:eastAsia="en-US"/>
    </w:rPr>
  </w:style>
  <w:style w:type="paragraph" w:styleId="Luettelokappale">
    <w:name w:val="List Paragraph"/>
    <w:basedOn w:val="Normaali"/>
    <w:uiPriority w:val="34"/>
    <w:qFormat/>
    <w:rsid w:val="002E32E7"/>
    <w:pPr>
      <w:ind w:left="720"/>
      <w:contextualSpacing/>
    </w:pPr>
  </w:style>
  <w:style w:type="paragraph" w:customStyle="1" w:styleId="borNormal">
    <w:name w:val="bor_Normal"/>
    <w:basedOn w:val="Normaali"/>
    <w:qFormat/>
    <w:rsid w:val="006302B0"/>
    <w:pPr>
      <w:spacing w:after="10"/>
    </w:pPr>
    <w:rPr>
      <w:rFonts w:asciiTheme="minorHAnsi" w:eastAsiaTheme="minorHAnsi" w:hAnsiTheme="minorHAnsi" w:cstheme="minorHAnsi"/>
      <w:sz w:val="20"/>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929">
      <w:bodyDiv w:val="1"/>
      <w:marLeft w:val="0"/>
      <w:marRight w:val="0"/>
      <w:marTop w:val="0"/>
      <w:marBottom w:val="0"/>
      <w:divBdr>
        <w:top w:val="none" w:sz="0" w:space="0" w:color="auto"/>
        <w:left w:val="none" w:sz="0" w:space="0" w:color="auto"/>
        <w:bottom w:val="none" w:sz="0" w:space="0" w:color="auto"/>
        <w:right w:val="none" w:sz="0" w:space="0" w:color="auto"/>
      </w:divBdr>
    </w:div>
    <w:div w:id="288974686">
      <w:bodyDiv w:val="1"/>
      <w:marLeft w:val="0"/>
      <w:marRight w:val="0"/>
      <w:marTop w:val="0"/>
      <w:marBottom w:val="0"/>
      <w:divBdr>
        <w:top w:val="none" w:sz="0" w:space="0" w:color="auto"/>
        <w:left w:val="none" w:sz="0" w:space="0" w:color="auto"/>
        <w:bottom w:val="none" w:sz="0" w:space="0" w:color="auto"/>
        <w:right w:val="none" w:sz="0" w:space="0" w:color="auto"/>
      </w:divBdr>
    </w:div>
    <w:div w:id="503395856">
      <w:bodyDiv w:val="1"/>
      <w:marLeft w:val="0"/>
      <w:marRight w:val="0"/>
      <w:marTop w:val="0"/>
      <w:marBottom w:val="0"/>
      <w:divBdr>
        <w:top w:val="none" w:sz="0" w:space="0" w:color="auto"/>
        <w:left w:val="none" w:sz="0" w:space="0" w:color="auto"/>
        <w:bottom w:val="none" w:sz="0" w:space="0" w:color="auto"/>
        <w:right w:val="none" w:sz="0" w:space="0" w:color="auto"/>
      </w:divBdr>
    </w:div>
    <w:div w:id="899173189">
      <w:bodyDiv w:val="1"/>
      <w:marLeft w:val="0"/>
      <w:marRight w:val="0"/>
      <w:marTop w:val="0"/>
      <w:marBottom w:val="0"/>
      <w:divBdr>
        <w:top w:val="none" w:sz="0" w:space="0" w:color="auto"/>
        <w:left w:val="none" w:sz="0" w:space="0" w:color="auto"/>
        <w:bottom w:val="none" w:sz="0" w:space="0" w:color="auto"/>
        <w:right w:val="none" w:sz="0" w:space="0" w:color="auto"/>
      </w:divBdr>
      <w:divsChild>
        <w:div w:id="21323304">
          <w:marLeft w:val="0"/>
          <w:marRight w:val="0"/>
          <w:marTop w:val="0"/>
          <w:marBottom w:val="0"/>
          <w:divBdr>
            <w:top w:val="none" w:sz="0" w:space="0" w:color="auto"/>
            <w:left w:val="none" w:sz="0" w:space="0" w:color="auto"/>
            <w:bottom w:val="none" w:sz="0" w:space="0" w:color="auto"/>
            <w:right w:val="none" w:sz="0" w:space="0" w:color="auto"/>
          </w:divBdr>
          <w:divsChild>
            <w:div w:id="34550551">
              <w:marLeft w:val="0"/>
              <w:marRight w:val="0"/>
              <w:marTop w:val="0"/>
              <w:marBottom w:val="0"/>
              <w:divBdr>
                <w:top w:val="none" w:sz="0" w:space="0" w:color="auto"/>
                <w:left w:val="none" w:sz="0" w:space="0" w:color="auto"/>
                <w:bottom w:val="none" w:sz="0" w:space="0" w:color="auto"/>
                <w:right w:val="none" w:sz="0" w:space="0" w:color="auto"/>
              </w:divBdr>
              <w:divsChild>
                <w:div w:id="21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6981">
      <w:bodyDiv w:val="1"/>
      <w:marLeft w:val="0"/>
      <w:marRight w:val="0"/>
      <w:marTop w:val="0"/>
      <w:marBottom w:val="0"/>
      <w:divBdr>
        <w:top w:val="none" w:sz="0" w:space="0" w:color="auto"/>
        <w:left w:val="none" w:sz="0" w:space="0" w:color="auto"/>
        <w:bottom w:val="none" w:sz="0" w:space="0" w:color="auto"/>
        <w:right w:val="none" w:sz="0" w:space="0" w:color="auto"/>
      </w:divBdr>
    </w:div>
    <w:div w:id="1476100082">
      <w:bodyDiv w:val="1"/>
      <w:marLeft w:val="0"/>
      <w:marRight w:val="0"/>
      <w:marTop w:val="0"/>
      <w:marBottom w:val="0"/>
      <w:divBdr>
        <w:top w:val="none" w:sz="0" w:space="0" w:color="auto"/>
        <w:left w:val="none" w:sz="0" w:space="0" w:color="auto"/>
        <w:bottom w:val="none" w:sz="0" w:space="0" w:color="auto"/>
        <w:right w:val="none" w:sz="0" w:space="0" w:color="auto"/>
      </w:divBdr>
    </w:div>
    <w:div w:id="1554345905">
      <w:bodyDiv w:val="1"/>
      <w:marLeft w:val="0"/>
      <w:marRight w:val="0"/>
      <w:marTop w:val="0"/>
      <w:marBottom w:val="0"/>
      <w:divBdr>
        <w:top w:val="none" w:sz="0" w:space="0" w:color="auto"/>
        <w:left w:val="none" w:sz="0" w:space="0" w:color="auto"/>
        <w:bottom w:val="none" w:sz="0" w:space="0" w:color="auto"/>
        <w:right w:val="none" w:sz="0" w:space="0" w:color="auto"/>
      </w:divBdr>
      <w:divsChild>
        <w:div w:id="444274088">
          <w:marLeft w:val="0"/>
          <w:marRight w:val="0"/>
          <w:marTop w:val="0"/>
          <w:marBottom w:val="0"/>
          <w:divBdr>
            <w:top w:val="single" w:sz="2" w:space="0" w:color="BBBBBB"/>
            <w:left w:val="single" w:sz="6" w:space="0" w:color="BBBBBB"/>
            <w:bottom w:val="single" w:sz="6" w:space="0" w:color="BBBBBB"/>
            <w:right w:val="single" w:sz="6" w:space="0" w:color="BBBBBB"/>
          </w:divBdr>
          <w:divsChild>
            <w:div w:id="224726481">
              <w:marLeft w:val="0"/>
              <w:marRight w:val="0"/>
              <w:marTop w:val="0"/>
              <w:marBottom w:val="0"/>
              <w:divBdr>
                <w:top w:val="none" w:sz="0" w:space="0" w:color="auto"/>
                <w:left w:val="none" w:sz="0" w:space="0" w:color="auto"/>
                <w:bottom w:val="none" w:sz="0" w:space="0" w:color="auto"/>
                <w:right w:val="none" w:sz="0" w:space="0" w:color="auto"/>
              </w:divBdr>
              <w:divsChild>
                <w:div w:id="1161391956">
                  <w:marLeft w:val="0"/>
                  <w:marRight w:val="0"/>
                  <w:marTop w:val="0"/>
                  <w:marBottom w:val="0"/>
                  <w:divBdr>
                    <w:top w:val="none" w:sz="0" w:space="0" w:color="auto"/>
                    <w:left w:val="none" w:sz="0" w:space="0" w:color="auto"/>
                    <w:bottom w:val="none" w:sz="0" w:space="0" w:color="auto"/>
                    <w:right w:val="none" w:sz="0" w:space="0" w:color="auto"/>
                  </w:divBdr>
                  <w:divsChild>
                    <w:div w:id="427769999">
                      <w:marLeft w:val="0"/>
                      <w:marRight w:val="0"/>
                      <w:marTop w:val="0"/>
                      <w:marBottom w:val="0"/>
                      <w:divBdr>
                        <w:top w:val="none" w:sz="0" w:space="0" w:color="auto"/>
                        <w:left w:val="none" w:sz="0" w:space="0" w:color="auto"/>
                        <w:bottom w:val="none" w:sz="0" w:space="0" w:color="auto"/>
                        <w:right w:val="none" w:sz="0" w:space="0" w:color="auto"/>
                      </w:divBdr>
                      <w:divsChild>
                        <w:div w:id="1303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81963">
      <w:bodyDiv w:val="1"/>
      <w:marLeft w:val="0"/>
      <w:marRight w:val="0"/>
      <w:marTop w:val="0"/>
      <w:marBottom w:val="0"/>
      <w:divBdr>
        <w:top w:val="none" w:sz="0" w:space="0" w:color="auto"/>
        <w:left w:val="none" w:sz="0" w:space="0" w:color="auto"/>
        <w:bottom w:val="none" w:sz="0" w:space="0" w:color="auto"/>
        <w:right w:val="none" w:sz="0" w:space="0" w:color="auto"/>
      </w:divBdr>
    </w:div>
    <w:div w:id="1857840634">
      <w:bodyDiv w:val="1"/>
      <w:marLeft w:val="0"/>
      <w:marRight w:val="0"/>
      <w:marTop w:val="0"/>
      <w:marBottom w:val="0"/>
      <w:divBdr>
        <w:top w:val="none" w:sz="0" w:space="0" w:color="auto"/>
        <w:left w:val="none" w:sz="0" w:space="0" w:color="auto"/>
        <w:bottom w:val="none" w:sz="0" w:space="0" w:color="auto"/>
        <w:right w:val="none" w:sz="0" w:space="0" w:color="auto"/>
      </w:divBdr>
    </w:div>
    <w:div w:id="1901362511">
      <w:bodyDiv w:val="1"/>
      <w:marLeft w:val="0"/>
      <w:marRight w:val="0"/>
      <w:marTop w:val="0"/>
      <w:marBottom w:val="0"/>
      <w:divBdr>
        <w:top w:val="none" w:sz="0" w:space="0" w:color="auto"/>
        <w:left w:val="none" w:sz="0" w:space="0" w:color="auto"/>
        <w:bottom w:val="none" w:sz="0" w:space="0" w:color="auto"/>
        <w:right w:val="none" w:sz="0" w:space="0" w:color="auto"/>
      </w:divBdr>
    </w:div>
    <w:div w:id="2052882278">
      <w:bodyDiv w:val="1"/>
      <w:marLeft w:val="0"/>
      <w:marRight w:val="0"/>
      <w:marTop w:val="0"/>
      <w:marBottom w:val="0"/>
      <w:divBdr>
        <w:top w:val="none" w:sz="0" w:space="0" w:color="auto"/>
        <w:left w:val="none" w:sz="0" w:space="0" w:color="auto"/>
        <w:bottom w:val="none" w:sz="0" w:space="0" w:color="auto"/>
        <w:right w:val="none" w:sz="0" w:space="0" w:color="auto"/>
      </w:divBdr>
    </w:div>
    <w:div w:id="2071607858">
      <w:marLeft w:val="0"/>
      <w:marRight w:val="0"/>
      <w:marTop w:val="0"/>
      <w:marBottom w:val="0"/>
      <w:divBdr>
        <w:top w:val="none" w:sz="0" w:space="0" w:color="auto"/>
        <w:left w:val="none" w:sz="0" w:space="0" w:color="auto"/>
        <w:bottom w:val="none" w:sz="0" w:space="0" w:color="auto"/>
        <w:right w:val="none" w:sz="0" w:space="0" w:color="auto"/>
      </w:divBdr>
    </w:div>
    <w:div w:id="2071607859">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 w:id="2071607861">
      <w:marLeft w:val="0"/>
      <w:marRight w:val="0"/>
      <w:marTop w:val="0"/>
      <w:marBottom w:val="0"/>
      <w:divBdr>
        <w:top w:val="none" w:sz="0" w:space="0" w:color="auto"/>
        <w:left w:val="none" w:sz="0" w:space="0" w:color="auto"/>
        <w:bottom w:val="none" w:sz="0" w:space="0" w:color="auto"/>
        <w:right w:val="none" w:sz="0" w:space="0" w:color="auto"/>
      </w:divBdr>
    </w:div>
    <w:div w:id="2071607862">
      <w:marLeft w:val="0"/>
      <w:marRight w:val="0"/>
      <w:marTop w:val="0"/>
      <w:marBottom w:val="0"/>
      <w:divBdr>
        <w:top w:val="none" w:sz="0" w:space="0" w:color="auto"/>
        <w:left w:val="none" w:sz="0" w:space="0" w:color="auto"/>
        <w:bottom w:val="none" w:sz="0" w:space="0" w:color="auto"/>
        <w:right w:val="none" w:sz="0" w:space="0" w:color="auto"/>
      </w:divBdr>
    </w:div>
    <w:div w:id="2071607863">
      <w:marLeft w:val="0"/>
      <w:marRight w:val="0"/>
      <w:marTop w:val="0"/>
      <w:marBottom w:val="0"/>
      <w:divBdr>
        <w:top w:val="none" w:sz="0" w:space="0" w:color="auto"/>
        <w:left w:val="none" w:sz="0" w:space="0" w:color="auto"/>
        <w:bottom w:val="none" w:sz="0" w:space="0" w:color="auto"/>
        <w:right w:val="none" w:sz="0" w:space="0" w:color="auto"/>
      </w:divBdr>
    </w:div>
    <w:div w:id="2071607864">
      <w:marLeft w:val="0"/>
      <w:marRight w:val="0"/>
      <w:marTop w:val="0"/>
      <w:marBottom w:val="0"/>
      <w:divBdr>
        <w:top w:val="none" w:sz="0" w:space="0" w:color="auto"/>
        <w:left w:val="none" w:sz="0" w:space="0" w:color="auto"/>
        <w:bottom w:val="none" w:sz="0" w:space="0" w:color="auto"/>
        <w:right w:val="none" w:sz="0" w:space="0" w:color="auto"/>
      </w:divBdr>
    </w:div>
    <w:div w:id="2071607865">
      <w:marLeft w:val="0"/>
      <w:marRight w:val="0"/>
      <w:marTop w:val="0"/>
      <w:marBottom w:val="0"/>
      <w:divBdr>
        <w:top w:val="none" w:sz="0" w:space="0" w:color="auto"/>
        <w:left w:val="none" w:sz="0" w:space="0" w:color="auto"/>
        <w:bottom w:val="none" w:sz="0" w:space="0" w:color="auto"/>
        <w:right w:val="none" w:sz="0" w:space="0" w:color="auto"/>
      </w:divBdr>
      <w:divsChild>
        <w:div w:id="2071607857">
          <w:marLeft w:val="0"/>
          <w:marRight w:val="0"/>
          <w:marTop w:val="0"/>
          <w:marBottom w:val="0"/>
          <w:divBdr>
            <w:top w:val="none" w:sz="0" w:space="0" w:color="auto"/>
            <w:left w:val="none" w:sz="0" w:space="0" w:color="auto"/>
            <w:bottom w:val="none" w:sz="0" w:space="0" w:color="auto"/>
            <w:right w:val="none" w:sz="0" w:space="0" w:color="auto"/>
          </w:divBdr>
          <w:divsChild>
            <w:div w:id="2071607866">
              <w:marLeft w:val="0"/>
              <w:marRight w:val="0"/>
              <w:marTop w:val="0"/>
              <w:marBottom w:val="0"/>
              <w:divBdr>
                <w:top w:val="none" w:sz="0" w:space="0" w:color="auto"/>
                <w:left w:val="none" w:sz="0" w:space="0" w:color="auto"/>
                <w:bottom w:val="none" w:sz="0" w:space="0" w:color="auto"/>
                <w:right w:val="none" w:sz="0" w:space="0" w:color="auto"/>
              </w:divBdr>
              <w:divsChild>
                <w:div w:id="2071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868">
      <w:marLeft w:val="0"/>
      <w:marRight w:val="0"/>
      <w:marTop w:val="0"/>
      <w:marBottom w:val="0"/>
      <w:divBdr>
        <w:top w:val="none" w:sz="0" w:space="0" w:color="auto"/>
        <w:left w:val="none" w:sz="0" w:space="0" w:color="auto"/>
        <w:bottom w:val="none" w:sz="0" w:space="0" w:color="auto"/>
        <w:right w:val="none" w:sz="0" w:space="0" w:color="auto"/>
      </w:divBdr>
    </w:div>
    <w:div w:id="21066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5\tulikivi_lomake_A4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4E0B0-62A7-4AB9-A50D-88268703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tulikivi_lomake_A4_2011.dotx</Template>
  <TotalTime>17</TotalTime>
  <Pages>17</Pages>
  <Words>2299</Words>
  <Characters>18630</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Vastaanottaja</vt:lpstr>
    </vt:vector>
  </TitlesOfParts>
  <Company>tulikivi Oyj</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24.4.2013</dc:subject>
  <dc:creator>Toivanen Kaisa</dc:creator>
  <cp:lastModifiedBy>Jouko Toivanen</cp:lastModifiedBy>
  <cp:revision>5</cp:revision>
  <cp:lastPrinted>2018-02-02T11:50:00Z</cp:lastPrinted>
  <dcterms:created xsi:type="dcterms:W3CDTF">2018-02-08T22:26:00Z</dcterms:created>
  <dcterms:modified xsi:type="dcterms:W3CDTF">2018-02-09T07:31:00Z</dcterms:modified>
</cp:coreProperties>
</file>