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A6BD9" w14:textId="77777777" w:rsidR="00A21178" w:rsidRPr="00A21178" w:rsidRDefault="00A21178" w:rsidP="00A21178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A21178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Annual report 2021: ALK delivers strong sales growth of 12% with tablet sales up 29% and EBITDA up 35%</w:t>
      </w:r>
    </w:p>
    <w:p w14:paraId="75086036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ALK’s (</w:t>
      </w:r>
      <w:proofErr w:type="gramStart"/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ALKB:DC</w:t>
      </w:r>
      <w:proofErr w:type="gramEnd"/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/ OMX: ALK B / AKABY / AKBLF</w:t>
      </w: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) Board of Directors has approved the company’s annual report (ESEF-version </w:t>
      </w:r>
      <w:r w:rsidRPr="00A21178">
        <w:rPr>
          <w:rFonts w:ascii="Arial" w:eastAsia="Times New Roman" w:hAnsi="Arial" w:cs="Arial"/>
          <w:color w:val="000000"/>
          <w:sz w:val="23"/>
          <w:szCs w:val="23"/>
          <w:u w:val="single"/>
          <w:lang w:eastAsia="en-GB"/>
        </w:rPr>
        <w:t>ALK-2021-12-31-en</w:t>
      </w: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attached): Following a solid Q4, ALK ended 2021 at top of its most recent revenue guidance, with double-digit sales growth in all regions with tablets as the main driver of growth. For 2022, ALK expects revenue growth of 8-12% and a further improvement in profitability.</w:t>
      </w:r>
    </w:p>
    <w:p w14:paraId="5D5FE589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ALK’s President and CEO, Carsten Hellmann said: </w:t>
      </w:r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“2021 represented another important </w:t>
      </w:r>
      <w:proofErr w:type="gramStart"/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stepping stone</w:t>
      </w:r>
      <w:proofErr w:type="gramEnd"/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towards fulfilling ALK’s goals of continuous growth and improved profitability, and we expect to build on this progress with 8-12% revenue growth in 2022, as we continue to pursue our targets for 2025. At the same time, we are also investing in a number of potential sales- and profit growth accelerators which look to the longer term.”</w:t>
      </w:r>
    </w:p>
    <w:p w14:paraId="42F5A497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(</w:t>
      </w:r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Revenue growth rates are stated in local currencies. Comparative figures for 2020 are shown in brackets.)</w:t>
      </w:r>
    </w:p>
    <w:p w14:paraId="64B81D4E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Q4 2021 highlights</w:t>
      </w:r>
    </w:p>
    <w:p w14:paraId="06491B1F" w14:textId="77777777" w:rsidR="00A21178" w:rsidRPr="00A21178" w:rsidRDefault="00A21178" w:rsidP="00A21178">
      <w:pPr>
        <w:numPr>
          <w:ilvl w:val="0"/>
          <w:numId w:val="1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Revenue in Q4 increased 9% in local currencies to DKK 1,099 million (991), driven by tablet sales growth of 23%. This was despite a Q4 in 2020 that saw extraordinarily high revenue growth, in part fuelled by a high number of product shipments to Japan.</w:t>
      </w:r>
    </w:p>
    <w:p w14:paraId="3DA22950" w14:textId="77777777" w:rsidR="00A21178" w:rsidRPr="00A21178" w:rsidRDefault="00A21178" w:rsidP="00A21178">
      <w:pPr>
        <w:numPr>
          <w:ilvl w:val="0"/>
          <w:numId w:val="1"/>
        </w:numPr>
        <w:spacing w:before="100" w:beforeAutospacing="1" w:after="2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EBITDA more than doubled to DKK 136 million (64), reflecting higher sales, improved gross margins and a modest increase in capacity costs.</w:t>
      </w:r>
    </w:p>
    <w:p w14:paraId="1117AC9F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Full-year 2021 highlights</w:t>
      </w:r>
    </w:p>
    <w:p w14:paraId="5445F8F9" w14:textId="77777777" w:rsidR="00A21178" w:rsidRPr="00A21178" w:rsidRDefault="00A21178" w:rsidP="00A21178">
      <w:pPr>
        <w:numPr>
          <w:ilvl w:val="0"/>
          <w:numId w:val="2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Full-year revenue increased by 12% to an all-time high of DKK 3,916 million (3,491), based on double-digit growth in all sales regions.</w:t>
      </w:r>
    </w:p>
    <w:p w14:paraId="1B6D3E8D" w14:textId="77777777" w:rsidR="00A21178" w:rsidRPr="00A21178" w:rsidRDefault="00A21178" w:rsidP="00A21178">
      <w:pPr>
        <w:numPr>
          <w:ilvl w:val="0"/>
          <w:numId w:val="2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Tablet sales grew 29% on market expansion and market share gains and now represent 45% of total revenue (39). Sales of SCIT and </w:t>
      </w:r>
      <w:proofErr w:type="gramStart"/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SLIT-drops</w:t>
      </w:r>
      <w:proofErr w:type="gramEnd"/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were largely unchanged, while sales of other products increased 10%.</w:t>
      </w:r>
    </w:p>
    <w:p w14:paraId="490575BF" w14:textId="77777777" w:rsidR="00A21178" w:rsidRPr="00A21178" w:rsidRDefault="00A21178" w:rsidP="00A21178">
      <w:pPr>
        <w:numPr>
          <w:ilvl w:val="0"/>
          <w:numId w:val="2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EBITDA was up 35% to DKK 534 million (395), driven by higher sales and an improving gross margin. Earnings improved despite a planned 23% increase in R&amp;D expenses to support clinical trials.</w:t>
      </w:r>
    </w:p>
    <w:p w14:paraId="71830803" w14:textId="77777777" w:rsidR="00A21178" w:rsidRPr="00A21178" w:rsidRDefault="00A21178" w:rsidP="00A21178">
      <w:pPr>
        <w:numPr>
          <w:ilvl w:val="0"/>
          <w:numId w:val="2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Free cash flow was positive at DKK 202 million (56), mainly on higher earnings.</w:t>
      </w:r>
    </w:p>
    <w:p w14:paraId="4AD73CF2" w14:textId="77777777" w:rsidR="00A21178" w:rsidRPr="00A21178" w:rsidRDefault="00A21178" w:rsidP="00A21178">
      <w:pPr>
        <w:numPr>
          <w:ilvl w:val="0"/>
          <w:numId w:val="2"/>
        </w:num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ALK made further progress on its long-term strategy, despite the ongoing impact of COVID, most notably on certain clinical trials.</w:t>
      </w:r>
    </w:p>
    <w:p w14:paraId="3E49F272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2022 financial outlook</w:t>
      </w: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ALK expects sales growth across all regions in 2022 and improved earnings, in line with its long-term ambitions.</w:t>
      </w:r>
    </w:p>
    <w:p w14:paraId="35E6D3C9" w14:textId="77777777" w:rsidR="00A21178" w:rsidRPr="00A21178" w:rsidRDefault="00A21178" w:rsidP="00A21178">
      <w:pPr>
        <w:numPr>
          <w:ilvl w:val="0"/>
          <w:numId w:val="3"/>
        </w:numPr>
        <w:spacing w:before="100" w:beforeAutospacing="1" w:after="100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Revenue is expected to grow 8-12% in local currencies. Tablets will remain key to overall growth with sales estimated to grow by around 20%.</w:t>
      </w:r>
    </w:p>
    <w:p w14:paraId="73578DB9" w14:textId="77777777" w:rsidR="00A21178" w:rsidRPr="00A21178" w:rsidRDefault="00A21178" w:rsidP="00A2117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lastRenderedPageBreak/>
        <w:t>EBITDA is expected to increase to DKK 625-725 million (2021: DKK 534 million), benefiting from higher sales, an improved gross margin and efficiencies. R&amp;D costs are expected to increase to DKK 650-700 million (2021: DKK 631 million). Sales and marketing costs are also expected to increase, reflecting investments in current and future growth drivers, including China.</w:t>
      </w:r>
    </w:p>
    <w:p w14:paraId="00E4EBE5" w14:textId="77777777" w:rsidR="00A21178" w:rsidRPr="00A21178" w:rsidRDefault="00A21178" w:rsidP="00A2117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ALK-</w:t>
      </w:r>
      <w:proofErr w:type="spellStart"/>
      <w:r w:rsidRPr="00A21178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Abelló</w:t>
      </w:r>
      <w:proofErr w:type="spellEnd"/>
      <w:r w:rsidRPr="00A21178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A/S</w:t>
      </w: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r w:rsidRPr="00A21178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For further information please contact:</w:t>
      </w:r>
    </w:p>
    <w:p w14:paraId="693A6311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Investor Relations</w:t>
      </w: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: Per </w:t>
      </w:r>
      <w:proofErr w:type="spellStart"/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Plotnikof</w:t>
      </w:r>
      <w:proofErr w:type="spellEnd"/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, tel. +45 4574 7527, mobile +45 2261 2525</w:t>
      </w:r>
    </w:p>
    <w:p w14:paraId="7FF769D3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Media: </w:t>
      </w: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Jeppe </w:t>
      </w:r>
      <w:proofErr w:type="spellStart"/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Ilkjær</w:t>
      </w:r>
      <w:proofErr w:type="spellEnd"/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, mobile +45 3050 2014</w:t>
      </w:r>
    </w:p>
    <w:p w14:paraId="51A3C979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Audio cast</w:t>
      </w: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Today, ALK is hosting a conference call for analysts and investors at 12.00 noon (CET) at which Management will review the financial results and the outlook. The conference call will be audio cast on </w:t>
      </w:r>
      <w:hyperlink r:id="rId5" w:tgtFrame="_blank" w:history="1">
        <w:r w:rsidRPr="00A21178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https://ir.alk.net</w:t>
        </w:r>
      </w:hyperlink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where the relevant presentation is available shortly before the call begins. Participants are kindly requested to call in before11.55am (CET). Danish participants should call in on tel. +45 3544 5577 and international participants should call in on tel. +44 333 300 0804 or</w:t>
      </w: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  <w:t>+1 631 913 1422. Please use the Participant Pin Code: 58470902#.</w:t>
      </w:r>
    </w:p>
    <w:p w14:paraId="137510AF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This information is information that ALK-</w:t>
      </w:r>
      <w:proofErr w:type="spellStart"/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Abelló</w:t>
      </w:r>
      <w:proofErr w:type="spellEnd"/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A/S is obliged to make public pursuant to the EU Market Abuse Regulation.</w:t>
      </w:r>
    </w:p>
    <w:p w14:paraId="0D0DC85E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lang w:eastAsia="en-GB"/>
        </w:rPr>
        <w:t>About ALK</w:t>
      </w: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br/>
      </w:r>
      <w:proofErr w:type="spellStart"/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ALK</w:t>
      </w:r>
      <w:proofErr w:type="spellEnd"/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 xml:space="preserve"> is a global specialty pharmaceutical company focused on allergy and allergic asthma. It markets allergy immunotherapy treatments and other products and services for people with allergy and allergy doctors. Headquartered in </w:t>
      </w:r>
      <w:proofErr w:type="spellStart"/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Hørsholm</w:t>
      </w:r>
      <w:proofErr w:type="spellEnd"/>
      <w:r w:rsidRPr="00A21178">
        <w:rPr>
          <w:rFonts w:ascii="Arial" w:eastAsia="Times New Roman" w:hAnsi="Arial" w:cs="Arial"/>
          <w:i/>
          <w:iCs/>
          <w:color w:val="000000"/>
          <w:sz w:val="23"/>
          <w:szCs w:val="23"/>
          <w:lang w:eastAsia="en-GB"/>
        </w:rPr>
        <w:t>, Denmark, ALK employs around 2,600 people worldwide and is listed on Nasdaq Copenhagen. Find more information at www.alk.net.</w:t>
      </w:r>
    </w:p>
    <w:p w14:paraId="64CC79DD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136C0A93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Attachments</w:t>
      </w:r>
    </w:p>
    <w:p w14:paraId="32DE6379" w14:textId="77777777" w:rsidR="00A21178" w:rsidRPr="00A21178" w:rsidRDefault="00A21178" w:rsidP="00A211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6" w:tgtFrame="_blank" w:history="1">
        <w:r w:rsidRPr="00A21178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alk-2021-12-31-en</w:t>
        </w:r>
      </w:hyperlink>
    </w:p>
    <w:p w14:paraId="189AEA08" w14:textId="77777777" w:rsidR="00A21178" w:rsidRPr="00A21178" w:rsidRDefault="00A21178" w:rsidP="00A211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r w:rsidRPr="00A21178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FM_01_2022UK_combined</w:t>
        </w:r>
      </w:hyperlink>
    </w:p>
    <w:p w14:paraId="0A10FCEA" w14:textId="77777777" w:rsidR="00A21178" w:rsidRPr="00A21178" w:rsidRDefault="00A21178" w:rsidP="00A211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A21178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7FD11195" w14:textId="77777777" w:rsidR="00D72049" w:rsidRDefault="00D72049"/>
    <w:sectPr w:rsidR="00D720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12B32"/>
    <w:multiLevelType w:val="multilevel"/>
    <w:tmpl w:val="D4A0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36AB6"/>
    <w:multiLevelType w:val="multilevel"/>
    <w:tmpl w:val="439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FC101B"/>
    <w:multiLevelType w:val="multilevel"/>
    <w:tmpl w:val="40AE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A6AD0"/>
    <w:multiLevelType w:val="multilevel"/>
    <w:tmpl w:val="ED125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178"/>
    <w:rsid w:val="00693594"/>
    <w:rsid w:val="00A21178"/>
    <w:rsid w:val="00C61ED5"/>
    <w:rsid w:val="00D7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D248"/>
  <w15:chartTrackingRefBased/>
  <w15:docId w15:val="{ED9BE608-5116-4DCC-AC87-ECC01A9F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11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17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21178"/>
    <w:rPr>
      <w:i/>
      <w:iCs/>
    </w:rPr>
  </w:style>
  <w:style w:type="character" w:styleId="Strong">
    <w:name w:val="Strong"/>
    <w:basedOn w:val="DefaultParagraphFont"/>
    <w:uiPriority w:val="22"/>
    <w:qFormat/>
    <w:rsid w:val="00A2117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21178"/>
    <w:rPr>
      <w:color w:val="0000FF"/>
      <w:u w:val="single"/>
    </w:rPr>
  </w:style>
  <w:style w:type="paragraph" w:customStyle="1" w:styleId="page-break">
    <w:name w:val="page-break"/>
    <w:basedOn w:val="Normal"/>
    <w:rsid w:val="00A21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eaba1538-5dc9-49fd-b493-c990fb3d522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l-eu.globenewswire.com/Resource/Download/d1c46acb-a892-4e2e-96d2-205fe155de19" TargetMode="External"/><Relationship Id="rId5" Type="http://schemas.openxmlformats.org/officeDocument/2006/relationships/hyperlink" Target="https://ir.alk.ne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Kostukova, Alina</dc:creator>
  <cp:keywords/>
  <dc:description/>
  <cp:lastModifiedBy>Kostukova, Alina</cp:lastModifiedBy>
  <cp:revision>1</cp:revision>
  <dcterms:created xsi:type="dcterms:W3CDTF">2022-02-08T06:43:00Z</dcterms:created>
  <dcterms:modified xsi:type="dcterms:W3CDTF">2022-02-08T06:43:00Z</dcterms:modified>
</cp:coreProperties>
</file>