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4"/>
      </w:tblGrid>
      <w:tr w:rsidR="00415448" w14:paraId="439F03A1" w14:textId="77777777">
        <w:tblPrEx>
          <w:tblCellMar>
            <w:top w:w="0" w:type="dxa"/>
            <w:bottom w:w="0" w:type="dxa"/>
          </w:tblCellMar>
        </w:tblPrEx>
        <w:tc>
          <w:tcPr>
            <w:tcW w:w="10544" w:type="dxa"/>
          </w:tcPr>
          <w:tbl>
            <w:tblPr>
              <w:tblW w:w="104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76"/>
            </w:tblGrid>
            <w:tr w:rsidR="00415448" w14:paraId="24EC36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60"/>
                  </w:tblGrid>
                  <w:tr w:rsidR="00415448" w14:paraId="447913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452" w:type="dxa"/>
                      </w:tcPr>
                      <w:p w14:paraId="03FAB832" w14:textId="19BB5087" w:rsidR="00415448" w:rsidRDefault="00AB261D">
                        <w:r>
                          <w:rPr>
                            <w:noProof/>
                          </w:rPr>
                          <w:drawing>
                            <wp:inline distT="0" distB="0" distL="0" distR="0" wp14:anchorId="2DEB5E3E" wp14:editId="0680E419">
                              <wp:extent cx="6572250" cy="96202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 preferRelativeResize="0"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2250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3F1F90C" w14:textId="77777777" w:rsidR="00415448" w:rsidRDefault="00415448"/>
              </w:tc>
            </w:tr>
            <w:tr w:rsidR="00415448" w14:paraId="67B0DC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60"/>
                  </w:tblGrid>
                  <w:tr w:rsidR="00415448" w14:paraId="7F361FE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452" w:type="dxa"/>
                      </w:tcPr>
                      <w:p w14:paraId="14E436ED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Company announcement no. 47 2025</w:t>
                        </w:r>
                      </w:p>
                      <w:p w14:paraId="121BCD69" w14:textId="77777777" w:rsidR="00415448" w:rsidRDefault="00AB261D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Danske Bank</w:t>
                        </w:r>
                      </w:p>
                      <w:p w14:paraId="4FA3E82C" w14:textId="77777777" w:rsidR="00415448" w:rsidRDefault="00AB261D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Bernstorffsgade 40</w:t>
                        </w:r>
                      </w:p>
                      <w:p w14:paraId="5E0EAE35" w14:textId="77777777" w:rsidR="00415448" w:rsidRDefault="00AB261D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DK-1577 København V</w:t>
                        </w:r>
                      </w:p>
                      <w:p w14:paraId="743E195E" w14:textId="77777777" w:rsidR="00415448" w:rsidRDefault="00AB261D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Tel. + 45 33 44 00 00</w:t>
                        </w:r>
                      </w:p>
                      <w:p w14:paraId="0D601D7E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B582571" w14:textId="77777777" w:rsidR="00415448" w:rsidRDefault="00AB261D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20 October 2025</w:t>
                        </w:r>
                      </w:p>
                      <w:p w14:paraId="3FA14282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288142A1" w14:textId="77777777" w:rsidR="00415448" w:rsidRDefault="00AB261D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>Page 1 of 1</w:t>
                        </w:r>
                      </w:p>
                      <w:p w14:paraId="01E5E652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6BC1845E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7A000D46" w14:textId="77777777" w:rsidR="00415448" w:rsidRDefault="00AB261D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000000"/>
                            <w:sz w:val="20"/>
                            <w:szCs w:val="20"/>
                          </w:rPr>
                          <w:t>Danske Bank share buy-back programme: transactions in week 42</w:t>
                        </w:r>
                      </w:p>
                      <w:p w14:paraId="6F0A2266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2D69983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On 7 February 2025, Danske Bank A/S announced a share buy-back programme for a total of DKK 5 billion, with a maximum of 45,000,000 shares, in the period from 10 February 2025 to 30 January 2026, at the latest, as described in company announcement no. 6 2025. </w:t>
                        </w:r>
                      </w:p>
                      <w:p w14:paraId="2DCC3D8A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F618FDB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The Programme is carried out in accordance with Article 5 of Regulation (EU) No 596/2014 of the European Parliament and Council of 16 April 2014 (the "Market Abuse Regulation") and the Commission Delegated Regulation (EU) 2016/1052 of 8 March 2016 (together with the Market Abuse Regulation, the "Safe Harbour Rules"). </w:t>
                        </w:r>
                      </w:p>
                      <w:p w14:paraId="2CD88B4B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A6481B5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The following transactions on Nasdaq Copenhagen A/S were made under the share buy-back programme in week 42:</w:t>
                        </w:r>
                      </w:p>
                      <w:p w14:paraId="4CD0BED7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5A7222E0" w14:textId="77777777" w:rsidR="00415448" w:rsidRDefault="00415448"/>
              </w:tc>
            </w:tr>
            <w:tr w:rsidR="00415448" w14:paraId="3E0C3D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60"/>
                  </w:tblGrid>
                  <w:tr w:rsidR="00415448" w14:paraId="10963A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512" w:type="dxa"/>
                      </w:tcPr>
                      <w:tbl>
                        <w:tblPr>
                          <w:tblW w:w="10432" w:type="dxa"/>
                          <w:tblLayout w:type="fixed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62"/>
                          <w:gridCol w:w="2090"/>
                          <w:gridCol w:w="2090"/>
                          <w:gridCol w:w="2090"/>
                        </w:tblGrid>
                        <w:tr w:rsidR="00415448" w14:paraId="4A416C1B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6FFF8D3" w14:textId="77777777" w:rsidR="00415448" w:rsidRDefault="00415448">
                              <w:pPr>
                                <w:ind w:left="40" w:right="40"/>
                              </w:pP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4F96662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01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Number of shares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ED98C21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02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VWAP DKK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4AE18F40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03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Gross value DKK</w:t>
                              </w:r>
                            </w:p>
                          </w:tc>
                        </w:tr>
                        <w:tr w:rsidR="00415448" w14:paraId="42C67949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ADD2A30" w14:textId="77777777" w:rsidR="00415448" w:rsidRDefault="00AB261D">
                              <w:pPr>
                                <w:ind w:left="40" w:right="40"/>
                                <w:divId w:val="10004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Accumulated, last announcement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1A8603C" w14:textId="77777777" w:rsidR="00415448" w:rsidRDefault="00AB261D">
                              <w:pPr>
                                <w:ind w:left="40" w:right="40"/>
                                <w:jc w:val="right"/>
                                <w:divId w:val="1000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13,841,531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380ADBF" w14:textId="77777777" w:rsidR="00415448" w:rsidRDefault="00AB261D">
                              <w:pPr>
                                <w:ind w:left="40" w:right="40"/>
                                <w:jc w:val="right"/>
                                <w:divId w:val="1000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245.9195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0A964AF6" w14:textId="77777777" w:rsidR="00415448" w:rsidRDefault="00AB261D">
                              <w:pPr>
                                <w:ind w:left="40" w:right="40"/>
                                <w:jc w:val="right"/>
                                <w:divId w:val="1000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3,403,901,926</w:t>
                              </w:r>
                            </w:p>
                          </w:tc>
                        </w:tr>
                        <w:tr w:rsidR="00415448" w14:paraId="249560EE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327CF05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0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 October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93DC311" w14:textId="77777777" w:rsidR="00415448" w:rsidRDefault="00AB261D">
                              <w:pPr>
                                <w:ind w:left="40" w:right="40"/>
                                <w:jc w:val="right"/>
                                <w:divId w:val="1000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1712B43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272.4208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3D9552C7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13,621,040</w:t>
                              </w:r>
                            </w:p>
                          </w:tc>
                        </w:tr>
                        <w:tr w:rsidR="00415448" w14:paraId="628B53F5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1B44CA0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1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14 October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CEC5883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52,000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20C70E2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270.5582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52535907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14,069,026</w:t>
                              </w:r>
                            </w:p>
                          </w:tc>
                        </w:tr>
                        <w:tr w:rsidR="00415448" w14:paraId="597FB70C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620C5DB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1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15 October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025332F6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139,208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CD6B705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8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274.7045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643828BD" w14:textId="77777777" w:rsidR="00415448" w:rsidRDefault="00AB261D">
                              <w:pPr>
                                <w:ind w:left="40" w:right="40"/>
                                <w:jc w:val="right"/>
                                <w:divId w:val="1001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38,241,064</w:t>
                              </w:r>
                            </w:p>
                          </w:tc>
                        </w:tr>
                        <w:tr w:rsidR="00415448" w14:paraId="4DB8F253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39E1FC7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2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16 October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435D5A8" w14:textId="77777777" w:rsidR="00415448" w:rsidRDefault="00AB261D">
                              <w:pPr>
                                <w:ind w:left="40" w:right="40"/>
                                <w:jc w:val="right"/>
                                <w:divId w:val="1002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35,000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105268FF" w14:textId="77777777" w:rsidR="00415448" w:rsidRDefault="00AB261D">
                              <w:pPr>
                                <w:ind w:left="40" w:right="40"/>
                                <w:jc w:val="right"/>
                                <w:divId w:val="10022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273.6223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4492C5BE" w14:textId="77777777" w:rsidR="00415448" w:rsidRDefault="00AB261D">
                              <w:pPr>
                                <w:ind w:left="40" w:right="40"/>
                                <w:jc w:val="right"/>
                                <w:divId w:val="1002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9,576,781</w:t>
                              </w:r>
                            </w:p>
                          </w:tc>
                        </w:tr>
                        <w:tr w:rsidR="00415448" w14:paraId="2B2BA58C" w14:textId="77777777">
                          <w:tc>
                            <w:tcPr>
                              <w:tcW w:w="4174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B352DFF" w14:textId="77777777" w:rsidR="00415448" w:rsidRDefault="00AB261D">
                              <w:pPr>
                                <w:ind w:left="40" w:right="40"/>
                                <w:jc w:val="center"/>
                                <w:divId w:val="1002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17 October 2025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232734A" w14:textId="77777777" w:rsidR="00415448" w:rsidRDefault="00AB261D">
                              <w:pPr>
                                <w:ind w:left="40" w:right="40"/>
                                <w:jc w:val="right"/>
                                <w:divId w:val="1002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200,996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47DCE0C" w14:textId="77777777" w:rsidR="00415448" w:rsidRDefault="00AB261D">
                              <w:pPr>
                                <w:ind w:left="40" w:right="40"/>
                                <w:jc w:val="right"/>
                                <w:divId w:val="10026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271.5417</w:t>
                              </w:r>
                            </w:p>
                          </w:tc>
                          <w:tc>
                            <w:tcPr>
                              <w:tcW w:w="2097" w:type="dxa"/>
                              <w:shd w:val="clear" w:color="auto" w:fill="FFFFFF"/>
                            </w:tcPr>
                            <w:p w14:paraId="19569F58" w14:textId="77777777" w:rsidR="00415448" w:rsidRDefault="00AB261D">
                              <w:pPr>
                                <w:ind w:left="40" w:right="40"/>
                                <w:jc w:val="right"/>
                                <w:divId w:val="10027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54,578,796</w:t>
                              </w:r>
                            </w:p>
                          </w:tc>
                        </w:tr>
                        <w:tr w:rsidR="00415448" w14:paraId="11B1A1AB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447AB6A3" w14:textId="77777777" w:rsidR="00415448" w:rsidRDefault="00AB261D">
                              <w:pPr>
                                <w:ind w:left="40" w:right="40"/>
                                <w:divId w:val="10028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Total accumulated over week 42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32BD6FB2" w14:textId="77777777" w:rsidR="00415448" w:rsidRDefault="00AB261D">
                              <w:pPr>
                                <w:ind w:left="40" w:right="40"/>
                                <w:jc w:val="right"/>
                                <w:divId w:val="10029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477,204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2872C965" w14:textId="77777777" w:rsidR="00415448" w:rsidRDefault="00AB261D">
                              <w:pPr>
                                <w:ind w:left="40" w:right="40"/>
                                <w:jc w:val="right"/>
                                <w:divId w:val="1003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272.6019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</w:tcBorders>
                              <w:shd w:val="clear" w:color="auto" w:fill="FFFFFF"/>
                            </w:tcPr>
                            <w:p w14:paraId="56A4F757" w14:textId="77777777" w:rsidR="00415448" w:rsidRDefault="00AB261D">
                              <w:pPr>
                                <w:ind w:left="40" w:right="40"/>
                                <w:jc w:val="right"/>
                                <w:divId w:val="10031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130,086,706</w:t>
                              </w:r>
                            </w:p>
                          </w:tc>
                        </w:tr>
                        <w:tr w:rsidR="00415448" w14:paraId="7BD099AB" w14:textId="77777777">
                          <w:tc>
                            <w:tcPr>
                              <w:tcW w:w="4174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6693E786" w14:textId="77777777" w:rsidR="00415448" w:rsidRDefault="00AB261D">
                              <w:pPr>
                                <w:ind w:left="40" w:right="40"/>
                                <w:divId w:val="10032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Total accumulated during the share buyback programme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5325E7AE" w14:textId="77777777" w:rsidR="00415448" w:rsidRDefault="00AB261D">
                              <w:pPr>
                                <w:ind w:left="40" w:right="40"/>
                                <w:jc w:val="right"/>
                                <w:divId w:val="10033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14,318,735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</w:tcPr>
                            <w:p w14:paraId="7035DC8B" w14:textId="77777777" w:rsidR="00415448" w:rsidRDefault="00AB261D">
                              <w:pPr>
                                <w:ind w:left="40" w:right="40"/>
                                <w:jc w:val="right"/>
                                <w:divId w:val="10034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246.8087</w:t>
                              </w:r>
                            </w:p>
                          </w:tc>
                          <w:tc>
                            <w:tcPr>
                              <w:tcW w:w="209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shd w:val="clear" w:color="auto" w:fill="FFFFFF"/>
                            </w:tcPr>
                            <w:p w14:paraId="5D5AB4A2" w14:textId="77777777" w:rsidR="00415448" w:rsidRDefault="00AB261D">
                              <w:pPr>
                                <w:ind w:left="40" w:right="40"/>
                                <w:jc w:val="right"/>
                                <w:divId w:val="10035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3,533,988,632</w:t>
                              </w:r>
                            </w:p>
                          </w:tc>
                        </w:tr>
                      </w:tbl>
                      <w:p w14:paraId="0CA427C4" w14:textId="77777777" w:rsidR="00415448" w:rsidRDefault="00415448"/>
                    </w:tc>
                  </w:tr>
                </w:tbl>
                <w:p w14:paraId="6E4A9392" w14:textId="77777777" w:rsidR="00415448" w:rsidRDefault="00415448"/>
              </w:tc>
            </w:tr>
            <w:tr w:rsidR="00415448" w14:paraId="7E4687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28" w:type="dxa"/>
                </w:tcPr>
                <w:tbl>
                  <w:tblPr>
                    <w:tblW w:w="10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60"/>
                  </w:tblGrid>
                  <w:tr w:rsidR="00415448" w14:paraId="44A18BB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0452" w:type="dxa"/>
                      </w:tcPr>
                      <w:p w14:paraId="76989726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6EB8763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With the transactions stated above, the total accumulated number of own shares under the share buy-back programme corresponds to 1.715% of Danske Bank A/S' share capital.</w:t>
                        </w:r>
                      </w:p>
                      <w:p w14:paraId="24B5C11A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BBDB7A4" w14:textId="77777777" w:rsidR="00415448" w:rsidRDefault="00AB261D"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83B0D6E" w14:textId="77777777" w:rsidR="00415448" w:rsidRDefault="00AB261D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Danske Bank</w:t>
                        </w:r>
                      </w:p>
                      <w:p w14:paraId="3C7F22BB" w14:textId="77777777" w:rsidR="00415448" w:rsidRDefault="00AB261D"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  <w:szCs w:val="20"/>
                          </w:rPr>
                          <w:t>Contact: Claus Ingar Jensen, Head of Group Investor Relations, tel. +45 25 42 43 70</w:t>
                        </w:r>
                      </w:p>
                      <w:p w14:paraId="74643DBE" w14:textId="77777777" w:rsidR="00415448" w:rsidRDefault="00AB261D"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047B039E" w14:textId="77777777" w:rsidR="00415448" w:rsidRDefault="00415448"/>
              </w:tc>
            </w:tr>
          </w:tbl>
          <w:p w14:paraId="72B923CA" w14:textId="77777777" w:rsidR="00415448" w:rsidRDefault="00415448"/>
        </w:tc>
      </w:tr>
    </w:tbl>
    <w:p w14:paraId="465B0C15" w14:textId="77777777" w:rsidR="00AB261D" w:rsidRDefault="00AB261D"/>
    <w:sectPr w:rsidR="00000000">
      <w:footerReference w:type="default" r:id="rId7"/>
      <w:footerReference w:type="first" r:id="rId8"/>
      <w:pgSz w:w="11900" w:h="16820"/>
      <w:pgMar w:top="720" w:right="720" w:bottom="720" w:left="720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3CAE" w14:textId="77777777" w:rsidR="00AB261D" w:rsidRDefault="00AB261D">
      <w:r>
        <w:separator/>
      </w:r>
    </w:p>
  </w:endnote>
  <w:endnote w:type="continuationSeparator" w:id="0">
    <w:p w14:paraId="3E61C16A" w14:textId="77777777" w:rsidR="00AB261D" w:rsidRDefault="00AB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9448" w14:textId="77777777" w:rsidR="00415448" w:rsidRDefault="00AB261D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Danske Bank A/S</w:t>
    </w:r>
  </w:p>
  <w:p w14:paraId="3A07746F" w14:textId="77777777" w:rsidR="00415448" w:rsidRDefault="00AB261D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CVR-nr. 61 12 62 28 - København</w:t>
    </w:r>
  </w:p>
  <w:p w14:paraId="4B0A9DD7" w14:textId="77777777" w:rsidR="00415448" w:rsidRDefault="00AB261D">
    <w:r>
      <w:rPr>
        <w:rFonts w:ascii="Arial" w:eastAsia="Arial" w:hAnsi="Arial" w:cs="Arial"/>
        <w:color w:val="000000"/>
        <w:sz w:val="17"/>
        <w:szCs w:val="17"/>
      </w:rPr>
      <w:t xml:space="preserve"> </w:t>
    </w:r>
  </w:p>
  <w:p w14:paraId="715620F0" w14:textId="77777777" w:rsidR="00415448" w:rsidRDefault="00AB261D">
    <w:r>
      <w:rPr>
        <w:rFonts w:ascii="Arial" w:eastAsia="Arial" w:hAnsi="Arial" w:cs="Arial"/>
        <w:color w:val="000000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7649" w14:textId="77777777" w:rsidR="00415448" w:rsidRDefault="00AB261D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Danske Bank A/S</w:t>
    </w:r>
  </w:p>
  <w:p w14:paraId="673DA24A" w14:textId="77777777" w:rsidR="00415448" w:rsidRDefault="00AB261D">
    <w:pPr>
      <w:jc w:val="right"/>
    </w:pPr>
    <w:r>
      <w:rPr>
        <w:rFonts w:ascii="Arial" w:eastAsia="Arial" w:hAnsi="Arial" w:cs="Arial"/>
        <w:color w:val="A9A9A9"/>
        <w:sz w:val="17"/>
        <w:szCs w:val="17"/>
      </w:rPr>
      <w:t>CVR-nr. 61 12 62 28 - København</w:t>
    </w:r>
  </w:p>
  <w:p w14:paraId="4287CD92" w14:textId="77777777" w:rsidR="00415448" w:rsidRDefault="00AB261D">
    <w:r>
      <w:rPr>
        <w:rFonts w:ascii="Arial" w:eastAsia="Arial" w:hAnsi="Arial" w:cs="Arial"/>
        <w:color w:val="000000"/>
        <w:sz w:val="17"/>
        <w:szCs w:val="17"/>
      </w:rPr>
      <w:t xml:space="preserve"> </w:t>
    </w:r>
  </w:p>
  <w:p w14:paraId="6EE627F6" w14:textId="77777777" w:rsidR="00415448" w:rsidRDefault="00AB261D">
    <w:r>
      <w:rPr>
        <w:rFonts w:ascii="Arial" w:eastAsia="Arial" w:hAnsi="Arial" w:cs="Arial"/>
        <w:color w:val="000000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440C" w14:textId="77777777" w:rsidR="00AB261D" w:rsidRDefault="00AB261D">
      <w:r>
        <w:separator/>
      </w:r>
    </w:p>
  </w:footnote>
  <w:footnote w:type="continuationSeparator" w:id="0">
    <w:p w14:paraId="2F866452" w14:textId="77777777" w:rsidR="00AB261D" w:rsidRDefault="00AB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8"/>
    <w:rsid w:val="00415448"/>
    <w:rsid w:val="00AB261D"/>
    <w:rsid w:val="00F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24D6C3"/>
  <w15:docId w15:val="{2FBD0115-DF1A-4E14-849A-165A8FFF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"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609</Characters>
  <Application>Microsoft Office Word</Application>
  <DocSecurity>4</DocSecurity>
  <Lines>5</Lines>
  <Paragraphs>3</Paragraphs>
  <ScaleCrop>false</ScaleCrop>
  <Company>Alteryx,Inc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ibd_alteryx_dev</dc:creator>
  <dc:description>SRC Composer Report</dc:description>
  <cp:lastModifiedBy>Zydrune Barzdenyte</cp:lastModifiedBy>
  <cp:revision>2</cp:revision>
  <dcterms:created xsi:type="dcterms:W3CDTF">2025-10-19T11:26:00Z</dcterms:created>
  <dcterms:modified xsi:type="dcterms:W3CDTF">2025-10-19T11:26:00Z</dcterms:modified>
</cp:coreProperties>
</file>