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5EF3D" w14:textId="77777777" w:rsidR="00AD30C6" w:rsidRDefault="005B0FBD">
      <w:pPr>
        <w:pStyle w:val="Heading1"/>
        <w:spacing w:before="0" w:before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Major shareholder announcement </w:t>
      </w:r>
    </w:p>
    <w:p w14:paraId="21A7B055" w14:textId="77777777" w:rsidR="00AD30C6" w:rsidRDefault="00AD30C6">
      <w:pPr>
        <w:pStyle w:val="Heading2"/>
        <w:spacing w:before="0" w:beforeAutospacing="0" w:line="315" w:lineRule="atLeast"/>
        <w:rPr>
          <w:color w:val="000000"/>
          <w:sz w:val="24"/>
          <w:szCs w:val="24"/>
        </w:rPr>
      </w:pPr>
    </w:p>
    <w:p w14:paraId="3924770F" w14:textId="77777777" w:rsidR="00AD30C6" w:rsidRDefault="00AD30C6">
      <w:pPr>
        <w:rPr>
          <w:color w:val="000000"/>
        </w:rPr>
      </w:pPr>
    </w:p>
    <w:p w14:paraId="46F84D8B" w14:textId="77777777" w:rsidR="00AD30C6" w:rsidRDefault="005B0FBD">
      <w:pPr>
        <w:rPr>
          <w:color w:val="000000"/>
        </w:rPr>
      </w:pPr>
      <w:r>
        <w:rPr>
          <w:b/>
          <w:bCs/>
          <w:color w:val="000000"/>
        </w:rPr>
        <w:t>Company announcement</w:t>
      </w:r>
      <w:r>
        <w:br/>
      </w:r>
      <w:r>
        <w:rPr>
          <w:color w:val="000000"/>
        </w:rPr>
        <w:t>No. 39/2025</w:t>
      </w:r>
    </w:p>
    <w:p w14:paraId="3EC3B832" w14:textId="77777777" w:rsidR="00AD30C6" w:rsidRDefault="005B0FBD">
      <w:pPr>
        <w:rPr>
          <w:color w:val="000000"/>
        </w:rPr>
      </w:pPr>
      <w:r>
        <w:rPr>
          <w:color w:val="000000"/>
        </w:rPr>
        <w:t>1 December 2025</w:t>
      </w:r>
    </w:p>
    <w:p w14:paraId="757E22D0" w14:textId="77777777" w:rsidR="00AD30C6" w:rsidRDefault="005B0FBD">
      <w:pPr>
        <w:rPr>
          <w:color w:val="000000"/>
        </w:rPr>
      </w:pPr>
      <w:r>
        <w:rPr>
          <w:b/>
          <w:bCs/>
          <w:color w:val="000000"/>
        </w:rPr>
        <w:t xml:space="preserve">Major shareholder announcement </w:t>
      </w:r>
    </w:p>
    <w:p w14:paraId="030A7ECD" w14:textId="77777777" w:rsidR="00AD30C6" w:rsidRDefault="005B0FBD">
      <w:pPr>
        <w:rPr>
          <w:color w:val="000000"/>
        </w:rPr>
      </w:pPr>
      <w:r>
        <w:rPr>
          <w:color w:val="000000"/>
        </w:rPr>
        <w:t>Netcompany Group A/S ("Netcompany") hereby announces the following notification received pursuant to section 38 of the Danish Capital Markets Act from Danske Bank A/S, regarding their direct and indirect holdings and voting rights in Netcompany.</w:t>
      </w:r>
    </w:p>
    <w:p w14:paraId="44AF2E0D" w14:textId="77777777" w:rsidR="00AD30C6" w:rsidRDefault="005B0FBD">
      <w:pPr>
        <w:rPr>
          <w:color w:val="000000"/>
        </w:rPr>
      </w:pPr>
      <w:r>
        <w:rPr>
          <w:color w:val="000000"/>
        </w:rPr>
        <w:t>On 27 November 2025, Danske Bank A/S informed Netcompany, that Danske Bank A/S on 26 November 2025 directly and indirectly via Danica Pension Livsforsikringsaktieselskab, Investeringsforeningen DI, Investeringsforening DI Select, Danske Bank A/S, and Sicav Capital LUX controlled 2,372,435 voting rights corresponding to 4.99% of the total voting rights in the Company. Their direct and indirect voting rights at the previous announcement was 5.14%.</w:t>
      </w:r>
    </w:p>
    <w:p w14:paraId="0F868FAE" w14:textId="77777777" w:rsidR="00AD30C6" w:rsidRDefault="005B0FBD">
      <w:pPr>
        <w:rPr>
          <w:color w:val="000000"/>
        </w:rPr>
      </w:pPr>
      <w:r>
        <w:rPr>
          <w:color w:val="000000"/>
        </w:rPr>
        <w:t>This announcement is in accordance with section 30 of the Danish Capital Markets Act.</w:t>
      </w:r>
    </w:p>
    <w:p w14:paraId="3842C05B" w14:textId="77777777" w:rsidR="00AD30C6" w:rsidRDefault="005B0FBD">
      <w:pPr>
        <w:rPr>
          <w:color w:val="000000"/>
        </w:rPr>
      </w:pPr>
      <w:r>
        <w:rPr>
          <w:color w:val="000000"/>
        </w:rPr>
        <w:t>For further information, please see the attached notification form.</w:t>
      </w:r>
    </w:p>
    <w:p w14:paraId="73DA3B19" w14:textId="77777777" w:rsidR="00AD30C6" w:rsidRDefault="005B0FBD">
      <w:pPr>
        <w:rPr>
          <w:color w:val="000000"/>
        </w:rPr>
      </w:pPr>
      <w:r>
        <w:rPr>
          <w:b/>
          <w:bCs/>
          <w:color w:val="000000"/>
        </w:rPr>
        <w:t>Additional information</w:t>
      </w:r>
      <w:r>
        <w:br/>
      </w:r>
      <w:r>
        <w:rPr>
          <w:color w:val="000000"/>
        </w:rPr>
        <w:t>For additional information, please contact:</w:t>
      </w:r>
    </w:p>
    <w:p w14:paraId="161A1855" w14:textId="77777777" w:rsidR="00AD30C6" w:rsidRDefault="005B0FBD">
      <w:pPr>
        <w:rPr>
          <w:color w:val="000000"/>
        </w:rPr>
      </w:pPr>
      <w:r>
        <w:rPr>
          <w:b/>
          <w:bCs/>
          <w:color w:val="000000"/>
        </w:rPr>
        <w:t>Netcompany Group A/S</w:t>
      </w:r>
      <w:r>
        <w:br/>
      </w:r>
      <w:r>
        <w:rPr>
          <w:color w:val="000000"/>
        </w:rPr>
        <w:t>Thomas Johansen, CFO, + 45 51 19 32 24</w:t>
      </w:r>
      <w:r>
        <w:br/>
      </w:r>
      <w:r>
        <w:rPr>
          <w:color w:val="000000"/>
        </w:rPr>
        <w:t>Frederikke Linde, Head of IR, +45 60 62 60 87</w:t>
      </w:r>
    </w:p>
    <w:p w14:paraId="02243E3D" w14:textId="77777777" w:rsidR="00AD30C6" w:rsidRDefault="005B0FBD">
      <w:pPr>
        <w:rPr>
          <w:color w:val="000000"/>
        </w:rPr>
      </w:pPr>
      <w:r>
        <w:rPr>
          <w:b/>
          <w:bCs/>
          <w:color w:val="000000"/>
        </w:rPr>
        <w:t>Attachments</w:t>
      </w:r>
    </w:p>
    <w:p w14:paraId="437456F8" w14:textId="77777777" w:rsidR="00AD30C6" w:rsidRDefault="005B0FBD">
      <w:pPr>
        <w:numPr>
          <w:ilvl w:val="0"/>
          <w:numId w:val="1"/>
        </w:numPr>
        <w:ind w:left="780" w:right="180"/>
        <w:contextualSpacing/>
        <w:rPr>
          <w:color w:val="000000"/>
        </w:rPr>
      </w:pPr>
      <w:hyperlink r:id="rId5">
        <w:r>
          <w:rPr>
            <w:rStyle w:val="Hyperlink"/>
          </w:rPr>
          <w:t>39. Netcompany - Major shareholder announcement - DB</w:t>
        </w:r>
      </w:hyperlink>
    </w:p>
    <w:p w14:paraId="61393366" w14:textId="77777777" w:rsidR="00AD30C6" w:rsidRDefault="005B0FBD">
      <w:pPr>
        <w:numPr>
          <w:ilvl w:val="0"/>
          <w:numId w:val="1"/>
        </w:numPr>
        <w:ind w:left="780" w:right="180"/>
        <w:rPr>
          <w:color w:val="000000"/>
        </w:rPr>
      </w:pPr>
      <w:hyperlink r:id="rId6">
        <w:r>
          <w:rPr>
            <w:rStyle w:val="Hyperlink"/>
          </w:rPr>
          <w:t>39. Notification from DB</w:t>
        </w:r>
      </w:hyperlink>
    </w:p>
    <w:p w14:paraId="6A75AF96" w14:textId="77777777" w:rsidR="00AD30C6" w:rsidRDefault="00AD30C6">
      <w:pPr>
        <w:rPr>
          <w:rFonts w:ascii="Courier New" w:hAnsi="Courier New" w:cs="Courier New"/>
          <w:color w:val="000000"/>
        </w:rPr>
      </w:pPr>
    </w:p>
    <w:p w14:paraId="3FDDFE09" w14:textId="77777777" w:rsidR="00AD30C6" w:rsidRDefault="00AD30C6">
      <w:pPr>
        <w:pBdr>
          <w:top w:val="single" w:sz="0" w:space="15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color w:val="000000"/>
        </w:rPr>
      </w:pPr>
    </w:p>
    <w:p w14:paraId="4267725D" w14:textId="77777777" w:rsidR="00AD30C6" w:rsidRDefault="00AD30C6">
      <w:pPr>
        <w:spacing w:before="0" w:beforeAutospacing="0"/>
        <w:rPr>
          <w:color w:val="000000"/>
        </w:rPr>
      </w:pPr>
    </w:p>
    <w:sectPr w:rsidR="00AD30C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57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560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A05CE"/>
    <w:rsid w:val="005B0FBD"/>
    <w:rsid w:val="00653AF6"/>
    <w:rsid w:val="008E40C3"/>
    <w:rsid w:val="00AD30C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CBB59"/>
  <w15:docId w15:val="{96A74E99-8053-481D-B53C-6A47D6A8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l-eu.globenewswire.com/Resource/Download/2fd7c50a-2c23-4705-b658-095c7d644a4b" TargetMode="External"/><Relationship Id="rId5" Type="http://schemas.openxmlformats.org/officeDocument/2006/relationships/hyperlink" Target="https://ml-eu.globenewswire.com/Resource/Download/9912d73b-e0bf-4dcb-8b6b-ee815d1aae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Ribkevice, Dominyka</cp:lastModifiedBy>
  <cp:revision>2</cp:revision>
  <dcterms:created xsi:type="dcterms:W3CDTF">2025-12-01T09:23:00Z</dcterms:created>
  <dcterms:modified xsi:type="dcterms:W3CDTF">2025-12-01T09:23:00Z</dcterms:modified>
</cp:coreProperties>
</file>