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DE34" w14:textId="77777777" w:rsidR="009D565E" w:rsidRDefault="00000000">
      <w:pPr>
        <w:pStyle w:val="Heading1"/>
        <w:spacing w:before="0" w:before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BioMar preliminary financial outlook for 2026 and mid-term targets </w:t>
      </w:r>
    </w:p>
    <w:p w14:paraId="61D73B71" w14:textId="77777777" w:rsidR="009D565E" w:rsidRDefault="009D565E">
      <w:pPr>
        <w:pStyle w:val="Heading2"/>
        <w:spacing w:before="0" w:beforeAutospacing="0" w:line="315" w:lineRule="atLeast"/>
        <w:rPr>
          <w:color w:val="000000"/>
          <w:sz w:val="24"/>
          <w:szCs w:val="24"/>
        </w:rPr>
      </w:pPr>
    </w:p>
    <w:p w14:paraId="191053FE" w14:textId="77777777" w:rsidR="009D565E" w:rsidRDefault="009D565E">
      <w:pPr>
        <w:rPr>
          <w:color w:val="000000"/>
        </w:rPr>
      </w:pPr>
    </w:p>
    <w:p w14:paraId="2272E701" w14:textId="77777777" w:rsidR="009D565E" w:rsidRDefault="00000000">
      <w:pPr>
        <w:rPr>
          <w:color w:val="000000"/>
        </w:rPr>
      </w:pPr>
      <w:r>
        <w:rPr>
          <w:b/>
          <w:bCs/>
          <w:color w:val="000000"/>
        </w:rPr>
        <w:t xml:space="preserve">BioMar preliminary financial outlook for 2026 and mid-term targets </w:t>
      </w:r>
    </w:p>
    <w:p w14:paraId="2D14DFE4" w14:textId="77777777" w:rsidR="009D565E" w:rsidRDefault="00000000">
      <w:pPr>
        <w:rPr>
          <w:color w:val="000000"/>
        </w:rPr>
      </w:pPr>
      <w:r>
        <w:rPr>
          <w:color w:val="000000"/>
        </w:rPr>
        <w:t>On 12 November 2024, the Board of Directors of Schouw &amp; Co. announced the initiation of an evaluation regarding a potential separate listing of BioMar. The objective of this assessment is to determine whether such a listing would generate added value for Schouw &amp; Co. and its shareholders, while simultaneously ensuring that BioMar is well positioned to pursue opportunities for continued growth.</w:t>
      </w:r>
    </w:p>
    <w:p w14:paraId="14DDEF18" w14:textId="77777777" w:rsidR="009D565E" w:rsidRDefault="00000000">
      <w:pPr>
        <w:rPr>
          <w:color w:val="000000"/>
        </w:rPr>
      </w:pPr>
      <w:r>
        <w:rPr>
          <w:color w:val="000000"/>
        </w:rPr>
        <w:t>The evaluation is progressing as expected. Schouw &amp; Co. is assisted by a syndicate comprising four financial institutions: DNB Carnegie and Morgan Stanley as Lead Joint Global Coordinators, and Danske Bank and Nordea as Joint Global Coordinators. FIH Partners acts as independent IPO advisor to Schouw &amp; Co. and BioMar.</w:t>
      </w:r>
    </w:p>
    <w:p w14:paraId="212A2737" w14:textId="77777777" w:rsidR="009D565E" w:rsidRDefault="00000000">
      <w:pPr>
        <w:rPr>
          <w:color w:val="000000"/>
        </w:rPr>
      </w:pPr>
      <w:r>
        <w:rPr>
          <w:color w:val="000000"/>
        </w:rPr>
        <w:t>As part of the preparation towards a potential separate listing of BioMar on Nasdaq Copenhagen, which could take place in the first half of 2026, the Board of Directors of Schouw &amp; Co. has evaluated BioMar’s short-term and mid-term outlook and has decided to disclose selected preliminary information.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79"/>
        <w:gridCol w:w="3016"/>
        <w:gridCol w:w="5095"/>
      </w:tblGrid>
      <w:tr w:rsidR="009D565E" w14:paraId="1ABEE901" w14:textId="77777777" w:rsidTr="00E872DC">
        <w:tc>
          <w:tcPr>
            <w:tcW w:w="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F24FF" w14:textId="77777777" w:rsidR="009D565E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Metric</w:t>
            </w:r>
          </w:p>
        </w:tc>
        <w:tc>
          <w:tcPr>
            <w:tcW w:w="1606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B376F" w14:textId="77777777" w:rsidR="009D565E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Outlook 2026</w:t>
            </w:r>
          </w:p>
        </w:tc>
        <w:tc>
          <w:tcPr>
            <w:tcW w:w="2713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A6D46" w14:textId="77777777" w:rsidR="009D565E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Comments</w:t>
            </w:r>
          </w:p>
        </w:tc>
      </w:tr>
      <w:tr w:rsidR="009D565E" w14:paraId="69109F3C" w14:textId="77777777" w:rsidTr="00E872DC">
        <w:tc>
          <w:tcPr>
            <w:tcW w:w="681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D8549" w14:textId="77777777" w:rsidR="009D565E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Volume</w:t>
            </w:r>
          </w:p>
        </w:tc>
        <w:tc>
          <w:tcPr>
            <w:tcW w:w="1606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F04A8" w14:textId="77777777" w:rsidR="009D565E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1,600-1,670 thousand tonnes</w:t>
            </w:r>
          </w:p>
        </w:tc>
        <w:tc>
          <w:tcPr>
            <w:tcW w:w="2713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27148" w14:textId="77777777" w:rsidR="009D565E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Volumes expected to grow 2-7% in 2026 compared to 2025</w:t>
            </w:r>
          </w:p>
        </w:tc>
      </w:tr>
      <w:tr w:rsidR="009D565E" w14:paraId="02A4056F" w14:textId="77777777" w:rsidTr="00E872DC">
        <w:tc>
          <w:tcPr>
            <w:tcW w:w="681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9B6F6" w14:textId="77777777" w:rsidR="009D565E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Revenue</w:t>
            </w:r>
          </w:p>
        </w:tc>
        <w:tc>
          <w:tcPr>
            <w:tcW w:w="1606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CC001" w14:textId="77777777" w:rsidR="009D565E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DKK 16,000-17,000 million</w:t>
            </w:r>
          </w:p>
        </w:tc>
        <w:tc>
          <w:tcPr>
            <w:tcW w:w="2713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EA887" w14:textId="77777777" w:rsidR="009D565E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Based on foreign exchange rates and raw material prices at current levels</w:t>
            </w:r>
          </w:p>
        </w:tc>
      </w:tr>
      <w:tr w:rsidR="009D565E" w14:paraId="75F9F701" w14:textId="77777777" w:rsidTr="00E872DC">
        <w:tc>
          <w:tcPr>
            <w:tcW w:w="681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12440" w14:textId="77777777" w:rsidR="009D565E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EBIT</w:t>
            </w:r>
          </w:p>
        </w:tc>
        <w:tc>
          <w:tcPr>
            <w:tcW w:w="1606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89C8C" w14:textId="77777777" w:rsidR="009D565E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DKK 1,100-1,200 million</w:t>
            </w:r>
          </w:p>
        </w:tc>
        <w:tc>
          <w:tcPr>
            <w:tcW w:w="2713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A638C" w14:textId="77777777" w:rsidR="009D565E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Depreciation and amortisation in the level of DKK 400 million</w:t>
            </w:r>
          </w:p>
        </w:tc>
      </w:tr>
      <w:tr w:rsidR="009D565E" w14:paraId="72D19E34" w14:textId="77777777" w:rsidTr="00E872DC">
        <w:tc>
          <w:tcPr>
            <w:tcW w:w="681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5D907" w14:textId="77777777" w:rsidR="009D565E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Capex</w:t>
            </w:r>
          </w:p>
        </w:tc>
        <w:tc>
          <w:tcPr>
            <w:tcW w:w="1606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3982A" w14:textId="77777777" w:rsidR="009D565E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DKK 300-500 million</w:t>
            </w:r>
          </w:p>
        </w:tc>
        <w:tc>
          <w:tcPr>
            <w:tcW w:w="2713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16D0E" w14:textId="77777777" w:rsidR="009D565E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Above historical levels. Depends on timing of a potential expansion in Ecuador of c. DKK 250 million</w:t>
            </w:r>
          </w:p>
        </w:tc>
      </w:tr>
    </w:tbl>
    <w:p w14:paraId="6EAF3549" w14:textId="77777777" w:rsidR="009D565E" w:rsidRDefault="00000000">
      <w:pPr>
        <w:rPr>
          <w:color w:val="000000"/>
        </w:rPr>
      </w:pPr>
      <w:r>
        <w:br/>
      </w:r>
    </w:p>
    <w:p w14:paraId="529C3039" w14:textId="77777777" w:rsidR="009D565E" w:rsidRDefault="00000000">
      <w:pPr>
        <w:rPr>
          <w:color w:val="000000"/>
        </w:rPr>
      </w:pPr>
      <w:r>
        <w:rPr>
          <w:color w:val="000000"/>
        </w:rPr>
        <w:t>'Towards 2030, BioMar aims to achieve a volume growth of an average of 4-6% per annum while EBIT is targeted to grow at an average rate of 8-10% per annum. ROIC incl. goodwill is targeted to be above 20%.</w:t>
      </w:r>
    </w:p>
    <w:p w14:paraId="4CF2DA8A" w14:textId="77777777" w:rsidR="009D565E" w:rsidRDefault="00000000">
      <w:pPr>
        <w:rPr>
          <w:color w:val="000000"/>
        </w:rPr>
      </w:pPr>
      <w:r>
        <w:rPr>
          <w:color w:val="000000"/>
        </w:rPr>
        <w:t>As a potentially independently listed company, BioMar targets a capital structure in the range of 1.0-2.0 times net interest-bearing debt to EBITDA and a dividend policy aiming for a payout of at least 50% of annual net profit.</w:t>
      </w:r>
    </w:p>
    <w:p w14:paraId="1BB6C630" w14:textId="77777777" w:rsidR="009D565E" w:rsidRDefault="00000000">
      <w:pPr>
        <w:rPr>
          <w:color w:val="000000"/>
        </w:rPr>
      </w:pPr>
      <w:r>
        <w:rPr>
          <w:color w:val="000000"/>
        </w:rPr>
        <w:lastRenderedPageBreak/>
        <w:t>All the above-mentioned figures are preliminary and subject to change. Schouw &amp; Co. releases its annual report for 2025 on 5 March 2026, in which the outlook for Schouw &amp; Co. and the remaining portfolio companies will be disclosed.</w:t>
      </w:r>
    </w:p>
    <w:p w14:paraId="4DDDE20C" w14:textId="77777777" w:rsidR="009D565E" w:rsidRPr="00E872DC" w:rsidRDefault="00000000">
      <w:pPr>
        <w:rPr>
          <w:color w:val="000000"/>
          <w:lang w:val="de-DE"/>
        </w:rPr>
      </w:pPr>
      <w:r w:rsidRPr="00E872DC">
        <w:rPr>
          <w:b/>
          <w:bCs/>
          <w:color w:val="000000"/>
          <w:lang w:val="de-DE"/>
        </w:rPr>
        <w:t>Aktieselskabet Schouw &amp; Co.</w:t>
      </w:r>
    </w:p>
    <w:p w14:paraId="5435D28E" w14:textId="77777777" w:rsidR="009D565E" w:rsidRDefault="00000000">
      <w:pPr>
        <w:rPr>
          <w:color w:val="000000"/>
        </w:rPr>
      </w:pPr>
      <w:r w:rsidRPr="00E872DC">
        <w:rPr>
          <w:color w:val="000000"/>
          <w:lang w:val="de-DE"/>
        </w:rPr>
        <w:t>Jørgen Dencker Wisborg, Chairman</w:t>
      </w:r>
      <w:r w:rsidRPr="00E872DC">
        <w:rPr>
          <w:lang w:val="de-DE"/>
        </w:rPr>
        <w:br/>
      </w:r>
      <w:r w:rsidRPr="00E872DC">
        <w:rPr>
          <w:color w:val="000000"/>
          <w:lang w:val="de-DE"/>
        </w:rPr>
        <w:t xml:space="preserve">Jens Bjerg Sørensen, President, tel. </w:t>
      </w:r>
      <w:r>
        <w:rPr>
          <w:color w:val="000000"/>
        </w:rPr>
        <w:t>+45 8611 22 22</w:t>
      </w:r>
      <w:r>
        <w:br/>
      </w:r>
      <w:r>
        <w:br/>
      </w:r>
    </w:p>
    <w:p w14:paraId="2FDB7684" w14:textId="77777777" w:rsidR="009D565E" w:rsidRDefault="00000000">
      <w:pPr>
        <w:rPr>
          <w:color w:val="000000"/>
        </w:rPr>
      </w:pPr>
      <w:r>
        <w:rPr>
          <w:b/>
          <w:bCs/>
          <w:color w:val="000000"/>
        </w:rPr>
        <w:t>Attachment</w:t>
      </w:r>
    </w:p>
    <w:p w14:paraId="115E7322" w14:textId="77777777" w:rsidR="009D565E" w:rsidRDefault="00000000">
      <w:pPr>
        <w:numPr>
          <w:ilvl w:val="0"/>
          <w:numId w:val="1"/>
        </w:numPr>
        <w:ind w:left="780" w:right="180"/>
        <w:rPr>
          <w:color w:val="000000"/>
        </w:rPr>
      </w:pPr>
      <w:hyperlink r:id="rId5">
        <w:r>
          <w:rPr>
            <w:rStyle w:val="Hyperlink"/>
          </w:rPr>
          <w:t>2025-12-01 FBM25-55 BioMar guidance ENG</w:t>
        </w:r>
      </w:hyperlink>
    </w:p>
    <w:p w14:paraId="6F739645" w14:textId="77777777" w:rsidR="009D565E" w:rsidRDefault="009D565E">
      <w:pPr>
        <w:rPr>
          <w:rFonts w:ascii="Courier New" w:hAnsi="Courier New" w:cs="Courier New"/>
          <w:color w:val="000000"/>
        </w:rPr>
      </w:pPr>
    </w:p>
    <w:p w14:paraId="4058DABD" w14:textId="77777777" w:rsidR="009D565E" w:rsidRDefault="009D565E">
      <w:pPr>
        <w:pBdr>
          <w:top w:val="single" w:sz="0" w:space="15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color w:val="000000"/>
        </w:rPr>
      </w:pPr>
    </w:p>
    <w:p w14:paraId="2BCC604D" w14:textId="77777777" w:rsidR="009D565E" w:rsidRDefault="009D565E">
      <w:pPr>
        <w:spacing w:before="0" w:beforeAutospacing="0"/>
        <w:rPr>
          <w:color w:val="000000"/>
        </w:rPr>
      </w:pPr>
    </w:p>
    <w:sectPr w:rsidR="009D565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40E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428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A55F1"/>
    <w:rsid w:val="002D33B1"/>
    <w:rsid w:val="002D3591"/>
    <w:rsid w:val="003514A0"/>
    <w:rsid w:val="004F7E17"/>
    <w:rsid w:val="005A05CE"/>
    <w:rsid w:val="00653AF6"/>
    <w:rsid w:val="009D565E"/>
    <w:rsid w:val="00B73A5A"/>
    <w:rsid w:val="00E438A1"/>
    <w:rsid w:val="00E872DC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7260E"/>
  <w15:docId w15:val="{C64D504A-B779-487B-A24A-6D915F4E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l-eu.globenewswire.com/Resource/Download/1734674b-30c8-46f9-a745-cb50a13d05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Videika, Ovidijus</cp:lastModifiedBy>
  <cp:revision>10</cp:revision>
  <dcterms:created xsi:type="dcterms:W3CDTF">2011-11-02T04:15:00Z</dcterms:created>
  <dcterms:modified xsi:type="dcterms:W3CDTF">2025-12-01T09:44:00Z</dcterms:modified>
</cp:coreProperties>
</file>