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D8" w:rsidRPr="000225D8" w:rsidRDefault="000225D8" w:rsidP="000225D8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1906270" cy="396875"/>
            <wp:effectExtent l="0" t="0" r="0" b="3175"/>
            <wp:docPr id="1" name="Picture 1" descr="https://cns.omxgroup.com/cds/logo;jsessionid=ML05sy5cuxrRnapRz-8uU5hiLyo6Uo5pQfJ9bHbi?dpId=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ns.omxgroup.com/cds/logo;jsessionid=ML05sy5cuxrRnapRz-8uU5hiLyo6Uo5pQfJ9bHbi?dpId=8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D8" w:rsidRPr="000225D8" w:rsidRDefault="000225D8" w:rsidP="000225D8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  <w:lang w:val="de-DE"/>
        </w:rPr>
      </w:pPr>
      <w:r w:rsidRPr="000225D8">
        <w:rPr>
          <w:rFonts w:ascii="Arial" w:eastAsia="Times New Roman" w:hAnsi="Arial" w:cs="Arial"/>
          <w:b/>
          <w:bCs/>
          <w:sz w:val="15"/>
          <w:szCs w:val="15"/>
          <w:lang w:val="de-DE"/>
        </w:rPr>
        <w:t>RTX</w:t>
      </w:r>
      <w:r w:rsidRPr="000225D8">
        <w:rPr>
          <w:rFonts w:ascii="Arial" w:eastAsia="Times New Roman" w:hAnsi="Arial" w:cs="Arial"/>
          <w:b/>
          <w:bCs/>
          <w:sz w:val="15"/>
          <w:szCs w:val="15"/>
          <w:lang w:val="de-DE"/>
        </w:rPr>
        <w:br/>
        <w:t>Andre oplysningsforpligtelser offentliggjort efter børsens regler</w:t>
      </w:r>
    </w:p>
    <w:p w:rsidR="000225D8" w:rsidRPr="000225D8" w:rsidRDefault="000225D8" w:rsidP="000225D8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de-DE"/>
        </w:rPr>
      </w:pPr>
      <w:bookmarkStart w:id="0" w:name="_GoBack"/>
      <w:r w:rsidRPr="000225D8">
        <w:rPr>
          <w:rFonts w:ascii="Arial" w:eastAsia="Times New Roman" w:hAnsi="Arial" w:cs="Arial"/>
          <w:b/>
          <w:bCs/>
          <w:sz w:val="28"/>
          <w:szCs w:val="28"/>
          <w:lang w:val="de-DE"/>
        </w:rPr>
        <w:t>Aktietilbagekøb</w:t>
      </w:r>
    </w:p>
    <w:bookmarkEnd w:id="0"/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sz w:val="18"/>
          <w:szCs w:val="18"/>
          <w:lang w:val="de-DE"/>
        </w:rPr>
        <w:t xml:space="preserve">Aktietilbagekøbet løber i perioden fra og med den 30. november 2016 til og med den 19. januar 2017. I denne periode vil RTX A/S købe op til maksimal værdi af DKK 5,0 mio. i et aktietilbagekøbsprogram efter bestemmelserne i EUs forordning nr. 596/2014 af 16. april 2014 om markedsmisbrug, den såkaldte ”markedsmisbrugsforordningen”, som værner børsnoterede selskabers bestyrelse og direktion imod overtrædelse af insiderlovgivningen i forbindelse med aktietilbagekøb. 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lang w:val="de-DE"/>
        </w:rPr>
        <w:t> 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225D8">
        <w:rPr>
          <w:rFonts w:ascii="Arial" w:eastAsia="Times New Roman" w:hAnsi="Arial" w:cs="Arial"/>
          <w:sz w:val="18"/>
          <w:szCs w:val="18"/>
        </w:rPr>
        <w:t>Følgende</w:t>
      </w:r>
      <w:proofErr w:type="spellEnd"/>
      <w:r w:rsidRPr="000225D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0225D8">
        <w:rPr>
          <w:rFonts w:ascii="Arial" w:eastAsia="Times New Roman" w:hAnsi="Arial" w:cs="Arial"/>
          <w:sz w:val="18"/>
          <w:szCs w:val="18"/>
        </w:rPr>
        <w:t>transaktioner</w:t>
      </w:r>
      <w:proofErr w:type="spellEnd"/>
      <w:r w:rsidRPr="000225D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0225D8">
        <w:rPr>
          <w:rFonts w:ascii="Arial" w:eastAsia="Times New Roman" w:hAnsi="Arial" w:cs="Arial"/>
          <w:sz w:val="18"/>
          <w:szCs w:val="18"/>
        </w:rPr>
        <w:t>er</w:t>
      </w:r>
      <w:proofErr w:type="spellEnd"/>
      <w:r w:rsidRPr="000225D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0225D8">
        <w:rPr>
          <w:rFonts w:ascii="Arial" w:eastAsia="Times New Roman" w:hAnsi="Arial" w:cs="Arial"/>
          <w:sz w:val="18"/>
          <w:szCs w:val="18"/>
        </w:rPr>
        <w:t>foretaget</w:t>
      </w:r>
      <w:proofErr w:type="spellEnd"/>
      <w:r w:rsidRPr="000225D8">
        <w:rPr>
          <w:rFonts w:ascii="Arial" w:eastAsia="Times New Roman" w:hAnsi="Arial" w:cs="Arial"/>
          <w:sz w:val="18"/>
          <w:szCs w:val="18"/>
        </w:rPr>
        <w:t xml:space="preserve"> under </w:t>
      </w:r>
      <w:proofErr w:type="spellStart"/>
      <w:r w:rsidRPr="000225D8">
        <w:rPr>
          <w:rFonts w:ascii="Arial" w:eastAsia="Times New Roman" w:hAnsi="Arial" w:cs="Arial"/>
          <w:sz w:val="18"/>
          <w:szCs w:val="18"/>
        </w:rPr>
        <w:t>dette</w:t>
      </w:r>
      <w:proofErr w:type="spellEnd"/>
      <w:r w:rsidRPr="000225D8">
        <w:rPr>
          <w:rFonts w:ascii="Arial" w:eastAsia="Times New Roman" w:hAnsi="Arial" w:cs="Arial"/>
          <w:sz w:val="18"/>
          <w:szCs w:val="18"/>
        </w:rPr>
        <w:t xml:space="preserve"> program: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25D8">
        <w:rPr>
          <w:rFonts w:ascii="Arial" w:eastAsia="Times New Roman" w:hAnsi="Arial" w:cs="Arial"/>
        </w:rPr>
        <w:t> 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26"/>
        <w:gridCol w:w="1695"/>
        <w:gridCol w:w="1845"/>
        <w:gridCol w:w="2130"/>
      </w:tblGrid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Antal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aktier</w:t>
            </w:r>
            <w:proofErr w:type="spellEnd"/>
          </w:p>
        </w:tc>
        <w:tc>
          <w:tcPr>
            <w:tcW w:w="1845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Gennemsnitslig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købspris</w:t>
            </w:r>
            <w:proofErr w:type="spellEnd"/>
          </w:p>
        </w:tc>
        <w:tc>
          <w:tcPr>
            <w:tcW w:w="213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Værdi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af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programmet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DKK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I alt,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seneste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meddelelse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33.886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135,60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4.595.009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13.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januar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145,15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87.093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16.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januar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144,00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86.400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17.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januar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144,00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86.400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18.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januar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143,00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85.800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19. </w:t>
            </w:r>
            <w:proofErr w:type="spellStart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>januar</w:t>
            </w:r>
            <w:proofErr w:type="spellEnd"/>
            <w:r w:rsidRPr="000225D8">
              <w:rPr>
                <w:rFonts w:ascii="Arial" w:eastAsia="Times New Roman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143,00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sz w:val="18"/>
                <w:szCs w:val="18"/>
              </w:rPr>
              <w:t>59.202</w:t>
            </w:r>
          </w:p>
        </w:tc>
      </w:tr>
      <w:tr w:rsidR="000225D8" w:rsidRPr="000225D8" w:rsidTr="000225D8">
        <w:trPr>
          <w:tblCellSpacing w:w="0" w:type="dxa"/>
        </w:trPr>
        <w:tc>
          <w:tcPr>
            <w:tcW w:w="3990" w:type="dxa"/>
            <w:tcBorders>
              <w:bottom w:val="single" w:sz="8" w:space="0" w:color="000000"/>
            </w:tcBorders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Total under </w:t>
            </w:r>
            <w:proofErr w:type="spellStart"/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aktietilbagekøbsprogrammet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36.700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136,24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0225D8" w:rsidRPr="000225D8" w:rsidRDefault="000225D8" w:rsidP="000225D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225D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4.999.904</w:t>
            </w:r>
          </w:p>
        </w:tc>
      </w:tr>
    </w:tbl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25D8">
        <w:rPr>
          <w:rFonts w:ascii="Arial" w:eastAsia="Times New Roman" w:hAnsi="Arial" w:cs="Arial"/>
        </w:rPr>
        <w:t>   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sz w:val="18"/>
          <w:szCs w:val="18"/>
          <w:lang w:val="de-DE"/>
        </w:rPr>
        <w:t>Det offentliggjorte aktietilbagekøbsprogram er hermed afsluttet.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lang w:val="de-DE"/>
        </w:rPr>
        <w:t> 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sz w:val="18"/>
          <w:szCs w:val="18"/>
          <w:lang w:val="de-DE"/>
        </w:rPr>
        <w:t>Efter ovennævnte transaktioner ejer RTX 653.499 egne aktier, svarende til 6,93% af selskabets aktiekapital. Det samlede antal aktier i virksomheden er i alt 9.432.838 aktier, inklusive egne aktier.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lang w:val="de-DE"/>
        </w:rPr>
        <w:t> 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sz w:val="18"/>
          <w:szCs w:val="18"/>
          <w:lang w:val="de-DE"/>
        </w:rPr>
        <w:t xml:space="preserve">I overensstemmelse med EUs forordning nr. 596/2014 præsenteres transaktionerne relateret til aktietilbage-købsprogrammet i detaljeret form i regnearket vedhæftet denne selskabsmeddelelse. 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lang w:val="de-DE"/>
        </w:rPr>
        <w:t> 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0225D8">
        <w:rPr>
          <w:rFonts w:ascii="Arial" w:eastAsia="Times New Roman" w:hAnsi="Arial" w:cs="Arial"/>
          <w:b/>
          <w:bCs/>
          <w:sz w:val="18"/>
          <w:szCs w:val="18"/>
          <w:lang w:val="de-DE"/>
        </w:rPr>
        <w:t>For spørgsmål og yderligere information kontakt:</w:t>
      </w:r>
    </w:p>
    <w:p w:rsidR="000225D8" w:rsidRPr="000225D8" w:rsidRDefault="000225D8" w:rsidP="000225D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25D8">
        <w:rPr>
          <w:rFonts w:ascii="Times New Roman" w:eastAsia="Times New Roman" w:hAnsi="Times New Roman" w:cs="Times New Roman"/>
        </w:rPr>
        <w:t xml:space="preserve">CFO Jacob </w:t>
      </w:r>
      <w:proofErr w:type="spellStart"/>
      <w:r w:rsidRPr="000225D8">
        <w:rPr>
          <w:rFonts w:ascii="Times New Roman" w:eastAsia="Times New Roman" w:hAnsi="Times New Roman" w:cs="Times New Roman"/>
        </w:rPr>
        <w:t>Vittrup</w:t>
      </w:r>
      <w:proofErr w:type="spellEnd"/>
      <w:r w:rsidRPr="000225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225D8">
        <w:rPr>
          <w:rFonts w:ascii="Times New Roman" w:eastAsia="Times New Roman" w:hAnsi="Times New Roman" w:cs="Times New Roman"/>
        </w:rPr>
        <w:t>tlf</w:t>
      </w:r>
      <w:proofErr w:type="spellEnd"/>
      <w:r w:rsidRPr="000225D8">
        <w:rPr>
          <w:rFonts w:ascii="Times New Roman" w:eastAsia="Times New Roman" w:hAnsi="Times New Roman" w:cs="Times New Roman"/>
        </w:rPr>
        <w:t>. +45 9632 2300</w:t>
      </w:r>
    </w:p>
    <w:p w:rsidR="000225D8" w:rsidRPr="000225D8" w:rsidRDefault="000225D8" w:rsidP="000225D8">
      <w:pPr>
        <w:spacing w:after="0" w:line="240" w:lineRule="auto"/>
        <w:rPr>
          <w:rFonts w:ascii="Arial" w:eastAsia="Times New Roman" w:hAnsi="Arial" w:cs="Arial"/>
        </w:rPr>
      </w:pPr>
      <w:r w:rsidRPr="000225D8">
        <w:rPr>
          <w:rFonts w:ascii="Arial" w:eastAsia="Times New Roman" w:hAnsi="Arial" w:cs="Arial"/>
        </w:rPr>
        <w:lastRenderedPageBreak/>
        <w:t xml:space="preserve">Attachments: </w:t>
      </w:r>
    </w:p>
    <w:p w:rsidR="003F05AC" w:rsidRDefault="000225D8" w:rsidP="000225D8">
      <w:pPr>
        <w:spacing w:before="100" w:beforeAutospacing="1" w:after="100" w:afterAutospacing="1" w:line="240" w:lineRule="auto"/>
      </w:pPr>
      <w:hyperlink r:id="rId6" w:history="1">
        <w:r w:rsidRPr="000225D8">
          <w:rPr>
            <w:rFonts w:ascii="Arial" w:eastAsia="Times New Roman" w:hAnsi="Arial" w:cs="Arial"/>
            <w:color w:val="0000FF"/>
            <w:u w:val="single"/>
          </w:rPr>
          <w:t xml:space="preserve">RTX SM </w:t>
        </w:r>
        <w:proofErr w:type="spellStart"/>
        <w:r w:rsidRPr="000225D8">
          <w:rPr>
            <w:rFonts w:ascii="Arial" w:eastAsia="Times New Roman" w:hAnsi="Arial" w:cs="Arial"/>
            <w:color w:val="0000FF"/>
            <w:u w:val="single"/>
          </w:rPr>
          <w:t>Nr</w:t>
        </w:r>
        <w:proofErr w:type="spellEnd"/>
        <w:r w:rsidRPr="000225D8">
          <w:rPr>
            <w:rFonts w:ascii="Arial" w:eastAsia="Times New Roman" w:hAnsi="Arial" w:cs="Arial"/>
            <w:color w:val="0000FF"/>
            <w:u w:val="single"/>
          </w:rPr>
          <w:t xml:space="preserve"> 04-2017 - 20.01.17 - Aktietilbagekoebsprogram.pdf</w:t>
        </w:r>
      </w:hyperlink>
    </w:p>
    <w:sectPr w:rsidR="003F05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D8"/>
    <w:rsid w:val="000225D8"/>
    <w:rsid w:val="00247E3C"/>
    <w:rsid w:val="005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2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0225D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25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0225D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2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5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2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2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0225D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25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0225D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2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5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2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ML05sy5cuxrRnapRz-8uU5hiLyo6Uo5pQfJ9bHbi.cns.0602?messageAttachmentId=6116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1</cp:revision>
  <dcterms:created xsi:type="dcterms:W3CDTF">2017-01-20T12:36:00Z</dcterms:created>
  <dcterms:modified xsi:type="dcterms:W3CDTF">2017-01-20T12:36:00Z</dcterms:modified>
</cp:coreProperties>
</file>