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5FF2" w14:textId="77777777" w:rsidR="00DD7B85" w:rsidRDefault="00FA74DF">
      <w:pPr>
        <w:pStyle w:val="Heading1"/>
        <w:spacing w:before="0" w:beforeAutospacing="0"/>
        <w:rPr>
          <w:color w:val="000000"/>
          <w:sz w:val="36"/>
          <w:szCs w:val="36"/>
        </w:rPr>
      </w:pPr>
      <w:r>
        <w:rPr>
          <w:color w:val="000000"/>
          <w:sz w:val="36"/>
          <w:szCs w:val="36"/>
        </w:rPr>
        <w:t>Corrective information regarding the Annual Report 2024 and the Interim Report for H1 2025 following an order from the Danish Business Authority</w:t>
      </w:r>
    </w:p>
    <w:p w14:paraId="1A49BDC1" w14:textId="77777777" w:rsidR="00DD7B85" w:rsidRDefault="00DD7B85">
      <w:pPr>
        <w:rPr>
          <w:color w:val="000000"/>
        </w:rPr>
      </w:pPr>
    </w:p>
    <w:p w14:paraId="1A014BE3" w14:textId="77777777" w:rsidR="00DD7B85" w:rsidRDefault="00FA74DF">
      <w:pPr>
        <w:rPr>
          <w:color w:val="000000"/>
        </w:rPr>
      </w:pPr>
      <w:r>
        <w:rPr>
          <w:b/>
          <w:bCs/>
          <w:color w:val="000000"/>
        </w:rPr>
        <w:t>Corrective information regarding the Annual Report 2024 and the Interim Report for H1 2025 following an order from the Danish Business Authority</w:t>
      </w:r>
    </w:p>
    <w:p w14:paraId="3EC914D6" w14:textId="77777777" w:rsidR="00DD7B85" w:rsidRDefault="00FA74DF">
      <w:pPr>
        <w:rPr>
          <w:color w:val="000000"/>
        </w:rPr>
      </w:pPr>
      <w:r>
        <w:rPr>
          <w:color w:val="000000"/>
        </w:rPr>
        <w:t>Copenhagen, 26 November 2025</w:t>
      </w:r>
    </w:p>
    <w:p w14:paraId="4331399F" w14:textId="77777777" w:rsidR="00DD7B85" w:rsidRDefault="00FA74DF">
      <w:pPr>
        <w:rPr>
          <w:color w:val="000000"/>
        </w:rPr>
      </w:pPr>
      <w:r>
        <w:rPr>
          <w:color w:val="000000"/>
        </w:rPr>
        <w:t>Company Announcement no. 12</w:t>
      </w:r>
    </w:p>
    <w:p w14:paraId="527C6778" w14:textId="77777777" w:rsidR="00DD7B85" w:rsidRDefault="00FA74DF">
      <w:pPr>
        <w:rPr>
          <w:color w:val="000000"/>
        </w:rPr>
      </w:pPr>
      <w:r>
        <w:rPr>
          <w:color w:val="000000"/>
        </w:rPr>
        <w:t>Pharma Equity Group A/S ("the Company") hereby publishes the consequences of a correction to the Company's Annual Report for 2024 and Interim Report for the first half of 2025.</w:t>
      </w:r>
    </w:p>
    <w:p w14:paraId="099A5737" w14:textId="77777777" w:rsidR="00DD7B85" w:rsidRDefault="00FA74DF">
      <w:pPr>
        <w:rPr>
          <w:color w:val="000000"/>
        </w:rPr>
      </w:pPr>
      <w:r>
        <w:rPr>
          <w:color w:val="000000"/>
        </w:rPr>
        <w:t>This company announcement is issued following an order from the Danish Business Authority dated 20 November 2025 in case no. 2024-5542. The Authority has ordered the Company to apply an "Expected Credit Loss" (ECL) model in accordance with IFRS 9 for the measurement of the Company's receivable from Portinho S.A.</w:t>
      </w:r>
    </w:p>
    <w:p w14:paraId="01108CAF" w14:textId="77777777" w:rsidR="00DD7B85" w:rsidRDefault="00FA74DF">
      <w:pPr>
        <w:rPr>
          <w:color w:val="000000"/>
        </w:rPr>
      </w:pPr>
      <w:r>
        <w:rPr>
          <w:b/>
          <w:bCs/>
          <w:color w:val="000000"/>
        </w:rPr>
        <w:t>Publication of formal supplement</w:t>
      </w:r>
    </w:p>
    <w:p w14:paraId="72F1D5C9" w14:textId="77777777" w:rsidR="00DD7B85" w:rsidRDefault="00FA74DF">
      <w:pPr>
        <w:rPr>
          <w:color w:val="000000"/>
        </w:rPr>
      </w:pPr>
      <w:r>
        <w:rPr>
          <w:color w:val="000000"/>
        </w:rPr>
        <w:t>The Company's auditor, BDO Statsautoriseret Revisionsaktieselskab, has commenced the review of the corrective information for the purpose of issuing an auditor's report. The Company expects to publish the final, audited supplement to the annual report ("Supplementary Information"), including the independent auditor's report, within approximately 14 days.</w:t>
      </w:r>
    </w:p>
    <w:p w14:paraId="42A37369" w14:textId="77777777" w:rsidR="00DD7B85" w:rsidRDefault="00FA74DF">
      <w:pPr>
        <w:rPr>
          <w:color w:val="000000"/>
        </w:rPr>
      </w:pPr>
      <w:r>
        <w:rPr>
          <w:color w:val="000000"/>
        </w:rPr>
        <w:t>The tables below show the financial consequences that will appear in the final supplement.</w:t>
      </w:r>
    </w:p>
    <w:p w14:paraId="138F5E09" w14:textId="77777777" w:rsidR="00DD7B85" w:rsidRDefault="00FA74DF">
      <w:pPr>
        <w:rPr>
          <w:color w:val="000000"/>
        </w:rPr>
      </w:pPr>
      <w:r>
        <w:rPr>
          <w:b/>
          <w:bCs/>
          <w:color w:val="000000"/>
        </w:rPr>
        <w:t>Background</w:t>
      </w:r>
    </w:p>
    <w:p w14:paraId="7E173F68" w14:textId="77777777" w:rsidR="00DD7B85" w:rsidRDefault="00FA74DF">
      <w:pPr>
        <w:rPr>
          <w:color w:val="000000"/>
        </w:rPr>
      </w:pPr>
      <w:r>
        <w:rPr>
          <w:color w:val="000000"/>
        </w:rPr>
        <w:t>The Company has previously measured the receivable based on a simplified net present value approach. In compliance with the order from the Danish Business Authority, Management has now implemented an IFRS 9-based ECL model, which recognizes credit risk through probability-weighted scenarios and deducts expected collection costs directly in the valuation.</w:t>
      </w:r>
    </w:p>
    <w:p w14:paraId="5CE86533" w14:textId="77777777" w:rsidR="00DD7B85" w:rsidRDefault="00FA74DF">
      <w:pPr>
        <w:rPr>
          <w:color w:val="000000"/>
        </w:rPr>
      </w:pPr>
      <w:r>
        <w:rPr>
          <w:b/>
          <w:bCs/>
          <w:color w:val="000000"/>
        </w:rPr>
        <w:t>Consequences for the Annual Report 2024</w:t>
      </w:r>
    </w:p>
    <w:p w14:paraId="5A7F4F6F" w14:textId="77777777" w:rsidR="00DD7B85" w:rsidRDefault="00FA74DF">
      <w:pPr>
        <w:rPr>
          <w:color w:val="000000"/>
        </w:rPr>
      </w:pPr>
      <w:r>
        <w:rPr>
          <w:color w:val="000000"/>
        </w:rPr>
        <w:t>The implementation of the ECL model entails that the carrying amount of the receivable as of 31 December 2024 is written down from TDKK 58,000 to TDKK 41,812. As the change is considered a correction of an accounting error, the effect is recognized in the income statement for 2024.</w:t>
      </w:r>
    </w:p>
    <w:p w14:paraId="61174378" w14:textId="77777777" w:rsidR="00DD7B85" w:rsidRDefault="00FA74DF">
      <w:pPr>
        <w:rPr>
          <w:color w:val="000000"/>
        </w:rPr>
      </w:pPr>
      <w:r>
        <w:rPr>
          <w:i/>
          <w:iCs/>
          <w:color w:val="000000"/>
        </w:rPr>
        <w:t>Table 1: Correction of key figures for 2024</w:t>
      </w:r>
    </w:p>
    <w:tbl>
      <w:tblPr>
        <w:tblW w:w="5000" w:type="pct"/>
        <w:tblCellMar>
          <w:top w:w="15" w:type="dxa"/>
          <w:left w:w="15" w:type="dxa"/>
          <w:bottom w:w="15" w:type="dxa"/>
          <w:right w:w="15" w:type="dxa"/>
        </w:tblCellMar>
        <w:tblLook w:val="0600" w:firstRow="0" w:lastRow="0" w:firstColumn="0" w:lastColumn="0" w:noHBand="1" w:noVBand="1"/>
      </w:tblPr>
      <w:tblGrid>
        <w:gridCol w:w="2938"/>
        <w:gridCol w:w="2531"/>
        <w:gridCol w:w="1902"/>
        <w:gridCol w:w="1969"/>
      </w:tblGrid>
      <w:tr w:rsidR="00DD7B85" w14:paraId="23452A68" w14:textId="77777777" w:rsidTr="00FA74DF">
        <w:tc>
          <w:tcPr>
            <w:tcW w:w="1573" w:type="pct"/>
            <w:tcBorders>
              <w:top w:val="single" w:sz="8" w:space="0" w:color="000000"/>
              <w:left w:val="single" w:sz="8" w:space="0" w:color="000000"/>
              <w:bottom w:val="single" w:sz="8" w:space="0" w:color="000000"/>
              <w:right w:val="single" w:sz="8" w:space="0" w:color="000000"/>
            </w:tcBorders>
            <w:tcMar>
              <w:top w:w="0" w:type="dxa"/>
              <w:left w:w="150" w:type="dxa"/>
              <w:bottom w:w="0" w:type="dxa"/>
              <w:right w:w="0" w:type="dxa"/>
            </w:tcMar>
          </w:tcPr>
          <w:p w14:paraId="54842CE2" w14:textId="77777777" w:rsidR="00DD7B85" w:rsidRDefault="00FA74DF">
            <w:pPr>
              <w:rPr>
                <w:color w:val="000000"/>
              </w:rPr>
            </w:pPr>
            <w:r>
              <w:rPr>
                <w:color w:val="000000"/>
              </w:rPr>
              <w:t>(TDKK)</w:t>
            </w:r>
          </w:p>
        </w:tc>
        <w:tc>
          <w:tcPr>
            <w:tcW w:w="1355"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6DBAAF38" w14:textId="77777777" w:rsidR="00DD7B85" w:rsidRDefault="00FA74DF">
            <w:pPr>
              <w:rPr>
                <w:color w:val="000000"/>
              </w:rPr>
            </w:pPr>
            <w:r>
              <w:rPr>
                <w:color w:val="000000"/>
              </w:rPr>
              <w:t>Original report 2024</w:t>
            </w:r>
          </w:p>
        </w:tc>
        <w:tc>
          <w:tcPr>
            <w:tcW w:w="1018"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2DE0DE5F" w14:textId="77777777" w:rsidR="00DD7B85" w:rsidRDefault="00FA74DF">
            <w:pPr>
              <w:rPr>
                <w:color w:val="000000"/>
              </w:rPr>
            </w:pPr>
            <w:r>
              <w:rPr>
                <w:color w:val="000000"/>
              </w:rPr>
              <w:t>Correction</w:t>
            </w:r>
          </w:p>
        </w:tc>
        <w:tc>
          <w:tcPr>
            <w:tcW w:w="1054"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26BFB310" w14:textId="77777777" w:rsidR="00DD7B85" w:rsidRDefault="00FA74DF">
            <w:pPr>
              <w:rPr>
                <w:color w:val="000000"/>
              </w:rPr>
            </w:pPr>
            <w:r>
              <w:rPr>
                <w:color w:val="000000"/>
              </w:rPr>
              <w:t>Corrected 2024</w:t>
            </w:r>
          </w:p>
        </w:tc>
      </w:tr>
      <w:tr w:rsidR="00DD7B85" w14:paraId="324A79E2"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2F789719" w14:textId="77777777" w:rsidR="00DD7B85" w:rsidRDefault="00FA74DF">
            <w:pPr>
              <w:rPr>
                <w:color w:val="000000"/>
              </w:rPr>
            </w:pPr>
            <w:r>
              <w:rPr>
                <w:color w:val="000000"/>
              </w:rPr>
              <w:lastRenderedPageBreak/>
              <w:t>Income statement</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0496037" w14:textId="77777777" w:rsidR="00DD7B85" w:rsidRDefault="00DD7B85">
            <w:pPr>
              <w:ind w:left="150"/>
              <w:rPr>
                <w:color w:val="000000"/>
              </w:rPr>
            </w:pP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9FCF86B" w14:textId="77777777" w:rsidR="00DD7B85" w:rsidRDefault="00DD7B85">
            <w:pPr>
              <w:ind w:left="150"/>
              <w:rPr>
                <w:color w:val="000000"/>
              </w:rPr>
            </w:pP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8D303ED" w14:textId="77777777" w:rsidR="00DD7B85" w:rsidRDefault="00DD7B85">
            <w:pPr>
              <w:ind w:left="150"/>
              <w:rPr>
                <w:color w:val="000000"/>
              </w:rPr>
            </w:pPr>
          </w:p>
        </w:tc>
      </w:tr>
      <w:tr w:rsidR="00DD7B85" w14:paraId="1DEE210F"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6E32A452" w14:textId="77777777" w:rsidR="00DD7B85" w:rsidRDefault="00FA74DF">
            <w:pPr>
              <w:rPr>
                <w:color w:val="000000"/>
              </w:rPr>
            </w:pPr>
            <w:r>
              <w:rPr>
                <w:color w:val="000000"/>
              </w:rPr>
              <w:t>Operating profit/loss (EBIT)</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7D6DA19" w14:textId="77777777" w:rsidR="00DD7B85" w:rsidRDefault="00FA74DF">
            <w:pPr>
              <w:rPr>
                <w:color w:val="000000"/>
              </w:rPr>
            </w:pPr>
            <w:r>
              <w:rPr>
                <w:color w:val="000000"/>
              </w:rPr>
              <w:t>-21.287</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879B1BE" w14:textId="77777777" w:rsidR="00DD7B85" w:rsidRDefault="00FA74DF">
            <w:pPr>
              <w:rPr>
                <w:color w:val="000000"/>
              </w:rPr>
            </w:pPr>
            <w:r>
              <w:rPr>
                <w:color w:val="000000"/>
              </w:rPr>
              <w:t>0</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FA4BCDB" w14:textId="77777777" w:rsidR="00DD7B85" w:rsidRDefault="00FA74DF">
            <w:pPr>
              <w:rPr>
                <w:color w:val="000000"/>
              </w:rPr>
            </w:pPr>
            <w:r>
              <w:rPr>
                <w:color w:val="000000"/>
              </w:rPr>
              <w:t>-21.287</w:t>
            </w:r>
          </w:p>
        </w:tc>
      </w:tr>
      <w:tr w:rsidR="00DD7B85" w14:paraId="26670DC9"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53770DE5" w14:textId="77777777" w:rsidR="00DD7B85" w:rsidRDefault="00FA74DF">
            <w:pPr>
              <w:rPr>
                <w:color w:val="000000"/>
              </w:rPr>
            </w:pPr>
            <w:r>
              <w:rPr>
                <w:color w:val="000000"/>
              </w:rPr>
              <w:t>Allowance Portinho receivable</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95CF50B" w14:textId="77777777" w:rsidR="00DD7B85" w:rsidRDefault="00FA74DF">
            <w:pPr>
              <w:rPr>
                <w:color w:val="000000"/>
              </w:rPr>
            </w:pPr>
            <w:r>
              <w:rPr>
                <w:color w:val="000000"/>
              </w:rPr>
              <w:t>0</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E315B39" w14:textId="77777777" w:rsidR="00DD7B85" w:rsidRDefault="00FA74DF">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6856455" w14:textId="77777777" w:rsidR="00DD7B85" w:rsidRDefault="00FA74DF">
            <w:pPr>
              <w:rPr>
                <w:color w:val="000000"/>
              </w:rPr>
            </w:pPr>
            <w:r>
              <w:rPr>
                <w:color w:val="000000"/>
              </w:rPr>
              <w:t>-16.188</w:t>
            </w:r>
          </w:p>
        </w:tc>
      </w:tr>
      <w:tr w:rsidR="00DD7B85" w14:paraId="1B04B191"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5A88A9FD" w14:textId="77777777" w:rsidR="00DD7B85" w:rsidRDefault="00FA74DF">
            <w:pPr>
              <w:rPr>
                <w:color w:val="000000"/>
              </w:rPr>
            </w:pPr>
            <w:r>
              <w:rPr>
                <w:color w:val="000000"/>
              </w:rPr>
              <w:t>Financial expenses</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7EE442C" w14:textId="77777777" w:rsidR="00DD7B85" w:rsidRDefault="00FA74DF">
            <w:pPr>
              <w:rPr>
                <w:color w:val="000000"/>
              </w:rPr>
            </w:pPr>
            <w:r>
              <w:rPr>
                <w:color w:val="000000"/>
              </w:rPr>
              <w:t>-4.964</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ABA3017" w14:textId="77777777" w:rsidR="00DD7B85" w:rsidRDefault="00FA74DF">
            <w:pPr>
              <w:rPr>
                <w:color w:val="000000"/>
              </w:rPr>
            </w:pPr>
            <w:r>
              <w:rPr>
                <w:color w:val="000000"/>
              </w:rPr>
              <w:t>0</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3D3AF9B" w14:textId="77777777" w:rsidR="00DD7B85" w:rsidRDefault="00FA74DF">
            <w:pPr>
              <w:rPr>
                <w:color w:val="000000"/>
              </w:rPr>
            </w:pPr>
            <w:r>
              <w:rPr>
                <w:color w:val="000000"/>
              </w:rPr>
              <w:t>-4.964</w:t>
            </w:r>
          </w:p>
        </w:tc>
      </w:tr>
      <w:tr w:rsidR="00DD7B85" w14:paraId="6A069DEA"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1E1CBCA7" w14:textId="77777777" w:rsidR="00DD7B85" w:rsidRDefault="00FA74DF">
            <w:pPr>
              <w:rPr>
                <w:color w:val="000000"/>
              </w:rPr>
            </w:pPr>
            <w:r>
              <w:rPr>
                <w:color w:val="000000"/>
              </w:rPr>
              <w:t>Profit/loss for the year</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F7E1641" w14:textId="77777777" w:rsidR="00DD7B85" w:rsidRDefault="00FA74DF">
            <w:pPr>
              <w:rPr>
                <w:color w:val="000000"/>
              </w:rPr>
            </w:pPr>
            <w:r>
              <w:rPr>
                <w:color w:val="000000"/>
              </w:rPr>
              <w:t>-24.422</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3288F4F" w14:textId="77777777" w:rsidR="00DD7B85" w:rsidRDefault="00FA74DF">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60E9F6B" w14:textId="77777777" w:rsidR="00DD7B85" w:rsidRDefault="00FA74DF">
            <w:pPr>
              <w:rPr>
                <w:color w:val="000000"/>
              </w:rPr>
            </w:pPr>
            <w:r>
              <w:rPr>
                <w:color w:val="000000"/>
              </w:rPr>
              <w:t>-40.610</w:t>
            </w:r>
          </w:p>
        </w:tc>
      </w:tr>
      <w:tr w:rsidR="00DD7B85" w14:paraId="555DD83A"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1AE5163E" w14:textId="77777777" w:rsidR="00DD7B85" w:rsidRDefault="00FA74DF">
            <w:pPr>
              <w:rPr>
                <w:color w:val="000000"/>
              </w:rPr>
            </w:pPr>
            <w:r>
              <w:rPr>
                <w:color w:val="000000"/>
              </w:rPr>
              <w:t>Balance pr. 31.12.2024</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1930224" w14:textId="77777777" w:rsidR="00DD7B85" w:rsidRDefault="00DD7B85">
            <w:pPr>
              <w:ind w:left="150"/>
              <w:rPr>
                <w:color w:val="000000"/>
              </w:rPr>
            </w:pP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FC61311" w14:textId="77777777" w:rsidR="00DD7B85" w:rsidRDefault="00DD7B85">
            <w:pPr>
              <w:ind w:left="150"/>
              <w:rPr>
                <w:color w:val="000000"/>
              </w:rPr>
            </w:pP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CD653E8" w14:textId="77777777" w:rsidR="00DD7B85" w:rsidRDefault="00DD7B85">
            <w:pPr>
              <w:ind w:left="150"/>
              <w:rPr>
                <w:color w:val="000000"/>
              </w:rPr>
            </w:pPr>
          </w:p>
        </w:tc>
      </w:tr>
      <w:tr w:rsidR="00DD7B85" w14:paraId="39DCDBFF"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0C3D06F5" w14:textId="77777777" w:rsidR="00DD7B85" w:rsidRDefault="00FA74DF">
            <w:pPr>
              <w:rPr>
                <w:color w:val="000000"/>
              </w:rPr>
            </w:pPr>
            <w:r>
              <w:rPr>
                <w:color w:val="000000"/>
              </w:rPr>
              <w:t>Receivable Portinho S.A.</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C40AF56" w14:textId="77777777" w:rsidR="00DD7B85" w:rsidRDefault="00FA74DF">
            <w:pPr>
              <w:rPr>
                <w:color w:val="000000"/>
              </w:rPr>
            </w:pPr>
            <w:r>
              <w:rPr>
                <w:color w:val="000000"/>
              </w:rPr>
              <w:t>58.000</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89330E8" w14:textId="77777777" w:rsidR="00DD7B85" w:rsidRDefault="00FA74DF">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1C83D1A" w14:textId="77777777" w:rsidR="00DD7B85" w:rsidRDefault="00FA74DF">
            <w:pPr>
              <w:rPr>
                <w:color w:val="000000"/>
              </w:rPr>
            </w:pPr>
            <w:r>
              <w:rPr>
                <w:color w:val="000000"/>
              </w:rPr>
              <w:t>41.812</w:t>
            </w:r>
          </w:p>
        </w:tc>
      </w:tr>
      <w:tr w:rsidR="00DD7B85" w14:paraId="328FBFEE"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68F09F66" w14:textId="77777777" w:rsidR="00DD7B85" w:rsidRDefault="00FA74DF">
            <w:pPr>
              <w:rPr>
                <w:color w:val="000000"/>
              </w:rPr>
            </w:pPr>
            <w:r>
              <w:rPr>
                <w:color w:val="000000"/>
              </w:rPr>
              <w:t>Total assets</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21FFD1E" w14:textId="77777777" w:rsidR="00DD7B85" w:rsidRDefault="00FA74DF">
            <w:pPr>
              <w:rPr>
                <w:color w:val="000000"/>
              </w:rPr>
            </w:pPr>
            <w:r>
              <w:rPr>
                <w:color w:val="000000"/>
              </w:rPr>
              <w:t>65.606</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503E6BC6" w14:textId="77777777" w:rsidR="00DD7B85" w:rsidRDefault="00FA74DF">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5B958C9" w14:textId="77777777" w:rsidR="00DD7B85" w:rsidRDefault="00FA74DF">
            <w:pPr>
              <w:rPr>
                <w:color w:val="000000"/>
              </w:rPr>
            </w:pPr>
            <w:r>
              <w:rPr>
                <w:color w:val="000000"/>
              </w:rPr>
              <w:t>49.418</w:t>
            </w:r>
          </w:p>
        </w:tc>
      </w:tr>
      <w:tr w:rsidR="00DD7B85" w14:paraId="462ED6C5" w14:textId="77777777" w:rsidTr="00FA74DF">
        <w:tc>
          <w:tcPr>
            <w:tcW w:w="1573"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4FC2EE0B" w14:textId="77777777" w:rsidR="00DD7B85" w:rsidRDefault="00FA74DF">
            <w:pPr>
              <w:rPr>
                <w:color w:val="000000"/>
              </w:rPr>
            </w:pPr>
            <w:r>
              <w:rPr>
                <w:color w:val="000000"/>
              </w:rPr>
              <w:t>Total equity</w:t>
            </w:r>
          </w:p>
        </w:tc>
        <w:tc>
          <w:tcPr>
            <w:tcW w:w="1355"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432FB02" w14:textId="77777777" w:rsidR="00DD7B85" w:rsidRDefault="00FA74DF">
            <w:pPr>
              <w:rPr>
                <w:color w:val="000000"/>
              </w:rPr>
            </w:pPr>
            <w:r>
              <w:rPr>
                <w:color w:val="000000"/>
              </w:rPr>
              <w:t>48.875</w:t>
            </w:r>
          </w:p>
        </w:tc>
        <w:tc>
          <w:tcPr>
            <w:tcW w:w="101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2D43B7E" w14:textId="77777777" w:rsidR="00DD7B85" w:rsidRDefault="00FA74DF">
            <w:pPr>
              <w:rPr>
                <w:color w:val="000000"/>
              </w:rPr>
            </w:pPr>
            <w:r>
              <w:rPr>
                <w:color w:val="000000"/>
              </w:rPr>
              <w:t>-16.188</w:t>
            </w:r>
          </w:p>
        </w:tc>
        <w:tc>
          <w:tcPr>
            <w:tcW w:w="1054"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2FB1A5B" w14:textId="77777777" w:rsidR="00DD7B85" w:rsidRDefault="00FA74DF">
            <w:pPr>
              <w:rPr>
                <w:color w:val="000000"/>
              </w:rPr>
            </w:pPr>
            <w:r>
              <w:rPr>
                <w:color w:val="000000"/>
              </w:rPr>
              <w:t>32.687</w:t>
            </w:r>
          </w:p>
        </w:tc>
      </w:tr>
    </w:tbl>
    <w:p w14:paraId="0DF228DF" w14:textId="77777777" w:rsidR="00DD7B85" w:rsidRDefault="00FA74DF">
      <w:pPr>
        <w:rPr>
          <w:color w:val="000000"/>
        </w:rPr>
      </w:pPr>
      <w:r>
        <w:rPr>
          <w:i/>
          <w:iCs/>
          <w:color w:val="000000"/>
        </w:rPr>
        <w:t>Note: The Company maintains the estimate for 2023, which is why the total cumulative effect of the transition to the ECL model per year-end 2024 is recognized in the 2024 figures.</w:t>
      </w:r>
    </w:p>
    <w:p w14:paraId="1E16BCAB" w14:textId="77777777" w:rsidR="00DD7B85" w:rsidRDefault="00FA74DF">
      <w:pPr>
        <w:rPr>
          <w:color w:val="000000"/>
        </w:rPr>
      </w:pPr>
      <w:r>
        <w:rPr>
          <w:b/>
          <w:bCs/>
          <w:color w:val="000000"/>
        </w:rPr>
        <w:t>Consequences for the Interim Report for H1 2025</w:t>
      </w:r>
    </w:p>
    <w:p w14:paraId="6950B4CD" w14:textId="77777777" w:rsidR="00DD7B85" w:rsidRDefault="00FA74DF">
      <w:pPr>
        <w:rPr>
          <w:color w:val="000000"/>
        </w:rPr>
      </w:pPr>
      <w:r>
        <w:rPr>
          <w:color w:val="000000"/>
        </w:rPr>
        <w:t>In continuation of the implementation of the new ECL model, the Company has reassessed the valuation as of 30 June 2025 (H1). The reassessment takes into account the latest developments in the ongoing negotiations as well as an updated risk assessment. On this basis, the fair value of the receivable as of 30 June 2025 is determined at TDKK 33,697.</w:t>
      </w:r>
    </w:p>
    <w:p w14:paraId="5834FDA7" w14:textId="77777777" w:rsidR="00DD7B85" w:rsidRDefault="00FA74DF">
      <w:pPr>
        <w:rPr>
          <w:color w:val="000000"/>
        </w:rPr>
      </w:pPr>
      <w:r>
        <w:rPr>
          <w:color w:val="000000"/>
        </w:rPr>
        <w:t>As the receivable in the original interim report was recognized at TDKK 58,000, this entails a total negative correction of the balance sheet of TDKK 24,303. Of this amount, TDKK 16,188 originates from the correction of the opening balance (from 2024), while the remaining TDKK 8,115 constitutes an additional value adjustment in the first half of 2025, which impacts the result for the period.</w:t>
      </w:r>
    </w:p>
    <w:p w14:paraId="03F3E010" w14:textId="77777777" w:rsidR="00DD7B85" w:rsidRDefault="00FA74DF">
      <w:pPr>
        <w:rPr>
          <w:color w:val="000000"/>
        </w:rPr>
      </w:pPr>
      <w:r>
        <w:rPr>
          <w:i/>
          <w:iCs/>
          <w:color w:val="000000"/>
        </w:rPr>
        <w:t>Table 2: Correction of key figures for H1 2025</w:t>
      </w:r>
    </w:p>
    <w:tbl>
      <w:tblPr>
        <w:tblW w:w="5000" w:type="pct"/>
        <w:tblCellMar>
          <w:top w:w="15" w:type="dxa"/>
          <w:left w:w="15" w:type="dxa"/>
          <w:bottom w:w="15" w:type="dxa"/>
          <w:right w:w="15" w:type="dxa"/>
        </w:tblCellMar>
        <w:tblLook w:val="0600" w:firstRow="0" w:lastRow="0" w:firstColumn="0" w:lastColumn="0" w:noHBand="1" w:noVBand="1"/>
      </w:tblPr>
      <w:tblGrid>
        <w:gridCol w:w="2793"/>
        <w:gridCol w:w="2404"/>
        <w:gridCol w:w="1808"/>
        <w:gridCol w:w="2335"/>
      </w:tblGrid>
      <w:tr w:rsidR="00DD7B85" w14:paraId="26A48524" w14:textId="77777777" w:rsidTr="00FA74DF">
        <w:tc>
          <w:tcPr>
            <w:tcW w:w="1495" w:type="pct"/>
            <w:tcBorders>
              <w:top w:val="single" w:sz="8" w:space="0" w:color="000000"/>
              <w:left w:val="single" w:sz="8" w:space="0" w:color="000000"/>
              <w:bottom w:val="single" w:sz="8" w:space="0" w:color="000000"/>
              <w:right w:val="single" w:sz="8" w:space="0" w:color="000000"/>
            </w:tcBorders>
            <w:tcMar>
              <w:top w:w="0" w:type="dxa"/>
              <w:left w:w="150" w:type="dxa"/>
              <w:bottom w:w="0" w:type="dxa"/>
              <w:right w:w="0" w:type="dxa"/>
            </w:tcMar>
          </w:tcPr>
          <w:p w14:paraId="3DE78AF9" w14:textId="77777777" w:rsidR="00DD7B85" w:rsidRDefault="00FA74DF">
            <w:pPr>
              <w:rPr>
                <w:color w:val="000000"/>
              </w:rPr>
            </w:pPr>
            <w:r>
              <w:rPr>
                <w:color w:val="000000"/>
              </w:rPr>
              <w:t>(TDKK)</w:t>
            </w:r>
          </w:p>
        </w:tc>
        <w:tc>
          <w:tcPr>
            <w:tcW w:w="1287"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76CB3F08" w14:textId="77777777" w:rsidR="00DD7B85" w:rsidRDefault="00FA74DF">
            <w:pPr>
              <w:rPr>
                <w:color w:val="000000"/>
              </w:rPr>
            </w:pPr>
            <w:r>
              <w:rPr>
                <w:color w:val="000000"/>
              </w:rPr>
              <w:t>Original report H1 2025</w:t>
            </w:r>
          </w:p>
        </w:tc>
        <w:tc>
          <w:tcPr>
            <w:tcW w:w="968"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6E3E082B" w14:textId="77777777" w:rsidR="00DD7B85" w:rsidRDefault="00FA74DF">
            <w:pPr>
              <w:rPr>
                <w:color w:val="000000"/>
              </w:rPr>
            </w:pPr>
            <w:r>
              <w:rPr>
                <w:color w:val="000000"/>
              </w:rPr>
              <w:t>Correction</w:t>
            </w:r>
          </w:p>
        </w:tc>
        <w:tc>
          <w:tcPr>
            <w:tcW w:w="1250" w:type="pct"/>
            <w:tcBorders>
              <w:top w:val="single" w:sz="8" w:space="0" w:color="000000"/>
              <w:left w:val="none" w:sz="0" w:space="0" w:color="000000"/>
              <w:bottom w:val="single" w:sz="8" w:space="0" w:color="000000"/>
              <w:right w:val="single" w:sz="8" w:space="0" w:color="000000"/>
            </w:tcBorders>
            <w:tcMar>
              <w:top w:w="0" w:type="dxa"/>
              <w:left w:w="150" w:type="dxa"/>
              <w:bottom w:w="0" w:type="dxa"/>
              <w:right w:w="0" w:type="dxa"/>
            </w:tcMar>
          </w:tcPr>
          <w:p w14:paraId="5CCC59F9" w14:textId="77777777" w:rsidR="00DD7B85" w:rsidRDefault="00FA74DF">
            <w:pPr>
              <w:rPr>
                <w:color w:val="000000"/>
              </w:rPr>
            </w:pPr>
            <w:r>
              <w:rPr>
                <w:color w:val="000000"/>
              </w:rPr>
              <w:t>Corrected H1 2025</w:t>
            </w:r>
          </w:p>
        </w:tc>
      </w:tr>
      <w:tr w:rsidR="00DD7B85" w14:paraId="51F20111"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10948E32" w14:textId="77777777" w:rsidR="00DD7B85" w:rsidRDefault="00FA74DF">
            <w:pPr>
              <w:rPr>
                <w:color w:val="000000"/>
              </w:rPr>
            </w:pPr>
            <w:r>
              <w:rPr>
                <w:color w:val="000000"/>
              </w:rPr>
              <w:t>Resultatopgørelse</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E1FDF05" w14:textId="77777777" w:rsidR="00DD7B85" w:rsidRDefault="00DD7B85">
            <w:pPr>
              <w:ind w:left="150"/>
              <w:rPr>
                <w:color w:val="000000"/>
              </w:rPr>
            </w:pP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7BB87E7" w14:textId="77777777" w:rsidR="00DD7B85" w:rsidRDefault="00DD7B85">
            <w:pPr>
              <w:ind w:left="150"/>
              <w:rPr>
                <w:color w:val="000000"/>
              </w:rPr>
            </w:pP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0596E88" w14:textId="77777777" w:rsidR="00DD7B85" w:rsidRDefault="00DD7B85">
            <w:pPr>
              <w:ind w:left="150"/>
              <w:rPr>
                <w:color w:val="000000"/>
              </w:rPr>
            </w:pPr>
          </w:p>
        </w:tc>
      </w:tr>
      <w:tr w:rsidR="00DD7B85" w14:paraId="35B8A35C"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4C1FC2B7" w14:textId="77777777" w:rsidR="00DD7B85" w:rsidRDefault="00FA74DF">
            <w:pPr>
              <w:rPr>
                <w:color w:val="000000"/>
              </w:rPr>
            </w:pPr>
            <w:r>
              <w:rPr>
                <w:color w:val="000000"/>
              </w:rPr>
              <w:t>Operating profit/loss (EBIT)</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97DC2A4" w14:textId="77777777" w:rsidR="00DD7B85" w:rsidRDefault="00FA74DF">
            <w:pPr>
              <w:rPr>
                <w:color w:val="000000"/>
              </w:rPr>
            </w:pPr>
            <w:r>
              <w:rPr>
                <w:color w:val="000000"/>
              </w:rPr>
              <w:t>-8.568</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8A0F773" w14:textId="77777777" w:rsidR="00DD7B85" w:rsidRDefault="00FA74DF">
            <w:pPr>
              <w:rPr>
                <w:color w:val="000000"/>
              </w:rPr>
            </w:pPr>
            <w:r>
              <w:rPr>
                <w:color w:val="000000"/>
              </w:rPr>
              <w:t>0</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241E9F2" w14:textId="77777777" w:rsidR="00DD7B85" w:rsidRDefault="00FA74DF">
            <w:pPr>
              <w:rPr>
                <w:color w:val="000000"/>
              </w:rPr>
            </w:pPr>
            <w:r>
              <w:rPr>
                <w:color w:val="000000"/>
              </w:rPr>
              <w:t>-8.568</w:t>
            </w:r>
          </w:p>
        </w:tc>
      </w:tr>
      <w:tr w:rsidR="00DD7B85" w14:paraId="1DC0B599"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075FCDFB" w14:textId="77777777" w:rsidR="00DD7B85" w:rsidRDefault="00FA74DF">
            <w:pPr>
              <w:rPr>
                <w:color w:val="000000"/>
              </w:rPr>
            </w:pPr>
            <w:r>
              <w:rPr>
                <w:color w:val="000000"/>
              </w:rPr>
              <w:t>Allowance Portinho receivable</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16DBA3A" w14:textId="77777777" w:rsidR="00DD7B85" w:rsidRDefault="00FA74DF">
            <w:pPr>
              <w:rPr>
                <w:color w:val="000000"/>
              </w:rPr>
            </w:pPr>
            <w:r>
              <w:rPr>
                <w:color w:val="000000"/>
              </w:rPr>
              <w:t>0</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98E04B5" w14:textId="77777777" w:rsidR="00DD7B85" w:rsidRDefault="00FA74DF">
            <w:pPr>
              <w:rPr>
                <w:color w:val="000000"/>
              </w:rPr>
            </w:pPr>
            <w:r>
              <w:rPr>
                <w:color w:val="000000"/>
              </w:rPr>
              <w:t>-8.115</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8577218" w14:textId="77777777" w:rsidR="00DD7B85" w:rsidRDefault="00FA74DF">
            <w:pPr>
              <w:rPr>
                <w:color w:val="000000"/>
              </w:rPr>
            </w:pPr>
            <w:r>
              <w:rPr>
                <w:color w:val="000000"/>
              </w:rPr>
              <w:t>-8.115</w:t>
            </w:r>
          </w:p>
        </w:tc>
      </w:tr>
      <w:tr w:rsidR="00DD7B85" w14:paraId="335B420B"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05036EE0" w14:textId="77777777" w:rsidR="00DD7B85" w:rsidRDefault="00FA74DF">
            <w:pPr>
              <w:rPr>
                <w:color w:val="000000"/>
              </w:rPr>
            </w:pPr>
            <w:r>
              <w:rPr>
                <w:color w:val="000000"/>
              </w:rPr>
              <w:t>Financial expenses</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FC13501" w14:textId="77777777" w:rsidR="00DD7B85" w:rsidRDefault="00FA74DF">
            <w:pPr>
              <w:rPr>
                <w:color w:val="000000"/>
              </w:rPr>
            </w:pPr>
            <w:r>
              <w:rPr>
                <w:color w:val="000000"/>
              </w:rPr>
              <w:t>-1.438</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21B58F4" w14:textId="77777777" w:rsidR="00DD7B85" w:rsidRDefault="00FA74DF">
            <w:pPr>
              <w:rPr>
                <w:color w:val="000000"/>
              </w:rPr>
            </w:pPr>
            <w:r>
              <w:rPr>
                <w:color w:val="000000"/>
              </w:rPr>
              <w:t>0</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4E307091" w14:textId="77777777" w:rsidR="00DD7B85" w:rsidRDefault="00FA74DF">
            <w:pPr>
              <w:rPr>
                <w:color w:val="000000"/>
              </w:rPr>
            </w:pPr>
            <w:r>
              <w:rPr>
                <w:color w:val="000000"/>
              </w:rPr>
              <w:t>-1.438</w:t>
            </w:r>
          </w:p>
        </w:tc>
      </w:tr>
      <w:tr w:rsidR="00DD7B85" w14:paraId="2FB4B34C"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4F0171E4" w14:textId="77777777" w:rsidR="00DD7B85" w:rsidRDefault="00FA74DF">
            <w:pPr>
              <w:rPr>
                <w:color w:val="000000"/>
              </w:rPr>
            </w:pPr>
            <w:r>
              <w:rPr>
                <w:color w:val="000000"/>
              </w:rPr>
              <w:t>Profit/loss for the year</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57B2620" w14:textId="77777777" w:rsidR="00DD7B85" w:rsidRDefault="00FA74DF">
            <w:pPr>
              <w:rPr>
                <w:color w:val="000000"/>
              </w:rPr>
            </w:pPr>
            <w:r>
              <w:rPr>
                <w:color w:val="000000"/>
              </w:rPr>
              <w:t>-9.495</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0725B7C" w14:textId="77777777" w:rsidR="00DD7B85" w:rsidRDefault="00FA74DF">
            <w:pPr>
              <w:rPr>
                <w:color w:val="000000"/>
              </w:rPr>
            </w:pPr>
            <w:r>
              <w:rPr>
                <w:color w:val="000000"/>
              </w:rPr>
              <w:t>-8.115</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E2C974A" w14:textId="77777777" w:rsidR="00DD7B85" w:rsidRDefault="00FA74DF">
            <w:pPr>
              <w:rPr>
                <w:color w:val="000000"/>
              </w:rPr>
            </w:pPr>
            <w:r>
              <w:rPr>
                <w:color w:val="000000"/>
              </w:rPr>
              <w:t>-17.610</w:t>
            </w:r>
          </w:p>
        </w:tc>
      </w:tr>
      <w:tr w:rsidR="00DD7B85" w14:paraId="0BE2F785"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424F340A" w14:textId="77777777" w:rsidR="00DD7B85" w:rsidRDefault="00FA74DF">
            <w:pPr>
              <w:rPr>
                <w:color w:val="000000"/>
              </w:rPr>
            </w:pPr>
            <w:r>
              <w:rPr>
                <w:color w:val="000000"/>
              </w:rPr>
              <w:t>Balance pr. 30.06.2025</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38C3DC5" w14:textId="77777777" w:rsidR="00DD7B85" w:rsidRDefault="00DD7B85">
            <w:pPr>
              <w:ind w:left="150"/>
              <w:rPr>
                <w:color w:val="000000"/>
              </w:rPr>
            </w:pP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62A9C1C" w14:textId="77777777" w:rsidR="00DD7B85" w:rsidRDefault="00DD7B85">
            <w:pPr>
              <w:ind w:left="150"/>
              <w:rPr>
                <w:color w:val="000000"/>
              </w:rPr>
            </w:pP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0BB3CD98" w14:textId="77777777" w:rsidR="00DD7B85" w:rsidRDefault="00DD7B85">
            <w:pPr>
              <w:ind w:left="150"/>
              <w:rPr>
                <w:color w:val="000000"/>
              </w:rPr>
            </w:pPr>
          </w:p>
        </w:tc>
      </w:tr>
      <w:tr w:rsidR="00DD7B85" w14:paraId="4ACC7CE4"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1D3E5EBE" w14:textId="77777777" w:rsidR="00DD7B85" w:rsidRDefault="00FA74DF">
            <w:pPr>
              <w:rPr>
                <w:color w:val="000000"/>
              </w:rPr>
            </w:pPr>
            <w:r>
              <w:rPr>
                <w:color w:val="000000"/>
              </w:rPr>
              <w:t>Receivable Portinho S.A.</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CC5660D" w14:textId="77777777" w:rsidR="00DD7B85" w:rsidRDefault="00FA74DF">
            <w:pPr>
              <w:rPr>
                <w:color w:val="000000"/>
              </w:rPr>
            </w:pPr>
            <w:r>
              <w:rPr>
                <w:color w:val="000000"/>
              </w:rPr>
              <w:t>58.000</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3BE9086B" w14:textId="77777777" w:rsidR="00DD7B85" w:rsidRDefault="00FA74DF">
            <w:pPr>
              <w:rPr>
                <w:color w:val="000000"/>
              </w:rPr>
            </w:pPr>
            <w:r>
              <w:rPr>
                <w:color w:val="000000"/>
              </w:rPr>
              <w:t>-24.303</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75F4C8E9" w14:textId="77777777" w:rsidR="00DD7B85" w:rsidRDefault="00FA74DF">
            <w:pPr>
              <w:rPr>
                <w:color w:val="000000"/>
              </w:rPr>
            </w:pPr>
            <w:r>
              <w:rPr>
                <w:color w:val="000000"/>
              </w:rPr>
              <w:t>33.697</w:t>
            </w:r>
          </w:p>
        </w:tc>
      </w:tr>
      <w:tr w:rsidR="00DD7B85" w14:paraId="714C5F0C" w14:textId="77777777" w:rsidTr="00FA74DF">
        <w:tc>
          <w:tcPr>
            <w:tcW w:w="1495" w:type="pct"/>
            <w:tcBorders>
              <w:top w:val="none" w:sz="0" w:space="0" w:color="000000"/>
              <w:left w:val="single" w:sz="8" w:space="0" w:color="000000"/>
              <w:bottom w:val="single" w:sz="8" w:space="0" w:color="000000"/>
              <w:right w:val="single" w:sz="8" w:space="0" w:color="000000"/>
            </w:tcBorders>
            <w:tcMar>
              <w:top w:w="0" w:type="dxa"/>
              <w:left w:w="150" w:type="dxa"/>
              <w:bottom w:w="0" w:type="dxa"/>
              <w:right w:w="0" w:type="dxa"/>
            </w:tcMar>
          </w:tcPr>
          <w:p w14:paraId="21E0268C" w14:textId="77777777" w:rsidR="00DD7B85" w:rsidRDefault="00FA74DF">
            <w:pPr>
              <w:rPr>
                <w:color w:val="000000"/>
              </w:rPr>
            </w:pPr>
            <w:r>
              <w:rPr>
                <w:color w:val="000000"/>
              </w:rPr>
              <w:t>Total equity</w:t>
            </w:r>
          </w:p>
        </w:tc>
        <w:tc>
          <w:tcPr>
            <w:tcW w:w="1287"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2F339C08" w14:textId="77777777" w:rsidR="00DD7B85" w:rsidRDefault="00FA74DF">
            <w:pPr>
              <w:rPr>
                <w:color w:val="000000"/>
              </w:rPr>
            </w:pPr>
            <w:r>
              <w:rPr>
                <w:color w:val="000000"/>
              </w:rPr>
              <w:t>39.379</w:t>
            </w:r>
          </w:p>
        </w:tc>
        <w:tc>
          <w:tcPr>
            <w:tcW w:w="968"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69F5AA35" w14:textId="77777777" w:rsidR="00DD7B85" w:rsidRDefault="00FA74DF">
            <w:pPr>
              <w:rPr>
                <w:color w:val="000000"/>
              </w:rPr>
            </w:pPr>
            <w:r>
              <w:rPr>
                <w:color w:val="000000"/>
              </w:rPr>
              <w:t>-24.303</w:t>
            </w:r>
          </w:p>
        </w:tc>
        <w:tc>
          <w:tcPr>
            <w:tcW w:w="1250" w:type="pct"/>
            <w:tcBorders>
              <w:top w:val="none" w:sz="0" w:space="0" w:color="000000"/>
              <w:left w:val="none" w:sz="0" w:space="0" w:color="000000"/>
              <w:bottom w:val="single" w:sz="8" w:space="0" w:color="000000"/>
              <w:right w:val="single" w:sz="8" w:space="0" w:color="000000"/>
            </w:tcBorders>
            <w:tcMar>
              <w:top w:w="0" w:type="dxa"/>
              <w:left w:w="150" w:type="dxa"/>
              <w:bottom w:w="0" w:type="dxa"/>
              <w:right w:w="0" w:type="dxa"/>
            </w:tcMar>
          </w:tcPr>
          <w:p w14:paraId="108FA227" w14:textId="77777777" w:rsidR="00DD7B85" w:rsidRDefault="00FA74DF">
            <w:pPr>
              <w:rPr>
                <w:color w:val="000000"/>
              </w:rPr>
            </w:pPr>
            <w:r>
              <w:rPr>
                <w:color w:val="000000"/>
              </w:rPr>
              <w:t>15.076</w:t>
            </w:r>
          </w:p>
        </w:tc>
      </w:tr>
    </w:tbl>
    <w:p w14:paraId="19E747FF" w14:textId="77777777" w:rsidR="00DD7B85" w:rsidRDefault="00FA74DF">
      <w:pPr>
        <w:rPr>
          <w:color w:val="000000"/>
        </w:rPr>
      </w:pPr>
      <w:r>
        <w:br/>
      </w:r>
    </w:p>
    <w:p w14:paraId="58C1C632" w14:textId="77777777" w:rsidR="00DD7B85" w:rsidRDefault="00FA74DF">
      <w:pPr>
        <w:rPr>
          <w:color w:val="000000"/>
        </w:rPr>
      </w:pPr>
      <w:r>
        <w:rPr>
          <w:b/>
          <w:bCs/>
          <w:color w:val="000000"/>
        </w:rPr>
        <w:t>Management's statement</w:t>
      </w:r>
    </w:p>
    <w:p w14:paraId="1CDD4DB9" w14:textId="77777777" w:rsidR="00DD7B85" w:rsidRDefault="00FA74DF">
      <w:pPr>
        <w:rPr>
          <w:color w:val="000000"/>
        </w:rPr>
      </w:pPr>
      <w:r>
        <w:rPr>
          <w:color w:val="000000"/>
        </w:rPr>
        <w:t>This correction is of a purely accounting nature and does not affect the Company's liquidity or cash flow. The legal claim against the debtor is fully maintained, and the Company continues to work purposefully to maximize recovery through the ongoing negotiations.</w:t>
      </w:r>
    </w:p>
    <w:p w14:paraId="70FB78B6" w14:textId="77777777" w:rsidR="00DD7B85" w:rsidRDefault="00FA74DF">
      <w:pPr>
        <w:rPr>
          <w:color w:val="000000"/>
        </w:rPr>
      </w:pPr>
      <w:r>
        <w:rPr>
          <w:color w:val="000000"/>
        </w:rPr>
        <w:lastRenderedPageBreak/>
        <w:t>For further information, please contact:</w:t>
      </w:r>
    </w:p>
    <w:p w14:paraId="7A52DB65" w14:textId="77777777" w:rsidR="00DD7B85" w:rsidRDefault="00FA74DF">
      <w:pPr>
        <w:rPr>
          <w:color w:val="000000"/>
        </w:rPr>
      </w:pPr>
      <w:r>
        <w:rPr>
          <w:color w:val="000000"/>
        </w:rPr>
        <w:t>Christian Tange, CEO, Pharma Equity Group A/S, phone: +45 2948 8417</w:t>
      </w:r>
    </w:p>
    <w:p w14:paraId="57B7A681" w14:textId="77777777" w:rsidR="00DD7B85" w:rsidRDefault="00FA74DF">
      <w:pPr>
        <w:rPr>
          <w:color w:val="000000"/>
        </w:rPr>
      </w:pPr>
      <w:r>
        <w:rPr>
          <w:color w:val="000000"/>
        </w:rPr>
        <w:t>Christian Vinding Thomsen, Chairman of the Board, Pharma Equity Group A/S, phone: +45 2622 7222</w:t>
      </w:r>
    </w:p>
    <w:p w14:paraId="3B7B8399" w14:textId="77777777" w:rsidR="00DD7B85" w:rsidRDefault="00FA74DF">
      <w:pPr>
        <w:rPr>
          <w:color w:val="000000"/>
        </w:rPr>
      </w:pPr>
      <w:r>
        <w:rPr>
          <w:i/>
          <w:iCs/>
          <w:color w:val="000000"/>
        </w:rPr>
        <w:t xml:space="preserve">About Pharma Equity Group A/S </w:t>
      </w:r>
    </w:p>
    <w:p w14:paraId="0C744B2B" w14:textId="77777777" w:rsidR="00DD7B85" w:rsidRDefault="00FA74DF">
      <w:pPr>
        <w:rPr>
          <w:color w:val="000000"/>
        </w:rPr>
      </w:pPr>
      <w:r>
        <w:rPr>
          <w:i/>
          <w:iCs/>
          <w:color w:val="000000"/>
        </w:rPr>
        <w:t>Pharma Equity Group, a listed company on the Nasdaq Copenhagen stock exchange, is fully dedicated to advancing the medical projects of its subsidiary, Reponex Pharmaceuticals A/S. With an unwavering focus on healthcare, Pharma Equity Group's primary objective is to bring significant value to Reponex Pharmaceuticals' medical projects.</w:t>
      </w:r>
    </w:p>
    <w:p w14:paraId="64746824" w14:textId="77777777" w:rsidR="00DD7B85" w:rsidRDefault="00FA74DF">
      <w:pPr>
        <w:rPr>
          <w:color w:val="000000"/>
        </w:rPr>
      </w:pPr>
      <w:r>
        <w:rPr>
          <w:i/>
          <w:iCs/>
          <w:color w:val="000000"/>
        </w:rPr>
        <w:t>The company is committed to providing extensive support, resources, and expertise to drive the development and success of these projects. As a strategic partner, Pharma Equity Group works closely with Reponex Pharmaceuticals, prioritizing the advancement of innovative medical solutions and breakthrough therapies. Every effort is currently directed towards ensuring the utmost success and impact of Reponex Pharmaceuticals' medical projects, with an unwavering dedication to improving global healthcare outcomes</w:t>
      </w:r>
      <w:r>
        <w:rPr>
          <w:i/>
          <w:iCs/>
          <w:color w:val="000000"/>
        </w:rPr>
        <w:t>. Only when the full potential of Reponex Pharmaceuticals has been unfolded is the intention to explore opportunities to invest in other companies. This approach ensures a strong commitment to the current medical projects and their development, while – in the longer term – remaining open to new strategic investments for continuous growth.</w:t>
      </w:r>
    </w:p>
    <w:p w14:paraId="60CC1DC5" w14:textId="77777777" w:rsidR="00DD7B85" w:rsidRDefault="00FA74DF">
      <w:pPr>
        <w:rPr>
          <w:color w:val="000000"/>
        </w:rPr>
      </w:pPr>
      <w:r>
        <w:rPr>
          <w:b/>
          <w:bCs/>
          <w:color w:val="000000"/>
        </w:rPr>
        <w:t>Attachment</w:t>
      </w:r>
    </w:p>
    <w:p w14:paraId="119EEF9A" w14:textId="77777777" w:rsidR="00DD7B85" w:rsidRDefault="00FA74DF">
      <w:pPr>
        <w:numPr>
          <w:ilvl w:val="0"/>
          <w:numId w:val="1"/>
        </w:numPr>
        <w:ind w:left="780" w:right="180"/>
        <w:rPr>
          <w:color w:val="000000"/>
        </w:rPr>
      </w:pPr>
      <w:hyperlink r:id="rId5">
        <w:r>
          <w:rPr>
            <w:rStyle w:val="Hyperlink"/>
          </w:rPr>
          <w:t>Company-announcement-number-12-en</w:t>
        </w:r>
      </w:hyperlink>
    </w:p>
    <w:p w14:paraId="195AA30A" w14:textId="77777777" w:rsidR="00DD7B85" w:rsidRDefault="00DD7B85">
      <w:pPr>
        <w:rPr>
          <w:rFonts w:ascii="Courier New" w:hAnsi="Courier New" w:cs="Courier New"/>
          <w:color w:val="000000"/>
        </w:rPr>
      </w:pPr>
    </w:p>
    <w:p w14:paraId="452D8409" w14:textId="77777777" w:rsidR="00DD7B85" w:rsidRDefault="00DD7B85">
      <w:pPr>
        <w:pBdr>
          <w:top w:val="single" w:sz="0" w:space="15" w:color="000000"/>
          <w:left w:val="none" w:sz="0" w:space="0" w:color="000000"/>
          <w:bottom w:val="none" w:sz="0" w:space="0" w:color="000000"/>
          <w:right w:val="none" w:sz="0" w:space="0" w:color="000000"/>
        </w:pBdr>
        <w:rPr>
          <w:color w:val="000000"/>
        </w:rPr>
      </w:pPr>
    </w:p>
    <w:p w14:paraId="7E2F1918" w14:textId="77777777" w:rsidR="00DD7B85" w:rsidRDefault="00DD7B85">
      <w:pPr>
        <w:spacing w:before="0" w:beforeAutospacing="0"/>
        <w:rPr>
          <w:color w:val="000000"/>
        </w:rPr>
      </w:pPr>
    </w:p>
    <w:sectPr w:rsidR="00DD7B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04E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12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8216B"/>
    <w:rsid w:val="004F7E17"/>
    <w:rsid w:val="005A05CE"/>
    <w:rsid w:val="00653AF6"/>
    <w:rsid w:val="00B73A5A"/>
    <w:rsid w:val="00DD7B85"/>
    <w:rsid w:val="00E438A1"/>
    <w:rsid w:val="00F01E19"/>
    <w:rsid w:val="00FA74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7851"/>
  <w15:docId w15:val="{DD80E2EF-F48C-411C-BBDF-8EDD3ECD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eu.globenewswire.com/Resource/Download/9b4e4081-778c-45e6-bd52-9c6e9a69fc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Ribkevice, Dominyka</cp:lastModifiedBy>
  <cp:revision>2</cp:revision>
  <dcterms:created xsi:type="dcterms:W3CDTF">2025-12-02T13:16:00Z</dcterms:created>
  <dcterms:modified xsi:type="dcterms:W3CDTF">2025-12-02T13:16:00Z</dcterms:modified>
</cp:coreProperties>
</file>