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B6CF" w14:textId="77777777" w:rsidR="006D4B76" w:rsidRPr="006D4B76" w:rsidRDefault="006D4B76" w:rsidP="006D4B7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MT </w:t>
      </w:r>
      <w:proofErr w:type="spellStart"/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>Højgaard</w:t>
      </w:r>
      <w:proofErr w:type="spellEnd"/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Holding A/S: </w:t>
      </w:r>
      <w:proofErr w:type="spellStart"/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>Transaktioner</w:t>
      </w:r>
      <w:proofErr w:type="spellEnd"/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>i</w:t>
      </w:r>
      <w:proofErr w:type="spellEnd"/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>forbindelse</w:t>
      </w:r>
      <w:proofErr w:type="spellEnd"/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med </w:t>
      </w:r>
      <w:proofErr w:type="spellStart"/>
      <w:r w:rsidRPr="006D4B76">
        <w:rPr>
          <w:rFonts w:ascii="Arial" w:eastAsia="Times New Roman" w:hAnsi="Arial" w:cs="Arial"/>
          <w:color w:val="000000"/>
          <w:kern w:val="36"/>
          <w:sz w:val="36"/>
          <w:szCs w:val="36"/>
        </w:rPr>
        <w:t>aktietilbagekøbsprogram</w:t>
      </w:r>
      <w:proofErr w:type="spellEnd"/>
    </w:p>
    <w:p w14:paraId="552C22EA" w14:textId="77777777" w:rsidR="006D4B76" w:rsidRPr="006D4B76" w:rsidRDefault="006D4B76" w:rsidP="006D4B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MT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Højgaard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Holding A/S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offentliggjorde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den 28.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september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2021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iværksættelsen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aktietilbagekøbsprogram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maksimalt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op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40.000 stk.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egne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aktier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samlet pris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op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11.000.000 kr. med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henblik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at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opfylde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forpligtelserne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under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selskabets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aktiebaserede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incitamentsprogram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1944490C" w14:textId="77777777" w:rsidR="006D4B76" w:rsidRPr="006D4B76" w:rsidRDefault="006D4B76" w:rsidP="006D4B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Aktietilbagekøbsprogrammet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gennemføres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efter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proofErr w:type="gram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såkaldte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”Safe</w:t>
      </w:r>
      <w:proofErr w:type="gram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Harbour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>”-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bestemmelser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Europa-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Parlamentets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Rådets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forordning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nr. 596/2014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16.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april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2014 (MAR)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samt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Kommissionens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delegerede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forordning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2016/1052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8. marts 2016.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Programmet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slutter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senest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den 18. marts 2022.</w:t>
      </w:r>
    </w:p>
    <w:p w14:paraId="6BB30342" w14:textId="77777777" w:rsidR="006D4B76" w:rsidRPr="006D4B76" w:rsidRDefault="006D4B76" w:rsidP="006D4B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Følgende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transaktioner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er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foretaget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perioden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22.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november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– 26.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november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2021:</w:t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1917"/>
        <w:gridCol w:w="1524"/>
        <w:gridCol w:w="2388"/>
      </w:tblGrid>
      <w:tr w:rsidR="006D4B76" w:rsidRPr="006D4B76" w14:paraId="3C016A4A" w14:textId="77777777" w:rsidTr="006D4B76"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0FA21" w14:textId="77777777" w:rsidR="006D4B76" w:rsidRPr="006D4B76" w:rsidRDefault="006D4B76" w:rsidP="006D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8A745" w14:textId="77777777" w:rsidR="006D4B76" w:rsidRPr="006D4B76" w:rsidRDefault="006D4B76" w:rsidP="006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Antal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aktier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5CF65" w14:textId="77777777" w:rsidR="006D4B76" w:rsidRPr="006D4B76" w:rsidRDefault="006D4B76" w:rsidP="006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Gennemsnitlig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købspris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(DKK)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21A8E" w14:textId="77777777" w:rsidR="006D4B76" w:rsidRPr="006D4B76" w:rsidRDefault="006D4B76" w:rsidP="006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Transaktionsværdi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(DKK)</w:t>
            </w:r>
          </w:p>
        </w:tc>
      </w:tr>
      <w:tr w:rsidR="006D4B76" w:rsidRPr="006D4B76" w14:paraId="30DE0148" w14:textId="77777777" w:rsidTr="006D4B76"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77546" w14:textId="77777777" w:rsidR="006D4B76" w:rsidRPr="006D4B76" w:rsidRDefault="006D4B76" w:rsidP="006D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Total,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seneste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opgørelse</w:t>
            </w:r>
            <w:proofErr w:type="spellEnd"/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14:paraId="3F3AB07B" w14:textId="77777777" w:rsidR="006D4B76" w:rsidRPr="006D4B76" w:rsidRDefault="006D4B76" w:rsidP="006D4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19.100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14:paraId="49914569" w14:textId="77777777" w:rsidR="006D4B76" w:rsidRPr="006D4B76" w:rsidRDefault="006D4B76" w:rsidP="006D4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14:paraId="6520A81B" w14:textId="77777777" w:rsidR="006D4B76" w:rsidRPr="006D4B76" w:rsidRDefault="006D4B76" w:rsidP="006D4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3.730.538</w:t>
            </w:r>
          </w:p>
        </w:tc>
      </w:tr>
      <w:tr w:rsidR="006D4B76" w:rsidRPr="006D4B76" w14:paraId="5AD918E9" w14:textId="77777777" w:rsidTr="006D4B76"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3E918" w14:textId="77777777" w:rsidR="006D4B76" w:rsidRPr="006D4B76" w:rsidRDefault="006D4B76" w:rsidP="006D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23.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24.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25.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26.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proofErr w:type="spellEnd"/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14:paraId="75721190" w14:textId="77777777" w:rsidR="006D4B76" w:rsidRPr="006D4B76" w:rsidRDefault="006D4B76" w:rsidP="006D4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400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400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500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410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14:paraId="3418A4F8" w14:textId="77777777" w:rsidR="006D4B76" w:rsidRPr="006D4B76" w:rsidRDefault="006D4B76" w:rsidP="006D4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218,52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215,60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221,74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221,56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217,49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14:paraId="307D880D" w14:textId="77777777" w:rsidR="006D4B76" w:rsidRPr="006D4B76" w:rsidRDefault="006D4B76" w:rsidP="006D4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t>109.260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86.240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88.696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110.780</w:t>
            </w:r>
            <w:r w:rsidRPr="006D4B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89.171</w:t>
            </w:r>
          </w:p>
        </w:tc>
      </w:tr>
      <w:tr w:rsidR="006D4B76" w:rsidRPr="006D4B76" w14:paraId="6984EDD7" w14:textId="77777777" w:rsidTr="006D4B76"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9D99B4" w14:textId="77777777" w:rsidR="006D4B76" w:rsidRPr="006D4B76" w:rsidRDefault="006D4B76" w:rsidP="006D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under </w:t>
            </w:r>
            <w:proofErr w:type="spellStart"/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tilbagekøbsprogrammet</w:t>
            </w:r>
            <w:proofErr w:type="spellEnd"/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14:paraId="1A1E8049" w14:textId="77777777" w:rsidR="006D4B76" w:rsidRPr="006D4B76" w:rsidRDefault="006D4B76" w:rsidP="006D4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21.310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14:paraId="1F2C2798" w14:textId="77777777" w:rsidR="006D4B76" w:rsidRPr="006D4B76" w:rsidRDefault="006D4B76" w:rsidP="006D4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14:paraId="7BF7B919" w14:textId="77777777" w:rsidR="006D4B76" w:rsidRPr="006D4B76" w:rsidRDefault="006D4B76" w:rsidP="006D4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4.214.685</w:t>
            </w:r>
          </w:p>
        </w:tc>
      </w:tr>
    </w:tbl>
    <w:p w14:paraId="2BA53164" w14:textId="77777777" w:rsidR="006D4B76" w:rsidRPr="006D4B76" w:rsidRDefault="006D4B76" w:rsidP="006D4B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Vedhæftet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denne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meddelelse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findes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detaljeret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oversigt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over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transaktioner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foretaget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perioden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22.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november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– 26.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november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2021.</w:t>
      </w:r>
    </w:p>
    <w:p w14:paraId="7B648C76" w14:textId="77777777" w:rsidR="006D4B76" w:rsidRPr="006D4B76" w:rsidRDefault="006D4B76" w:rsidP="006D4B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Efter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ovennævnte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transaktioner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ejer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MT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Højgaard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Holding A/S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alt 96.310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egne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aktier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svarende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1,24%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selskabets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samlede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aktiekapital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5B6D817A" w14:textId="77777777" w:rsidR="006D4B76" w:rsidRPr="006D4B76" w:rsidRDefault="006D4B76" w:rsidP="006D4B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6D4B76">
        <w:rPr>
          <w:rFonts w:ascii="Arial" w:eastAsia="Times New Roman" w:hAnsi="Arial" w:cs="Arial"/>
          <w:b/>
          <w:bCs/>
          <w:color w:val="000000"/>
          <w:sz w:val="23"/>
          <w:szCs w:val="23"/>
        </w:rPr>
        <w:t>Kontakt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: CFO Martin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Stig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Solberg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kontaktes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via </w:t>
      </w:r>
      <w:proofErr w:type="spellStart"/>
      <w:r w:rsidRPr="006D4B76">
        <w:rPr>
          <w:rFonts w:ascii="Arial" w:eastAsia="Times New Roman" w:hAnsi="Arial" w:cs="Arial"/>
          <w:color w:val="000000"/>
          <w:sz w:val="23"/>
          <w:szCs w:val="23"/>
        </w:rPr>
        <w:t>telefon</w:t>
      </w:r>
      <w:proofErr w:type="spellEnd"/>
      <w:r w:rsidRPr="006D4B76">
        <w:rPr>
          <w:rFonts w:ascii="Arial" w:eastAsia="Times New Roman" w:hAnsi="Arial" w:cs="Arial"/>
          <w:color w:val="000000"/>
          <w:sz w:val="23"/>
          <w:szCs w:val="23"/>
        </w:rPr>
        <w:t xml:space="preserve"> +45 2270 9365</w:t>
      </w:r>
    </w:p>
    <w:p w14:paraId="2DBD6EFA" w14:textId="77777777" w:rsidR="00BB735A" w:rsidRDefault="006D4B76"/>
    <w:sectPr w:rsidR="00BB7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76"/>
    <w:rsid w:val="004570F4"/>
    <w:rsid w:val="00463875"/>
    <w:rsid w:val="006D4B76"/>
    <w:rsid w:val="00C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DA83"/>
  <w15:chartTrackingRefBased/>
  <w15:docId w15:val="{4A06D81F-3B43-4ECA-9804-CD9F44DF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B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D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Dziuzaite, Sandra</dc:creator>
  <cp:keywords/>
  <dc:description/>
  <cp:lastModifiedBy>Dziuzaite, Sandra</cp:lastModifiedBy>
  <cp:revision>1</cp:revision>
  <dcterms:created xsi:type="dcterms:W3CDTF">2021-12-01T09:44:00Z</dcterms:created>
  <dcterms:modified xsi:type="dcterms:W3CDTF">2021-12-01T09:44:00Z</dcterms:modified>
</cp:coreProperties>
</file>