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9B275C" w:rsidRPr="009B275C" w:rsidTr="009B275C">
        <w:tc>
          <w:tcPr>
            <w:tcW w:w="0" w:type="auto"/>
            <w:shd w:val="clear" w:color="auto" w:fill="FFFFFF"/>
            <w:hideMark/>
          </w:tcPr>
          <w:p w:rsidR="009B275C" w:rsidRPr="009B275C" w:rsidRDefault="009B275C" w:rsidP="009B275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 wp14:anchorId="4A865282" wp14:editId="1E182CC8">
                  <wp:extent cx="2619375" cy="952500"/>
                  <wp:effectExtent l="0" t="0" r="9525" b="0"/>
                  <wp:docPr id="1" name="Picture 1" descr="https://newsclient.omxgroup.com/cds/logo?dpId=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client.omxgroup.com/cds/logo?dpId=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75C" w:rsidRPr="009B275C" w:rsidTr="009B275C">
        <w:tc>
          <w:tcPr>
            <w:tcW w:w="0" w:type="auto"/>
            <w:shd w:val="clear" w:color="auto" w:fill="FFFFFF"/>
            <w:vAlign w:val="center"/>
            <w:hideMark/>
          </w:tcPr>
          <w:p w:rsidR="009B275C" w:rsidRPr="009B275C" w:rsidRDefault="009B275C" w:rsidP="009B275C">
            <w:pPr>
              <w:spacing w:before="100" w:beforeAutospacing="1" w:after="100" w:afterAutospacing="1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Holding</w:t>
            </w:r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br/>
              <w:t xml:space="preserve">Intern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t>viden</w:t>
            </w:r>
            <w:proofErr w:type="spellEnd"/>
          </w:p>
          <w:p w:rsidR="009B275C" w:rsidRPr="009B275C" w:rsidRDefault="009B275C" w:rsidP="009B275C">
            <w:pPr>
              <w:spacing w:before="270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Selskabsmeddelelse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nr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. 9 / 2017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restrukturerer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sine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svenske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f</w:t>
            </w:r>
            <w:bookmarkStart w:id="0" w:name="_GoBack"/>
            <w:bookmarkEnd w:id="0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orretningsaktiviteter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henblik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effektivisere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ogskabe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stærk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distribution under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brandet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København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 2017-10-16 09:06 CEST (GLOBE NEWSWIRE) -- 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restrukturerer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sine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svenske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forretningsaktiviteter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henblik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effektivisere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skabe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stærk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distribution under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Reorganisering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forretningsstruktur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Holding A/S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godkendt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plan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forretningsstruktur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sker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henblik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sikre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mere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enkel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forretningsstruktur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konkurrencedygtigt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bedst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muligt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møder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udfordringerne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marked under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konstant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forandring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Med sin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beslutning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igangsat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proces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overordnet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forretningsmodel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tydeligt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brand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under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central del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datterselskaber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forsikringsformidling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under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Udviklingsdirektør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Ole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Rosholm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udtaler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”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meget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tilfredsstillende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, at vi nu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tager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dette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næste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skridt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vores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strategiplan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2017-19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fremover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samlet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rådgivnings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forsikringsformidlingsaktiviteter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videreudvikle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positionere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førende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integreret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aktør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svenske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marked.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Udviklingen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samlet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under et brand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centralt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punkt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vort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fremtidige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møde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kunderne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vækstfundamentet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finansielle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mål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.”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planen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Monyx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AB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udgangen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skifter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navn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AB.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Monyx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fremover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alene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dække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kapitalforvaltning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egne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Udvikling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samlet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aktør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forsikringsformidling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rådgivning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opsparing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styrker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sit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produktudbud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integreres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nye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regulatoriske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forhold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MIFID II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IDD,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henblik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knytte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samarbejdet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tættere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muliggøre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mere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direkte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eksponering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positionering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3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største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svenske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marked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forsikringsformidling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kapitalforvaltning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store banker.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kæden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over hele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Sverige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positioneret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lokalt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nærvær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kombinerer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store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organisations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tyngde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lokale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tilstedeværelses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hurtighed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lydhørhed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understøttelse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forsikringsmæglerplatform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giver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optimal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rådgivningsstøtte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enkelte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mægler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overfor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platformen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relevante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infrastruktur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bl.a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omfatter</w:t>
            </w:r>
            <w:proofErr w:type="spellEnd"/>
            <w:proofErr w:type="gram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værktøjer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støtte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compliance, IT, service,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indkøb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m.v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platform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omfatter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bl.a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.: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WebCap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eget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IT system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anvendte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IT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systemer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Præmiecentral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håndtering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opkrævning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betaling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forsikringspræmier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Værdipapir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platform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Värdepapperbolag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investeringsrådgivning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Etablering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egne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depoter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opsparing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Gruppeforsikringer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målsætning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tilbyde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privatpersoner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virksomheder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nogle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markedets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bedste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produkter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løsninger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både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omfatter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egne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tredjepartsprodukter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Dermed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forudsætningerne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positionere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sig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stærk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leverandør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markedet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forsikringsformidling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opsparing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Ny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organisationsstruktur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væsentlige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funktioner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henblik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sikre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bedst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mulige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leveranceorganisation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understøttelse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værdiskabelse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vækst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indtægtsgenerering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fortsat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opbygning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fremtidige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markedsposition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ledende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rådgivningsaktør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indenfor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opsparing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I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forbindelse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etableres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ny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ledelsesgruppe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svenske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under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ledelse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verkställande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direktör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) Johan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Wagmann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vicedirektør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Emil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Westgreen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fortsat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refererer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Udviklingsdirektør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Holding A/S, Ole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Rosholm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nedlægges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integreres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øvrige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forretningsområder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planen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nedlægges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selvstændigt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forretningsområde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igangsættes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proces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integrering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øvrige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forretningsområder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Administrerende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Peter Steen Christensen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udtaler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lastRenderedPageBreak/>
              <w:t xml:space="preserve">”Vi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gode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muligheder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for at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få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mere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ud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forretningen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integreret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må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også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erkende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omkostningerne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ved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omstille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forretningsmodellen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høje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nuværende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setup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ikke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muligt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opnå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tilfredsstillende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sammenhæng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mellem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kundetilgang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omkostninger</w:t>
            </w:r>
            <w:proofErr w:type="spellEnd"/>
            <w:r w:rsidRPr="009B275C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/>
              </w:rPr>
              <w:t>.”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Holding A/S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fokuseret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løsning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dels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sikrer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optimale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servicering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dels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giver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bedre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sammenhæng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mellem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indtægter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udgifter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Dermed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bidrage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fortsatte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værdiskabelse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både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igangsatte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restrukturering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omfatter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bl.a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.:</w:t>
            </w:r>
            <w:proofErr w:type="gram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kundeaftaler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overdrages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Monyx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100%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ejede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datterselskab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Factor Insurance Brokers AB,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også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dag driver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forsikringsmæglervirksomhed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etableres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franchisestruktur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kundehåndtering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foregå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særskilte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selskaber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nuværende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rådgivere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tilbydes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medejerskab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franchisetagere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proofErr w:type="gram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indgås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franchiseaftale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om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fortsatte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virksomhed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nyetablerede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selskaber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forsikringsområdet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Factor Insurance Brokers AB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opsparings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værdipapirområdet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tilknyttet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tilbud</w:t>
            </w:r>
            <w:proofErr w:type="spellEnd"/>
          </w:p>
          <w:p w:rsidR="009B275C" w:rsidRPr="009B275C" w:rsidRDefault="009B275C" w:rsidP="009B275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række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funktioner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nedlægges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eller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bortfalder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medfører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nuværende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indtægter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omkostninger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overføres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franchiseselskaber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fremover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blive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konsolideret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NewCaps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koncernregnskab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men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indregnes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resultatandel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associerede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virksomheder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fremadrettede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aftalemæssige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ret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kundernes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kapital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under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forvaltning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fortsat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virksomhed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værdiskabelse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nedlægges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selskaber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kunderettede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hidtidigt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drevet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medfører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række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hidtidig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udført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ophører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eller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bortfalder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hvorved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omkostninger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reduceres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betydeligt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planlagte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ændringer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nedlægges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30-40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stillinger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tidligere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hovedejere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Alexander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Strömstedt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Toni Song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Anders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Hedenfalk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fratræder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forbindelse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formelle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roller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iZave-koncernen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administrerende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direktør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CFO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bestyrelsesmedlemmer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indtræde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interne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konsulenter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integrering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bidrage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styrke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brandet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gøre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Hjertas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produkter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løsninger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tilgængelig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bredere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kundekreds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Samtidig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hermed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sikres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at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økonomiske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rentabilitet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forbedres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betydeligt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Ændring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forretningssegmenter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følge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gennemførte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fremtidige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rapportering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segmenter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blive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ændret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1. </w:t>
            </w:r>
            <w:proofErr w:type="spellStart"/>
            <w:proofErr w:type="gram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januar</w:t>
            </w:r>
            <w:proofErr w:type="spellEnd"/>
            <w:proofErr w:type="gram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2018,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således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forretningssegmentet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ophører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bliver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integreret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øvrige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forretningsmodel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fremover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alene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segment,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som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omfatter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aktiviteter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overensstemmelse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ledelses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styringsstruktur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Indvirkning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udmeldte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forventninger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for 2017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finansielle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mål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godkendte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plan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tiltag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væsentlig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fremtidige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vækstfundament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Bestyrelsens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har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fokus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realisere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omkostningsreduktioner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effektiviseringer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der ligger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grund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mål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om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lavere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omkostningsprocent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mod 2020.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Nedlægningen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række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funktioner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medfører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række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engangsomkostninger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herunder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fratrædelse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personale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alt ca. DKK 10 – 16 </w:t>
            </w:r>
            <w:proofErr w:type="spellStart"/>
            <w:proofErr w:type="gram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mio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.,</w:t>
            </w:r>
            <w:proofErr w:type="gram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afhængig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hvilket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tempo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faktiske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afvikling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gennemføres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påvirker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tidligere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udmeldte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negativt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således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tidligere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udmeldte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negative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driftsresultat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intervallet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DKK -31 - -35 nu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udgøre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DKK -41 - -51.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nævnte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tiltag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ikke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påvirke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tidligere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foretagne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udmelding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Monyx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2017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driftsresultat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DKK 41 – 45. For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vil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reorganiseringen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nævnte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engangsomkostninger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påvirke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tidligere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annoncerede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forventninger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negativt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hvorfor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koncernen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samlet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driftsresultat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DKK -16 – 0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mio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planlagte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ændringer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omkring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iZave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forventes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allerede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2018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medføre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betydelig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positiv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effekt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fremtidige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driftsindtjening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dermed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også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fastlagte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strategi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om at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fastsatte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finansielle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mål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for 2020 om et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driftsresultat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på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+ DKK 75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mio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Med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venlig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hilsen</w:t>
            </w:r>
            <w:proofErr w:type="spellEnd"/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NewCap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Holding A/S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For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yderligere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information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kontakt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venligst</w:t>
            </w:r>
            <w:proofErr w:type="spellEnd"/>
            <w:r w:rsidRPr="009B2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Peter Steen Christensen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9B27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 +45 2370 5885</w:t>
            </w:r>
          </w:p>
          <w:p w:rsidR="009B275C" w:rsidRPr="009B275C" w:rsidRDefault="009B275C" w:rsidP="009B27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9B275C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Email: info@newcap.dk</w:t>
            </w:r>
          </w:p>
        </w:tc>
      </w:tr>
    </w:tbl>
    <w:p w:rsidR="00D46666" w:rsidRDefault="00D46666"/>
    <w:sectPr w:rsidR="00D4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545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B12B1"/>
    <w:multiLevelType w:val="multilevel"/>
    <w:tmpl w:val="5CF8FD02"/>
    <w:lvl w:ilvl="0">
      <w:start w:val="1"/>
      <w:numFmt w:val="lowerLetter"/>
      <w:pStyle w:val="LetteredFootnote"/>
      <w:lvlText w:val="(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69122A"/>
    <w:multiLevelType w:val="hybridMultilevel"/>
    <w:tmpl w:val="D9504B3C"/>
    <w:lvl w:ilvl="0" w:tplc="415CE8BA">
      <w:start w:val="1"/>
      <w:numFmt w:val="bullet"/>
      <w:pStyle w:val="ListBullet"/>
      <w:lvlText w:val="·"/>
      <w:lvlJc w:val="left"/>
      <w:pPr>
        <w:tabs>
          <w:tab w:val="num" w:pos="0"/>
        </w:tabs>
        <w:ind w:left="1077" w:hanging="360"/>
      </w:pPr>
      <w:rPr>
        <w:rFonts w:ascii="Symbol" w:hAnsi="Symbol" w:hint="default"/>
        <w:i w:val="0"/>
      </w:rPr>
    </w:lvl>
    <w:lvl w:ilvl="1" w:tplc="ED904E40">
      <w:start w:val="1"/>
      <w:numFmt w:val="bullet"/>
      <w:lvlText w:val="o"/>
      <w:lvlJc w:val="left"/>
      <w:pPr>
        <w:tabs>
          <w:tab w:val="num" w:pos="0"/>
        </w:tabs>
        <w:ind w:left="1797" w:hanging="360"/>
      </w:pPr>
    </w:lvl>
    <w:lvl w:ilvl="2" w:tplc="3C841B74">
      <w:start w:val="1"/>
      <w:numFmt w:val="bullet"/>
      <w:lvlText w:val="§"/>
      <w:lvlJc w:val="left"/>
      <w:pPr>
        <w:tabs>
          <w:tab w:val="num" w:pos="0"/>
        </w:tabs>
        <w:ind w:left="2517" w:hanging="360"/>
      </w:pPr>
    </w:lvl>
    <w:lvl w:ilvl="3" w:tplc="A8820F96">
      <w:start w:val="1"/>
      <w:numFmt w:val="bullet"/>
      <w:lvlText w:val="·"/>
      <w:lvlJc w:val="left"/>
      <w:pPr>
        <w:tabs>
          <w:tab w:val="num" w:pos="0"/>
        </w:tabs>
        <w:ind w:left="3237" w:hanging="360"/>
      </w:pPr>
    </w:lvl>
    <w:lvl w:ilvl="4" w:tplc="6D0CF176">
      <w:start w:val="1"/>
      <w:numFmt w:val="bullet"/>
      <w:lvlText w:val="o"/>
      <w:lvlJc w:val="left"/>
      <w:pPr>
        <w:tabs>
          <w:tab w:val="num" w:pos="0"/>
        </w:tabs>
        <w:ind w:left="3957" w:hanging="360"/>
      </w:pPr>
    </w:lvl>
    <w:lvl w:ilvl="5" w:tplc="0172BBFC">
      <w:start w:val="1"/>
      <w:numFmt w:val="bullet"/>
      <w:lvlText w:val="§"/>
      <w:lvlJc w:val="left"/>
      <w:pPr>
        <w:tabs>
          <w:tab w:val="num" w:pos="0"/>
        </w:tabs>
        <w:ind w:left="4677" w:hanging="360"/>
      </w:pPr>
    </w:lvl>
    <w:lvl w:ilvl="6" w:tplc="36FCDE3E">
      <w:start w:val="1"/>
      <w:numFmt w:val="bullet"/>
      <w:lvlText w:val="·"/>
      <w:lvlJc w:val="left"/>
      <w:pPr>
        <w:tabs>
          <w:tab w:val="num" w:pos="0"/>
        </w:tabs>
        <w:ind w:left="5397" w:hanging="360"/>
      </w:pPr>
    </w:lvl>
    <w:lvl w:ilvl="7" w:tplc="913893DE">
      <w:start w:val="1"/>
      <w:numFmt w:val="bullet"/>
      <w:lvlText w:val="o"/>
      <w:lvlJc w:val="left"/>
      <w:pPr>
        <w:tabs>
          <w:tab w:val="num" w:pos="0"/>
        </w:tabs>
        <w:ind w:left="6117" w:hanging="360"/>
      </w:pPr>
    </w:lvl>
    <w:lvl w:ilvl="8" w:tplc="4E36EF6A">
      <w:start w:val="1"/>
      <w:numFmt w:val="bullet"/>
      <w:lvlText w:val="§"/>
      <w:lvlJc w:val="left"/>
      <w:pPr>
        <w:tabs>
          <w:tab w:val="num" w:pos="0"/>
        </w:tabs>
        <w:ind w:left="6837" w:hanging="360"/>
      </w:pPr>
    </w:lvl>
  </w:abstractNum>
  <w:abstractNum w:abstractNumId="3">
    <w:nsid w:val="6DB63825"/>
    <w:multiLevelType w:val="multilevel"/>
    <w:tmpl w:val="49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47542"/>
    <w:multiLevelType w:val="multilevel"/>
    <w:tmpl w:val="6F6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5C"/>
    <w:rsid w:val="00066E07"/>
    <w:rsid w:val="001E3795"/>
    <w:rsid w:val="002653D5"/>
    <w:rsid w:val="00274038"/>
    <w:rsid w:val="002C1812"/>
    <w:rsid w:val="00307C9D"/>
    <w:rsid w:val="003E1433"/>
    <w:rsid w:val="00574B41"/>
    <w:rsid w:val="005C03EE"/>
    <w:rsid w:val="00643715"/>
    <w:rsid w:val="006720BE"/>
    <w:rsid w:val="0085569C"/>
    <w:rsid w:val="00881867"/>
    <w:rsid w:val="009B275C"/>
    <w:rsid w:val="00AA1DF0"/>
    <w:rsid w:val="00AC1B2A"/>
    <w:rsid w:val="00B03D74"/>
    <w:rsid w:val="00B47CE5"/>
    <w:rsid w:val="00B704CA"/>
    <w:rsid w:val="00B95E84"/>
    <w:rsid w:val="00C21F23"/>
    <w:rsid w:val="00CD2342"/>
    <w:rsid w:val="00D46666"/>
    <w:rsid w:val="00DE0C26"/>
    <w:rsid w:val="00E74E8E"/>
    <w:rsid w:val="00F6191B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3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9D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7C9D"/>
    <w:pPr>
      <w:keepNext/>
      <w:jc w:val="both"/>
      <w:outlineLvl w:val="0"/>
    </w:pPr>
    <w:rPr>
      <w:rFonts w:ascii="Verdana" w:eastAsiaTheme="majorEastAsia" w:hAnsi="Verdana" w:cstheme="majorBidi"/>
      <w:b/>
      <w:bCs/>
      <w:sz w:val="16"/>
    </w:rPr>
  </w:style>
  <w:style w:type="paragraph" w:styleId="Heading2">
    <w:name w:val="heading 2"/>
    <w:basedOn w:val="Normal"/>
    <w:next w:val="Normal"/>
    <w:link w:val="Heading2Char"/>
    <w:unhideWhenUsed/>
    <w:qFormat/>
    <w:rsid w:val="00307C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C9D"/>
    <w:pPr>
      <w:keepNext/>
      <w:jc w:val="both"/>
      <w:outlineLvl w:val="3"/>
    </w:pPr>
    <w:rPr>
      <w:rFonts w:ascii="Verdana" w:eastAsia="Times New Roman" w:hAnsi="Verdana" w:cs="Times New Rom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307C9D"/>
    <w:pPr>
      <w:keepNext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7C9D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07C9D"/>
    <w:pPr>
      <w:keepNext/>
      <w:jc w:val="right"/>
      <w:outlineLvl w:val="6"/>
    </w:pPr>
    <w:rPr>
      <w:rFonts w:ascii="Arial" w:eastAsia="Times New Roman" w:hAnsi="Arial" w:cs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 Single"/>
    <w:basedOn w:val="BodyText"/>
    <w:link w:val="BodySingleChar"/>
    <w:uiPriority w:val="1"/>
    <w:qFormat/>
    <w:rsid w:val="00307C9D"/>
    <w:pPr>
      <w:spacing w:after="0"/>
    </w:pPr>
    <w:rPr>
      <w:rFonts w:ascii="Georgia" w:eastAsia="Times New Roman" w:hAnsi="Georgia" w:cs="Georgia"/>
      <w:sz w:val="18"/>
      <w:szCs w:val="18"/>
      <w:lang w:eastAsia="en-GB"/>
    </w:rPr>
  </w:style>
  <w:style w:type="character" w:customStyle="1" w:styleId="BodySingleChar">
    <w:name w:val="Body Single Char"/>
    <w:link w:val="BodySingle"/>
    <w:uiPriority w:val="1"/>
    <w:locked/>
    <w:rsid w:val="00307C9D"/>
    <w:rPr>
      <w:rFonts w:ascii="Georgia" w:eastAsia="Times New Roman" w:hAnsi="Georgia" w:cs="Georgia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C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C9D"/>
  </w:style>
  <w:style w:type="paragraph" w:customStyle="1" w:styleId="LetteredFootnote">
    <w:name w:val="LetteredFootnote"/>
    <w:basedOn w:val="BodyText"/>
    <w:qFormat/>
    <w:rsid w:val="00307C9D"/>
    <w:pPr>
      <w:numPr>
        <w:numId w:val="4"/>
      </w:numPr>
    </w:pPr>
    <w:rPr>
      <w:rFonts w:ascii="Georgia" w:eastAsia="Times New Roman" w:hAnsi="Georgia" w:cs="Georgia"/>
      <w:sz w:val="18"/>
      <w:szCs w:val="18"/>
      <w:lang w:eastAsia="en-GB"/>
    </w:rPr>
  </w:style>
  <w:style w:type="paragraph" w:customStyle="1" w:styleId="ReportTitle">
    <w:name w:val="Report Title"/>
    <w:basedOn w:val="Heading1First"/>
    <w:qFormat/>
    <w:rsid w:val="00307C9D"/>
    <w:pPr>
      <w:spacing w:after="360"/>
    </w:pPr>
    <w:rPr>
      <w:i/>
      <w:sz w:val="32"/>
      <w:szCs w:val="32"/>
    </w:rPr>
  </w:style>
  <w:style w:type="paragraph" w:customStyle="1" w:styleId="Heading1First">
    <w:name w:val="Heading 1 First"/>
    <w:basedOn w:val="Heading1"/>
    <w:qFormat/>
    <w:rsid w:val="00307C9D"/>
    <w:pPr>
      <w:keepLines/>
      <w:spacing w:after="120"/>
      <w:jc w:val="left"/>
    </w:pPr>
    <w:rPr>
      <w:rFonts w:ascii="Georgia" w:eastAsia="Times New Roman" w:hAnsi="Georgia" w:cs="Georgia"/>
      <w:bCs w:val="0"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307C9D"/>
    <w:rPr>
      <w:rFonts w:ascii="Verdana" w:eastAsiaTheme="majorEastAsia" w:hAnsi="Verdana" w:cstheme="majorBidi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307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C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7C9D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307C9D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07C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07C9D"/>
    <w:rPr>
      <w:rFonts w:ascii="Arial" w:eastAsia="Times New Roman" w:hAnsi="Arial" w:cs="Arial"/>
      <w:b/>
      <w:szCs w:val="24"/>
      <w:lang w:eastAsia="en-GB"/>
    </w:rPr>
  </w:style>
  <w:style w:type="paragraph" w:styleId="ListBullet">
    <w:name w:val="List Bullet"/>
    <w:basedOn w:val="Normal"/>
    <w:uiPriority w:val="13"/>
    <w:qFormat/>
    <w:rsid w:val="00307C9D"/>
    <w:pPr>
      <w:numPr>
        <w:numId w:val="3"/>
      </w:numPr>
      <w:tabs>
        <w:tab w:val="left" w:pos="720"/>
      </w:tabs>
      <w:spacing w:after="120"/>
    </w:pPr>
    <w:rPr>
      <w:rFonts w:ascii="Georgia" w:eastAsia="Times New Roman" w:hAnsi="Georgia" w:cs="Georgia"/>
      <w:sz w:val="18"/>
      <w:szCs w:val="18"/>
      <w:lang w:eastAsia="en-GB"/>
    </w:rPr>
  </w:style>
  <w:style w:type="paragraph" w:styleId="Title">
    <w:name w:val="Title"/>
    <w:basedOn w:val="Normal"/>
    <w:link w:val="TitleChar"/>
    <w:qFormat/>
    <w:rsid w:val="00307C9D"/>
    <w:pPr>
      <w:spacing w:line="360" w:lineRule="auto"/>
      <w:jc w:val="center"/>
    </w:pPr>
    <w:rPr>
      <w:rFonts w:ascii="Verdana" w:eastAsia="Times New Roman" w:hAnsi="Verdana" w:cs="Times New Roman"/>
      <w:b/>
      <w:bCs/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07C9D"/>
    <w:rPr>
      <w:rFonts w:ascii="Verdana" w:eastAsia="Times New Roman" w:hAnsi="Verdana" w:cs="Times New Roman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07C9D"/>
    <w:pPr>
      <w:ind w:left="720"/>
      <w:contextualSpacing/>
    </w:pPr>
    <w:rPr>
      <w:rFonts w:ascii="Garamond" w:eastAsia="Times New Roman" w:hAnsi="Garamond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B27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9B275C"/>
    <w:rPr>
      <w:b/>
      <w:bCs/>
    </w:rPr>
  </w:style>
  <w:style w:type="character" w:styleId="Emphasis">
    <w:name w:val="Emphasis"/>
    <w:basedOn w:val="DefaultParagraphFont"/>
    <w:uiPriority w:val="20"/>
    <w:qFormat/>
    <w:rsid w:val="009B275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3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9D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7C9D"/>
    <w:pPr>
      <w:keepNext/>
      <w:jc w:val="both"/>
      <w:outlineLvl w:val="0"/>
    </w:pPr>
    <w:rPr>
      <w:rFonts w:ascii="Verdana" w:eastAsiaTheme="majorEastAsia" w:hAnsi="Verdana" w:cstheme="majorBidi"/>
      <w:b/>
      <w:bCs/>
      <w:sz w:val="16"/>
    </w:rPr>
  </w:style>
  <w:style w:type="paragraph" w:styleId="Heading2">
    <w:name w:val="heading 2"/>
    <w:basedOn w:val="Normal"/>
    <w:next w:val="Normal"/>
    <w:link w:val="Heading2Char"/>
    <w:unhideWhenUsed/>
    <w:qFormat/>
    <w:rsid w:val="00307C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C9D"/>
    <w:pPr>
      <w:keepNext/>
      <w:jc w:val="both"/>
      <w:outlineLvl w:val="3"/>
    </w:pPr>
    <w:rPr>
      <w:rFonts w:ascii="Verdana" w:eastAsia="Times New Roman" w:hAnsi="Verdana" w:cs="Times New Rom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307C9D"/>
    <w:pPr>
      <w:keepNext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7C9D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07C9D"/>
    <w:pPr>
      <w:keepNext/>
      <w:jc w:val="right"/>
      <w:outlineLvl w:val="6"/>
    </w:pPr>
    <w:rPr>
      <w:rFonts w:ascii="Arial" w:eastAsia="Times New Roman" w:hAnsi="Arial" w:cs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 Single"/>
    <w:basedOn w:val="BodyText"/>
    <w:link w:val="BodySingleChar"/>
    <w:uiPriority w:val="1"/>
    <w:qFormat/>
    <w:rsid w:val="00307C9D"/>
    <w:pPr>
      <w:spacing w:after="0"/>
    </w:pPr>
    <w:rPr>
      <w:rFonts w:ascii="Georgia" w:eastAsia="Times New Roman" w:hAnsi="Georgia" w:cs="Georgia"/>
      <w:sz w:val="18"/>
      <w:szCs w:val="18"/>
      <w:lang w:eastAsia="en-GB"/>
    </w:rPr>
  </w:style>
  <w:style w:type="character" w:customStyle="1" w:styleId="BodySingleChar">
    <w:name w:val="Body Single Char"/>
    <w:link w:val="BodySingle"/>
    <w:uiPriority w:val="1"/>
    <w:locked/>
    <w:rsid w:val="00307C9D"/>
    <w:rPr>
      <w:rFonts w:ascii="Georgia" w:eastAsia="Times New Roman" w:hAnsi="Georgia" w:cs="Georgia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C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C9D"/>
  </w:style>
  <w:style w:type="paragraph" w:customStyle="1" w:styleId="LetteredFootnote">
    <w:name w:val="LetteredFootnote"/>
    <w:basedOn w:val="BodyText"/>
    <w:qFormat/>
    <w:rsid w:val="00307C9D"/>
    <w:pPr>
      <w:numPr>
        <w:numId w:val="4"/>
      </w:numPr>
    </w:pPr>
    <w:rPr>
      <w:rFonts w:ascii="Georgia" w:eastAsia="Times New Roman" w:hAnsi="Georgia" w:cs="Georgia"/>
      <w:sz w:val="18"/>
      <w:szCs w:val="18"/>
      <w:lang w:eastAsia="en-GB"/>
    </w:rPr>
  </w:style>
  <w:style w:type="paragraph" w:customStyle="1" w:styleId="ReportTitle">
    <w:name w:val="Report Title"/>
    <w:basedOn w:val="Heading1First"/>
    <w:qFormat/>
    <w:rsid w:val="00307C9D"/>
    <w:pPr>
      <w:spacing w:after="360"/>
    </w:pPr>
    <w:rPr>
      <w:i/>
      <w:sz w:val="32"/>
      <w:szCs w:val="32"/>
    </w:rPr>
  </w:style>
  <w:style w:type="paragraph" w:customStyle="1" w:styleId="Heading1First">
    <w:name w:val="Heading 1 First"/>
    <w:basedOn w:val="Heading1"/>
    <w:qFormat/>
    <w:rsid w:val="00307C9D"/>
    <w:pPr>
      <w:keepLines/>
      <w:spacing w:after="120"/>
      <w:jc w:val="left"/>
    </w:pPr>
    <w:rPr>
      <w:rFonts w:ascii="Georgia" w:eastAsia="Times New Roman" w:hAnsi="Georgia" w:cs="Georgia"/>
      <w:bCs w:val="0"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307C9D"/>
    <w:rPr>
      <w:rFonts w:ascii="Verdana" w:eastAsiaTheme="majorEastAsia" w:hAnsi="Verdana" w:cstheme="majorBidi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307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C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7C9D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307C9D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07C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07C9D"/>
    <w:rPr>
      <w:rFonts w:ascii="Arial" w:eastAsia="Times New Roman" w:hAnsi="Arial" w:cs="Arial"/>
      <w:b/>
      <w:szCs w:val="24"/>
      <w:lang w:eastAsia="en-GB"/>
    </w:rPr>
  </w:style>
  <w:style w:type="paragraph" w:styleId="ListBullet">
    <w:name w:val="List Bullet"/>
    <w:basedOn w:val="Normal"/>
    <w:uiPriority w:val="13"/>
    <w:qFormat/>
    <w:rsid w:val="00307C9D"/>
    <w:pPr>
      <w:numPr>
        <w:numId w:val="3"/>
      </w:numPr>
      <w:tabs>
        <w:tab w:val="left" w:pos="720"/>
      </w:tabs>
      <w:spacing w:after="120"/>
    </w:pPr>
    <w:rPr>
      <w:rFonts w:ascii="Georgia" w:eastAsia="Times New Roman" w:hAnsi="Georgia" w:cs="Georgia"/>
      <w:sz w:val="18"/>
      <w:szCs w:val="18"/>
      <w:lang w:eastAsia="en-GB"/>
    </w:rPr>
  </w:style>
  <w:style w:type="paragraph" w:styleId="Title">
    <w:name w:val="Title"/>
    <w:basedOn w:val="Normal"/>
    <w:link w:val="TitleChar"/>
    <w:qFormat/>
    <w:rsid w:val="00307C9D"/>
    <w:pPr>
      <w:spacing w:line="360" w:lineRule="auto"/>
      <w:jc w:val="center"/>
    </w:pPr>
    <w:rPr>
      <w:rFonts w:ascii="Verdana" w:eastAsia="Times New Roman" w:hAnsi="Verdana" w:cs="Times New Roman"/>
      <w:b/>
      <w:bCs/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07C9D"/>
    <w:rPr>
      <w:rFonts w:ascii="Verdana" w:eastAsia="Times New Roman" w:hAnsi="Verdana" w:cs="Times New Roman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07C9D"/>
    <w:pPr>
      <w:ind w:left="720"/>
      <w:contextualSpacing/>
    </w:pPr>
    <w:rPr>
      <w:rFonts w:ascii="Garamond" w:eastAsia="Times New Roman" w:hAnsi="Garamond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B27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9B275C"/>
    <w:rPr>
      <w:b/>
      <w:bCs/>
    </w:rPr>
  </w:style>
  <w:style w:type="character" w:styleId="Emphasis">
    <w:name w:val="Emphasis"/>
    <w:basedOn w:val="DefaultParagraphFont"/>
    <w:uiPriority w:val="20"/>
    <w:qFormat/>
    <w:rsid w:val="009B275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7892</Characters>
  <Application>Microsoft Office Word</Application>
  <DocSecurity>0</DocSecurity>
  <Lines>65</Lines>
  <Paragraphs>18</Paragraphs>
  <ScaleCrop>false</ScaleCrop>
  <Company>The Nasdaq OMX Group, Inc.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Meškutavičius</dc:creator>
  <cp:lastModifiedBy>Tomas Meškutavičius</cp:lastModifiedBy>
  <cp:revision>1</cp:revision>
  <dcterms:created xsi:type="dcterms:W3CDTF">2017-10-16T08:05:00Z</dcterms:created>
  <dcterms:modified xsi:type="dcterms:W3CDTF">2017-10-16T08:06:00Z</dcterms:modified>
</cp:coreProperties>
</file>