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A4E" w:rsidRPr="006F19F7" w:rsidRDefault="007B3A4E" w:rsidP="007B3A4E">
      <w:pPr>
        <w:pStyle w:val="BasicParagraph"/>
        <w:rPr>
          <w:rFonts w:ascii="Verdana" w:hAnsi="Verdana"/>
          <w:sz w:val="18"/>
          <w:szCs w:val="18"/>
        </w:rPr>
      </w:pPr>
    </w:p>
    <w:p w:rsidR="00A06C6B" w:rsidRPr="00957FAD" w:rsidRDefault="00957FAD" w:rsidP="00A06C6B">
      <w:pPr>
        <w:pStyle w:val="BasicParagraph"/>
        <w:rPr>
          <w:sz w:val="20"/>
        </w:rPr>
      </w:pPr>
      <w:r w:rsidRPr="00957FAD">
        <w:rPr>
          <w:rFonts w:ascii="Verdana" w:hAnsi="Verdana" w:cs="Arial"/>
          <w:b/>
          <w:sz w:val="22"/>
        </w:rPr>
        <w:t xml:space="preserve">Aegon to </w:t>
      </w:r>
      <w:r w:rsidR="00D66C77">
        <w:rPr>
          <w:rFonts w:ascii="Verdana" w:hAnsi="Verdana" w:cs="Arial"/>
          <w:b/>
          <w:sz w:val="22"/>
        </w:rPr>
        <w:t>cancel</w:t>
      </w:r>
      <w:r w:rsidR="00493E05">
        <w:rPr>
          <w:rFonts w:ascii="Verdana" w:hAnsi="Verdana" w:cs="Arial"/>
          <w:b/>
          <w:sz w:val="22"/>
        </w:rPr>
        <w:t xml:space="preserve"> </w:t>
      </w:r>
      <w:r w:rsidR="00572599">
        <w:rPr>
          <w:rFonts w:ascii="Verdana" w:hAnsi="Verdana" w:cs="Arial"/>
          <w:b/>
          <w:sz w:val="22"/>
        </w:rPr>
        <w:t xml:space="preserve">all </w:t>
      </w:r>
      <w:r w:rsidR="00493E05">
        <w:rPr>
          <w:rFonts w:ascii="Verdana" w:hAnsi="Verdana" w:cs="Arial"/>
          <w:b/>
          <w:sz w:val="22"/>
        </w:rPr>
        <w:t>preferred shares</w:t>
      </w:r>
    </w:p>
    <w:p w:rsidR="004D41E1" w:rsidRPr="00570D9A" w:rsidRDefault="004D41E1" w:rsidP="007B3A4E">
      <w:pPr>
        <w:pStyle w:val="BasicParagraph"/>
        <w:rPr>
          <w:rFonts w:ascii="Verdana" w:hAnsi="Verdana"/>
          <w:sz w:val="16"/>
          <w:szCs w:val="16"/>
        </w:rPr>
      </w:pPr>
    </w:p>
    <w:p w:rsidR="00291651" w:rsidRDefault="00291651" w:rsidP="00291651">
      <w:pPr>
        <w:spacing w:after="0"/>
        <w:rPr>
          <w:rFonts w:ascii="Verdana" w:hAnsi="Verdana" w:cs="Arial"/>
          <w:sz w:val="20"/>
        </w:rPr>
      </w:pPr>
      <w:r w:rsidRPr="00757936">
        <w:rPr>
          <w:rFonts w:ascii="Verdana" w:hAnsi="Verdana" w:cs="Arial"/>
          <w:sz w:val="20"/>
        </w:rPr>
        <w:t xml:space="preserve">Aegon and Vereniging Aegon (‘the Association’) have reached an agreement </w:t>
      </w:r>
      <w:r>
        <w:rPr>
          <w:rFonts w:ascii="Verdana" w:hAnsi="Verdana" w:cs="Arial"/>
          <w:sz w:val="20"/>
        </w:rPr>
        <w:t xml:space="preserve">to cancel all of Aegon’s preferred shares, of which the Association is the sole owner. </w:t>
      </w:r>
      <w:r w:rsidR="006A4906">
        <w:rPr>
          <w:rFonts w:ascii="Verdana" w:hAnsi="Verdana" w:cs="Arial"/>
          <w:sz w:val="20"/>
        </w:rPr>
        <w:t xml:space="preserve">The agreement will result in a simplified capital structure for Aegon while enabling the company to maintain </w:t>
      </w:r>
      <w:r>
        <w:rPr>
          <w:rFonts w:ascii="Verdana" w:hAnsi="Verdana" w:cs="Arial"/>
          <w:sz w:val="20"/>
        </w:rPr>
        <w:t xml:space="preserve">a high-quality capital base under new </w:t>
      </w:r>
      <w:r w:rsidR="006A4906">
        <w:rPr>
          <w:rFonts w:ascii="Verdana" w:hAnsi="Verdana" w:cs="Arial"/>
          <w:sz w:val="20"/>
        </w:rPr>
        <w:t>European solvency requirements</w:t>
      </w:r>
      <w:r>
        <w:rPr>
          <w:rFonts w:ascii="Verdana" w:hAnsi="Verdana" w:cs="Arial"/>
          <w:sz w:val="20"/>
        </w:rPr>
        <w:t>, as well as allowing the Association to substantially reduce its debt</w:t>
      </w:r>
      <w:r w:rsidRPr="00757936">
        <w:rPr>
          <w:rFonts w:ascii="Verdana" w:hAnsi="Verdana" w:cs="Arial"/>
          <w:sz w:val="20"/>
        </w:rPr>
        <w:t>.</w:t>
      </w:r>
    </w:p>
    <w:p w:rsidR="00493E05" w:rsidRDefault="00493E05" w:rsidP="00957FAD">
      <w:pPr>
        <w:spacing w:after="0"/>
        <w:rPr>
          <w:rFonts w:ascii="Verdana" w:hAnsi="Verdana" w:cs="Arial"/>
          <w:sz w:val="20"/>
        </w:rPr>
      </w:pPr>
    </w:p>
    <w:p w:rsidR="00957FAD" w:rsidRPr="00757936" w:rsidRDefault="00957FAD" w:rsidP="00957FAD">
      <w:pPr>
        <w:spacing w:after="0"/>
        <w:rPr>
          <w:rFonts w:ascii="Verdana" w:hAnsi="Verdana" w:cs="Arial"/>
          <w:sz w:val="20"/>
          <w:lang w:val="en-GB"/>
        </w:rPr>
      </w:pPr>
      <w:r>
        <w:rPr>
          <w:rFonts w:ascii="Verdana" w:hAnsi="Verdana" w:cs="Arial"/>
          <w:sz w:val="20"/>
        </w:rPr>
        <w:t>Under the agreement, a</w:t>
      </w:r>
      <w:r w:rsidRPr="00757936">
        <w:rPr>
          <w:rFonts w:ascii="Verdana" w:hAnsi="Verdana" w:cs="Arial"/>
          <w:sz w:val="20"/>
        </w:rPr>
        <w:t xml:space="preserve">ll of Aegon’s preferred shares will be exchanged for cash and common shares. </w:t>
      </w:r>
      <w:r>
        <w:rPr>
          <w:rFonts w:ascii="Verdana" w:hAnsi="Verdana" w:cs="Arial"/>
          <w:sz w:val="20"/>
        </w:rPr>
        <w:t xml:space="preserve">The value of all preferred shares, which have a book value of EUR 2.1 billion, has been determined at </w:t>
      </w:r>
      <w:r w:rsidRPr="002F4BAF">
        <w:rPr>
          <w:rFonts w:ascii="Verdana" w:hAnsi="Verdana" w:cs="Arial"/>
          <w:sz w:val="20"/>
        </w:rPr>
        <w:t xml:space="preserve">EUR </w:t>
      </w:r>
      <w:r w:rsidR="00696953" w:rsidRPr="002F4BAF">
        <w:rPr>
          <w:rFonts w:ascii="Verdana" w:hAnsi="Verdana" w:cs="Arial"/>
          <w:sz w:val="20"/>
        </w:rPr>
        <w:t>1</w:t>
      </w:r>
      <w:r w:rsidR="006E5F8D" w:rsidRPr="002F4BAF">
        <w:rPr>
          <w:rFonts w:ascii="Verdana" w:hAnsi="Verdana" w:cs="Arial"/>
          <w:sz w:val="20"/>
        </w:rPr>
        <w:t xml:space="preserve">.1 </w:t>
      </w:r>
      <w:r w:rsidRPr="002F4BAF">
        <w:rPr>
          <w:rFonts w:ascii="Verdana" w:hAnsi="Verdana" w:cs="Arial"/>
          <w:sz w:val="20"/>
        </w:rPr>
        <w:t>billion</w:t>
      </w:r>
      <w:r>
        <w:rPr>
          <w:rFonts w:ascii="Verdana" w:hAnsi="Verdana" w:cs="Arial"/>
          <w:sz w:val="20"/>
        </w:rPr>
        <w:t xml:space="preserve">. </w:t>
      </w:r>
      <w:r w:rsidRPr="00757936">
        <w:rPr>
          <w:rFonts w:ascii="Verdana" w:hAnsi="Verdana" w:cs="Arial"/>
          <w:sz w:val="20"/>
        </w:rPr>
        <w:t xml:space="preserve">The Association will receive EUR 400 million </w:t>
      </w:r>
      <w:r w:rsidR="00080501">
        <w:rPr>
          <w:rFonts w:ascii="Verdana" w:hAnsi="Verdana" w:cs="Arial"/>
          <w:sz w:val="20"/>
        </w:rPr>
        <w:t xml:space="preserve">from Aegon </w:t>
      </w:r>
      <w:r w:rsidRPr="00757936">
        <w:rPr>
          <w:rFonts w:ascii="Verdana" w:hAnsi="Verdana" w:cs="Arial"/>
          <w:sz w:val="20"/>
        </w:rPr>
        <w:t xml:space="preserve">in cash and </w:t>
      </w:r>
      <w:r>
        <w:rPr>
          <w:rFonts w:ascii="Verdana" w:hAnsi="Verdana" w:cs="Arial"/>
          <w:sz w:val="20"/>
        </w:rPr>
        <w:t xml:space="preserve">the equivalent of </w:t>
      </w:r>
      <w:r w:rsidRPr="00757936">
        <w:rPr>
          <w:rFonts w:ascii="Verdana" w:hAnsi="Verdana" w:cs="Arial"/>
          <w:sz w:val="20"/>
        </w:rPr>
        <w:t xml:space="preserve">EUR </w:t>
      </w:r>
      <w:r w:rsidR="00980282" w:rsidRPr="002F4BAF">
        <w:rPr>
          <w:rFonts w:ascii="Verdana" w:hAnsi="Verdana" w:cs="Arial"/>
          <w:sz w:val="20"/>
        </w:rPr>
        <w:t xml:space="preserve">655 </w:t>
      </w:r>
      <w:r w:rsidRPr="002F4BAF">
        <w:rPr>
          <w:rFonts w:ascii="Verdana" w:hAnsi="Verdana" w:cs="Arial"/>
          <w:sz w:val="20"/>
        </w:rPr>
        <w:t>million in common shares</w:t>
      </w:r>
      <w:r w:rsidR="00B42F0B" w:rsidRPr="002F4BAF">
        <w:rPr>
          <w:rFonts w:ascii="Verdana" w:hAnsi="Verdana" w:cs="Arial"/>
          <w:sz w:val="20"/>
        </w:rPr>
        <w:t xml:space="preserve"> in addition to </w:t>
      </w:r>
      <w:r w:rsidR="00E21018" w:rsidRPr="002F4BAF">
        <w:rPr>
          <w:rFonts w:ascii="Verdana" w:hAnsi="Verdana" w:cs="Arial"/>
          <w:sz w:val="20"/>
        </w:rPr>
        <w:t xml:space="preserve">a total of </w:t>
      </w:r>
      <w:r w:rsidR="00B42F0B" w:rsidRPr="002F4BAF">
        <w:rPr>
          <w:rFonts w:ascii="Verdana" w:hAnsi="Verdana" w:cs="Arial"/>
          <w:sz w:val="20"/>
        </w:rPr>
        <w:t xml:space="preserve">EUR </w:t>
      </w:r>
      <w:r w:rsidR="00980282" w:rsidRPr="002F4BAF">
        <w:rPr>
          <w:rFonts w:ascii="Verdana" w:hAnsi="Verdana" w:cs="Arial"/>
          <w:sz w:val="20"/>
        </w:rPr>
        <w:t xml:space="preserve">83 </w:t>
      </w:r>
      <w:r w:rsidR="00B42F0B" w:rsidRPr="002F4BAF">
        <w:rPr>
          <w:rFonts w:ascii="Verdana" w:hAnsi="Verdana" w:cs="Arial"/>
          <w:sz w:val="20"/>
        </w:rPr>
        <w:t>million of dividends on the p</w:t>
      </w:r>
      <w:r w:rsidR="00B42F0B">
        <w:rPr>
          <w:rFonts w:ascii="Verdana" w:hAnsi="Verdana" w:cs="Arial"/>
          <w:sz w:val="20"/>
        </w:rPr>
        <w:t>referred shares</w:t>
      </w:r>
      <w:r w:rsidRPr="00757936">
        <w:rPr>
          <w:rFonts w:ascii="Verdana" w:hAnsi="Verdana" w:cs="Arial"/>
          <w:sz w:val="20"/>
        </w:rPr>
        <w:t xml:space="preserve">. </w:t>
      </w:r>
    </w:p>
    <w:p w:rsidR="00957FAD" w:rsidRPr="00757936" w:rsidRDefault="00957FAD" w:rsidP="00957FAD">
      <w:pPr>
        <w:spacing w:after="0"/>
        <w:rPr>
          <w:rFonts w:ascii="Verdana" w:hAnsi="Verdana" w:cs="Arial"/>
          <w:sz w:val="20"/>
          <w:lang w:val="en-GB"/>
        </w:rPr>
      </w:pPr>
    </w:p>
    <w:p w:rsidR="006A3102" w:rsidRDefault="006A3102" w:rsidP="006A3102">
      <w:pPr>
        <w:spacing w:after="0"/>
        <w:rPr>
          <w:rFonts w:ascii="Verdana" w:hAnsi="Verdana" w:cs="Arial"/>
          <w:sz w:val="20"/>
        </w:rPr>
      </w:pPr>
      <w:r w:rsidRPr="00757936">
        <w:rPr>
          <w:rFonts w:ascii="Verdana" w:hAnsi="Verdana" w:cs="Arial"/>
          <w:sz w:val="20"/>
        </w:rPr>
        <w:t>As a result of the transaction, the number of common shares outstanding will increase</w:t>
      </w:r>
      <w:r>
        <w:rPr>
          <w:rFonts w:ascii="Verdana" w:hAnsi="Verdana" w:cs="Arial"/>
          <w:sz w:val="20"/>
        </w:rPr>
        <w:t xml:space="preserve"> by </w:t>
      </w:r>
      <w:r w:rsidRPr="002F4BAF">
        <w:rPr>
          <w:rFonts w:ascii="Verdana" w:hAnsi="Verdana" w:cs="Arial"/>
          <w:sz w:val="20"/>
        </w:rPr>
        <w:t xml:space="preserve">approximately </w:t>
      </w:r>
      <w:r w:rsidR="00F0217A" w:rsidRPr="002F4BAF">
        <w:rPr>
          <w:rFonts w:ascii="Verdana" w:hAnsi="Verdana" w:cs="Arial"/>
          <w:sz w:val="20"/>
        </w:rPr>
        <w:t>7</w:t>
      </w:r>
      <w:r w:rsidRPr="002F4BAF">
        <w:rPr>
          <w:rFonts w:ascii="Verdana" w:hAnsi="Verdana" w:cs="Arial"/>
          <w:sz w:val="20"/>
        </w:rPr>
        <w:t>%. The dilutive effect on earnings per share</w:t>
      </w:r>
      <w:r w:rsidR="00973A1A" w:rsidRPr="002F4BAF">
        <w:rPr>
          <w:rFonts w:ascii="Verdana" w:hAnsi="Verdana" w:cs="Arial"/>
          <w:sz w:val="20"/>
        </w:rPr>
        <w:t>, however,</w:t>
      </w:r>
      <w:r w:rsidRPr="002F4BAF">
        <w:rPr>
          <w:rFonts w:ascii="Verdana" w:hAnsi="Verdana" w:cs="Arial"/>
          <w:sz w:val="20"/>
        </w:rPr>
        <w:t xml:space="preserve"> is </w:t>
      </w:r>
      <w:r w:rsidR="006E5F8D" w:rsidRPr="002F4BAF">
        <w:rPr>
          <w:rFonts w:ascii="Verdana" w:hAnsi="Verdana" w:cs="Arial"/>
          <w:sz w:val="20"/>
        </w:rPr>
        <w:t xml:space="preserve">limited to </w:t>
      </w:r>
      <w:r w:rsidR="002F4BAF">
        <w:rPr>
          <w:rFonts w:ascii="Verdana" w:hAnsi="Verdana" w:cs="Arial"/>
          <w:sz w:val="20"/>
        </w:rPr>
        <w:t xml:space="preserve">approximately </w:t>
      </w:r>
      <w:r w:rsidR="00C20475" w:rsidRPr="002F4BAF">
        <w:rPr>
          <w:rFonts w:ascii="Verdana" w:hAnsi="Verdana" w:cs="Arial"/>
          <w:sz w:val="20"/>
        </w:rPr>
        <w:t>3</w:t>
      </w:r>
      <w:r w:rsidR="006E5F8D" w:rsidRPr="002F4BAF">
        <w:rPr>
          <w:rFonts w:ascii="Verdana" w:hAnsi="Verdana" w:cs="Arial"/>
          <w:sz w:val="20"/>
        </w:rPr>
        <w:t>%</w:t>
      </w:r>
      <w:r>
        <w:rPr>
          <w:rFonts w:ascii="Verdana" w:hAnsi="Verdana" w:cs="Arial"/>
          <w:sz w:val="20"/>
        </w:rPr>
        <w:t xml:space="preserve"> as there </w:t>
      </w:r>
      <w:r w:rsidR="00D150EA">
        <w:rPr>
          <w:rFonts w:ascii="Verdana" w:hAnsi="Verdana" w:cs="Arial"/>
          <w:sz w:val="20"/>
        </w:rPr>
        <w:t>will be</w:t>
      </w:r>
      <w:r>
        <w:rPr>
          <w:rFonts w:ascii="Verdana" w:hAnsi="Verdana" w:cs="Arial"/>
          <w:sz w:val="20"/>
        </w:rPr>
        <w:t xml:space="preserve"> no</w:t>
      </w:r>
      <w:r w:rsidR="00D74D4D">
        <w:rPr>
          <w:rFonts w:ascii="Verdana" w:hAnsi="Verdana" w:cs="Arial"/>
          <w:sz w:val="20"/>
        </w:rPr>
        <w:t xml:space="preserve"> </w:t>
      </w:r>
      <w:r>
        <w:rPr>
          <w:rFonts w:ascii="Verdana" w:hAnsi="Verdana" w:cs="Arial"/>
          <w:sz w:val="20"/>
        </w:rPr>
        <w:t xml:space="preserve">preferred dividend </w:t>
      </w:r>
      <w:r w:rsidR="00D150EA">
        <w:rPr>
          <w:rFonts w:ascii="Verdana" w:hAnsi="Verdana" w:cs="Arial"/>
          <w:sz w:val="20"/>
        </w:rPr>
        <w:t xml:space="preserve">payments </w:t>
      </w:r>
      <w:r w:rsidR="006E5F8D">
        <w:rPr>
          <w:rFonts w:ascii="Verdana" w:hAnsi="Verdana" w:cs="Arial"/>
          <w:sz w:val="20"/>
        </w:rPr>
        <w:t>following</w:t>
      </w:r>
      <w:r>
        <w:rPr>
          <w:rFonts w:ascii="Verdana" w:hAnsi="Verdana" w:cs="Arial"/>
          <w:sz w:val="20"/>
        </w:rPr>
        <w:t xml:space="preserve"> the </w:t>
      </w:r>
      <w:r w:rsidR="00D150EA">
        <w:rPr>
          <w:rFonts w:ascii="Verdana" w:hAnsi="Verdana" w:cs="Arial"/>
          <w:sz w:val="20"/>
        </w:rPr>
        <w:t>transaction</w:t>
      </w:r>
      <w:r>
        <w:rPr>
          <w:rFonts w:ascii="Verdana" w:hAnsi="Verdana" w:cs="Arial"/>
          <w:sz w:val="20"/>
        </w:rPr>
        <w:t xml:space="preserve">. </w:t>
      </w:r>
    </w:p>
    <w:p w:rsidR="006A3102" w:rsidRPr="00757936" w:rsidRDefault="006A3102" w:rsidP="006A3102">
      <w:pPr>
        <w:spacing w:after="0"/>
        <w:rPr>
          <w:rFonts w:ascii="Verdana" w:hAnsi="Verdana" w:cs="Arial"/>
          <w:sz w:val="20"/>
        </w:rPr>
      </w:pPr>
    </w:p>
    <w:p w:rsidR="006A3102" w:rsidRDefault="00BD3080" w:rsidP="00957FAD">
      <w:pPr>
        <w:spacing w:after="0"/>
        <w:rPr>
          <w:rFonts w:ascii="Verdana" w:hAnsi="Verdana" w:cs="Arial"/>
          <w:sz w:val="20"/>
        </w:rPr>
      </w:pPr>
      <w:r>
        <w:rPr>
          <w:rFonts w:ascii="Verdana" w:hAnsi="Verdana" w:cs="Arial"/>
          <w:sz w:val="20"/>
        </w:rPr>
        <w:t>T</w:t>
      </w:r>
      <w:r w:rsidR="00957FAD" w:rsidRPr="00757936">
        <w:rPr>
          <w:rFonts w:ascii="Verdana" w:hAnsi="Verdana" w:cs="Arial"/>
          <w:sz w:val="20"/>
        </w:rPr>
        <w:t xml:space="preserve">he Association </w:t>
      </w:r>
      <w:r w:rsidR="00957FAD">
        <w:rPr>
          <w:rFonts w:ascii="Verdana" w:hAnsi="Verdana" w:cs="Arial"/>
          <w:sz w:val="20"/>
        </w:rPr>
        <w:t>will</w:t>
      </w:r>
      <w:r w:rsidR="00957FAD" w:rsidRPr="00757936">
        <w:rPr>
          <w:rFonts w:ascii="Verdana" w:hAnsi="Verdana" w:cs="Arial"/>
          <w:sz w:val="20"/>
        </w:rPr>
        <w:t xml:space="preserve"> </w:t>
      </w:r>
      <w:r w:rsidR="00957FAD">
        <w:rPr>
          <w:rFonts w:ascii="Verdana" w:hAnsi="Verdana" w:cs="Arial"/>
          <w:sz w:val="20"/>
        </w:rPr>
        <w:t>relinquish</w:t>
      </w:r>
      <w:r w:rsidR="00957FAD" w:rsidRPr="00757936">
        <w:rPr>
          <w:rFonts w:ascii="Verdana" w:hAnsi="Verdana" w:cs="Arial"/>
          <w:sz w:val="20"/>
        </w:rPr>
        <w:t xml:space="preserve"> its preferential right</w:t>
      </w:r>
      <w:r w:rsidR="00957FAD">
        <w:rPr>
          <w:rFonts w:ascii="Verdana" w:hAnsi="Verdana" w:cs="Arial"/>
          <w:sz w:val="20"/>
        </w:rPr>
        <w:t>s with regard to</w:t>
      </w:r>
      <w:r w:rsidR="00957FAD" w:rsidRPr="00757936">
        <w:rPr>
          <w:rFonts w:ascii="Verdana" w:hAnsi="Verdana" w:cs="Arial"/>
          <w:sz w:val="20"/>
        </w:rPr>
        <w:t xml:space="preserve"> dividends and liquidation proceeds.</w:t>
      </w:r>
      <w:r w:rsidR="00957FAD">
        <w:rPr>
          <w:rFonts w:ascii="Verdana" w:hAnsi="Verdana" w:cs="Arial"/>
          <w:sz w:val="20"/>
        </w:rPr>
        <w:t xml:space="preserve"> </w:t>
      </w:r>
      <w:r w:rsidR="00F8106A">
        <w:rPr>
          <w:rFonts w:ascii="Verdana" w:hAnsi="Verdana" w:cs="Arial"/>
          <w:sz w:val="20"/>
        </w:rPr>
        <w:t>In addition, t</w:t>
      </w:r>
      <w:r w:rsidR="00957FAD">
        <w:rPr>
          <w:rFonts w:ascii="Verdana" w:hAnsi="Verdana" w:cs="Arial"/>
          <w:sz w:val="20"/>
        </w:rPr>
        <w:t xml:space="preserve">he voting rights of the Association </w:t>
      </w:r>
      <w:r w:rsidR="00872D25">
        <w:rPr>
          <w:rFonts w:ascii="Verdana" w:hAnsi="Verdana" w:cs="Arial"/>
          <w:sz w:val="20"/>
        </w:rPr>
        <w:t>in ordinary course</w:t>
      </w:r>
      <w:r w:rsidR="00493E05">
        <w:rPr>
          <w:rFonts w:ascii="Verdana" w:hAnsi="Verdana" w:cs="Arial"/>
          <w:sz w:val="20"/>
        </w:rPr>
        <w:t xml:space="preserve"> </w:t>
      </w:r>
      <w:r w:rsidR="00957FAD">
        <w:rPr>
          <w:rFonts w:ascii="Verdana" w:hAnsi="Verdana" w:cs="Arial"/>
          <w:sz w:val="20"/>
        </w:rPr>
        <w:t>will be reduced from the current 22.</w:t>
      </w:r>
      <w:r w:rsidR="00051AE0">
        <w:rPr>
          <w:rFonts w:ascii="Verdana" w:hAnsi="Verdana" w:cs="Arial"/>
          <w:sz w:val="20"/>
        </w:rPr>
        <w:t>1</w:t>
      </w:r>
      <w:r w:rsidR="00957FAD">
        <w:rPr>
          <w:rFonts w:ascii="Verdana" w:hAnsi="Verdana" w:cs="Arial"/>
          <w:sz w:val="20"/>
        </w:rPr>
        <w:t xml:space="preserve">% to </w:t>
      </w:r>
      <w:r w:rsidR="00957FAD" w:rsidRPr="002F4BAF">
        <w:rPr>
          <w:rFonts w:ascii="Verdana" w:hAnsi="Verdana" w:cs="Arial"/>
          <w:sz w:val="20"/>
        </w:rPr>
        <w:t xml:space="preserve">approximately </w:t>
      </w:r>
      <w:r w:rsidR="00696953" w:rsidRPr="002F4BAF">
        <w:rPr>
          <w:rFonts w:ascii="Verdana" w:hAnsi="Verdana" w:cs="Arial"/>
          <w:sz w:val="20"/>
        </w:rPr>
        <w:t>14.</w:t>
      </w:r>
      <w:r w:rsidR="00980282" w:rsidRPr="002F4BAF">
        <w:rPr>
          <w:rFonts w:ascii="Verdana" w:hAnsi="Verdana" w:cs="Arial"/>
          <w:sz w:val="20"/>
        </w:rPr>
        <w:t>9</w:t>
      </w:r>
      <w:r w:rsidR="00957FAD" w:rsidRPr="002F4BAF">
        <w:rPr>
          <w:rFonts w:ascii="Verdana" w:hAnsi="Verdana" w:cs="Arial"/>
          <w:sz w:val="20"/>
        </w:rPr>
        <w:t xml:space="preserve">%, which </w:t>
      </w:r>
      <w:r w:rsidR="00493E05" w:rsidRPr="002F4BAF">
        <w:rPr>
          <w:rFonts w:ascii="Verdana" w:hAnsi="Verdana" w:cs="Arial"/>
          <w:sz w:val="20"/>
        </w:rPr>
        <w:t xml:space="preserve">will </w:t>
      </w:r>
      <w:r w:rsidR="00957FAD" w:rsidRPr="002F4BAF">
        <w:rPr>
          <w:rFonts w:ascii="Verdana" w:hAnsi="Verdana" w:cs="Arial"/>
          <w:sz w:val="20"/>
        </w:rPr>
        <w:t xml:space="preserve">align </w:t>
      </w:r>
      <w:r w:rsidRPr="002F4BAF">
        <w:rPr>
          <w:rFonts w:ascii="Verdana" w:hAnsi="Verdana" w:cs="Arial"/>
          <w:sz w:val="20"/>
        </w:rPr>
        <w:t xml:space="preserve">its </w:t>
      </w:r>
      <w:r w:rsidR="00957FAD" w:rsidRPr="002F4BAF">
        <w:rPr>
          <w:rFonts w:ascii="Verdana" w:hAnsi="Verdana" w:cs="Arial"/>
          <w:sz w:val="20"/>
        </w:rPr>
        <w:t xml:space="preserve">voting rights and economic ownership in Aegon. </w:t>
      </w:r>
      <w:r w:rsidRPr="002F4BAF">
        <w:rPr>
          <w:rFonts w:ascii="Verdana" w:hAnsi="Verdana" w:cs="Arial"/>
          <w:sz w:val="20"/>
        </w:rPr>
        <w:t>However</w:t>
      </w:r>
      <w:r w:rsidR="00957FAD" w:rsidRPr="002F4BAF">
        <w:rPr>
          <w:rFonts w:ascii="Verdana" w:hAnsi="Verdana" w:cs="Arial"/>
          <w:sz w:val="20"/>
        </w:rPr>
        <w:t>, the Association</w:t>
      </w:r>
      <w:r w:rsidR="00957FAD" w:rsidRPr="00757936">
        <w:rPr>
          <w:rFonts w:ascii="Verdana" w:hAnsi="Verdana" w:cs="Arial"/>
          <w:sz w:val="20"/>
        </w:rPr>
        <w:t xml:space="preserve"> will </w:t>
      </w:r>
      <w:r w:rsidR="00731F00">
        <w:rPr>
          <w:rFonts w:ascii="Verdana" w:hAnsi="Verdana" w:cs="Arial"/>
          <w:sz w:val="20"/>
        </w:rPr>
        <w:t>maintain</w:t>
      </w:r>
      <w:r w:rsidR="00957FAD" w:rsidRPr="00757936">
        <w:rPr>
          <w:rFonts w:ascii="Verdana" w:hAnsi="Verdana" w:cs="Arial"/>
          <w:sz w:val="20"/>
        </w:rPr>
        <w:t xml:space="preserve"> its </w:t>
      </w:r>
      <w:r w:rsidR="009C23A7">
        <w:rPr>
          <w:rFonts w:ascii="Verdana" w:hAnsi="Verdana" w:cs="Arial"/>
          <w:sz w:val="20"/>
        </w:rPr>
        <w:t>current</w:t>
      </w:r>
      <w:r w:rsidR="009C23A7" w:rsidRPr="00757936">
        <w:rPr>
          <w:rFonts w:ascii="Verdana" w:hAnsi="Verdana" w:cs="Arial"/>
          <w:sz w:val="20"/>
        </w:rPr>
        <w:t xml:space="preserve"> 32.6% </w:t>
      </w:r>
      <w:r w:rsidR="00957FAD" w:rsidRPr="00757936">
        <w:rPr>
          <w:rFonts w:ascii="Verdana" w:hAnsi="Verdana" w:cs="Arial"/>
          <w:sz w:val="20"/>
        </w:rPr>
        <w:t xml:space="preserve">voting rights in </w:t>
      </w:r>
      <w:r>
        <w:rPr>
          <w:rFonts w:ascii="Verdana" w:hAnsi="Verdana" w:cs="Arial"/>
          <w:sz w:val="20"/>
        </w:rPr>
        <w:t xml:space="preserve">case of </w:t>
      </w:r>
      <w:r w:rsidR="00957FAD" w:rsidRPr="00757936">
        <w:rPr>
          <w:rFonts w:ascii="Verdana" w:hAnsi="Verdana" w:cs="Arial"/>
          <w:sz w:val="20"/>
        </w:rPr>
        <w:t xml:space="preserve">special </w:t>
      </w:r>
      <w:r w:rsidR="000853D8">
        <w:rPr>
          <w:rFonts w:ascii="Verdana" w:hAnsi="Verdana" w:cs="Arial"/>
          <w:sz w:val="20"/>
        </w:rPr>
        <w:t>cause</w:t>
      </w:r>
      <w:r w:rsidR="00957FAD" w:rsidRPr="00757936">
        <w:rPr>
          <w:rFonts w:ascii="Verdana" w:hAnsi="Verdana" w:cs="Arial"/>
          <w:sz w:val="20"/>
        </w:rPr>
        <w:t>.</w:t>
      </w:r>
      <w:r w:rsidR="006A3102" w:rsidRPr="006A3102">
        <w:rPr>
          <w:rFonts w:ascii="Verdana" w:hAnsi="Verdana" w:cs="Arial"/>
          <w:sz w:val="20"/>
        </w:rPr>
        <w:t xml:space="preserve"> </w:t>
      </w:r>
    </w:p>
    <w:p w:rsidR="006E5F8D" w:rsidRDefault="006E5F8D" w:rsidP="00957FAD">
      <w:pPr>
        <w:spacing w:after="0"/>
        <w:rPr>
          <w:rFonts w:ascii="Verdana" w:hAnsi="Verdana" w:cs="Arial"/>
          <w:sz w:val="20"/>
        </w:rPr>
      </w:pPr>
    </w:p>
    <w:p w:rsidR="006E5F8D" w:rsidRDefault="006E5F8D" w:rsidP="00957FAD">
      <w:pPr>
        <w:spacing w:after="0"/>
        <w:rPr>
          <w:rFonts w:ascii="Verdana" w:hAnsi="Verdana" w:cs="Arial"/>
          <w:sz w:val="20"/>
        </w:rPr>
      </w:pPr>
      <w:r w:rsidRPr="00757936">
        <w:rPr>
          <w:rFonts w:ascii="Verdana" w:hAnsi="Verdana" w:cs="Arial"/>
          <w:sz w:val="20"/>
        </w:rPr>
        <w:t xml:space="preserve">The actual </w:t>
      </w:r>
      <w:r>
        <w:rPr>
          <w:rFonts w:ascii="Verdana" w:hAnsi="Verdana" w:cs="Arial"/>
          <w:sz w:val="20"/>
        </w:rPr>
        <w:t>increase in the number of common shares</w:t>
      </w:r>
      <w:r w:rsidRPr="00757936">
        <w:rPr>
          <w:rFonts w:ascii="Verdana" w:hAnsi="Verdana" w:cs="Arial"/>
          <w:sz w:val="20"/>
        </w:rPr>
        <w:t xml:space="preserve"> will depend on the </w:t>
      </w:r>
      <w:r>
        <w:rPr>
          <w:rFonts w:ascii="Verdana" w:hAnsi="Verdana" w:cs="Arial"/>
          <w:sz w:val="20"/>
        </w:rPr>
        <w:t>volume</w:t>
      </w:r>
      <w:r w:rsidR="00D2658B">
        <w:rPr>
          <w:rFonts w:ascii="Verdana" w:hAnsi="Verdana" w:cs="Arial"/>
          <w:sz w:val="20"/>
        </w:rPr>
        <w:t>-</w:t>
      </w:r>
      <w:r w:rsidRPr="00757936">
        <w:rPr>
          <w:rFonts w:ascii="Verdana" w:hAnsi="Verdana" w:cs="Arial"/>
          <w:sz w:val="20"/>
        </w:rPr>
        <w:t xml:space="preserve">weighted average </w:t>
      </w:r>
      <w:r>
        <w:rPr>
          <w:rFonts w:ascii="Verdana" w:hAnsi="Verdana" w:cs="Arial"/>
          <w:sz w:val="20"/>
        </w:rPr>
        <w:t>price</w:t>
      </w:r>
      <w:r w:rsidRPr="00757936">
        <w:rPr>
          <w:rFonts w:ascii="Verdana" w:hAnsi="Verdana" w:cs="Arial"/>
          <w:sz w:val="20"/>
        </w:rPr>
        <w:t xml:space="preserve"> of Aegon common shares </w:t>
      </w:r>
      <w:r>
        <w:rPr>
          <w:rFonts w:ascii="Verdana" w:hAnsi="Verdana" w:cs="Arial"/>
          <w:sz w:val="20"/>
        </w:rPr>
        <w:t xml:space="preserve">on Euronext Amsterdam </w:t>
      </w:r>
      <w:r w:rsidR="00D150EA">
        <w:rPr>
          <w:rFonts w:ascii="Verdana" w:hAnsi="Verdana" w:cs="Arial"/>
          <w:sz w:val="20"/>
        </w:rPr>
        <w:t>from</w:t>
      </w:r>
      <w:r>
        <w:rPr>
          <w:rFonts w:ascii="Verdana" w:hAnsi="Verdana" w:cs="Arial"/>
          <w:sz w:val="20"/>
        </w:rPr>
        <w:t xml:space="preserve"> February </w:t>
      </w:r>
      <w:r w:rsidR="009527BE" w:rsidRPr="009527BE">
        <w:rPr>
          <w:rFonts w:ascii="Verdana" w:hAnsi="Verdana" w:cs="Arial"/>
          <w:sz w:val="20"/>
        </w:rPr>
        <w:t xml:space="preserve">15 </w:t>
      </w:r>
      <w:r>
        <w:rPr>
          <w:rFonts w:ascii="Verdana" w:hAnsi="Verdana" w:cs="Arial"/>
          <w:sz w:val="20"/>
        </w:rPr>
        <w:t xml:space="preserve">up to, and including, </w:t>
      </w:r>
      <w:r w:rsidR="00BD3080">
        <w:rPr>
          <w:rFonts w:ascii="Verdana" w:hAnsi="Verdana" w:cs="Arial"/>
          <w:sz w:val="20"/>
        </w:rPr>
        <w:t>February 28</w:t>
      </w:r>
      <w:r>
        <w:rPr>
          <w:rFonts w:ascii="Verdana" w:hAnsi="Verdana" w:cs="Arial"/>
          <w:sz w:val="20"/>
        </w:rPr>
        <w:t>, 2013.</w:t>
      </w:r>
    </w:p>
    <w:p w:rsidR="00957FAD" w:rsidRPr="00757936" w:rsidRDefault="00957FAD" w:rsidP="00957FAD">
      <w:pPr>
        <w:spacing w:after="0"/>
        <w:rPr>
          <w:rFonts w:ascii="Verdana" w:hAnsi="Verdana" w:cs="Arial"/>
          <w:sz w:val="20"/>
        </w:rPr>
      </w:pPr>
    </w:p>
    <w:p w:rsidR="00957FAD" w:rsidRDefault="00957FAD" w:rsidP="00957FAD">
      <w:pPr>
        <w:spacing w:after="0"/>
        <w:rPr>
          <w:rFonts w:ascii="Verdana" w:hAnsi="Verdana" w:cs="Arial"/>
          <w:sz w:val="20"/>
        </w:rPr>
      </w:pPr>
      <w:r w:rsidRPr="00704C73">
        <w:rPr>
          <w:rFonts w:ascii="Verdana" w:hAnsi="Verdana" w:cs="Arial"/>
          <w:sz w:val="20"/>
        </w:rPr>
        <w:t>A</w:t>
      </w:r>
      <w:r>
        <w:rPr>
          <w:rFonts w:ascii="Verdana" w:hAnsi="Verdana" w:cs="Arial"/>
          <w:sz w:val="20"/>
        </w:rPr>
        <w:t>egon</w:t>
      </w:r>
      <w:r w:rsidRPr="00704C73">
        <w:rPr>
          <w:rFonts w:ascii="Verdana" w:hAnsi="Verdana" w:cs="Arial"/>
          <w:sz w:val="20"/>
        </w:rPr>
        <w:t xml:space="preserve"> CEO Alex Wynaendts said: “This agreement with Aegon’s largest shareholder represents a balanced approach for simplifying Aegon’s capital structure</w:t>
      </w:r>
      <w:r w:rsidR="006A4906" w:rsidRPr="006A4906">
        <w:rPr>
          <w:rFonts w:ascii="Verdana" w:hAnsi="Verdana" w:cs="Arial"/>
          <w:sz w:val="20"/>
        </w:rPr>
        <w:t xml:space="preserve"> </w:t>
      </w:r>
      <w:r w:rsidR="006A4906">
        <w:rPr>
          <w:rFonts w:ascii="Verdana" w:hAnsi="Verdana" w:cs="Arial"/>
          <w:sz w:val="20"/>
        </w:rPr>
        <w:t xml:space="preserve">in a manner that minimizes </w:t>
      </w:r>
      <w:r w:rsidR="006A4906" w:rsidRPr="00704C73">
        <w:rPr>
          <w:rFonts w:ascii="Verdana" w:hAnsi="Verdana" w:cs="Arial"/>
          <w:sz w:val="20"/>
        </w:rPr>
        <w:t>the impact on existing common shareholders</w:t>
      </w:r>
      <w:r w:rsidRPr="00704C73">
        <w:rPr>
          <w:rFonts w:ascii="Verdana" w:hAnsi="Verdana" w:cs="Arial"/>
          <w:sz w:val="20"/>
        </w:rPr>
        <w:t xml:space="preserve">, while at the same time </w:t>
      </w:r>
      <w:r w:rsidR="003406F1">
        <w:rPr>
          <w:rFonts w:ascii="Verdana" w:hAnsi="Verdana" w:cs="Arial"/>
          <w:sz w:val="20"/>
        </w:rPr>
        <w:t>allowing the Association to achieve its objectives</w:t>
      </w:r>
      <w:r w:rsidRPr="00704C73">
        <w:rPr>
          <w:rFonts w:ascii="Verdana" w:hAnsi="Verdana" w:cs="Arial"/>
          <w:sz w:val="20"/>
        </w:rPr>
        <w:t>.”</w:t>
      </w:r>
    </w:p>
    <w:p w:rsidR="00957FAD" w:rsidRPr="00757936" w:rsidRDefault="00957FAD" w:rsidP="00957FAD">
      <w:pPr>
        <w:spacing w:after="0"/>
        <w:rPr>
          <w:rFonts w:ascii="Verdana" w:hAnsi="Verdana" w:cs="Arial"/>
          <w:sz w:val="20"/>
        </w:rPr>
      </w:pPr>
    </w:p>
    <w:p w:rsidR="00957FAD" w:rsidRDefault="00957FAD" w:rsidP="00957FAD">
      <w:pPr>
        <w:spacing w:after="0"/>
        <w:rPr>
          <w:rFonts w:ascii="Verdana" w:hAnsi="Verdana" w:cs="Arial"/>
          <w:sz w:val="20"/>
        </w:rPr>
      </w:pPr>
      <w:r w:rsidRPr="00704C73">
        <w:rPr>
          <w:rFonts w:ascii="Verdana" w:hAnsi="Verdana" w:cs="Arial"/>
          <w:sz w:val="20"/>
        </w:rPr>
        <w:t xml:space="preserve">Mr. Wim van den Goorbergh, Chairman of </w:t>
      </w:r>
      <w:r>
        <w:rPr>
          <w:rFonts w:ascii="Verdana" w:hAnsi="Verdana" w:cs="Arial"/>
          <w:sz w:val="20"/>
        </w:rPr>
        <w:t>Vereniging Aegon</w:t>
      </w:r>
      <w:r w:rsidRPr="00704C73">
        <w:rPr>
          <w:rFonts w:ascii="Verdana" w:hAnsi="Verdana" w:cs="Arial"/>
          <w:sz w:val="20"/>
        </w:rPr>
        <w:t xml:space="preserve"> said: “The agreement reflects the special purpose of the Association to act in the interest of all Aegon’s stakeholders. Moreover, the transaction enables the Association to substantially reduce its debt. Although the Association will relinquish its preferred status, we take this opportunity to reaffirm our long-term commitment to Aegon.”</w:t>
      </w:r>
    </w:p>
    <w:p w:rsidR="00957FAD" w:rsidRPr="00757936" w:rsidRDefault="00957FAD" w:rsidP="00957FAD">
      <w:pPr>
        <w:spacing w:after="0"/>
        <w:rPr>
          <w:rFonts w:ascii="Verdana" w:hAnsi="Verdana" w:cs="Arial"/>
          <w:sz w:val="20"/>
        </w:rPr>
      </w:pPr>
      <w:r w:rsidRPr="00757936">
        <w:rPr>
          <w:rFonts w:ascii="Verdana" w:hAnsi="Verdana" w:cs="Arial"/>
          <w:sz w:val="20"/>
        </w:rPr>
        <w:t xml:space="preserve"> </w:t>
      </w:r>
    </w:p>
    <w:p w:rsidR="00957FAD" w:rsidRDefault="00957FAD" w:rsidP="00957FAD">
      <w:pPr>
        <w:spacing w:after="0"/>
        <w:rPr>
          <w:rFonts w:ascii="Verdana" w:hAnsi="Verdana" w:cs="Arial"/>
          <w:sz w:val="20"/>
        </w:rPr>
        <w:sectPr w:rsidR="00957FAD" w:rsidSect="00514852">
          <w:headerReference w:type="even" r:id="rId8"/>
          <w:headerReference w:type="default" r:id="rId9"/>
          <w:footerReference w:type="even" r:id="rId10"/>
          <w:footerReference w:type="default" r:id="rId11"/>
          <w:headerReference w:type="first" r:id="rId12"/>
          <w:footerReference w:type="first" r:id="rId13"/>
          <w:pgSz w:w="11907" w:h="16839" w:code="9"/>
          <w:pgMar w:top="962" w:right="1197" w:bottom="1440" w:left="1440" w:header="450" w:footer="224" w:gutter="0"/>
          <w:cols w:space="720"/>
          <w:docGrid w:linePitch="360"/>
        </w:sectPr>
      </w:pPr>
      <w:r w:rsidRPr="00757936">
        <w:rPr>
          <w:rFonts w:ascii="Verdana" w:hAnsi="Verdana" w:cs="Arial"/>
          <w:sz w:val="20"/>
        </w:rPr>
        <w:t xml:space="preserve">Aegon’s Supervisory Board will propose to approve the </w:t>
      </w:r>
      <w:r w:rsidR="004C6AD7">
        <w:rPr>
          <w:rFonts w:ascii="Verdana" w:hAnsi="Verdana" w:cs="Arial"/>
          <w:sz w:val="20"/>
        </w:rPr>
        <w:t>new capital structure</w:t>
      </w:r>
      <w:r w:rsidRPr="00757936">
        <w:rPr>
          <w:rFonts w:ascii="Verdana" w:hAnsi="Verdana" w:cs="Arial"/>
          <w:sz w:val="20"/>
        </w:rPr>
        <w:t xml:space="preserve"> at the Annual General Meeting of Shareholders on May 15, 2013.</w:t>
      </w:r>
    </w:p>
    <w:p w:rsidR="00215E74" w:rsidRPr="00215E74" w:rsidRDefault="00215E74" w:rsidP="00215E74">
      <w:pPr>
        <w:spacing w:after="0"/>
        <w:rPr>
          <w:rFonts w:ascii="Verdana" w:hAnsi="Verdana" w:cs="Arial"/>
          <w:color w:val="0070C0"/>
          <w:sz w:val="10"/>
          <w:szCs w:val="16"/>
        </w:rPr>
      </w:pPr>
    </w:p>
    <w:p w:rsidR="00215E74" w:rsidRPr="00215E74" w:rsidRDefault="00215E74" w:rsidP="00215E74">
      <w:pPr>
        <w:spacing w:after="0"/>
        <w:rPr>
          <w:rFonts w:ascii="Verdana" w:hAnsi="Verdana" w:cs="Arial"/>
          <w:b/>
          <w:color w:val="0070C0"/>
          <w:sz w:val="20"/>
          <w:szCs w:val="16"/>
        </w:rPr>
      </w:pPr>
      <w:r w:rsidRPr="00215E74">
        <w:rPr>
          <w:rFonts w:ascii="Verdana" w:hAnsi="Verdana" w:cs="Arial"/>
          <w:b/>
          <w:color w:val="0070C0"/>
          <w:sz w:val="20"/>
          <w:szCs w:val="16"/>
        </w:rPr>
        <w:t>Appendix – details of the agreement between Aegon and Vereniging Aegon</w:t>
      </w:r>
    </w:p>
    <w:p w:rsidR="00215E74" w:rsidRDefault="00215E74" w:rsidP="00215E74">
      <w:pPr>
        <w:spacing w:after="0"/>
        <w:rPr>
          <w:rFonts w:ascii="Verdana" w:hAnsi="Verdana" w:cs="Arial"/>
          <w:sz w:val="10"/>
        </w:rPr>
      </w:pPr>
      <w:r w:rsidRPr="00215E74">
        <w:rPr>
          <w:rFonts w:ascii="Verdana" w:hAnsi="Verdana" w:cs="Arial"/>
          <w:sz w:val="10"/>
        </w:rPr>
        <w:t xml:space="preserve"> </w:t>
      </w:r>
    </w:p>
    <w:p w:rsidR="00D150EA" w:rsidRDefault="00D150EA" w:rsidP="00D150EA">
      <w:pPr>
        <w:spacing w:after="0"/>
        <w:rPr>
          <w:rFonts w:ascii="Verdana" w:hAnsi="Verdana" w:cs="Arial"/>
          <w:sz w:val="20"/>
        </w:rPr>
      </w:pPr>
      <w:r w:rsidRPr="00757936">
        <w:rPr>
          <w:rFonts w:ascii="Verdana" w:hAnsi="Verdana" w:cs="Arial"/>
          <w:sz w:val="20"/>
        </w:rPr>
        <w:t xml:space="preserve">The agreement between Aegon and Vereniging Aegon to simplify the company’s capital structure </w:t>
      </w:r>
      <w:r>
        <w:rPr>
          <w:rFonts w:ascii="Verdana" w:hAnsi="Verdana" w:cs="Arial"/>
          <w:sz w:val="20"/>
        </w:rPr>
        <w:t xml:space="preserve">and </w:t>
      </w:r>
      <w:r w:rsidR="00AC7AF9">
        <w:rPr>
          <w:rFonts w:ascii="Verdana" w:hAnsi="Verdana" w:cs="Arial"/>
          <w:sz w:val="20"/>
        </w:rPr>
        <w:t>maintain a high-</w:t>
      </w:r>
      <w:r>
        <w:rPr>
          <w:rFonts w:ascii="Verdana" w:hAnsi="Verdana" w:cs="Arial"/>
          <w:sz w:val="20"/>
        </w:rPr>
        <w:t xml:space="preserve">quality capital base </w:t>
      </w:r>
      <w:r w:rsidRPr="00757936">
        <w:rPr>
          <w:rFonts w:ascii="Verdana" w:hAnsi="Verdana" w:cs="Arial"/>
          <w:sz w:val="20"/>
        </w:rPr>
        <w:t>will be effectuated through a number of steps as described below</w:t>
      </w:r>
      <w:r>
        <w:rPr>
          <w:rFonts w:ascii="Verdana" w:hAnsi="Verdana" w:cs="Arial"/>
          <w:sz w:val="20"/>
        </w:rPr>
        <w:t>.</w:t>
      </w:r>
    </w:p>
    <w:p w:rsidR="00D8007C" w:rsidRDefault="00D8007C" w:rsidP="00D150EA">
      <w:pPr>
        <w:spacing w:after="0"/>
        <w:rPr>
          <w:rFonts w:ascii="Verdana" w:hAnsi="Verdana" w:cs="Arial"/>
          <w:sz w:val="20"/>
        </w:rPr>
      </w:pPr>
    </w:p>
    <w:p w:rsidR="00D8007C" w:rsidRPr="00D8007C" w:rsidRDefault="009527BE" w:rsidP="00D8007C">
      <w:pPr>
        <w:spacing w:after="0"/>
        <w:rPr>
          <w:rFonts w:ascii="Verdana" w:hAnsi="Verdana" w:cs="Arial"/>
          <w:i/>
          <w:color w:val="0070C0"/>
          <w:sz w:val="20"/>
          <w:szCs w:val="16"/>
        </w:rPr>
      </w:pPr>
      <w:r w:rsidRPr="009527BE">
        <w:rPr>
          <w:rFonts w:ascii="Verdana" w:hAnsi="Verdana" w:cs="Arial"/>
          <w:i/>
          <w:color w:val="0070C0"/>
          <w:sz w:val="20"/>
          <w:szCs w:val="16"/>
        </w:rPr>
        <w:t xml:space="preserve">Steps related to implementation of </w:t>
      </w:r>
      <w:r w:rsidR="00D8007C">
        <w:rPr>
          <w:rFonts w:ascii="Verdana" w:hAnsi="Verdana" w:cs="Arial"/>
          <w:i/>
          <w:color w:val="0070C0"/>
          <w:sz w:val="20"/>
          <w:szCs w:val="16"/>
        </w:rPr>
        <w:t>conversion</w:t>
      </w:r>
    </w:p>
    <w:p w:rsidR="00D150EA" w:rsidRPr="00D150EA" w:rsidRDefault="00D150EA" w:rsidP="00D150EA">
      <w:pPr>
        <w:pStyle w:val="ListParagraph"/>
        <w:numPr>
          <w:ilvl w:val="0"/>
          <w:numId w:val="9"/>
        </w:numPr>
        <w:spacing w:after="0" w:line="264" w:lineRule="auto"/>
        <w:rPr>
          <w:rFonts w:ascii="Verdana" w:hAnsi="Verdana"/>
          <w:sz w:val="20"/>
          <w:szCs w:val="20"/>
        </w:rPr>
      </w:pPr>
      <w:bookmarkStart w:id="0" w:name="_Ref345531355"/>
      <w:bookmarkStart w:id="1" w:name="_Ref345664004"/>
      <w:r w:rsidRPr="00D150EA">
        <w:rPr>
          <w:rFonts w:ascii="Verdana" w:hAnsi="Verdana"/>
          <w:sz w:val="20"/>
          <w:szCs w:val="20"/>
        </w:rPr>
        <w:t>The proposal to repay EUR 400</w:t>
      </w:r>
      <w:r w:rsidR="00D74D4D">
        <w:rPr>
          <w:rFonts w:ascii="Verdana" w:hAnsi="Verdana"/>
          <w:sz w:val="20"/>
          <w:szCs w:val="20"/>
        </w:rPr>
        <w:t xml:space="preserve"> million</w:t>
      </w:r>
      <w:r w:rsidRPr="00D150EA">
        <w:rPr>
          <w:rFonts w:ascii="Verdana" w:hAnsi="Verdana"/>
          <w:sz w:val="20"/>
          <w:szCs w:val="20"/>
        </w:rPr>
        <w:t xml:space="preserve"> in share premium on </w:t>
      </w:r>
      <w:r w:rsidR="00D8007C">
        <w:rPr>
          <w:rFonts w:ascii="Verdana" w:hAnsi="Verdana"/>
          <w:sz w:val="20"/>
          <w:szCs w:val="20"/>
        </w:rPr>
        <w:t>p</w:t>
      </w:r>
      <w:r w:rsidR="00D8007C" w:rsidRPr="00D150EA">
        <w:rPr>
          <w:rFonts w:ascii="Verdana" w:hAnsi="Verdana"/>
          <w:sz w:val="20"/>
          <w:szCs w:val="20"/>
        </w:rPr>
        <w:t xml:space="preserve">referred </w:t>
      </w:r>
      <w:r w:rsidR="00D8007C">
        <w:rPr>
          <w:rFonts w:ascii="Verdana" w:hAnsi="Verdana"/>
          <w:sz w:val="20"/>
          <w:szCs w:val="20"/>
        </w:rPr>
        <w:t>s</w:t>
      </w:r>
      <w:r w:rsidR="00D8007C" w:rsidRPr="00D150EA">
        <w:rPr>
          <w:rFonts w:ascii="Verdana" w:hAnsi="Verdana"/>
          <w:sz w:val="20"/>
          <w:szCs w:val="20"/>
        </w:rPr>
        <w:t xml:space="preserve">hares </w:t>
      </w:r>
      <w:r w:rsidRPr="00D150EA">
        <w:rPr>
          <w:rFonts w:ascii="Verdana" w:hAnsi="Verdana"/>
          <w:sz w:val="20"/>
          <w:szCs w:val="20"/>
        </w:rPr>
        <w:t>A</w:t>
      </w:r>
      <w:r>
        <w:rPr>
          <w:rFonts w:ascii="Verdana" w:hAnsi="Verdana"/>
          <w:sz w:val="20"/>
          <w:szCs w:val="20"/>
        </w:rPr>
        <w:t>.</w:t>
      </w:r>
    </w:p>
    <w:p w:rsidR="00D150EA" w:rsidRPr="00D150EA" w:rsidRDefault="00D150EA" w:rsidP="00D150EA">
      <w:pPr>
        <w:pStyle w:val="ListParagraph"/>
        <w:numPr>
          <w:ilvl w:val="0"/>
          <w:numId w:val="9"/>
        </w:numPr>
        <w:spacing w:after="0" w:line="264" w:lineRule="auto"/>
        <w:rPr>
          <w:rFonts w:ascii="Verdana" w:hAnsi="Verdana"/>
          <w:sz w:val="20"/>
          <w:szCs w:val="20"/>
        </w:rPr>
      </w:pPr>
      <w:r w:rsidRPr="00D150EA">
        <w:rPr>
          <w:rFonts w:ascii="Verdana" w:hAnsi="Verdana"/>
          <w:sz w:val="20"/>
          <w:szCs w:val="20"/>
        </w:rPr>
        <w:t>The proposal to amend the Articles of Association of A</w:t>
      </w:r>
      <w:r w:rsidR="00D74D4D">
        <w:rPr>
          <w:rFonts w:ascii="Verdana" w:hAnsi="Verdana"/>
          <w:sz w:val="20"/>
          <w:szCs w:val="20"/>
        </w:rPr>
        <w:t>egon</w:t>
      </w:r>
      <w:r w:rsidRPr="00D150EA">
        <w:rPr>
          <w:rFonts w:ascii="Verdana" w:hAnsi="Verdana"/>
          <w:sz w:val="20"/>
          <w:szCs w:val="20"/>
        </w:rPr>
        <w:t xml:space="preserve"> N.V. to convert the share capital and to reflect the new composition of that share capital. Subject to the approval of the A</w:t>
      </w:r>
      <w:r w:rsidR="00D74D4D">
        <w:rPr>
          <w:rFonts w:ascii="Verdana" w:hAnsi="Verdana"/>
          <w:sz w:val="20"/>
          <w:szCs w:val="20"/>
        </w:rPr>
        <w:t xml:space="preserve">nnual </w:t>
      </w:r>
      <w:r w:rsidRPr="00D150EA">
        <w:rPr>
          <w:rFonts w:ascii="Verdana" w:hAnsi="Verdana"/>
          <w:sz w:val="20"/>
          <w:szCs w:val="20"/>
        </w:rPr>
        <w:t>G</w:t>
      </w:r>
      <w:r w:rsidR="00D74D4D">
        <w:rPr>
          <w:rFonts w:ascii="Verdana" w:hAnsi="Verdana"/>
          <w:sz w:val="20"/>
          <w:szCs w:val="20"/>
        </w:rPr>
        <w:t xml:space="preserve">eneral </w:t>
      </w:r>
      <w:r w:rsidRPr="00D150EA">
        <w:rPr>
          <w:rFonts w:ascii="Verdana" w:hAnsi="Verdana"/>
          <w:sz w:val="20"/>
          <w:szCs w:val="20"/>
        </w:rPr>
        <w:t>M</w:t>
      </w:r>
      <w:r w:rsidR="00D74D4D">
        <w:rPr>
          <w:rFonts w:ascii="Verdana" w:hAnsi="Verdana"/>
          <w:sz w:val="20"/>
          <w:szCs w:val="20"/>
        </w:rPr>
        <w:t>eeting of Shareholders</w:t>
      </w:r>
      <w:r w:rsidRPr="00D150EA">
        <w:rPr>
          <w:rFonts w:ascii="Verdana" w:hAnsi="Verdana"/>
          <w:sz w:val="20"/>
          <w:szCs w:val="20"/>
        </w:rPr>
        <w:t>, the A</w:t>
      </w:r>
      <w:r w:rsidR="00D74D4D">
        <w:rPr>
          <w:rFonts w:ascii="Verdana" w:hAnsi="Verdana"/>
          <w:sz w:val="20"/>
          <w:szCs w:val="20"/>
        </w:rPr>
        <w:t>egon</w:t>
      </w:r>
      <w:r w:rsidRPr="00D150EA">
        <w:rPr>
          <w:rFonts w:ascii="Verdana" w:hAnsi="Verdana"/>
          <w:sz w:val="20"/>
          <w:szCs w:val="20"/>
        </w:rPr>
        <w:t xml:space="preserve"> </w:t>
      </w:r>
      <w:r w:rsidR="00E52A05">
        <w:rPr>
          <w:rFonts w:ascii="Verdana" w:hAnsi="Verdana"/>
          <w:sz w:val="20"/>
          <w:szCs w:val="20"/>
        </w:rPr>
        <w:t>p</w:t>
      </w:r>
      <w:r w:rsidR="00E52A05" w:rsidRPr="00D150EA">
        <w:rPr>
          <w:rFonts w:ascii="Verdana" w:hAnsi="Verdana"/>
          <w:sz w:val="20"/>
          <w:szCs w:val="20"/>
        </w:rPr>
        <w:t xml:space="preserve">referred </w:t>
      </w:r>
      <w:r w:rsidR="00E52A05">
        <w:rPr>
          <w:rFonts w:ascii="Verdana" w:hAnsi="Verdana"/>
          <w:sz w:val="20"/>
          <w:szCs w:val="20"/>
        </w:rPr>
        <w:t>s</w:t>
      </w:r>
      <w:r w:rsidR="00E52A05" w:rsidRPr="00D150EA">
        <w:rPr>
          <w:rFonts w:ascii="Verdana" w:hAnsi="Verdana"/>
          <w:sz w:val="20"/>
          <w:szCs w:val="20"/>
        </w:rPr>
        <w:t xml:space="preserve">hares </w:t>
      </w:r>
      <w:r w:rsidR="00A31A83">
        <w:rPr>
          <w:rFonts w:ascii="Verdana" w:hAnsi="Verdana"/>
          <w:sz w:val="20"/>
          <w:szCs w:val="20"/>
        </w:rPr>
        <w:t xml:space="preserve">A and B </w:t>
      </w:r>
      <w:r w:rsidR="00D74D4D">
        <w:rPr>
          <w:rFonts w:ascii="Verdana" w:hAnsi="Verdana"/>
          <w:sz w:val="20"/>
          <w:szCs w:val="20"/>
        </w:rPr>
        <w:t>will</w:t>
      </w:r>
      <w:r w:rsidRPr="00D150EA">
        <w:rPr>
          <w:rFonts w:ascii="Verdana" w:hAnsi="Verdana"/>
          <w:sz w:val="20"/>
          <w:szCs w:val="20"/>
        </w:rPr>
        <w:t xml:space="preserve"> be converted into a combination of </w:t>
      </w:r>
      <w:r w:rsidR="00D74D4D">
        <w:rPr>
          <w:rFonts w:ascii="Verdana" w:hAnsi="Verdana"/>
          <w:sz w:val="20"/>
          <w:szCs w:val="20"/>
        </w:rPr>
        <w:t>c</w:t>
      </w:r>
      <w:r w:rsidRPr="00D150EA">
        <w:rPr>
          <w:rFonts w:ascii="Verdana" w:hAnsi="Verdana"/>
          <w:sz w:val="20"/>
          <w:szCs w:val="20"/>
        </w:rPr>
        <w:t xml:space="preserve">ommon </w:t>
      </w:r>
      <w:r w:rsidR="00D74D4D">
        <w:rPr>
          <w:rFonts w:ascii="Verdana" w:hAnsi="Verdana"/>
          <w:sz w:val="20"/>
          <w:szCs w:val="20"/>
        </w:rPr>
        <w:t>s</w:t>
      </w:r>
      <w:r w:rsidRPr="00D150EA">
        <w:rPr>
          <w:rFonts w:ascii="Verdana" w:hAnsi="Verdana"/>
          <w:sz w:val="20"/>
          <w:szCs w:val="20"/>
        </w:rPr>
        <w:t xml:space="preserve">hares and </w:t>
      </w:r>
      <w:r w:rsidR="00D74D4D">
        <w:rPr>
          <w:rFonts w:ascii="Verdana" w:hAnsi="Verdana"/>
          <w:sz w:val="20"/>
          <w:szCs w:val="20"/>
        </w:rPr>
        <w:t>c</w:t>
      </w:r>
      <w:r w:rsidRPr="00D150EA">
        <w:rPr>
          <w:rFonts w:ascii="Verdana" w:hAnsi="Verdana"/>
          <w:sz w:val="20"/>
          <w:szCs w:val="20"/>
        </w:rPr>
        <w:t xml:space="preserve">ommon </w:t>
      </w:r>
      <w:r w:rsidR="00D74D4D">
        <w:rPr>
          <w:rFonts w:ascii="Verdana" w:hAnsi="Verdana"/>
          <w:sz w:val="20"/>
          <w:szCs w:val="20"/>
        </w:rPr>
        <w:t>s</w:t>
      </w:r>
      <w:r w:rsidRPr="00D150EA">
        <w:rPr>
          <w:rFonts w:ascii="Verdana" w:hAnsi="Verdana"/>
          <w:sz w:val="20"/>
          <w:szCs w:val="20"/>
        </w:rPr>
        <w:t xml:space="preserve">hares B, each with a nominal value of EUR 0.12. </w:t>
      </w:r>
      <w:r w:rsidR="00AC7AF9">
        <w:rPr>
          <w:rFonts w:ascii="Verdana" w:hAnsi="Verdana"/>
          <w:sz w:val="20"/>
          <w:szCs w:val="20"/>
        </w:rPr>
        <w:t xml:space="preserve">The financial rights attached to a </w:t>
      </w:r>
      <w:r w:rsidR="00872D25" w:rsidRPr="00872D25">
        <w:rPr>
          <w:rFonts w:ascii="Verdana" w:hAnsi="Verdana"/>
          <w:sz w:val="20"/>
          <w:szCs w:val="20"/>
        </w:rPr>
        <w:t>common share B are 1/40 o</w:t>
      </w:r>
      <w:r w:rsidR="00AC7AF9">
        <w:rPr>
          <w:rFonts w:ascii="Verdana" w:hAnsi="Verdana"/>
          <w:sz w:val="20"/>
          <w:szCs w:val="20"/>
        </w:rPr>
        <w:t>f</w:t>
      </w:r>
      <w:r w:rsidR="00872D25" w:rsidRPr="00872D25">
        <w:rPr>
          <w:rFonts w:ascii="Verdana" w:hAnsi="Verdana"/>
          <w:sz w:val="20"/>
          <w:szCs w:val="20"/>
        </w:rPr>
        <w:t xml:space="preserve"> a common share. </w:t>
      </w:r>
      <w:r w:rsidRPr="00D150EA">
        <w:rPr>
          <w:rFonts w:ascii="Verdana" w:hAnsi="Verdana"/>
          <w:sz w:val="20"/>
          <w:szCs w:val="20"/>
        </w:rPr>
        <w:t xml:space="preserve">The combination of </w:t>
      </w:r>
      <w:r w:rsidR="00D74D4D">
        <w:rPr>
          <w:rFonts w:ascii="Verdana" w:hAnsi="Verdana"/>
          <w:sz w:val="20"/>
          <w:szCs w:val="20"/>
        </w:rPr>
        <w:t>c</w:t>
      </w:r>
      <w:r w:rsidRPr="00D150EA">
        <w:rPr>
          <w:rFonts w:ascii="Verdana" w:hAnsi="Verdana"/>
          <w:sz w:val="20"/>
          <w:szCs w:val="20"/>
        </w:rPr>
        <w:t xml:space="preserve">ommon </w:t>
      </w:r>
      <w:r w:rsidR="00D74D4D">
        <w:rPr>
          <w:rFonts w:ascii="Verdana" w:hAnsi="Verdana"/>
          <w:sz w:val="20"/>
          <w:szCs w:val="20"/>
        </w:rPr>
        <w:t>s</w:t>
      </w:r>
      <w:r w:rsidRPr="00D150EA">
        <w:rPr>
          <w:rFonts w:ascii="Verdana" w:hAnsi="Verdana"/>
          <w:sz w:val="20"/>
          <w:szCs w:val="20"/>
        </w:rPr>
        <w:t xml:space="preserve">hares and </w:t>
      </w:r>
      <w:r w:rsidR="00D74D4D">
        <w:rPr>
          <w:rFonts w:ascii="Verdana" w:hAnsi="Verdana"/>
          <w:sz w:val="20"/>
          <w:szCs w:val="20"/>
        </w:rPr>
        <w:t>c</w:t>
      </w:r>
      <w:r w:rsidRPr="00D150EA">
        <w:rPr>
          <w:rFonts w:ascii="Verdana" w:hAnsi="Verdana"/>
          <w:sz w:val="20"/>
          <w:szCs w:val="20"/>
        </w:rPr>
        <w:t xml:space="preserve">ommon </w:t>
      </w:r>
      <w:r w:rsidR="00D74D4D">
        <w:rPr>
          <w:rFonts w:ascii="Verdana" w:hAnsi="Verdana"/>
          <w:sz w:val="20"/>
          <w:szCs w:val="20"/>
        </w:rPr>
        <w:t>s</w:t>
      </w:r>
      <w:r w:rsidRPr="00D150EA">
        <w:rPr>
          <w:rFonts w:ascii="Verdana" w:hAnsi="Verdana"/>
          <w:sz w:val="20"/>
          <w:szCs w:val="20"/>
        </w:rPr>
        <w:t xml:space="preserve">hares B </w:t>
      </w:r>
      <w:r w:rsidR="00D74D4D">
        <w:rPr>
          <w:rFonts w:ascii="Verdana" w:hAnsi="Verdana"/>
          <w:sz w:val="20"/>
          <w:szCs w:val="20"/>
        </w:rPr>
        <w:t>will</w:t>
      </w:r>
      <w:r w:rsidRPr="00D150EA">
        <w:rPr>
          <w:rFonts w:ascii="Verdana" w:hAnsi="Verdana"/>
          <w:sz w:val="20"/>
          <w:szCs w:val="20"/>
        </w:rPr>
        <w:t xml:space="preserve"> be determined such that the aggregate nominal value of the </w:t>
      </w:r>
      <w:r w:rsidR="00D74D4D">
        <w:rPr>
          <w:rFonts w:ascii="Verdana" w:hAnsi="Verdana"/>
          <w:sz w:val="20"/>
          <w:szCs w:val="20"/>
        </w:rPr>
        <w:t>p</w:t>
      </w:r>
      <w:r w:rsidRPr="00D150EA">
        <w:rPr>
          <w:rFonts w:ascii="Verdana" w:hAnsi="Verdana"/>
          <w:sz w:val="20"/>
          <w:szCs w:val="20"/>
        </w:rPr>
        <w:t xml:space="preserve">referred </w:t>
      </w:r>
      <w:r w:rsidR="00D74D4D">
        <w:rPr>
          <w:rFonts w:ascii="Verdana" w:hAnsi="Verdana"/>
          <w:sz w:val="20"/>
          <w:szCs w:val="20"/>
        </w:rPr>
        <w:t>s</w:t>
      </w:r>
      <w:r w:rsidRPr="00D150EA">
        <w:rPr>
          <w:rFonts w:ascii="Verdana" w:hAnsi="Verdana"/>
          <w:sz w:val="20"/>
          <w:szCs w:val="20"/>
        </w:rPr>
        <w:t xml:space="preserve">hares which are converted equals the aggregate nominal value of the </w:t>
      </w:r>
      <w:r w:rsidR="00D74D4D">
        <w:rPr>
          <w:rFonts w:ascii="Verdana" w:hAnsi="Verdana"/>
          <w:sz w:val="20"/>
          <w:szCs w:val="20"/>
        </w:rPr>
        <w:t>c</w:t>
      </w:r>
      <w:r w:rsidRPr="00D150EA">
        <w:rPr>
          <w:rFonts w:ascii="Verdana" w:hAnsi="Verdana"/>
          <w:sz w:val="20"/>
          <w:szCs w:val="20"/>
        </w:rPr>
        <w:t xml:space="preserve">ommon </w:t>
      </w:r>
      <w:r w:rsidR="00D74D4D">
        <w:rPr>
          <w:rFonts w:ascii="Verdana" w:hAnsi="Verdana"/>
          <w:sz w:val="20"/>
          <w:szCs w:val="20"/>
        </w:rPr>
        <w:t>s</w:t>
      </w:r>
      <w:r w:rsidRPr="00D150EA">
        <w:rPr>
          <w:rFonts w:ascii="Verdana" w:hAnsi="Verdana"/>
          <w:sz w:val="20"/>
          <w:szCs w:val="20"/>
        </w:rPr>
        <w:t xml:space="preserve">hares and </w:t>
      </w:r>
      <w:r w:rsidR="00D74D4D">
        <w:rPr>
          <w:rFonts w:ascii="Verdana" w:hAnsi="Verdana"/>
          <w:sz w:val="20"/>
          <w:szCs w:val="20"/>
        </w:rPr>
        <w:t>c</w:t>
      </w:r>
      <w:r w:rsidRPr="00D150EA">
        <w:rPr>
          <w:rFonts w:ascii="Verdana" w:hAnsi="Verdana"/>
          <w:sz w:val="20"/>
          <w:szCs w:val="20"/>
        </w:rPr>
        <w:t xml:space="preserve">ommon </w:t>
      </w:r>
      <w:r w:rsidR="00D74D4D">
        <w:rPr>
          <w:rFonts w:ascii="Verdana" w:hAnsi="Verdana"/>
          <w:sz w:val="20"/>
          <w:szCs w:val="20"/>
        </w:rPr>
        <w:t>s</w:t>
      </w:r>
      <w:r w:rsidRPr="00D150EA">
        <w:rPr>
          <w:rFonts w:ascii="Verdana" w:hAnsi="Verdana"/>
          <w:sz w:val="20"/>
          <w:szCs w:val="20"/>
        </w:rPr>
        <w:t xml:space="preserve">hares B resulting from the </w:t>
      </w:r>
      <w:r w:rsidR="00D74D4D">
        <w:rPr>
          <w:rFonts w:ascii="Verdana" w:hAnsi="Verdana"/>
          <w:sz w:val="20"/>
          <w:szCs w:val="20"/>
        </w:rPr>
        <w:t>c</w:t>
      </w:r>
      <w:r w:rsidRPr="00D150EA">
        <w:rPr>
          <w:rFonts w:ascii="Verdana" w:hAnsi="Verdana"/>
          <w:sz w:val="20"/>
          <w:szCs w:val="20"/>
        </w:rPr>
        <w:t>onversion.</w:t>
      </w:r>
    </w:p>
    <w:p w:rsidR="00D8007C" w:rsidRPr="00D150EA" w:rsidRDefault="00D150EA" w:rsidP="00D150EA">
      <w:pPr>
        <w:pStyle w:val="ListParagraph"/>
        <w:numPr>
          <w:ilvl w:val="0"/>
          <w:numId w:val="9"/>
        </w:numPr>
        <w:spacing w:after="0" w:line="264" w:lineRule="auto"/>
        <w:rPr>
          <w:rFonts w:ascii="Verdana" w:hAnsi="Verdana"/>
          <w:sz w:val="20"/>
          <w:szCs w:val="20"/>
        </w:rPr>
      </w:pPr>
      <w:r>
        <w:rPr>
          <w:rFonts w:ascii="Verdana" w:hAnsi="Verdana"/>
          <w:sz w:val="20"/>
          <w:szCs w:val="20"/>
        </w:rPr>
        <w:t>T</w:t>
      </w:r>
      <w:r w:rsidRPr="00D150EA">
        <w:rPr>
          <w:rFonts w:ascii="Verdana" w:hAnsi="Verdana"/>
          <w:sz w:val="20"/>
          <w:szCs w:val="20"/>
        </w:rPr>
        <w:t>he proposal to amend the Preferred Shares Voting Rights Agreement (Voting Rights Agreement) between A</w:t>
      </w:r>
      <w:r w:rsidR="00D74D4D">
        <w:rPr>
          <w:rFonts w:ascii="Verdana" w:hAnsi="Verdana"/>
          <w:sz w:val="20"/>
          <w:szCs w:val="20"/>
        </w:rPr>
        <w:t>egon</w:t>
      </w:r>
      <w:r w:rsidRPr="00D150EA">
        <w:rPr>
          <w:rFonts w:ascii="Verdana" w:hAnsi="Verdana"/>
          <w:sz w:val="20"/>
          <w:szCs w:val="20"/>
        </w:rPr>
        <w:t xml:space="preserve"> N.V. and Vereniging A</w:t>
      </w:r>
      <w:r w:rsidR="00D74D4D">
        <w:rPr>
          <w:rFonts w:ascii="Verdana" w:hAnsi="Verdana"/>
          <w:sz w:val="20"/>
          <w:szCs w:val="20"/>
        </w:rPr>
        <w:t>egon</w:t>
      </w:r>
      <w:r w:rsidR="00D8007C" w:rsidRPr="008B1B01">
        <w:rPr>
          <w:rFonts w:ascii="Verdana" w:hAnsi="Verdana"/>
          <w:sz w:val="20"/>
          <w:szCs w:val="20"/>
          <w:lang w:eastAsia="en-GB"/>
        </w:rPr>
        <w:t xml:space="preserve"> to ensure that under normal circumstances the Association will only exercise 1 vote per 40 common shares B (voting right</w:t>
      </w:r>
      <w:r w:rsidR="00F0217A">
        <w:rPr>
          <w:rFonts w:ascii="Verdana" w:hAnsi="Verdana"/>
          <w:sz w:val="20"/>
          <w:szCs w:val="20"/>
          <w:lang w:eastAsia="en-GB"/>
        </w:rPr>
        <w:t>s</w:t>
      </w:r>
      <w:r w:rsidR="00D8007C" w:rsidRPr="008B1B01">
        <w:rPr>
          <w:rFonts w:ascii="Verdana" w:hAnsi="Verdana"/>
          <w:sz w:val="20"/>
          <w:szCs w:val="20"/>
          <w:lang w:eastAsia="en-GB"/>
        </w:rPr>
        <w:t xml:space="preserve"> in normal circumstances </w:t>
      </w:r>
      <w:r w:rsidR="004B284A">
        <w:rPr>
          <w:rFonts w:ascii="Verdana" w:hAnsi="Verdana"/>
          <w:sz w:val="20"/>
          <w:szCs w:val="20"/>
          <w:lang w:eastAsia="en-GB"/>
        </w:rPr>
        <w:t>will be</w:t>
      </w:r>
      <w:r w:rsidR="004B284A" w:rsidRPr="008B1B01">
        <w:rPr>
          <w:rFonts w:ascii="Verdana" w:hAnsi="Verdana"/>
          <w:sz w:val="20"/>
          <w:szCs w:val="20"/>
          <w:lang w:eastAsia="en-GB"/>
        </w:rPr>
        <w:t xml:space="preserve"> </w:t>
      </w:r>
      <w:r w:rsidR="00D8007C" w:rsidRPr="008B1B01">
        <w:rPr>
          <w:rFonts w:ascii="Verdana" w:hAnsi="Verdana"/>
          <w:sz w:val="20"/>
          <w:szCs w:val="20"/>
          <w:lang w:eastAsia="en-GB"/>
        </w:rPr>
        <w:t xml:space="preserve">equal to the </w:t>
      </w:r>
      <w:r w:rsidR="00AC7AF9">
        <w:rPr>
          <w:rFonts w:ascii="Verdana" w:hAnsi="Verdana"/>
          <w:sz w:val="20"/>
          <w:szCs w:val="20"/>
          <w:lang w:eastAsia="en-GB"/>
        </w:rPr>
        <w:t>financial rights</w:t>
      </w:r>
      <w:r w:rsidR="00D8007C" w:rsidRPr="008B1B01">
        <w:rPr>
          <w:rFonts w:ascii="Verdana" w:hAnsi="Verdana"/>
          <w:sz w:val="20"/>
          <w:szCs w:val="20"/>
          <w:lang w:eastAsia="en-GB"/>
        </w:rPr>
        <w:t xml:space="preserve"> of a common </w:t>
      </w:r>
      <w:r w:rsidR="00D8007C">
        <w:rPr>
          <w:rFonts w:ascii="Verdana" w:hAnsi="Verdana"/>
          <w:sz w:val="20"/>
          <w:szCs w:val="20"/>
          <w:lang w:eastAsia="en-GB"/>
        </w:rPr>
        <w:t xml:space="preserve">share </w:t>
      </w:r>
      <w:r w:rsidR="00D8007C" w:rsidRPr="008B1B01">
        <w:rPr>
          <w:rFonts w:ascii="Verdana" w:hAnsi="Verdana"/>
          <w:sz w:val="20"/>
          <w:szCs w:val="20"/>
          <w:lang w:eastAsia="en-GB"/>
        </w:rPr>
        <w:t xml:space="preserve">B) and that it will only </w:t>
      </w:r>
      <w:r w:rsidR="009C23A7">
        <w:rPr>
          <w:rFonts w:ascii="Verdana" w:hAnsi="Verdana"/>
          <w:sz w:val="20"/>
          <w:szCs w:val="20"/>
          <w:lang w:eastAsia="en-GB"/>
        </w:rPr>
        <w:t>exercise</w:t>
      </w:r>
      <w:r w:rsidR="00D8007C" w:rsidRPr="008B1B01">
        <w:rPr>
          <w:rFonts w:ascii="Verdana" w:hAnsi="Verdana"/>
          <w:sz w:val="20"/>
          <w:szCs w:val="20"/>
          <w:lang w:eastAsia="en-GB"/>
        </w:rPr>
        <w:t xml:space="preserve"> its full voting rights in case of </w:t>
      </w:r>
      <w:r w:rsidR="004B284A">
        <w:rPr>
          <w:rFonts w:ascii="Verdana" w:hAnsi="Verdana"/>
          <w:sz w:val="20"/>
          <w:szCs w:val="20"/>
          <w:lang w:eastAsia="en-GB"/>
        </w:rPr>
        <w:t xml:space="preserve">a </w:t>
      </w:r>
      <w:r w:rsidR="00D8007C" w:rsidRPr="008B1B01">
        <w:rPr>
          <w:rFonts w:ascii="Verdana" w:hAnsi="Verdana"/>
          <w:sz w:val="20"/>
          <w:szCs w:val="20"/>
          <w:lang w:eastAsia="en-GB"/>
        </w:rPr>
        <w:t>special cause.</w:t>
      </w:r>
    </w:p>
    <w:p w:rsidR="009C23A7" w:rsidRDefault="009527BE">
      <w:pPr>
        <w:pStyle w:val="ListParagraph"/>
        <w:numPr>
          <w:ilvl w:val="0"/>
          <w:numId w:val="9"/>
        </w:numPr>
        <w:spacing w:after="0" w:line="264" w:lineRule="auto"/>
        <w:rPr>
          <w:rFonts w:ascii="Verdana" w:hAnsi="Verdana"/>
          <w:sz w:val="20"/>
          <w:szCs w:val="20"/>
          <w:lang w:eastAsia="en-GB"/>
        </w:rPr>
      </w:pPr>
      <w:r w:rsidRPr="009527BE">
        <w:rPr>
          <w:rFonts w:ascii="Verdana" w:hAnsi="Verdana"/>
          <w:sz w:val="20"/>
          <w:szCs w:val="20"/>
        </w:rPr>
        <w:t xml:space="preserve">The proposal to amend the 1983 Merger Agreement (Vereniging AEGON Call Option) </w:t>
      </w:r>
      <w:r w:rsidRPr="009527BE">
        <w:rPr>
          <w:rFonts w:ascii="Verdana" w:hAnsi="Verdana"/>
          <w:sz w:val="20"/>
          <w:szCs w:val="20"/>
          <w:lang w:eastAsia="en-GB"/>
        </w:rPr>
        <w:t xml:space="preserve">to ensure that the Association can </w:t>
      </w:r>
      <w:r w:rsidR="00A31A83">
        <w:rPr>
          <w:rFonts w:ascii="Verdana" w:hAnsi="Verdana"/>
          <w:sz w:val="20"/>
          <w:szCs w:val="20"/>
          <w:lang w:eastAsia="en-GB"/>
        </w:rPr>
        <w:t xml:space="preserve">always </w:t>
      </w:r>
      <w:r w:rsidRPr="009527BE">
        <w:rPr>
          <w:rFonts w:ascii="Verdana" w:hAnsi="Verdana"/>
          <w:sz w:val="20"/>
          <w:szCs w:val="20"/>
          <w:lang w:eastAsia="en-GB"/>
        </w:rPr>
        <w:t>maintain its special cause voting right</w:t>
      </w:r>
      <w:r w:rsidR="00F0217A">
        <w:rPr>
          <w:rFonts w:ascii="Verdana" w:hAnsi="Verdana"/>
          <w:sz w:val="20"/>
          <w:szCs w:val="20"/>
          <w:lang w:eastAsia="en-GB"/>
        </w:rPr>
        <w:t>s</w:t>
      </w:r>
      <w:r w:rsidRPr="009527BE">
        <w:rPr>
          <w:rFonts w:ascii="Verdana" w:hAnsi="Verdana"/>
          <w:sz w:val="20"/>
          <w:szCs w:val="20"/>
          <w:lang w:eastAsia="en-GB"/>
        </w:rPr>
        <w:t xml:space="preserve"> at 32.6% in the future.</w:t>
      </w:r>
    </w:p>
    <w:p w:rsidR="00C2710C" w:rsidRDefault="00C2710C">
      <w:pPr>
        <w:spacing w:after="0"/>
        <w:rPr>
          <w:rFonts w:ascii="Verdana" w:hAnsi="Verdana" w:cs="Arial"/>
          <w:i/>
          <w:color w:val="0070C0"/>
          <w:sz w:val="20"/>
          <w:szCs w:val="16"/>
        </w:rPr>
      </w:pPr>
    </w:p>
    <w:p w:rsidR="00C2710C" w:rsidRDefault="009C23A7">
      <w:pPr>
        <w:spacing w:after="0"/>
        <w:rPr>
          <w:rFonts w:ascii="Verdana" w:hAnsi="Verdana" w:cs="Arial"/>
          <w:i/>
          <w:color w:val="0070C0"/>
          <w:sz w:val="20"/>
          <w:szCs w:val="16"/>
        </w:rPr>
      </w:pPr>
      <w:r>
        <w:rPr>
          <w:rFonts w:ascii="Verdana" w:hAnsi="Verdana" w:cs="Arial"/>
          <w:i/>
          <w:color w:val="0070C0"/>
          <w:sz w:val="20"/>
          <w:szCs w:val="16"/>
        </w:rPr>
        <w:t>Valuation of shares for purpose of conversion</w:t>
      </w:r>
    </w:p>
    <w:p w:rsidR="00D66C77" w:rsidRDefault="00D74D4D">
      <w:pPr>
        <w:spacing w:after="0" w:line="264" w:lineRule="auto"/>
        <w:rPr>
          <w:rFonts w:ascii="Verdana" w:hAnsi="Verdana"/>
          <w:b/>
          <w:sz w:val="20"/>
          <w:szCs w:val="20"/>
        </w:rPr>
      </w:pPr>
      <w:r>
        <w:rPr>
          <w:rFonts w:ascii="Verdana" w:hAnsi="Verdana"/>
          <w:sz w:val="20"/>
          <w:szCs w:val="20"/>
        </w:rPr>
        <w:t>The v</w:t>
      </w:r>
      <w:r w:rsidR="00696953" w:rsidRPr="00696953">
        <w:rPr>
          <w:rFonts w:ascii="Verdana" w:hAnsi="Verdana"/>
          <w:sz w:val="20"/>
          <w:szCs w:val="20"/>
        </w:rPr>
        <w:t xml:space="preserve">aluation of the preferred shares </w:t>
      </w:r>
      <w:r w:rsidR="007F17D7">
        <w:rPr>
          <w:rFonts w:ascii="Verdana" w:hAnsi="Verdana"/>
          <w:sz w:val="20"/>
          <w:szCs w:val="20"/>
        </w:rPr>
        <w:t>has been</w:t>
      </w:r>
      <w:r w:rsidR="00696953" w:rsidRPr="00696953">
        <w:rPr>
          <w:rFonts w:ascii="Verdana" w:hAnsi="Verdana"/>
          <w:sz w:val="20"/>
          <w:szCs w:val="20"/>
        </w:rPr>
        <w:t xml:space="preserve"> based on market parameters (as of February</w:t>
      </w:r>
      <w:r>
        <w:rPr>
          <w:rFonts w:ascii="Verdana" w:hAnsi="Verdana"/>
          <w:sz w:val="20"/>
          <w:szCs w:val="20"/>
        </w:rPr>
        <w:t xml:space="preserve"> </w:t>
      </w:r>
      <w:r w:rsidR="009C23A7">
        <w:rPr>
          <w:rFonts w:ascii="Verdana" w:hAnsi="Verdana"/>
          <w:sz w:val="20"/>
          <w:szCs w:val="20"/>
        </w:rPr>
        <w:t>1</w:t>
      </w:r>
      <w:r w:rsidR="00AC7AF9">
        <w:rPr>
          <w:rFonts w:ascii="Verdana" w:hAnsi="Verdana"/>
          <w:sz w:val="20"/>
          <w:szCs w:val="20"/>
        </w:rPr>
        <w:t>3</w:t>
      </w:r>
      <w:r>
        <w:rPr>
          <w:rFonts w:ascii="Verdana" w:hAnsi="Verdana"/>
          <w:sz w:val="20"/>
          <w:szCs w:val="20"/>
        </w:rPr>
        <w:t>,</w:t>
      </w:r>
      <w:r w:rsidRPr="00696953">
        <w:rPr>
          <w:rFonts w:ascii="Verdana" w:hAnsi="Verdana"/>
          <w:sz w:val="20"/>
          <w:szCs w:val="20"/>
        </w:rPr>
        <w:t xml:space="preserve"> </w:t>
      </w:r>
      <w:r w:rsidR="00696953" w:rsidRPr="00696953">
        <w:rPr>
          <w:rFonts w:ascii="Verdana" w:hAnsi="Verdana"/>
          <w:sz w:val="20"/>
          <w:szCs w:val="20"/>
        </w:rPr>
        <w:t>2013) as agreed between Aegon and Vereniging Aegon:</w:t>
      </w:r>
      <w:bookmarkEnd w:id="0"/>
      <w:bookmarkEnd w:id="1"/>
    </w:p>
    <w:p w:rsidR="00D66C77" w:rsidRDefault="00215E74">
      <w:pPr>
        <w:pStyle w:val="ListParagraph"/>
        <w:numPr>
          <w:ilvl w:val="1"/>
          <w:numId w:val="8"/>
        </w:numPr>
        <w:spacing w:line="264" w:lineRule="auto"/>
        <w:ind w:left="709" w:hanging="283"/>
        <w:rPr>
          <w:rFonts w:ascii="Verdana" w:hAnsi="Verdana"/>
          <w:sz w:val="20"/>
          <w:szCs w:val="20"/>
        </w:rPr>
      </w:pPr>
      <w:r w:rsidRPr="00F30F46">
        <w:rPr>
          <w:rFonts w:ascii="Verdana" w:hAnsi="Verdana"/>
          <w:sz w:val="20"/>
          <w:szCs w:val="20"/>
        </w:rPr>
        <w:t xml:space="preserve">the market value of the </w:t>
      </w:r>
      <w:r>
        <w:rPr>
          <w:rFonts w:ascii="Verdana" w:hAnsi="Verdana"/>
          <w:sz w:val="20"/>
          <w:szCs w:val="20"/>
        </w:rPr>
        <w:t>p</w:t>
      </w:r>
      <w:r w:rsidRPr="00F30F46">
        <w:rPr>
          <w:rFonts w:ascii="Verdana" w:hAnsi="Verdana"/>
          <w:sz w:val="20"/>
          <w:szCs w:val="20"/>
        </w:rPr>
        <w:t xml:space="preserve">referred </w:t>
      </w:r>
      <w:r>
        <w:rPr>
          <w:rFonts w:ascii="Verdana" w:hAnsi="Verdana"/>
          <w:sz w:val="20"/>
          <w:szCs w:val="20"/>
        </w:rPr>
        <w:t>s</w:t>
      </w:r>
      <w:r w:rsidRPr="00F30F46">
        <w:rPr>
          <w:rFonts w:ascii="Verdana" w:hAnsi="Verdana"/>
          <w:sz w:val="20"/>
          <w:szCs w:val="20"/>
        </w:rPr>
        <w:t xml:space="preserve">hares </w:t>
      </w:r>
      <w:r>
        <w:rPr>
          <w:rFonts w:ascii="Verdana" w:hAnsi="Verdana"/>
          <w:sz w:val="20"/>
          <w:szCs w:val="20"/>
        </w:rPr>
        <w:t>will</w:t>
      </w:r>
      <w:r w:rsidRPr="00F30F46">
        <w:rPr>
          <w:rFonts w:ascii="Verdana" w:hAnsi="Verdana"/>
          <w:sz w:val="20"/>
          <w:szCs w:val="20"/>
        </w:rPr>
        <w:t xml:space="preserve"> be calculated over the total amount paid-up (nominal value </w:t>
      </w:r>
      <w:r w:rsidR="009C23A7">
        <w:rPr>
          <w:rFonts w:ascii="Verdana" w:hAnsi="Verdana"/>
          <w:sz w:val="20"/>
          <w:szCs w:val="20"/>
        </w:rPr>
        <w:t>plus</w:t>
      </w:r>
      <w:r w:rsidR="009C23A7" w:rsidRPr="00F30F46">
        <w:rPr>
          <w:rFonts w:ascii="Verdana" w:hAnsi="Verdana"/>
          <w:sz w:val="20"/>
          <w:szCs w:val="20"/>
        </w:rPr>
        <w:t xml:space="preserve"> </w:t>
      </w:r>
      <w:r w:rsidRPr="00F30F46">
        <w:rPr>
          <w:rFonts w:ascii="Verdana" w:hAnsi="Verdana"/>
          <w:sz w:val="20"/>
          <w:szCs w:val="20"/>
        </w:rPr>
        <w:t xml:space="preserve">share premium) on those </w:t>
      </w:r>
      <w:r>
        <w:rPr>
          <w:rFonts w:ascii="Verdana" w:hAnsi="Verdana"/>
          <w:sz w:val="20"/>
          <w:szCs w:val="20"/>
        </w:rPr>
        <w:t>p</w:t>
      </w:r>
      <w:r w:rsidRPr="00F30F46">
        <w:rPr>
          <w:rFonts w:ascii="Verdana" w:hAnsi="Verdana"/>
          <w:sz w:val="20"/>
          <w:szCs w:val="20"/>
        </w:rPr>
        <w:t xml:space="preserve">referred </w:t>
      </w:r>
      <w:r>
        <w:rPr>
          <w:rFonts w:ascii="Verdana" w:hAnsi="Verdana"/>
          <w:sz w:val="20"/>
          <w:szCs w:val="20"/>
        </w:rPr>
        <w:t>s</w:t>
      </w:r>
      <w:r w:rsidRPr="00F30F46">
        <w:rPr>
          <w:rFonts w:ascii="Verdana" w:hAnsi="Verdana"/>
          <w:sz w:val="20"/>
          <w:szCs w:val="20"/>
        </w:rPr>
        <w:t>hares pr</w:t>
      </w:r>
      <w:r>
        <w:rPr>
          <w:rFonts w:ascii="Verdana" w:hAnsi="Verdana"/>
          <w:sz w:val="20"/>
          <w:szCs w:val="20"/>
        </w:rPr>
        <w:t>i</w:t>
      </w:r>
      <w:r w:rsidRPr="00F30F46">
        <w:rPr>
          <w:rFonts w:ascii="Verdana" w:hAnsi="Verdana"/>
          <w:sz w:val="20"/>
          <w:szCs w:val="20"/>
        </w:rPr>
        <w:t>or to the payment of EUR 400</w:t>
      </w:r>
      <w:r>
        <w:rPr>
          <w:rFonts w:ascii="Verdana" w:hAnsi="Verdana"/>
          <w:sz w:val="20"/>
          <w:szCs w:val="20"/>
        </w:rPr>
        <w:t xml:space="preserve"> million</w:t>
      </w:r>
      <w:r w:rsidRPr="00F30F46">
        <w:rPr>
          <w:rFonts w:ascii="Verdana" w:hAnsi="Verdana"/>
          <w:sz w:val="20"/>
          <w:szCs w:val="20"/>
        </w:rPr>
        <w:t xml:space="preserve"> in share premium by A</w:t>
      </w:r>
      <w:r>
        <w:rPr>
          <w:rFonts w:ascii="Verdana" w:hAnsi="Verdana"/>
          <w:sz w:val="20"/>
          <w:szCs w:val="20"/>
        </w:rPr>
        <w:t>egon</w:t>
      </w:r>
      <w:r w:rsidRPr="00F30F46">
        <w:rPr>
          <w:rFonts w:ascii="Verdana" w:hAnsi="Verdana"/>
          <w:sz w:val="20"/>
          <w:szCs w:val="20"/>
        </w:rPr>
        <w:t>;</w:t>
      </w:r>
    </w:p>
    <w:p w:rsidR="00D66C77" w:rsidRDefault="00215E74">
      <w:pPr>
        <w:pStyle w:val="ListParagraph"/>
        <w:numPr>
          <w:ilvl w:val="1"/>
          <w:numId w:val="8"/>
        </w:numPr>
        <w:spacing w:line="264" w:lineRule="auto"/>
        <w:ind w:left="709" w:hanging="283"/>
        <w:rPr>
          <w:rFonts w:ascii="Verdana" w:hAnsi="Verdana"/>
          <w:sz w:val="20"/>
          <w:szCs w:val="20"/>
        </w:rPr>
      </w:pPr>
      <w:r w:rsidRPr="00F30F46">
        <w:rPr>
          <w:rFonts w:ascii="Verdana" w:hAnsi="Verdana"/>
          <w:sz w:val="20"/>
          <w:szCs w:val="20"/>
        </w:rPr>
        <w:t xml:space="preserve">the </w:t>
      </w:r>
      <w:r>
        <w:rPr>
          <w:rFonts w:ascii="Verdana" w:hAnsi="Verdana"/>
          <w:sz w:val="20"/>
          <w:szCs w:val="20"/>
        </w:rPr>
        <w:t>m</w:t>
      </w:r>
      <w:r w:rsidRPr="00F30F46">
        <w:rPr>
          <w:rFonts w:ascii="Verdana" w:hAnsi="Verdana"/>
          <w:sz w:val="20"/>
          <w:szCs w:val="20"/>
        </w:rPr>
        <w:t xml:space="preserve">arket </w:t>
      </w:r>
      <w:r>
        <w:rPr>
          <w:rFonts w:ascii="Verdana" w:hAnsi="Verdana"/>
          <w:sz w:val="20"/>
          <w:szCs w:val="20"/>
        </w:rPr>
        <w:t>v</w:t>
      </w:r>
      <w:r w:rsidRPr="00F30F46">
        <w:rPr>
          <w:rFonts w:ascii="Verdana" w:hAnsi="Verdana"/>
          <w:sz w:val="20"/>
          <w:szCs w:val="20"/>
        </w:rPr>
        <w:t xml:space="preserve">alue </w:t>
      </w:r>
      <w:r>
        <w:rPr>
          <w:rFonts w:ascii="Verdana" w:hAnsi="Verdana"/>
          <w:sz w:val="20"/>
          <w:szCs w:val="20"/>
        </w:rPr>
        <w:t>will</w:t>
      </w:r>
      <w:r w:rsidRPr="00F30F46">
        <w:rPr>
          <w:rFonts w:ascii="Verdana" w:hAnsi="Verdana"/>
          <w:sz w:val="20"/>
          <w:szCs w:val="20"/>
        </w:rPr>
        <w:t xml:space="preserve"> be reduced by (i) EUR 400</w:t>
      </w:r>
      <w:r>
        <w:rPr>
          <w:rFonts w:ascii="Verdana" w:hAnsi="Verdana"/>
          <w:sz w:val="20"/>
          <w:szCs w:val="20"/>
        </w:rPr>
        <w:t xml:space="preserve"> million</w:t>
      </w:r>
      <w:r w:rsidRPr="00F30F46">
        <w:rPr>
          <w:rFonts w:ascii="Verdana" w:hAnsi="Verdana"/>
          <w:sz w:val="20"/>
          <w:szCs w:val="20"/>
        </w:rPr>
        <w:t xml:space="preserve"> and (ii) the dividends on the </w:t>
      </w:r>
      <w:r>
        <w:rPr>
          <w:rFonts w:ascii="Verdana" w:hAnsi="Verdana"/>
          <w:sz w:val="20"/>
          <w:szCs w:val="20"/>
        </w:rPr>
        <w:t>p</w:t>
      </w:r>
      <w:r w:rsidRPr="00F30F46">
        <w:rPr>
          <w:rFonts w:ascii="Verdana" w:hAnsi="Verdana"/>
          <w:sz w:val="20"/>
          <w:szCs w:val="20"/>
        </w:rPr>
        <w:t xml:space="preserve">referred </w:t>
      </w:r>
      <w:r>
        <w:rPr>
          <w:rFonts w:ascii="Verdana" w:hAnsi="Verdana"/>
          <w:sz w:val="20"/>
          <w:szCs w:val="20"/>
        </w:rPr>
        <w:t>s</w:t>
      </w:r>
      <w:r w:rsidRPr="00F30F46">
        <w:rPr>
          <w:rFonts w:ascii="Verdana" w:hAnsi="Verdana"/>
          <w:sz w:val="20"/>
          <w:szCs w:val="20"/>
        </w:rPr>
        <w:t xml:space="preserve">hares; </w:t>
      </w:r>
      <w:r w:rsidR="009C23A7">
        <w:rPr>
          <w:rFonts w:ascii="Verdana" w:hAnsi="Verdana"/>
          <w:sz w:val="20"/>
          <w:szCs w:val="20"/>
        </w:rPr>
        <w:t>and</w:t>
      </w:r>
    </w:p>
    <w:p w:rsidR="00C2710C" w:rsidRDefault="00215E74">
      <w:pPr>
        <w:pStyle w:val="ListParagraph"/>
        <w:numPr>
          <w:ilvl w:val="1"/>
          <w:numId w:val="8"/>
        </w:numPr>
        <w:spacing w:line="264" w:lineRule="auto"/>
        <w:ind w:left="709" w:hanging="283"/>
        <w:rPr>
          <w:rFonts w:ascii="Verdana" w:hAnsi="Verdana"/>
          <w:sz w:val="20"/>
          <w:szCs w:val="20"/>
        </w:rPr>
      </w:pPr>
      <w:r w:rsidRPr="00F30F46">
        <w:rPr>
          <w:rFonts w:ascii="Verdana" w:hAnsi="Verdana"/>
          <w:sz w:val="20"/>
          <w:szCs w:val="20"/>
        </w:rPr>
        <w:t>th</w:t>
      </w:r>
      <w:r>
        <w:rPr>
          <w:rFonts w:ascii="Verdana" w:hAnsi="Verdana"/>
          <w:sz w:val="20"/>
          <w:szCs w:val="20"/>
        </w:rPr>
        <w:t>is</w:t>
      </w:r>
      <w:r w:rsidRPr="00F30F46">
        <w:rPr>
          <w:rFonts w:ascii="Verdana" w:hAnsi="Verdana"/>
          <w:sz w:val="20"/>
          <w:szCs w:val="20"/>
        </w:rPr>
        <w:t xml:space="preserve"> </w:t>
      </w:r>
      <w:r>
        <w:rPr>
          <w:rFonts w:ascii="Verdana" w:hAnsi="Verdana"/>
          <w:sz w:val="20"/>
          <w:szCs w:val="20"/>
        </w:rPr>
        <w:t>remaining</w:t>
      </w:r>
      <w:r w:rsidRPr="00F30F46">
        <w:rPr>
          <w:rFonts w:ascii="Verdana" w:hAnsi="Verdana"/>
          <w:sz w:val="20"/>
          <w:szCs w:val="20"/>
        </w:rPr>
        <w:t xml:space="preserve"> </w:t>
      </w:r>
      <w:r>
        <w:rPr>
          <w:rFonts w:ascii="Verdana" w:hAnsi="Verdana"/>
          <w:sz w:val="20"/>
          <w:szCs w:val="20"/>
        </w:rPr>
        <w:t>v</w:t>
      </w:r>
      <w:r w:rsidRPr="00F30F46">
        <w:rPr>
          <w:rFonts w:ascii="Verdana" w:hAnsi="Verdana"/>
          <w:sz w:val="20"/>
          <w:szCs w:val="20"/>
        </w:rPr>
        <w:t xml:space="preserve">alue </w:t>
      </w:r>
      <w:r>
        <w:rPr>
          <w:rFonts w:ascii="Verdana" w:hAnsi="Verdana"/>
          <w:sz w:val="20"/>
          <w:szCs w:val="20"/>
        </w:rPr>
        <w:t>will</w:t>
      </w:r>
      <w:r w:rsidRPr="00F30F46">
        <w:rPr>
          <w:rFonts w:ascii="Verdana" w:hAnsi="Verdana"/>
          <w:sz w:val="20"/>
          <w:szCs w:val="20"/>
        </w:rPr>
        <w:t xml:space="preserve"> be used for the purpose of the conversion of the </w:t>
      </w:r>
      <w:r>
        <w:rPr>
          <w:rFonts w:ascii="Verdana" w:hAnsi="Verdana"/>
          <w:sz w:val="20"/>
          <w:szCs w:val="20"/>
        </w:rPr>
        <w:t xml:space="preserve">preferred </w:t>
      </w:r>
      <w:r w:rsidRPr="00F30F46">
        <w:rPr>
          <w:rFonts w:ascii="Verdana" w:hAnsi="Verdana"/>
          <w:sz w:val="20"/>
          <w:szCs w:val="20"/>
        </w:rPr>
        <w:t>shares</w:t>
      </w:r>
      <w:r w:rsidR="00E52A05">
        <w:rPr>
          <w:rFonts w:ascii="Verdana" w:hAnsi="Verdana"/>
          <w:sz w:val="20"/>
          <w:szCs w:val="20"/>
        </w:rPr>
        <w:t xml:space="preserve"> into common shares and common shares B</w:t>
      </w:r>
      <w:r w:rsidR="009C23A7">
        <w:rPr>
          <w:rFonts w:ascii="Verdana" w:hAnsi="Verdana"/>
          <w:sz w:val="20"/>
          <w:szCs w:val="20"/>
        </w:rPr>
        <w:t>.</w:t>
      </w:r>
    </w:p>
    <w:p w:rsidR="00EF3F0F" w:rsidRPr="00EF3F0F" w:rsidRDefault="00EF3F0F" w:rsidP="00EF3F0F">
      <w:pPr>
        <w:spacing w:line="264" w:lineRule="auto"/>
        <w:rPr>
          <w:rFonts w:ascii="Verdana" w:hAnsi="Verdana"/>
          <w:sz w:val="20"/>
          <w:szCs w:val="20"/>
        </w:rPr>
      </w:pPr>
      <w:bookmarkStart w:id="2" w:name="_Ref345531362"/>
      <w:r w:rsidRPr="00EF3F0F">
        <w:rPr>
          <w:rFonts w:ascii="Verdana" w:hAnsi="Verdana"/>
          <w:sz w:val="20"/>
          <w:szCs w:val="20"/>
        </w:rPr>
        <w:t>Certain financial advisory services were provided to Aegon by Keefe, Bruyette &amp; Woods Limited in connection with Aegon’s valuation of the preferred shares.</w:t>
      </w:r>
    </w:p>
    <w:p w:rsidR="00D66C77" w:rsidRDefault="00696953">
      <w:pPr>
        <w:spacing w:line="264" w:lineRule="auto"/>
        <w:rPr>
          <w:rFonts w:ascii="Verdana" w:hAnsi="Verdana"/>
          <w:sz w:val="20"/>
          <w:szCs w:val="20"/>
        </w:rPr>
      </w:pPr>
      <w:r w:rsidRPr="00696953">
        <w:rPr>
          <w:rFonts w:ascii="Verdana" w:hAnsi="Verdana"/>
          <w:sz w:val="20"/>
          <w:szCs w:val="20"/>
        </w:rPr>
        <w:t>On February 15, 2013, a period of 10 business days will commence, during which the volume</w:t>
      </w:r>
      <w:r w:rsidR="004B284A">
        <w:rPr>
          <w:rFonts w:ascii="Verdana" w:hAnsi="Verdana"/>
          <w:sz w:val="20"/>
          <w:szCs w:val="20"/>
        </w:rPr>
        <w:t>-</w:t>
      </w:r>
      <w:r w:rsidRPr="00696953">
        <w:rPr>
          <w:rFonts w:ascii="Verdana" w:hAnsi="Verdana"/>
          <w:sz w:val="20"/>
          <w:szCs w:val="20"/>
        </w:rPr>
        <w:t>weighted average price of Aegon common shares will be calculated on the basis of all transactions in those shares on Euronext Amsterdam over that period. In respect of an Aegon common share B, the volume</w:t>
      </w:r>
      <w:r w:rsidR="004B284A">
        <w:rPr>
          <w:rFonts w:ascii="Verdana" w:hAnsi="Verdana"/>
          <w:sz w:val="20"/>
          <w:szCs w:val="20"/>
        </w:rPr>
        <w:t>-</w:t>
      </w:r>
      <w:r w:rsidRPr="00696953">
        <w:rPr>
          <w:rFonts w:ascii="Verdana" w:hAnsi="Verdana"/>
          <w:sz w:val="20"/>
          <w:szCs w:val="20"/>
        </w:rPr>
        <w:t>weighted average price will be deemed to be 1/40 of the volume</w:t>
      </w:r>
      <w:r w:rsidR="004B284A">
        <w:rPr>
          <w:rFonts w:ascii="Verdana" w:hAnsi="Verdana"/>
          <w:sz w:val="20"/>
          <w:szCs w:val="20"/>
        </w:rPr>
        <w:t>-</w:t>
      </w:r>
      <w:r w:rsidRPr="00696953">
        <w:rPr>
          <w:rFonts w:ascii="Verdana" w:hAnsi="Verdana"/>
          <w:sz w:val="20"/>
          <w:szCs w:val="20"/>
        </w:rPr>
        <w:t>weighted average price of an Aegon common share</w:t>
      </w:r>
      <w:bookmarkEnd w:id="2"/>
      <w:r w:rsidRPr="00696953">
        <w:rPr>
          <w:rFonts w:ascii="Verdana" w:hAnsi="Verdana"/>
          <w:sz w:val="20"/>
          <w:szCs w:val="20"/>
        </w:rPr>
        <w:t>.</w:t>
      </w:r>
    </w:p>
    <w:p w:rsidR="00D66C77" w:rsidRDefault="00215E74">
      <w:pPr>
        <w:spacing w:after="60" w:line="264" w:lineRule="auto"/>
        <w:rPr>
          <w:rFonts w:ascii="Verdana" w:hAnsi="Verdana"/>
          <w:sz w:val="20"/>
          <w:szCs w:val="20"/>
          <w:lang w:eastAsia="en-GB"/>
        </w:rPr>
      </w:pPr>
      <w:r w:rsidRPr="00F30F46">
        <w:rPr>
          <w:rFonts w:ascii="Verdana" w:hAnsi="Verdana"/>
          <w:sz w:val="20"/>
          <w:szCs w:val="20"/>
        </w:rPr>
        <w:t xml:space="preserve">For the purpose of the </w:t>
      </w:r>
      <w:r>
        <w:rPr>
          <w:rFonts w:ascii="Verdana" w:hAnsi="Verdana"/>
          <w:sz w:val="20"/>
          <w:szCs w:val="20"/>
        </w:rPr>
        <w:t>c</w:t>
      </w:r>
      <w:r w:rsidRPr="00F30F46">
        <w:rPr>
          <w:rFonts w:ascii="Verdana" w:hAnsi="Verdana"/>
          <w:sz w:val="20"/>
          <w:szCs w:val="20"/>
        </w:rPr>
        <w:t xml:space="preserve">onversion, the value </w:t>
      </w:r>
      <w:r>
        <w:rPr>
          <w:rFonts w:ascii="Verdana" w:hAnsi="Verdana"/>
          <w:sz w:val="20"/>
          <w:szCs w:val="20"/>
        </w:rPr>
        <w:t>of p</w:t>
      </w:r>
      <w:r w:rsidRPr="00430A00">
        <w:rPr>
          <w:rFonts w:ascii="Verdana" w:hAnsi="Verdana"/>
          <w:sz w:val="20"/>
          <w:szCs w:val="20"/>
        </w:rPr>
        <w:t xml:space="preserve">referred </w:t>
      </w:r>
      <w:r>
        <w:rPr>
          <w:rFonts w:ascii="Verdana" w:hAnsi="Verdana"/>
          <w:sz w:val="20"/>
          <w:szCs w:val="20"/>
        </w:rPr>
        <w:t>s</w:t>
      </w:r>
      <w:r w:rsidRPr="00430A00">
        <w:rPr>
          <w:rFonts w:ascii="Verdana" w:hAnsi="Verdana"/>
          <w:sz w:val="20"/>
          <w:szCs w:val="20"/>
        </w:rPr>
        <w:t>hares A</w:t>
      </w:r>
      <w:r w:rsidR="009C23A7">
        <w:rPr>
          <w:rFonts w:ascii="Verdana" w:hAnsi="Verdana"/>
          <w:sz w:val="20"/>
          <w:szCs w:val="20"/>
        </w:rPr>
        <w:t xml:space="preserve"> and B</w:t>
      </w:r>
      <w:r w:rsidRPr="00430A00">
        <w:rPr>
          <w:rFonts w:ascii="Verdana" w:hAnsi="Verdana"/>
          <w:sz w:val="20"/>
          <w:szCs w:val="20"/>
        </w:rPr>
        <w:t xml:space="preserve"> </w:t>
      </w:r>
      <w:r w:rsidR="00E52A05">
        <w:rPr>
          <w:rFonts w:ascii="Verdana" w:hAnsi="Verdana"/>
          <w:sz w:val="20"/>
          <w:szCs w:val="20"/>
        </w:rPr>
        <w:t>ha</w:t>
      </w:r>
      <w:r w:rsidR="00AC7AF9">
        <w:rPr>
          <w:rFonts w:ascii="Verdana" w:hAnsi="Verdana"/>
          <w:sz w:val="20"/>
          <w:szCs w:val="20"/>
        </w:rPr>
        <w:t>s</w:t>
      </w:r>
      <w:r w:rsidR="00E52A05">
        <w:rPr>
          <w:rFonts w:ascii="Verdana" w:hAnsi="Verdana"/>
          <w:sz w:val="20"/>
          <w:szCs w:val="20"/>
        </w:rPr>
        <w:t xml:space="preserve"> been</w:t>
      </w:r>
      <w:r w:rsidR="00E52A05" w:rsidRPr="00430A00">
        <w:rPr>
          <w:rFonts w:ascii="Verdana" w:hAnsi="Verdana"/>
          <w:sz w:val="20"/>
          <w:szCs w:val="20"/>
        </w:rPr>
        <w:t xml:space="preserve"> </w:t>
      </w:r>
      <w:r w:rsidR="009C23A7">
        <w:rPr>
          <w:rFonts w:ascii="Verdana" w:hAnsi="Verdana"/>
          <w:sz w:val="20"/>
          <w:szCs w:val="20"/>
        </w:rPr>
        <w:t>calculated</w:t>
      </w:r>
      <w:r w:rsidRPr="00F30F46">
        <w:rPr>
          <w:rFonts w:ascii="Verdana" w:hAnsi="Verdana"/>
          <w:sz w:val="20"/>
          <w:szCs w:val="20"/>
        </w:rPr>
        <w:t xml:space="preserve"> to be </w:t>
      </w:r>
      <w:r w:rsidRPr="002F4BAF">
        <w:rPr>
          <w:rFonts w:ascii="Verdana" w:hAnsi="Verdana"/>
          <w:sz w:val="20"/>
          <w:szCs w:val="20"/>
        </w:rPr>
        <w:t xml:space="preserve">EUR </w:t>
      </w:r>
      <w:r w:rsidR="009527BE" w:rsidRPr="002F4BAF">
        <w:rPr>
          <w:rFonts w:ascii="Verdana" w:hAnsi="Verdana"/>
          <w:sz w:val="20"/>
          <w:szCs w:val="20"/>
        </w:rPr>
        <w:t>5.</w:t>
      </w:r>
      <w:r w:rsidR="00980282" w:rsidRPr="002F4BAF">
        <w:rPr>
          <w:rFonts w:ascii="Verdana" w:hAnsi="Verdana"/>
          <w:sz w:val="20"/>
          <w:szCs w:val="20"/>
        </w:rPr>
        <w:t xml:space="preserve">303 </w:t>
      </w:r>
      <w:r w:rsidRPr="002F4BAF">
        <w:rPr>
          <w:rFonts w:ascii="Verdana" w:hAnsi="Verdana"/>
          <w:sz w:val="20"/>
          <w:szCs w:val="20"/>
        </w:rPr>
        <w:t xml:space="preserve">and </w:t>
      </w:r>
      <w:r w:rsidR="009C23A7" w:rsidRPr="002F4BAF">
        <w:rPr>
          <w:rFonts w:ascii="Verdana" w:hAnsi="Verdana"/>
          <w:sz w:val="20"/>
          <w:szCs w:val="20"/>
        </w:rPr>
        <w:t xml:space="preserve">EUR </w:t>
      </w:r>
      <w:r w:rsidR="009527BE" w:rsidRPr="002F4BAF">
        <w:rPr>
          <w:rFonts w:ascii="Verdana" w:hAnsi="Verdana"/>
          <w:sz w:val="20"/>
          <w:szCs w:val="20"/>
          <w:lang w:eastAsia="en-GB"/>
        </w:rPr>
        <w:t>0.</w:t>
      </w:r>
      <w:r w:rsidR="00980282" w:rsidRPr="002F4BAF">
        <w:rPr>
          <w:rFonts w:ascii="Verdana" w:hAnsi="Verdana"/>
          <w:sz w:val="20"/>
          <w:szCs w:val="20"/>
          <w:lang w:eastAsia="en-GB"/>
        </w:rPr>
        <w:t xml:space="preserve">133 </w:t>
      </w:r>
      <w:r w:rsidR="009C23A7" w:rsidRPr="002F4BAF">
        <w:rPr>
          <w:rFonts w:ascii="Verdana" w:hAnsi="Verdana"/>
          <w:sz w:val="20"/>
          <w:szCs w:val="20"/>
          <w:lang w:eastAsia="en-GB"/>
        </w:rPr>
        <w:t xml:space="preserve">respectively </w:t>
      </w:r>
      <w:r w:rsidRPr="002F4BAF">
        <w:rPr>
          <w:rFonts w:ascii="Verdana" w:hAnsi="Verdana"/>
          <w:sz w:val="20"/>
          <w:szCs w:val="20"/>
          <w:lang w:eastAsia="en-GB"/>
        </w:rPr>
        <w:t>(</w:t>
      </w:r>
      <w:r w:rsidR="00AC7AF9" w:rsidRPr="002F4BAF">
        <w:rPr>
          <w:rFonts w:ascii="Verdana" w:hAnsi="Verdana"/>
          <w:sz w:val="20"/>
          <w:szCs w:val="20"/>
          <w:lang w:eastAsia="en-GB"/>
        </w:rPr>
        <w:t xml:space="preserve">the latter </w:t>
      </w:r>
      <w:r w:rsidR="00696953" w:rsidRPr="002F4BAF">
        <w:rPr>
          <w:rFonts w:ascii="Verdana" w:hAnsi="Verdana"/>
          <w:sz w:val="20"/>
          <w:szCs w:val="20"/>
          <w:lang w:eastAsia="en-GB"/>
        </w:rPr>
        <w:t>being 1/40 of the value of preferred shares A</w:t>
      </w:r>
      <w:r w:rsidRPr="002F4BAF">
        <w:rPr>
          <w:rFonts w:ascii="Verdana" w:hAnsi="Verdana"/>
          <w:sz w:val="20"/>
          <w:szCs w:val="20"/>
          <w:lang w:eastAsia="en-GB"/>
        </w:rPr>
        <w:t xml:space="preserve">). Using the current number of preferred shares A (211,680,000) and preferred shares B (118,093,000), the </w:t>
      </w:r>
      <w:r w:rsidR="009C23A7" w:rsidRPr="002F4BAF">
        <w:rPr>
          <w:rFonts w:ascii="Verdana" w:hAnsi="Verdana"/>
          <w:sz w:val="20"/>
          <w:szCs w:val="20"/>
          <w:lang w:eastAsia="en-GB"/>
        </w:rPr>
        <w:t xml:space="preserve">total </w:t>
      </w:r>
      <w:r w:rsidRPr="002F4BAF">
        <w:rPr>
          <w:rFonts w:ascii="Verdana" w:hAnsi="Verdana"/>
          <w:sz w:val="20"/>
          <w:szCs w:val="20"/>
          <w:lang w:eastAsia="en-GB"/>
        </w:rPr>
        <w:t xml:space="preserve">value of the preferred shares A </w:t>
      </w:r>
      <w:r w:rsidR="009C23A7" w:rsidRPr="002F4BAF">
        <w:rPr>
          <w:rFonts w:ascii="Verdana" w:hAnsi="Verdana"/>
          <w:sz w:val="20"/>
          <w:szCs w:val="20"/>
          <w:lang w:eastAsia="en-GB"/>
        </w:rPr>
        <w:t>and B can be</w:t>
      </w:r>
      <w:r w:rsidRPr="002F4BAF">
        <w:rPr>
          <w:rFonts w:ascii="Verdana" w:hAnsi="Verdana"/>
          <w:sz w:val="20"/>
          <w:szCs w:val="20"/>
          <w:lang w:eastAsia="en-GB"/>
        </w:rPr>
        <w:t xml:space="preserve"> calculated to be EUR 1,</w:t>
      </w:r>
      <w:r w:rsidR="00980282" w:rsidRPr="002F4BAF">
        <w:rPr>
          <w:rFonts w:ascii="Verdana" w:hAnsi="Verdana"/>
          <w:sz w:val="20"/>
          <w:szCs w:val="20"/>
          <w:lang w:eastAsia="en-GB"/>
        </w:rPr>
        <w:t>122</w:t>
      </w:r>
      <w:r w:rsidRPr="002F4BAF">
        <w:rPr>
          <w:rFonts w:ascii="Verdana" w:hAnsi="Verdana"/>
          <w:sz w:val="20"/>
          <w:szCs w:val="20"/>
          <w:lang w:eastAsia="en-GB"/>
        </w:rPr>
        <w:t>,</w:t>
      </w:r>
      <w:r w:rsidR="00980282" w:rsidRPr="002F4BAF">
        <w:rPr>
          <w:rFonts w:ascii="Verdana" w:hAnsi="Verdana"/>
          <w:sz w:val="20"/>
          <w:szCs w:val="20"/>
          <w:lang w:eastAsia="en-GB"/>
        </w:rPr>
        <w:t>564,108</w:t>
      </w:r>
      <w:r w:rsidRPr="002F4BAF">
        <w:rPr>
          <w:rFonts w:ascii="Verdana" w:hAnsi="Verdana"/>
          <w:sz w:val="20"/>
          <w:szCs w:val="20"/>
          <w:lang w:eastAsia="en-GB"/>
        </w:rPr>
        <w:t xml:space="preserve"> and EUR 15,</w:t>
      </w:r>
      <w:r w:rsidR="00980282" w:rsidRPr="002F4BAF">
        <w:rPr>
          <w:rFonts w:ascii="Verdana" w:hAnsi="Verdana"/>
          <w:sz w:val="20"/>
          <w:szCs w:val="20"/>
          <w:lang w:eastAsia="en-GB"/>
        </w:rPr>
        <w:t>656</w:t>
      </w:r>
      <w:r w:rsidR="008F50A5" w:rsidRPr="002F4BAF">
        <w:rPr>
          <w:rFonts w:ascii="Verdana" w:hAnsi="Verdana"/>
          <w:sz w:val="20"/>
          <w:szCs w:val="20"/>
          <w:lang w:eastAsia="en-GB"/>
        </w:rPr>
        <w:t>,</w:t>
      </w:r>
      <w:r w:rsidR="00980282" w:rsidRPr="002F4BAF">
        <w:rPr>
          <w:rFonts w:ascii="Verdana" w:hAnsi="Verdana"/>
          <w:sz w:val="20"/>
          <w:szCs w:val="20"/>
          <w:lang w:eastAsia="en-GB"/>
        </w:rPr>
        <w:t>529</w:t>
      </w:r>
      <w:r w:rsidR="009C23A7" w:rsidRPr="002F4BAF">
        <w:rPr>
          <w:rFonts w:ascii="Verdana" w:hAnsi="Verdana"/>
          <w:sz w:val="20"/>
          <w:szCs w:val="20"/>
          <w:lang w:eastAsia="en-GB"/>
        </w:rPr>
        <w:t xml:space="preserve"> respectively</w:t>
      </w:r>
      <w:r w:rsidRPr="00F30F46">
        <w:rPr>
          <w:rFonts w:ascii="Verdana" w:hAnsi="Verdana"/>
          <w:sz w:val="20"/>
          <w:szCs w:val="20"/>
          <w:lang w:eastAsia="en-GB"/>
        </w:rPr>
        <w:t xml:space="preserve">. </w:t>
      </w:r>
    </w:p>
    <w:p w:rsidR="00D66C77" w:rsidRPr="002F4BAF" w:rsidRDefault="00215E74">
      <w:pPr>
        <w:spacing w:after="60" w:line="264" w:lineRule="auto"/>
        <w:rPr>
          <w:rFonts w:ascii="Verdana" w:hAnsi="Verdana"/>
          <w:sz w:val="20"/>
          <w:szCs w:val="20"/>
          <w:lang w:eastAsia="en-GB"/>
        </w:rPr>
      </w:pPr>
      <w:r w:rsidRPr="00F30F46">
        <w:rPr>
          <w:rFonts w:ascii="Verdana" w:hAnsi="Verdana"/>
          <w:sz w:val="20"/>
          <w:szCs w:val="20"/>
          <w:lang w:eastAsia="en-GB"/>
        </w:rPr>
        <w:lastRenderedPageBreak/>
        <w:t xml:space="preserve">The total value of the </w:t>
      </w:r>
      <w:r>
        <w:rPr>
          <w:rFonts w:ascii="Verdana" w:hAnsi="Verdana"/>
          <w:sz w:val="20"/>
          <w:szCs w:val="20"/>
          <w:lang w:eastAsia="en-GB"/>
        </w:rPr>
        <w:t>p</w:t>
      </w:r>
      <w:r w:rsidRPr="00F30F46">
        <w:rPr>
          <w:rFonts w:ascii="Verdana" w:hAnsi="Verdana"/>
          <w:sz w:val="20"/>
          <w:szCs w:val="20"/>
          <w:lang w:eastAsia="en-GB"/>
        </w:rPr>
        <w:t xml:space="preserve">referred </w:t>
      </w:r>
      <w:r>
        <w:rPr>
          <w:rFonts w:ascii="Verdana" w:hAnsi="Verdana"/>
          <w:sz w:val="20"/>
          <w:szCs w:val="20"/>
          <w:lang w:eastAsia="en-GB"/>
        </w:rPr>
        <w:t>s</w:t>
      </w:r>
      <w:r w:rsidRPr="00F30F46">
        <w:rPr>
          <w:rFonts w:ascii="Verdana" w:hAnsi="Verdana"/>
          <w:sz w:val="20"/>
          <w:szCs w:val="20"/>
          <w:lang w:eastAsia="en-GB"/>
        </w:rPr>
        <w:t>hares is subsequently reduced by</w:t>
      </w:r>
      <w:r>
        <w:rPr>
          <w:rFonts w:ascii="Verdana" w:hAnsi="Verdana"/>
          <w:sz w:val="20"/>
          <w:szCs w:val="20"/>
          <w:lang w:eastAsia="en-GB"/>
        </w:rPr>
        <w:t xml:space="preserve"> the pay</w:t>
      </w:r>
      <w:r w:rsidRPr="00F30F46">
        <w:rPr>
          <w:rFonts w:ascii="Verdana" w:hAnsi="Verdana"/>
          <w:sz w:val="20"/>
          <w:szCs w:val="20"/>
          <w:lang w:eastAsia="en-GB"/>
        </w:rPr>
        <w:t>ment of EUR 400</w:t>
      </w:r>
      <w:r>
        <w:rPr>
          <w:rFonts w:ascii="Verdana" w:hAnsi="Verdana"/>
          <w:sz w:val="20"/>
          <w:szCs w:val="20"/>
          <w:lang w:eastAsia="en-GB"/>
        </w:rPr>
        <w:t xml:space="preserve"> million in share premium</w:t>
      </w:r>
      <w:r w:rsidR="00607BF1">
        <w:rPr>
          <w:rFonts w:ascii="Verdana" w:hAnsi="Verdana"/>
          <w:sz w:val="20"/>
          <w:szCs w:val="20"/>
          <w:lang w:eastAsia="en-GB"/>
        </w:rPr>
        <w:t xml:space="preserve"> and </w:t>
      </w:r>
      <w:r w:rsidR="009C23A7">
        <w:rPr>
          <w:rFonts w:ascii="Verdana" w:hAnsi="Verdana"/>
          <w:sz w:val="20"/>
          <w:szCs w:val="20"/>
          <w:lang w:eastAsia="en-GB"/>
        </w:rPr>
        <w:t xml:space="preserve">approximately </w:t>
      </w:r>
      <w:r w:rsidR="009C23A7" w:rsidRPr="002F4BAF">
        <w:rPr>
          <w:rFonts w:ascii="Verdana" w:hAnsi="Verdana"/>
          <w:sz w:val="20"/>
          <w:szCs w:val="20"/>
          <w:lang w:eastAsia="en-GB"/>
        </w:rPr>
        <w:t xml:space="preserve">EUR </w:t>
      </w:r>
      <w:r w:rsidR="00980282" w:rsidRPr="002F4BAF">
        <w:rPr>
          <w:rFonts w:ascii="Verdana" w:hAnsi="Verdana"/>
          <w:sz w:val="20"/>
          <w:szCs w:val="20"/>
          <w:lang w:eastAsia="en-GB"/>
        </w:rPr>
        <w:t xml:space="preserve">83 </w:t>
      </w:r>
      <w:r w:rsidR="009C23A7" w:rsidRPr="002F4BAF">
        <w:rPr>
          <w:rFonts w:ascii="Verdana" w:hAnsi="Verdana"/>
          <w:sz w:val="20"/>
          <w:szCs w:val="20"/>
          <w:lang w:eastAsia="en-GB"/>
        </w:rPr>
        <w:t xml:space="preserve">million in </w:t>
      </w:r>
      <w:r w:rsidR="00607BF1" w:rsidRPr="002F4BAF">
        <w:rPr>
          <w:rFonts w:ascii="Verdana" w:hAnsi="Verdana"/>
          <w:sz w:val="20"/>
          <w:szCs w:val="20"/>
          <w:lang w:eastAsia="en-GB"/>
        </w:rPr>
        <w:t>dividend</w:t>
      </w:r>
      <w:r w:rsidR="009C23A7" w:rsidRPr="002F4BAF">
        <w:rPr>
          <w:rFonts w:ascii="Verdana" w:hAnsi="Verdana"/>
          <w:sz w:val="20"/>
          <w:szCs w:val="20"/>
          <w:lang w:eastAsia="en-GB"/>
        </w:rPr>
        <w:t>s payable on the preferred shares</w:t>
      </w:r>
      <w:r w:rsidR="00F04152" w:rsidRPr="002F4BAF">
        <w:rPr>
          <w:rFonts w:ascii="Verdana" w:hAnsi="Verdana"/>
          <w:sz w:val="20"/>
          <w:szCs w:val="20"/>
          <w:lang w:eastAsia="en-GB"/>
        </w:rPr>
        <w:t xml:space="preserve"> related to the full year 2012 and the first half of 2013.</w:t>
      </w:r>
      <w:r w:rsidRPr="002F4BAF">
        <w:rPr>
          <w:rFonts w:ascii="Verdana" w:hAnsi="Verdana"/>
          <w:sz w:val="20"/>
          <w:szCs w:val="20"/>
          <w:lang w:eastAsia="en-GB"/>
        </w:rPr>
        <w:t xml:space="preserve"> </w:t>
      </w:r>
    </w:p>
    <w:p w:rsidR="00634D6D" w:rsidRDefault="00215E74">
      <w:pPr>
        <w:spacing w:after="60" w:line="264" w:lineRule="auto"/>
        <w:rPr>
          <w:rFonts w:ascii="Verdana" w:hAnsi="Verdana"/>
          <w:sz w:val="20"/>
          <w:szCs w:val="20"/>
          <w:lang w:eastAsia="en-GB"/>
        </w:rPr>
      </w:pPr>
      <w:r w:rsidRPr="002F4BAF">
        <w:rPr>
          <w:rFonts w:ascii="Verdana" w:hAnsi="Verdana"/>
          <w:sz w:val="20"/>
          <w:szCs w:val="20"/>
          <w:lang w:eastAsia="en-GB"/>
        </w:rPr>
        <w:t xml:space="preserve">The remaining value of the preferred shares is EUR </w:t>
      </w:r>
      <w:r w:rsidR="00980282" w:rsidRPr="002F4BAF">
        <w:rPr>
          <w:rFonts w:ascii="Verdana" w:hAnsi="Verdana"/>
          <w:sz w:val="20"/>
          <w:szCs w:val="20"/>
          <w:lang w:eastAsia="en-GB"/>
        </w:rPr>
        <w:t xml:space="preserve">655 </w:t>
      </w:r>
      <w:r w:rsidRPr="002F4BAF">
        <w:rPr>
          <w:rFonts w:ascii="Verdana" w:hAnsi="Verdana"/>
          <w:sz w:val="20"/>
          <w:szCs w:val="20"/>
          <w:lang w:eastAsia="en-GB"/>
        </w:rPr>
        <w:t xml:space="preserve">million. This value will be </w:t>
      </w:r>
      <w:r w:rsidR="00AC7AF9" w:rsidRPr="002F4BAF">
        <w:rPr>
          <w:rFonts w:ascii="Verdana" w:hAnsi="Verdana"/>
          <w:sz w:val="20"/>
          <w:szCs w:val="20"/>
          <w:lang w:eastAsia="en-GB"/>
        </w:rPr>
        <w:t>c</w:t>
      </w:r>
      <w:r w:rsidRPr="002F4BAF">
        <w:rPr>
          <w:rFonts w:ascii="Verdana" w:hAnsi="Verdana"/>
          <w:sz w:val="20"/>
          <w:szCs w:val="20"/>
          <w:lang w:eastAsia="en-GB"/>
        </w:rPr>
        <w:t>onverted into common shares and a newly created share</w:t>
      </w:r>
      <w:r>
        <w:rPr>
          <w:rFonts w:ascii="Verdana" w:hAnsi="Verdana"/>
          <w:sz w:val="20"/>
          <w:szCs w:val="20"/>
          <w:lang w:eastAsia="en-GB"/>
        </w:rPr>
        <w:t xml:space="preserve"> class, c</w:t>
      </w:r>
      <w:r w:rsidRPr="00F30F46">
        <w:rPr>
          <w:rFonts w:ascii="Verdana" w:hAnsi="Verdana"/>
          <w:sz w:val="20"/>
          <w:szCs w:val="20"/>
          <w:lang w:eastAsia="en-GB"/>
        </w:rPr>
        <w:t xml:space="preserve">ommon </w:t>
      </w:r>
      <w:r>
        <w:rPr>
          <w:rFonts w:ascii="Verdana" w:hAnsi="Verdana"/>
          <w:sz w:val="20"/>
          <w:szCs w:val="20"/>
          <w:lang w:eastAsia="en-GB"/>
        </w:rPr>
        <w:t>s</w:t>
      </w:r>
      <w:r w:rsidRPr="00F30F46">
        <w:rPr>
          <w:rFonts w:ascii="Verdana" w:hAnsi="Verdana"/>
          <w:sz w:val="20"/>
          <w:szCs w:val="20"/>
          <w:lang w:eastAsia="en-GB"/>
        </w:rPr>
        <w:t>hares B</w:t>
      </w:r>
      <w:r w:rsidR="009C23A7">
        <w:rPr>
          <w:rFonts w:ascii="Verdana" w:hAnsi="Verdana"/>
          <w:sz w:val="20"/>
          <w:szCs w:val="20"/>
          <w:lang w:eastAsia="en-GB"/>
        </w:rPr>
        <w:t>, based on the volume</w:t>
      </w:r>
      <w:r w:rsidR="004B284A">
        <w:rPr>
          <w:rFonts w:ascii="Verdana" w:hAnsi="Verdana"/>
          <w:sz w:val="20"/>
          <w:szCs w:val="20"/>
          <w:lang w:eastAsia="en-GB"/>
        </w:rPr>
        <w:t>-</w:t>
      </w:r>
      <w:r w:rsidR="009C23A7">
        <w:rPr>
          <w:rFonts w:ascii="Verdana" w:hAnsi="Verdana"/>
          <w:sz w:val="20"/>
          <w:szCs w:val="20"/>
          <w:lang w:eastAsia="en-GB"/>
        </w:rPr>
        <w:t>weighted average price of the common shares</w:t>
      </w:r>
      <w:r w:rsidR="00872D25">
        <w:rPr>
          <w:rFonts w:ascii="Verdana" w:hAnsi="Verdana"/>
          <w:sz w:val="20"/>
          <w:szCs w:val="20"/>
          <w:lang w:eastAsia="en-GB"/>
        </w:rPr>
        <w:t xml:space="preserve"> on Euronext Amsterdam from February 15 up to, and including, February 28, 2013</w:t>
      </w:r>
      <w:r w:rsidRPr="00F30F46">
        <w:rPr>
          <w:rFonts w:ascii="Verdana" w:hAnsi="Verdana"/>
          <w:sz w:val="20"/>
          <w:szCs w:val="20"/>
          <w:lang w:eastAsia="en-GB"/>
        </w:rPr>
        <w:t>.</w:t>
      </w:r>
    </w:p>
    <w:p w:rsidR="00E52A05" w:rsidRDefault="00E52A05" w:rsidP="00E52A05">
      <w:pPr>
        <w:spacing w:after="0"/>
        <w:rPr>
          <w:rFonts w:ascii="Verdana" w:hAnsi="Verdana" w:cs="Arial"/>
          <w:i/>
          <w:color w:val="0070C0"/>
          <w:sz w:val="20"/>
          <w:szCs w:val="16"/>
        </w:rPr>
      </w:pPr>
    </w:p>
    <w:p w:rsidR="00E52A05" w:rsidRPr="00D8007C" w:rsidRDefault="009C23A7" w:rsidP="00E52A05">
      <w:pPr>
        <w:spacing w:after="0"/>
        <w:rPr>
          <w:rFonts w:ascii="Verdana" w:hAnsi="Verdana" w:cs="Arial"/>
          <w:i/>
          <w:color w:val="0070C0"/>
          <w:sz w:val="20"/>
          <w:szCs w:val="16"/>
        </w:rPr>
      </w:pPr>
      <w:r>
        <w:rPr>
          <w:rFonts w:ascii="Verdana" w:hAnsi="Verdana" w:cs="Arial"/>
          <w:i/>
          <w:color w:val="0070C0"/>
          <w:sz w:val="20"/>
          <w:szCs w:val="16"/>
        </w:rPr>
        <w:t>N</w:t>
      </w:r>
      <w:r w:rsidR="00E52A05">
        <w:rPr>
          <w:rFonts w:ascii="Verdana" w:hAnsi="Verdana" w:cs="Arial"/>
          <w:i/>
          <w:color w:val="0070C0"/>
          <w:sz w:val="20"/>
          <w:szCs w:val="16"/>
        </w:rPr>
        <w:t>umerical example</w:t>
      </w:r>
    </w:p>
    <w:p w:rsidR="009C23A7" w:rsidRPr="002F4BAF" w:rsidRDefault="009C23A7" w:rsidP="009C23A7">
      <w:pPr>
        <w:spacing w:after="60" w:line="264" w:lineRule="auto"/>
        <w:rPr>
          <w:rFonts w:ascii="Verdana" w:hAnsi="Verdana"/>
          <w:sz w:val="20"/>
          <w:szCs w:val="20"/>
          <w:lang w:eastAsia="en-GB"/>
        </w:rPr>
      </w:pPr>
      <w:r w:rsidRPr="002F4BAF">
        <w:rPr>
          <w:rFonts w:ascii="Verdana" w:hAnsi="Verdana"/>
          <w:sz w:val="20"/>
          <w:szCs w:val="20"/>
          <w:lang w:eastAsia="en-GB"/>
        </w:rPr>
        <w:t>Based on an assumed volume</w:t>
      </w:r>
      <w:r w:rsidR="004B284A" w:rsidRPr="002F4BAF">
        <w:rPr>
          <w:rFonts w:ascii="Verdana" w:hAnsi="Verdana"/>
          <w:sz w:val="20"/>
          <w:szCs w:val="20"/>
          <w:lang w:eastAsia="en-GB"/>
        </w:rPr>
        <w:t>-</w:t>
      </w:r>
      <w:r w:rsidRPr="002F4BAF">
        <w:rPr>
          <w:rFonts w:ascii="Verdana" w:hAnsi="Verdana"/>
          <w:sz w:val="20"/>
          <w:szCs w:val="20"/>
          <w:lang w:eastAsia="en-GB"/>
        </w:rPr>
        <w:t xml:space="preserve">weighted average price of the common shares of EUR </w:t>
      </w:r>
      <w:r w:rsidR="008F50A5" w:rsidRPr="002F4BAF">
        <w:rPr>
          <w:rFonts w:ascii="Verdana" w:hAnsi="Verdana"/>
          <w:sz w:val="20"/>
          <w:szCs w:val="20"/>
          <w:lang w:eastAsia="en-GB"/>
        </w:rPr>
        <w:t>4.75</w:t>
      </w:r>
      <w:r w:rsidR="00132358" w:rsidRPr="002F4BAF">
        <w:rPr>
          <w:rFonts w:ascii="Verdana" w:hAnsi="Verdana"/>
          <w:sz w:val="20"/>
          <w:szCs w:val="20"/>
          <w:lang w:eastAsia="en-GB"/>
        </w:rPr>
        <w:t xml:space="preserve"> </w:t>
      </w:r>
      <w:r w:rsidRPr="002F4BAF">
        <w:rPr>
          <w:rFonts w:ascii="Verdana" w:hAnsi="Verdana"/>
          <w:sz w:val="20"/>
          <w:szCs w:val="20"/>
          <w:lang w:eastAsia="en-GB"/>
        </w:rPr>
        <w:t>per share, the following conversion calculation can be performed.</w:t>
      </w:r>
    </w:p>
    <w:p w:rsidR="009C23A7" w:rsidRPr="002F4BAF" w:rsidRDefault="009C23A7" w:rsidP="009C23A7">
      <w:pPr>
        <w:spacing w:after="60" w:line="264" w:lineRule="auto"/>
        <w:rPr>
          <w:rFonts w:ascii="Verdana" w:hAnsi="Verdana"/>
          <w:sz w:val="20"/>
          <w:szCs w:val="20"/>
          <w:lang w:eastAsia="en-GB"/>
        </w:rPr>
      </w:pPr>
      <w:r w:rsidRPr="002F4BAF">
        <w:rPr>
          <w:rFonts w:ascii="Verdana" w:hAnsi="Verdana"/>
          <w:sz w:val="20"/>
          <w:szCs w:val="20"/>
          <w:lang w:eastAsia="en-GB"/>
        </w:rPr>
        <w:t xml:space="preserve">The conversion of the total remaining value of the preferred shares into common shares only would result in the creation of </w:t>
      </w:r>
      <w:r w:rsidR="00980282" w:rsidRPr="002F4BAF">
        <w:rPr>
          <w:rFonts w:ascii="Verdana" w:hAnsi="Verdana"/>
          <w:sz w:val="20"/>
          <w:szCs w:val="20"/>
          <w:lang w:eastAsia="en-GB"/>
        </w:rPr>
        <w:t xml:space="preserve">138 </w:t>
      </w:r>
      <w:r w:rsidRPr="002F4BAF">
        <w:rPr>
          <w:rFonts w:ascii="Verdana" w:hAnsi="Verdana"/>
          <w:sz w:val="20"/>
          <w:szCs w:val="20"/>
          <w:lang w:eastAsia="en-GB"/>
        </w:rPr>
        <w:t xml:space="preserve">million common shares. However, in order to maintain special cause voting rights of 32.6%, Aegon will also introduce common shares B. A common share B has the same </w:t>
      </w:r>
      <w:r w:rsidR="004B284A" w:rsidRPr="002F4BAF">
        <w:rPr>
          <w:rFonts w:ascii="Verdana" w:hAnsi="Verdana"/>
          <w:sz w:val="20"/>
          <w:szCs w:val="20"/>
          <w:lang w:eastAsia="en-GB"/>
        </w:rPr>
        <w:t xml:space="preserve">full </w:t>
      </w:r>
      <w:r w:rsidRPr="002F4BAF">
        <w:rPr>
          <w:rFonts w:ascii="Verdana" w:hAnsi="Verdana"/>
          <w:sz w:val="20"/>
          <w:szCs w:val="20"/>
          <w:lang w:eastAsia="en-GB"/>
        </w:rPr>
        <w:t xml:space="preserve">voting rights as a common share, but the financial rights attached to the common share B are 1/40 of a common share. </w:t>
      </w:r>
      <w:r w:rsidR="00872D25" w:rsidRPr="002F4BAF">
        <w:rPr>
          <w:rFonts w:ascii="Verdana" w:hAnsi="Verdana"/>
          <w:sz w:val="20"/>
          <w:szCs w:val="20"/>
          <w:lang w:eastAsia="en-GB"/>
        </w:rPr>
        <w:t xml:space="preserve">Upon conversion a portion of the preferred shares will be converted into common shares B. </w:t>
      </w:r>
      <w:r w:rsidRPr="002F4BAF">
        <w:rPr>
          <w:rFonts w:ascii="Verdana" w:hAnsi="Verdana"/>
          <w:sz w:val="20"/>
          <w:szCs w:val="20"/>
          <w:lang w:eastAsia="en-GB"/>
        </w:rPr>
        <w:t>The number of common shares B required to maintain special cause voting rights can be calculated by assessing the number of common shares plus common shares B required to be held by Vereniging Aegon in order to represent 32.6% of outstanding shares.</w:t>
      </w:r>
    </w:p>
    <w:p w:rsidR="009C23A7" w:rsidRPr="002F4BAF" w:rsidRDefault="009C23A7" w:rsidP="009C23A7">
      <w:pPr>
        <w:spacing w:after="60" w:line="264" w:lineRule="auto"/>
        <w:rPr>
          <w:rFonts w:ascii="Verdana" w:hAnsi="Verdana"/>
          <w:sz w:val="20"/>
          <w:szCs w:val="20"/>
          <w:lang w:eastAsia="en-GB"/>
        </w:rPr>
      </w:pPr>
      <w:r w:rsidRPr="002F4BAF">
        <w:rPr>
          <w:rFonts w:ascii="Verdana" w:hAnsi="Verdana"/>
          <w:sz w:val="20"/>
          <w:szCs w:val="20"/>
          <w:lang w:eastAsia="en-GB"/>
        </w:rPr>
        <w:t xml:space="preserve">This number of common shares B can be calculated to be </w:t>
      </w:r>
      <w:r w:rsidR="00980282" w:rsidRPr="002F4BAF">
        <w:rPr>
          <w:rFonts w:ascii="Verdana" w:hAnsi="Verdana"/>
          <w:sz w:val="20"/>
          <w:szCs w:val="20"/>
          <w:lang w:eastAsia="en-GB"/>
        </w:rPr>
        <w:t xml:space="preserve">563 </w:t>
      </w:r>
      <w:r w:rsidRPr="002F4BAF">
        <w:rPr>
          <w:rFonts w:ascii="Verdana" w:hAnsi="Verdana"/>
          <w:sz w:val="20"/>
          <w:szCs w:val="20"/>
          <w:lang w:eastAsia="en-GB"/>
        </w:rPr>
        <w:t>million. As a common share B has a value of 1/40 of a common share, the Association will need to surrender 14.</w:t>
      </w:r>
      <w:r w:rsidR="00980282" w:rsidRPr="002F4BAF">
        <w:rPr>
          <w:rFonts w:ascii="Verdana" w:hAnsi="Verdana"/>
          <w:sz w:val="20"/>
          <w:szCs w:val="20"/>
          <w:lang w:eastAsia="en-GB"/>
        </w:rPr>
        <w:t xml:space="preserve">1 </w:t>
      </w:r>
      <w:r w:rsidRPr="002F4BAF">
        <w:rPr>
          <w:rFonts w:ascii="Verdana" w:hAnsi="Verdana"/>
          <w:sz w:val="20"/>
          <w:szCs w:val="20"/>
          <w:lang w:eastAsia="en-GB"/>
        </w:rPr>
        <w:t xml:space="preserve">million common shares in order to create these common shares B. As a result of this, Vereniging Aegon will receive </w:t>
      </w:r>
      <w:r w:rsidR="00980282" w:rsidRPr="002F4BAF">
        <w:rPr>
          <w:rFonts w:ascii="Verdana" w:hAnsi="Verdana"/>
          <w:sz w:val="20"/>
          <w:szCs w:val="20"/>
          <w:lang w:eastAsia="en-GB"/>
        </w:rPr>
        <w:t>123.8</w:t>
      </w:r>
      <w:r w:rsidRPr="002F4BAF">
        <w:rPr>
          <w:rFonts w:ascii="Verdana" w:hAnsi="Verdana"/>
          <w:sz w:val="20"/>
          <w:szCs w:val="20"/>
          <w:lang w:eastAsia="en-GB"/>
        </w:rPr>
        <w:t xml:space="preserve"> million common shares (with a total value of EUR </w:t>
      </w:r>
      <w:r w:rsidR="00980282" w:rsidRPr="002F4BAF">
        <w:rPr>
          <w:rFonts w:ascii="Verdana" w:hAnsi="Verdana"/>
          <w:sz w:val="20"/>
          <w:szCs w:val="20"/>
          <w:lang w:eastAsia="en-GB"/>
        </w:rPr>
        <w:t xml:space="preserve">588 </w:t>
      </w:r>
      <w:r w:rsidRPr="002F4BAF">
        <w:rPr>
          <w:rFonts w:ascii="Verdana" w:hAnsi="Verdana"/>
          <w:sz w:val="20"/>
          <w:szCs w:val="20"/>
          <w:lang w:eastAsia="en-GB"/>
        </w:rPr>
        <w:t xml:space="preserve">million) and </w:t>
      </w:r>
      <w:r w:rsidR="00980282" w:rsidRPr="002F4BAF">
        <w:rPr>
          <w:rFonts w:ascii="Verdana" w:hAnsi="Verdana"/>
          <w:sz w:val="20"/>
          <w:szCs w:val="20"/>
          <w:lang w:eastAsia="en-GB"/>
        </w:rPr>
        <w:t xml:space="preserve">563 </w:t>
      </w:r>
      <w:r w:rsidRPr="002F4BAF">
        <w:rPr>
          <w:rFonts w:ascii="Verdana" w:hAnsi="Verdana"/>
          <w:sz w:val="20"/>
          <w:szCs w:val="20"/>
          <w:lang w:eastAsia="en-GB"/>
        </w:rPr>
        <w:t xml:space="preserve">million common shares B (with a total value of EUR </w:t>
      </w:r>
      <w:r w:rsidR="008F50A5" w:rsidRPr="002F4BAF">
        <w:rPr>
          <w:rFonts w:ascii="Verdana" w:hAnsi="Verdana"/>
          <w:sz w:val="20"/>
          <w:szCs w:val="20"/>
          <w:lang w:eastAsia="en-GB"/>
        </w:rPr>
        <w:t>67</w:t>
      </w:r>
      <w:r w:rsidR="0085110C" w:rsidRPr="002F4BAF">
        <w:rPr>
          <w:rFonts w:ascii="Verdana" w:hAnsi="Verdana"/>
          <w:sz w:val="20"/>
          <w:szCs w:val="20"/>
          <w:lang w:eastAsia="en-GB"/>
        </w:rPr>
        <w:t xml:space="preserve"> </w:t>
      </w:r>
      <w:r w:rsidRPr="002F4BAF">
        <w:rPr>
          <w:rFonts w:ascii="Verdana" w:hAnsi="Verdana"/>
          <w:sz w:val="20"/>
          <w:szCs w:val="20"/>
          <w:lang w:eastAsia="en-GB"/>
        </w:rPr>
        <w:t>million).</w:t>
      </w:r>
    </w:p>
    <w:p w:rsidR="009C23A7" w:rsidRDefault="009C23A7" w:rsidP="009C23A7">
      <w:pPr>
        <w:spacing w:after="60" w:line="264" w:lineRule="auto"/>
        <w:rPr>
          <w:rFonts w:ascii="Verdana" w:hAnsi="Verdana"/>
          <w:sz w:val="20"/>
          <w:szCs w:val="20"/>
          <w:lang w:eastAsia="en-GB"/>
        </w:rPr>
      </w:pPr>
      <w:r w:rsidRPr="002F4BAF">
        <w:rPr>
          <w:rFonts w:ascii="Verdana" w:hAnsi="Verdana"/>
          <w:sz w:val="20"/>
          <w:szCs w:val="20"/>
          <w:lang w:eastAsia="en-GB"/>
        </w:rPr>
        <w:t xml:space="preserve">Following the conversion, Vereniging Aegon will hold a total of </w:t>
      </w:r>
      <w:r w:rsidR="00980282" w:rsidRPr="002F4BAF">
        <w:rPr>
          <w:rFonts w:ascii="Verdana" w:hAnsi="Verdana"/>
          <w:sz w:val="20"/>
          <w:szCs w:val="20"/>
          <w:lang w:eastAsia="en-GB"/>
        </w:rPr>
        <w:t xml:space="preserve">296 </w:t>
      </w:r>
      <w:r w:rsidRPr="002F4BAF">
        <w:rPr>
          <w:rFonts w:ascii="Verdana" w:hAnsi="Verdana"/>
          <w:sz w:val="20"/>
          <w:szCs w:val="20"/>
          <w:lang w:eastAsia="en-GB"/>
        </w:rPr>
        <w:t>million common shares</w:t>
      </w:r>
      <w:r w:rsidR="009C4FD3" w:rsidRPr="002F4BAF">
        <w:rPr>
          <w:rFonts w:ascii="Verdana" w:hAnsi="Verdana"/>
          <w:sz w:val="20"/>
          <w:szCs w:val="20"/>
          <w:lang w:eastAsia="en-GB"/>
        </w:rPr>
        <w:t xml:space="preserve"> </w:t>
      </w:r>
      <w:r w:rsidRPr="002F4BAF">
        <w:rPr>
          <w:rFonts w:ascii="Verdana" w:hAnsi="Verdana"/>
          <w:sz w:val="20"/>
          <w:szCs w:val="20"/>
          <w:lang w:eastAsia="en-GB"/>
        </w:rPr>
        <w:t xml:space="preserve">and </w:t>
      </w:r>
      <w:r w:rsidR="006B3FE5" w:rsidRPr="002F4BAF">
        <w:rPr>
          <w:rFonts w:ascii="Verdana" w:hAnsi="Verdana"/>
          <w:sz w:val="20"/>
          <w:szCs w:val="20"/>
          <w:lang w:eastAsia="en-GB"/>
        </w:rPr>
        <w:t>56</w:t>
      </w:r>
      <w:r w:rsidR="00980282" w:rsidRPr="002F4BAF">
        <w:rPr>
          <w:rFonts w:ascii="Verdana" w:hAnsi="Verdana"/>
          <w:sz w:val="20"/>
          <w:szCs w:val="20"/>
          <w:lang w:eastAsia="en-GB"/>
        </w:rPr>
        <w:t>3</w:t>
      </w:r>
      <w:r w:rsidR="009C4FD3" w:rsidRPr="002F4BAF">
        <w:rPr>
          <w:rFonts w:ascii="Verdana" w:hAnsi="Verdana"/>
          <w:sz w:val="20"/>
          <w:szCs w:val="20"/>
          <w:lang w:eastAsia="en-GB"/>
        </w:rPr>
        <w:t xml:space="preserve"> million common shares B</w:t>
      </w:r>
      <w:r w:rsidR="0099287B" w:rsidRPr="002F4BAF">
        <w:rPr>
          <w:rFonts w:ascii="Verdana" w:hAnsi="Verdana"/>
          <w:sz w:val="20"/>
          <w:szCs w:val="20"/>
          <w:lang w:eastAsia="en-GB"/>
        </w:rPr>
        <w:t>.</w:t>
      </w:r>
      <w:r w:rsidRPr="002F4BAF">
        <w:rPr>
          <w:rFonts w:ascii="Verdana" w:hAnsi="Verdana"/>
          <w:sz w:val="20"/>
          <w:szCs w:val="20"/>
          <w:lang w:eastAsia="en-GB"/>
        </w:rPr>
        <w:t xml:space="preserve"> Vereniging Aegon will have approximately 14.</w:t>
      </w:r>
      <w:r w:rsidR="00980282" w:rsidRPr="002F4BAF">
        <w:rPr>
          <w:rFonts w:ascii="Verdana" w:hAnsi="Verdana"/>
          <w:sz w:val="20"/>
          <w:szCs w:val="20"/>
          <w:lang w:eastAsia="en-GB"/>
        </w:rPr>
        <w:t>9</w:t>
      </w:r>
      <w:r w:rsidRPr="002F4BAF">
        <w:rPr>
          <w:rFonts w:ascii="Verdana" w:hAnsi="Verdana"/>
          <w:sz w:val="20"/>
          <w:szCs w:val="20"/>
          <w:lang w:eastAsia="en-GB"/>
        </w:rPr>
        <w:t xml:space="preserve">% of </w:t>
      </w:r>
      <w:r w:rsidR="00C63907" w:rsidRPr="002F4BAF">
        <w:rPr>
          <w:rFonts w:ascii="Verdana" w:hAnsi="Verdana"/>
          <w:sz w:val="20"/>
          <w:szCs w:val="20"/>
          <w:lang w:eastAsia="en-GB"/>
        </w:rPr>
        <w:t xml:space="preserve">the </w:t>
      </w:r>
      <w:r w:rsidRPr="002F4BAF">
        <w:rPr>
          <w:rFonts w:ascii="Verdana" w:hAnsi="Verdana"/>
          <w:sz w:val="20"/>
          <w:szCs w:val="20"/>
          <w:lang w:eastAsia="en-GB"/>
        </w:rPr>
        <w:t>voting rights</w:t>
      </w:r>
      <w:r w:rsidR="004B284A" w:rsidRPr="002F4BAF">
        <w:rPr>
          <w:rFonts w:ascii="Verdana" w:hAnsi="Verdana"/>
          <w:sz w:val="20"/>
          <w:szCs w:val="20"/>
          <w:lang w:eastAsia="en-GB"/>
        </w:rPr>
        <w:t xml:space="preserve"> in ordinary course</w:t>
      </w:r>
      <w:r w:rsidRPr="002F4BAF">
        <w:rPr>
          <w:rFonts w:ascii="Verdana" w:hAnsi="Verdana"/>
          <w:sz w:val="20"/>
          <w:szCs w:val="20"/>
          <w:lang w:eastAsia="en-GB"/>
        </w:rPr>
        <w:t>.</w:t>
      </w:r>
    </w:p>
    <w:p w:rsidR="00D74D4D" w:rsidRDefault="00D74D4D" w:rsidP="00957FAD">
      <w:pPr>
        <w:spacing w:after="0"/>
        <w:rPr>
          <w:rFonts w:ascii="Verdana" w:hAnsi="Verdana"/>
          <w:sz w:val="18"/>
          <w:szCs w:val="18"/>
        </w:rPr>
      </w:pPr>
    </w:p>
    <w:p w:rsidR="00B83666" w:rsidRDefault="00B83666" w:rsidP="00957FAD">
      <w:pPr>
        <w:spacing w:after="0"/>
        <w:rPr>
          <w:rFonts w:ascii="Verdana" w:hAnsi="Verdana"/>
          <w:sz w:val="18"/>
          <w:szCs w:val="18"/>
        </w:rPr>
        <w:sectPr w:rsidR="00B83666" w:rsidSect="00514852">
          <w:headerReference w:type="default" r:id="rId14"/>
          <w:footerReference w:type="even" r:id="rId15"/>
          <w:footerReference w:type="default" r:id="rId16"/>
          <w:pgSz w:w="11907" w:h="16839" w:code="9"/>
          <w:pgMar w:top="962" w:right="1197" w:bottom="1440" w:left="1440" w:header="450" w:footer="224" w:gutter="0"/>
          <w:cols w:space="720"/>
          <w:docGrid w:linePitch="360"/>
        </w:sectPr>
      </w:pPr>
    </w:p>
    <w:p w:rsidR="006302EC" w:rsidRPr="001E5453" w:rsidRDefault="006302EC" w:rsidP="002466B7">
      <w:pPr>
        <w:pStyle w:val="Headingtext"/>
        <w:spacing w:line="276" w:lineRule="auto"/>
        <w:rPr>
          <w:rFonts w:ascii="Verdana" w:hAnsi="Verdana" w:cs="Arial"/>
          <w:b w:val="0"/>
          <w:color w:val="0070C0"/>
          <w:sz w:val="16"/>
          <w:szCs w:val="16"/>
        </w:rPr>
      </w:pPr>
    </w:p>
    <w:p w:rsidR="00446273" w:rsidRPr="001E5453" w:rsidRDefault="006302EC" w:rsidP="002466B7">
      <w:pPr>
        <w:pStyle w:val="Headingtext"/>
        <w:spacing w:line="276" w:lineRule="auto"/>
        <w:rPr>
          <w:rFonts w:ascii="Verdana" w:hAnsi="Verdana" w:cs="Arial"/>
          <w:b w:val="0"/>
          <w:color w:val="0070C0"/>
          <w:sz w:val="16"/>
          <w:szCs w:val="16"/>
        </w:rPr>
      </w:pPr>
      <w:r w:rsidRPr="001E5453">
        <w:rPr>
          <w:rFonts w:ascii="Verdana" w:hAnsi="Verdana" w:cs="Arial"/>
          <w:b w:val="0"/>
          <w:color w:val="0070C0"/>
          <w:sz w:val="16"/>
          <w:szCs w:val="16"/>
        </w:rPr>
        <w:t>DISCLAIMER</w:t>
      </w:r>
    </w:p>
    <w:p w:rsidR="006302EC" w:rsidRPr="006302EC" w:rsidRDefault="006302EC" w:rsidP="006302EC">
      <w:pPr>
        <w:pStyle w:val="Headingtext"/>
        <w:spacing w:line="276" w:lineRule="auto"/>
        <w:rPr>
          <w:rFonts w:ascii="Verdana" w:hAnsi="Verdana" w:cs="Arial"/>
          <w:color w:val="auto"/>
          <w:sz w:val="14"/>
          <w:szCs w:val="24"/>
        </w:rPr>
      </w:pPr>
      <w:r w:rsidRPr="006302EC">
        <w:rPr>
          <w:rFonts w:ascii="Verdana" w:hAnsi="Verdana" w:cs="Arial"/>
          <w:color w:val="auto"/>
          <w:sz w:val="14"/>
          <w:szCs w:val="24"/>
        </w:rPr>
        <w:t>Forward-looking statements</w:t>
      </w:r>
    </w:p>
    <w:p w:rsidR="001E5453" w:rsidRPr="00913E7B" w:rsidRDefault="001E5453" w:rsidP="001E5453">
      <w:pPr>
        <w:spacing w:after="0" w:line="240" w:lineRule="auto"/>
        <w:rPr>
          <w:rFonts w:ascii="Verdana" w:hAnsi="Verdana" w:cs="Arial"/>
          <w:sz w:val="14"/>
          <w:lang w:val="en-GB"/>
        </w:rPr>
      </w:pPr>
      <w:r w:rsidRPr="00913E7B">
        <w:rPr>
          <w:rFonts w:ascii="Verdana" w:hAnsi="Verdana" w:cs="Arial"/>
          <w:sz w:val="14"/>
          <w:lang w:val="en-GB"/>
        </w:rPr>
        <w:t>The statements contained in this document that are not historical facts are forward-looking statements as defined in the US Private Securities Litigation Reform Act of 1995. The following are words that identify such forward-looking statements: aim, believe, estimate, target, intend, may, expect, anticipate, predict, project, counting on, plan, continue, want, forecast, goal, should, would, is confident, will, and similar expressions as they relate to Aegon. These statements are not guarantees of future performance and involve risks, uncertainties and assumptions that are difficult to predict. Aegon undertakes no obligation to publicly update or revise any forward-looking statements. Readers are cautioned not to place undue reliance on these forward-looking statements, which merely reflect company expectations at the time of writing. Actual results may differ materially from expectations conveyed in forward-looking statements due to changes caused by various risks and uncertainties. Such risks and uncertainties include but are not limited to the following:</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Changes in general economic conditions, particularly in the United States, the Netherlands and the United Kingdom;</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Changes in the performance of financial markets, including emerging markets, such as with regard to:</w:t>
      </w:r>
    </w:p>
    <w:p w:rsidR="001E5453" w:rsidRPr="00913E7B" w:rsidRDefault="001E5453" w:rsidP="001E5453">
      <w:pPr>
        <w:pStyle w:val="ListParagraph"/>
        <w:numPr>
          <w:ilvl w:val="0"/>
          <w:numId w:val="7"/>
        </w:numPr>
        <w:spacing w:after="0" w:line="240" w:lineRule="auto"/>
        <w:rPr>
          <w:rFonts w:ascii="Verdana" w:hAnsi="Verdana" w:cs="Arial"/>
          <w:noProof w:val="0"/>
          <w:sz w:val="14"/>
        </w:rPr>
      </w:pPr>
      <w:r w:rsidRPr="00913E7B">
        <w:rPr>
          <w:rFonts w:ascii="Verdana" w:hAnsi="Verdana" w:cs="Arial"/>
          <w:noProof w:val="0"/>
          <w:sz w:val="14"/>
        </w:rPr>
        <w:t xml:space="preserve">The frequency and severity of defaults by issuers in Aegon’s fixed income investment portfolios; </w:t>
      </w:r>
    </w:p>
    <w:p w:rsidR="001E5453" w:rsidRPr="00913E7B" w:rsidRDefault="001E5453" w:rsidP="001E5453">
      <w:pPr>
        <w:pStyle w:val="ListParagraph"/>
        <w:numPr>
          <w:ilvl w:val="0"/>
          <w:numId w:val="7"/>
        </w:numPr>
        <w:spacing w:after="0" w:line="240" w:lineRule="auto"/>
        <w:rPr>
          <w:rFonts w:ascii="Verdana" w:hAnsi="Verdana" w:cs="Arial"/>
          <w:noProof w:val="0"/>
          <w:sz w:val="14"/>
        </w:rPr>
      </w:pPr>
      <w:r w:rsidRPr="00913E7B">
        <w:rPr>
          <w:rFonts w:ascii="Verdana" w:hAnsi="Verdana" w:cs="Arial"/>
          <w:noProof w:val="0"/>
          <w:sz w:val="14"/>
        </w:rPr>
        <w:t>The effects of corporate bankruptcies and/or accounting restatements on the financial markets and the resulting decline in the value of equity and debt securities Aegon holds; and</w:t>
      </w:r>
    </w:p>
    <w:p w:rsidR="001E5453" w:rsidRPr="00913E7B" w:rsidRDefault="001E5453" w:rsidP="001E5453">
      <w:pPr>
        <w:pStyle w:val="ListParagraph"/>
        <w:numPr>
          <w:ilvl w:val="0"/>
          <w:numId w:val="7"/>
        </w:numPr>
        <w:spacing w:after="0" w:line="240" w:lineRule="auto"/>
        <w:rPr>
          <w:rFonts w:ascii="Verdana" w:hAnsi="Verdana" w:cs="Arial"/>
          <w:noProof w:val="0"/>
          <w:sz w:val="14"/>
        </w:rPr>
      </w:pPr>
      <w:r w:rsidRPr="00913E7B">
        <w:rPr>
          <w:rFonts w:ascii="Verdana" w:hAnsi="Verdana" w:cs="Arial"/>
          <w:noProof w:val="0"/>
          <w:sz w:val="14"/>
        </w:rPr>
        <w:t>The effects of declining creditworthiness of certain private sector securities and the resulting decline in the value of sovereign exposure that Aegon holds;</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Changes in the performance of Aegon’s investment portfolio and decline in ratings of</w:t>
      </w:r>
      <w:r w:rsidR="00EC56DD">
        <w:rPr>
          <w:rFonts w:ascii="Verdana" w:hAnsi="Verdana" w:cs="Arial"/>
          <w:noProof w:val="0"/>
          <w:sz w:val="14"/>
        </w:rPr>
        <w:t xml:space="preserve"> </w:t>
      </w:r>
      <w:r w:rsidRPr="00913E7B">
        <w:rPr>
          <w:rFonts w:ascii="Verdana" w:hAnsi="Verdana" w:cs="Arial"/>
          <w:noProof w:val="0"/>
          <w:sz w:val="14"/>
        </w:rPr>
        <w:t>Aegon’s counterparties;</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Consequences of a potential (partial) break-up of the euro;</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The frequency and severity of insured loss events;</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Changes affecting mortality, morbidity, persistence and other factors that may impact the profitability of Aegon’s insurance products;</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Reinsurers to whom Aegon has ceded significant underwriting risks may fail to meet their obligations;</w:t>
      </w:r>
    </w:p>
    <w:p w:rsidR="009A4816"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C</w:t>
      </w:r>
      <w:r w:rsidRPr="00913E7B">
        <w:rPr>
          <w:rFonts w:ascii="Verdana" w:hAnsi="Verdana" w:cs="Arial"/>
          <w:sz w:val="14"/>
        </w:rPr>
        <w:t xml:space="preserve">hanges affecting interest rate levels and continuing low or rapidly changing interest rate levels; </w:t>
      </w:r>
    </w:p>
    <w:p w:rsidR="001E5453" w:rsidRPr="00913E7B" w:rsidRDefault="009A4816" w:rsidP="001E5453">
      <w:pPr>
        <w:pStyle w:val="ListParagraph"/>
        <w:numPr>
          <w:ilvl w:val="0"/>
          <w:numId w:val="6"/>
        </w:numPr>
        <w:spacing w:after="0" w:line="240" w:lineRule="auto"/>
        <w:ind w:left="284" w:hanging="284"/>
        <w:rPr>
          <w:rFonts w:ascii="Verdana" w:hAnsi="Verdana" w:cs="Arial"/>
          <w:noProof w:val="0"/>
          <w:sz w:val="14"/>
        </w:rPr>
      </w:pPr>
      <w:r>
        <w:rPr>
          <w:rFonts w:ascii="Verdana" w:hAnsi="Verdana" w:cs="Arial"/>
          <w:sz w:val="14"/>
        </w:rPr>
        <w:t>C</w:t>
      </w:r>
      <w:r w:rsidR="001E5453" w:rsidRPr="00913E7B">
        <w:rPr>
          <w:rFonts w:ascii="Verdana" w:hAnsi="Verdana" w:cs="Arial"/>
          <w:noProof w:val="0"/>
          <w:sz w:val="14"/>
        </w:rPr>
        <w:t>hanges affecting currency exchange rates, in particular the EUR/USD and EUR/GBP exchange rates;</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Changes in the availability of, and costs associated with, liquidity sources such as bank and capital markets funding, as well as conditions in the credit markets in general such as changes in borrower and counterparty creditworthiness;</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Increasing levels of competition in the United States, the Netherlands, the United Kingdom and emerging markets;</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Changes in laws and regulations, particularly those affecting Aegon’s operations, ability to hire and retain key personnel, the products Aegon sells, and the attractiveness of certain products to its consumers;</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Regulatory changes relating to the insurance industry in the jurisdictions in which Aegon operates;</w:t>
      </w:r>
    </w:p>
    <w:p w:rsidR="001E5453" w:rsidRPr="00913E7B" w:rsidRDefault="001E5453" w:rsidP="001E5453">
      <w:pPr>
        <w:pStyle w:val="ListParagraph"/>
        <w:numPr>
          <w:ilvl w:val="0"/>
          <w:numId w:val="6"/>
        </w:numPr>
        <w:spacing w:after="0" w:line="240" w:lineRule="auto"/>
        <w:ind w:left="284" w:hanging="284"/>
        <w:rPr>
          <w:rFonts w:ascii="Verdana" w:hAnsi="Verdana" w:cs="Arial"/>
          <w:sz w:val="14"/>
        </w:rPr>
      </w:pPr>
      <w:r w:rsidRPr="00913E7B">
        <w:rPr>
          <w:rFonts w:ascii="Verdana" w:hAnsi="Verdana" w:cs="Arial"/>
          <w:sz w:val="14"/>
        </w:rPr>
        <w:t>Changes in customer behavior and public opinion in general related to, among other things, the type of products also Aegon sells, including legal, regulatory or commercial necessity to meet changing customer expectations;</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Acts of God, acts of terrorism, acts of war and pandemics;</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Changes in the policies of central banks and/or governments;</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Lowering of one or more of Aegon’s debt ratings issued by recognized rating organizations and the adverse impact such action may have on Aegon’s ability to raise capital and on its liquidity and financial condition;</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Lowering of one or more of insurer financial strength ratings of Aegon’s insurance subsidiaries and the adverse impact such action may have on the premium writings, policy retention, profitability and liquidity of its insurance subsidiaries;</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The effect of the European Union’s Solvency II requirements and other regulations in other jurisdictions affecting the capital Aegon is required to maintain;</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Litigation or regulatory action that could require Aegon to pay significant damages or change the way Aegon does business;</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As Aegon’s operations support complex transactions and are highly dependent on the proper functioning of information technology, a computer system failure or security breach may disrupt Aegon’s business, damage its reputation and adversely affect its results of operations, financial condition and cash flows;</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Customer responsiveness to both new products and distribution channels;</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Competitive, legal, regulatory, or tax changes that affect profitability, the distribution cost of or demand for Aegon’s products;</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Changes in accounting regulations and policies may affect Aegon’s reported results and shareholders</w:t>
      </w:r>
      <w:r w:rsidR="0085110C">
        <w:rPr>
          <w:rFonts w:ascii="Verdana" w:hAnsi="Verdana" w:cs="Arial"/>
          <w:noProof w:val="0"/>
          <w:sz w:val="14"/>
        </w:rPr>
        <w:t>’</w:t>
      </w:r>
      <w:r w:rsidRPr="00913E7B">
        <w:rPr>
          <w:rFonts w:ascii="Verdana" w:hAnsi="Verdana" w:cs="Arial"/>
          <w:noProof w:val="0"/>
          <w:sz w:val="14"/>
        </w:rPr>
        <w:t xml:space="preserve"> equity;</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 xml:space="preserve">The impact of acquisitions and divestitures, restructurings, product withdrawals and other unusual items, including Aegon’s ability to integrate acquisitions and to obtain the anticipated results and synergies from acquisitions; </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Catastrophic events, either manmade or by nature, could result in material losses and significantly interrupt Aegon’s business; and</w:t>
      </w:r>
    </w:p>
    <w:p w:rsidR="001E5453" w:rsidRPr="00913E7B" w:rsidRDefault="001E5453" w:rsidP="001E5453">
      <w:pPr>
        <w:pStyle w:val="ListParagraph"/>
        <w:numPr>
          <w:ilvl w:val="0"/>
          <w:numId w:val="6"/>
        </w:numPr>
        <w:spacing w:after="0" w:line="240" w:lineRule="auto"/>
        <w:ind w:left="284" w:hanging="284"/>
        <w:rPr>
          <w:rFonts w:ascii="Verdana" w:hAnsi="Verdana" w:cs="Arial"/>
          <w:noProof w:val="0"/>
          <w:sz w:val="14"/>
        </w:rPr>
      </w:pPr>
      <w:r w:rsidRPr="00913E7B">
        <w:rPr>
          <w:rFonts w:ascii="Verdana" w:hAnsi="Verdana" w:cs="Arial"/>
          <w:noProof w:val="0"/>
          <w:sz w:val="14"/>
        </w:rPr>
        <w:t xml:space="preserve">Aegon’s failure to achieve anticipated levels of earnings or operational efficiencies as well as other cost saving initiatives. </w:t>
      </w:r>
    </w:p>
    <w:p w:rsidR="001E5453" w:rsidRPr="00913E7B" w:rsidRDefault="001E5453" w:rsidP="001E5453">
      <w:pPr>
        <w:pStyle w:val="ListParagraph"/>
        <w:spacing w:after="0" w:line="240" w:lineRule="auto"/>
        <w:ind w:left="284"/>
        <w:rPr>
          <w:rFonts w:ascii="Verdana" w:hAnsi="Verdana" w:cs="Arial"/>
          <w:noProof w:val="0"/>
          <w:sz w:val="14"/>
        </w:rPr>
      </w:pPr>
    </w:p>
    <w:p w:rsidR="00EB7301" w:rsidRPr="00446273" w:rsidRDefault="000711EF" w:rsidP="006302EC">
      <w:pPr>
        <w:pStyle w:val="Headingtext"/>
        <w:spacing w:line="276" w:lineRule="auto"/>
        <w:rPr>
          <w:rFonts w:ascii="Verdana" w:hAnsi="Verdana"/>
          <w:sz w:val="14"/>
          <w:szCs w:val="14"/>
        </w:rPr>
      </w:pPr>
      <w:r w:rsidRPr="000711EF">
        <w:rPr>
          <w:rFonts w:ascii="Verdana" w:eastAsiaTheme="minorEastAsia" w:hAnsi="Verdana" w:cs="Arial"/>
          <w:b w:val="0"/>
          <w:color w:val="auto"/>
          <w:sz w:val="14"/>
          <w:szCs w:val="14"/>
          <w:lang w:eastAsia="ja-JP"/>
        </w:rPr>
        <w:t>Further details of potential risks and uncertainties affecting Aegon are described in its filings with the Netherlands Authority for the Financial Markets and the US Securities and Exchange Commission, including the Annual Report. These forward-looking statements speak only as of the date of this document. Except as required by any applicable law or regulation, Aegon expressly disclaims any obligation or undertaking to release publicly any updates or revisions to any forward-looking statements contained herein to reflect any change in Aegon’s expectations with regard thereto or any change in events, conditions or circumstances on which any such statement is based.</w:t>
      </w:r>
    </w:p>
    <w:sectPr w:rsidR="00EB7301" w:rsidRPr="00446273" w:rsidSect="00514852">
      <w:headerReference w:type="default" r:id="rId17"/>
      <w:footerReference w:type="even" r:id="rId18"/>
      <w:footerReference w:type="default" r:id="rId19"/>
      <w:pgSz w:w="11907" w:h="16839" w:code="9"/>
      <w:pgMar w:top="962" w:right="1197" w:bottom="1440" w:left="1440" w:header="450" w:footer="22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FD3" w:rsidRDefault="009C4FD3" w:rsidP="00BD73BC">
      <w:pPr>
        <w:spacing w:after="0" w:line="240" w:lineRule="auto"/>
      </w:pPr>
      <w:r>
        <w:separator/>
      </w:r>
    </w:p>
  </w:endnote>
  <w:endnote w:type="continuationSeparator" w:id="0">
    <w:p w:rsidR="009C4FD3" w:rsidRDefault="009C4FD3" w:rsidP="00BD73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InterstateG-Light">
    <w:altName w:val="Times New Roman"/>
    <w:panose1 w:val="00000000000000000000"/>
    <w:charset w:val="00"/>
    <w:family w:val="roman"/>
    <w:notTrueType/>
    <w:pitch w:val="variable"/>
    <w:sig w:usb0="00000083" w:usb1="00000000" w:usb2="00000000" w:usb3="00000000" w:csb0="00000009"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FD3" w:rsidRPr="00BE6A6E" w:rsidRDefault="009C4FD3" w:rsidP="007B6FE3">
    <w:pPr>
      <w:rPr>
        <w:rFonts w:ascii="Verdana" w:hAnsi="Verdana"/>
        <w:sz w:val="16"/>
        <w:szCs w:val="16"/>
      </w:rPr>
    </w:pPr>
    <w:r w:rsidRPr="00BE6A6E">
      <w:rPr>
        <w:rFonts w:ascii="Verdana" w:hAnsi="Verdana"/>
        <w:color w:val="005CAE"/>
        <w:sz w:val="16"/>
        <w:szCs w:val="16"/>
      </w:rPr>
      <w:t>A</w:t>
    </w:r>
    <w:r>
      <w:rPr>
        <w:rFonts w:ascii="Verdana" w:hAnsi="Verdana"/>
        <w:color w:val="005CAE"/>
        <w:sz w:val="16"/>
        <w:szCs w:val="16"/>
      </w:rPr>
      <w:t>BOUT AEGON</w:t>
    </w:r>
    <w:r>
      <w:rPr>
        <w:rFonts w:ascii="Verdana" w:hAnsi="Verdana"/>
        <w:color w:val="005CAE"/>
        <w:sz w:val="16"/>
        <w:szCs w:val="16"/>
      </w:rPr>
      <w:br/>
    </w:r>
    <w:r w:rsidRPr="00BE6A6E">
      <w:rPr>
        <w:rFonts w:ascii="Verdana" w:hAnsi="Verdana"/>
        <w:sz w:val="16"/>
        <w:szCs w:val="16"/>
      </w:rPr>
      <w:t>As an international</w:t>
    </w:r>
    <w:r>
      <w:rPr>
        <w:rFonts w:ascii="Verdana" w:hAnsi="Verdana"/>
        <w:sz w:val="16"/>
        <w:szCs w:val="16"/>
      </w:rPr>
      <w:t xml:space="preserve"> life</w:t>
    </w:r>
    <w:r w:rsidRPr="00BE6A6E">
      <w:rPr>
        <w:rFonts w:ascii="Verdana" w:hAnsi="Verdana"/>
        <w:sz w:val="16"/>
        <w:szCs w:val="16"/>
      </w:rPr>
      <w:t xml:space="preserve"> insurance, pensions and asset manageme</w:t>
    </w:r>
    <w:r>
      <w:rPr>
        <w:rFonts w:ascii="Verdana" w:hAnsi="Verdana"/>
        <w:sz w:val="16"/>
        <w:szCs w:val="16"/>
      </w:rPr>
      <w:t>nt company based in The Hague, Aegon</w:t>
    </w:r>
    <w:r w:rsidRPr="00BE6A6E">
      <w:rPr>
        <w:rFonts w:ascii="Verdana" w:hAnsi="Verdana"/>
        <w:sz w:val="16"/>
        <w:szCs w:val="16"/>
      </w:rPr>
      <w:t xml:space="preserve"> has businesses in over twenty markets in the Americas, </w:t>
    </w:r>
    <w:r w:rsidRPr="00FC02D4">
      <w:rPr>
        <w:rFonts w:ascii="Verdana" w:hAnsi="Verdana"/>
        <w:sz w:val="16"/>
        <w:szCs w:val="16"/>
      </w:rPr>
      <w:t xml:space="preserve">Europe and Asia. </w:t>
    </w:r>
    <w:r>
      <w:rPr>
        <w:rFonts w:ascii="Verdana" w:hAnsi="Verdana"/>
        <w:sz w:val="16"/>
        <w:szCs w:val="16"/>
      </w:rPr>
      <w:t>Aegon</w:t>
    </w:r>
    <w:r w:rsidRPr="00FC02D4">
      <w:rPr>
        <w:rFonts w:ascii="Verdana" w:hAnsi="Verdana"/>
        <w:sz w:val="16"/>
        <w:szCs w:val="16"/>
      </w:rPr>
      <w:t xml:space="preserve"> companies employ </w:t>
    </w:r>
    <w:r>
      <w:rPr>
        <w:rFonts w:ascii="Verdana" w:hAnsi="Verdana"/>
        <w:sz w:val="16"/>
        <w:szCs w:val="16"/>
      </w:rPr>
      <w:t>approximately</w:t>
    </w:r>
    <w:r w:rsidRPr="00FC02D4">
      <w:rPr>
        <w:rFonts w:ascii="Verdana" w:hAnsi="Verdana"/>
        <w:sz w:val="16"/>
        <w:szCs w:val="16"/>
      </w:rPr>
      <w:t xml:space="preserve"> 25,000 people and have nearly 47 million customers across the globe. Further information: </w:t>
    </w:r>
    <w:hyperlink r:id="rId1" w:history="1">
      <w:r w:rsidRPr="00EC56DD">
        <w:rPr>
          <w:rStyle w:val="Hyperlink"/>
          <w:rFonts w:ascii="Verdana" w:hAnsi="Verdana"/>
          <w:szCs w:val="16"/>
        </w:rPr>
        <w:t>aegon.com</w:t>
      </w:r>
    </w:hyperlink>
    <w:r w:rsidRPr="00FC02D4">
      <w:rPr>
        <w:rFonts w:ascii="Verdana" w:hAnsi="Verdana"/>
        <w:sz w:val="16"/>
        <w:szCs w:val="16"/>
      </w:rPr>
      <w:t>.</w:t>
    </w:r>
  </w:p>
  <w:p w:rsidR="009C4FD3" w:rsidRDefault="009C4FD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Verdana" w:hAnsi="Verdana"/>
        <w:sz w:val="16"/>
        <w:szCs w:val="16"/>
      </w:rPr>
      <w:id w:val="1747700"/>
      <w:docPartObj>
        <w:docPartGallery w:val="Page Numbers (Bottom of Page)"/>
        <w:docPartUnique/>
      </w:docPartObj>
    </w:sdtPr>
    <w:sdtContent>
      <w:p w:rsidR="009C4FD3" w:rsidRPr="00EC56DD" w:rsidRDefault="009C4FD3">
        <w:pPr>
          <w:pStyle w:val="Footer"/>
          <w:jc w:val="right"/>
          <w:rPr>
            <w:rFonts w:ascii="Verdana" w:hAnsi="Verdana"/>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8"/>
          <w:gridCol w:w="2160"/>
        </w:tblGrid>
        <w:tr w:rsidR="009C4FD3" w:rsidRPr="00FC02D4" w:rsidTr="001E5453">
          <w:tc>
            <w:tcPr>
              <w:tcW w:w="2808" w:type="dxa"/>
            </w:tcPr>
            <w:p w:rsidR="009C4FD3" w:rsidRPr="00FC02D4" w:rsidRDefault="009C4FD3" w:rsidP="001E5453">
              <w:pPr>
                <w:pStyle w:val="NoSpacing"/>
                <w:rPr>
                  <w:rFonts w:ascii="Verdana" w:hAnsi="Verdana"/>
                  <w:sz w:val="16"/>
                  <w:szCs w:val="16"/>
                  <w:lang w:val="nl-NL"/>
                </w:rPr>
              </w:pPr>
              <w:r>
                <w:rPr>
                  <w:rFonts w:ascii="Verdana" w:hAnsi="Verdana"/>
                  <w:color w:val="005CAE"/>
                  <w:sz w:val="16"/>
                  <w:szCs w:val="16"/>
                  <w:lang w:val="nl-NL"/>
                </w:rPr>
                <w:t>Media r</w:t>
              </w:r>
              <w:r w:rsidRPr="00FC02D4">
                <w:rPr>
                  <w:rFonts w:ascii="Verdana" w:hAnsi="Verdana"/>
                  <w:color w:val="005CAE"/>
                  <w:sz w:val="16"/>
                  <w:szCs w:val="16"/>
                  <w:lang w:val="nl-NL"/>
                </w:rPr>
                <w:t>elations</w:t>
              </w:r>
            </w:p>
          </w:tc>
          <w:tc>
            <w:tcPr>
              <w:tcW w:w="2160" w:type="dxa"/>
            </w:tcPr>
            <w:p w:rsidR="009C4FD3" w:rsidRPr="00FC02D4" w:rsidRDefault="009C4FD3" w:rsidP="006C6C6D">
              <w:pPr>
                <w:pStyle w:val="NoSpacing"/>
                <w:rPr>
                  <w:rFonts w:ascii="Verdana" w:hAnsi="Verdana"/>
                  <w:sz w:val="16"/>
                  <w:szCs w:val="16"/>
                  <w:lang w:val="nl-NL"/>
                </w:rPr>
              </w:pPr>
              <w:r w:rsidRPr="00FC02D4">
                <w:rPr>
                  <w:rFonts w:ascii="Verdana" w:hAnsi="Verdana"/>
                  <w:color w:val="005CAE"/>
                  <w:sz w:val="16"/>
                  <w:szCs w:val="16"/>
                  <w:lang w:val="nl-NL"/>
                </w:rPr>
                <w:t xml:space="preserve">Investor </w:t>
              </w:r>
              <w:r>
                <w:rPr>
                  <w:rFonts w:ascii="Verdana" w:hAnsi="Verdana"/>
                  <w:color w:val="005CAE"/>
                  <w:sz w:val="16"/>
                  <w:szCs w:val="16"/>
                  <w:lang w:val="nl-NL"/>
                </w:rPr>
                <w:t>r</w:t>
              </w:r>
              <w:r w:rsidRPr="00FC02D4">
                <w:rPr>
                  <w:rFonts w:ascii="Verdana" w:hAnsi="Verdana"/>
                  <w:color w:val="005CAE"/>
                  <w:sz w:val="16"/>
                  <w:szCs w:val="16"/>
                  <w:lang w:val="nl-NL"/>
                </w:rPr>
                <w:t>elations</w:t>
              </w:r>
            </w:p>
          </w:tc>
        </w:tr>
        <w:tr w:rsidR="009C4FD3" w:rsidRPr="00FC02D4" w:rsidTr="001E5453">
          <w:tc>
            <w:tcPr>
              <w:tcW w:w="2808" w:type="dxa"/>
            </w:tcPr>
            <w:p w:rsidR="009C4FD3" w:rsidRPr="00FC02D4" w:rsidRDefault="009C4FD3" w:rsidP="001E5453">
              <w:pPr>
                <w:pStyle w:val="NoSpacing"/>
                <w:rPr>
                  <w:rFonts w:ascii="Verdana" w:hAnsi="Verdana"/>
                  <w:color w:val="005CAE"/>
                  <w:sz w:val="16"/>
                  <w:szCs w:val="16"/>
                  <w:lang w:val="nl-NL"/>
                </w:rPr>
              </w:pPr>
              <w:r w:rsidRPr="00FC02D4">
                <w:rPr>
                  <w:rFonts w:ascii="Verdana" w:hAnsi="Verdana"/>
                  <w:color w:val="005CAE"/>
                  <w:sz w:val="16"/>
                  <w:szCs w:val="16"/>
                  <w:lang w:val="nl-NL"/>
                </w:rPr>
                <w:t>Greg Tucker</w:t>
              </w:r>
            </w:p>
          </w:tc>
          <w:tc>
            <w:tcPr>
              <w:tcW w:w="2160" w:type="dxa"/>
            </w:tcPr>
            <w:p w:rsidR="009C4FD3" w:rsidRPr="00FC02D4" w:rsidRDefault="009C4FD3" w:rsidP="001E5453">
              <w:pPr>
                <w:pStyle w:val="NoSpacing"/>
                <w:rPr>
                  <w:rFonts w:ascii="Verdana" w:hAnsi="Verdana"/>
                  <w:color w:val="005CAE"/>
                  <w:sz w:val="16"/>
                  <w:szCs w:val="16"/>
                  <w:lang w:val="nl-NL"/>
                </w:rPr>
              </w:pPr>
              <w:r w:rsidRPr="00FC02D4">
                <w:rPr>
                  <w:rFonts w:ascii="Verdana" w:hAnsi="Verdana"/>
                  <w:color w:val="005CAE"/>
                  <w:sz w:val="16"/>
                  <w:szCs w:val="16"/>
                  <w:lang w:val="nl-NL"/>
                </w:rPr>
                <w:t xml:space="preserve">Willem van den Berg </w:t>
              </w:r>
            </w:p>
          </w:tc>
        </w:tr>
        <w:tr w:rsidR="009C4FD3" w:rsidRPr="00FC02D4" w:rsidTr="001E5453">
          <w:tc>
            <w:tcPr>
              <w:tcW w:w="2808" w:type="dxa"/>
            </w:tcPr>
            <w:p w:rsidR="009C4FD3" w:rsidRPr="00FC02D4" w:rsidRDefault="009C4FD3" w:rsidP="001E5453">
              <w:pPr>
                <w:pStyle w:val="NoSpacing"/>
                <w:rPr>
                  <w:rFonts w:ascii="Verdana" w:hAnsi="Verdana"/>
                  <w:sz w:val="16"/>
                  <w:szCs w:val="16"/>
                  <w:lang w:val="nl-NL"/>
                </w:rPr>
              </w:pPr>
              <w:r w:rsidRPr="00FC02D4">
                <w:rPr>
                  <w:rFonts w:ascii="Verdana" w:hAnsi="Verdana"/>
                  <w:sz w:val="16"/>
                  <w:szCs w:val="16"/>
                  <w:lang w:val="nl-NL"/>
                </w:rPr>
                <w:t>+ 31 (0) 70 344 8956</w:t>
              </w:r>
            </w:p>
          </w:tc>
          <w:tc>
            <w:tcPr>
              <w:tcW w:w="2160" w:type="dxa"/>
            </w:tcPr>
            <w:p w:rsidR="009C4FD3" w:rsidRPr="00FC02D4" w:rsidRDefault="009C4FD3" w:rsidP="001E5453">
              <w:pPr>
                <w:pStyle w:val="NoSpacing"/>
                <w:rPr>
                  <w:rFonts w:ascii="Verdana" w:hAnsi="Verdana"/>
                  <w:sz w:val="16"/>
                  <w:szCs w:val="16"/>
                  <w:lang w:val="nl-NL"/>
                </w:rPr>
              </w:pPr>
              <w:r w:rsidRPr="00FC02D4">
                <w:rPr>
                  <w:rFonts w:ascii="Verdana" w:hAnsi="Verdana"/>
                  <w:sz w:val="16"/>
                  <w:szCs w:val="16"/>
                  <w:lang w:val="nl-NL"/>
                </w:rPr>
                <w:t>+ 31 (0) 70 344 8305</w:t>
              </w:r>
            </w:p>
          </w:tc>
        </w:tr>
        <w:tr w:rsidR="009C4FD3" w:rsidRPr="00FC02D4" w:rsidTr="001E5453">
          <w:tc>
            <w:tcPr>
              <w:tcW w:w="2808" w:type="dxa"/>
            </w:tcPr>
            <w:p w:rsidR="009C4FD3" w:rsidRPr="00FC02D4" w:rsidRDefault="00EE6840" w:rsidP="00BF45ED">
              <w:pPr>
                <w:pStyle w:val="NoSpacing"/>
                <w:rPr>
                  <w:rFonts w:ascii="Verdana" w:hAnsi="Verdana"/>
                  <w:sz w:val="16"/>
                  <w:szCs w:val="16"/>
                  <w:lang w:val="nl-NL"/>
                </w:rPr>
              </w:pPr>
              <w:hyperlink r:id="rId1" w:history="1">
                <w:r w:rsidR="009C4FD3" w:rsidRPr="00FC02D4">
                  <w:rPr>
                    <w:rStyle w:val="Hyperlink"/>
                    <w:rFonts w:ascii="Verdana" w:hAnsi="Verdana"/>
                    <w:color w:val="005CAE"/>
                    <w:szCs w:val="16"/>
                    <w:lang w:val="nl-NL"/>
                  </w:rPr>
                  <w:t>gcc@aegon.com</w:t>
                </w:r>
              </w:hyperlink>
            </w:p>
          </w:tc>
          <w:tc>
            <w:tcPr>
              <w:tcW w:w="2160" w:type="dxa"/>
            </w:tcPr>
            <w:p w:rsidR="009C4FD3" w:rsidRPr="00FC02D4" w:rsidRDefault="00EE6840" w:rsidP="001E5453">
              <w:pPr>
                <w:pStyle w:val="NoSpacing"/>
                <w:rPr>
                  <w:rFonts w:ascii="Verdana" w:hAnsi="Verdana"/>
                  <w:sz w:val="16"/>
                  <w:szCs w:val="16"/>
                  <w:lang w:val="nl-NL"/>
                </w:rPr>
              </w:pPr>
              <w:hyperlink r:id="rId2" w:history="1">
                <w:r w:rsidR="009C4FD3" w:rsidRPr="00FC02D4">
                  <w:rPr>
                    <w:rStyle w:val="Hyperlink"/>
                    <w:rFonts w:ascii="Verdana" w:hAnsi="Verdana"/>
                    <w:color w:val="005CAE"/>
                    <w:szCs w:val="16"/>
                    <w:lang w:val="nl-NL"/>
                  </w:rPr>
                  <w:t>ir@aegon.com</w:t>
                </w:r>
              </w:hyperlink>
            </w:p>
          </w:tc>
        </w:tr>
        <w:tr w:rsidR="009C4FD3" w:rsidRPr="00FC02D4" w:rsidTr="001E5453">
          <w:tc>
            <w:tcPr>
              <w:tcW w:w="2808" w:type="dxa"/>
            </w:tcPr>
            <w:p w:rsidR="009C4FD3" w:rsidRDefault="009C4FD3" w:rsidP="00BF45ED">
              <w:pPr>
                <w:pStyle w:val="NoSpacing"/>
              </w:pPr>
            </w:p>
          </w:tc>
          <w:tc>
            <w:tcPr>
              <w:tcW w:w="2160" w:type="dxa"/>
            </w:tcPr>
            <w:p w:rsidR="009C4FD3" w:rsidRDefault="009C4FD3" w:rsidP="001E5453">
              <w:pPr>
                <w:pStyle w:val="NoSpacing"/>
              </w:pPr>
            </w:p>
          </w:tc>
        </w:tr>
      </w:tbl>
      <w:p w:rsidR="009C4FD3" w:rsidRPr="006E5DD8" w:rsidRDefault="00EE6840" w:rsidP="00741D2F">
        <w:pPr>
          <w:pStyle w:val="Footer"/>
          <w:jc w:val="right"/>
          <w:rPr>
            <w:rFonts w:ascii="Verdana" w:hAnsi="Verdana"/>
            <w:sz w:val="16"/>
            <w:szCs w:val="16"/>
          </w:rPr>
        </w:pPr>
        <w:r w:rsidRPr="006E5DD8">
          <w:rPr>
            <w:rFonts w:ascii="Verdana" w:hAnsi="Verdana"/>
            <w:sz w:val="16"/>
            <w:szCs w:val="16"/>
          </w:rPr>
          <w:fldChar w:fldCharType="begin"/>
        </w:r>
        <w:r w:rsidR="009C4FD3" w:rsidRPr="006E5DD8">
          <w:rPr>
            <w:rFonts w:ascii="Verdana" w:hAnsi="Verdana"/>
            <w:sz w:val="16"/>
            <w:szCs w:val="16"/>
          </w:rPr>
          <w:instrText xml:space="preserve"> PAGE   \* MERGEFORMAT </w:instrText>
        </w:r>
        <w:r w:rsidRPr="006E5DD8">
          <w:rPr>
            <w:rFonts w:ascii="Verdana" w:hAnsi="Verdana"/>
            <w:sz w:val="16"/>
            <w:szCs w:val="16"/>
          </w:rPr>
          <w:fldChar w:fldCharType="separate"/>
        </w:r>
        <w:r w:rsidR="00EA78D7">
          <w:rPr>
            <w:rFonts w:ascii="Verdana" w:hAnsi="Verdana"/>
            <w:noProof/>
            <w:sz w:val="16"/>
            <w:szCs w:val="16"/>
          </w:rPr>
          <w:t>1</w:t>
        </w:r>
        <w:r w:rsidRPr="006E5DD8">
          <w:rPr>
            <w:rFonts w:ascii="Verdana" w:hAnsi="Verdana"/>
            <w:sz w:val="16"/>
            <w:szCs w:val="16"/>
          </w:rPr>
          <w:fldChar w:fldCharType="end"/>
        </w:r>
        <w:r w:rsidR="009C4FD3">
          <w:rPr>
            <w:rFonts w:ascii="Verdana" w:hAnsi="Verdana"/>
            <w:sz w:val="16"/>
            <w:szCs w:val="16"/>
          </w:rPr>
          <w:br/>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8D7" w:rsidRDefault="00EA78D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FD3" w:rsidRDefault="009C4FD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Verdana" w:hAnsi="Verdana"/>
        <w:sz w:val="16"/>
        <w:szCs w:val="16"/>
      </w:rPr>
      <w:id w:val="3218429"/>
      <w:docPartObj>
        <w:docPartGallery w:val="Page Numbers (Bottom of Page)"/>
        <w:docPartUnique/>
      </w:docPartObj>
    </w:sdtPr>
    <w:sdtContent>
      <w:p w:rsidR="009C4FD3" w:rsidRPr="00EC56DD" w:rsidRDefault="009C4FD3">
        <w:pPr>
          <w:pStyle w:val="Footer"/>
          <w:jc w:val="right"/>
          <w:rPr>
            <w:rFonts w:ascii="Verdana" w:hAnsi="Verdana"/>
            <w:sz w:val="16"/>
            <w:szCs w:val="16"/>
          </w:rPr>
        </w:pPr>
      </w:p>
      <w:p w:rsidR="009C4FD3" w:rsidRPr="006E5DD8" w:rsidRDefault="00EE6840" w:rsidP="00741D2F">
        <w:pPr>
          <w:pStyle w:val="Footer"/>
          <w:jc w:val="right"/>
          <w:rPr>
            <w:rFonts w:ascii="Verdana" w:hAnsi="Verdana"/>
            <w:sz w:val="16"/>
            <w:szCs w:val="16"/>
          </w:rPr>
        </w:pPr>
        <w:r w:rsidRPr="006E5DD8">
          <w:rPr>
            <w:rFonts w:ascii="Verdana" w:hAnsi="Verdana"/>
            <w:sz w:val="16"/>
            <w:szCs w:val="16"/>
          </w:rPr>
          <w:fldChar w:fldCharType="begin"/>
        </w:r>
        <w:r w:rsidR="009C4FD3" w:rsidRPr="006E5DD8">
          <w:rPr>
            <w:rFonts w:ascii="Verdana" w:hAnsi="Verdana"/>
            <w:sz w:val="16"/>
            <w:szCs w:val="16"/>
          </w:rPr>
          <w:instrText xml:space="preserve"> PAGE   \* MERGEFORMAT </w:instrText>
        </w:r>
        <w:r w:rsidRPr="006E5DD8">
          <w:rPr>
            <w:rFonts w:ascii="Verdana" w:hAnsi="Verdana"/>
            <w:sz w:val="16"/>
            <w:szCs w:val="16"/>
          </w:rPr>
          <w:fldChar w:fldCharType="separate"/>
        </w:r>
        <w:r w:rsidR="00EA78D7">
          <w:rPr>
            <w:rFonts w:ascii="Verdana" w:hAnsi="Verdana"/>
            <w:noProof/>
            <w:sz w:val="16"/>
            <w:szCs w:val="16"/>
          </w:rPr>
          <w:t>3</w:t>
        </w:r>
        <w:r w:rsidRPr="006E5DD8">
          <w:rPr>
            <w:rFonts w:ascii="Verdana" w:hAnsi="Verdana"/>
            <w:sz w:val="16"/>
            <w:szCs w:val="16"/>
          </w:rPr>
          <w:fldChar w:fldCharType="end"/>
        </w:r>
        <w:r w:rsidR="009C4FD3">
          <w:rPr>
            <w:rFonts w:ascii="Verdana" w:hAnsi="Verdana"/>
            <w:sz w:val="16"/>
            <w:szCs w:val="16"/>
          </w:rPr>
          <w:br/>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8433"/>
      <w:docPartObj>
        <w:docPartGallery w:val="Page Numbers (Bottom of Page)"/>
        <w:docPartUnique/>
      </w:docPartObj>
    </w:sdtPr>
    <w:sdtEndPr>
      <w:rPr>
        <w:rFonts w:ascii="Verdana" w:hAnsi="Verdana"/>
        <w:sz w:val="16"/>
        <w:szCs w:val="16"/>
      </w:rPr>
    </w:sdtEndPr>
    <w:sdtContent>
      <w:sdt>
        <w:sdtPr>
          <w:rPr>
            <w:rFonts w:ascii="Verdana" w:hAnsi="Verdana"/>
            <w:sz w:val="16"/>
            <w:szCs w:val="16"/>
          </w:rPr>
          <w:id w:val="3218434"/>
          <w:docPartObj>
            <w:docPartGallery w:val="Page Numbers (Bottom of Page)"/>
            <w:docPartUnique/>
          </w:docPartObj>
        </w:sdtPr>
        <w:sdtContent>
          <w:p w:rsidR="009C4FD3" w:rsidRPr="00EC56DD" w:rsidRDefault="009C4FD3" w:rsidP="00B83666">
            <w:pPr>
              <w:pStyle w:val="Footer"/>
              <w:jc w:val="right"/>
              <w:rPr>
                <w:rFonts w:ascii="Verdana" w:hAnsi="Verdana"/>
                <w:sz w:val="16"/>
                <w:szCs w:val="16"/>
              </w:rPr>
            </w:pPr>
          </w:p>
          <w:p w:rsidR="009C4FD3" w:rsidRPr="006E5DD8" w:rsidRDefault="009C4FD3" w:rsidP="00B83666">
            <w:pPr>
              <w:rPr>
                <w:rFonts w:ascii="Verdana" w:hAnsi="Verdana"/>
                <w:sz w:val="16"/>
                <w:szCs w:val="16"/>
              </w:rPr>
            </w:pPr>
            <w:r w:rsidRPr="00BE6A6E">
              <w:rPr>
                <w:rFonts w:ascii="Verdana" w:hAnsi="Verdana"/>
                <w:color w:val="005CAE"/>
                <w:sz w:val="16"/>
                <w:szCs w:val="16"/>
              </w:rPr>
              <w:t>A</w:t>
            </w:r>
            <w:r>
              <w:rPr>
                <w:rFonts w:ascii="Verdana" w:hAnsi="Verdana"/>
                <w:color w:val="005CAE"/>
                <w:sz w:val="16"/>
                <w:szCs w:val="16"/>
              </w:rPr>
              <w:t>BOUT AEGON</w:t>
            </w:r>
            <w:r>
              <w:rPr>
                <w:rFonts w:ascii="Verdana" w:hAnsi="Verdana"/>
                <w:color w:val="005CAE"/>
                <w:sz w:val="16"/>
                <w:szCs w:val="16"/>
              </w:rPr>
              <w:br/>
            </w:r>
            <w:r w:rsidRPr="00BE6A6E">
              <w:rPr>
                <w:rFonts w:ascii="Verdana" w:hAnsi="Verdana"/>
                <w:sz w:val="16"/>
                <w:szCs w:val="16"/>
              </w:rPr>
              <w:t>As an international</w:t>
            </w:r>
            <w:r>
              <w:rPr>
                <w:rFonts w:ascii="Verdana" w:hAnsi="Verdana"/>
                <w:sz w:val="16"/>
                <w:szCs w:val="16"/>
              </w:rPr>
              <w:t xml:space="preserve"> life</w:t>
            </w:r>
            <w:r w:rsidRPr="00BE6A6E">
              <w:rPr>
                <w:rFonts w:ascii="Verdana" w:hAnsi="Verdana"/>
                <w:sz w:val="16"/>
                <w:szCs w:val="16"/>
              </w:rPr>
              <w:t xml:space="preserve"> insurance, pensions and asset manageme</w:t>
            </w:r>
            <w:r>
              <w:rPr>
                <w:rFonts w:ascii="Verdana" w:hAnsi="Verdana"/>
                <w:sz w:val="16"/>
                <w:szCs w:val="16"/>
              </w:rPr>
              <w:t>nt company based in The Hague, Aegon</w:t>
            </w:r>
            <w:r w:rsidRPr="00BE6A6E">
              <w:rPr>
                <w:rFonts w:ascii="Verdana" w:hAnsi="Verdana"/>
                <w:sz w:val="16"/>
                <w:szCs w:val="16"/>
              </w:rPr>
              <w:t xml:space="preserve"> has businesses in over twenty markets in the Americas, </w:t>
            </w:r>
            <w:r w:rsidRPr="00FC02D4">
              <w:rPr>
                <w:rFonts w:ascii="Verdana" w:hAnsi="Verdana"/>
                <w:sz w:val="16"/>
                <w:szCs w:val="16"/>
              </w:rPr>
              <w:t xml:space="preserve">Europe and Asia. </w:t>
            </w:r>
            <w:r>
              <w:rPr>
                <w:rFonts w:ascii="Verdana" w:hAnsi="Verdana"/>
                <w:sz w:val="16"/>
                <w:szCs w:val="16"/>
              </w:rPr>
              <w:t>Aegon</w:t>
            </w:r>
            <w:r w:rsidRPr="00FC02D4">
              <w:rPr>
                <w:rFonts w:ascii="Verdana" w:hAnsi="Verdana"/>
                <w:sz w:val="16"/>
                <w:szCs w:val="16"/>
              </w:rPr>
              <w:t xml:space="preserve"> companies employ </w:t>
            </w:r>
            <w:r>
              <w:rPr>
                <w:rFonts w:ascii="Verdana" w:hAnsi="Verdana"/>
                <w:sz w:val="16"/>
                <w:szCs w:val="16"/>
              </w:rPr>
              <w:t>approximately</w:t>
            </w:r>
            <w:r w:rsidRPr="00FC02D4">
              <w:rPr>
                <w:rFonts w:ascii="Verdana" w:hAnsi="Verdana"/>
                <w:sz w:val="16"/>
                <w:szCs w:val="16"/>
              </w:rPr>
              <w:t xml:space="preserve"> 2</w:t>
            </w:r>
            <w:r>
              <w:rPr>
                <w:rFonts w:ascii="Verdana" w:hAnsi="Verdana"/>
                <w:sz w:val="16"/>
                <w:szCs w:val="16"/>
              </w:rPr>
              <w:t>4</w:t>
            </w:r>
            <w:r w:rsidRPr="00FC02D4">
              <w:rPr>
                <w:rFonts w:ascii="Verdana" w:hAnsi="Verdana"/>
                <w:sz w:val="16"/>
                <w:szCs w:val="16"/>
              </w:rPr>
              <w:t xml:space="preserve">,000 people and have </w:t>
            </w:r>
            <w:r>
              <w:rPr>
                <w:rFonts w:ascii="Verdana" w:hAnsi="Verdana"/>
                <w:sz w:val="16"/>
                <w:szCs w:val="16"/>
              </w:rPr>
              <w:t xml:space="preserve">millions of </w:t>
            </w:r>
            <w:r w:rsidRPr="00FC02D4">
              <w:rPr>
                <w:rFonts w:ascii="Verdana" w:hAnsi="Verdana"/>
                <w:sz w:val="16"/>
                <w:szCs w:val="16"/>
              </w:rPr>
              <w:t xml:space="preserve">customers across the globe. Further information: </w:t>
            </w:r>
            <w:hyperlink r:id="rId1" w:history="1">
              <w:r w:rsidRPr="00EC56DD">
                <w:rPr>
                  <w:rStyle w:val="Hyperlink"/>
                  <w:rFonts w:ascii="Verdana" w:hAnsi="Verdana"/>
                  <w:szCs w:val="16"/>
                </w:rPr>
                <w:t>aegon.com</w:t>
              </w:r>
            </w:hyperlink>
            <w:r w:rsidRPr="00FC02D4">
              <w:rPr>
                <w:rFonts w:ascii="Verdana" w:hAnsi="Verdana"/>
                <w:sz w:val="16"/>
                <w:szCs w:val="16"/>
              </w:rPr>
              <w:t>.</w:t>
            </w:r>
          </w:p>
        </w:sdtContent>
      </w:sdt>
      <w:p w:rsidR="009C4FD3" w:rsidRPr="00957FAD" w:rsidRDefault="009C4FD3" w:rsidP="00B83666">
        <w:pPr>
          <w:pStyle w:val="Footer"/>
          <w:jc w:val="right"/>
          <w:rPr>
            <w:rFonts w:ascii="Verdana" w:hAnsi="Verdana"/>
            <w:sz w:val="16"/>
            <w:szCs w:val="16"/>
          </w:rPr>
        </w:pPr>
        <w:r w:rsidRPr="00957FAD">
          <w:rPr>
            <w:rFonts w:ascii="Verdana" w:hAnsi="Verdana"/>
            <w:sz w:val="16"/>
            <w:szCs w:val="16"/>
          </w:rPr>
          <w:t xml:space="preserve"> </w:t>
        </w:r>
        <w:r w:rsidR="00EE6840" w:rsidRPr="00957FAD">
          <w:rPr>
            <w:rFonts w:ascii="Verdana" w:hAnsi="Verdana"/>
            <w:sz w:val="16"/>
            <w:szCs w:val="16"/>
          </w:rPr>
          <w:fldChar w:fldCharType="begin"/>
        </w:r>
        <w:r w:rsidRPr="00957FAD">
          <w:rPr>
            <w:rFonts w:ascii="Verdana" w:hAnsi="Verdana"/>
            <w:sz w:val="16"/>
            <w:szCs w:val="16"/>
          </w:rPr>
          <w:instrText xml:space="preserve"> PAGE   \* MERGEFORMAT </w:instrText>
        </w:r>
        <w:r w:rsidR="00EE6840" w:rsidRPr="00957FAD">
          <w:rPr>
            <w:rFonts w:ascii="Verdana" w:hAnsi="Verdana"/>
            <w:sz w:val="16"/>
            <w:szCs w:val="16"/>
          </w:rPr>
          <w:fldChar w:fldCharType="separate"/>
        </w:r>
        <w:r w:rsidR="00EA78D7">
          <w:rPr>
            <w:rFonts w:ascii="Verdana" w:hAnsi="Verdana"/>
            <w:noProof/>
            <w:sz w:val="16"/>
            <w:szCs w:val="16"/>
          </w:rPr>
          <w:t>4</w:t>
        </w:r>
        <w:r w:rsidR="00EE6840" w:rsidRPr="00957FAD">
          <w:rPr>
            <w:rFonts w:ascii="Verdana" w:hAnsi="Verdana"/>
            <w:sz w:val="16"/>
            <w:szCs w:val="16"/>
          </w:rPr>
          <w:fldChar w:fldCharType="end"/>
        </w:r>
      </w:p>
    </w:sdtContent>
  </w:sdt>
  <w:p w:rsidR="009C4FD3" w:rsidRPr="00957FAD" w:rsidRDefault="009C4FD3">
    <w:pPr>
      <w:pStyle w:val="Footer"/>
      <w:rPr>
        <w:rFonts w:ascii="Verdana" w:hAnsi="Verdana"/>
        <w:sz w:val="16"/>
        <w:szCs w:val="16"/>
      </w:rPr>
    </w:pPr>
  </w:p>
  <w:p w:rsidR="009C4FD3" w:rsidRDefault="009C4FD3"/>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Verdana" w:hAnsi="Verdana"/>
        <w:sz w:val="16"/>
        <w:szCs w:val="16"/>
      </w:rPr>
      <w:id w:val="1747696"/>
      <w:docPartObj>
        <w:docPartGallery w:val="Page Numbers (Bottom of Page)"/>
        <w:docPartUnique/>
      </w:docPartObj>
    </w:sdtPr>
    <w:sdtContent>
      <w:p w:rsidR="009C4FD3" w:rsidRPr="00EC56DD" w:rsidRDefault="009C4FD3">
        <w:pPr>
          <w:pStyle w:val="Footer"/>
          <w:jc w:val="right"/>
          <w:rPr>
            <w:rFonts w:ascii="Verdana" w:hAnsi="Verdana"/>
            <w:sz w:val="16"/>
            <w:szCs w:val="16"/>
          </w:rPr>
        </w:pPr>
      </w:p>
      <w:p w:rsidR="009C4FD3" w:rsidRPr="00BE6A6E" w:rsidRDefault="009C4FD3" w:rsidP="00957FAD">
        <w:pPr>
          <w:rPr>
            <w:rFonts w:ascii="Verdana" w:hAnsi="Verdana"/>
            <w:sz w:val="16"/>
            <w:szCs w:val="16"/>
          </w:rPr>
        </w:pPr>
        <w:r w:rsidRPr="00BE6A6E">
          <w:rPr>
            <w:rFonts w:ascii="Verdana" w:hAnsi="Verdana"/>
            <w:color w:val="005CAE"/>
            <w:sz w:val="16"/>
            <w:szCs w:val="16"/>
          </w:rPr>
          <w:t>A</w:t>
        </w:r>
        <w:r>
          <w:rPr>
            <w:rFonts w:ascii="Verdana" w:hAnsi="Verdana"/>
            <w:color w:val="005CAE"/>
            <w:sz w:val="16"/>
            <w:szCs w:val="16"/>
          </w:rPr>
          <w:t>BOUT AEGON</w:t>
        </w:r>
        <w:r>
          <w:rPr>
            <w:rFonts w:ascii="Verdana" w:hAnsi="Verdana"/>
            <w:color w:val="005CAE"/>
            <w:sz w:val="16"/>
            <w:szCs w:val="16"/>
          </w:rPr>
          <w:br/>
        </w:r>
        <w:r w:rsidRPr="00BE6A6E">
          <w:rPr>
            <w:rFonts w:ascii="Verdana" w:hAnsi="Verdana"/>
            <w:sz w:val="16"/>
            <w:szCs w:val="16"/>
          </w:rPr>
          <w:t>As an international</w:t>
        </w:r>
        <w:r>
          <w:rPr>
            <w:rFonts w:ascii="Verdana" w:hAnsi="Verdana"/>
            <w:sz w:val="16"/>
            <w:szCs w:val="16"/>
          </w:rPr>
          <w:t xml:space="preserve"> life</w:t>
        </w:r>
        <w:r w:rsidRPr="00BE6A6E">
          <w:rPr>
            <w:rFonts w:ascii="Verdana" w:hAnsi="Verdana"/>
            <w:sz w:val="16"/>
            <w:szCs w:val="16"/>
          </w:rPr>
          <w:t xml:space="preserve"> insurance, pensions and asset manageme</w:t>
        </w:r>
        <w:r>
          <w:rPr>
            <w:rFonts w:ascii="Verdana" w:hAnsi="Verdana"/>
            <w:sz w:val="16"/>
            <w:szCs w:val="16"/>
          </w:rPr>
          <w:t>nt company based in The Hague, Aegon</w:t>
        </w:r>
        <w:r w:rsidRPr="00BE6A6E">
          <w:rPr>
            <w:rFonts w:ascii="Verdana" w:hAnsi="Verdana"/>
            <w:sz w:val="16"/>
            <w:szCs w:val="16"/>
          </w:rPr>
          <w:t xml:space="preserve"> has businesses in over twenty markets in the Americas, </w:t>
        </w:r>
        <w:r w:rsidRPr="00FC02D4">
          <w:rPr>
            <w:rFonts w:ascii="Verdana" w:hAnsi="Verdana"/>
            <w:sz w:val="16"/>
            <w:szCs w:val="16"/>
          </w:rPr>
          <w:t xml:space="preserve">Europe and Asia. </w:t>
        </w:r>
        <w:r>
          <w:rPr>
            <w:rFonts w:ascii="Verdana" w:hAnsi="Verdana"/>
            <w:sz w:val="16"/>
            <w:szCs w:val="16"/>
          </w:rPr>
          <w:t>Aegon</w:t>
        </w:r>
        <w:r w:rsidRPr="00FC02D4">
          <w:rPr>
            <w:rFonts w:ascii="Verdana" w:hAnsi="Verdana"/>
            <w:sz w:val="16"/>
            <w:szCs w:val="16"/>
          </w:rPr>
          <w:t xml:space="preserve"> companies employ </w:t>
        </w:r>
        <w:r>
          <w:rPr>
            <w:rFonts w:ascii="Verdana" w:hAnsi="Verdana"/>
            <w:sz w:val="16"/>
            <w:szCs w:val="16"/>
          </w:rPr>
          <w:t>approximately</w:t>
        </w:r>
        <w:r w:rsidRPr="00FC02D4">
          <w:rPr>
            <w:rFonts w:ascii="Verdana" w:hAnsi="Verdana"/>
            <w:sz w:val="16"/>
            <w:szCs w:val="16"/>
          </w:rPr>
          <w:t xml:space="preserve"> 25,000 people and have nearly 47 million customers across the globe. Further information: </w:t>
        </w:r>
        <w:hyperlink r:id="rId1" w:history="1">
          <w:r w:rsidRPr="00EC56DD">
            <w:rPr>
              <w:rStyle w:val="Hyperlink"/>
              <w:rFonts w:ascii="Verdana" w:hAnsi="Verdana"/>
              <w:szCs w:val="16"/>
            </w:rPr>
            <w:t>aegon.com</w:t>
          </w:r>
        </w:hyperlink>
        <w:r w:rsidRPr="00FC02D4">
          <w:rPr>
            <w:rFonts w:ascii="Verdana" w:hAnsi="Verdana"/>
            <w:sz w:val="16"/>
            <w:szCs w:val="16"/>
          </w:rPr>
          <w:t>.</w:t>
        </w:r>
      </w:p>
      <w:p w:rsidR="009C4FD3" w:rsidRPr="006E5DD8" w:rsidRDefault="00EE6840" w:rsidP="00741D2F">
        <w:pPr>
          <w:pStyle w:val="Footer"/>
          <w:jc w:val="right"/>
          <w:rPr>
            <w:rFonts w:ascii="Verdana" w:hAnsi="Verdana"/>
            <w:sz w:val="16"/>
            <w:szCs w:val="16"/>
          </w:rP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FD3" w:rsidRDefault="009C4FD3" w:rsidP="00BD73BC">
      <w:pPr>
        <w:spacing w:after="0" w:line="240" w:lineRule="auto"/>
      </w:pPr>
      <w:r>
        <w:separator/>
      </w:r>
    </w:p>
  </w:footnote>
  <w:footnote w:type="continuationSeparator" w:id="0">
    <w:p w:rsidR="009C4FD3" w:rsidRDefault="009C4FD3" w:rsidP="00BD73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FD3" w:rsidRDefault="009C4FD3" w:rsidP="001B3534">
    <w:pPr>
      <w:pStyle w:val="Header"/>
      <w:ind w:left="-567"/>
    </w:pPr>
    <w:r w:rsidRPr="006302EC">
      <w:rPr>
        <w:noProof/>
        <w:lang w:val="nl-NL" w:eastAsia="nl-NL"/>
      </w:rPr>
      <w:drawing>
        <wp:inline distT="0" distB="0" distL="0" distR="0">
          <wp:extent cx="5886450" cy="656969"/>
          <wp:effectExtent l="19050" t="0" r="0" b="0"/>
          <wp:docPr id="2" name="Picture 0" descr="20120625 - banner with thin lin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 banner with thin line .jpg"/>
                  <pic:cNvPicPr/>
                </pic:nvPicPr>
                <pic:blipFill>
                  <a:blip r:embed="rId1"/>
                  <a:stretch>
                    <a:fillRect/>
                  </a:stretch>
                </pic:blipFill>
                <pic:spPr>
                  <a:xfrm>
                    <a:off x="0" y="0"/>
                    <a:ext cx="5886450" cy="656969"/>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FD3" w:rsidRDefault="009C4FD3" w:rsidP="001459EA">
    <w:pPr>
      <w:pStyle w:val="Header"/>
      <w:ind w:left="-540"/>
    </w:pPr>
    <w:r>
      <w:rPr>
        <w:noProof/>
        <w:lang w:val="nl-NL" w:eastAsia="nl-NL"/>
      </w:rPr>
      <w:drawing>
        <wp:inline distT="0" distB="0" distL="0" distR="0">
          <wp:extent cx="6227191" cy="694998"/>
          <wp:effectExtent l="19050" t="0" r="2159" b="0"/>
          <wp:docPr id="1" name="Picture 0" descr="20120625 - banner with thin lin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 banner with thin line .jpg"/>
                  <pic:cNvPicPr/>
                </pic:nvPicPr>
                <pic:blipFill>
                  <a:blip r:embed="rId1"/>
                  <a:stretch>
                    <a:fillRect/>
                  </a:stretch>
                </pic:blipFill>
                <pic:spPr>
                  <a:xfrm>
                    <a:off x="0" y="0"/>
                    <a:ext cx="6227191" cy="694998"/>
                  </a:xfrm>
                  <a:prstGeom prst="rect">
                    <a:avLst/>
                  </a:prstGeom>
                </pic:spPr>
              </pic:pic>
            </a:graphicData>
          </a:graphic>
        </wp:inline>
      </w:drawing>
    </w:r>
  </w:p>
  <w:p w:rsidR="009C4FD3" w:rsidRPr="00E25C92" w:rsidRDefault="009C4FD3" w:rsidP="00D11ACA">
    <w:pPr>
      <w:pStyle w:val="Header"/>
      <w:tabs>
        <w:tab w:val="clear" w:pos="8640"/>
        <w:tab w:val="right" w:pos="9270"/>
      </w:tabs>
      <w:rPr>
        <w:rFonts w:ascii="Verdana" w:hAnsi="Verdana"/>
        <w:sz w:val="36"/>
        <w:szCs w:val="36"/>
      </w:rPr>
    </w:pPr>
    <w:r>
      <w:rPr>
        <w:rFonts w:ascii="Verdana" w:hAnsi="Verdana"/>
        <w:sz w:val="36"/>
        <w:szCs w:val="36"/>
      </w:rPr>
      <w:tab/>
    </w:r>
    <w:r>
      <w:rPr>
        <w:rFonts w:ascii="Verdana" w:hAnsi="Verdana"/>
        <w:sz w:val="36"/>
        <w:szCs w:val="36"/>
      </w:rPr>
      <w:tab/>
      <w:t xml:space="preserve">   </w:t>
    </w:r>
    <w:r>
      <w:rPr>
        <w:rFonts w:ascii="Verdana" w:hAnsi="Verdana"/>
        <w:noProof/>
        <w:sz w:val="36"/>
        <w:szCs w:val="36"/>
        <w:lang w:val="nl-NL" w:eastAsia="nl-NL"/>
      </w:rPr>
      <w:drawing>
        <wp:inline distT="0" distB="0" distL="0" distR="0">
          <wp:extent cx="2066925" cy="459317"/>
          <wp:effectExtent l="19050" t="0" r="9525" b="0"/>
          <wp:docPr id="5" name="Picture 4" descr="Press releas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 release .jpg"/>
                  <pic:cNvPicPr/>
                </pic:nvPicPr>
                <pic:blipFill>
                  <a:blip r:embed="rId2"/>
                  <a:stretch>
                    <a:fillRect/>
                  </a:stretch>
                </pic:blipFill>
                <pic:spPr>
                  <a:xfrm>
                    <a:off x="0" y="0"/>
                    <a:ext cx="2066925" cy="459317"/>
                  </a:xfrm>
                  <a:prstGeom prst="rect">
                    <a:avLst/>
                  </a:prstGeom>
                </pic:spPr>
              </pic:pic>
            </a:graphicData>
          </a:graphic>
        </wp:inline>
      </w:drawing>
    </w:r>
  </w:p>
  <w:p w:rsidR="009C4FD3" w:rsidRDefault="009C4FD3" w:rsidP="00E25C92">
    <w:pPr>
      <w:pStyle w:val="Header"/>
      <w:tabs>
        <w:tab w:val="clear" w:pos="8640"/>
        <w:tab w:val="right" w:pos="9270"/>
      </w:tabs>
      <w:jc w:val="right"/>
      <w:rPr>
        <w:rFonts w:ascii="Verdana" w:hAnsi="Verdana"/>
        <w:sz w:val="18"/>
        <w:szCs w:val="18"/>
      </w:rPr>
    </w:pPr>
  </w:p>
  <w:p w:rsidR="009C4FD3" w:rsidRPr="00E25C92" w:rsidRDefault="009C4FD3" w:rsidP="00E25C92">
    <w:pPr>
      <w:pStyle w:val="Header"/>
      <w:tabs>
        <w:tab w:val="clear" w:pos="8640"/>
        <w:tab w:val="right" w:pos="9270"/>
      </w:tabs>
      <w:ind w:right="360"/>
      <w:rPr>
        <w:rFonts w:ascii="Verdana" w:hAnsi="Verdana"/>
        <w:sz w:val="18"/>
        <w:szCs w:val="18"/>
      </w:rPr>
    </w:pPr>
    <w:r>
      <w:rPr>
        <w:rFonts w:ascii="Verdana" w:hAnsi="Verdana"/>
        <w:sz w:val="18"/>
        <w:szCs w:val="18"/>
      </w:rPr>
      <w:tab/>
    </w:r>
    <w:r>
      <w:rPr>
        <w:rFonts w:ascii="Verdana" w:hAnsi="Verdana"/>
        <w:sz w:val="18"/>
        <w:szCs w:val="18"/>
      </w:rPr>
      <w:tab/>
    </w:r>
    <w:r w:rsidRPr="00AF3C39">
      <w:rPr>
        <w:rFonts w:ascii="Verdana" w:hAnsi="Verdana"/>
        <w:sz w:val="18"/>
        <w:szCs w:val="18"/>
      </w:rPr>
      <w:t xml:space="preserve">The Hague – </w:t>
    </w:r>
    <w:r w:rsidRPr="00A762F5">
      <w:rPr>
        <w:rFonts w:ascii="Verdana" w:hAnsi="Verdana"/>
        <w:sz w:val="18"/>
        <w:szCs w:val="18"/>
      </w:rPr>
      <w:t xml:space="preserve">February </w:t>
    </w:r>
    <w:r w:rsidRPr="00855D0B">
      <w:rPr>
        <w:rFonts w:ascii="Verdana" w:hAnsi="Verdana"/>
        <w:sz w:val="18"/>
        <w:szCs w:val="18"/>
      </w:rPr>
      <w:t>15</w:t>
    </w:r>
    <w:r w:rsidRPr="001C3797">
      <w:rPr>
        <w:rFonts w:ascii="Verdana" w:hAnsi="Verdana"/>
        <w:sz w:val="18"/>
        <w:szCs w:val="18"/>
      </w:rPr>
      <w:t>, 201</w:t>
    </w:r>
    <w:r>
      <w:rPr>
        <w:rFonts w:ascii="Verdana" w:hAnsi="Verdana"/>
        <w:sz w:val="18"/>
        <w:szCs w:val="18"/>
      </w:rPr>
      <w:t>3</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8D7" w:rsidRDefault="00EA78D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FD3" w:rsidRPr="00B83666" w:rsidRDefault="009C4FD3" w:rsidP="00B83666">
    <w:pPr>
      <w:pStyle w:val="Header"/>
      <w:ind w:left="-540"/>
    </w:pPr>
    <w:r>
      <w:rPr>
        <w:noProof/>
        <w:lang w:val="nl-NL" w:eastAsia="nl-NL"/>
      </w:rPr>
      <w:drawing>
        <wp:inline distT="0" distB="0" distL="0" distR="0">
          <wp:extent cx="6227191" cy="694998"/>
          <wp:effectExtent l="19050" t="0" r="2159" b="0"/>
          <wp:docPr id="3" name="Picture 0" descr="20120625 - banner with thin lin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 banner with thin line .jpg"/>
                  <pic:cNvPicPr/>
                </pic:nvPicPr>
                <pic:blipFill>
                  <a:blip r:embed="rId1"/>
                  <a:stretch>
                    <a:fillRect/>
                  </a:stretch>
                </pic:blipFill>
                <pic:spPr>
                  <a:xfrm>
                    <a:off x="0" y="0"/>
                    <a:ext cx="6227191" cy="694998"/>
                  </a:xfrm>
                  <a:prstGeom prst="rect">
                    <a:avLst/>
                  </a:prstGeom>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FD3" w:rsidRDefault="009C4FD3" w:rsidP="001459EA">
    <w:pPr>
      <w:pStyle w:val="Header"/>
      <w:ind w:left="-540"/>
    </w:pPr>
    <w:r>
      <w:rPr>
        <w:noProof/>
        <w:lang w:val="nl-NL" w:eastAsia="nl-NL"/>
      </w:rPr>
      <w:drawing>
        <wp:inline distT="0" distB="0" distL="0" distR="0">
          <wp:extent cx="6227191" cy="694998"/>
          <wp:effectExtent l="19050" t="0" r="2159" b="0"/>
          <wp:docPr id="6" name="Picture 0" descr="20120625 - banner with thin lin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 banner with thin line .jpg"/>
                  <pic:cNvPicPr/>
                </pic:nvPicPr>
                <pic:blipFill>
                  <a:blip r:embed="rId1"/>
                  <a:stretch>
                    <a:fillRect/>
                  </a:stretch>
                </pic:blipFill>
                <pic:spPr>
                  <a:xfrm>
                    <a:off x="0" y="0"/>
                    <a:ext cx="6227191" cy="694998"/>
                  </a:xfrm>
                  <a:prstGeom prst="rect">
                    <a:avLst/>
                  </a:prstGeom>
                </pic:spPr>
              </pic:pic>
            </a:graphicData>
          </a:graphic>
        </wp:inline>
      </w:drawing>
    </w:r>
  </w:p>
  <w:p w:rsidR="009C4FD3" w:rsidRPr="00E25C92" w:rsidRDefault="009C4FD3" w:rsidP="00957FAD">
    <w:pPr>
      <w:pStyle w:val="Header"/>
      <w:tabs>
        <w:tab w:val="clear" w:pos="8640"/>
        <w:tab w:val="right" w:pos="9270"/>
      </w:tabs>
      <w:rPr>
        <w:rFonts w:ascii="Verdana" w:hAnsi="Verdana"/>
        <w:sz w:val="18"/>
        <w:szCs w:val="18"/>
      </w:rPr>
    </w:pPr>
    <w:r>
      <w:rPr>
        <w:rFonts w:ascii="Verdana" w:hAnsi="Verdana"/>
        <w:sz w:val="36"/>
        <w:szCs w:val="36"/>
      </w:rPr>
      <w:tab/>
    </w:r>
    <w:r>
      <w:rPr>
        <w:rFonts w:ascii="Verdana" w:hAnsi="Verdana"/>
        <w:sz w:val="36"/>
        <w:szCs w:val="36"/>
      </w:rP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46D40"/>
    <w:multiLevelType w:val="hybridMultilevel"/>
    <w:tmpl w:val="DC96DF58"/>
    <w:lvl w:ilvl="0" w:tplc="F16441C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75109B"/>
    <w:multiLevelType w:val="hybridMultilevel"/>
    <w:tmpl w:val="58C29AB0"/>
    <w:lvl w:ilvl="0" w:tplc="61A0D394">
      <w:numFmt w:val="bullet"/>
      <w:lvlText w:val=""/>
      <w:lvlJc w:val="left"/>
      <w:pPr>
        <w:ind w:left="720" w:hanging="360"/>
      </w:pPr>
      <w:rPr>
        <w:rFonts w:ascii="Symbol" w:hAnsi="Symbol" w:cs="Wingdings 2" w:hint="default"/>
        <w:b w:val="0"/>
        <w:i w:val="0"/>
        <w:color w:val="0070C0"/>
        <w:sz w:val="14"/>
        <w:szCs w:val="1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9580893"/>
    <w:multiLevelType w:val="hybridMultilevel"/>
    <w:tmpl w:val="27B8131C"/>
    <w:lvl w:ilvl="0" w:tplc="F16441CE">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C0C7A92"/>
    <w:multiLevelType w:val="hybridMultilevel"/>
    <w:tmpl w:val="0930C81C"/>
    <w:lvl w:ilvl="0" w:tplc="20B8A56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6422A6"/>
    <w:multiLevelType w:val="hybridMultilevel"/>
    <w:tmpl w:val="CA00E3B6"/>
    <w:lvl w:ilvl="0" w:tplc="C0E20E78">
      <w:start w:val="1"/>
      <w:numFmt w:val="bullet"/>
      <w:lvlText w:val="–"/>
      <w:lvlJc w:val="left"/>
      <w:pPr>
        <w:ind w:left="720" w:hanging="360"/>
      </w:pPr>
      <w:rPr>
        <w:rFonts w:ascii="Arial" w:hAnsi="Arial" w:cs="Times New Roman" w:hint="default"/>
      </w:rPr>
    </w:lvl>
    <w:lvl w:ilvl="1" w:tplc="04130003">
      <w:start w:val="1"/>
      <w:numFmt w:val="decimal"/>
      <w:lvlText w:val="%2."/>
      <w:lvlJc w:val="left"/>
      <w:pPr>
        <w:tabs>
          <w:tab w:val="num" w:pos="1440"/>
        </w:tabs>
        <w:ind w:left="1440" w:hanging="360"/>
      </w:p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nsid w:val="3BC24E07"/>
    <w:multiLevelType w:val="hybridMultilevel"/>
    <w:tmpl w:val="2BEA25B6"/>
    <w:lvl w:ilvl="0" w:tplc="20B8A560">
      <w:start w:val="1"/>
      <w:numFmt w:val="bullet"/>
      <w:lvlText w:val=""/>
      <w:lvlJc w:val="left"/>
      <w:pPr>
        <w:ind w:left="720" w:hanging="360"/>
      </w:pPr>
      <w:rPr>
        <w:rFonts w:ascii="Wingdings" w:hAnsi="Wingdings" w:hint="default"/>
        <w:color w:val="0070C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FEA5A12"/>
    <w:multiLevelType w:val="hybridMultilevel"/>
    <w:tmpl w:val="ADAC2D2A"/>
    <w:lvl w:ilvl="0" w:tplc="BF163CCC">
      <w:start w:val="1"/>
      <w:numFmt w:val="bullet"/>
      <w:lvlText w:val="o"/>
      <w:lvlJc w:val="left"/>
      <w:pPr>
        <w:ind w:left="720" w:hanging="360"/>
      </w:pPr>
      <w:rPr>
        <w:rFonts w:ascii="Courier New" w:hAnsi="Courier New" w:cs="Times New Roman" w:hint="default"/>
        <w:color w:val="0070C0"/>
      </w:rPr>
    </w:lvl>
    <w:lvl w:ilvl="1" w:tplc="04130003">
      <w:start w:val="1"/>
      <w:numFmt w:val="decimal"/>
      <w:lvlText w:val="%2."/>
      <w:lvlJc w:val="left"/>
      <w:pPr>
        <w:tabs>
          <w:tab w:val="num" w:pos="1440"/>
        </w:tabs>
        <w:ind w:left="1440" w:hanging="360"/>
      </w:p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7">
    <w:nsid w:val="60783919"/>
    <w:multiLevelType w:val="hybridMultilevel"/>
    <w:tmpl w:val="1E4E0134"/>
    <w:lvl w:ilvl="0" w:tplc="01BCE7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6"/>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num>
  <w:num w:numId="8">
    <w:abstractNumId w:val="2"/>
  </w:num>
  <w:num w:numId="9">
    <w:abstractNumId w:val="0"/>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8"/>
  <w:proofState w:spelling="clean"/>
  <w:defaultTabStop w:val="720"/>
  <w:hyphenationZone w:val="425"/>
  <w:evenAndOddHeaders/>
  <w:drawingGridHorizontalSpacing w:val="110"/>
  <w:displayHorizontalDrawingGridEvery w:val="2"/>
  <w:characterSpacingControl w:val="doNotCompress"/>
  <w:hdrShapeDefaults>
    <o:shapedefaults v:ext="edit" spidmax="64513">
      <o:colormenu v:ext="edit" strokecolor="red"/>
    </o:shapedefaults>
  </w:hdrShapeDefaults>
  <w:footnotePr>
    <w:footnote w:id="-1"/>
    <w:footnote w:id="0"/>
  </w:footnotePr>
  <w:endnotePr>
    <w:endnote w:id="-1"/>
    <w:endnote w:id="0"/>
  </w:endnotePr>
  <w:compat>
    <w:useFELayout/>
  </w:compat>
  <w:rsids>
    <w:rsidRoot w:val="00BD73BC"/>
    <w:rsid w:val="00017DF9"/>
    <w:rsid w:val="00035F96"/>
    <w:rsid w:val="00037B5C"/>
    <w:rsid w:val="00051AE0"/>
    <w:rsid w:val="000711EF"/>
    <w:rsid w:val="00080501"/>
    <w:rsid w:val="000853D8"/>
    <w:rsid w:val="000914DA"/>
    <w:rsid w:val="0009151B"/>
    <w:rsid w:val="000A1D70"/>
    <w:rsid w:val="000C33B3"/>
    <w:rsid w:val="000C6992"/>
    <w:rsid w:val="000E4415"/>
    <w:rsid w:val="000E67F9"/>
    <w:rsid w:val="000F4C1A"/>
    <w:rsid w:val="0010555C"/>
    <w:rsid w:val="00132358"/>
    <w:rsid w:val="00140E07"/>
    <w:rsid w:val="00141E2D"/>
    <w:rsid w:val="001459EA"/>
    <w:rsid w:val="00147BF6"/>
    <w:rsid w:val="00161891"/>
    <w:rsid w:val="001639E4"/>
    <w:rsid w:val="0019788B"/>
    <w:rsid w:val="001B0907"/>
    <w:rsid w:val="001B3534"/>
    <w:rsid w:val="001C0107"/>
    <w:rsid w:val="001C3797"/>
    <w:rsid w:val="001C3A0C"/>
    <w:rsid w:val="001C693F"/>
    <w:rsid w:val="001E04BE"/>
    <w:rsid w:val="001E5453"/>
    <w:rsid w:val="001E576A"/>
    <w:rsid w:val="0021363A"/>
    <w:rsid w:val="002147AC"/>
    <w:rsid w:val="00215E74"/>
    <w:rsid w:val="00222DC5"/>
    <w:rsid w:val="00224767"/>
    <w:rsid w:val="00226CD6"/>
    <w:rsid w:val="0023526E"/>
    <w:rsid w:val="002435BC"/>
    <w:rsid w:val="00244C4E"/>
    <w:rsid w:val="002466B7"/>
    <w:rsid w:val="0025485C"/>
    <w:rsid w:val="00262EC3"/>
    <w:rsid w:val="002863A6"/>
    <w:rsid w:val="00291651"/>
    <w:rsid w:val="00291E45"/>
    <w:rsid w:val="002A47DE"/>
    <w:rsid w:val="002C07B6"/>
    <w:rsid w:val="002C4D12"/>
    <w:rsid w:val="002E691D"/>
    <w:rsid w:val="002F18F0"/>
    <w:rsid w:val="002F229F"/>
    <w:rsid w:val="002F4BAF"/>
    <w:rsid w:val="00307E87"/>
    <w:rsid w:val="00316304"/>
    <w:rsid w:val="00335104"/>
    <w:rsid w:val="003406F1"/>
    <w:rsid w:val="00340D9D"/>
    <w:rsid w:val="003415FC"/>
    <w:rsid w:val="00346230"/>
    <w:rsid w:val="003638F4"/>
    <w:rsid w:val="00367FC2"/>
    <w:rsid w:val="00382991"/>
    <w:rsid w:val="0038465A"/>
    <w:rsid w:val="00391358"/>
    <w:rsid w:val="00395B1C"/>
    <w:rsid w:val="003A683A"/>
    <w:rsid w:val="003B0B9F"/>
    <w:rsid w:val="003B31B0"/>
    <w:rsid w:val="003B412B"/>
    <w:rsid w:val="003B7137"/>
    <w:rsid w:val="003D7E75"/>
    <w:rsid w:val="003F2567"/>
    <w:rsid w:val="00411AC1"/>
    <w:rsid w:val="00414496"/>
    <w:rsid w:val="00420A5F"/>
    <w:rsid w:val="00420C85"/>
    <w:rsid w:val="00436311"/>
    <w:rsid w:val="00446273"/>
    <w:rsid w:val="00447E25"/>
    <w:rsid w:val="00461DD7"/>
    <w:rsid w:val="00463112"/>
    <w:rsid w:val="004670BB"/>
    <w:rsid w:val="00470422"/>
    <w:rsid w:val="00472F55"/>
    <w:rsid w:val="0048310A"/>
    <w:rsid w:val="00492942"/>
    <w:rsid w:val="00493E05"/>
    <w:rsid w:val="004A0B87"/>
    <w:rsid w:val="004A5474"/>
    <w:rsid w:val="004A6F0C"/>
    <w:rsid w:val="004B284A"/>
    <w:rsid w:val="004B2C07"/>
    <w:rsid w:val="004B3C45"/>
    <w:rsid w:val="004B7AEA"/>
    <w:rsid w:val="004C6AD7"/>
    <w:rsid w:val="004D41E1"/>
    <w:rsid w:val="004E1240"/>
    <w:rsid w:val="004E5370"/>
    <w:rsid w:val="004F557D"/>
    <w:rsid w:val="005019DE"/>
    <w:rsid w:val="00503719"/>
    <w:rsid w:val="00503D19"/>
    <w:rsid w:val="00514852"/>
    <w:rsid w:val="005255C9"/>
    <w:rsid w:val="00542659"/>
    <w:rsid w:val="0054324C"/>
    <w:rsid w:val="00570D9A"/>
    <w:rsid w:val="00572599"/>
    <w:rsid w:val="005765AF"/>
    <w:rsid w:val="005A2680"/>
    <w:rsid w:val="005B524E"/>
    <w:rsid w:val="005C32F7"/>
    <w:rsid w:val="005C42D6"/>
    <w:rsid w:val="005D4FFA"/>
    <w:rsid w:val="005E149E"/>
    <w:rsid w:val="005E76C5"/>
    <w:rsid w:val="005F0A91"/>
    <w:rsid w:val="005F753B"/>
    <w:rsid w:val="006055CB"/>
    <w:rsid w:val="00607BF1"/>
    <w:rsid w:val="006244D6"/>
    <w:rsid w:val="00625DD6"/>
    <w:rsid w:val="006302EC"/>
    <w:rsid w:val="00634D6D"/>
    <w:rsid w:val="00671E00"/>
    <w:rsid w:val="00677F63"/>
    <w:rsid w:val="00680C71"/>
    <w:rsid w:val="006958E8"/>
    <w:rsid w:val="00696953"/>
    <w:rsid w:val="006A3102"/>
    <w:rsid w:val="006A4906"/>
    <w:rsid w:val="006A70F9"/>
    <w:rsid w:val="006B38CD"/>
    <w:rsid w:val="006B3FE5"/>
    <w:rsid w:val="006B6F3B"/>
    <w:rsid w:val="006B7F02"/>
    <w:rsid w:val="006C650E"/>
    <w:rsid w:val="006C6C6D"/>
    <w:rsid w:val="006D47AF"/>
    <w:rsid w:val="006E5DD8"/>
    <w:rsid w:val="006E5F8D"/>
    <w:rsid w:val="006F19F7"/>
    <w:rsid w:val="00715F15"/>
    <w:rsid w:val="00731F00"/>
    <w:rsid w:val="0073252B"/>
    <w:rsid w:val="00741D2F"/>
    <w:rsid w:val="00743053"/>
    <w:rsid w:val="00750FFB"/>
    <w:rsid w:val="00761225"/>
    <w:rsid w:val="0077169D"/>
    <w:rsid w:val="0077321C"/>
    <w:rsid w:val="00786627"/>
    <w:rsid w:val="007B3A4E"/>
    <w:rsid w:val="007B50D4"/>
    <w:rsid w:val="007B5D26"/>
    <w:rsid w:val="007B6FE3"/>
    <w:rsid w:val="007C006A"/>
    <w:rsid w:val="007C193A"/>
    <w:rsid w:val="007C42EC"/>
    <w:rsid w:val="007F17D7"/>
    <w:rsid w:val="007F39F0"/>
    <w:rsid w:val="0080343C"/>
    <w:rsid w:val="0083767A"/>
    <w:rsid w:val="00844812"/>
    <w:rsid w:val="0085110C"/>
    <w:rsid w:val="00855D0B"/>
    <w:rsid w:val="008675CA"/>
    <w:rsid w:val="00872D25"/>
    <w:rsid w:val="008731D7"/>
    <w:rsid w:val="00880416"/>
    <w:rsid w:val="008847C7"/>
    <w:rsid w:val="008A6EBA"/>
    <w:rsid w:val="008B1B01"/>
    <w:rsid w:val="008B58CD"/>
    <w:rsid w:val="008C6194"/>
    <w:rsid w:val="008E7076"/>
    <w:rsid w:val="008E715F"/>
    <w:rsid w:val="008F50A5"/>
    <w:rsid w:val="00900433"/>
    <w:rsid w:val="00900D6A"/>
    <w:rsid w:val="009203EE"/>
    <w:rsid w:val="009274ED"/>
    <w:rsid w:val="00930F97"/>
    <w:rsid w:val="009346C0"/>
    <w:rsid w:val="00940766"/>
    <w:rsid w:val="0094141E"/>
    <w:rsid w:val="00947C71"/>
    <w:rsid w:val="009527BE"/>
    <w:rsid w:val="00957FAD"/>
    <w:rsid w:val="00967E01"/>
    <w:rsid w:val="00970CF0"/>
    <w:rsid w:val="009713F9"/>
    <w:rsid w:val="00973A1A"/>
    <w:rsid w:val="00977FEB"/>
    <w:rsid w:val="00980282"/>
    <w:rsid w:val="00981A93"/>
    <w:rsid w:val="0099287B"/>
    <w:rsid w:val="00992F2B"/>
    <w:rsid w:val="009A1DC2"/>
    <w:rsid w:val="009A4816"/>
    <w:rsid w:val="009B5789"/>
    <w:rsid w:val="009C23A7"/>
    <w:rsid w:val="009C4FD3"/>
    <w:rsid w:val="009E1EFD"/>
    <w:rsid w:val="009F3C99"/>
    <w:rsid w:val="009F43A8"/>
    <w:rsid w:val="00A02CBF"/>
    <w:rsid w:val="00A06C6B"/>
    <w:rsid w:val="00A15C1F"/>
    <w:rsid w:val="00A221AA"/>
    <w:rsid w:val="00A243E2"/>
    <w:rsid w:val="00A31A83"/>
    <w:rsid w:val="00A341B7"/>
    <w:rsid w:val="00A34A25"/>
    <w:rsid w:val="00A54908"/>
    <w:rsid w:val="00A62C3F"/>
    <w:rsid w:val="00A64B83"/>
    <w:rsid w:val="00A762F5"/>
    <w:rsid w:val="00A900E4"/>
    <w:rsid w:val="00A95EE0"/>
    <w:rsid w:val="00AA4525"/>
    <w:rsid w:val="00AB52FF"/>
    <w:rsid w:val="00AB5A63"/>
    <w:rsid w:val="00AC4913"/>
    <w:rsid w:val="00AC6524"/>
    <w:rsid w:val="00AC7AF9"/>
    <w:rsid w:val="00AD29C9"/>
    <w:rsid w:val="00AD5233"/>
    <w:rsid w:val="00AE1900"/>
    <w:rsid w:val="00AF1418"/>
    <w:rsid w:val="00AF3C39"/>
    <w:rsid w:val="00B0257E"/>
    <w:rsid w:val="00B14D71"/>
    <w:rsid w:val="00B21598"/>
    <w:rsid w:val="00B24ADE"/>
    <w:rsid w:val="00B42268"/>
    <w:rsid w:val="00B42F0B"/>
    <w:rsid w:val="00B45FFC"/>
    <w:rsid w:val="00B83666"/>
    <w:rsid w:val="00B9159B"/>
    <w:rsid w:val="00BA2395"/>
    <w:rsid w:val="00BA442D"/>
    <w:rsid w:val="00BC0DA3"/>
    <w:rsid w:val="00BC6897"/>
    <w:rsid w:val="00BD3080"/>
    <w:rsid w:val="00BD73BC"/>
    <w:rsid w:val="00BE1EB9"/>
    <w:rsid w:val="00BE3E6E"/>
    <w:rsid w:val="00BE6A6E"/>
    <w:rsid w:val="00BE7574"/>
    <w:rsid w:val="00BF45ED"/>
    <w:rsid w:val="00C10E5C"/>
    <w:rsid w:val="00C12D03"/>
    <w:rsid w:val="00C179EA"/>
    <w:rsid w:val="00C20475"/>
    <w:rsid w:val="00C245E3"/>
    <w:rsid w:val="00C2710C"/>
    <w:rsid w:val="00C343E4"/>
    <w:rsid w:val="00C345E5"/>
    <w:rsid w:val="00C44E2E"/>
    <w:rsid w:val="00C4729F"/>
    <w:rsid w:val="00C525AC"/>
    <w:rsid w:val="00C542FE"/>
    <w:rsid w:val="00C63907"/>
    <w:rsid w:val="00C747C0"/>
    <w:rsid w:val="00CA27EC"/>
    <w:rsid w:val="00CA7AB0"/>
    <w:rsid w:val="00CB0034"/>
    <w:rsid w:val="00CC69AC"/>
    <w:rsid w:val="00CD0FBF"/>
    <w:rsid w:val="00CE08E4"/>
    <w:rsid w:val="00CE4FEC"/>
    <w:rsid w:val="00D008BB"/>
    <w:rsid w:val="00D0269D"/>
    <w:rsid w:val="00D11ACA"/>
    <w:rsid w:val="00D150EA"/>
    <w:rsid w:val="00D2658B"/>
    <w:rsid w:val="00D328FF"/>
    <w:rsid w:val="00D66C77"/>
    <w:rsid w:val="00D74D4D"/>
    <w:rsid w:val="00D8007C"/>
    <w:rsid w:val="00D932AB"/>
    <w:rsid w:val="00D93468"/>
    <w:rsid w:val="00DA14F4"/>
    <w:rsid w:val="00DB297A"/>
    <w:rsid w:val="00DB4A74"/>
    <w:rsid w:val="00DB73C5"/>
    <w:rsid w:val="00DD6E0C"/>
    <w:rsid w:val="00E072F2"/>
    <w:rsid w:val="00E11828"/>
    <w:rsid w:val="00E12125"/>
    <w:rsid w:val="00E21018"/>
    <w:rsid w:val="00E25C92"/>
    <w:rsid w:val="00E313FE"/>
    <w:rsid w:val="00E52A05"/>
    <w:rsid w:val="00E5635E"/>
    <w:rsid w:val="00E61B21"/>
    <w:rsid w:val="00E64CA8"/>
    <w:rsid w:val="00E6617E"/>
    <w:rsid w:val="00E73277"/>
    <w:rsid w:val="00E73D58"/>
    <w:rsid w:val="00E82BB6"/>
    <w:rsid w:val="00E87060"/>
    <w:rsid w:val="00EA0AC9"/>
    <w:rsid w:val="00EA78D7"/>
    <w:rsid w:val="00EB55D7"/>
    <w:rsid w:val="00EB7301"/>
    <w:rsid w:val="00EC1A0C"/>
    <w:rsid w:val="00EC56DD"/>
    <w:rsid w:val="00ED3926"/>
    <w:rsid w:val="00EE50B7"/>
    <w:rsid w:val="00EE6840"/>
    <w:rsid w:val="00EF0C4C"/>
    <w:rsid w:val="00EF3F0F"/>
    <w:rsid w:val="00EF4DF7"/>
    <w:rsid w:val="00EF7CE8"/>
    <w:rsid w:val="00F0217A"/>
    <w:rsid w:val="00F04152"/>
    <w:rsid w:val="00F17E16"/>
    <w:rsid w:val="00F31BD2"/>
    <w:rsid w:val="00F31C4A"/>
    <w:rsid w:val="00F6489B"/>
    <w:rsid w:val="00F728DD"/>
    <w:rsid w:val="00F73A85"/>
    <w:rsid w:val="00F743D0"/>
    <w:rsid w:val="00F76877"/>
    <w:rsid w:val="00F76F5D"/>
    <w:rsid w:val="00F8106A"/>
    <w:rsid w:val="00F8119B"/>
    <w:rsid w:val="00F9318A"/>
    <w:rsid w:val="00F97673"/>
    <w:rsid w:val="00FA015A"/>
    <w:rsid w:val="00FC02D4"/>
    <w:rsid w:val="00FC05FC"/>
    <w:rsid w:val="00FD302A"/>
    <w:rsid w:val="00FD4807"/>
    <w:rsid w:val="00FE6B1E"/>
    <w:rsid w:val="00FF5397"/>
    <w:rsid w:val="00FF7A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4513">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A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73BC"/>
    <w:pPr>
      <w:tabs>
        <w:tab w:val="center" w:pos="4320"/>
        <w:tab w:val="right" w:pos="8640"/>
      </w:tabs>
      <w:spacing w:after="0" w:line="240" w:lineRule="auto"/>
    </w:pPr>
  </w:style>
  <w:style w:type="character" w:customStyle="1" w:styleId="HeaderChar">
    <w:name w:val="Header Char"/>
    <w:basedOn w:val="DefaultParagraphFont"/>
    <w:link w:val="Header"/>
    <w:uiPriority w:val="99"/>
    <w:rsid w:val="00BD73BC"/>
  </w:style>
  <w:style w:type="paragraph" w:styleId="Footer">
    <w:name w:val="footer"/>
    <w:basedOn w:val="Normal"/>
    <w:link w:val="FooterChar"/>
    <w:uiPriority w:val="99"/>
    <w:unhideWhenUsed/>
    <w:rsid w:val="00BD73BC"/>
    <w:pPr>
      <w:tabs>
        <w:tab w:val="center" w:pos="4320"/>
        <w:tab w:val="right" w:pos="8640"/>
      </w:tabs>
      <w:spacing w:after="0" w:line="240" w:lineRule="auto"/>
    </w:pPr>
  </w:style>
  <w:style w:type="character" w:customStyle="1" w:styleId="FooterChar">
    <w:name w:val="Footer Char"/>
    <w:basedOn w:val="DefaultParagraphFont"/>
    <w:link w:val="Footer"/>
    <w:uiPriority w:val="99"/>
    <w:rsid w:val="00BD73BC"/>
  </w:style>
  <w:style w:type="paragraph" w:customStyle="1" w:styleId="BasicParagraph">
    <w:name w:val="[Basic Paragraph]"/>
    <w:basedOn w:val="Normal"/>
    <w:uiPriority w:val="99"/>
    <w:rsid w:val="007B3A4E"/>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1459EA"/>
    <w:rPr>
      <w:color w:val="808080"/>
    </w:rPr>
  </w:style>
  <w:style w:type="table" w:styleId="TableGrid">
    <w:name w:val="Table Grid"/>
    <w:basedOn w:val="TableNormal"/>
    <w:rsid w:val="001459EA"/>
    <w:pPr>
      <w:spacing w:after="0" w:line="240" w:lineRule="auto"/>
    </w:pPr>
    <w:rPr>
      <w:rFonts w:ascii="InterstateG-Light" w:eastAsia="Times New Roman" w:hAnsi="InterstateG-Light"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459EA"/>
    <w:rPr>
      <w:rFonts w:ascii="Arial" w:hAnsi="Arial"/>
      <w:color w:val="0000FF"/>
      <w:sz w:val="16"/>
      <w:u w:val="single"/>
    </w:rPr>
  </w:style>
  <w:style w:type="paragraph" w:customStyle="1" w:styleId="Headingtext">
    <w:name w:val="Heading text"/>
    <w:basedOn w:val="Normal"/>
    <w:next w:val="Normal"/>
    <w:link w:val="HeadingtextCharChar"/>
    <w:rsid w:val="002466B7"/>
    <w:pPr>
      <w:spacing w:after="0" w:line="240" w:lineRule="auto"/>
    </w:pPr>
    <w:rPr>
      <w:rFonts w:ascii="Arial" w:eastAsia="Times New Roman" w:hAnsi="Arial" w:cs="Times New Roman"/>
      <w:b/>
      <w:color w:val="005CAE"/>
      <w:sz w:val="20"/>
      <w:szCs w:val="28"/>
      <w:lang w:eastAsia="en-US"/>
    </w:rPr>
  </w:style>
  <w:style w:type="paragraph" w:styleId="ListParagraph">
    <w:name w:val="List Paragraph"/>
    <w:basedOn w:val="Normal"/>
    <w:uiPriority w:val="34"/>
    <w:qFormat/>
    <w:rsid w:val="002466B7"/>
    <w:pPr>
      <w:ind w:left="720"/>
      <w:contextualSpacing/>
    </w:pPr>
    <w:rPr>
      <w:rFonts w:ascii="Calibri" w:eastAsia="Calibri" w:hAnsi="Calibri" w:cs="Times New Roman"/>
      <w:noProof/>
      <w:lang w:eastAsia="en-US"/>
    </w:rPr>
  </w:style>
  <w:style w:type="character" w:customStyle="1" w:styleId="HeadingtextCharChar">
    <w:name w:val="Heading text Char Char"/>
    <w:basedOn w:val="DefaultParagraphFont"/>
    <w:link w:val="Headingtext"/>
    <w:rsid w:val="002466B7"/>
    <w:rPr>
      <w:rFonts w:ascii="Arial" w:eastAsia="Times New Roman" w:hAnsi="Arial" w:cs="Times New Roman"/>
      <w:b/>
      <w:color w:val="005CAE"/>
      <w:sz w:val="20"/>
      <w:szCs w:val="28"/>
      <w:lang w:eastAsia="en-US"/>
    </w:rPr>
  </w:style>
  <w:style w:type="paragraph" w:styleId="NoSpacing">
    <w:name w:val="No Spacing"/>
    <w:uiPriority w:val="1"/>
    <w:qFormat/>
    <w:rsid w:val="00AF1418"/>
    <w:pPr>
      <w:spacing w:after="0" w:line="240" w:lineRule="auto"/>
    </w:pPr>
  </w:style>
  <w:style w:type="paragraph" w:styleId="BalloonText">
    <w:name w:val="Balloon Text"/>
    <w:basedOn w:val="Normal"/>
    <w:link w:val="BalloonTextChar"/>
    <w:uiPriority w:val="99"/>
    <w:semiHidden/>
    <w:unhideWhenUsed/>
    <w:rsid w:val="002F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29F"/>
    <w:rPr>
      <w:rFonts w:ascii="Tahoma" w:hAnsi="Tahoma" w:cs="Tahoma"/>
      <w:sz w:val="16"/>
      <w:szCs w:val="16"/>
    </w:rPr>
  </w:style>
  <w:style w:type="paragraph" w:styleId="Revision">
    <w:name w:val="Revision"/>
    <w:hidden/>
    <w:uiPriority w:val="99"/>
    <w:semiHidden/>
    <w:rsid w:val="009C4FD3"/>
    <w:pPr>
      <w:spacing w:after="0" w:line="240" w:lineRule="auto"/>
    </w:pPr>
  </w:style>
</w:styles>
</file>

<file path=word/webSettings.xml><?xml version="1.0" encoding="utf-8"?>
<w:webSettings xmlns:r="http://schemas.openxmlformats.org/officeDocument/2006/relationships" xmlns:w="http://schemas.openxmlformats.org/wordprocessingml/2006/main">
  <w:divs>
    <w:div w:id="164636656">
      <w:bodyDiv w:val="1"/>
      <w:marLeft w:val="0"/>
      <w:marRight w:val="0"/>
      <w:marTop w:val="0"/>
      <w:marBottom w:val="0"/>
      <w:divBdr>
        <w:top w:val="none" w:sz="0" w:space="0" w:color="auto"/>
        <w:left w:val="none" w:sz="0" w:space="0" w:color="auto"/>
        <w:bottom w:val="none" w:sz="0" w:space="0" w:color="auto"/>
        <w:right w:val="none" w:sz="0" w:space="0" w:color="auto"/>
      </w:divBdr>
    </w:div>
    <w:div w:id="510919701">
      <w:bodyDiv w:val="1"/>
      <w:marLeft w:val="0"/>
      <w:marRight w:val="0"/>
      <w:marTop w:val="0"/>
      <w:marBottom w:val="0"/>
      <w:divBdr>
        <w:top w:val="none" w:sz="0" w:space="0" w:color="auto"/>
        <w:left w:val="none" w:sz="0" w:space="0" w:color="auto"/>
        <w:bottom w:val="none" w:sz="0" w:space="0" w:color="auto"/>
        <w:right w:val="none" w:sz="0" w:space="0" w:color="auto"/>
      </w:divBdr>
    </w:div>
    <w:div w:id="1322998884">
      <w:bodyDiv w:val="1"/>
      <w:marLeft w:val="0"/>
      <w:marRight w:val="0"/>
      <w:marTop w:val="0"/>
      <w:marBottom w:val="0"/>
      <w:divBdr>
        <w:top w:val="none" w:sz="0" w:space="0" w:color="auto"/>
        <w:left w:val="none" w:sz="0" w:space="0" w:color="auto"/>
        <w:bottom w:val="none" w:sz="0" w:space="0" w:color="auto"/>
        <w:right w:val="none" w:sz="0" w:space="0" w:color="auto"/>
      </w:divBdr>
    </w:div>
    <w:div w:id="1352419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hyperlink" Target="http://www.aegon.com/Documents/aegon-com/Governance/Governance-documents/EB-and-MB/Employment-agreement-Nooitgedagt.pdf"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r@aegon.com" TargetMode="External"/><Relationship Id="rId1" Type="http://schemas.openxmlformats.org/officeDocument/2006/relationships/hyperlink" Target="mailto:gcc-ir@aegon.com"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aegon.com/Documents/aegon-com/Governance/Governance-documents/EB-and-MB/Employment-agreement-Nooitgedagt.pdf"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aegon.com/Documents/aegon-com/Governance/Governance-documents/EB-and-MB/Employment-agreement-Nooitgedag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DB04A-3F0B-4EEE-8157-6943FD942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1912</Words>
  <Characters>12085</Characters>
  <Application>Microsoft Office Word</Application>
  <DocSecurity>2</DocSecurity>
  <Lines>175</Lines>
  <Paragraphs>88</Paragraphs>
  <ScaleCrop>false</ScaleCrop>
  <HeadingPairs>
    <vt:vector size="2" baseType="variant">
      <vt:variant>
        <vt:lpstr>Title</vt:lpstr>
      </vt:variant>
      <vt:variant>
        <vt:i4>1</vt:i4>
      </vt:variant>
    </vt:vector>
  </HeadingPairs>
  <TitlesOfParts>
    <vt:vector size="1" baseType="lpstr">
      <vt:lpstr/>
    </vt:vector>
  </TitlesOfParts>
  <Company>Member Company of the AEGON Group</Company>
  <LinksUpToDate>false</LinksUpToDate>
  <CharactersWithSpaces>13909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admalee</dc:creator>
  <cp:keywords/>
  <dc:description/>
  <cp:lastModifiedBy>Lindemann , Alie</cp:lastModifiedBy>
  <cp:revision>4</cp:revision>
  <cp:lastPrinted>2013-02-14T12:38:00Z</cp:lastPrinted>
  <dcterms:created xsi:type="dcterms:W3CDTF">2013-02-14T12:29:00Z</dcterms:created>
  <dcterms:modified xsi:type="dcterms:W3CDTF">2013-02-14T14:32:00Z</dcterms:modified>
  <cp:category>ress release</cp:category>
</cp:coreProperties>
</file>