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B3A4E" w:rsidRPr="00AD3832" w:rsidRDefault="007B3A4E" w:rsidP="007B3A4E">
      <w:pPr>
        <w:pStyle w:val="BasicParagraph"/>
        <w:rPr>
          <w:rFonts w:ascii="Verdana" w:hAnsi="Verdana"/>
          <w:sz w:val="18"/>
          <w:szCs w:val="18"/>
        </w:rPr>
      </w:pPr>
    </w:p>
    <w:p w:rsidR="00C51A6F" w:rsidRPr="008104EA" w:rsidRDefault="008104EA" w:rsidP="008104EA">
      <w:pPr>
        <w:spacing w:after="120"/>
        <w:rPr>
          <w:color w:val="000000"/>
          <w:sz w:val="28"/>
        </w:rPr>
      </w:pPr>
      <w:r w:rsidRPr="008104EA">
        <w:rPr>
          <w:rFonts w:ascii="Verdana" w:hAnsi="Verdana"/>
          <w:b/>
          <w:szCs w:val="18"/>
        </w:rPr>
        <w:t>Aegon trekt alle preferente aandelen in</w:t>
      </w:r>
    </w:p>
    <w:p w:rsidR="008104EA" w:rsidRPr="008104EA" w:rsidRDefault="008104EA" w:rsidP="008104EA">
      <w:pPr>
        <w:pStyle w:val="BasicParagraph"/>
        <w:rPr>
          <w:rFonts w:ascii="Verdana" w:hAnsi="Verdana"/>
          <w:sz w:val="18"/>
          <w:szCs w:val="18"/>
        </w:rPr>
      </w:pPr>
      <w:r w:rsidRPr="008104EA">
        <w:rPr>
          <w:rFonts w:ascii="Verdana" w:hAnsi="Verdana"/>
          <w:sz w:val="18"/>
          <w:szCs w:val="18"/>
        </w:rPr>
        <w:t>Aegon en Vereniging Aegon hebben overeenstemming bereikt over het intrekken van alle preferente aandelen Aegon</w:t>
      </w:r>
      <w:r w:rsidR="00B115CA">
        <w:rPr>
          <w:rFonts w:ascii="Verdana" w:hAnsi="Verdana"/>
          <w:sz w:val="18"/>
          <w:szCs w:val="18"/>
        </w:rPr>
        <w:t xml:space="preserve">, </w:t>
      </w:r>
      <w:r w:rsidR="00794B1C">
        <w:rPr>
          <w:rFonts w:ascii="Verdana" w:hAnsi="Verdana"/>
          <w:sz w:val="18"/>
          <w:szCs w:val="18"/>
        </w:rPr>
        <w:t xml:space="preserve">nu nog allemaal </w:t>
      </w:r>
      <w:r w:rsidR="00B115CA">
        <w:rPr>
          <w:rFonts w:ascii="Verdana" w:hAnsi="Verdana"/>
          <w:sz w:val="18"/>
          <w:szCs w:val="18"/>
        </w:rPr>
        <w:t>in bezit van Vereniging Aegon</w:t>
      </w:r>
      <w:r w:rsidRPr="008104EA">
        <w:rPr>
          <w:rFonts w:ascii="Verdana" w:hAnsi="Verdana"/>
          <w:sz w:val="18"/>
          <w:szCs w:val="18"/>
        </w:rPr>
        <w:t xml:space="preserve">. Hierdoor krijgt Aegon een eenvoudiger kapitaalstructuur en behoudt het bedrijf </w:t>
      </w:r>
      <w:r w:rsidR="00256FCB">
        <w:rPr>
          <w:rFonts w:ascii="Verdana" w:hAnsi="Verdana"/>
          <w:sz w:val="18"/>
          <w:szCs w:val="18"/>
        </w:rPr>
        <w:t xml:space="preserve">ook </w:t>
      </w:r>
      <w:r w:rsidRPr="008104EA">
        <w:rPr>
          <w:rFonts w:ascii="Verdana" w:hAnsi="Verdana"/>
          <w:sz w:val="18"/>
          <w:szCs w:val="18"/>
        </w:rPr>
        <w:t xml:space="preserve">onder de </w:t>
      </w:r>
      <w:r w:rsidR="00794B1C">
        <w:rPr>
          <w:rFonts w:ascii="Verdana" w:hAnsi="Verdana"/>
          <w:sz w:val="18"/>
          <w:szCs w:val="18"/>
        </w:rPr>
        <w:t>nieuwe Europese solvabiliteits</w:t>
      </w:r>
      <w:r w:rsidR="005C1F32">
        <w:rPr>
          <w:rFonts w:ascii="Verdana" w:hAnsi="Verdana"/>
          <w:sz w:val="18"/>
          <w:szCs w:val="18"/>
        </w:rPr>
        <w:t>-</w:t>
      </w:r>
      <w:r w:rsidR="00794B1C">
        <w:rPr>
          <w:rFonts w:ascii="Verdana" w:hAnsi="Verdana"/>
          <w:sz w:val="18"/>
          <w:szCs w:val="18"/>
        </w:rPr>
        <w:t>eisen</w:t>
      </w:r>
      <w:r w:rsidRPr="008104EA">
        <w:rPr>
          <w:rFonts w:ascii="Verdana" w:hAnsi="Verdana"/>
          <w:sz w:val="18"/>
          <w:szCs w:val="18"/>
        </w:rPr>
        <w:t xml:space="preserve"> een kapitaalbasis van hoge kwaliteit. De Vereniging wordt door de overeenkomst in staat gesteld haar schuld aanzienlijk te reduceren. </w:t>
      </w:r>
    </w:p>
    <w:p w:rsidR="008104EA" w:rsidRPr="007007E3" w:rsidRDefault="008104EA" w:rsidP="008104EA">
      <w:pPr>
        <w:spacing w:after="0"/>
        <w:rPr>
          <w:rFonts w:ascii="Verdana" w:hAnsi="Verdana" w:cs="Arial"/>
          <w:sz w:val="18"/>
          <w:szCs w:val="10"/>
        </w:rPr>
      </w:pPr>
    </w:p>
    <w:p w:rsidR="008104EA" w:rsidRPr="008104EA" w:rsidRDefault="008104EA" w:rsidP="008104EA">
      <w:pPr>
        <w:spacing w:after="0"/>
        <w:rPr>
          <w:rFonts w:ascii="Verdana" w:hAnsi="Verdana" w:cs="Arial"/>
          <w:sz w:val="18"/>
          <w:szCs w:val="18"/>
        </w:rPr>
      </w:pPr>
      <w:r w:rsidRPr="008104EA">
        <w:rPr>
          <w:rFonts w:ascii="Verdana" w:hAnsi="Verdana" w:cs="Arial"/>
          <w:sz w:val="18"/>
          <w:szCs w:val="18"/>
        </w:rPr>
        <w:t xml:space="preserve">Alle preferente aandelen zullen worden omgeruild voor contanten en gewone aandelen. De waarde van de </w:t>
      </w:r>
      <w:bookmarkStart w:id="0" w:name="_GoBack"/>
      <w:bookmarkEnd w:id="0"/>
      <w:r w:rsidRPr="008104EA">
        <w:rPr>
          <w:rFonts w:ascii="Verdana" w:hAnsi="Verdana" w:cs="Arial"/>
          <w:sz w:val="18"/>
          <w:szCs w:val="18"/>
        </w:rPr>
        <w:t xml:space="preserve">preferente aandelen – met een </w:t>
      </w:r>
      <w:r w:rsidRPr="00D570AC">
        <w:rPr>
          <w:rFonts w:ascii="Verdana" w:hAnsi="Verdana" w:cs="Arial"/>
          <w:sz w:val="18"/>
          <w:szCs w:val="18"/>
        </w:rPr>
        <w:t xml:space="preserve">boekwaarde van EUR 2,1 miljard – is bepaald op EUR 1,1 miljard. De Vereniging ontvangt van Aegon </w:t>
      </w:r>
      <w:r w:rsidR="00256FCB" w:rsidRPr="00D570AC">
        <w:rPr>
          <w:rFonts w:ascii="Verdana" w:hAnsi="Verdana" w:cs="Arial"/>
          <w:sz w:val="18"/>
          <w:szCs w:val="18"/>
        </w:rPr>
        <w:t>EUR 8</w:t>
      </w:r>
      <w:r w:rsidR="00D570AC" w:rsidRPr="00D570AC">
        <w:rPr>
          <w:rFonts w:ascii="Verdana" w:hAnsi="Verdana" w:cs="Arial"/>
          <w:sz w:val="18"/>
          <w:szCs w:val="18"/>
        </w:rPr>
        <w:t>3</w:t>
      </w:r>
      <w:r w:rsidR="00256FCB" w:rsidRPr="00D570AC">
        <w:rPr>
          <w:rFonts w:ascii="Verdana" w:hAnsi="Verdana" w:cs="Arial"/>
          <w:sz w:val="18"/>
          <w:szCs w:val="18"/>
        </w:rPr>
        <w:t xml:space="preserve"> miljoen aan dividend op de preferente aandelen en </w:t>
      </w:r>
      <w:r w:rsidRPr="00D570AC">
        <w:rPr>
          <w:rFonts w:ascii="Verdana" w:hAnsi="Verdana" w:cs="Arial"/>
          <w:sz w:val="18"/>
          <w:szCs w:val="18"/>
        </w:rPr>
        <w:t>EUR 400 miljoen in contanten</w:t>
      </w:r>
      <w:r w:rsidR="00BF310E" w:rsidRPr="00D570AC">
        <w:rPr>
          <w:rFonts w:ascii="Verdana" w:hAnsi="Verdana" w:cs="Arial"/>
          <w:sz w:val="18"/>
          <w:szCs w:val="18"/>
        </w:rPr>
        <w:t>,</w:t>
      </w:r>
      <w:r w:rsidRPr="00D570AC">
        <w:rPr>
          <w:rFonts w:ascii="Verdana" w:hAnsi="Verdana" w:cs="Arial"/>
          <w:sz w:val="18"/>
          <w:szCs w:val="18"/>
        </w:rPr>
        <w:t xml:space="preserve"> plus het equivalent van EUR </w:t>
      </w:r>
      <w:r w:rsidR="00DF539A" w:rsidRPr="00D570AC">
        <w:rPr>
          <w:rFonts w:ascii="Verdana" w:hAnsi="Verdana" w:cs="Arial"/>
          <w:sz w:val="18"/>
          <w:szCs w:val="18"/>
        </w:rPr>
        <w:t>6</w:t>
      </w:r>
      <w:r w:rsidR="00D570AC" w:rsidRPr="00D570AC">
        <w:rPr>
          <w:rFonts w:ascii="Verdana" w:hAnsi="Verdana" w:cs="Arial"/>
          <w:sz w:val="18"/>
          <w:szCs w:val="18"/>
        </w:rPr>
        <w:t>55</w:t>
      </w:r>
      <w:r w:rsidR="00794B1C" w:rsidRPr="008104EA">
        <w:rPr>
          <w:rFonts w:ascii="Verdana" w:hAnsi="Verdana" w:cs="Arial"/>
          <w:sz w:val="18"/>
          <w:szCs w:val="18"/>
        </w:rPr>
        <w:t xml:space="preserve"> </w:t>
      </w:r>
      <w:r w:rsidRPr="008104EA">
        <w:rPr>
          <w:rFonts w:ascii="Verdana" w:hAnsi="Verdana" w:cs="Arial"/>
          <w:sz w:val="18"/>
          <w:szCs w:val="18"/>
        </w:rPr>
        <w:t>miljoen in gewone aandelen</w:t>
      </w:r>
      <w:r w:rsidR="00256FCB">
        <w:rPr>
          <w:rFonts w:ascii="Verdana" w:hAnsi="Verdana" w:cs="Arial"/>
          <w:sz w:val="18"/>
          <w:szCs w:val="18"/>
        </w:rPr>
        <w:t>.</w:t>
      </w:r>
    </w:p>
    <w:p w:rsidR="008104EA" w:rsidRPr="007007E3" w:rsidRDefault="008104EA" w:rsidP="008104EA">
      <w:pPr>
        <w:spacing w:after="0"/>
        <w:rPr>
          <w:rFonts w:ascii="Verdana" w:hAnsi="Verdana" w:cs="Arial"/>
          <w:sz w:val="18"/>
          <w:szCs w:val="10"/>
        </w:rPr>
      </w:pPr>
    </w:p>
    <w:p w:rsidR="008104EA" w:rsidRPr="008104EA" w:rsidRDefault="005534BB" w:rsidP="008104EA">
      <w:pPr>
        <w:spacing w:after="0"/>
        <w:rPr>
          <w:rFonts w:ascii="Verdana" w:hAnsi="Verdana" w:cs="Arial"/>
          <w:sz w:val="18"/>
          <w:szCs w:val="18"/>
        </w:rPr>
      </w:pPr>
      <w:r w:rsidRPr="008104EA">
        <w:rPr>
          <w:rFonts w:ascii="Verdana" w:hAnsi="Verdana" w:cs="Arial"/>
          <w:sz w:val="18"/>
          <w:szCs w:val="18"/>
        </w:rPr>
        <w:t>De toename van het aantal gewone aandelen hangt af van de naar volume</w:t>
      </w:r>
      <w:r>
        <w:rPr>
          <w:rFonts w:ascii="Verdana" w:hAnsi="Verdana" w:cs="Arial"/>
          <w:sz w:val="18"/>
          <w:szCs w:val="18"/>
        </w:rPr>
        <w:t xml:space="preserve"> </w:t>
      </w:r>
      <w:r w:rsidRPr="008104EA">
        <w:rPr>
          <w:rFonts w:ascii="Verdana" w:hAnsi="Verdana" w:cs="Arial"/>
          <w:sz w:val="18"/>
          <w:szCs w:val="18"/>
        </w:rPr>
        <w:t>gewogen gemiddelde prijs van gewone aandelen Aegon op Euronext Amsterdam in de periode van 15 februari tot en met 28 februari 2013.</w:t>
      </w:r>
      <w:r w:rsidR="00AC70C7">
        <w:rPr>
          <w:rFonts w:ascii="Verdana" w:hAnsi="Verdana" w:cs="Arial"/>
          <w:sz w:val="18"/>
          <w:szCs w:val="18"/>
        </w:rPr>
        <w:t xml:space="preserve"> </w:t>
      </w:r>
      <w:r w:rsidR="008104EA" w:rsidRPr="008104EA">
        <w:rPr>
          <w:rFonts w:ascii="Verdana" w:hAnsi="Verdana" w:cs="Arial"/>
          <w:sz w:val="18"/>
          <w:szCs w:val="18"/>
        </w:rPr>
        <w:t xml:space="preserve">Het aantal uitstaande gewone aandelen neemt </w:t>
      </w:r>
      <w:r>
        <w:rPr>
          <w:rFonts w:ascii="Verdana" w:hAnsi="Verdana" w:cs="Arial"/>
          <w:sz w:val="18"/>
          <w:szCs w:val="18"/>
        </w:rPr>
        <w:t xml:space="preserve">naar verwachting </w:t>
      </w:r>
      <w:r w:rsidR="008104EA" w:rsidRPr="008104EA">
        <w:rPr>
          <w:rFonts w:ascii="Verdana" w:hAnsi="Verdana" w:cs="Arial"/>
          <w:sz w:val="18"/>
          <w:szCs w:val="18"/>
        </w:rPr>
        <w:t xml:space="preserve">door de transactie </w:t>
      </w:r>
      <w:r>
        <w:rPr>
          <w:rFonts w:ascii="Verdana" w:hAnsi="Verdana" w:cs="Arial"/>
          <w:sz w:val="18"/>
          <w:szCs w:val="18"/>
        </w:rPr>
        <w:t xml:space="preserve">toe </w:t>
      </w:r>
      <w:r w:rsidR="008104EA" w:rsidRPr="008104EA">
        <w:rPr>
          <w:rFonts w:ascii="Verdana" w:hAnsi="Verdana" w:cs="Arial"/>
          <w:sz w:val="18"/>
          <w:szCs w:val="18"/>
        </w:rPr>
        <w:t xml:space="preserve">met ongeveer </w:t>
      </w:r>
      <w:r w:rsidR="00B46FE6" w:rsidRPr="00D570AC">
        <w:rPr>
          <w:rFonts w:ascii="Verdana" w:hAnsi="Verdana" w:cs="Arial"/>
          <w:sz w:val="18"/>
          <w:szCs w:val="18"/>
        </w:rPr>
        <w:t>7</w:t>
      </w:r>
      <w:r w:rsidR="008104EA" w:rsidRPr="008104EA">
        <w:rPr>
          <w:rFonts w:ascii="Verdana" w:hAnsi="Verdana" w:cs="Arial"/>
          <w:sz w:val="18"/>
          <w:szCs w:val="18"/>
        </w:rPr>
        <w:t>%</w:t>
      </w:r>
      <w:r>
        <w:rPr>
          <w:rFonts w:ascii="Verdana" w:hAnsi="Verdana" w:cs="Arial"/>
          <w:sz w:val="18"/>
          <w:szCs w:val="18"/>
        </w:rPr>
        <w:t xml:space="preserve">. </w:t>
      </w:r>
      <w:r w:rsidR="008104EA" w:rsidRPr="008104EA">
        <w:rPr>
          <w:rFonts w:ascii="Verdana" w:hAnsi="Verdana" w:cs="Arial"/>
          <w:sz w:val="18"/>
          <w:szCs w:val="18"/>
        </w:rPr>
        <w:t xml:space="preserve">De verwatering van de winst per aandeel blijft echter beperkt tot </w:t>
      </w:r>
      <w:r>
        <w:rPr>
          <w:rFonts w:ascii="Verdana" w:hAnsi="Verdana" w:cs="Arial"/>
          <w:sz w:val="18"/>
          <w:szCs w:val="18"/>
        </w:rPr>
        <w:t xml:space="preserve">ongeveer </w:t>
      </w:r>
      <w:r w:rsidR="008104EA" w:rsidRPr="008104EA">
        <w:rPr>
          <w:rFonts w:ascii="Verdana" w:hAnsi="Verdana" w:cs="Arial"/>
          <w:sz w:val="18"/>
          <w:szCs w:val="18"/>
        </w:rPr>
        <w:t xml:space="preserve">3% omdat er na de transactie geen preferent dividend meer wordt betaald. </w:t>
      </w:r>
    </w:p>
    <w:p w:rsidR="008104EA" w:rsidRPr="007007E3" w:rsidRDefault="008104EA" w:rsidP="008104EA">
      <w:pPr>
        <w:spacing w:after="0"/>
        <w:rPr>
          <w:rFonts w:ascii="Verdana" w:hAnsi="Verdana" w:cs="Arial"/>
          <w:sz w:val="18"/>
          <w:szCs w:val="10"/>
        </w:rPr>
      </w:pPr>
    </w:p>
    <w:p w:rsidR="008104EA" w:rsidRDefault="008104EA" w:rsidP="008104EA">
      <w:pPr>
        <w:spacing w:after="0"/>
        <w:rPr>
          <w:rFonts w:ascii="Verdana" w:hAnsi="Verdana" w:cs="Arial"/>
          <w:sz w:val="18"/>
          <w:szCs w:val="18"/>
        </w:rPr>
      </w:pPr>
      <w:r w:rsidRPr="008104EA">
        <w:rPr>
          <w:rFonts w:ascii="Verdana" w:hAnsi="Verdana" w:cs="Arial"/>
          <w:sz w:val="18"/>
          <w:szCs w:val="18"/>
        </w:rPr>
        <w:t xml:space="preserve">De Vereniging </w:t>
      </w:r>
      <w:r w:rsidR="005534BB">
        <w:rPr>
          <w:rFonts w:ascii="Verdana" w:hAnsi="Verdana" w:cs="Arial"/>
          <w:sz w:val="18"/>
          <w:szCs w:val="18"/>
        </w:rPr>
        <w:t xml:space="preserve">geeft </w:t>
      </w:r>
      <w:r w:rsidRPr="008104EA">
        <w:rPr>
          <w:rFonts w:ascii="Verdana" w:hAnsi="Verdana" w:cs="Arial"/>
          <w:sz w:val="18"/>
          <w:szCs w:val="18"/>
        </w:rPr>
        <w:t xml:space="preserve">haar voorkeursrechten met betrekking tot dividenden en </w:t>
      </w:r>
      <w:r w:rsidR="00987F2C">
        <w:rPr>
          <w:rFonts w:ascii="Verdana" w:hAnsi="Verdana" w:cs="Arial"/>
          <w:sz w:val="18"/>
          <w:szCs w:val="18"/>
        </w:rPr>
        <w:t>uitkering</w:t>
      </w:r>
      <w:r w:rsidR="00987F2C" w:rsidRPr="008104EA">
        <w:rPr>
          <w:rFonts w:ascii="Verdana" w:hAnsi="Verdana" w:cs="Arial"/>
          <w:sz w:val="18"/>
          <w:szCs w:val="18"/>
        </w:rPr>
        <w:t xml:space="preserve"> </w:t>
      </w:r>
      <w:r w:rsidRPr="008104EA">
        <w:rPr>
          <w:rFonts w:ascii="Verdana" w:hAnsi="Verdana" w:cs="Arial"/>
          <w:sz w:val="18"/>
          <w:szCs w:val="18"/>
        </w:rPr>
        <w:t>bij liquidatie</w:t>
      </w:r>
      <w:r w:rsidR="005534BB">
        <w:rPr>
          <w:rFonts w:ascii="Verdana" w:hAnsi="Verdana" w:cs="Arial"/>
          <w:sz w:val="18"/>
          <w:szCs w:val="18"/>
        </w:rPr>
        <w:t xml:space="preserve"> op</w:t>
      </w:r>
      <w:r w:rsidRPr="008104EA">
        <w:rPr>
          <w:rFonts w:ascii="Verdana" w:hAnsi="Verdana" w:cs="Arial"/>
          <w:sz w:val="18"/>
          <w:szCs w:val="18"/>
        </w:rPr>
        <w:t xml:space="preserve">. </w:t>
      </w:r>
      <w:r w:rsidR="00794B1C">
        <w:rPr>
          <w:rFonts w:ascii="Verdana" w:hAnsi="Verdana" w:cs="Arial"/>
          <w:sz w:val="18"/>
          <w:szCs w:val="18"/>
        </w:rPr>
        <w:t>Daarnaast wordt h</w:t>
      </w:r>
      <w:r w:rsidRPr="008104EA">
        <w:rPr>
          <w:rFonts w:ascii="Verdana" w:hAnsi="Verdana" w:cs="Arial"/>
          <w:sz w:val="18"/>
          <w:szCs w:val="18"/>
        </w:rPr>
        <w:t>et stemrecht van de Vereniging onder normale omstandigheden</w:t>
      </w:r>
      <w:r w:rsidR="00794B1C">
        <w:rPr>
          <w:rFonts w:ascii="Verdana" w:hAnsi="Verdana" w:cs="Arial"/>
          <w:sz w:val="18"/>
          <w:szCs w:val="18"/>
        </w:rPr>
        <w:t xml:space="preserve"> </w:t>
      </w:r>
      <w:r w:rsidRPr="008104EA">
        <w:rPr>
          <w:rFonts w:ascii="Verdana" w:hAnsi="Verdana" w:cs="Arial"/>
          <w:sz w:val="18"/>
          <w:szCs w:val="18"/>
        </w:rPr>
        <w:t xml:space="preserve">teruggebracht van de huidige 22,1% tot </w:t>
      </w:r>
      <w:r w:rsidRPr="00D570AC">
        <w:rPr>
          <w:rFonts w:ascii="Verdana" w:hAnsi="Verdana" w:cs="Arial"/>
          <w:sz w:val="18"/>
          <w:szCs w:val="18"/>
        </w:rPr>
        <w:t>circa 14,</w:t>
      </w:r>
      <w:r w:rsidR="00D570AC" w:rsidRPr="00D570AC">
        <w:rPr>
          <w:rFonts w:ascii="Verdana" w:hAnsi="Verdana" w:cs="Arial"/>
          <w:sz w:val="18"/>
          <w:szCs w:val="18"/>
        </w:rPr>
        <w:t>9</w:t>
      </w:r>
      <w:r w:rsidRPr="00D570AC">
        <w:rPr>
          <w:rFonts w:ascii="Verdana" w:hAnsi="Verdana" w:cs="Arial"/>
          <w:sz w:val="18"/>
          <w:szCs w:val="18"/>
        </w:rPr>
        <w:t>%. Hierdoor</w:t>
      </w:r>
      <w:r w:rsidRPr="008104EA">
        <w:rPr>
          <w:rFonts w:ascii="Verdana" w:hAnsi="Verdana" w:cs="Arial"/>
          <w:sz w:val="18"/>
          <w:szCs w:val="18"/>
        </w:rPr>
        <w:t xml:space="preserve"> komen stemrecht en economisch eigendom met elkaar in </w:t>
      </w:r>
      <w:r w:rsidR="00794B1C">
        <w:rPr>
          <w:rFonts w:ascii="Verdana" w:hAnsi="Verdana" w:cs="Arial"/>
          <w:sz w:val="18"/>
          <w:szCs w:val="18"/>
        </w:rPr>
        <w:t>balans</w:t>
      </w:r>
      <w:r w:rsidRPr="008104EA">
        <w:rPr>
          <w:rFonts w:ascii="Verdana" w:hAnsi="Verdana" w:cs="Arial"/>
          <w:sz w:val="18"/>
          <w:szCs w:val="18"/>
        </w:rPr>
        <w:t xml:space="preserve">. </w:t>
      </w:r>
      <w:r w:rsidR="00794B1C">
        <w:rPr>
          <w:rFonts w:ascii="Verdana" w:hAnsi="Verdana" w:cs="Arial"/>
          <w:sz w:val="18"/>
          <w:szCs w:val="18"/>
        </w:rPr>
        <w:t>D</w:t>
      </w:r>
      <w:r w:rsidRPr="008104EA">
        <w:rPr>
          <w:rFonts w:ascii="Verdana" w:hAnsi="Verdana" w:cs="Arial"/>
          <w:sz w:val="18"/>
          <w:szCs w:val="18"/>
        </w:rPr>
        <w:t xml:space="preserve">e Vereniging </w:t>
      </w:r>
      <w:r w:rsidR="00794B1C">
        <w:rPr>
          <w:rFonts w:ascii="Verdana" w:hAnsi="Verdana" w:cs="Arial"/>
          <w:sz w:val="18"/>
          <w:szCs w:val="18"/>
        </w:rPr>
        <w:t xml:space="preserve">behoudt </w:t>
      </w:r>
      <w:r w:rsidRPr="008104EA">
        <w:rPr>
          <w:rFonts w:ascii="Verdana" w:hAnsi="Verdana" w:cs="Arial"/>
          <w:sz w:val="18"/>
          <w:szCs w:val="18"/>
        </w:rPr>
        <w:t>h</w:t>
      </w:r>
      <w:r w:rsidR="005534BB">
        <w:rPr>
          <w:rFonts w:ascii="Verdana" w:hAnsi="Verdana" w:cs="Arial"/>
          <w:sz w:val="18"/>
          <w:szCs w:val="18"/>
        </w:rPr>
        <w:t xml:space="preserve">et recht om </w:t>
      </w:r>
      <w:r w:rsidRPr="008104EA">
        <w:rPr>
          <w:rFonts w:ascii="Verdana" w:hAnsi="Verdana" w:cs="Arial"/>
          <w:sz w:val="18"/>
          <w:szCs w:val="18"/>
        </w:rPr>
        <w:t xml:space="preserve">32,6% stemrecht </w:t>
      </w:r>
      <w:r w:rsidR="005534BB">
        <w:rPr>
          <w:rFonts w:ascii="Verdana" w:hAnsi="Verdana" w:cs="Arial"/>
          <w:sz w:val="18"/>
          <w:szCs w:val="18"/>
        </w:rPr>
        <w:t xml:space="preserve">uit te oefenen </w:t>
      </w:r>
      <w:r w:rsidRPr="008104EA">
        <w:rPr>
          <w:rFonts w:ascii="Verdana" w:hAnsi="Verdana" w:cs="Arial"/>
          <w:sz w:val="18"/>
          <w:szCs w:val="18"/>
        </w:rPr>
        <w:t xml:space="preserve">onder bijzondere omstandigheden. </w:t>
      </w:r>
    </w:p>
    <w:p w:rsidR="00A25397" w:rsidRPr="008104EA" w:rsidRDefault="00A25397" w:rsidP="008104EA">
      <w:pPr>
        <w:spacing w:after="0"/>
        <w:rPr>
          <w:rFonts w:ascii="Verdana" w:hAnsi="Verdana" w:cs="Arial"/>
          <w:sz w:val="18"/>
          <w:szCs w:val="18"/>
        </w:rPr>
      </w:pPr>
    </w:p>
    <w:p w:rsidR="008104EA" w:rsidRPr="008104EA" w:rsidRDefault="008104EA" w:rsidP="008104EA">
      <w:pPr>
        <w:spacing w:after="0"/>
        <w:rPr>
          <w:rFonts w:ascii="Verdana" w:hAnsi="Verdana" w:cs="Arial"/>
          <w:sz w:val="18"/>
          <w:szCs w:val="18"/>
        </w:rPr>
      </w:pPr>
      <w:r w:rsidRPr="008104EA">
        <w:rPr>
          <w:rFonts w:ascii="Verdana" w:hAnsi="Verdana" w:cs="Arial"/>
          <w:sz w:val="18"/>
          <w:szCs w:val="18"/>
        </w:rPr>
        <w:t xml:space="preserve">“Deze </w:t>
      </w:r>
      <w:r w:rsidR="00E14C8B">
        <w:rPr>
          <w:rFonts w:ascii="Verdana" w:hAnsi="Verdana" w:cs="Arial"/>
          <w:sz w:val="18"/>
          <w:szCs w:val="18"/>
        </w:rPr>
        <w:t xml:space="preserve">evenwichtige </w:t>
      </w:r>
      <w:r w:rsidRPr="008104EA">
        <w:rPr>
          <w:rFonts w:ascii="Verdana" w:hAnsi="Verdana" w:cs="Arial"/>
          <w:sz w:val="18"/>
          <w:szCs w:val="18"/>
        </w:rPr>
        <w:t xml:space="preserve">overeenkomst met onze grootste aandeelhouder </w:t>
      </w:r>
      <w:r w:rsidR="00E14C8B">
        <w:rPr>
          <w:rFonts w:ascii="Verdana" w:hAnsi="Verdana" w:cs="Arial"/>
          <w:sz w:val="18"/>
          <w:szCs w:val="18"/>
        </w:rPr>
        <w:t>stelt ons in staat</w:t>
      </w:r>
      <w:r w:rsidRPr="008104EA">
        <w:rPr>
          <w:rFonts w:ascii="Verdana" w:hAnsi="Verdana" w:cs="Arial"/>
          <w:sz w:val="18"/>
          <w:szCs w:val="18"/>
        </w:rPr>
        <w:t xml:space="preserve"> om de kapitaalstructuur van de onderneming eenvoudiger te maken</w:t>
      </w:r>
      <w:r w:rsidR="00E14C8B">
        <w:rPr>
          <w:rFonts w:ascii="Verdana" w:hAnsi="Verdana" w:cs="Arial"/>
          <w:sz w:val="18"/>
          <w:szCs w:val="18"/>
        </w:rPr>
        <w:t xml:space="preserve"> op een manier die de gevolgen voor bestaande aandeelhouders tot een minimum beperkt, terwijl de Vereniging ook haar doelen kan verwezenlijken</w:t>
      </w:r>
      <w:r w:rsidRPr="008104EA">
        <w:rPr>
          <w:rFonts w:ascii="Verdana" w:hAnsi="Verdana" w:cs="Arial"/>
          <w:sz w:val="18"/>
          <w:szCs w:val="18"/>
        </w:rPr>
        <w:t>”, aldus bestuursvoorzitter Alex Wynaendts van Aegon.</w:t>
      </w:r>
    </w:p>
    <w:p w:rsidR="008104EA" w:rsidRPr="007007E3" w:rsidRDefault="008104EA" w:rsidP="008104EA">
      <w:pPr>
        <w:spacing w:after="0"/>
        <w:rPr>
          <w:rFonts w:ascii="Verdana" w:hAnsi="Verdana" w:cs="Arial"/>
          <w:sz w:val="18"/>
          <w:szCs w:val="18"/>
        </w:rPr>
      </w:pPr>
    </w:p>
    <w:p w:rsidR="008104EA" w:rsidRDefault="008104EA" w:rsidP="008104EA">
      <w:pPr>
        <w:spacing w:after="0"/>
        <w:rPr>
          <w:rFonts w:ascii="Verdana" w:hAnsi="Verdana" w:cs="Arial"/>
          <w:sz w:val="18"/>
          <w:szCs w:val="18"/>
        </w:rPr>
      </w:pPr>
      <w:r w:rsidRPr="008104EA">
        <w:rPr>
          <w:rFonts w:ascii="Verdana" w:hAnsi="Verdana" w:cs="Arial"/>
          <w:sz w:val="18"/>
          <w:szCs w:val="18"/>
        </w:rPr>
        <w:t>Wim van den Goorbergh, voorzitter van Vereniging Aegon: “De</w:t>
      </w:r>
      <w:r w:rsidR="000B6D38">
        <w:rPr>
          <w:rFonts w:ascii="Verdana" w:hAnsi="Verdana" w:cs="Arial"/>
          <w:sz w:val="18"/>
          <w:szCs w:val="18"/>
        </w:rPr>
        <w:t xml:space="preserve"> overeenkomst onderstreept </w:t>
      </w:r>
      <w:r w:rsidR="00EB43C5">
        <w:rPr>
          <w:rFonts w:ascii="Verdana" w:hAnsi="Verdana" w:cs="Arial"/>
          <w:sz w:val="18"/>
          <w:szCs w:val="18"/>
        </w:rPr>
        <w:t xml:space="preserve">de </w:t>
      </w:r>
      <w:r w:rsidR="000B6D38">
        <w:rPr>
          <w:rFonts w:ascii="Verdana" w:hAnsi="Verdana" w:cs="Arial"/>
          <w:sz w:val="18"/>
          <w:szCs w:val="18"/>
        </w:rPr>
        <w:t>bijzondere rol</w:t>
      </w:r>
      <w:r w:rsidRPr="008104EA">
        <w:rPr>
          <w:rFonts w:ascii="Verdana" w:hAnsi="Verdana" w:cs="Arial"/>
          <w:sz w:val="18"/>
          <w:szCs w:val="18"/>
        </w:rPr>
        <w:t xml:space="preserve"> </w:t>
      </w:r>
      <w:r w:rsidR="00EB43C5">
        <w:rPr>
          <w:rFonts w:ascii="Verdana" w:hAnsi="Verdana" w:cs="Arial"/>
          <w:sz w:val="18"/>
          <w:szCs w:val="18"/>
        </w:rPr>
        <w:t xml:space="preserve">die de </w:t>
      </w:r>
      <w:r w:rsidR="00E14C8B">
        <w:rPr>
          <w:rFonts w:ascii="Verdana" w:hAnsi="Verdana" w:cs="Arial"/>
          <w:sz w:val="18"/>
          <w:szCs w:val="18"/>
        </w:rPr>
        <w:t>V</w:t>
      </w:r>
      <w:r w:rsidRPr="008104EA">
        <w:rPr>
          <w:rFonts w:ascii="Verdana" w:hAnsi="Verdana" w:cs="Arial"/>
          <w:sz w:val="18"/>
          <w:szCs w:val="18"/>
        </w:rPr>
        <w:t xml:space="preserve">ereniging </w:t>
      </w:r>
      <w:r w:rsidR="00EB43C5">
        <w:rPr>
          <w:rFonts w:ascii="Verdana" w:hAnsi="Verdana" w:cs="Arial"/>
          <w:sz w:val="18"/>
          <w:szCs w:val="18"/>
        </w:rPr>
        <w:t xml:space="preserve">heeft om </w:t>
      </w:r>
      <w:r w:rsidR="00256FCB">
        <w:rPr>
          <w:rFonts w:ascii="Verdana" w:hAnsi="Verdana" w:cs="Arial"/>
          <w:sz w:val="18"/>
          <w:szCs w:val="18"/>
        </w:rPr>
        <w:t xml:space="preserve">de </w:t>
      </w:r>
      <w:r w:rsidRPr="008104EA">
        <w:rPr>
          <w:rFonts w:ascii="Verdana" w:hAnsi="Verdana" w:cs="Arial"/>
          <w:sz w:val="18"/>
          <w:szCs w:val="18"/>
        </w:rPr>
        <w:t>belang</w:t>
      </w:r>
      <w:r w:rsidR="00256FCB">
        <w:rPr>
          <w:rFonts w:ascii="Verdana" w:hAnsi="Verdana" w:cs="Arial"/>
          <w:sz w:val="18"/>
          <w:szCs w:val="18"/>
        </w:rPr>
        <w:t>en</w:t>
      </w:r>
      <w:r w:rsidRPr="008104EA">
        <w:rPr>
          <w:rFonts w:ascii="Verdana" w:hAnsi="Verdana" w:cs="Arial"/>
          <w:sz w:val="18"/>
          <w:szCs w:val="18"/>
        </w:rPr>
        <w:t xml:space="preserve"> van alle </w:t>
      </w:r>
      <w:r w:rsidR="00256FCB">
        <w:rPr>
          <w:rFonts w:ascii="Verdana" w:hAnsi="Verdana" w:cs="Arial"/>
          <w:sz w:val="18"/>
          <w:szCs w:val="18"/>
        </w:rPr>
        <w:t xml:space="preserve">stakeholders </w:t>
      </w:r>
      <w:r w:rsidRPr="008104EA">
        <w:rPr>
          <w:rFonts w:ascii="Verdana" w:hAnsi="Verdana" w:cs="Arial"/>
          <w:sz w:val="18"/>
          <w:szCs w:val="18"/>
        </w:rPr>
        <w:t xml:space="preserve">van Aegon </w:t>
      </w:r>
      <w:r w:rsidR="00EB43C5">
        <w:rPr>
          <w:rFonts w:ascii="Verdana" w:hAnsi="Verdana" w:cs="Arial"/>
          <w:sz w:val="18"/>
          <w:szCs w:val="18"/>
        </w:rPr>
        <w:t>te behartigen</w:t>
      </w:r>
      <w:r w:rsidRPr="008104EA">
        <w:rPr>
          <w:rFonts w:ascii="Verdana" w:hAnsi="Verdana" w:cs="Arial"/>
          <w:sz w:val="18"/>
          <w:szCs w:val="18"/>
        </w:rPr>
        <w:t xml:space="preserve">. Bovendien stelt de transactie de </w:t>
      </w:r>
      <w:r w:rsidR="00EB43C5">
        <w:rPr>
          <w:rFonts w:ascii="Verdana" w:hAnsi="Verdana" w:cs="Arial"/>
          <w:sz w:val="18"/>
          <w:szCs w:val="18"/>
        </w:rPr>
        <w:t>V</w:t>
      </w:r>
      <w:r w:rsidRPr="008104EA">
        <w:rPr>
          <w:rFonts w:ascii="Verdana" w:hAnsi="Verdana" w:cs="Arial"/>
          <w:sz w:val="18"/>
          <w:szCs w:val="18"/>
        </w:rPr>
        <w:t>ereniging in staat haar schuld aanzienlijk te beperken.</w:t>
      </w:r>
      <w:r w:rsidR="00EB43C5">
        <w:rPr>
          <w:rFonts w:ascii="Verdana" w:hAnsi="Verdana" w:cs="Arial"/>
          <w:sz w:val="18"/>
          <w:szCs w:val="18"/>
        </w:rPr>
        <w:t xml:space="preserve"> En </w:t>
      </w:r>
      <w:r w:rsidR="00AC70C7">
        <w:rPr>
          <w:rFonts w:ascii="Verdana" w:hAnsi="Verdana" w:cs="Arial"/>
          <w:sz w:val="18"/>
          <w:szCs w:val="18"/>
        </w:rPr>
        <w:t>hoewel</w:t>
      </w:r>
      <w:r w:rsidRPr="008104EA">
        <w:rPr>
          <w:rFonts w:ascii="Verdana" w:hAnsi="Verdana" w:cs="Arial"/>
          <w:sz w:val="18"/>
          <w:szCs w:val="18"/>
        </w:rPr>
        <w:t xml:space="preserve"> de </w:t>
      </w:r>
      <w:r w:rsidR="00EB43C5">
        <w:rPr>
          <w:rFonts w:ascii="Verdana" w:hAnsi="Verdana" w:cs="Arial"/>
          <w:sz w:val="18"/>
          <w:szCs w:val="18"/>
        </w:rPr>
        <w:t>V</w:t>
      </w:r>
      <w:r w:rsidRPr="008104EA">
        <w:rPr>
          <w:rFonts w:ascii="Verdana" w:hAnsi="Verdana" w:cs="Arial"/>
          <w:sz w:val="18"/>
          <w:szCs w:val="18"/>
        </w:rPr>
        <w:t xml:space="preserve">erenging afstand doet van haar positie als preferente aandeelhouder, willen </w:t>
      </w:r>
      <w:r w:rsidR="00EB43C5">
        <w:rPr>
          <w:rFonts w:ascii="Verdana" w:hAnsi="Verdana" w:cs="Arial"/>
          <w:sz w:val="18"/>
          <w:szCs w:val="18"/>
        </w:rPr>
        <w:t xml:space="preserve">wij </w:t>
      </w:r>
      <w:r w:rsidRPr="008104EA">
        <w:rPr>
          <w:rFonts w:ascii="Verdana" w:hAnsi="Verdana" w:cs="Arial"/>
          <w:sz w:val="18"/>
          <w:szCs w:val="18"/>
        </w:rPr>
        <w:t>de</w:t>
      </w:r>
      <w:r w:rsidR="00EB43C5">
        <w:rPr>
          <w:rFonts w:ascii="Verdana" w:hAnsi="Verdana" w:cs="Arial"/>
          <w:sz w:val="18"/>
          <w:szCs w:val="18"/>
        </w:rPr>
        <w:t xml:space="preserve"> gelegenheid te baat nemen om </w:t>
      </w:r>
      <w:r w:rsidRPr="008104EA">
        <w:rPr>
          <w:rFonts w:ascii="Verdana" w:hAnsi="Verdana" w:cs="Arial"/>
          <w:sz w:val="18"/>
          <w:szCs w:val="18"/>
        </w:rPr>
        <w:t xml:space="preserve">onze verbondenheid met Aegon voor de lange termijn </w:t>
      </w:r>
      <w:r w:rsidR="00EB43C5">
        <w:rPr>
          <w:rFonts w:ascii="Verdana" w:hAnsi="Verdana" w:cs="Arial"/>
          <w:sz w:val="18"/>
          <w:szCs w:val="18"/>
        </w:rPr>
        <w:t>opnieuw te bevestigen</w:t>
      </w:r>
      <w:r w:rsidRPr="008104EA">
        <w:rPr>
          <w:rFonts w:ascii="Verdana" w:hAnsi="Verdana" w:cs="Arial"/>
          <w:sz w:val="18"/>
          <w:szCs w:val="18"/>
        </w:rPr>
        <w:t>.”</w:t>
      </w:r>
    </w:p>
    <w:p w:rsidR="008104EA" w:rsidRPr="007007E3" w:rsidRDefault="008104EA" w:rsidP="008104EA">
      <w:pPr>
        <w:spacing w:after="0"/>
        <w:rPr>
          <w:rFonts w:ascii="Verdana" w:hAnsi="Verdana" w:cs="Arial"/>
          <w:sz w:val="18"/>
          <w:szCs w:val="18"/>
        </w:rPr>
      </w:pPr>
    </w:p>
    <w:p w:rsidR="001C7CB8" w:rsidRPr="008104EA" w:rsidRDefault="008104EA" w:rsidP="008104EA">
      <w:pPr>
        <w:spacing w:after="0"/>
        <w:rPr>
          <w:rFonts w:ascii="Verdana" w:hAnsi="Verdana" w:cs="Arial"/>
          <w:sz w:val="18"/>
          <w:szCs w:val="18"/>
        </w:rPr>
      </w:pPr>
      <w:r w:rsidRPr="008104EA">
        <w:rPr>
          <w:rFonts w:ascii="Verdana" w:hAnsi="Verdana" w:cs="Arial"/>
          <w:sz w:val="18"/>
          <w:szCs w:val="18"/>
        </w:rPr>
        <w:t>De Raad van Commissarissen van Aegon zal op 15 mei 2013 de nieuwe kapitaalstructuur ter goedkeuring voorleggen aan de Algemene Vergadering van Aandeelhouders.</w:t>
      </w:r>
      <w:r w:rsidR="001C7CB8" w:rsidRPr="005B7809">
        <w:rPr>
          <w:rFonts w:ascii="Verdana" w:hAnsi="Verdana"/>
          <w:sz w:val="20"/>
          <w:szCs w:val="20"/>
        </w:rPr>
        <w:t xml:space="preserve"> </w:t>
      </w:r>
    </w:p>
    <w:p w:rsidR="008104EA" w:rsidRDefault="008104EA" w:rsidP="00725F8C">
      <w:pPr>
        <w:rPr>
          <w:rFonts w:ascii="Verdana" w:hAnsi="Verdana" w:cs="Arial"/>
          <w:sz w:val="16"/>
          <w:szCs w:val="16"/>
        </w:rPr>
      </w:pPr>
    </w:p>
    <w:p w:rsidR="00AC70C7" w:rsidRPr="00794B1C" w:rsidRDefault="00AC70C7" w:rsidP="00725F8C">
      <w:pPr>
        <w:rPr>
          <w:rFonts w:ascii="Verdana" w:hAnsi="Verdana" w:cs="Arial"/>
          <w:sz w:val="16"/>
          <w:szCs w:val="16"/>
        </w:rPr>
      </w:pPr>
    </w:p>
    <w:p w:rsidR="007007E3" w:rsidRDefault="00B3464A" w:rsidP="00725F8C">
      <w:pPr>
        <w:rPr>
          <w:rFonts w:ascii="Verdana" w:hAnsi="Verdana"/>
          <w:sz w:val="16"/>
          <w:szCs w:val="16"/>
        </w:rPr>
        <w:sectPr w:rsidR="007007E3" w:rsidSect="0024700B">
          <w:headerReference w:type="even" r:id="rId8"/>
          <w:headerReference w:type="default" r:id="rId9"/>
          <w:footerReference w:type="even" r:id="rId10"/>
          <w:footerReference w:type="default" r:id="rId11"/>
          <w:pgSz w:w="11907" w:h="16839" w:code="9"/>
          <w:pgMar w:top="825" w:right="1197" w:bottom="180" w:left="1440" w:header="450" w:footer="1057" w:gutter="0"/>
          <w:cols w:space="720"/>
          <w:docGrid w:linePitch="360"/>
        </w:sectPr>
      </w:pPr>
      <w:r w:rsidRPr="00AD3832">
        <w:rPr>
          <w:rFonts w:ascii="Verdana" w:hAnsi="Verdana" w:cs="Arial"/>
          <w:i/>
          <w:sz w:val="16"/>
          <w:szCs w:val="16"/>
        </w:rPr>
        <w:t>Voor</w:t>
      </w:r>
      <w:r w:rsidR="00BF310E">
        <w:rPr>
          <w:rFonts w:ascii="Verdana" w:hAnsi="Verdana" w:cs="Arial"/>
          <w:i/>
          <w:sz w:val="16"/>
          <w:szCs w:val="16"/>
        </w:rPr>
        <w:t xml:space="preserve"> aanvullende informatie </w:t>
      </w:r>
      <w:r w:rsidR="008104EA">
        <w:rPr>
          <w:rFonts w:ascii="Verdana" w:hAnsi="Verdana" w:cs="Arial"/>
          <w:i/>
          <w:sz w:val="16"/>
          <w:szCs w:val="16"/>
        </w:rPr>
        <w:t xml:space="preserve">verwijzen wij naar </w:t>
      </w:r>
      <w:r w:rsidRPr="00AD3832">
        <w:rPr>
          <w:rFonts w:ascii="Verdana" w:hAnsi="Verdana" w:cs="Arial"/>
          <w:i/>
          <w:sz w:val="16"/>
          <w:szCs w:val="16"/>
        </w:rPr>
        <w:t xml:space="preserve">het officiële Engelstalige persbericht </w:t>
      </w:r>
      <w:r w:rsidR="008104EA">
        <w:rPr>
          <w:rFonts w:ascii="Verdana" w:hAnsi="Verdana" w:cs="Arial"/>
          <w:i/>
          <w:sz w:val="16"/>
          <w:szCs w:val="16"/>
        </w:rPr>
        <w:t xml:space="preserve">op </w:t>
      </w:r>
      <w:r w:rsidRPr="00AD3832">
        <w:rPr>
          <w:rFonts w:ascii="Verdana" w:hAnsi="Verdana" w:cs="Arial"/>
          <w:i/>
          <w:sz w:val="16"/>
          <w:szCs w:val="16"/>
        </w:rPr>
        <w:t xml:space="preserve">de corporate website </w:t>
      </w:r>
      <w:hyperlink r:id="rId12" w:history="1">
        <w:r w:rsidRPr="00AD3832">
          <w:rPr>
            <w:rStyle w:val="Hyperlink"/>
            <w:rFonts w:ascii="Verdana" w:hAnsi="Verdana"/>
            <w:szCs w:val="16"/>
          </w:rPr>
          <w:t>aegon.com</w:t>
        </w:r>
      </w:hyperlink>
      <w:r w:rsidRPr="00AD3832">
        <w:rPr>
          <w:rFonts w:ascii="Verdana" w:hAnsi="Verdana"/>
          <w:sz w:val="16"/>
          <w:szCs w:val="16"/>
        </w:rPr>
        <w:t>.</w:t>
      </w:r>
    </w:p>
    <w:p w:rsidR="007801BA" w:rsidRDefault="007801BA" w:rsidP="007007E3">
      <w:pPr>
        <w:spacing w:after="0" w:line="240" w:lineRule="auto"/>
        <w:rPr>
          <w:rFonts w:ascii="Verdana" w:eastAsiaTheme="majorEastAsia" w:hAnsi="Verdana" w:cstheme="majorBidi"/>
          <w:b/>
          <w:bCs/>
          <w:iCs/>
          <w:noProof/>
          <w:color w:val="005CAE"/>
          <w:sz w:val="18"/>
          <w:szCs w:val="18"/>
        </w:rPr>
      </w:pPr>
    </w:p>
    <w:p w:rsidR="007007E3" w:rsidRPr="00AF20FB" w:rsidRDefault="007007E3" w:rsidP="007007E3">
      <w:pPr>
        <w:spacing w:after="0" w:line="240" w:lineRule="auto"/>
        <w:rPr>
          <w:rFonts w:ascii="Verdana" w:eastAsiaTheme="majorEastAsia" w:hAnsi="Verdana" w:cstheme="majorBidi"/>
          <w:b/>
          <w:bCs/>
          <w:iCs/>
          <w:noProof/>
          <w:color w:val="005CAE"/>
          <w:sz w:val="18"/>
          <w:szCs w:val="18"/>
        </w:rPr>
      </w:pPr>
      <w:r w:rsidRPr="00AF20FB">
        <w:rPr>
          <w:rFonts w:ascii="Verdana" w:eastAsiaTheme="majorEastAsia" w:hAnsi="Verdana" w:cstheme="majorBidi"/>
          <w:b/>
          <w:bCs/>
          <w:iCs/>
          <w:noProof/>
          <w:color w:val="005CAE"/>
          <w:sz w:val="18"/>
          <w:szCs w:val="18"/>
        </w:rPr>
        <w:t>DISCLAIMERS</w:t>
      </w:r>
    </w:p>
    <w:p w:rsidR="007007E3" w:rsidRDefault="007007E3" w:rsidP="007007E3">
      <w:pPr>
        <w:spacing w:after="0" w:line="240" w:lineRule="auto"/>
        <w:rPr>
          <w:rFonts w:ascii="Arial" w:hAnsi="Arial" w:cs="Arial"/>
          <w:b/>
          <w:sz w:val="14"/>
          <w:szCs w:val="14"/>
        </w:rPr>
      </w:pPr>
    </w:p>
    <w:p w:rsidR="007007E3" w:rsidRPr="006F4224" w:rsidRDefault="007007E3" w:rsidP="007007E3">
      <w:pPr>
        <w:spacing w:line="240" w:lineRule="auto"/>
        <w:rPr>
          <w:rFonts w:ascii="Arial" w:hAnsi="Arial" w:cs="Arial"/>
          <w:sz w:val="14"/>
          <w:szCs w:val="14"/>
        </w:rPr>
      </w:pPr>
      <w:r w:rsidRPr="006F4224">
        <w:rPr>
          <w:rFonts w:ascii="Arial" w:hAnsi="Arial" w:cs="Arial"/>
          <w:b/>
          <w:sz w:val="14"/>
          <w:szCs w:val="14"/>
        </w:rPr>
        <w:t xml:space="preserve">Rapportage volgens GAAP </w:t>
      </w:r>
      <w:r w:rsidRPr="006F4224">
        <w:rPr>
          <w:rFonts w:ascii="Arial" w:hAnsi="Arial" w:cs="Arial"/>
          <w:b/>
          <w:sz w:val="14"/>
          <w:szCs w:val="14"/>
        </w:rPr>
        <w:br/>
      </w:r>
      <w:r w:rsidRPr="006F4224">
        <w:rPr>
          <w:rFonts w:ascii="Arial" w:hAnsi="Arial" w:cs="Arial"/>
          <w:sz w:val="14"/>
          <w:szCs w:val="14"/>
        </w:rPr>
        <w:t xml:space="preserve">In dit document zijn verschillende maatstaven opgenomen die niet behoren tot de algemene waarderingsgrondslagen (GAAP): onderliggend resultaat vóór belastingen en marktconforme waarde nieuwe productie. Voor de reconciliatie van onderliggend resultaat vóór belastingen naar de best vergelijkbare IFRS maatstaf zie noot 3 “Segment Information” van Aegon’s “Condensed consolidated interim financial statements” (uitsluitend beschikbaar in het Engels). Marktconforme waarde nieuwe productie is niet gebaseerd op IFRS, die Aegon gebruikt voor zijn primaire financiële rapportage, en moet niet worden gezien als een vervanging voor IFRS-maatstaven. Het kan zijn dat Aegon een andere definitie voor marktconforme waarde nieuwe productie hanteert dan andere ondernemingen. Aegon is van mening dat de niet-GAAP maatstaven tezamen met de IFRS gegevens de beleggerswereld zinvolle aanvullende informatie verschaffen die de directie van Aegon gebruikt om haar activiteiten aan te sturen, alsmede bruikbare informatie aan de beleggerswereld verschaffen om Aegon’s activiteiten te kunnen vergelijken met de activiteiten van de peers. </w:t>
      </w:r>
    </w:p>
    <w:p w:rsidR="007007E3" w:rsidRPr="006F4224" w:rsidRDefault="007007E3" w:rsidP="007007E3">
      <w:pPr>
        <w:pStyle w:val="Headingtext"/>
        <w:rPr>
          <w:rFonts w:cs="Arial"/>
          <w:color w:val="FF0000"/>
          <w:sz w:val="14"/>
          <w:szCs w:val="14"/>
        </w:rPr>
      </w:pPr>
      <w:r w:rsidRPr="006F4224">
        <w:rPr>
          <w:rFonts w:cs="Arial"/>
          <w:color w:val="auto"/>
          <w:sz w:val="14"/>
          <w:szCs w:val="14"/>
        </w:rPr>
        <w:t>Belangrijke noot met betrekking tot toekomstgerichte verklaringen</w:t>
      </w:r>
    </w:p>
    <w:p w:rsidR="007007E3" w:rsidRPr="006F4224" w:rsidRDefault="007007E3" w:rsidP="007007E3">
      <w:pPr>
        <w:spacing w:after="0" w:line="240" w:lineRule="auto"/>
        <w:rPr>
          <w:rFonts w:ascii="Arial" w:hAnsi="Arial" w:cs="Arial"/>
          <w:sz w:val="14"/>
          <w:szCs w:val="14"/>
        </w:rPr>
      </w:pPr>
      <w:r w:rsidRPr="006F4224">
        <w:rPr>
          <w:rFonts w:ascii="Arial" w:hAnsi="Arial" w:cs="Arial"/>
          <w:sz w:val="14"/>
          <w:szCs w:val="14"/>
        </w:rPr>
        <w:t xml:space="preserve">De in dit document opgenomen mededelingen, voor zover geen historische feiten, zijn ‘toekomstgerichte verklaringen’ als bedoeld in de Amerikaanse Private Securities Litigation Reform Act uit 1995. De volgende woorden duiden op dergelijke toekomstgerichte verklaringen: nastreven, geloven, schatten, beogen, van plan zijn, kunnen, verwachten, voorspellen, ramen, rekenen op, voornemen, voortzetten, willen, voorzien, zou moeten, zal kunnen, is overtuigd, zullen en soortgelijke uitdrukkingen, voor zover betrekking hebbend op Aegon. Deze mededelingen zijn geen garanties voor toekomstige resultaten en omvatten risico’s, onzekerheden en aannames die moeilijk zijn te voorspellen. Aegon acht zich niet gehouden om enige toekomstgerichte verklaring publiekelijk te herzien of bij te stellen. Lezers dienen niet te zeer te vertrouwen op dergelijke toekomstgerichte verklaringen, die slechts verwachtingen ten tijde van het samenstellen van dit bericht weergeven. De werkelijk behaalde resultaten kunnen materieel verschillen van de in de toekomstgerichte verklaringen uitgesproken verwachtingen als gevolg van verschillende risico’s en onzekerheden, zoals onder meer: </w:t>
      </w:r>
    </w:p>
    <w:p w:rsidR="007007E3" w:rsidRPr="006F4224" w:rsidRDefault="007007E3" w:rsidP="007007E3">
      <w:pPr>
        <w:pStyle w:val="ListParagraph"/>
        <w:numPr>
          <w:ilvl w:val="0"/>
          <w:numId w:val="5"/>
        </w:numPr>
        <w:spacing w:after="0" w:line="240" w:lineRule="auto"/>
        <w:ind w:left="270" w:hanging="270"/>
        <w:rPr>
          <w:rFonts w:ascii="Arial" w:hAnsi="Arial" w:cs="Arial"/>
          <w:sz w:val="14"/>
          <w:szCs w:val="14"/>
        </w:rPr>
      </w:pPr>
      <w:r w:rsidRPr="006F4224">
        <w:rPr>
          <w:rFonts w:ascii="Arial" w:hAnsi="Arial" w:cs="Arial"/>
          <w:sz w:val="14"/>
          <w:szCs w:val="14"/>
        </w:rPr>
        <w:t>wijzigingen van de algemene economische omstandigheden, met name in de Verenigde Staten, Nederland en het Verenigd Koninkrijk;</w:t>
      </w:r>
    </w:p>
    <w:p w:rsidR="007007E3" w:rsidRPr="006F4224" w:rsidRDefault="007007E3" w:rsidP="007007E3">
      <w:pPr>
        <w:pStyle w:val="ListParagraph"/>
        <w:numPr>
          <w:ilvl w:val="0"/>
          <w:numId w:val="5"/>
        </w:numPr>
        <w:spacing w:after="0" w:line="240" w:lineRule="auto"/>
        <w:ind w:left="270" w:hanging="270"/>
        <w:rPr>
          <w:rFonts w:ascii="Arial" w:hAnsi="Arial" w:cs="Arial"/>
          <w:sz w:val="14"/>
          <w:szCs w:val="14"/>
        </w:rPr>
      </w:pPr>
      <w:r w:rsidRPr="006F4224">
        <w:rPr>
          <w:rFonts w:ascii="Arial" w:hAnsi="Arial" w:cs="Arial"/>
          <w:sz w:val="14"/>
          <w:szCs w:val="14"/>
        </w:rPr>
        <w:t>veranderingen op de financiële markten, waaronder begrepen de ‘emerging markets’, bijvoorbeeld met betrekking tot:</w:t>
      </w:r>
    </w:p>
    <w:p w:rsidR="007007E3" w:rsidRPr="006F4224" w:rsidRDefault="007007E3" w:rsidP="007007E3">
      <w:pPr>
        <w:numPr>
          <w:ilvl w:val="1"/>
          <w:numId w:val="4"/>
        </w:numPr>
        <w:tabs>
          <w:tab w:val="num" w:pos="525"/>
        </w:tabs>
        <w:spacing w:after="0" w:line="240" w:lineRule="auto"/>
        <w:ind w:left="525" w:hanging="210"/>
        <w:rPr>
          <w:rFonts w:ascii="Arial" w:hAnsi="Arial" w:cs="Arial"/>
          <w:sz w:val="14"/>
          <w:szCs w:val="14"/>
        </w:rPr>
      </w:pPr>
      <w:r w:rsidRPr="006F4224">
        <w:rPr>
          <w:rFonts w:ascii="Arial" w:hAnsi="Arial" w:cs="Arial"/>
          <w:sz w:val="14"/>
          <w:szCs w:val="14"/>
        </w:rPr>
        <w:t xml:space="preserve">de frequentie en omvang van wanbetaling in Aegon’s vastrentende beleggingsportefeuilles; </w:t>
      </w:r>
    </w:p>
    <w:p w:rsidR="007007E3" w:rsidRPr="006F4224" w:rsidRDefault="007007E3" w:rsidP="007007E3">
      <w:pPr>
        <w:numPr>
          <w:ilvl w:val="1"/>
          <w:numId w:val="4"/>
        </w:numPr>
        <w:tabs>
          <w:tab w:val="num" w:pos="525"/>
        </w:tabs>
        <w:spacing w:after="0" w:line="240" w:lineRule="auto"/>
        <w:ind w:left="525" w:hanging="210"/>
        <w:rPr>
          <w:rFonts w:ascii="Arial" w:hAnsi="Arial" w:cs="Arial"/>
          <w:sz w:val="14"/>
          <w:szCs w:val="14"/>
        </w:rPr>
      </w:pPr>
      <w:r w:rsidRPr="006F4224">
        <w:rPr>
          <w:rFonts w:ascii="Arial" w:hAnsi="Arial" w:cs="Arial"/>
          <w:sz w:val="14"/>
          <w:szCs w:val="14"/>
        </w:rPr>
        <w:t>het effect op de financiële markten van faillissementen en/of bijstelling van gerapporteerde resultaten in het bedrijfsleven en de daarmee verband houdende waardedaling van aandelen en schuldpapier; en</w:t>
      </w:r>
    </w:p>
    <w:p w:rsidR="007007E3" w:rsidRPr="006F4224" w:rsidRDefault="007007E3" w:rsidP="007007E3">
      <w:pPr>
        <w:numPr>
          <w:ilvl w:val="1"/>
          <w:numId w:val="4"/>
        </w:numPr>
        <w:tabs>
          <w:tab w:val="num" w:pos="525"/>
        </w:tabs>
        <w:spacing w:after="0" w:line="240" w:lineRule="auto"/>
        <w:ind w:left="525" w:hanging="210"/>
        <w:rPr>
          <w:rFonts w:ascii="Arial" w:hAnsi="Arial" w:cs="Arial"/>
          <w:sz w:val="14"/>
          <w:szCs w:val="14"/>
        </w:rPr>
      </w:pPr>
      <w:r w:rsidRPr="006F4224">
        <w:rPr>
          <w:rFonts w:ascii="Arial" w:hAnsi="Arial" w:cs="Arial"/>
          <w:sz w:val="14"/>
          <w:szCs w:val="14"/>
        </w:rPr>
        <w:t>het effect van dalende kredietwaardigheid in bepaalde beleggingen uitgegeven door de private sector en de daarmee verband houdende waardedaling van aangehouden beleggingen in de private sector.</w:t>
      </w:r>
    </w:p>
    <w:p w:rsidR="007007E3" w:rsidRPr="006F4224" w:rsidRDefault="007007E3" w:rsidP="007007E3">
      <w:pPr>
        <w:pStyle w:val="ListParagraph"/>
        <w:numPr>
          <w:ilvl w:val="0"/>
          <w:numId w:val="5"/>
        </w:numPr>
        <w:spacing w:after="0" w:line="240" w:lineRule="auto"/>
        <w:ind w:left="270" w:hanging="270"/>
        <w:rPr>
          <w:rFonts w:ascii="Arial" w:hAnsi="Arial" w:cs="Arial"/>
          <w:sz w:val="14"/>
          <w:szCs w:val="14"/>
        </w:rPr>
      </w:pPr>
      <w:r w:rsidRPr="006F4224">
        <w:rPr>
          <w:rFonts w:ascii="Arial" w:hAnsi="Arial" w:cs="Arial"/>
          <w:sz w:val="14"/>
          <w:szCs w:val="14"/>
        </w:rPr>
        <w:t>veranderingen in Aegon’s beleggingsportefeuille mede door dalende kredietwaardigheidsratings van zijn tegenpartijen;</w:t>
      </w:r>
    </w:p>
    <w:p w:rsidR="007007E3" w:rsidRPr="006F4224" w:rsidRDefault="007007E3" w:rsidP="007007E3">
      <w:pPr>
        <w:pStyle w:val="ListParagraph"/>
        <w:numPr>
          <w:ilvl w:val="0"/>
          <w:numId w:val="5"/>
        </w:numPr>
        <w:spacing w:after="0" w:line="240" w:lineRule="auto"/>
        <w:ind w:left="270" w:hanging="270"/>
        <w:rPr>
          <w:rFonts w:ascii="Arial" w:hAnsi="Arial" w:cs="Arial"/>
          <w:sz w:val="14"/>
          <w:szCs w:val="14"/>
        </w:rPr>
      </w:pPr>
      <w:r w:rsidRPr="006F4224">
        <w:rPr>
          <w:rFonts w:ascii="Arial" w:hAnsi="Arial" w:cs="Arial"/>
          <w:sz w:val="14"/>
          <w:szCs w:val="14"/>
        </w:rPr>
        <w:t>gevolgen van het eventueel (partieel) openbreken van de eurozone;</w:t>
      </w:r>
    </w:p>
    <w:p w:rsidR="007007E3" w:rsidRPr="006F4224" w:rsidRDefault="007007E3" w:rsidP="007007E3">
      <w:pPr>
        <w:pStyle w:val="ListParagraph"/>
        <w:numPr>
          <w:ilvl w:val="0"/>
          <w:numId w:val="5"/>
        </w:numPr>
        <w:spacing w:after="0" w:line="240" w:lineRule="auto"/>
        <w:ind w:left="270" w:hanging="270"/>
        <w:rPr>
          <w:rFonts w:ascii="Arial" w:hAnsi="Arial" w:cs="Arial"/>
          <w:sz w:val="14"/>
          <w:szCs w:val="14"/>
        </w:rPr>
      </w:pPr>
      <w:r w:rsidRPr="006F4224">
        <w:rPr>
          <w:rFonts w:ascii="Arial" w:hAnsi="Arial" w:cs="Arial"/>
          <w:sz w:val="14"/>
          <w:szCs w:val="14"/>
        </w:rPr>
        <w:t>de frequentie en omvang van verzekerde schadegevallen;</w:t>
      </w:r>
    </w:p>
    <w:p w:rsidR="007007E3" w:rsidRPr="006F4224" w:rsidRDefault="007007E3" w:rsidP="007007E3">
      <w:pPr>
        <w:pStyle w:val="ListParagraph"/>
        <w:numPr>
          <w:ilvl w:val="0"/>
          <w:numId w:val="5"/>
        </w:numPr>
        <w:spacing w:after="0" w:line="240" w:lineRule="auto"/>
        <w:ind w:left="270" w:hanging="270"/>
        <w:rPr>
          <w:rFonts w:ascii="Arial" w:hAnsi="Arial" w:cs="Arial"/>
          <w:sz w:val="14"/>
          <w:szCs w:val="14"/>
        </w:rPr>
      </w:pPr>
      <w:r w:rsidRPr="006F4224">
        <w:rPr>
          <w:rFonts w:ascii="Arial" w:hAnsi="Arial" w:cs="Arial"/>
          <w:sz w:val="14"/>
          <w:szCs w:val="14"/>
        </w:rPr>
        <w:t>veranderingen die van invloed zijn op sterftecijfers, levensverwachting, verval en andere factoren die de winstgevendheid van Aegon’s verzekeringsproducten kunnen beïnvloeden;</w:t>
      </w:r>
    </w:p>
    <w:p w:rsidR="007007E3" w:rsidRPr="006F4224" w:rsidRDefault="007007E3" w:rsidP="007007E3">
      <w:pPr>
        <w:pStyle w:val="ListParagraph"/>
        <w:numPr>
          <w:ilvl w:val="0"/>
          <w:numId w:val="5"/>
        </w:numPr>
        <w:spacing w:after="0" w:line="240" w:lineRule="auto"/>
        <w:ind w:left="270" w:hanging="270"/>
        <w:rPr>
          <w:rFonts w:ascii="Arial" w:hAnsi="Arial" w:cs="Arial"/>
          <w:sz w:val="14"/>
          <w:szCs w:val="14"/>
        </w:rPr>
      </w:pPr>
      <w:r w:rsidRPr="006F4224">
        <w:rPr>
          <w:rFonts w:ascii="Arial" w:hAnsi="Arial" w:cs="Arial"/>
          <w:sz w:val="14"/>
          <w:szCs w:val="14"/>
        </w:rPr>
        <w:t>het effect van herverzekeraars waar Aegon significante risico’s heeft ondergebracht die niet kunnen voldoen aan hun betalingsverplichtingen;</w:t>
      </w:r>
    </w:p>
    <w:p w:rsidR="007007E3" w:rsidRPr="006F4224" w:rsidRDefault="007007E3" w:rsidP="007007E3">
      <w:pPr>
        <w:pStyle w:val="ListParagraph"/>
        <w:numPr>
          <w:ilvl w:val="0"/>
          <w:numId w:val="5"/>
        </w:numPr>
        <w:spacing w:after="0" w:line="240" w:lineRule="auto"/>
        <w:ind w:left="270" w:hanging="270"/>
        <w:rPr>
          <w:rFonts w:ascii="Arial" w:hAnsi="Arial" w:cs="Arial"/>
          <w:sz w:val="14"/>
          <w:szCs w:val="14"/>
        </w:rPr>
      </w:pPr>
      <w:r w:rsidRPr="006F4224">
        <w:rPr>
          <w:rFonts w:ascii="Arial" w:hAnsi="Arial" w:cs="Arial"/>
          <w:sz w:val="14"/>
          <w:szCs w:val="14"/>
        </w:rPr>
        <w:t>veranderingen die de rentestanden beïnvloeden en aanhoudende lage rentestanden of snel veranderende rentestanden;</w:t>
      </w:r>
    </w:p>
    <w:p w:rsidR="007007E3" w:rsidRPr="006F4224" w:rsidRDefault="007007E3" w:rsidP="007007E3">
      <w:pPr>
        <w:pStyle w:val="ListParagraph"/>
        <w:numPr>
          <w:ilvl w:val="0"/>
          <w:numId w:val="5"/>
        </w:numPr>
        <w:spacing w:after="0" w:line="240" w:lineRule="auto"/>
        <w:ind w:left="270" w:hanging="270"/>
        <w:rPr>
          <w:rFonts w:ascii="Arial" w:hAnsi="Arial" w:cs="Arial"/>
          <w:sz w:val="14"/>
          <w:szCs w:val="14"/>
        </w:rPr>
      </w:pPr>
      <w:r w:rsidRPr="006F4224">
        <w:rPr>
          <w:rFonts w:ascii="Arial" w:hAnsi="Arial" w:cs="Arial"/>
          <w:sz w:val="14"/>
          <w:szCs w:val="14"/>
        </w:rPr>
        <w:t>veranderingen die invloed hebben op de wisselkoersen, in het bijzonder de EUR/USD en EUR/GBP wisselkoersen;</w:t>
      </w:r>
    </w:p>
    <w:p w:rsidR="007007E3" w:rsidRPr="006F4224" w:rsidRDefault="007007E3" w:rsidP="007007E3">
      <w:pPr>
        <w:pStyle w:val="ListParagraph"/>
        <w:numPr>
          <w:ilvl w:val="0"/>
          <w:numId w:val="5"/>
        </w:numPr>
        <w:spacing w:after="0" w:line="240" w:lineRule="auto"/>
        <w:ind w:left="270" w:hanging="270"/>
        <w:rPr>
          <w:rFonts w:ascii="Arial" w:hAnsi="Arial" w:cs="Arial"/>
          <w:sz w:val="14"/>
          <w:szCs w:val="14"/>
        </w:rPr>
      </w:pPr>
      <w:r w:rsidRPr="006F4224">
        <w:rPr>
          <w:rFonts w:ascii="Arial" w:hAnsi="Arial" w:cs="Arial"/>
          <w:sz w:val="14"/>
          <w:szCs w:val="14"/>
        </w:rPr>
        <w:t xml:space="preserve">veranderingen in de beschikbaarheid van, en de kosten gemoeid met, bronnen van liquiditeit zoals krediet van banken en de kapitaalmarkten, alsmede de omstandigheden op de kredietmarkten in het algemeen, zoals veranderingen in de kredietwaardigheid van tegenpartijen; </w:t>
      </w:r>
    </w:p>
    <w:p w:rsidR="007007E3" w:rsidRPr="006F4224" w:rsidRDefault="007007E3" w:rsidP="007007E3">
      <w:pPr>
        <w:pStyle w:val="ListParagraph"/>
        <w:numPr>
          <w:ilvl w:val="0"/>
          <w:numId w:val="5"/>
        </w:numPr>
        <w:spacing w:after="0" w:line="240" w:lineRule="auto"/>
        <w:ind w:left="270" w:hanging="270"/>
        <w:rPr>
          <w:rFonts w:ascii="Arial" w:hAnsi="Arial" w:cs="Arial"/>
          <w:sz w:val="14"/>
          <w:szCs w:val="14"/>
        </w:rPr>
      </w:pPr>
      <w:r w:rsidRPr="006F4224">
        <w:rPr>
          <w:rFonts w:ascii="Arial" w:hAnsi="Arial" w:cs="Arial"/>
          <w:sz w:val="14"/>
          <w:szCs w:val="14"/>
        </w:rPr>
        <w:t>toenemende concurrentie in de Verenigde Staten, Nederland, het Verenigd Koninkrijk en de ‘emerging markets’;</w:t>
      </w:r>
    </w:p>
    <w:p w:rsidR="007007E3" w:rsidRPr="006F4224" w:rsidRDefault="007007E3" w:rsidP="007007E3">
      <w:pPr>
        <w:pStyle w:val="ListParagraph"/>
        <w:numPr>
          <w:ilvl w:val="0"/>
          <w:numId w:val="5"/>
        </w:numPr>
        <w:spacing w:after="0" w:line="240" w:lineRule="auto"/>
        <w:ind w:left="270" w:hanging="270"/>
        <w:rPr>
          <w:rFonts w:ascii="Arial" w:hAnsi="Arial" w:cs="Arial"/>
          <w:sz w:val="14"/>
          <w:szCs w:val="14"/>
        </w:rPr>
      </w:pPr>
      <w:r w:rsidRPr="006F4224">
        <w:rPr>
          <w:rFonts w:ascii="Arial" w:hAnsi="Arial" w:cs="Arial"/>
          <w:sz w:val="14"/>
          <w:szCs w:val="14"/>
        </w:rPr>
        <w:t>veranderingen in wet- en regelgeving, met name die welke Aegon’s activiteiten, het vermogen om medewerkers op sleutelposities aan te nemen en aan te houden, het productaanbod en de aantrekkelijkheid van bepaalde producten voor klanten kunnen beïnvloeden;</w:t>
      </w:r>
    </w:p>
    <w:p w:rsidR="007007E3" w:rsidRPr="006F4224" w:rsidRDefault="007007E3" w:rsidP="007007E3">
      <w:pPr>
        <w:pStyle w:val="ListParagraph"/>
        <w:numPr>
          <w:ilvl w:val="0"/>
          <w:numId w:val="5"/>
        </w:numPr>
        <w:spacing w:after="0" w:line="240" w:lineRule="auto"/>
        <w:ind w:left="270" w:hanging="270"/>
        <w:rPr>
          <w:rFonts w:ascii="Arial" w:hAnsi="Arial" w:cs="Arial"/>
          <w:sz w:val="14"/>
          <w:szCs w:val="14"/>
        </w:rPr>
      </w:pPr>
      <w:r w:rsidRPr="006F4224">
        <w:rPr>
          <w:rFonts w:ascii="Arial" w:hAnsi="Arial" w:cs="Arial"/>
          <w:sz w:val="14"/>
          <w:szCs w:val="14"/>
        </w:rPr>
        <w:t>veranderingen van het toezichtregime met betrekking tot de verzekeringsbedrijfstak in de markten waarin Aegon actief is;</w:t>
      </w:r>
    </w:p>
    <w:p w:rsidR="007007E3" w:rsidRPr="006F4224" w:rsidRDefault="007007E3" w:rsidP="007007E3">
      <w:pPr>
        <w:pStyle w:val="ListParagraph"/>
        <w:numPr>
          <w:ilvl w:val="0"/>
          <w:numId w:val="5"/>
        </w:numPr>
        <w:spacing w:after="0" w:line="240" w:lineRule="auto"/>
        <w:ind w:left="270" w:hanging="270"/>
        <w:rPr>
          <w:rFonts w:ascii="Arial" w:hAnsi="Arial" w:cs="Arial"/>
          <w:sz w:val="14"/>
          <w:szCs w:val="14"/>
        </w:rPr>
      </w:pPr>
      <w:r w:rsidRPr="006F4224">
        <w:rPr>
          <w:rFonts w:ascii="Arial" w:hAnsi="Arial" w:cs="Arial"/>
          <w:sz w:val="14"/>
          <w:szCs w:val="14"/>
        </w:rPr>
        <w:t>veranderingen in het gedrag van klanten en de publieke opinie in het algemeen met betrekking tot, onder meer, het soort producten dat ook Aegon verkoopt, daaronder begrepen in wet- en regelgeving of de commerciële noodzaak om te voldoen aan veranderende verwachtingen van klanten;</w:t>
      </w:r>
    </w:p>
    <w:p w:rsidR="007007E3" w:rsidRPr="006F4224" w:rsidRDefault="007007E3" w:rsidP="007007E3">
      <w:pPr>
        <w:pStyle w:val="ListParagraph"/>
        <w:numPr>
          <w:ilvl w:val="0"/>
          <w:numId w:val="5"/>
        </w:numPr>
        <w:spacing w:after="0" w:line="240" w:lineRule="auto"/>
        <w:ind w:left="270" w:hanging="270"/>
        <w:rPr>
          <w:rFonts w:ascii="Arial" w:hAnsi="Arial" w:cs="Arial"/>
          <w:sz w:val="14"/>
          <w:szCs w:val="14"/>
        </w:rPr>
      </w:pPr>
      <w:r w:rsidRPr="006F4224">
        <w:rPr>
          <w:rFonts w:ascii="Arial" w:hAnsi="Arial" w:cs="Arial"/>
          <w:sz w:val="14"/>
          <w:szCs w:val="14"/>
        </w:rPr>
        <w:t>overmacht, terrorisme, oorlogshandelingen en pandemieën;</w:t>
      </w:r>
    </w:p>
    <w:p w:rsidR="007007E3" w:rsidRPr="006F4224" w:rsidRDefault="007007E3" w:rsidP="007007E3">
      <w:pPr>
        <w:pStyle w:val="ListParagraph"/>
        <w:numPr>
          <w:ilvl w:val="0"/>
          <w:numId w:val="5"/>
        </w:numPr>
        <w:spacing w:after="0" w:line="240" w:lineRule="auto"/>
        <w:ind w:left="270" w:hanging="270"/>
        <w:rPr>
          <w:rFonts w:ascii="Arial" w:hAnsi="Arial" w:cs="Arial"/>
          <w:sz w:val="14"/>
          <w:szCs w:val="14"/>
        </w:rPr>
      </w:pPr>
      <w:r w:rsidRPr="006F4224">
        <w:rPr>
          <w:rFonts w:ascii="Arial" w:hAnsi="Arial" w:cs="Arial"/>
          <w:sz w:val="14"/>
          <w:szCs w:val="14"/>
        </w:rPr>
        <w:t>veranderingen in het beleid van centrale banken en/of overheden;</w:t>
      </w:r>
    </w:p>
    <w:p w:rsidR="007007E3" w:rsidRPr="006F4224" w:rsidRDefault="007007E3" w:rsidP="007007E3">
      <w:pPr>
        <w:pStyle w:val="ListParagraph"/>
        <w:numPr>
          <w:ilvl w:val="0"/>
          <w:numId w:val="5"/>
        </w:numPr>
        <w:spacing w:after="0" w:line="240" w:lineRule="auto"/>
        <w:ind w:left="270" w:hanging="270"/>
        <w:rPr>
          <w:rFonts w:ascii="Arial" w:hAnsi="Arial" w:cs="Arial"/>
          <w:sz w:val="14"/>
          <w:szCs w:val="14"/>
        </w:rPr>
      </w:pPr>
      <w:r w:rsidRPr="006F4224">
        <w:rPr>
          <w:rFonts w:ascii="Arial" w:hAnsi="Arial" w:cs="Arial"/>
          <w:sz w:val="14"/>
          <w:szCs w:val="14"/>
        </w:rPr>
        <w:t>verlaging van een of meer ratings door een kredietbeoordelingsbureau en het eventuele negatieve effect daarvan op de mogelijkheden kapitaal op te halen, op Aegon’s liquiditeit en financiële situatie;</w:t>
      </w:r>
    </w:p>
    <w:p w:rsidR="007007E3" w:rsidRPr="006F4224" w:rsidRDefault="007007E3" w:rsidP="007007E3">
      <w:pPr>
        <w:pStyle w:val="ListParagraph"/>
        <w:numPr>
          <w:ilvl w:val="0"/>
          <w:numId w:val="6"/>
        </w:numPr>
        <w:spacing w:after="0" w:line="240" w:lineRule="auto"/>
        <w:ind w:left="284" w:hanging="284"/>
        <w:rPr>
          <w:rFonts w:ascii="Arial" w:hAnsi="Arial" w:cs="Arial"/>
          <w:noProof w:val="0"/>
          <w:sz w:val="14"/>
          <w:szCs w:val="14"/>
        </w:rPr>
      </w:pPr>
      <w:r w:rsidRPr="006F4224">
        <w:rPr>
          <w:rFonts w:ascii="Arial" w:hAnsi="Arial" w:cs="Arial"/>
          <w:sz w:val="14"/>
          <w:szCs w:val="14"/>
        </w:rPr>
        <w:t xml:space="preserve">verlaging van de beoordeling van de solvabiliteit van een van Aegon’s verzekeringsdochters en het eventuele negatieve effect daarvan op geschreven premies, polisverlenging en winstgevendheid en liquiditeit van Aegon’s verzekeringsdochters; </w:t>
      </w:r>
    </w:p>
    <w:p w:rsidR="007007E3" w:rsidRPr="006F4224" w:rsidRDefault="007007E3" w:rsidP="007007E3">
      <w:pPr>
        <w:pStyle w:val="ListParagraph"/>
        <w:numPr>
          <w:ilvl w:val="0"/>
          <w:numId w:val="5"/>
        </w:numPr>
        <w:spacing w:after="0" w:line="240" w:lineRule="auto"/>
        <w:ind w:left="270" w:hanging="270"/>
        <w:rPr>
          <w:rFonts w:ascii="Arial" w:hAnsi="Arial" w:cs="Arial"/>
          <w:sz w:val="14"/>
          <w:szCs w:val="14"/>
        </w:rPr>
      </w:pPr>
      <w:r w:rsidRPr="006F4224">
        <w:rPr>
          <w:rFonts w:ascii="Arial" w:hAnsi="Arial" w:cs="Arial"/>
          <w:sz w:val="14"/>
          <w:szCs w:val="14"/>
        </w:rPr>
        <w:t>het effect van Solvency II en van regelgeving in andere jurisdicties met betrekking tot kapitaalvereisten;</w:t>
      </w:r>
    </w:p>
    <w:p w:rsidR="007007E3" w:rsidRPr="006F4224" w:rsidRDefault="007007E3" w:rsidP="007007E3">
      <w:pPr>
        <w:pStyle w:val="ListParagraph"/>
        <w:numPr>
          <w:ilvl w:val="0"/>
          <w:numId w:val="5"/>
        </w:numPr>
        <w:spacing w:after="0" w:line="240" w:lineRule="auto"/>
        <w:ind w:left="270" w:hanging="270"/>
        <w:rPr>
          <w:rFonts w:ascii="Arial" w:hAnsi="Arial" w:cs="Arial"/>
          <w:sz w:val="14"/>
          <w:szCs w:val="14"/>
        </w:rPr>
      </w:pPr>
      <w:r w:rsidRPr="006F4224">
        <w:rPr>
          <w:rFonts w:ascii="Arial" w:hAnsi="Arial" w:cs="Arial"/>
          <w:sz w:val="14"/>
          <w:szCs w:val="14"/>
        </w:rPr>
        <w:t>rechtszaken en maatregelen van toezichthouders waardoor Aegon verplicht wordt substantiële schadebetalingen te doen of Aegon’s werkwijze te veranderen;</w:t>
      </w:r>
    </w:p>
    <w:p w:rsidR="007007E3" w:rsidRPr="006F4224" w:rsidRDefault="007007E3" w:rsidP="007007E3">
      <w:pPr>
        <w:pStyle w:val="ListParagraph"/>
        <w:numPr>
          <w:ilvl w:val="0"/>
          <w:numId w:val="5"/>
        </w:numPr>
        <w:spacing w:after="0" w:line="240" w:lineRule="auto"/>
        <w:ind w:left="270" w:hanging="270"/>
        <w:rPr>
          <w:rFonts w:ascii="Arial" w:hAnsi="Arial" w:cs="Arial"/>
          <w:sz w:val="14"/>
          <w:szCs w:val="14"/>
        </w:rPr>
      </w:pPr>
      <w:r w:rsidRPr="006F4224">
        <w:rPr>
          <w:rFonts w:ascii="Arial" w:hAnsi="Arial" w:cs="Arial"/>
          <w:sz w:val="14"/>
          <w:szCs w:val="14"/>
        </w:rPr>
        <w:t>vanwege complexe transacties binnen Aegon’s bedrijfsvoering welke sterk afhankelijk zijn van een correcte werking van informatietechnologie, kan uitval van een computersysteem of een bedreiging van de informatiesystemen invloed hebben op de bedrijfsvoering, de reputatie en daarmee verband houdend een negatief effect op Aegon’s cash flows en bedrijfsresultaten hebben;</w:t>
      </w:r>
    </w:p>
    <w:p w:rsidR="007007E3" w:rsidRPr="006F4224" w:rsidRDefault="007007E3" w:rsidP="007007E3">
      <w:pPr>
        <w:pStyle w:val="ListParagraph"/>
        <w:numPr>
          <w:ilvl w:val="0"/>
          <w:numId w:val="5"/>
        </w:numPr>
        <w:spacing w:after="0" w:line="240" w:lineRule="auto"/>
        <w:ind w:left="270" w:hanging="270"/>
        <w:rPr>
          <w:rFonts w:ascii="Arial" w:hAnsi="Arial" w:cs="Arial"/>
          <w:sz w:val="14"/>
          <w:szCs w:val="14"/>
        </w:rPr>
      </w:pPr>
      <w:r w:rsidRPr="006F4224">
        <w:rPr>
          <w:rFonts w:ascii="Arial" w:hAnsi="Arial" w:cs="Arial"/>
          <w:sz w:val="14"/>
          <w:szCs w:val="14"/>
        </w:rPr>
        <w:t>het succes van nieuwe producten en distributiekanalen;</w:t>
      </w:r>
    </w:p>
    <w:p w:rsidR="007007E3" w:rsidRPr="006F4224" w:rsidRDefault="007007E3" w:rsidP="007007E3">
      <w:pPr>
        <w:pStyle w:val="ListParagraph"/>
        <w:numPr>
          <w:ilvl w:val="0"/>
          <w:numId w:val="5"/>
        </w:numPr>
        <w:spacing w:after="0" w:line="240" w:lineRule="auto"/>
        <w:ind w:left="270" w:hanging="270"/>
        <w:rPr>
          <w:rFonts w:ascii="Arial" w:hAnsi="Arial" w:cs="Arial"/>
          <w:sz w:val="14"/>
          <w:szCs w:val="14"/>
        </w:rPr>
      </w:pPr>
      <w:r w:rsidRPr="006F4224">
        <w:rPr>
          <w:rFonts w:ascii="Arial" w:hAnsi="Arial" w:cs="Arial"/>
          <w:sz w:val="14"/>
          <w:szCs w:val="14"/>
        </w:rPr>
        <w:t>veranderingen op het gebied van concurrentie, wetgeving, toezicht of belastingwetgeving die de winstgevendheid en kosten voor distributie van of vraag naar Aegon’s producten beïnvloeden;</w:t>
      </w:r>
    </w:p>
    <w:p w:rsidR="007007E3" w:rsidRPr="006F4224" w:rsidRDefault="007007E3" w:rsidP="007007E3">
      <w:pPr>
        <w:pStyle w:val="ListParagraph"/>
        <w:numPr>
          <w:ilvl w:val="0"/>
          <w:numId w:val="5"/>
        </w:numPr>
        <w:spacing w:after="0" w:line="240" w:lineRule="auto"/>
        <w:ind w:left="270" w:hanging="270"/>
        <w:rPr>
          <w:rFonts w:ascii="Arial" w:hAnsi="Arial" w:cs="Arial"/>
          <w:sz w:val="14"/>
          <w:szCs w:val="14"/>
        </w:rPr>
      </w:pPr>
      <w:r w:rsidRPr="006F4224">
        <w:rPr>
          <w:rFonts w:ascii="Arial" w:hAnsi="Arial" w:cs="Arial"/>
          <w:sz w:val="14"/>
          <w:szCs w:val="14"/>
        </w:rPr>
        <w:t>veranderingen in regelgeving op het gebied van verslaggeving welke invloed kunnen hebben op gerapporteerde resultaten en eigen vermogen;</w:t>
      </w:r>
    </w:p>
    <w:p w:rsidR="007007E3" w:rsidRPr="006F4224" w:rsidRDefault="007007E3" w:rsidP="007007E3">
      <w:pPr>
        <w:pStyle w:val="ListParagraph"/>
        <w:numPr>
          <w:ilvl w:val="0"/>
          <w:numId w:val="5"/>
        </w:numPr>
        <w:spacing w:after="0" w:line="240" w:lineRule="auto"/>
        <w:ind w:left="270" w:hanging="270"/>
        <w:rPr>
          <w:rFonts w:ascii="Arial" w:hAnsi="Arial" w:cs="Arial"/>
          <w:sz w:val="14"/>
          <w:szCs w:val="14"/>
        </w:rPr>
      </w:pPr>
      <w:r w:rsidRPr="006F4224">
        <w:rPr>
          <w:rFonts w:ascii="Arial" w:hAnsi="Arial" w:cs="Arial"/>
          <w:sz w:val="14"/>
          <w:szCs w:val="14"/>
        </w:rPr>
        <w:t>het effect van overnames en desinvesteringen, herstructureringen, beëindiging van producten en andere eenmalige gebeurtenissen, zoals het succes van de integratie van overnames en het behalen van verwachte resultaten en synergieën van overnames;</w:t>
      </w:r>
    </w:p>
    <w:p w:rsidR="007007E3" w:rsidRPr="006F4224" w:rsidRDefault="007007E3" w:rsidP="007007E3">
      <w:pPr>
        <w:pStyle w:val="ListParagraph"/>
        <w:numPr>
          <w:ilvl w:val="0"/>
          <w:numId w:val="5"/>
        </w:numPr>
        <w:spacing w:after="0" w:line="240" w:lineRule="auto"/>
        <w:ind w:left="270" w:hanging="270"/>
        <w:rPr>
          <w:rFonts w:ascii="Arial" w:hAnsi="Arial" w:cs="Arial"/>
          <w:sz w:val="14"/>
          <w:szCs w:val="14"/>
        </w:rPr>
      </w:pPr>
      <w:r w:rsidRPr="006F4224">
        <w:rPr>
          <w:rFonts w:ascii="Arial" w:hAnsi="Arial" w:cs="Arial"/>
          <w:sz w:val="14"/>
          <w:szCs w:val="14"/>
        </w:rPr>
        <w:t>catastrofes, veroorzaakt door natuur of door de mens, die resulteren in significante verliezen en die Aegon’s bedrijfsvoering significant kan ondermijnen; en</w:t>
      </w:r>
    </w:p>
    <w:p w:rsidR="007007E3" w:rsidRPr="006F4224" w:rsidRDefault="007007E3" w:rsidP="007007E3">
      <w:pPr>
        <w:pStyle w:val="ListParagraph"/>
        <w:numPr>
          <w:ilvl w:val="0"/>
          <w:numId w:val="5"/>
        </w:numPr>
        <w:spacing w:after="0" w:line="240" w:lineRule="auto"/>
        <w:ind w:left="270" w:hanging="270"/>
        <w:rPr>
          <w:rFonts w:ascii="Arial" w:hAnsi="Arial" w:cs="Arial"/>
          <w:sz w:val="14"/>
          <w:szCs w:val="14"/>
        </w:rPr>
      </w:pPr>
      <w:r w:rsidRPr="006F4224">
        <w:rPr>
          <w:rFonts w:ascii="Arial" w:hAnsi="Arial" w:cs="Arial"/>
          <w:sz w:val="14"/>
          <w:szCs w:val="14"/>
        </w:rPr>
        <w:t xml:space="preserve">Aegon’s onvermogen om uitgesproken resultaatsverwachtingen, efficiencyverbeteringen of andere kostenbesparende initiatieven waar te maken. </w:t>
      </w:r>
    </w:p>
    <w:p w:rsidR="007007E3" w:rsidRPr="006F4224" w:rsidRDefault="007007E3" w:rsidP="007007E3">
      <w:pPr>
        <w:pStyle w:val="Headingtext"/>
        <w:rPr>
          <w:rFonts w:cs="Arial"/>
          <w:color w:val="auto"/>
          <w:sz w:val="14"/>
          <w:szCs w:val="14"/>
        </w:rPr>
      </w:pPr>
    </w:p>
    <w:p w:rsidR="007801BA" w:rsidRDefault="001718D1" w:rsidP="00725F8C">
      <w:pPr>
        <w:rPr>
          <w:rFonts w:ascii="Arial" w:hAnsi="Arial" w:cs="Arial"/>
          <w:sz w:val="14"/>
          <w:szCs w:val="14"/>
        </w:rPr>
      </w:pPr>
      <w:r w:rsidRPr="001718D1">
        <w:rPr>
          <w:rFonts w:ascii="Arial" w:hAnsi="Arial" w:cs="Arial"/>
          <w:sz w:val="14"/>
          <w:szCs w:val="14"/>
        </w:rPr>
        <w:t>Nadere details over mogelijke risico’s en onzekerheden die de vennootschap aangaan, zijn beschreven in de documenten die bij de Autoriteit Financiële Markten en de Securities and Exchange Commission zijn ingediend, waaronder het Annual Report. Deze toekomstgerichte verklaringen betreffen de periode vanaf de datum van dit document. Tenzij dat vereist is onder geldende wet- of regelgeving, is de onderneming niet gehouden om enige nieuwe of gewijzigde inzichten bekend te maken ten aanzien van de hierin gebruikte toekomstgerichte verklaringen of ten aanzien van de feiten of omstandigheden die aanleiding geven tot dergelijke verklaringen.</w:t>
      </w:r>
    </w:p>
    <w:sectPr w:rsidR="007801BA" w:rsidSect="0024700B">
      <w:pgSz w:w="11907" w:h="16839" w:code="9"/>
      <w:pgMar w:top="825" w:right="1197" w:bottom="180" w:left="1440" w:header="450" w:footer="1057"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25397" w:rsidRDefault="00A25397" w:rsidP="00BD73BC">
      <w:pPr>
        <w:spacing w:after="0" w:line="240" w:lineRule="auto"/>
      </w:pPr>
      <w:r>
        <w:separator/>
      </w:r>
    </w:p>
  </w:endnote>
  <w:endnote w:type="continuationSeparator" w:id="0">
    <w:p w:rsidR="00A25397" w:rsidRDefault="00A25397" w:rsidP="00BD73B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Wingdings 2">
    <w:panose1 w:val="050201020105070707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InterstateG-Light">
    <w:altName w:val="Times New Roman"/>
    <w:panose1 w:val="00000000000000000000"/>
    <w:charset w:val="00"/>
    <w:family w:val="roman"/>
    <w:notTrueType/>
    <w:pitch w:val="variable"/>
    <w:sig w:usb0="00000083" w:usb1="00000000" w:usb2="00000000" w:usb3="00000000" w:csb0="00000009" w:csb1="00000000"/>
  </w:font>
  <w:font w:name="Tahoma">
    <w:panose1 w:val="020B0604030504040204"/>
    <w:charset w:val="00"/>
    <w:family w:val="swiss"/>
    <w:pitch w:val="variable"/>
    <w:sig w:usb0="61002A87" w:usb1="80000000" w:usb2="00000008" w:usb3="00000000" w:csb0="000101FF" w:csb1="00000000"/>
  </w:font>
  <w:font w:name="Verdana">
    <w:panose1 w:val="020B0604030504040204"/>
    <w:charset w:val="00"/>
    <w:family w:val="swiss"/>
    <w:pitch w:val="variable"/>
    <w:sig w:usb0="20000287" w:usb1="00000000" w:usb2="00000000" w:usb3="00000000" w:csb0="0000019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25397" w:rsidRPr="00CB1E22" w:rsidRDefault="00A25397" w:rsidP="007E476A">
    <w:pPr>
      <w:pStyle w:val="NoSpacing"/>
      <w:rPr>
        <w:rFonts w:ascii="Verdana" w:eastAsia="Times New Roman" w:hAnsi="Verdana" w:cs="Times New Roman"/>
        <w:caps/>
        <w:color w:val="0070C0"/>
        <w:sz w:val="16"/>
        <w:szCs w:val="14"/>
        <w:lang w:val="nl-NL"/>
      </w:rPr>
    </w:pPr>
    <w:r w:rsidRPr="00CB1E22">
      <w:rPr>
        <w:rFonts w:ascii="Verdana" w:eastAsia="Times New Roman" w:hAnsi="Verdana" w:cs="Times New Roman"/>
        <w:caps/>
        <w:color w:val="0070C0"/>
        <w:sz w:val="16"/>
        <w:szCs w:val="14"/>
        <w:lang w:val="nl-NL"/>
      </w:rPr>
      <w:t>Over AEGON</w:t>
    </w:r>
  </w:p>
  <w:p w:rsidR="00A25397" w:rsidRPr="00CB1E22" w:rsidRDefault="00A25397" w:rsidP="0094536A">
    <w:pPr>
      <w:spacing w:after="0"/>
      <w:rPr>
        <w:rFonts w:ascii="Verdana" w:eastAsia="Times New Roman" w:hAnsi="Verdana" w:cs="Arial"/>
        <w:sz w:val="16"/>
        <w:szCs w:val="16"/>
      </w:rPr>
    </w:pPr>
    <w:r w:rsidRPr="00CB1E22">
      <w:rPr>
        <w:rFonts w:ascii="Verdana" w:eastAsia="Times New Roman" w:hAnsi="Verdana" w:cs="Arial"/>
        <w:sz w:val="16"/>
        <w:szCs w:val="16"/>
      </w:rPr>
      <w:t>Aegon, de internationale aanbieder van levensverzekeringen, pensioenen en vermogensbeheer, heeft activiteiten in meer dan twintig landen in Amerika, Europa en Azië. Aegon heeft circa 2</w:t>
    </w:r>
    <w:r>
      <w:rPr>
        <w:rFonts w:ascii="Verdana" w:eastAsia="Times New Roman" w:hAnsi="Verdana" w:cs="Arial"/>
        <w:sz w:val="16"/>
        <w:szCs w:val="16"/>
      </w:rPr>
      <w:t>4</w:t>
    </w:r>
    <w:r w:rsidRPr="00CB1E22">
      <w:rPr>
        <w:rFonts w:ascii="Verdana" w:eastAsia="Times New Roman" w:hAnsi="Verdana" w:cs="Arial"/>
        <w:sz w:val="16"/>
        <w:szCs w:val="16"/>
      </w:rPr>
      <w:t xml:space="preserve">.000 medewerkers en </w:t>
    </w:r>
    <w:r>
      <w:rPr>
        <w:rFonts w:ascii="Verdana" w:eastAsia="Times New Roman" w:hAnsi="Verdana" w:cs="Arial"/>
        <w:sz w:val="16"/>
        <w:szCs w:val="16"/>
      </w:rPr>
      <w:t xml:space="preserve">miljoenen </w:t>
    </w:r>
    <w:r w:rsidRPr="00CB1E22">
      <w:rPr>
        <w:rFonts w:ascii="Verdana" w:eastAsia="Times New Roman" w:hAnsi="Verdana" w:cs="Arial"/>
        <w:sz w:val="16"/>
        <w:szCs w:val="16"/>
      </w:rPr>
      <w:t xml:space="preserve">klanten overal ter wereld. Het hoofdkantoor is gevestigd in Den Haag. Voor verdere informatie: </w:t>
    </w:r>
    <w:hyperlink r:id="rId1" w:history="1">
      <w:r w:rsidRPr="00CB1E22">
        <w:rPr>
          <w:rStyle w:val="Hyperlink"/>
          <w:rFonts w:ascii="Verdana" w:eastAsia="Times New Roman" w:hAnsi="Verdana" w:cs="Arial"/>
          <w:szCs w:val="16"/>
        </w:rPr>
        <w:t>aegon.com</w:t>
      </w:r>
    </w:hyperlink>
    <w:r w:rsidRPr="00CB1E22">
      <w:rPr>
        <w:rFonts w:ascii="Verdana" w:eastAsia="Times New Roman" w:hAnsi="Verdana" w:cs="Arial"/>
        <w:sz w:val="16"/>
        <w:szCs w:val="16"/>
      </w:rPr>
      <w:t>.</w: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2808"/>
      <w:gridCol w:w="2160"/>
    </w:tblGrid>
    <w:tr w:rsidR="00A25397" w:rsidRPr="000D3208" w:rsidTr="00E33DAB">
      <w:trPr>
        <w:trHeight w:val="183"/>
      </w:trPr>
      <w:tc>
        <w:tcPr>
          <w:tcW w:w="2808" w:type="dxa"/>
        </w:tcPr>
        <w:p w:rsidR="00A25397" w:rsidRPr="00CB1E22" w:rsidRDefault="00A25397" w:rsidP="00A5767A">
          <w:pPr>
            <w:pStyle w:val="NoSpacing"/>
            <w:rPr>
              <w:rFonts w:ascii="Verdana" w:hAnsi="Verdana"/>
              <w:color w:val="005CAE"/>
              <w:sz w:val="16"/>
              <w:szCs w:val="16"/>
              <w:lang w:val="nl-NL"/>
            </w:rPr>
          </w:pPr>
          <w:r>
            <w:rPr>
              <w:rFonts w:ascii="Verdana" w:hAnsi="Verdana"/>
              <w:color w:val="005CAE"/>
              <w:sz w:val="16"/>
              <w:szCs w:val="16"/>
              <w:lang w:val="nl-NL"/>
            </w:rPr>
            <w:t>M</w:t>
          </w:r>
          <w:r w:rsidRPr="000D3208">
            <w:rPr>
              <w:rFonts w:ascii="Verdana" w:hAnsi="Verdana"/>
              <w:color w:val="005CAE"/>
              <w:sz w:val="16"/>
              <w:szCs w:val="16"/>
              <w:lang w:val="nl-NL"/>
            </w:rPr>
            <w:t xml:space="preserve">edia </w:t>
          </w:r>
          <w:r>
            <w:rPr>
              <w:rFonts w:ascii="Verdana" w:hAnsi="Verdana"/>
              <w:color w:val="005CAE"/>
              <w:sz w:val="16"/>
              <w:szCs w:val="16"/>
              <w:lang w:val="nl-NL"/>
            </w:rPr>
            <w:t xml:space="preserve"> </w:t>
          </w:r>
        </w:p>
      </w:tc>
      <w:tc>
        <w:tcPr>
          <w:tcW w:w="2160" w:type="dxa"/>
        </w:tcPr>
        <w:p w:rsidR="00A25397" w:rsidRPr="00CB1E22" w:rsidRDefault="00A25397" w:rsidP="00A5767A">
          <w:pPr>
            <w:pStyle w:val="NoSpacing"/>
            <w:rPr>
              <w:rFonts w:ascii="Verdana" w:hAnsi="Verdana"/>
              <w:color w:val="005CAE"/>
              <w:sz w:val="16"/>
              <w:szCs w:val="16"/>
              <w:lang w:val="nl-NL"/>
            </w:rPr>
          </w:pPr>
          <w:r w:rsidRPr="000D3208">
            <w:rPr>
              <w:rFonts w:ascii="Verdana" w:hAnsi="Verdana"/>
              <w:color w:val="005CAE"/>
              <w:sz w:val="16"/>
              <w:szCs w:val="16"/>
              <w:lang w:val="nl-NL"/>
            </w:rPr>
            <w:t xml:space="preserve">Investor </w:t>
          </w:r>
          <w:r>
            <w:rPr>
              <w:rFonts w:ascii="Verdana" w:hAnsi="Verdana"/>
              <w:color w:val="005CAE"/>
              <w:sz w:val="16"/>
              <w:szCs w:val="16"/>
              <w:lang w:val="nl-NL"/>
            </w:rPr>
            <w:t>r</w:t>
          </w:r>
          <w:r w:rsidRPr="000D3208">
            <w:rPr>
              <w:rFonts w:ascii="Verdana" w:hAnsi="Verdana"/>
              <w:color w:val="005CAE"/>
              <w:sz w:val="16"/>
              <w:szCs w:val="16"/>
              <w:lang w:val="nl-NL"/>
            </w:rPr>
            <w:t>elations</w:t>
          </w:r>
        </w:p>
      </w:tc>
    </w:tr>
    <w:tr w:rsidR="00A25397" w:rsidRPr="000D3208" w:rsidTr="00E33DAB">
      <w:tc>
        <w:tcPr>
          <w:tcW w:w="2808" w:type="dxa"/>
        </w:tcPr>
        <w:p w:rsidR="00A25397" w:rsidRPr="000D3208" w:rsidRDefault="00A25397" w:rsidP="00E33DAB">
          <w:pPr>
            <w:pStyle w:val="NoSpacing"/>
            <w:rPr>
              <w:rFonts w:ascii="Verdana" w:hAnsi="Verdana"/>
              <w:color w:val="005CAE"/>
              <w:sz w:val="16"/>
              <w:szCs w:val="16"/>
              <w:lang w:val="nl-NL"/>
            </w:rPr>
          </w:pPr>
          <w:r w:rsidRPr="000D3208">
            <w:rPr>
              <w:rFonts w:ascii="Verdana" w:hAnsi="Verdana"/>
              <w:color w:val="005CAE"/>
              <w:sz w:val="16"/>
              <w:szCs w:val="16"/>
              <w:lang w:val="nl-NL"/>
            </w:rPr>
            <w:t>Greg Tucker</w:t>
          </w:r>
        </w:p>
      </w:tc>
      <w:tc>
        <w:tcPr>
          <w:tcW w:w="2160" w:type="dxa"/>
        </w:tcPr>
        <w:p w:rsidR="00A25397" w:rsidRPr="000D3208" w:rsidRDefault="00A25397" w:rsidP="00E33DAB">
          <w:pPr>
            <w:pStyle w:val="NoSpacing"/>
            <w:rPr>
              <w:rFonts w:ascii="Verdana" w:hAnsi="Verdana"/>
              <w:color w:val="005CAE"/>
              <w:sz w:val="16"/>
              <w:szCs w:val="16"/>
              <w:lang w:val="nl-NL"/>
            </w:rPr>
          </w:pPr>
          <w:r w:rsidRPr="000D3208">
            <w:rPr>
              <w:rFonts w:ascii="Verdana" w:hAnsi="Verdana"/>
              <w:color w:val="005CAE"/>
              <w:sz w:val="16"/>
              <w:szCs w:val="16"/>
              <w:lang w:val="nl-NL"/>
            </w:rPr>
            <w:t xml:space="preserve">Willem van den Berg </w:t>
          </w:r>
        </w:p>
      </w:tc>
    </w:tr>
    <w:tr w:rsidR="00A25397" w:rsidRPr="000D3208" w:rsidTr="00E33DAB">
      <w:tc>
        <w:tcPr>
          <w:tcW w:w="2808" w:type="dxa"/>
        </w:tcPr>
        <w:p w:rsidR="00A25397" w:rsidRPr="000D3208" w:rsidRDefault="00A25397" w:rsidP="00E33DAB">
          <w:pPr>
            <w:pStyle w:val="NoSpacing"/>
            <w:rPr>
              <w:rFonts w:ascii="Verdana" w:hAnsi="Verdana"/>
              <w:sz w:val="16"/>
              <w:szCs w:val="16"/>
              <w:lang w:val="nl-NL"/>
            </w:rPr>
          </w:pPr>
          <w:r>
            <w:rPr>
              <w:rFonts w:ascii="Verdana" w:hAnsi="Verdana"/>
              <w:sz w:val="16"/>
              <w:szCs w:val="16"/>
              <w:lang w:val="nl-NL"/>
            </w:rPr>
            <w:t>0</w:t>
          </w:r>
          <w:r w:rsidRPr="000D3208">
            <w:rPr>
              <w:rFonts w:ascii="Verdana" w:hAnsi="Verdana"/>
              <w:sz w:val="16"/>
              <w:szCs w:val="16"/>
              <w:lang w:val="nl-NL"/>
            </w:rPr>
            <w:t>70 344 8956</w:t>
          </w:r>
        </w:p>
      </w:tc>
      <w:tc>
        <w:tcPr>
          <w:tcW w:w="2160" w:type="dxa"/>
        </w:tcPr>
        <w:p w:rsidR="00A25397" w:rsidRPr="000D3208" w:rsidRDefault="00A25397" w:rsidP="00E33DAB">
          <w:pPr>
            <w:pStyle w:val="NoSpacing"/>
            <w:rPr>
              <w:rFonts w:ascii="Verdana" w:hAnsi="Verdana"/>
              <w:sz w:val="16"/>
              <w:szCs w:val="16"/>
              <w:lang w:val="nl-NL"/>
            </w:rPr>
          </w:pPr>
          <w:r>
            <w:rPr>
              <w:rFonts w:ascii="Verdana" w:hAnsi="Verdana"/>
              <w:sz w:val="16"/>
              <w:szCs w:val="16"/>
              <w:lang w:val="nl-NL"/>
            </w:rPr>
            <w:t>0</w:t>
          </w:r>
          <w:r w:rsidRPr="000D3208">
            <w:rPr>
              <w:rFonts w:ascii="Verdana" w:hAnsi="Verdana"/>
              <w:sz w:val="16"/>
              <w:szCs w:val="16"/>
              <w:lang w:val="nl-NL"/>
            </w:rPr>
            <w:t>70 344 8305</w:t>
          </w:r>
        </w:p>
      </w:tc>
    </w:tr>
    <w:tr w:rsidR="00A25397" w:rsidRPr="000D3208" w:rsidTr="00E33DAB">
      <w:tc>
        <w:tcPr>
          <w:tcW w:w="2808" w:type="dxa"/>
        </w:tcPr>
        <w:p w:rsidR="00A25397" w:rsidRPr="000D3208" w:rsidRDefault="00CC500C" w:rsidP="00AB3A33">
          <w:pPr>
            <w:pStyle w:val="NoSpacing"/>
            <w:rPr>
              <w:rFonts w:ascii="Verdana" w:hAnsi="Verdana"/>
              <w:sz w:val="16"/>
              <w:szCs w:val="16"/>
              <w:lang w:val="nl-NL"/>
            </w:rPr>
          </w:pPr>
          <w:hyperlink r:id="rId1" w:history="1">
            <w:r w:rsidR="00A25397" w:rsidRPr="000D3208">
              <w:rPr>
                <w:rStyle w:val="Hyperlink"/>
                <w:rFonts w:ascii="Verdana" w:hAnsi="Verdana"/>
                <w:color w:val="005CAE"/>
                <w:szCs w:val="16"/>
                <w:lang w:val="nl-NL"/>
              </w:rPr>
              <w:t>gcc@aegon.com</w:t>
            </w:r>
          </w:hyperlink>
        </w:p>
      </w:tc>
      <w:tc>
        <w:tcPr>
          <w:tcW w:w="2160" w:type="dxa"/>
        </w:tcPr>
        <w:p w:rsidR="00A25397" w:rsidRPr="000D3208" w:rsidRDefault="00CC500C" w:rsidP="00E33DAB">
          <w:pPr>
            <w:pStyle w:val="NoSpacing"/>
            <w:rPr>
              <w:rFonts w:ascii="Verdana" w:hAnsi="Verdana"/>
              <w:sz w:val="16"/>
              <w:szCs w:val="16"/>
              <w:lang w:val="nl-NL"/>
            </w:rPr>
          </w:pPr>
          <w:hyperlink r:id="rId2" w:history="1">
            <w:r w:rsidR="00A25397" w:rsidRPr="000D3208">
              <w:rPr>
                <w:rStyle w:val="Hyperlink"/>
                <w:rFonts w:ascii="Verdana" w:hAnsi="Verdana"/>
                <w:color w:val="005CAE"/>
                <w:szCs w:val="16"/>
                <w:lang w:val="nl-NL"/>
              </w:rPr>
              <w:t>ir@aegon.com</w:t>
            </w:r>
          </w:hyperlink>
        </w:p>
      </w:tc>
    </w:tr>
  </w:tbl>
  <w:p w:rsidR="00A25397" w:rsidRDefault="00A25397" w:rsidP="00725F8C">
    <w:pPr>
      <w:pStyle w:val="NoSpacing"/>
      <w:rPr>
        <w:rFonts w:ascii="Verdana" w:eastAsia="Times New Roman" w:hAnsi="Verdana" w:cs="Times New Roman"/>
        <w:caps/>
        <w:color w:val="0070C0"/>
        <w:sz w:val="16"/>
        <w:szCs w:val="14"/>
        <w:lang w:val="nl-NL"/>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25397" w:rsidRDefault="00A25397" w:rsidP="00BD73BC">
      <w:pPr>
        <w:spacing w:after="0" w:line="240" w:lineRule="auto"/>
      </w:pPr>
      <w:r>
        <w:separator/>
      </w:r>
    </w:p>
  </w:footnote>
  <w:footnote w:type="continuationSeparator" w:id="0">
    <w:p w:rsidR="00A25397" w:rsidRDefault="00A25397" w:rsidP="00BD73BC">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25397" w:rsidRDefault="00A25397" w:rsidP="00C42582">
    <w:pPr>
      <w:pStyle w:val="Header"/>
      <w:ind w:left="-567"/>
    </w:pPr>
    <w:r w:rsidRPr="0094536A">
      <w:rPr>
        <w:noProof/>
        <w:lang w:eastAsia="nl-NL"/>
      </w:rPr>
      <w:drawing>
        <wp:inline distT="0" distB="0" distL="0" distR="0">
          <wp:extent cx="5886450" cy="656969"/>
          <wp:effectExtent l="19050" t="0" r="0" b="0"/>
          <wp:docPr id="2" name="Picture 0" descr="20120625 - banner with thin line .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20625 - banner with thin line .jpg"/>
                  <pic:cNvPicPr/>
                </pic:nvPicPr>
                <pic:blipFill>
                  <a:blip r:embed="rId1"/>
                  <a:stretch>
                    <a:fillRect/>
                  </a:stretch>
                </pic:blipFill>
                <pic:spPr>
                  <a:xfrm>
                    <a:off x="0" y="0"/>
                    <a:ext cx="5886450" cy="656969"/>
                  </a:xfrm>
                  <a:prstGeom prst="rect">
                    <a:avLst/>
                  </a:prstGeom>
                </pic:spPr>
              </pic:pic>
            </a:graphicData>
          </a:graphic>
        </wp:inline>
      </w:drawing>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25397" w:rsidRDefault="00A25397" w:rsidP="001459EA">
    <w:pPr>
      <w:pStyle w:val="Header"/>
      <w:ind w:left="-540"/>
    </w:pPr>
    <w:r>
      <w:rPr>
        <w:noProof/>
        <w:lang w:eastAsia="nl-NL"/>
      </w:rPr>
      <w:drawing>
        <wp:inline distT="0" distB="0" distL="0" distR="0">
          <wp:extent cx="6227191" cy="694998"/>
          <wp:effectExtent l="19050" t="0" r="2159" b="0"/>
          <wp:docPr id="1" name="Picture 0" descr="20120625 - banner with thin line .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20625 - banner with thin line .jpg"/>
                  <pic:cNvPicPr/>
                </pic:nvPicPr>
                <pic:blipFill>
                  <a:blip r:embed="rId1"/>
                  <a:stretch>
                    <a:fillRect/>
                  </a:stretch>
                </pic:blipFill>
                <pic:spPr>
                  <a:xfrm>
                    <a:off x="0" y="0"/>
                    <a:ext cx="6227191" cy="694998"/>
                  </a:xfrm>
                  <a:prstGeom prst="rect">
                    <a:avLst/>
                  </a:prstGeom>
                </pic:spPr>
              </pic:pic>
            </a:graphicData>
          </a:graphic>
        </wp:inline>
      </w:drawing>
    </w:r>
  </w:p>
  <w:p w:rsidR="00A25397" w:rsidRPr="00E25C92" w:rsidRDefault="00A25397" w:rsidP="00D11ACA">
    <w:pPr>
      <w:pStyle w:val="Header"/>
      <w:tabs>
        <w:tab w:val="clear" w:pos="8640"/>
        <w:tab w:val="right" w:pos="9270"/>
      </w:tabs>
      <w:rPr>
        <w:rFonts w:ascii="Verdana" w:hAnsi="Verdana"/>
        <w:sz w:val="36"/>
        <w:szCs w:val="36"/>
      </w:rPr>
    </w:pPr>
    <w:r>
      <w:rPr>
        <w:rFonts w:ascii="Verdana" w:hAnsi="Verdana"/>
        <w:sz w:val="36"/>
        <w:szCs w:val="36"/>
      </w:rPr>
      <w:tab/>
    </w:r>
    <w:r>
      <w:rPr>
        <w:rFonts w:ascii="Verdana" w:hAnsi="Verdana"/>
        <w:sz w:val="36"/>
        <w:szCs w:val="36"/>
      </w:rPr>
      <w:tab/>
    </w:r>
    <w:r>
      <w:rPr>
        <w:rFonts w:ascii="Verdana" w:hAnsi="Verdana"/>
        <w:noProof/>
        <w:sz w:val="36"/>
        <w:szCs w:val="36"/>
        <w:lang w:eastAsia="nl-NL"/>
      </w:rPr>
      <w:drawing>
        <wp:inline distT="0" distB="0" distL="0" distR="0">
          <wp:extent cx="2066925" cy="459316"/>
          <wp:effectExtent l="19050" t="0" r="9525" b="0"/>
          <wp:docPr id="5" name="Picture 4" descr="Press release .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ess release .jpg"/>
                  <pic:cNvPicPr/>
                </pic:nvPicPr>
                <pic:blipFill>
                  <a:blip r:embed="rId2"/>
                  <a:stretch>
                    <a:fillRect/>
                  </a:stretch>
                </pic:blipFill>
                <pic:spPr>
                  <a:xfrm>
                    <a:off x="0" y="0"/>
                    <a:ext cx="2066925" cy="459316"/>
                  </a:xfrm>
                  <a:prstGeom prst="rect">
                    <a:avLst/>
                  </a:prstGeom>
                </pic:spPr>
              </pic:pic>
            </a:graphicData>
          </a:graphic>
        </wp:inline>
      </w:drawing>
    </w:r>
  </w:p>
  <w:p w:rsidR="00A25397" w:rsidRDefault="00A25397" w:rsidP="00E25C92">
    <w:pPr>
      <w:pStyle w:val="Header"/>
      <w:tabs>
        <w:tab w:val="clear" w:pos="8640"/>
        <w:tab w:val="right" w:pos="9270"/>
      </w:tabs>
      <w:jc w:val="right"/>
      <w:rPr>
        <w:rFonts w:ascii="Verdana" w:hAnsi="Verdana"/>
        <w:sz w:val="18"/>
        <w:szCs w:val="18"/>
      </w:rPr>
    </w:pPr>
  </w:p>
  <w:p w:rsidR="00A25397" w:rsidRDefault="00A25397" w:rsidP="00E25C92">
    <w:pPr>
      <w:pStyle w:val="Header"/>
      <w:tabs>
        <w:tab w:val="clear" w:pos="8640"/>
        <w:tab w:val="right" w:pos="9270"/>
      </w:tabs>
      <w:ind w:right="360"/>
      <w:rPr>
        <w:rFonts w:ascii="Verdana" w:hAnsi="Verdana"/>
        <w:sz w:val="18"/>
        <w:szCs w:val="18"/>
      </w:rPr>
    </w:pPr>
    <w:r>
      <w:rPr>
        <w:rFonts w:ascii="Verdana" w:hAnsi="Verdana"/>
        <w:sz w:val="18"/>
        <w:szCs w:val="18"/>
      </w:rPr>
      <w:tab/>
    </w:r>
    <w:r>
      <w:rPr>
        <w:rFonts w:ascii="Verdana" w:hAnsi="Verdana"/>
        <w:sz w:val="18"/>
        <w:szCs w:val="18"/>
      </w:rPr>
      <w:tab/>
      <w:t xml:space="preserve">Den Haag – </w:t>
    </w:r>
    <w:r w:rsidRPr="005C1F32">
      <w:rPr>
        <w:rFonts w:ascii="Verdana" w:hAnsi="Verdana"/>
        <w:sz w:val="18"/>
        <w:szCs w:val="18"/>
      </w:rPr>
      <w:t>15 f</w:t>
    </w:r>
    <w:r w:rsidRPr="00AE35FB">
      <w:rPr>
        <w:rFonts w:ascii="Verdana" w:hAnsi="Verdana"/>
        <w:sz w:val="18"/>
        <w:szCs w:val="18"/>
      </w:rPr>
      <w:t>ebruari</w:t>
    </w:r>
    <w:r w:rsidRPr="00653691">
      <w:rPr>
        <w:rFonts w:ascii="Verdana" w:hAnsi="Verdana"/>
        <w:sz w:val="18"/>
        <w:szCs w:val="18"/>
      </w:rPr>
      <w:t xml:space="preserve"> 201</w:t>
    </w:r>
    <w:r>
      <w:rPr>
        <w:rFonts w:ascii="Verdana" w:hAnsi="Verdana"/>
        <w:sz w:val="18"/>
        <w:szCs w:val="18"/>
      </w:rPr>
      <w:t>3</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75109B"/>
    <w:multiLevelType w:val="hybridMultilevel"/>
    <w:tmpl w:val="58C29AB0"/>
    <w:lvl w:ilvl="0" w:tplc="61A0D394">
      <w:numFmt w:val="bullet"/>
      <w:lvlText w:val=""/>
      <w:lvlJc w:val="left"/>
      <w:pPr>
        <w:ind w:left="720" w:hanging="360"/>
      </w:pPr>
      <w:rPr>
        <w:rFonts w:ascii="Symbol" w:hAnsi="Symbol" w:cs="Wingdings 2" w:hint="default"/>
        <w:b w:val="0"/>
        <w:i w:val="0"/>
        <w:color w:val="0070C0"/>
        <w:sz w:val="14"/>
        <w:szCs w:val="14"/>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nsid w:val="2C0C7A92"/>
    <w:multiLevelType w:val="hybridMultilevel"/>
    <w:tmpl w:val="0930C81C"/>
    <w:lvl w:ilvl="0" w:tplc="20B8A560">
      <w:start w:val="1"/>
      <w:numFmt w:val="bullet"/>
      <w:lvlText w:val=""/>
      <w:lvlJc w:val="left"/>
      <w:pPr>
        <w:ind w:left="720" w:hanging="360"/>
      </w:pPr>
      <w:rPr>
        <w:rFonts w:ascii="Wingdings" w:hAnsi="Wingdings" w:hint="default"/>
        <w:color w:val="0070C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2D3754C7"/>
    <w:multiLevelType w:val="hybridMultilevel"/>
    <w:tmpl w:val="5D38A6CE"/>
    <w:lvl w:ilvl="0" w:tplc="45427F18">
      <w:start w:val="1"/>
      <w:numFmt w:val="bullet"/>
      <w:lvlText w:val="o"/>
      <w:lvlJc w:val="left"/>
      <w:pPr>
        <w:ind w:left="720" w:hanging="360"/>
      </w:pPr>
      <w:rPr>
        <w:rFonts w:ascii="Courier New" w:hAnsi="Courier New" w:hint="default"/>
        <w:color w:val="005CA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3BC24E07"/>
    <w:multiLevelType w:val="hybridMultilevel"/>
    <w:tmpl w:val="2BEA25B6"/>
    <w:lvl w:ilvl="0" w:tplc="20B8A560">
      <w:start w:val="1"/>
      <w:numFmt w:val="bullet"/>
      <w:lvlText w:val=""/>
      <w:lvlJc w:val="left"/>
      <w:pPr>
        <w:ind w:left="720" w:hanging="360"/>
      </w:pPr>
      <w:rPr>
        <w:rFonts w:ascii="Wingdings" w:hAnsi="Wingdings" w:hint="default"/>
        <w:color w:val="0070C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nsid w:val="3E200AD2"/>
    <w:multiLevelType w:val="hybridMultilevel"/>
    <w:tmpl w:val="B8460728"/>
    <w:lvl w:ilvl="0" w:tplc="E8D86120">
      <w:start w:val="1"/>
      <w:numFmt w:val="bullet"/>
      <w:lvlText w:val="o"/>
      <w:lvlJc w:val="left"/>
      <w:pPr>
        <w:tabs>
          <w:tab w:val="num" w:pos="284"/>
        </w:tabs>
        <w:ind w:left="284" w:hanging="284"/>
      </w:pPr>
      <w:rPr>
        <w:rFonts w:ascii="Arial" w:hAnsi="Arial" w:hint="default"/>
        <w:b w:val="0"/>
        <w:i w:val="0"/>
        <w:color w:val="005CAE"/>
        <w:sz w:val="14"/>
        <w:szCs w:val="20"/>
      </w:rPr>
    </w:lvl>
    <w:lvl w:ilvl="1" w:tplc="4FECA340">
      <w:numFmt w:val="bullet"/>
      <w:lvlText w:val=""/>
      <w:lvlJc w:val="left"/>
      <w:pPr>
        <w:tabs>
          <w:tab w:val="num" w:pos="1363"/>
        </w:tabs>
        <w:ind w:left="1363" w:hanging="283"/>
      </w:pPr>
      <w:rPr>
        <w:rFonts w:ascii="Symbol" w:hAnsi="Symbol" w:cs="Wingdings 2" w:hint="default"/>
        <w:b w:val="0"/>
        <w:i w:val="0"/>
        <w:color w:val="0000FF"/>
        <w:sz w:val="14"/>
        <w:szCs w:val="14"/>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nsid w:val="5FEA5A12"/>
    <w:multiLevelType w:val="hybridMultilevel"/>
    <w:tmpl w:val="ADAC2D2A"/>
    <w:lvl w:ilvl="0" w:tplc="BF163CCC">
      <w:start w:val="1"/>
      <w:numFmt w:val="bullet"/>
      <w:lvlText w:val="o"/>
      <w:lvlJc w:val="left"/>
      <w:pPr>
        <w:ind w:left="720" w:hanging="360"/>
      </w:pPr>
      <w:rPr>
        <w:rFonts w:ascii="Courier New" w:hAnsi="Courier New" w:hint="default"/>
        <w:color w:val="0070C0"/>
      </w:rPr>
    </w:lvl>
    <w:lvl w:ilvl="1" w:tplc="04130003" w:tentative="1">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3"/>
  </w:num>
  <w:num w:numId="4">
    <w:abstractNumId w:val="4"/>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num>
  <w:num w:numId="6">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8"/>
  <w:proofState w:spelling="clean" w:grammar="clean"/>
  <w:defaultTabStop w:val="720"/>
  <w:hyphenationZone w:val="425"/>
  <w:evenAndOddHeaders/>
  <w:drawingGridHorizontalSpacing w:val="110"/>
  <w:displayHorizontalDrawingGridEvery w:val="2"/>
  <w:characterSpacingControl w:val="doNotCompress"/>
  <w:hdrShapeDefaults>
    <o:shapedefaults v:ext="edit" spidmax="18433"/>
  </w:hdrShapeDefaults>
  <w:footnotePr>
    <w:footnote w:id="-1"/>
    <w:footnote w:id="0"/>
  </w:footnotePr>
  <w:endnotePr>
    <w:endnote w:id="-1"/>
    <w:endnote w:id="0"/>
  </w:endnotePr>
  <w:compat>
    <w:useFELayout/>
  </w:compat>
  <w:rsids>
    <w:rsidRoot w:val="00BD73BC"/>
    <w:rsid w:val="00017DF9"/>
    <w:rsid w:val="00025947"/>
    <w:rsid w:val="00037457"/>
    <w:rsid w:val="0005273C"/>
    <w:rsid w:val="00057041"/>
    <w:rsid w:val="000572EF"/>
    <w:rsid w:val="0006151D"/>
    <w:rsid w:val="000B6D38"/>
    <w:rsid w:val="000C0340"/>
    <w:rsid w:val="000E5DC8"/>
    <w:rsid w:val="001112C5"/>
    <w:rsid w:val="00113DF2"/>
    <w:rsid w:val="001320EF"/>
    <w:rsid w:val="00140E07"/>
    <w:rsid w:val="001459EA"/>
    <w:rsid w:val="0015022B"/>
    <w:rsid w:val="001511CA"/>
    <w:rsid w:val="00153D19"/>
    <w:rsid w:val="00161891"/>
    <w:rsid w:val="00170538"/>
    <w:rsid w:val="001718D1"/>
    <w:rsid w:val="00175F2B"/>
    <w:rsid w:val="001939DE"/>
    <w:rsid w:val="001A63A5"/>
    <w:rsid w:val="001B2E4D"/>
    <w:rsid w:val="001C1C6B"/>
    <w:rsid w:val="001C4702"/>
    <w:rsid w:val="001C7CB8"/>
    <w:rsid w:val="00205DF5"/>
    <w:rsid w:val="00216188"/>
    <w:rsid w:val="002317A9"/>
    <w:rsid w:val="00235521"/>
    <w:rsid w:val="00242E61"/>
    <w:rsid w:val="00244C4E"/>
    <w:rsid w:val="002466B7"/>
    <w:rsid w:val="00246E4F"/>
    <w:rsid w:val="0024700B"/>
    <w:rsid w:val="00256FCB"/>
    <w:rsid w:val="00262BF8"/>
    <w:rsid w:val="002A1807"/>
    <w:rsid w:val="002B1F13"/>
    <w:rsid w:val="002B59A7"/>
    <w:rsid w:val="002C52C1"/>
    <w:rsid w:val="002D2C62"/>
    <w:rsid w:val="002D476A"/>
    <w:rsid w:val="002D756E"/>
    <w:rsid w:val="00307E87"/>
    <w:rsid w:val="003367B5"/>
    <w:rsid w:val="003415FC"/>
    <w:rsid w:val="0035341B"/>
    <w:rsid w:val="00373158"/>
    <w:rsid w:val="003737CF"/>
    <w:rsid w:val="0037772D"/>
    <w:rsid w:val="00393030"/>
    <w:rsid w:val="003A6DD8"/>
    <w:rsid w:val="003B3D10"/>
    <w:rsid w:val="003B692C"/>
    <w:rsid w:val="003D1359"/>
    <w:rsid w:val="003F37B5"/>
    <w:rsid w:val="00403076"/>
    <w:rsid w:val="00411165"/>
    <w:rsid w:val="00411AC1"/>
    <w:rsid w:val="00420A5F"/>
    <w:rsid w:val="00420C85"/>
    <w:rsid w:val="0042559A"/>
    <w:rsid w:val="00444FBB"/>
    <w:rsid w:val="00446273"/>
    <w:rsid w:val="00452E97"/>
    <w:rsid w:val="00456913"/>
    <w:rsid w:val="004619CF"/>
    <w:rsid w:val="00470422"/>
    <w:rsid w:val="00474095"/>
    <w:rsid w:val="004A0C65"/>
    <w:rsid w:val="004E4C0C"/>
    <w:rsid w:val="004F557D"/>
    <w:rsid w:val="00525DD2"/>
    <w:rsid w:val="005462C4"/>
    <w:rsid w:val="005534BB"/>
    <w:rsid w:val="00564894"/>
    <w:rsid w:val="00566707"/>
    <w:rsid w:val="0058219D"/>
    <w:rsid w:val="005A1648"/>
    <w:rsid w:val="005A2680"/>
    <w:rsid w:val="005A7275"/>
    <w:rsid w:val="005C1F32"/>
    <w:rsid w:val="005C32F7"/>
    <w:rsid w:val="005C55C3"/>
    <w:rsid w:val="005D7575"/>
    <w:rsid w:val="005E149E"/>
    <w:rsid w:val="00600055"/>
    <w:rsid w:val="00602699"/>
    <w:rsid w:val="006028CA"/>
    <w:rsid w:val="006153AD"/>
    <w:rsid w:val="006244D6"/>
    <w:rsid w:val="00626E16"/>
    <w:rsid w:val="0065077F"/>
    <w:rsid w:val="00653691"/>
    <w:rsid w:val="00655283"/>
    <w:rsid w:val="00655D89"/>
    <w:rsid w:val="006623BB"/>
    <w:rsid w:val="006816D7"/>
    <w:rsid w:val="006872DD"/>
    <w:rsid w:val="0069691C"/>
    <w:rsid w:val="006A02C3"/>
    <w:rsid w:val="006A28FD"/>
    <w:rsid w:val="006D3D80"/>
    <w:rsid w:val="007007E3"/>
    <w:rsid w:val="00701D83"/>
    <w:rsid w:val="007023CE"/>
    <w:rsid w:val="00725F8C"/>
    <w:rsid w:val="00735CFE"/>
    <w:rsid w:val="00741875"/>
    <w:rsid w:val="0077169D"/>
    <w:rsid w:val="007801BA"/>
    <w:rsid w:val="0078422B"/>
    <w:rsid w:val="00794017"/>
    <w:rsid w:val="00794B1C"/>
    <w:rsid w:val="0079612C"/>
    <w:rsid w:val="007A2159"/>
    <w:rsid w:val="007B3A4E"/>
    <w:rsid w:val="007B5D26"/>
    <w:rsid w:val="007C42EC"/>
    <w:rsid w:val="007E3AB0"/>
    <w:rsid w:val="007E476A"/>
    <w:rsid w:val="00807CDE"/>
    <w:rsid w:val="008104EA"/>
    <w:rsid w:val="00811125"/>
    <w:rsid w:val="00822D35"/>
    <w:rsid w:val="008258B4"/>
    <w:rsid w:val="00841252"/>
    <w:rsid w:val="00850675"/>
    <w:rsid w:val="00872E19"/>
    <w:rsid w:val="0089105C"/>
    <w:rsid w:val="008A7321"/>
    <w:rsid w:val="008A796B"/>
    <w:rsid w:val="008B4473"/>
    <w:rsid w:val="008B58CD"/>
    <w:rsid w:val="008C44B9"/>
    <w:rsid w:val="008C7244"/>
    <w:rsid w:val="008D1B5F"/>
    <w:rsid w:val="008D255C"/>
    <w:rsid w:val="008D5E2F"/>
    <w:rsid w:val="008E2A65"/>
    <w:rsid w:val="008E7076"/>
    <w:rsid w:val="008F6555"/>
    <w:rsid w:val="00900433"/>
    <w:rsid w:val="00911842"/>
    <w:rsid w:val="00913CBC"/>
    <w:rsid w:val="009430E7"/>
    <w:rsid w:val="0094536A"/>
    <w:rsid w:val="009676C8"/>
    <w:rsid w:val="00970EA8"/>
    <w:rsid w:val="00972D66"/>
    <w:rsid w:val="00987F2C"/>
    <w:rsid w:val="0099307D"/>
    <w:rsid w:val="009A1DE7"/>
    <w:rsid w:val="009A43B7"/>
    <w:rsid w:val="009E4CEF"/>
    <w:rsid w:val="009F175B"/>
    <w:rsid w:val="009F3C99"/>
    <w:rsid w:val="009F5653"/>
    <w:rsid w:val="009F7D96"/>
    <w:rsid w:val="00A00BA0"/>
    <w:rsid w:val="00A11C20"/>
    <w:rsid w:val="00A25397"/>
    <w:rsid w:val="00A32701"/>
    <w:rsid w:val="00A36A5E"/>
    <w:rsid w:val="00A4604D"/>
    <w:rsid w:val="00A5767A"/>
    <w:rsid w:val="00A64B83"/>
    <w:rsid w:val="00A658FD"/>
    <w:rsid w:val="00A672BA"/>
    <w:rsid w:val="00A676F6"/>
    <w:rsid w:val="00A71846"/>
    <w:rsid w:val="00A75A57"/>
    <w:rsid w:val="00AA1859"/>
    <w:rsid w:val="00AB3A33"/>
    <w:rsid w:val="00AB3F28"/>
    <w:rsid w:val="00AC4766"/>
    <w:rsid w:val="00AC4AC4"/>
    <w:rsid w:val="00AC70C7"/>
    <w:rsid w:val="00AD29C9"/>
    <w:rsid w:val="00AD3832"/>
    <w:rsid w:val="00AE35FB"/>
    <w:rsid w:val="00AE5BD0"/>
    <w:rsid w:val="00AF1418"/>
    <w:rsid w:val="00B01F8E"/>
    <w:rsid w:val="00B115CA"/>
    <w:rsid w:val="00B1213B"/>
    <w:rsid w:val="00B3464A"/>
    <w:rsid w:val="00B42268"/>
    <w:rsid w:val="00B46FE6"/>
    <w:rsid w:val="00B54F0A"/>
    <w:rsid w:val="00B65910"/>
    <w:rsid w:val="00B8075B"/>
    <w:rsid w:val="00B830DF"/>
    <w:rsid w:val="00BC02C0"/>
    <w:rsid w:val="00BD4494"/>
    <w:rsid w:val="00BD6F0A"/>
    <w:rsid w:val="00BD73BC"/>
    <w:rsid w:val="00BE3E6E"/>
    <w:rsid w:val="00BF1329"/>
    <w:rsid w:val="00BF310E"/>
    <w:rsid w:val="00BF56D4"/>
    <w:rsid w:val="00C148F8"/>
    <w:rsid w:val="00C32A6A"/>
    <w:rsid w:val="00C42582"/>
    <w:rsid w:val="00C5132A"/>
    <w:rsid w:val="00C51A6F"/>
    <w:rsid w:val="00C566CC"/>
    <w:rsid w:val="00C61AA8"/>
    <w:rsid w:val="00C766DC"/>
    <w:rsid w:val="00CB1E22"/>
    <w:rsid w:val="00CB3CE9"/>
    <w:rsid w:val="00CC500C"/>
    <w:rsid w:val="00CD4EB6"/>
    <w:rsid w:val="00CF3F3D"/>
    <w:rsid w:val="00CF62D4"/>
    <w:rsid w:val="00D008BB"/>
    <w:rsid w:val="00D11ACA"/>
    <w:rsid w:val="00D16056"/>
    <w:rsid w:val="00D20BCF"/>
    <w:rsid w:val="00D36452"/>
    <w:rsid w:val="00D50425"/>
    <w:rsid w:val="00D55A17"/>
    <w:rsid w:val="00D570AC"/>
    <w:rsid w:val="00D57A01"/>
    <w:rsid w:val="00D61DAC"/>
    <w:rsid w:val="00D94B84"/>
    <w:rsid w:val="00DA5F68"/>
    <w:rsid w:val="00DA7F67"/>
    <w:rsid w:val="00DE7D13"/>
    <w:rsid w:val="00DF539A"/>
    <w:rsid w:val="00E0733F"/>
    <w:rsid w:val="00E14C8B"/>
    <w:rsid w:val="00E14F64"/>
    <w:rsid w:val="00E24E0F"/>
    <w:rsid w:val="00E25C92"/>
    <w:rsid w:val="00E261E1"/>
    <w:rsid w:val="00E33DAB"/>
    <w:rsid w:val="00E341F5"/>
    <w:rsid w:val="00E342F5"/>
    <w:rsid w:val="00E46054"/>
    <w:rsid w:val="00E547A5"/>
    <w:rsid w:val="00E61B21"/>
    <w:rsid w:val="00E73D58"/>
    <w:rsid w:val="00E824B8"/>
    <w:rsid w:val="00E84A78"/>
    <w:rsid w:val="00E84C6F"/>
    <w:rsid w:val="00E84C7C"/>
    <w:rsid w:val="00E95865"/>
    <w:rsid w:val="00EA0AC9"/>
    <w:rsid w:val="00EB43C5"/>
    <w:rsid w:val="00EB7301"/>
    <w:rsid w:val="00EC13B1"/>
    <w:rsid w:val="00EC2AA8"/>
    <w:rsid w:val="00ED1156"/>
    <w:rsid w:val="00EF7CE8"/>
    <w:rsid w:val="00F15000"/>
    <w:rsid w:val="00F23BA1"/>
    <w:rsid w:val="00F31BD2"/>
    <w:rsid w:val="00F34F93"/>
    <w:rsid w:val="00F408EC"/>
    <w:rsid w:val="00F72896"/>
    <w:rsid w:val="00F7400D"/>
    <w:rsid w:val="00F8119B"/>
    <w:rsid w:val="00FC05FC"/>
    <w:rsid w:val="00FE44DB"/>
    <w:rsid w:val="00FE4ACF"/>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ja-JP"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A0AC9"/>
    <w:rPr>
      <w:lang w:val="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D73BC"/>
    <w:pPr>
      <w:tabs>
        <w:tab w:val="center" w:pos="4320"/>
        <w:tab w:val="right" w:pos="8640"/>
      </w:tabs>
      <w:spacing w:after="0" w:line="240" w:lineRule="auto"/>
    </w:pPr>
  </w:style>
  <w:style w:type="character" w:customStyle="1" w:styleId="HeaderChar">
    <w:name w:val="Header Char"/>
    <w:basedOn w:val="DefaultParagraphFont"/>
    <w:link w:val="Header"/>
    <w:uiPriority w:val="99"/>
    <w:rsid w:val="00BD73BC"/>
  </w:style>
  <w:style w:type="paragraph" w:styleId="Footer">
    <w:name w:val="footer"/>
    <w:basedOn w:val="Normal"/>
    <w:link w:val="FooterChar"/>
    <w:uiPriority w:val="99"/>
    <w:unhideWhenUsed/>
    <w:rsid w:val="00BD73BC"/>
    <w:pPr>
      <w:tabs>
        <w:tab w:val="center" w:pos="4320"/>
        <w:tab w:val="right" w:pos="8640"/>
      </w:tabs>
      <w:spacing w:after="0" w:line="240" w:lineRule="auto"/>
    </w:pPr>
  </w:style>
  <w:style w:type="character" w:customStyle="1" w:styleId="FooterChar">
    <w:name w:val="Footer Char"/>
    <w:basedOn w:val="DefaultParagraphFont"/>
    <w:link w:val="Footer"/>
    <w:uiPriority w:val="99"/>
    <w:rsid w:val="00BD73BC"/>
  </w:style>
  <w:style w:type="paragraph" w:customStyle="1" w:styleId="BasicParagraph">
    <w:name w:val="[Basic Paragraph]"/>
    <w:basedOn w:val="Normal"/>
    <w:uiPriority w:val="99"/>
    <w:rsid w:val="007B3A4E"/>
    <w:pPr>
      <w:autoSpaceDE w:val="0"/>
      <w:autoSpaceDN w:val="0"/>
      <w:adjustRightInd w:val="0"/>
      <w:spacing w:after="0" w:line="288" w:lineRule="auto"/>
      <w:textAlignment w:val="center"/>
    </w:pPr>
    <w:rPr>
      <w:rFonts w:ascii="Times New Roman" w:hAnsi="Times New Roman" w:cs="Times New Roman"/>
      <w:color w:val="000000"/>
      <w:sz w:val="24"/>
      <w:szCs w:val="24"/>
    </w:rPr>
  </w:style>
  <w:style w:type="character" w:styleId="PlaceholderText">
    <w:name w:val="Placeholder Text"/>
    <w:basedOn w:val="DefaultParagraphFont"/>
    <w:uiPriority w:val="99"/>
    <w:semiHidden/>
    <w:rsid w:val="001459EA"/>
    <w:rPr>
      <w:color w:val="808080"/>
    </w:rPr>
  </w:style>
  <w:style w:type="table" w:styleId="TableGrid">
    <w:name w:val="Table Grid"/>
    <w:basedOn w:val="TableNormal"/>
    <w:rsid w:val="001459EA"/>
    <w:pPr>
      <w:spacing w:after="0" w:line="240" w:lineRule="auto"/>
    </w:pPr>
    <w:rPr>
      <w:rFonts w:ascii="InterstateG-Light" w:eastAsia="Times New Roman" w:hAnsi="InterstateG-Light" w:cs="Times New Roman"/>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rsid w:val="001459EA"/>
    <w:rPr>
      <w:rFonts w:ascii="Arial" w:hAnsi="Arial"/>
      <w:color w:val="0000FF"/>
      <w:sz w:val="16"/>
      <w:u w:val="single"/>
    </w:rPr>
  </w:style>
  <w:style w:type="paragraph" w:customStyle="1" w:styleId="Headingtext">
    <w:name w:val="Heading text"/>
    <w:basedOn w:val="Normal"/>
    <w:next w:val="Normal"/>
    <w:link w:val="HeadingtextCharChar"/>
    <w:rsid w:val="002466B7"/>
    <w:pPr>
      <w:spacing w:after="0" w:line="240" w:lineRule="auto"/>
    </w:pPr>
    <w:rPr>
      <w:rFonts w:ascii="Arial" w:eastAsia="Times New Roman" w:hAnsi="Arial" w:cs="Times New Roman"/>
      <w:b/>
      <w:color w:val="005CAE"/>
      <w:sz w:val="20"/>
      <w:szCs w:val="28"/>
      <w:lang w:eastAsia="en-US"/>
    </w:rPr>
  </w:style>
  <w:style w:type="paragraph" w:styleId="ListParagraph">
    <w:name w:val="List Paragraph"/>
    <w:basedOn w:val="Normal"/>
    <w:uiPriority w:val="34"/>
    <w:qFormat/>
    <w:rsid w:val="002466B7"/>
    <w:pPr>
      <w:ind w:left="720"/>
      <w:contextualSpacing/>
    </w:pPr>
    <w:rPr>
      <w:rFonts w:ascii="Calibri" w:eastAsia="Calibri" w:hAnsi="Calibri" w:cs="Times New Roman"/>
      <w:noProof/>
      <w:lang w:eastAsia="en-US"/>
    </w:rPr>
  </w:style>
  <w:style w:type="character" w:customStyle="1" w:styleId="HeadingtextCharChar">
    <w:name w:val="Heading text Char Char"/>
    <w:basedOn w:val="DefaultParagraphFont"/>
    <w:link w:val="Headingtext"/>
    <w:rsid w:val="002466B7"/>
    <w:rPr>
      <w:rFonts w:ascii="Arial" w:eastAsia="Times New Roman" w:hAnsi="Arial" w:cs="Times New Roman"/>
      <w:b/>
      <w:color w:val="005CAE"/>
      <w:sz w:val="20"/>
      <w:szCs w:val="28"/>
      <w:lang w:eastAsia="en-US"/>
    </w:rPr>
  </w:style>
  <w:style w:type="paragraph" w:styleId="NoSpacing">
    <w:name w:val="No Spacing"/>
    <w:uiPriority w:val="1"/>
    <w:qFormat/>
    <w:rsid w:val="00AF1418"/>
    <w:pPr>
      <w:spacing w:after="0" w:line="240" w:lineRule="auto"/>
    </w:pPr>
  </w:style>
  <w:style w:type="paragraph" w:styleId="BalloonText">
    <w:name w:val="Balloon Text"/>
    <w:basedOn w:val="Normal"/>
    <w:link w:val="BalloonTextChar"/>
    <w:uiPriority w:val="99"/>
    <w:semiHidden/>
    <w:unhideWhenUsed/>
    <w:rsid w:val="00D3645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36452"/>
    <w:rPr>
      <w:rFonts w:ascii="Tahoma" w:hAnsi="Tahoma" w:cs="Tahoma"/>
      <w:sz w:val="16"/>
      <w:szCs w:val="16"/>
    </w:rPr>
  </w:style>
  <w:style w:type="paragraph" w:customStyle="1" w:styleId="Default">
    <w:name w:val="Default"/>
    <w:rsid w:val="001320EF"/>
    <w:pPr>
      <w:autoSpaceDE w:val="0"/>
      <w:autoSpaceDN w:val="0"/>
      <w:adjustRightInd w:val="0"/>
      <w:spacing w:after="0" w:line="240" w:lineRule="auto"/>
    </w:pPr>
    <w:rPr>
      <w:rFonts w:ascii="Arial" w:eastAsiaTheme="minorHAnsi" w:hAnsi="Arial" w:cs="Arial"/>
      <w:color w:val="000000"/>
      <w:sz w:val="24"/>
      <w:szCs w:val="24"/>
      <w:lang w:val="nl-NL" w:eastAsia="en-US"/>
    </w:rPr>
  </w:style>
</w:styles>
</file>

<file path=word/webSettings.xml><?xml version="1.0" encoding="utf-8"?>
<w:webSettings xmlns:r="http://schemas.openxmlformats.org/officeDocument/2006/relationships" xmlns:w="http://schemas.openxmlformats.org/wordprocessingml/2006/main">
  <w:divs>
    <w:div w:id="1646366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aegon.com/"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hyperlink" Target="http://www.aegon.com/" TargetMode="External"/></Relationships>
</file>

<file path=word/_rels/footer2.xml.rels><?xml version="1.0" encoding="UTF-8" standalone="yes"?>
<Relationships xmlns="http://schemas.openxmlformats.org/package/2006/relationships"><Relationship Id="rId2" Type="http://schemas.openxmlformats.org/officeDocument/2006/relationships/hyperlink" Target="mailto:ir@aegon.com" TargetMode="External"/><Relationship Id="rId1" Type="http://schemas.openxmlformats.org/officeDocument/2006/relationships/hyperlink" Target="mailto:gcc-ir@aegon.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309488C-7E03-490C-9DBB-4CD198A680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2</Pages>
  <Words>1647</Words>
  <Characters>8883</Characters>
  <Application>Microsoft Office Word</Application>
  <DocSecurity>0</DocSecurity>
  <Lines>141</Lines>
  <Paragraphs>57</Paragraphs>
  <ScaleCrop>false</ScaleCrop>
  <HeadingPairs>
    <vt:vector size="2" baseType="variant">
      <vt:variant>
        <vt:lpstr>Title</vt:lpstr>
      </vt:variant>
      <vt:variant>
        <vt:i4>1</vt:i4>
      </vt:variant>
    </vt:vector>
  </HeadingPairs>
  <TitlesOfParts>
    <vt:vector size="1" baseType="lpstr">
      <vt:lpstr/>
    </vt:vector>
  </TitlesOfParts>
  <Company>Member Company of the AEGON Group</Company>
  <LinksUpToDate>false</LinksUpToDate>
  <CharactersWithSpaces>10473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admalee</dc:creator>
  <cp:keywords/>
  <dc:description/>
  <cp:lastModifiedBy>Lindemann , Alie</cp:lastModifiedBy>
  <cp:revision>6</cp:revision>
  <cp:lastPrinted>2012-11-16T09:38:00Z</cp:lastPrinted>
  <dcterms:created xsi:type="dcterms:W3CDTF">2013-02-14T12:37:00Z</dcterms:created>
  <dcterms:modified xsi:type="dcterms:W3CDTF">2013-02-14T14:33:00Z</dcterms:modified>
  <cp:category>ress release</cp:category>
</cp:coreProperties>
</file>