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C8" w:rsidRDefault="004349C8" w:rsidP="00703FF0">
      <w:pPr>
        <w:pStyle w:val="PlainText"/>
        <w:rPr>
          <w:rFonts w:ascii="Verdana" w:hAnsi="Verdana"/>
          <w:b/>
          <w:sz w:val="22"/>
          <w:szCs w:val="22"/>
          <w:lang w:val="en-GB"/>
        </w:rPr>
      </w:pPr>
    </w:p>
    <w:p w:rsidR="004349C8" w:rsidRPr="003A4A8F" w:rsidRDefault="004349C8" w:rsidP="003A4A8F">
      <w:pPr>
        <w:spacing w:after="120"/>
        <w:rPr>
          <w:rFonts w:ascii="Verdana" w:hAnsi="Verdana"/>
          <w:b/>
          <w:bCs/>
          <w:color w:val="000000"/>
        </w:rPr>
      </w:pPr>
      <w:r w:rsidRPr="00631F51">
        <w:rPr>
          <w:rFonts w:ascii="Verdana" w:hAnsi="Verdana"/>
          <w:b/>
          <w:bCs/>
          <w:color w:val="000000"/>
        </w:rPr>
        <w:t>Aegon intends to move to swap curve for solvency calculation in the Netherlands</w:t>
      </w:r>
    </w:p>
    <w:p w:rsidR="004349C8" w:rsidRPr="00631F51" w:rsidRDefault="004349C8" w:rsidP="00631F51">
      <w:pPr>
        <w:rPr>
          <w:rFonts w:ascii="Verdana" w:hAnsi="Verdana"/>
          <w:sz w:val="18"/>
          <w:szCs w:val="18"/>
          <w:lang w:val="en-GB"/>
        </w:rPr>
      </w:pPr>
      <w:r w:rsidRPr="00631F51">
        <w:rPr>
          <w:rFonts w:ascii="Verdana" w:hAnsi="Verdana"/>
          <w:sz w:val="18"/>
          <w:szCs w:val="18"/>
          <w:lang w:val="en-GB"/>
        </w:rPr>
        <w:t xml:space="preserve">On August 29, 2013, De Nederlandsche Bank (DNB) announced that it maintains the current framework for the calculation of the Solvency 1 ratio in the </w:t>
      </w:r>
      <w:smartTag w:uri="urn:schemas-microsoft-com:office:smarttags" w:element="place">
        <w:smartTag w:uri="urn:schemas-microsoft-com:office:smarttags" w:element="country-region">
          <w:r w:rsidRPr="00631F51">
            <w:rPr>
              <w:rFonts w:ascii="Verdana" w:hAnsi="Verdana"/>
              <w:sz w:val="18"/>
              <w:szCs w:val="18"/>
              <w:lang w:val="en-GB"/>
            </w:rPr>
            <w:t>Netherlands</w:t>
          </w:r>
        </w:smartTag>
      </w:smartTag>
      <w:r w:rsidRPr="00631F51">
        <w:rPr>
          <w:rFonts w:ascii="Verdana" w:hAnsi="Verdana"/>
          <w:sz w:val="18"/>
          <w:szCs w:val="18"/>
          <w:lang w:val="en-GB"/>
        </w:rPr>
        <w:t>. This implies that insurers can choose either the DNB swap curve or the ECB AAA curve, the latter being the curve Aegon used for the calculation of the IGD (Insurance Group Directive) solvency ra</w:t>
      </w:r>
      <w:r>
        <w:rPr>
          <w:rFonts w:ascii="Verdana" w:hAnsi="Verdana"/>
          <w:sz w:val="18"/>
          <w:szCs w:val="18"/>
          <w:lang w:val="en-GB"/>
        </w:rPr>
        <w:t xml:space="preserve">tio for Aegon the Netherlands. </w:t>
      </w:r>
    </w:p>
    <w:p w:rsidR="004349C8" w:rsidRPr="00631F51" w:rsidRDefault="004349C8" w:rsidP="00631F51">
      <w:pPr>
        <w:rPr>
          <w:rFonts w:ascii="Verdana" w:hAnsi="Verdana"/>
          <w:sz w:val="18"/>
          <w:szCs w:val="18"/>
          <w:lang w:val="en-GB"/>
        </w:rPr>
      </w:pPr>
      <w:r w:rsidRPr="00631F51">
        <w:rPr>
          <w:rFonts w:ascii="Verdana" w:hAnsi="Verdana"/>
          <w:sz w:val="18"/>
          <w:szCs w:val="18"/>
          <w:lang w:val="en-GB"/>
        </w:rPr>
        <w:t xml:space="preserve">On July 12, 2013, Fitch downgraded </w:t>
      </w:r>
      <w:smartTag w:uri="urn:schemas-microsoft-com:office:smarttags" w:element="country-region">
        <w:r w:rsidRPr="00631F51">
          <w:rPr>
            <w:rFonts w:ascii="Verdana" w:hAnsi="Verdana"/>
            <w:sz w:val="18"/>
            <w:szCs w:val="18"/>
            <w:lang w:val="en-GB"/>
          </w:rPr>
          <w:t>France</w:t>
        </w:r>
      </w:smartTag>
      <w:r w:rsidRPr="00631F51">
        <w:rPr>
          <w:rFonts w:ascii="Verdana" w:hAnsi="Verdana"/>
          <w:sz w:val="18"/>
          <w:szCs w:val="18"/>
          <w:lang w:val="en-GB"/>
        </w:rPr>
        <w:t xml:space="preserve"> from AAA to AA+, resulting in the removal of </w:t>
      </w:r>
      <w:smartTag w:uri="urn:schemas-microsoft-com:office:smarttags" w:element="country-region">
        <w:r w:rsidRPr="00631F51">
          <w:rPr>
            <w:rFonts w:ascii="Verdana" w:hAnsi="Verdana"/>
            <w:sz w:val="18"/>
            <w:szCs w:val="18"/>
            <w:lang w:val="en-GB"/>
          </w:rPr>
          <w:t>France</w:t>
        </w:r>
      </w:smartTag>
      <w:r w:rsidRPr="00631F51">
        <w:rPr>
          <w:rFonts w:ascii="Verdana" w:hAnsi="Verdana"/>
          <w:sz w:val="18"/>
          <w:szCs w:val="18"/>
          <w:lang w:val="en-GB"/>
        </w:rPr>
        <w:t xml:space="preserve"> from the ECB AAA curve and an adverse impact on the IGD solvency ratio of Aegon </w:t>
      </w:r>
      <w:r>
        <w:rPr>
          <w:rFonts w:ascii="Verdana" w:hAnsi="Verdana"/>
          <w:sz w:val="18"/>
          <w:szCs w:val="18"/>
          <w:lang w:val="en-GB"/>
        </w:rPr>
        <w:t>t</w:t>
      </w:r>
      <w:r w:rsidRPr="00631F51">
        <w:rPr>
          <w:rFonts w:ascii="Verdana" w:hAnsi="Verdana"/>
          <w:sz w:val="18"/>
          <w:szCs w:val="18"/>
          <w:lang w:val="en-GB"/>
        </w:rPr>
        <w:t xml:space="preserve">he </w:t>
      </w:r>
      <w:smartTag w:uri="urn:schemas-microsoft-com:office:smarttags" w:element="place">
        <w:smartTag w:uri="urn:schemas-microsoft-com:office:smarttags" w:element="country-region">
          <w:r w:rsidRPr="00631F51">
            <w:rPr>
              <w:rFonts w:ascii="Verdana" w:hAnsi="Verdana"/>
              <w:sz w:val="18"/>
              <w:szCs w:val="18"/>
              <w:lang w:val="en-GB"/>
            </w:rPr>
            <w:t>Netherlands</w:t>
          </w:r>
        </w:smartTag>
      </w:smartTag>
      <w:r w:rsidRPr="00631F51">
        <w:rPr>
          <w:rFonts w:ascii="Verdana" w:hAnsi="Verdana"/>
          <w:sz w:val="18"/>
          <w:szCs w:val="18"/>
          <w:lang w:val="en-GB"/>
        </w:rPr>
        <w:t>. Today, Aegon announces its intention to move to the DNB swap curve and to incorporate the Ultimate Forward Rate into its inte</w:t>
      </w:r>
      <w:r>
        <w:rPr>
          <w:rFonts w:ascii="Verdana" w:hAnsi="Verdana"/>
          <w:sz w:val="18"/>
          <w:szCs w:val="18"/>
          <w:lang w:val="en-GB"/>
        </w:rPr>
        <w:t>rnal capital management policy.</w:t>
      </w:r>
    </w:p>
    <w:p w:rsidR="004349C8" w:rsidRPr="003A4A8F" w:rsidRDefault="004349C8" w:rsidP="00631F51">
      <w:pPr>
        <w:rPr>
          <w:sz w:val="18"/>
          <w:szCs w:val="18"/>
          <w:lang w:val="en-GB"/>
        </w:rPr>
      </w:pPr>
      <w:r w:rsidRPr="00631F51">
        <w:rPr>
          <w:rFonts w:ascii="Verdana" w:hAnsi="Verdana"/>
          <w:sz w:val="18"/>
          <w:szCs w:val="18"/>
          <w:lang w:val="en-GB"/>
        </w:rPr>
        <w:t>On this new basis, the pro form</w:t>
      </w:r>
      <w:r>
        <w:rPr>
          <w:rFonts w:ascii="Verdana" w:hAnsi="Verdana"/>
          <w:sz w:val="18"/>
          <w:szCs w:val="18"/>
          <w:lang w:val="en-GB"/>
        </w:rPr>
        <w:t>a IGD solvency ratio for Aegon t</w:t>
      </w:r>
      <w:r w:rsidRPr="00631F51">
        <w:rPr>
          <w:rFonts w:ascii="Verdana" w:hAnsi="Verdana"/>
          <w:sz w:val="18"/>
          <w:szCs w:val="18"/>
          <w:lang w:val="en-GB"/>
        </w:rPr>
        <w:t>he Netherlands excluding banking activities per June 30, 2013</w:t>
      </w:r>
      <w:r>
        <w:rPr>
          <w:rFonts w:ascii="Verdana" w:hAnsi="Verdana"/>
          <w:sz w:val="18"/>
          <w:szCs w:val="18"/>
          <w:lang w:val="en-GB"/>
        </w:rPr>
        <w:t>,</w:t>
      </w:r>
      <w:r w:rsidRPr="00631F51">
        <w:rPr>
          <w:rFonts w:ascii="Verdana" w:hAnsi="Verdana"/>
          <w:sz w:val="18"/>
          <w:szCs w:val="18"/>
          <w:lang w:val="en-GB"/>
        </w:rPr>
        <w:t xml:space="preserve"> amounted to approximately 245%. The continued strong solvency ratio is evidence of Aegon’s commitment to maintaining solid capital buffers within each of its operating companies.</w:t>
      </w:r>
    </w:p>
    <w:p w:rsidR="004349C8" w:rsidRDefault="004349C8" w:rsidP="00703FF0">
      <w:pPr>
        <w:pStyle w:val="PlainText"/>
        <w:rPr>
          <w:lang w:val="en-GB"/>
        </w:rPr>
      </w:pPr>
    </w:p>
    <w:p w:rsidR="004349C8" w:rsidRDefault="004349C8" w:rsidP="00FA32CD">
      <w:pPr>
        <w:spacing w:before="240" w:after="0"/>
        <w:rPr>
          <w:rFonts w:ascii="Verdana" w:hAnsi="Verdana" w:cs="Arial"/>
          <w:bCs/>
          <w:noProof/>
          <w:color w:val="000000"/>
          <w:sz w:val="18"/>
          <w:szCs w:val="18"/>
        </w:rPr>
      </w:pPr>
    </w:p>
    <w:p w:rsidR="004349C8" w:rsidRPr="00314B67" w:rsidRDefault="004349C8" w:rsidP="00FA32CD">
      <w:pPr>
        <w:spacing w:before="240" w:after="0"/>
        <w:rPr>
          <w:rFonts w:ascii="Verdana" w:hAnsi="Verdana" w:cs="Arial"/>
          <w:bCs/>
          <w:noProof/>
          <w:color w:val="000000"/>
          <w:sz w:val="18"/>
          <w:szCs w:val="18"/>
        </w:rPr>
      </w:pPr>
    </w:p>
    <w:p w:rsidR="004349C8" w:rsidRDefault="004349C8" w:rsidP="008F1426">
      <w:pPr>
        <w:pStyle w:val="Headingtext"/>
        <w:spacing w:line="276" w:lineRule="auto"/>
        <w:rPr>
          <w:rFonts w:ascii="Verdana" w:hAnsi="Verdana" w:cs="Arial"/>
          <w:b w:val="0"/>
          <w:color w:val="0070C0"/>
          <w:sz w:val="16"/>
          <w:szCs w:val="16"/>
        </w:rPr>
      </w:pPr>
    </w:p>
    <w:p w:rsidR="004349C8" w:rsidRDefault="004349C8">
      <w:pPr>
        <w:rPr>
          <w:rFonts w:ascii="Verdana" w:hAnsi="Verdana" w:cs="Arial"/>
          <w:b/>
          <w:bCs/>
          <w:color w:val="005BAD"/>
          <w:sz w:val="18"/>
          <w:szCs w:val="18"/>
          <w:lang w:eastAsia="nl-NL"/>
        </w:rPr>
      </w:pPr>
      <w:r>
        <w:rPr>
          <w:rFonts w:ascii="Verdana" w:hAnsi="Verdana" w:cs="Arial"/>
          <w:b/>
          <w:bCs/>
          <w:color w:val="005BAD"/>
          <w:sz w:val="18"/>
          <w:szCs w:val="18"/>
          <w:lang w:eastAsia="nl-NL"/>
        </w:rPr>
        <w:br w:type="page"/>
      </w:r>
    </w:p>
    <w:p w:rsidR="004349C8" w:rsidRPr="000D2983" w:rsidRDefault="004349C8" w:rsidP="00334661">
      <w:pPr>
        <w:spacing w:after="0" w:line="240" w:lineRule="auto"/>
        <w:rPr>
          <w:rFonts w:ascii="Verdana" w:hAnsi="Verdana" w:cs="Arial"/>
          <w:b/>
          <w:bCs/>
          <w:color w:val="005BAD"/>
          <w:sz w:val="16"/>
          <w:szCs w:val="16"/>
          <w:lang w:eastAsia="nl-NL"/>
        </w:rPr>
      </w:pPr>
      <w:r w:rsidRPr="00BC602B">
        <w:rPr>
          <w:rFonts w:ascii="Verdana" w:hAnsi="Verdana" w:cs="Arial"/>
          <w:b/>
          <w:bCs/>
          <w:color w:val="005BAD"/>
          <w:sz w:val="18"/>
          <w:szCs w:val="18"/>
          <w:lang w:eastAsia="nl-NL"/>
        </w:rPr>
        <w:t>DISCLAIMERS</w:t>
      </w:r>
    </w:p>
    <w:p w:rsidR="004349C8" w:rsidRDefault="004349C8" w:rsidP="00334661">
      <w:pPr>
        <w:pStyle w:val="Headingtext"/>
        <w:rPr>
          <w:rFonts w:ascii="Verdana" w:hAnsi="Verdana" w:cs="Arial"/>
          <w:color w:val="auto"/>
          <w:sz w:val="14"/>
          <w:szCs w:val="24"/>
        </w:rPr>
      </w:pPr>
    </w:p>
    <w:p w:rsidR="004349C8" w:rsidRPr="00913E7B" w:rsidRDefault="004349C8" w:rsidP="00334661">
      <w:pPr>
        <w:pStyle w:val="Headingtext"/>
        <w:rPr>
          <w:rFonts w:ascii="Verdana" w:hAnsi="Verdana" w:cs="Arial"/>
          <w:color w:val="auto"/>
          <w:sz w:val="14"/>
          <w:szCs w:val="24"/>
        </w:rPr>
      </w:pPr>
      <w:r w:rsidRPr="00913E7B">
        <w:rPr>
          <w:rFonts w:ascii="Verdana" w:hAnsi="Verdana" w:cs="Arial"/>
          <w:color w:val="auto"/>
          <w:sz w:val="14"/>
          <w:szCs w:val="24"/>
        </w:rPr>
        <w:t>Forward-looking statements</w:t>
      </w:r>
    </w:p>
    <w:p w:rsidR="004349C8" w:rsidRPr="00913E7B" w:rsidRDefault="004349C8" w:rsidP="00334661">
      <w:pPr>
        <w:spacing w:after="0" w:line="240" w:lineRule="auto"/>
        <w:rPr>
          <w:rFonts w:ascii="Verdana" w:hAnsi="Verdana" w:cs="Arial"/>
          <w:sz w:val="14"/>
          <w:lang w:val="en-GB"/>
        </w:rPr>
      </w:pPr>
      <w:r w:rsidRPr="00913E7B">
        <w:rPr>
          <w:rFonts w:ascii="Verdana" w:hAnsi="Verdana" w:cs="Arial"/>
          <w:sz w:val="14"/>
          <w:lang w:val="en-GB"/>
        </w:rPr>
        <w:t xml:space="preserve">The statements contained in this document that are not historical facts are forward-looking statements as defined in the </w:t>
      </w:r>
      <w:smartTag w:uri="urn:schemas-microsoft-com:office:smarttags" w:element="place">
        <w:smartTag w:uri="urn:schemas-microsoft-com:office:smarttags" w:element="country-region">
          <w:r w:rsidRPr="00913E7B">
            <w:rPr>
              <w:rFonts w:ascii="Verdana" w:hAnsi="Verdana" w:cs="Arial"/>
              <w:sz w:val="14"/>
              <w:lang w:val="en-GB"/>
            </w:rPr>
            <w:t>US</w:t>
          </w:r>
        </w:smartTag>
      </w:smartTag>
      <w:r w:rsidRPr="00913E7B">
        <w:rPr>
          <w:rFonts w:ascii="Verdana" w:hAnsi="Verdana" w:cs="Arial"/>
          <w:sz w:val="14"/>
          <w:lang w:val="en-GB"/>
        </w:rPr>
        <w:t xml:space="preserve"> Private Securities Litigation Reform Act of 1995. The following are words that identify such forward-looking statements: aim, believe, estimate, target, intend, may, expect, anticipate, predict, project, counting on, plan, continue, want, forecast, goal, should, would, is confident, will, and similar expressions as they relate to Aegon. These statements are not guarantees of future performance and involve risks, uncertainties and assumptions that are difficult to predict. Aegon undertakes no obligation to publicly update or revise any forward-looking statements. Readers are cautioned not to place undue reliance on these forward-looking statements, which merely reflect company expectations at the time of writing. Actual results may differ materially from expectations conveyed in forward-looking statements due to changes caused by various risks and uncertainties. Such risks and uncertainties include but are not limited to the following:</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 xml:space="preserve">Changes in general economic conditions, particularly in the </w:t>
      </w:r>
      <w:smartTag w:uri="urn:schemas-microsoft-com:office:smarttags" w:element="country-region">
        <w:r w:rsidRPr="00913E7B">
          <w:rPr>
            <w:rFonts w:ascii="Verdana" w:hAnsi="Verdana" w:cs="Arial"/>
            <w:noProof w:val="0"/>
            <w:sz w:val="14"/>
          </w:rPr>
          <w:t>United States</w:t>
        </w:r>
      </w:smartTag>
      <w:r w:rsidRPr="00913E7B">
        <w:rPr>
          <w:rFonts w:ascii="Verdana" w:hAnsi="Verdana" w:cs="Arial"/>
          <w:noProof w:val="0"/>
          <w:sz w:val="14"/>
        </w:rPr>
        <w:t xml:space="preserve">, the </w:t>
      </w:r>
      <w:smartTag w:uri="urn:schemas-microsoft-com:office:smarttags" w:element="country-region">
        <w:r w:rsidRPr="00913E7B">
          <w:rPr>
            <w:rFonts w:ascii="Verdana" w:hAnsi="Verdana" w:cs="Arial"/>
            <w:noProof w:val="0"/>
            <w:sz w:val="14"/>
          </w:rPr>
          <w:t>Netherlands</w:t>
        </w:r>
      </w:smartTag>
      <w:r w:rsidRPr="00913E7B">
        <w:rPr>
          <w:rFonts w:ascii="Verdana" w:hAnsi="Verdana" w:cs="Arial"/>
          <w:noProof w:val="0"/>
          <w:sz w:val="14"/>
        </w:rPr>
        <w:t xml:space="preserve"> and the </w:t>
      </w:r>
      <w:smartTag w:uri="urn:schemas-microsoft-com:office:smarttags" w:element="place">
        <w:smartTag w:uri="urn:schemas-microsoft-com:office:smarttags" w:element="country-region">
          <w:r w:rsidRPr="00913E7B">
            <w:rPr>
              <w:rFonts w:ascii="Verdana" w:hAnsi="Verdana" w:cs="Arial"/>
              <w:noProof w:val="0"/>
              <w:sz w:val="14"/>
            </w:rPr>
            <w:t>United Kingdom</w:t>
          </w:r>
        </w:smartTag>
      </w:smartTag>
      <w:r w:rsidRPr="00913E7B">
        <w:rPr>
          <w:rFonts w:ascii="Verdana" w:hAnsi="Verdana" w:cs="Arial"/>
          <w:noProof w:val="0"/>
          <w:sz w:val="14"/>
        </w:rPr>
        <w:t>;</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in the performance of financial markets, including emerging markets, such as with regard to:</w:t>
      </w:r>
    </w:p>
    <w:p w:rsidR="004349C8" w:rsidRPr="00913E7B" w:rsidRDefault="004349C8" w:rsidP="00334661">
      <w:pPr>
        <w:pStyle w:val="ListParagraph"/>
        <w:numPr>
          <w:ilvl w:val="0"/>
          <w:numId w:val="7"/>
        </w:numPr>
        <w:spacing w:after="0" w:line="240" w:lineRule="auto"/>
        <w:rPr>
          <w:rFonts w:ascii="Verdana" w:hAnsi="Verdana" w:cs="Arial"/>
          <w:noProof w:val="0"/>
          <w:sz w:val="14"/>
        </w:rPr>
      </w:pPr>
      <w:r w:rsidRPr="00913E7B">
        <w:rPr>
          <w:rFonts w:ascii="Verdana" w:hAnsi="Verdana" w:cs="Arial"/>
          <w:noProof w:val="0"/>
          <w:sz w:val="14"/>
        </w:rPr>
        <w:t xml:space="preserve">The frequency and severity of defaults by issuers in Aegon’s fixed income investment portfolios; </w:t>
      </w:r>
    </w:p>
    <w:p w:rsidR="004349C8" w:rsidRPr="00913E7B" w:rsidRDefault="004349C8" w:rsidP="00334661">
      <w:pPr>
        <w:pStyle w:val="ListParagraph"/>
        <w:numPr>
          <w:ilvl w:val="0"/>
          <w:numId w:val="7"/>
        </w:numPr>
        <w:spacing w:after="0" w:line="240" w:lineRule="auto"/>
        <w:rPr>
          <w:rFonts w:ascii="Verdana" w:hAnsi="Verdana" w:cs="Arial"/>
          <w:noProof w:val="0"/>
          <w:sz w:val="14"/>
        </w:rPr>
      </w:pPr>
      <w:r w:rsidRPr="00913E7B">
        <w:rPr>
          <w:rFonts w:ascii="Verdana" w:hAnsi="Verdana" w:cs="Arial"/>
          <w:noProof w:val="0"/>
          <w:sz w:val="14"/>
        </w:rPr>
        <w:t>The effects of corporate bankruptcies and/or accounting restatements on the financial markets and the resulting decline in the value of equity and debt securities Aegon holds; and</w:t>
      </w:r>
    </w:p>
    <w:p w:rsidR="004349C8" w:rsidRPr="00913E7B" w:rsidRDefault="004349C8" w:rsidP="00334661">
      <w:pPr>
        <w:pStyle w:val="ListParagraph"/>
        <w:numPr>
          <w:ilvl w:val="0"/>
          <w:numId w:val="7"/>
        </w:numPr>
        <w:spacing w:after="0" w:line="240" w:lineRule="auto"/>
        <w:rPr>
          <w:rFonts w:ascii="Verdana" w:hAnsi="Verdana" w:cs="Arial"/>
          <w:noProof w:val="0"/>
          <w:sz w:val="14"/>
        </w:rPr>
      </w:pPr>
      <w:r w:rsidRPr="00913E7B">
        <w:rPr>
          <w:rFonts w:ascii="Verdana" w:hAnsi="Verdana" w:cs="Arial"/>
          <w:noProof w:val="0"/>
          <w:sz w:val="14"/>
        </w:rPr>
        <w:t>The effects of declining creditworthiness of certain private sector securities and the resulting decline in the value of sovereign exposure that Aegon holds;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in the performance of Aegon’s investment portfolio and decline in ratings of</w:t>
      </w:r>
      <w:r>
        <w:rPr>
          <w:rFonts w:ascii="Verdana" w:hAnsi="Verdana" w:cs="Arial"/>
          <w:noProof w:val="0"/>
          <w:sz w:val="14"/>
        </w:rPr>
        <w:t xml:space="preserve"> </w:t>
      </w:r>
      <w:r w:rsidRPr="00913E7B">
        <w:rPr>
          <w:rFonts w:ascii="Verdana" w:hAnsi="Verdana" w:cs="Arial"/>
          <w:noProof w:val="0"/>
          <w:sz w:val="14"/>
        </w:rPr>
        <w:t>Aegon’s counterparties;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Consequences of a potential (partial) break-up of the euro;</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The frequency and severity of insured loss events;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affecting mortality, morbidity, persistence and other factors that may impact the profitability of Aegon’s insurance products;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Reinsurers to whom Aegon has ceded significant underwriting risks may fail to meet their obligations;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w:t>
      </w:r>
      <w:r w:rsidRPr="00913E7B">
        <w:rPr>
          <w:rFonts w:ascii="Verdana" w:hAnsi="Verdana" w:cs="Arial"/>
          <w:sz w:val="14"/>
        </w:rPr>
        <w:t xml:space="preserve">hanges affecting interest rate levels and continuing low or rapidly changing interest rate levels; </w:t>
      </w:r>
      <w:r w:rsidRPr="00913E7B">
        <w:rPr>
          <w:rFonts w:ascii="Verdana" w:hAnsi="Verdana" w:cs="Arial"/>
          <w:noProof w:val="0"/>
          <w:sz w:val="14"/>
        </w:rPr>
        <w:t>changes affecting currency exchange rates, in particular the EUR/USD and EUR/GBP exchange rates;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in the availability of, and costs associated with, liquidity sources such as bank and capital markets funding, as well as conditions in the credit markets in general such as changes in borrower and counterparty creditworthiness;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 xml:space="preserve">Increasing levels of competition in the </w:t>
      </w:r>
      <w:smartTag w:uri="urn:schemas-microsoft-com:office:smarttags" w:element="country-region">
        <w:r w:rsidRPr="00913E7B">
          <w:rPr>
            <w:rFonts w:ascii="Verdana" w:hAnsi="Verdana" w:cs="Arial"/>
            <w:noProof w:val="0"/>
            <w:sz w:val="14"/>
          </w:rPr>
          <w:t>United States</w:t>
        </w:r>
      </w:smartTag>
      <w:r w:rsidRPr="00913E7B">
        <w:rPr>
          <w:rFonts w:ascii="Verdana" w:hAnsi="Verdana" w:cs="Arial"/>
          <w:noProof w:val="0"/>
          <w:sz w:val="14"/>
        </w:rPr>
        <w:t xml:space="preserve">, the </w:t>
      </w:r>
      <w:smartTag w:uri="urn:schemas-microsoft-com:office:smarttags" w:element="country-region">
        <w:r w:rsidRPr="00913E7B">
          <w:rPr>
            <w:rFonts w:ascii="Verdana" w:hAnsi="Verdana" w:cs="Arial"/>
            <w:noProof w:val="0"/>
            <w:sz w:val="14"/>
          </w:rPr>
          <w:t>Netherlands</w:t>
        </w:r>
      </w:smartTag>
      <w:r w:rsidRPr="00913E7B">
        <w:rPr>
          <w:rFonts w:ascii="Verdana" w:hAnsi="Verdana" w:cs="Arial"/>
          <w:noProof w:val="0"/>
          <w:sz w:val="14"/>
        </w:rPr>
        <w:t xml:space="preserve">, the </w:t>
      </w:r>
      <w:smartTag w:uri="urn:schemas-microsoft-com:office:smarttags" w:element="place">
        <w:smartTag w:uri="urn:schemas-microsoft-com:office:smarttags" w:element="country-region">
          <w:r w:rsidRPr="00913E7B">
            <w:rPr>
              <w:rFonts w:ascii="Verdana" w:hAnsi="Verdana" w:cs="Arial"/>
              <w:noProof w:val="0"/>
              <w:sz w:val="14"/>
            </w:rPr>
            <w:t>United Kingdom</w:t>
          </w:r>
        </w:smartTag>
      </w:smartTag>
      <w:r w:rsidRPr="00913E7B">
        <w:rPr>
          <w:rFonts w:ascii="Verdana" w:hAnsi="Verdana" w:cs="Arial"/>
          <w:noProof w:val="0"/>
          <w:sz w:val="14"/>
        </w:rPr>
        <w:t xml:space="preserve"> and emerging markets;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in laws and regulations, particularly those affecting Aegon’s operations, ability to hire and retain key personnel, the products Aegon sells, and the attractiveness of certain products to its consumers;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Regulatory changes relating to the insurance industry in the jurisdictions in which Aegon operates;</w:t>
      </w:r>
    </w:p>
    <w:p w:rsidR="004349C8" w:rsidRPr="00913E7B" w:rsidRDefault="004349C8" w:rsidP="00334661">
      <w:pPr>
        <w:pStyle w:val="ListParagraph"/>
        <w:numPr>
          <w:ilvl w:val="0"/>
          <w:numId w:val="6"/>
        </w:numPr>
        <w:spacing w:after="0" w:line="240" w:lineRule="auto"/>
        <w:ind w:left="284" w:hanging="284"/>
        <w:rPr>
          <w:rFonts w:ascii="Verdana" w:hAnsi="Verdana" w:cs="Arial"/>
          <w:sz w:val="14"/>
        </w:rPr>
      </w:pPr>
      <w:r w:rsidRPr="00913E7B">
        <w:rPr>
          <w:rFonts w:ascii="Verdana" w:hAnsi="Verdana" w:cs="Arial"/>
          <w:sz w:val="14"/>
        </w:rPr>
        <w:t>Changes in customer behavior and public opinion in general related to, among other things, the type of products also Aegon sells, including legal, regulatory or commercial necessity to meet changing customer expectations;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Acts of God, acts of terrorism, acts of war and pandemics;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in the policies of central banks and/or governments;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Lowering of one or more of Aegon’s debt ratings issued by recognized rating organizations and the adverse impact such action may have on Aegon’s ability to raise capital and on its liquidity and financial condition;</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Lowering of one or more of insurer financial strength ratings of Aegon’s insurance subsidiaries and the adverse impact such action may have on the premium writings, policy retention, profitability and liquidity of its insurance subsidiaries;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The effect of the European Union’s Solvency II requirements and other regulations in other jurisdictions affecting the capital Aegon is required to maintain;</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Litigation or regulatory action that could require Aegon to pay significant damages or change the way Aegon does business;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As Aegon’s operations support complex transactions and are highly dependent on the proper functioning of information technology, a computer system failure or security breach may disrupt Aegon’s business, damage its reputation and adversely affect its results of operations, financial condition and cash flows;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Customer responsiveness to both new products and distribution channels;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Competitive, legal, regulatory, or tax changes that affect profitability, the distribution cost of or demand for Aegon’s products;</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Changes in accounting regulations and policies may affect Aegon’s reported results and shareholders</w:t>
      </w:r>
      <w:r>
        <w:rPr>
          <w:rFonts w:ascii="Verdana" w:hAnsi="Verdana" w:cs="Arial"/>
          <w:noProof w:val="0"/>
          <w:sz w:val="14"/>
        </w:rPr>
        <w:t>’</w:t>
      </w:r>
      <w:r w:rsidRPr="00913E7B">
        <w:rPr>
          <w:rFonts w:ascii="Verdana" w:hAnsi="Verdana" w:cs="Arial"/>
          <w:noProof w:val="0"/>
          <w:sz w:val="14"/>
        </w:rPr>
        <w:t xml:space="preserve"> equity;</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 xml:space="preserve">The impact of acquisitions and divestitures, restructurings, product withdrawals and other unusual items, including Aegon’s ability to integrate acquisitions and to obtain the anticipated results and synergies from acquisitions; </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Catastrophic events, either manmade or by nature, could result in material losses and significantly interrupt Aegon’s business; and</w:t>
      </w:r>
    </w:p>
    <w:p w:rsidR="004349C8" w:rsidRPr="00913E7B" w:rsidRDefault="004349C8" w:rsidP="00334661">
      <w:pPr>
        <w:pStyle w:val="ListParagraph"/>
        <w:numPr>
          <w:ilvl w:val="0"/>
          <w:numId w:val="6"/>
        </w:numPr>
        <w:spacing w:after="0" w:line="240" w:lineRule="auto"/>
        <w:ind w:left="284" w:hanging="284"/>
        <w:rPr>
          <w:rFonts w:ascii="Verdana" w:hAnsi="Verdana" w:cs="Arial"/>
          <w:noProof w:val="0"/>
          <w:sz w:val="14"/>
        </w:rPr>
      </w:pPr>
      <w:r w:rsidRPr="00913E7B">
        <w:rPr>
          <w:rFonts w:ascii="Verdana" w:hAnsi="Verdana" w:cs="Arial"/>
          <w:noProof w:val="0"/>
          <w:sz w:val="14"/>
        </w:rPr>
        <w:t xml:space="preserve">Aegon’s failure to achieve anticipated levels of earnings or operational efficiencies as well as other cost saving initiatives. </w:t>
      </w:r>
    </w:p>
    <w:p w:rsidR="004349C8" w:rsidRPr="00913E7B" w:rsidRDefault="004349C8" w:rsidP="00334661">
      <w:pPr>
        <w:pStyle w:val="ListParagraph"/>
        <w:spacing w:after="0" w:line="240" w:lineRule="auto"/>
        <w:ind w:left="284"/>
        <w:rPr>
          <w:rFonts w:ascii="Verdana" w:hAnsi="Verdana" w:cs="Arial"/>
          <w:noProof w:val="0"/>
          <w:sz w:val="14"/>
        </w:rPr>
      </w:pPr>
    </w:p>
    <w:p w:rsidR="004349C8" w:rsidRPr="00334661" w:rsidRDefault="004349C8" w:rsidP="00334661">
      <w:pPr>
        <w:pStyle w:val="Headingtext"/>
        <w:spacing w:line="276" w:lineRule="auto"/>
        <w:rPr>
          <w:rFonts w:ascii="Verdana" w:hAnsi="Verdana" w:cs="Arial"/>
          <w:sz w:val="14"/>
        </w:rPr>
      </w:pPr>
      <w:r>
        <w:rPr>
          <w:rFonts w:ascii="Verdana" w:hAnsi="Verdana" w:cs="Arial"/>
          <w:b w:val="0"/>
          <w:color w:val="auto"/>
          <w:sz w:val="14"/>
          <w:szCs w:val="14"/>
          <w:lang w:eastAsia="ja-JP"/>
        </w:rPr>
        <w:t>Further details of potential risks and uncertainties affecting Aegon are described in its filings with the Netherlands Authority for the Financial Markets and the US Securities and Exchange Commission, including the Annual Report. These forward-looking statements speak only as of the date of this document. Except as required by any applicable law or regulation, Aegon expressly disclaims any obligation or undertaking to release publicly any updates or revisions to any forward-looking statements contained herein to reflect any change in Aegon’s expectations with regard thereto or any change in events, conditions or circumstances on which any such statement is based.</w:t>
      </w:r>
    </w:p>
    <w:sectPr w:rsidR="004349C8" w:rsidRPr="00334661" w:rsidSect="00514852">
      <w:headerReference w:type="even" r:id="rId7"/>
      <w:headerReference w:type="default" r:id="rId8"/>
      <w:footerReference w:type="even" r:id="rId9"/>
      <w:footerReference w:type="default" r:id="rId10"/>
      <w:pgSz w:w="11907" w:h="16839" w:code="9"/>
      <w:pgMar w:top="962" w:right="1197" w:bottom="1440" w:left="1440" w:header="450" w:footer="2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9C8" w:rsidRDefault="004349C8" w:rsidP="00BD73BC">
      <w:pPr>
        <w:spacing w:after="0" w:line="240" w:lineRule="auto"/>
      </w:pPr>
      <w:r>
        <w:separator/>
      </w:r>
    </w:p>
  </w:endnote>
  <w:endnote w:type="continuationSeparator" w:id="0">
    <w:p w:rsidR="004349C8" w:rsidRDefault="004349C8" w:rsidP="00BD7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nterstateG-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C8" w:rsidRPr="00BE6A6E" w:rsidRDefault="004349C8" w:rsidP="007B6FE3">
    <w:pPr>
      <w:rPr>
        <w:rFonts w:ascii="Verdana" w:hAnsi="Verdana"/>
        <w:sz w:val="16"/>
        <w:szCs w:val="16"/>
      </w:rPr>
    </w:pPr>
    <w:r w:rsidRPr="00BE6A6E">
      <w:rPr>
        <w:rFonts w:ascii="Verdana" w:hAnsi="Verdana"/>
        <w:color w:val="005CAE"/>
        <w:sz w:val="16"/>
        <w:szCs w:val="16"/>
      </w:rPr>
      <w:t>A</w:t>
    </w:r>
    <w:r>
      <w:rPr>
        <w:rFonts w:ascii="Verdana" w:hAnsi="Verdana"/>
        <w:color w:val="005CAE"/>
        <w:sz w:val="16"/>
        <w:szCs w:val="16"/>
      </w:rPr>
      <w:t>BOUT AEGON</w:t>
    </w:r>
    <w:r>
      <w:rPr>
        <w:rFonts w:ascii="Verdana" w:hAnsi="Verdana"/>
        <w:color w:val="005CAE"/>
        <w:sz w:val="16"/>
        <w:szCs w:val="16"/>
      </w:rPr>
      <w:br/>
    </w:r>
    <w:r w:rsidRPr="00BE6A6E">
      <w:rPr>
        <w:rFonts w:ascii="Verdana" w:hAnsi="Verdana"/>
        <w:sz w:val="16"/>
        <w:szCs w:val="16"/>
      </w:rPr>
      <w:t xml:space="preserve">As an international </w:t>
    </w:r>
    <w:r>
      <w:rPr>
        <w:rFonts w:ascii="Verdana" w:hAnsi="Verdana"/>
        <w:sz w:val="16"/>
        <w:szCs w:val="16"/>
      </w:rPr>
      <w:t xml:space="preserve">life </w:t>
    </w:r>
    <w:r w:rsidRPr="00BE6A6E">
      <w:rPr>
        <w:rFonts w:ascii="Verdana" w:hAnsi="Verdana"/>
        <w:sz w:val="16"/>
        <w:szCs w:val="16"/>
      </w:rPr>
      <w:t>insurance, pensions and asset manageme</w:t>
    </w:r>
    <w:r>
      <w:rPr>
        <w:rFonts w:ascii="Verdana" w:hAnsi="Verdana"/>
        <w:sz w:val="16"/>
        <w:szCs w:val="16"/>
      </w:rPr>
      <w:t xml:space="preserve">nt company based in </w:t>
    </w:r>
    <w:smartTag w:uri="urn:schemas-microsoft-com:office:smarttags" w:element="City">
      <w:r>
        <w:rPr>
          <w:rFonts w:ascii="Verdana" w:hAnsi="Verdana"/>
          <w:sz w:val="16"/>
          <w:szCs w:val="16"/>
        </w:rPr>
        <w:t>The Hague</w:t>
      </w:r>
    </w:smartTag>
    <w:r>
      <w:rPr>
        <w:rFonts w:ascii="Verdana" w:hAnsi="Verdana"/>
        <w:sz w:val="16"/>
        <w:szCs w:val="16"/>
      </w:rPr>
      <w:t>, Aegon</w:t>
    </w:r>
    <w:r w:rsidRPr="00BE6A6E">
      <w:rPr>
        <w:rFonts w:ascii="Verdana" w:hAnsi="Verdana"/>
        <w:sz w:val="16"/>
        <w:szCs w:val="16"/>
      </w:rPr>
      <w:t xml:space="preserve"> has businesses in over twenty markets in the </w:t>
    </w:r>
    <w:smartTag w:uri="urn:schemas-microsoft-com:office:smarttags" w:element="country-region">
      <w:r w:rsidRPr="00BE6A6E">
        <w:rPr>
          <w:rFonts w:ascii="Verdana" w:hAnsi="Verdana"/>
          <w:sz w:val="16"/>
          <w:szCs w:val="16"/>
        </w:rPr>
        <w:t>Americas</w:t>
      </w:r>
    </w:smartTag>
    <w:r w:rsidRPr="00BE6A6E">
      <w:rPr>
        <w:rFonts w:ascii="Verdana" w:hAnsi="Verdana"/>
        <w:sz w:val="16"/>
        <w:szCs w:val="16"/>
      </w:rPr>
      <w:t xml:space="preserve">, Europe and </w:t>
    </w:r>
    <w:smartTag w:uri="urn:schemas-microsoft-com:office:smarttags" w:element="place">
      <w:r w:rsidRPr="00BE6A6E">
        <w:rPr>
          <w:rFonts w:ascii="Verdana" w:hAnsi="Verdana"/>
          <w:sz w:val="16"/>
          <w:szCs w:val="16"/>
        </w:rPr>
        <w:t>Asia</w:t>
      </w:r>
    </w:smartTag>
    <w:r w:rsidRPr="00BE6A6E">
      <w:rPr>
        <w:rFonts w:ascii="Verdana" w:hAnsi="Verdana"/>
        <w:sz w:val="16"/>
        <w:szCs w:val="16"/>
      </w:rPr>
      <w:t xml:space="preserve">. </w:t>
    </w:r>
    <w:r>
      <w:rPr>
        <w:rFonts w:ascii="Verdana" w:hAnsi="Verdana"/>
        <w:sz w:val="16"/>
        <w:szCs w:val="16"/>
      </w:rPr>
      <w:t>Aegon</w:t>
    </w:r>
    <w:r w:rsidRPr="00BE6A6E">
      <w:rPr>
        <w:rFonts w:ascii="Verdana" w:hAnsi="Verdana"/>
        <w:sz w:val="16"/>
        <w:szCs w:val="16"/>
      </w:rPr>
      <w:t xml:space="preserve"> companies employ </w:t>
    </w:r>
    <w:r>
      <w:rPr>
        <w:rFonts w:ascii="Verdana" w:hAnsi="Verdana"/>
        <w:sz w:val="16"/>
        <w:szCs w:val="16"/>
      </w:rPr>
      <w:t>approximately</w:t>
    </w:r>
    <w:r w:rsidRPr="00BE6A6E">
      <w:rPr>
        <w:rFonts w:ascii="Verdana" w:hAnsi="Verdana"/>
        <w:sz w:val="16"/>
        <w:szCs w:val="16"/>
      </w:rPr>
      <w:t xml:space="preserve"> 2</w:t>
    </w:r>
    <w:r>
      <w:rPr>
        <w:rFonts w:ascii="Verdana" w:hAnsi="Verdana"/>
        <w:sz w:val="16"/>
        <w:szCs w:val="16"/>
      </w:rPr>
      <w:t>4</w:t>
    </w:r>
    <w:r w:rsidRPr="00BE6A6E">
      <w:rPr>
        <w:rFonts w:ascii="Verdana" w:hAnsi="Verdana"/>
        <w:sz w:val="16"/>
        <w:szCs w:val="16"/>
      </w:rPr>
      <w:t xml:space="preserve">,000 people and have </w:t>
    </w:r>
    <w:r>
      <w:rPr>
        <w:rFonts w:ascii="Verdana" w:hAnsi="Verdana"/>
        <w:sz w:val="16"/>
        <w:szCs w:val="16"/>
      </w:rPr>
      <w:t xml:space="preserve">millions of </w:t>
    </w:r>
    <w:r w:rsidRPr="00BE6A6E">
      <w:rPr>
        <w:rFonts w:ascii="Verdana" w:hAnsi="Verdana"/>
        <w:sz w:val="16"/>
        <w:szCs w:val="16"/>
      </w:rPr>
      <w:t>customers across the globe.</w:t>
    </w:r>
    <w:r w:rsidRPr="00FC02D4">
      <w:rPr>
        <w:rFonts w:ascii="Verdana" w:hAnsi="Verdana"/>
        <w:sz w:val="16"/>
        <w:szCs w:val="16"/>
      </w:rPr>
      <w:t xml:space="preserve"> Further information: </w:t>
    </w:r>
    <w:hyperlink r:id="rId1" w:history="1">
      <w:r w:rsidRPr="00EC56DD">
        <w:rPr>
          <w:rStyle w:val="Hyperlink"/>
          <w:rFonts w:ascii="Verdana" w:hAnsi="Verdana"/>
          <w:szCs w:val="16"/>
        </w:rPr>
        <w:t>aegon.com</w:t>
      </w:r>
    </w:hyperlink>
    <w:r w:rsidRPr="00FC02D4">
      <w:rPr>
        <w:rFonts w:ascii="Verdana" w:hAnsi="Verdana"/>
        <w:sz w:val="16"/>
        <w:szCs w:val="16"/>
      </w:rPr>
      <w:t>.</w:t>
    </w:r>
  </w:p>
  <w:p w:rsidR="004349C8" w:rsidRDefault="004349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C8" w:rsidRPr="00EC56DD" w:rsidRDefault="004349C8">
    <w:pPr>
      <w:pStyle w:val="Footer"/>
      <w:jc w:val="right"/>
      <w:rPr>
        <w:rFonts w:ascii="Verdana" w:hAnsi="Verdana"/>
        <w:sz w:val="16"/>
        <w:szCs w:val="16"/>
      </w:rPr>
    </w:pPr>
  </w:p>
  <w:tbl>
    <w:tblPr>
      <w:tblW w:w="0" w:type="auto"/>
      <w:tblLook w:val="00A0"/>
    </w:tblPr>
    <w:tblGrid>
      <w:gridCol w:w="2808"/>
      <w:gridCol w:w="2160"/>
    </w:tblGrid>
    <w:tr w:rsidR="004349C8" w:rsidRPr="00F467BD" w:rsidTr="00F467BD">
      <w:tc>
        <w:tcPr>
          <w:tcW w:w="2808" w:type="dxa"/>
        </w:tcPr>
        <w:p w:rsidR="004349C8" w:rsidRPr="00F467BD" w:rsidRDefault="004349C8">
          <w:pPr>
            <w:pStyle w:val="NoSpacing"/>
            <w:rPr>
              <w:rFonts w:ascii="Verdana" w:hAnsi="Verdana"/>
              <w:sz w:val="16"/>
              <w:szCs w:val="16"/>
              <w:lang w:val="nl-NL" w:eastAsia="en-US"/>
            </w:rPr>
          </w:pPr>
          <w:r w:rsidRPr="00F467BD">
            <w:rPr>
              <w:rFonts w:ascii="Verdana" w:hAnsi="Verdana"/>
              <w:color w:val="005CAE"/>
              <w:sz w:val="16"/>
              <w:szCs w:val="16"/>
              <w:lang w:val="nl-NL" w:eastAsia="en-US"/>
            </w:rPr>
            <w:t>Media relations</w:t>
          </w:r>
        </w:p>
      </w:tc>
      <w:tc>
        <w:tcPr>
          <w:tcW w:w="2160" w:type="dxa"/>
        </w:tcPr>
        <w:p w:rsidR="004349C8" w:rsidRPr="00F467BD" w:rsidRDefault="004349C8">
          <w:pPr>
            <w:pStyle w:val="NoSpacing"/>
            <w:rPr>
              <w:rFonts w:ascii="Verdana" w:hAnsi="Verdana"/>
              <w:sz w:val="16"/>
              <w:szCs w:val="16"/>
              <w:lang w:val="nl-NL" w:eastAsia="en-US"/>
            </w:rPr>
          </w:pPr>
          <w:r w:rsidRPr="00F467BD">
            <w:rPr>
              <w:rFonts w:ascii="Verdana" w:hAnsi="Verdana"/>
              <w:color w:val="005CAE"/>
              <w:sz w:val="16"/>
              <w:szCs w:val="16"/>
              <w:lang w:val="nl-NL" w:eastAsia="en-US"/>
            </w:rPr>
            <w:t>Investor relations</w:t>
          </w:r>
        </w:p>
      </w:tc>
    </w:tr>
    <w:tr w:rsidR="004349C8" w:rsidRPr="00F467BD" w:rsidTr="00F467BD">
      <w:tc>
        <w:tcPr>
          <w:tcW w:w="2808" w:type="dxa"/>
        </w:tcPr>
        <w:p w:rsidR="004349C8" w:rsidRPr="00F467BD" w:rsidRDefault="004349C8" w:rsidP="007A778E">
          <w:pPr>
            <w:pStyle w:val="NoSpacing"/>
            <w:rPr>
              <w:rFonts w:ascii="Verdana" w:hAnsi="Verdana"/>
              <w:color w:val="005CAE"/>
              <w:sz w:val="16"/>
              <w:szCs w:val="16"/>
              <w:lang w:val="nl-NL" w:eastAsia="en-US"/>
            </w:rPr>
          </w:pPr>
          <w:r w:rsidRPr="00F467BD">
            <w:rPr>
              <w:rFonts w:ascii="Verdana" w:hAnsi="Verdana"/>
              <w:color w:val="005CAE"/>
              <w:sz w:val="16"/>
              <w:szCs w:val="16"/>
              <w:lang w:val="nl-NL" w:eastAsia="en-US"/>
            </w:rPr>
            <w:t xml:space="preserve">Robin Boon </w:t>
          </w:r>
        </w:p>
      </w:tc>
      <w:tc>
        <w:tcPr>
          <w:tcW w:w="2160" w:type="dxa"/>
        </w:tcPr>
        <w:p w:rsidR="004349C8" w:rsidRPr="00F467BD" w:rsidRDefault="004349C8">
          <w:pPr>
            <w:pStyle w:val="NoSpacing"/>
            <w:rPr>
              <w:rFonts w:ascii="Verdana" w:hAnsi="Verdana"/>
              <w:color w:val="005CAE"/>
              <w:sz w:val="16"/>
              <w:szCs w:val="16"/>
              <w:lang w:val="nl-NL" w:eastAsia="en-US"/>
            </w:rPr>
          </w:pPr>
          <w:r w:rsidRPr="00F467BD">
            <w:rPr>
              <w:rFonts w:ascii="Verdana" w:hAnsi="Verdana"/>
              <w:color w:val="005CAE"/>
              <w:sz w:val="16"/>
              <w:szCs w:val="16"/>
              <w:lang w:val="nl-NL" w:eastAsia="en-US"/>
            </w:rPr>
            <w:t xml:space="preserve">Willem van den Berg </w:t>
          </w:r>
        </w:p>
      </w:tc>
    </w:tr>
    <w:tr w:rsidR="004349C8" w:rsidRPr="00F467BD" w:rsidTr="00F467BD">
      <w:tc>
        <w:tcPr>
          <w:tcW w:w="2808" w:type="dxa"/>
        </w:tcPr>
        <w:p w:rsidR="004349C8" w:rsidRPr="00F467BD" w:rsidRDefault="004349C8">
          <w:pPr>
            <w:pStyle w:val="NoSpacing"/>
            <w:rPr>
              <w:rFonts w:ascii="Verdana" w:hAnsi="Verdana"/>
              <w:sz w:val="16"/>
              <w:szCs w:val="16"/>
              <w:lang w:val="nl-NL" w:eastAsia="en-US"/>
            </w:rPr>
          </w:pPr>
          <w:r w:rsidRPr="00F467BD">
            <w:rPr>
              <w:rFonts w:ascii="Verdana" w:hAnsi="Verdana"/>
              <w:sz w:val="16"/>
              <w:szCs w:val="16"/>
              <w:lang w:val="nl-NL" w:eastAsia="en-US"/>
            </w:rPr>
            <w:t>+ 31 (0) 70 344 8956</w:t>
          </w:r>
        </w:p>
      </w:tc>
      <w:tc>
        <w:tcPr>
          <w:tcW w:w="2160" w:type="dxa"/>
        </w:tcPr>
        <w:p w:rsidR="004349C8" w:rsidRPr="00F467BD" w:rsidRDefault="004349C8">
          <w:pPr>
            <w:pStyle w:val="NoSpacing"/>
            <w:rPr>
              <w:rFonts w:ascii="Verdana" w:hAnsi="Verdana"/>
              <w:sz w:val="16"/>
              <w:szCs w:val="16"/>
              <w:lang w:val="nl-NL" w:eastAsia="en-US"/>
            </w:rPr>
          </w:pPr>
          <w:r w:rsidRPr="00F467BD">
            <w:rPr>
              <w:rFonts w:ascii="Verdana" w:hAnsi="Verdana"/>
              <w:sz w:val="16"/>
              <w:szCs w:val="16"/>
              <w:lang w:val="nl-NL" w:eastAsia="en-US"/>
            </w:rPr>
            <w:t>+ 31 (0) 70 344 8305</w:t>
          </w:r>
        </w:p>
      </w:tc>
    </w:tr>
    <w:tr w:rsidR="004349C8" w:rsidRPr="00F467BD" w:rsidTr="00F467BD">
      <w:tc>
        <w:tcPr>
          <w:tcW w:w="2808" w:type="dxa"/>
        </w:tcPr>
        <w:p w:rsidR="004349C8" w:rsidRPr="00F467BD" w:rsidRDefault="004349C8">
          <w:pPr>
            <w:pStyle w:val="NoSpacing"/>
            <w:rPr>
              <w:rFonts w:ascii="Verdana" w:hAnsi="Verdana"/>
              <w:sz w:val="16"/>
              <w:szCs w:val="16"/>
              <w:lang w:val="nl-NL" w:eastAsia="en-US"/>
            </w:rPr>
          </w:pPr>
          <w:hyperlink r:id="rId1" w:history="1">
            <w:r w:rsidRPr="00F467BD">
              <w:rPr>
                <w:rStyle w:val="Hyperlink"/>
                <w:rFonts w:ascii="Verdana" w:hAnsi="Verdana"/>
                <w:color w:val="005CAE"/>
                <w:szCs w:val="16"/>
                <w:lang w:val="nl-NL" w:eastAsia="en-US"/>
              </w:rPr>
              <w:t>gcc@aegon.com</w:t>
            </w:r>
          </w:hyperlink>
        </w:p>
      </w:tc>
      <w:tc>
        <w:tcPr>
          <w:tcW w:w="2160" w:type="dxa"/>
        </w:tcPr>
        <w:p w:rsidR="004349C8" w:rsidRPr="00F467BD" w:rsidRDefault="004349C8">
          <w:pPr>
            <w:pStyle w:val="NoSpacing"/>
            <w:rPr>
              <w:rFonts w:ascii="Verdana" w:hAnsi="Verdana"/>
              <w:sz w:val="16"/>
              <w:szCs w:val="16"/>
              <w:lang w:val="nl-NL" w:eastAsia="en-US"/>
            </w:rPr>
          </w:pPr>
          <w:hyperlink r:id="rId2" w:history="1">
            <w:r w:rsidRPr="00F467BD">
              <w:rPr>
                <w:rStyle w:val="Hyperlink"/>
                <w:rFonts w:ascii="Verdana" w:hAnsi="Verdana"/>
                <w:color w:val="005CAE"/>
                <w:szCs w:val="16"/>
                <w:lang w:val="nl-NL" w:eastAsia="en-US"/>
              </w:rPr>
              <w:t>ir@aegon.com</w:t>
            </w:r>
          </w:hyperlink>
        </w:p>
      </w:tc>
    </w:tr>
    <w:tr w:rsidR="004349C8" w:rsidRPr="00F467BD" w:rsidTr="00F467BD">
      <w:tc>
        <w:tcPr>
          <w:tcW w:w="2808" w:type="dxa"/>
        </w:tcPr>
        <w:p w:rsidR="004349C8" w:rsidRPr="00F467BD" w:rsidRDefault="004349C8">
          <w:pPr>
            <w:pStyle w:val="NoSpacing"/>
            <w:rPr>
              <w:rFonts w:ascii="InterstateG-Light" w:hAnsi="InterstateG-Light"/>
              <w:sz w:val="20"/>
              <w:szCs w:val="20"/>
              <w:lang w:eastAsia="en-US"/>
            </w:rPr>
          </w:pPr>
        </w:p>
      </w:tc>
      <w:tc>
        <w:tcPr>
          <w:tcW w:w="2160" w:type="dxa"/>
        </w:tcPr>
        <w:p w:rsidR="004349C8" w:rsidRPr="00F467BD" w:rsidRDefault="004349C8">
          <w:pPr>
            <w:pStyle w:val="NoSpacing"/>
            <w:rPr>
              <w:rFonts w:ascii="InterstateG-Light" w:hAnsi="InterstateG-Light"/>
              <w:sz w:val="20"/>
              <w:szCs w:val="20"/>
              <w:lang w:eastAsia="en-US"/>
            </w:rPr>
          </w:pPr>
        </w:p>
      </w:tc>
    </w:tr>
  </w:tbl>
  <w:p w:rsidR="004349C8" w:rsidRPr="00EC56DD" w:rsidRDefault="004349C8">
    <w:pPr>
      <w:pStyle w:val="Footer"/>
      <w:jc w:val="right"/>
      <w:rPr>
        <w:rFonts w:ascii="Verdana" w:hAnsi="Verdana"/>
        <w:sz w:val="16"/>
        <w:szCs w:val="16"/>
      </w:rPr>
    </w:pPr>
  </w:p>
  <w:p w:rsidR="004349C8" w:rsidRPr="006E5DD8" w:rsidRDefault="004349C8" w:rsidP="00741D2F">
    <w:pPr>
      <w:pStyle w:val="Footer"/>
      <w:jc w:val="right"/>
      <w:rPr>
        <w:rFonts w:ascii="Verdana" w:hAnsi="Verdana"/>
        <w:sz w:val="16"/>
        <w:szCs w:val="16"/>
      </w:rPr>
    </w:pPr>
    <w:fldSimple w:instr=" PAGE   \* MERGEFORMAT ">
      <w:r w:rsidRPr="002E768D">
        <w:rPr>
          <w:rFonts w:ascii="Verdana" w:hAnsi="Verdana"/>
          <w:noProof/>
          <w:sz w:val="16"/>
          <w:szCs w:val="16"/>
        </w:rPr>
        <w:t>1</w:t>
      </w:r>
    </w:fldSimple>
    <w:r>
      <w:rPr>
        <w:rFonts w:ascii="Verdana" w:hAnsi="Verdana"/>
        <w:sz w:val="16"/>
        <w:szCs w:val="16"/>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9C8" w:rsidRDefault="004349C8" w:rsidP="00BD73BC">
      <w:pPr>
        <w:spacing w:after="0" w:line="240" w:lineRule="auto"/>
      </w:pPr>
      <w:r>
        <w:separator/>
      </w:r>
    </w:p>
  </w:footnote>
  <w:footnote w:type="continuationSeparator" w:id="0">
    <w:p w:rsidR="004349C8" w:rsidRDefault="004349C8" w:rsidP="00BD73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C8" w:rsidRDefault="004349C8">
    <w:pPr>
      <w:pStyle w:val="Header"/>
    </w:pPr>
    <w:r w:rsidRPr="00E6181F">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62pt;height:51.75pt;visibility:visible">
          <v:imagedata r:id="rId1" o:title="" chromakey="#dcdd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C8" w:rsidRDefault="004349C8" w:rsidP="001459EA">
    <w:pPr>
      <w:pStyle w:val="Header"/>
      <w:ind w:left="-540"/>
    </w:pPr>
    <w:r w:rsidRPr="00E6181F">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7.5pt;height:53.25pt;visibility:visible">
          <v:imagedata r:id="rId1" o:title="" chromakey="#dcdddf"/>
        </v:shape>
      </w:pict>
    </w:r>
  </w:p>
  <w:p w:rsidR="004349C8" w:rsidRPr="00E25C92" w:rsidRDefault="004349C8" w:rsidP="006D1D9A">
    <w:pPr>
      <w:pStyle w:val="Header"/>
      <w:tabs>
        <w:tab w:val="clear" w:pos="8640"/>
        <w:tab w:val="right" w:pos="9270"/>
      </w:tabs>
      <w:jc w:val="right"/>
      <w:rPr>
        <w:rFonts w:ascii="Verdana" w:hAnsi="Verdana"/>
        <w:sz w:val="36"/>
        <w:szCs w:val="36"/>
      </w:rPr>
    </w:pPr>
    <w:r>
      <w:rPr>
        <w:rFonts w:ascii="Verdana" w:hAnsi="Verdana"/>
        <w:sz w:val="36"/>
        <w:szCs w:val="36"/>
      </w:rPr>
      <w:tab/>
    </w:r>
    <w:r>
      <w:rPr>
        <w:rFonts w:ascii="Verdana" w:hAnsi="Verdana"/>
        <w:sz w:val="36"/>
        <w:szCs w:val="36"/>
      </w:rPr>
      <w:tab/>
    </w:r>
    <w:r w:rsidRPr="00E6181F">
      <w:rPr>
        <w:rFonts w:ascii="Verdana" w:hAnsi="Verdana"/>
        <w:noProof/>
        <w:sz w:val="36"/>
        <w:szCs w:val="36"/>
        <w:lang w:val="en-GB" w:eastAsia="en-GB"/>
      </w:rPr>
      <w:pict>
        <v:shape id="Picture 3" o:spid="_x0000_i1030" type="#_x0000_t75" alt="Press-release-light-version.jpg" style="width:162pt;height:36pt;visibility:visible">
          <v:imagedata r:id="rId2" o:title=""/>
        </v:shape>
      </w:pict>
    </w:r>
    <w:r>
      <w:rPr>
        <w:rFonts w:ascii="Verdana" w:hAnsi="Verdana"/>
        <w:sz w:val="36"/>
        <w:szCs w:val="36"/>
      </w:rPr>
      <w:t xml:space="preserve">      </w:t>
    </w:r>
  </w:p>
  <w:p w:rsidR="004349C8" w:rsidRPr="008768C1" w:rsidRDefault="004349C8" w:rsidP="00E25C92">
    <w:pPr>
      <w:pStyle w:val="Header"/>
      <w:tabs>
        <w:tab w:val="clear" w:pos="8640"/>
        <w:tab w:val="right" w:pos="9270"/>
      </w:tabs>
      <w:jc w:val="right"/>
      <w:rPr>
        <w:rFonts w:ascii="Verdana" w:hAnsi="Verdana"/>
        <w:sz w:val="10"/>
        <w:szCs w:val="18"/>
      </w:rPr>
    </w:pPr>
  </w:p>
  <w:p w:rsidR="004349C8" w:rsidRPr="00E25C92" w:rsidRDefault="004349C8" w:rsidP="00E25C92">
    <w:pPr>
      <w:pStyle w:val="Header"/>
      <w:tabs>
        <w:tab w:val="clear" w:pos="8640"/>
        <w:tab w:val="right" w:pos="9270"/>
      </w:tabs>
      <w:ind w:right="360"/>
      <w:rPr>
        <w:rFonts w:ascii="Verdana" w:hAnsi="Verdana"/>
        <w:sz w:val="18"/>
        <w:szCs w:val="18"/>
      </w:rPr>
    </w:pPr>
    <w:r>
      <w:rPr>
        <w:rFonts w:ascii="Verdana" w:hAnsi="Verdana"/>
        <w:sz w:val="18"/>
        <w:szCs w:val="18"/>
      </w:rPr>
      <w:tab/>
    </w:r>
    <w:r>
      <w:rPr>
        <w:rFonts w:ascii="Verdana" w:hAnsi="Verdana"/>
        <w:sz w:val="18"/>
        <w:szCs w:val="18"/>
      </w:rPr>
      <w:tab/>
    </w:r>
    <w:smartTag w:uri="urn:schemas-microsoft-com:office:smarttags" w:element="place">
      <w:smartTag w:uri="urn:schemas-microsoft-com:office:smarttags" w:element="City">
        <w:r>
          <w:rPr>
            <w:rFonts w:ascii="Verdana" w:hAnsi="Verdana"/>
            <w:sz w:val="18"/>
            <w:szCs w:val="18"/>
          </w:rPr>
          <w:t>The Hague</w:t>
        </w:r>
      </w:smartTag>
    </w:smartTag>
    <w:r>
      <w:rPr>
        <w:rFonts w:ascii="Verdana" w:hAnsi="Verdana"/>
        <w:sz w:val="18"/>
        <w:szCs w:val="18"/>
      </w:rPr>
      <w:t xml:space="preserve"> - September 2,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109B"/>
    <w:multiLevelType w:val="hybridMultilevel"/>
    <w:tmpl w:val="58C29AB0"/>
    <w:lvl w:ilvl="0" w:tplc="61A0D394">
      <w:numFmt w:val="bullet"/>
      <w:lvlText w:val=""/>
      <w:lvlJc w:val="left"/>
      <w:pPr>
        <w:ind w:left="720" w:hanging="360"/>
      </w:pPr>
      <w:rPr>
        <w:rFonts w:ascii="Symbol" w:hAnsi="Symbol" w:hint="default"/>
        <w:b w:val="0"/>
        <w:i w:val="0"/>
        <w:color w:val="0070C0"/>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0C7A92"/>
    <w:multiLevelType w:val="hybridMultilevel"/>
    <w:tmpl w:val="0930C81C"/>
    <w:lvl w:ilvl="0" w:tplc="20B8A56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422A6"/>
    <w:multiLevelType w:val="hybridMultilevel"/>
    <w:tmpl w:val="CA00E3B6"/>
    <w:lvl w:ilvl="0" w:tplc="C0E20E78">
      <w:start w:val="1"/>
      <w:numFmt w:val="bullet"/>
      <w:lvlText w:val="–"/>
      <w:lvlJc w:val="left"/>
      <w:pPr>
        <w:ind w:left="720" w:hanging="360"/>
      </w:pPr>
      <w:rPr>
        <w:rFonts w:ascii="Arial" w:hAnsi="Arial" w:hint="default"/>
      </w:rPr>
    </w:lvl>
    <w:lvl w:ilvl="1" w:tplc="04130003">
      <w:start w:val="1"/>
      <w:numFmt w:val="decimal"/>
      <w:lvlText w:val="%2."/>
      <w:lvlJc w:val="left"/>
      <w:pPr>
        <w:tabs>
          <w:tab w:val="num" w:pos="1440"/>
        </w:tabs>
        <w:ind w:left="1440" w:hanging="360"/>
      </w:pPr>
      <w:rPr>
        <w:rFonts w:cs="Times New Roman"/>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3">
    <w:nsid w:val="3BC24E07"/>
    <w:multiLevelType w:val="hybridMultilevel"/>
    <w:tmpl w:val="2BEA25B6"/>
    <w:lvl w:ilvl="0" w:tplc="20B8A560">
      <w:start w:val="1"/>
      <w:numFmt w:val="bullet"/>
      <w:lvlText w:val=""/>
      <w:lvlJc w:val="left"/>
      <w:pPr>
        <w:ind w:left="720" w:hanging="360"/>
      </w:pPr>
      <w:rPr>
        <w:rFonts w:ascii="Wingdings" w:hAnsi="Wingdings" w:hint="default"/>
        <w:color w:val="0070C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FEA5A12"/>
    <w:multiLevelType w:val="hybridMultilevel"/>
    <w:tmpl w:val="ADAC2D2A"/>
    <w:lvl w:ilvl="0" w:tplc="BF163CCC">
      <w:start w:val="1"/>
      <w:numFmt w:val="bullet"/>
      <w:lvlText w:val="o"/>
      <w:lvlJc w:val="left"/>
      <w:pPr>
        <w:ind w:left="720" w:hanging="360"/>
      </w:pPr>
      <w:rPr>
        <w:rFonts w:ascii="Courier New" w:hAnsi="Courier New" w:hint="default"/>
        <w:color w:val="0070C0"/>
      </w:rPr>
    </w:lvl>
    <w:lvl w:ilvl="1" w:tplc="04130003">
      <w:start w:val="1"/>
      <w:numFmt w:val="decimal"/>
      <w:lvlText w:val="%2."/>
      <w:lvlJc w:val="left"/>
      <w:pPr>
        <w:tabs>
          <w:tab w:val="num" w:pos="1440"/>
        </w:tabs>
        <w:ind w:left="1440" w:hanging="360"/>
      </w:pPr>
      <w:rPr>
        <w:rFonts w:cs="Times New Roman"/>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3"/>
  </w:num>
  <w:num w:numId="4">
    <w:abstractNumId w:val="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3BC"/>
    <w:rsid w:val="00001F44"/>
    <w:rsid w:val="00006328"/>
    <w:rsid w:val="00012648"/>
    <w:rsid w:val="00014CB4"/>
    <w:rsid w:val="00015C5D"/>
    <w:rsid w:val="00017DF9"/>
    <w:rsid w:val="00020E35"/>
    <w:rsid w:val="00026872"/>
    <w:rsid w:val="000310C0"/>
    <w:rsid w:val="0003426F"/>
    <w:rsid w:val="0003573E"/>
    <w:rsid w:val="00037B5C"/>
    <w:rsid w:val="000538B4"/>
    <w:rsid w:val="00060653"/>
    <w:rsid w:val="0008466A"/>
    <w:rsid w:val="000914DA"/>
    <w:rsid w:val="0009151B"/>
    <w:rsid w:val="000A51F9"/>
    <w:rsid w:val="000A6D5D"/>
    <w:rsid w:val="000B0E00"/>
    <w:rsid w:val="000C33B3"/>
    <w:rsid w:val="000D2983"/>
    <w:rsid w:val="000E1FB3"/>
    <w:rsid w:val="000E4415"/>
    <w:rsid w:val="000E6550"/>
    <w:rsid w:val="000F3572"/>
    <w:rsid w:val="000F4BC8"/>
    <w:rsid w:val="0010071A"/>
    <w:rsid w:val="0010555C"/>
    <w:rsid w:val="001269BA"/>
    <w:rsid w:val="00130FB3"/>
    <w:rsid w:val="00132684"/>
    <w:rsid w:val="00140E07"/>
    <w:rsid w:val="001459EA"/>
    <w:rsid w:val="00161891"/>
    <w:rsid w:val="00165785"/>
    <w:rsid w:val="00172C43"/>
    <w:rsid w:val="00176CF2"/>
    <w:rsid w:val="00177BEA"/>
    <w:rsid w:val="001807A3"/>
    <w:rsid w:val="00184431"/>
    <w:rsid w:val="00193906"/>
    <w:rsid w:val="001A19A4"/>
    <w:rsid w:val="001A5564"/>
    <w:rsid w:val="001A6354"/>
    <w:rsid w:val="001B0907"/>
    <w:rsid w:val="001C02DD"/>
    <w:rsid w:val="001C52C5"/>
    <w:rsid w:val="001C68FA"/>
    <w:rsid w:val="001C693F"/>
    <w:rsid w:val="001C6C21"/>
    <w:rsid w:val="001C7A34"/>
    <w:rsid w:val="001D5961"/>
    <w:rsid w:val="001E04BE"/>
    <w:rsid w:val="001E0FDD"/>
    <w:rsid w:val="001E5453"/>
    <w:rsid w:val="001E576A"/>
    <w:rsid w:val="001F25B2"/>
    <w:rsid w:val="001F346C"/>
    <w:rsid w:val="0021363A"/>
    <w:rsid w:val="002211C3"/>
    <w:rsid w:val="00222DC5"/>
    <w:rsid w:val="00225590"/>
    <w:rsid w:val="00226CD6"/>
    <w:rsid w:val="00227370"/>
    <w:rsid w:val="00230B12"/>
    <w:rsid w:val="00233BB6"/>
    <w:rsid w:val="00235CD2"/>
    <w:rsid w:val="0023669A"/>
    <w:rsid w:val="0024127D"/>
    <w:rsid w:val="002435BC"/>
    <w:rsid w:val="00244C4E"/>
    <w:rsid w:val="002466B7"/>
    <w:rsid w:val="0025381D"/>
    <w:rsid w:val="0026506D"/>
    <w:rsid w:val="00275275"/>
    <w:rsid w:val="00276D15"/>
    <w:rsid w:val="00285147"/>
    <w:rsid w:val="00290BDD"/>
    <w:rsid w:val="00291E45"/>
    <w:rsid w:val="002C4D12"/>
    <w:rsid w:val="002D2C1B"/>
    <w:rsid w:val="002D7FF9"/>
    <w:rsid w:val="002E35CF"/>
    <w:rsid w:val="002E686C"/>
    <w:rsid w:val="002E691D"/>
    <w:rsid w:val="002E768D"/>
    <w:rsid w:val="002F229F"/>
    <w:rsid w:val="002F3A56"/>
    <w:rsid w:val="00303060"/>
    <w:rsid w:val="00307E87"/>
    <w:rsid w:val="00311400"/>
    <w:rsid w:val="00314B67"/>
    <w:rsid w:val="00323CB1"/>
    <w:rsid w:val="00334661"/>
    <w:rsid w:val="00335104"/>
    <w:rsid w:val="003415FC"/>
    <w:rsid w:val="0034557F"/>
    <w:rsid w:val="00346351"/>
    <w:rsid w:val="00347855"/>
    <w:rsid w:val="003571CA"/>
    <w:rsid w:val="00367CD9"/>
    <w:rsid w:val="00367FC2"/>
    <w:rsid w:val="00375FB3"/>
    <w:rsid w:val="0038465A"/>
    <w:rsid w:val="00392067"/>
    <w:rsid w:val="003948BD"/>
    <w:rsid w:val="00395B1C"/>
    <w:rsid w:val="003A4A8F"/>
    <w:rsid w:val="003B69D5"/>
    <w:rsid w:val="003C2901"/>
    <w:rsid w:val="003C4E49"/>
    <w:rsid w:val="003D39F7"/>
    <w:rsid w:val="003D3F5A"/>
    <w:rsid w:val="003E4C63"/>
    <w:rsid w:val="003F4EDC"/>
    <w:rsid w:val="00411AC1"/>
    <w:rsid w:val="00413164"/>
    <w:rsid w:val="00414496"/>
    <w:rsid w:val="00414CB2"/>
    <w:rsid w:val="00420A5F"/>
    <w:rsid w:val="00420C85"/>
    <w:rsid w:val="00422B0E"/>
    <w:rsid w:val="00432CD2"/>
    <w:rsid w:val="004349C8"/>
    <w:rsid w:val="00436311"/>
    <w:rsid w:val="00446273"/>
    <w:rsid w:val="00447E25"/>
    <w:rsid w:val="00451444"/>
    <w:rsid w:val="00454ED5"/>
    <w:rsid w:val="00455554"/>
    <w:rsid w:val="00455B11"/>
    <w:rsid w:val="00463112"/>
    <w:rsid w:val="00466893"/>
    <w:rsid w:val="00470422"/>
    <w:rsid w:val="0048310A"/>
    <w:rsid w:val="004833CD"/>
    <w:rsid w:val="00493EEF"/>
    <w:rsid w:val="00495320"/>
    <w:rsid w:val="004A6241"/>
    <w:rsid w:val="004B1474"/>
    <w:rsid w:val="004B7682"/>
    <w:rsid w:val="004B7AEA"/>
    <w:rsid w:val="004D13C6"/>
    <w:rsid w:val="004E5370"/>
    <w:rsid w:val="004F2367"/>
    <w:rsid w:val="004F557D"/>
    <w:rsid w:val="00503719"/>
    <w:rsid w:val="00507086"/>
    <w:rsid w:val="00510187"/>
    <w:rsid w:val="00514852"/>
    <w:rsid w:val="00517719"/>
    <w:rsid w:val="00517B64"/>
    <w:rsid w:val="005213E1"/>
    <w:rsid w:val="0052560A"/>
    <w:rsid w:val="0052589E"/>
    <w:rsid w:val="00534C94"/>
    <w:rsid w:val="005351D9"/>
    <w:rsid w:val="00541C27"/>
    <w:rsid w:val="0054324C"/>
    <w:rsid w:val="00546097"/>
    <w:rsid w:val="00552FAA"/>
    <w:rsid w:val="00554EAD"/>
    <w:rsid w:val="0056047B"/>
    <w:rsid w:val="005648FE"/>
    <w:rsid w:val="005678C8"/>
    <w:rsid w:val="00567ACD"/>
    <w:rsid w:val="0057235E"/>
    <w:rsid w:val="005765AF"/>
    <w:rsid w:val="00580C80"/>
    <w:rsid w:val="00580F11"/>
    <w:rsid w:val="00581117"/>
    <w:rsid w:val="005925F9"/>
    <w:rsid w:val="00596EC4"/>
    <w:rsid w:val="005A2680"/>
    <w:rsid w:val="005A572F"/>
    <w:rsid w:val="005C32F7"/>
    <w:rsid w:val="005C4E2B"/>
    <w:rsid w:val="005C796F"/>
    <w:rsid w:val="005D4FFA"/>
    <w:rsid w:val="005D6727"/>
    <w:rsid w:val="005E149E"/>
    <w:rsid w:val="005E3BAA"/>
    <w:rsid w:val="005F0A91"/>
    <w:rsid w:val="005F753B"/>
    <w:rsid w:val="00601BF1"/>
    <w:rsid w:val="0060492F"/>
    <w:rsid w:val="006055CB"/>
    <w:rsid w:val="00623092"/>
    <w:rsid w:val="006233C3"/>
    <w:rsid w:val="00623616"/>
    <w:rsid w:val="006244D6"/>
    <w:rsid w:val="006302EC"/>
    <w:rsid w:val="00631F51"/>
    <w:rsid w:val="00635245"/>
    <w:rsid w:val="00635C14"/>
    <w:rsid w:val="006371CE"/>
    <w:rsid w:val="00651CBD"/>
    <w:rsid w:val="00660808"/>
    <w:rsid w:val="00666514"/>
    <w:rsid w:val="00666822"/>
    <w:rsid w:val="00673AAF"/>
    <w:rsid w:val="00677D64"/>
    <w:rsid w:val="00680B12"/>
    <w:rsid w:val="00680BF4"/>
    <w:rsid w:val="00680C71"/>
    <w:rsid w:val="006950B6"/>
    <w:rsid w:val="006A70F9"/>
    <w:rsid w:val="006B6F3B"/>
    <w:rsid w:val="006C4822"/>
    <w:rsid w:val="006C6C6D"/>
    <w:rsid w:val="006D1D9A"/>
    <w:rsid w:val="006D1EC0"/>
    <w:rsid w:val="006E39D1"/>
    <w:rsid w:val="006E5DD8"/>
    <w:rsid w:val="006E7A65"/>
    <w:rsid w:val="006F19F7"/>
    <w:rsid w:val="006F250B"/>
    <w:rsid w:val="006F25D4"/>
    <w:rsid w:val="00700A5F"/>
    <w:rsid w:val="00703FF0"/>
    <w:rsid w:val="00704138"/>
    <w:rsid w:val="00705048"/>
    <w:rsid w:val="00710316"/>
    <w:rsid w:val="007125D8"/>
    <w:rsid w:val="0073252B"/>
    <w:rsid w:val="00741D2F"/>
    <w:rsid w:val="007424EC"/>
    <w:rsid w:val="00750FFB"/>
    <w:rsid w:val="0075702F"/>
    <w:rsid w:val="00760299"/>
    <w:rsid w:val="007602BA"/>
    <w:rsid w:val="00760E42"/>
    <w:rsid w:val="0077169D"/>
    <w:rsid w:val="00783B25"/>
    <w:rsid w:val="007A2D2D"/>
    <w:rsid w:val="007A778E"/>
    <w:rsid w:val="007B0700"/>
    <w:rsid w:val="007B3A4E"/>
    <w:rsid w:val="007B5D26"/>
    <w:rsid w:val="007B6E98"/>
    <w:rsid w:val="007B6FE3"/>
    <w:rsid w:val="007B7652"/>
    <w:rsid w:val="007C006A"/>
    <w:rsid w:val="007C0AC4"/>
    <w:rsid w:val="007C193A"/>
    <w:rsid w:val="007C42EC"/>
    <w:rsid w:val="007D192E"/>
    <w:rsid w:val="007D74C8"/>
    <w:rsid w:val="007E59CD"/>
    <w:rsid w:val="007E60FB"/>
    <w:rsid w:val="007F39F0"/>
    <w:rsid w:val="007F622D"/>
    <w:rsid w:val="00802356"/>
    <w:rsid w:val="0080343C"/>
    <w:rsid w:val="00812C0D"/>
    <w:rsid w:val="00817796"/>
    <w:rsid w:val="00830075"/>
    <w:rsid w:val="00830AEA"/>
    <w:rsid w:val="00831702"/>
    <w:rsid w:val="0083767A"/>
    <w:rsid w:val="00840506"/>
    <w:rsid w:val="00842B90"/>
    <w:rsid w:val="00844812"/>
    <w:rsid w:val="00860F8F"/>
    <w:rsid w:val="00863C4B"/>
    <w:rsid w:val="008672A8"/>
    <w:rsid w:val="008675CA"/>
    <w:rsid w:val="00867D69"/>
    <w:rsid w:val="008768C1"/>
    <w:rsid w:val="00880416"/>
    <w:rsid w:val="00886651"/>
    <w:rsid w:val="0089290D"/>
    <w:rsid w:val="008937D9"/>
    <w:rsid w:val="008966F5"/>
    <w:rsid w:val="008B49CE"/>
    <w:rsid w:val="008B58CD"/>
    <w:rsid w:val="008B632E"/>
    <w:rsid w:val="008C6194"/>
    <w:rsid w:val="008C6237"/>
    <w:rsid w:val="008C7BD6"/>
    <w:rsid w:val="008D2160"/>
    <w:rsid w:val="008D3792"/>
    <w:rsid w:val="008E0A38"/>
    <w:rsid w:val="008E1FA3"/>
    <w:rsid w:val="008E7076"/>
    <w:rsid w:val="008E715F"/>
    <w:rsid w:val="008F0C68"/>
    <w:rsid w:val="008F1426"/>
    <w:rsid w:val="008F1621"/>
    <w:rsid w:val="008F3E29"/>
    <w:rsid w:val="008F3F62"/>
    <w:rsid w:val="00900433"/>
    <w:rsid w:val="0090098C"/>
    <w:rsid w:val="00900D6A"/>
    <w:rsid w:val="00903DF8"/>
    <w:rsid w:val="00905B8D"/>
    <w:rsid w:val="00906D43"/>
    <w:rsid w:val="00911C11"/>
    <w:rsid w:val="00913E7B"/>
    <w:rsid w:val="00916716"/>
    <w:rsid w:val="00930F97"/>
    <w:rsid w:val="00935E1C"/>
    <w:rsid w:val="0094667B"/>
    <w:rsid w:val="00951F92"/>
    <w:rsid w:val="00963B06"/>
    <w:rsid w:val="00967E01"/>
    <w:rsid w:val="009713F9"/>
    <w:rsid w:val="00977FEB"/>
    <w:rsid w:val="00981A93"/>
    <w:rsid w:val="00984322"/>
    <w:rsid w:val="009854F7"/>
    <w:rsid w:val="00993181"/>
    <w:rsid w:val="009955CD"/>
    <w:rsid w:val="009A5B7F"/>
    <w:rsid w:val="009B3F66"/>
    <w:rsid w:val="009B5789"/>
    <w:rsid w:val="009D493C"/>
    <w:rsid w:val="009D6D21"/>
    <w:rsid w:val="009D6F81"/>
    <w:rsid w:val="009D7F2B"/>
    <w:rsid w:val="009E1EFD"/>
    <w:rsid w:val="009F06CC"/>
    <w:rsid w:val="009F12EF"/>
    <w:rsid w:val="009F3C99"/>
    <w:rsid w:val="009F4D77"/>
    <w:rsid w:val="00A013BE"/>
    <w:rsid w:val="00A02CBF"/>
    <w:rsid w:val="00A12589"/>
    <w:rsid w:val="00A15C1F"/>
    <w:rsid w:val="00A17CA5"/>
    <w:rsid w:val="00A207E8"/>
    <w:rsid w:val="00A221AA"/>
    <w:rsid w:val="00A240CB"/>
    <w:rsid w:val="00A243E2"/>
    <w:rsid w:val="00A25E61"/>
    <w:rsid w:val="00A26860"/>
    <w:rsid w:val="00A341B7"/>
    <w:rsid w:val="00A367FB"/>
    <w:rsid w:val="00A416F6"/>
    <w:rsid w:val="00A443F7"/>
    <w:rsid w:val="00A572C4"/>
    <w:rsid w:val="00A62C3F"/>
    <w:rsid w:val="00A62CFB"/>
    <w:rsid w:val="00A64B83"/>
    <w:rsid w:val="00A73656"/>
    <w:rsid w:val="00A84BC4"/>
    <w:rsid w:val="00A900E4"/>
    <w:rsid w:val="00A93EB7"/>
    <w:rsid w:val="00A95EE0"/>
    <w:rsid w:val="00A975D0"/>
    <w:rsid w:val="00AA3EFB"/>
    <w:rsid w:val="00AA4525"/>
    <w:rsid w:val="00AB0BEA"/>
    <w:rsid w:val="00AB468D"/>
    <w:rsid w:val="00AB5A63"/>
    <w:rsid w:val="00AB64D6"/>
    <w:rsid w:val="00AC45C7"/>
    <w:rsid w:val="00AC6524"/>
    <w:rsid w:val="00AD29C9"/>
    <w:rsid w:val="00AD5233"/>
    <w:rsid w:val="00AE2233"/>
    <w:rsid w:val="00AE2F32"/>
    <w:rsid w:val="00AE791E"/>
    <w:rsid w:val="00AF1418"/>
    <w:rsid w:val="00AF3C39"/>
    <w:rsid w:val="00B02F94"/>
    <w:rsid w:val="00B07744"/>
    <w:rsid w:val="00B07902"/>
    <w:rsid w:val="00B21598"/>
    <w:rsid w:val="00B24FF5"/>
    <w:rsid w:val="00B314C6"/>
    <w:rsid w:val="00B366EF"/>
    <w:rsid w:val="00B40744"/>
    <w:rsid w:val="00B42268"/>
    <w:rsid w:val="00B4257B"/>
    <w:rsid w:val="00B42D05"/>
    <w:rsid w:val="00B548FF"/>
    <w:rsid w:val="00B57ACD"/>
    <w:rsid w:val="00B641AC"/>
    <w:rsid w:val="00B66A57"/>
    <w:rsid w:val="00B80E49"/>
    <w:rsid w:val="00B83453"/>
    <w:rsid w:val="00B84A37"/>
    <w:rsid w:val="00B90400"/>
    <w:rsid w:val="00B91033"/>
    <w:rsid w:val="00B95B20"/>
    <w:rsid w:val="00BA503F"/>
    <w:rsid w:val="00BA6DDA"/>
    <w:rsid w:val="00BB52AF"/>
    <w:rsid w:val="00BB79C8"/>
    <w:rsid w:val="00BC0951"/>
    <w:rsid w:val="00BC2BE8"/>
    <w:rsid w:val="00BC4638"/>
    <w:rsid w:val="00BC602B"/>
    <w:rsid w:val="00BC6897"/>
    <w:rsid w:val="00BD73BC"/>
    <w:rsid w:val="00BE3392"/>
    <w:rsid w:val="00BE3BC0"/>
    <w:rsid w:val="00BE3E6E"/>
    <w:rsid w:val="00BE6A6E"/>
    <w:rsid w:val="00BE7574"/>
    <w:rsid w:val="00BF45ED"/>
    <w:rsid w:val="00BF4AA4"/>
    <w:rsid w:val="00C01362"/>
    <w:rsid w:val="00C10E5C"/>
    <w:rsid w:val="00C12D03"/>
    <w:rsid w:val="00C245E3"/>
    <w:rsid w:val="00C343E4"/>
    <w:rsid w:val="00C372A3"/>
    <w:rsid w:val="00C448EC"/>
    <w:rsid w:val="00C44E2E"/>
    <w:rsid w:val="00C525AC"/>
    <w:rsid w:val="00C55596"/>
    <w:rsid w:val="00C56ECD"/>
    <w:rsid w:val="00C61E8A"/>
    <w:rsid w:val="00C66D0C"/>
    <w:rsid w:val="00C72EF2"/>
    <w:rsid w:val="00C7677C"/>
    <w:rsid w:val="00C904F5"/>
    <w:rsid w:val="00C9265E"/>
    <w:rsid w:val="00C932ED"/>
    <w:rsid w:val="00C946DE"/>
    <w:rsid w:val="00C97611"/>
    <w:rsid w:val="00C97DCA"/>
    <w:rsid w:val="00CA63E9"/>
    <w:rsid w:val="00CB0034"/>
    <w:rsid w:val="00CC3417"/>
    <w:rsid w:val="00CC69AC"/>
    <w:rsid w:val="00CD0FBF"/>
    <w:rsid w:val="00CD14CB"/>
    <w:rsid w:val="00CE4FEC"/>
    <w:rsid w:val="00CF277D"/>
    <w:rsid w:val="00D008BB"/>
    <w:rsid w:val="00D03A1B"/>
    <w:rsid w:val="00D11ACA"/>
    <w:rsid w:val="00D129CD"/>
    <w:rsid w:val="00D2190B"/>
    <w:rsid w:val="00D21FFE"/>
    <w:rsid w:val="00D22C2A"/>
    <w:rsid w:val="00D230A0"/>
    <w:rsid w:val="00D24F15"/>
    <w:rsid w:val="00D4284C"/>
    <w:rsid w:val="00D565F8"/>
    <w:rsid w:val="00D608F1"/>
    <w:rsid w:val="00D6323D"/>
    <w:rsid w:val="00D746ED"/>
    <w:rsid w:val="00D844DD"/>
    <w:rsid w:val="00D91AF9"/>
    <w:rsid w:val="00D93468"/>
    <w:rsid w:val="00DA14F4"/>
    <w:rsid w:val="00DA73A9"/>
    <w:rsid w:val="00DB1FB5"/>
    <w:rsid w:val="00DB297A"/>
    <w:rsid w:val="00DB4A74"/>
    <w:rsid w:val="00DB5CB9"/>
    <w:rsid w:val="00DB7DC8"/>
    <w:rsid w:val="00DC114B"/>
    <w:rsid w:val="00DC2C07"/>
    <w:rsid w:val="00DE1B1C"/>
    <w:rsid w:val="00DE6AE7"/>
    <w:rsid w:val="00E03D21"/>
    <w:rsid w:val="00E072F2"/>
    <w:rsid w:val="00E16BE7"/>
    <w:rsid w:val="00E176D3"/>
    <w:rsid w:val="00E23431"/>
    <w:rsid w:val="00E242F0"/>
    <w:rsid w:val="00E25184"/>
    <w:rsid w:val="00E25C92"/>
    <w:rsid w:val="00E3122C"/>
    <w:rsid w:val="00E322AE"/>
    <w:rsid w:val="00E434E2"/>
    <w:rsid w:val="00E50C97"/>
    <w:rsid w:val="00E57482"/>
    <w:rsid w:val="00E6181F"/>
    <w:rsid w:val="00E61B21"/>
    <w:rsid w:val="00E6617E"/>
    <w:rsid w:val="00E7227C"/>
    <w:rsid w:val="00E73277"/>
    <w:rsid w:val="00E73D58"/>
    <w:rsid w:val="00E8228A"/>
    <w:rsid w:val="00E82BB6"/>
    <w:rsid w:val="00E84F85"/>
    <w:rsid w:val="00E85F26"/>
    <w:rsid w:val="00E87060"/>
    <w:rsid w:val="00EA0AC9"/>
    <w:rsid w:val="00EA4B0B"/>
    <w:rsid w:val="00EB1AA4"/>
    <w:rsid w:val="00EB55D7"/>
    <w:rsid w:val="00EB7301"/>
    <w:rsid w:val="00EB7C8E"/>
    <w:rsid w:val="00EC2B4C"/>
    <w:rsid w:val="00EC3D7F"/>
    <w:rsid w:val="00EC48F7"/>
    <w:rsid w:val="00EC56DD"/>
    <w:rsid w:val="00ED1DE6"/>
    <w:rsid w:val="00ED3926"/>
    <w:rsid w:val="00ED4FE6"/>
    <w:rsid w:val="00ED6F15"/>
    <w:rsid w:val="00ED77C6"/>
    <w:rsid w:val="00EE50B7"/>
    <w:rsid w:val="00EF37E7"/>
    <w:rsid w:val="00EF3FB6"/>
    <w:rsid w:val="00EF7CE8"/>
    <w:rsid w:val="00F03280"/>
    <w:rsid w:val="00F06761"/>
    <w:rsid w:val="00F10829"/>
    <w:rsid w:val="00F20453"/>
    <w:rsid w:val="00F31BD2"/>
    <w:rsid w:val="00F33FA9"/>
    <w:rsid w:val="00F34599"/>
    <w:rsid w:val="00F42D74"/>
    <w:rsid w:val="00F44E66"/>
    <w:rsid w:val="00F45C85"/>
    <w:rsid w:val="00F467BD"/>
    <w:rsid w:val="00F53BFD"/>
    <w:rsid w:val="00F628CB"/>
    <w:rsid w:val="00F65BA1"/>
    <w:rsid w:val="00F7109E"/>
    <w:rsid w:val="00F73A85"/>
    <w:rsid w:val="00F743D0"/>
    <w:rsid w:val="00F76877"/>
    <w:rsid w:val="00F76F5D"/>
    <w:rsid w:val="00F8119B"/>
    <w:rsid w:val="00F86E91"/>
    <w:rsid w:val="00F906FB"/>
    <w:rsid w:val="00F9318A"/>
    <w:rsid w:val="00F9615B"/>
    <w:rsid w:val="00F97673"/>
    <w:rsid w:val="00FA2D4B"/>
    <w:rsid w:val="00FA32CD"/>
    <w:rsid w:val="00FA41AA"/>
    <w:rsid w:val="00FA6C1B"/>
    <w:rsid w:val="00FA78A8"/>
    <w:rsid w:val="00FB0AD1"/>
    <w:rsid w:val="00FB415B"/>
    <w:rsid w:val="00FB5A31"/>
    <w:rsid w:val="00FB7D62"/>
    <w:rsid w:val="00FC02D4"/>
    <w:rsid w:val="00FC05FC"/>
    <w:rsid w:val="00FC0A51"/>
    <w:rsid w:val="00FD087D"/>
    <w:rsid w:val="00FD302A"/>
    <w:rsid w:val="00FD373C"/>
    <w:rsid w:val="00FD4807"/>
    <w:rsid w:val="00FD7971"/>
    <w:rsid w:val="00FE10A9"/>
    <w:rsid w:val="00FE29DC"/>
    <w:rsid w:val="00FE64D7"/>
    <w:rsid w:val="00FF7AC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C9"/>
    <w:pPr>
      <w:spacing w:after="200" w:line="276" w:lineRule="auto"/>
    </w:pPr>
    <w:rPr>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73BC"/>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BD73BC"/>
    <w:rPr>
      <w:rFonts w:cs="Times New Roman"/>
    </w:rPr>
  </w:style>
  <w:style w:type="paragraph" w:styleId="Footer">
    <w:name w:val="footer"/>
    <w:basedOn w:val="Normal"/>
    <w:link w:val="FooterChar"/>
    <w:uiPriority w:val="99"/>
    <w:rsid w:val="00BD73B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BD73BC"/>
    <w:rPr>
      <w:rFonts w:cs="Times New Roman"/>
    </w:rPr>
  </w:style>
  <w:style w:type="paragraph" w:customStyle="1" w:styleId="BasicParagraph">
    <w:name w:val="[Basic Paragraph]"/>
    <w:basedOn w:val="Normal"/>
    <w:uiPriority w:val="99"/>
    <w:rsid w:val="007B3A4E"/>
    <w:pPr>
      <w:autoSpaceDE w:val="0"/>
      <w:autoSpaceDN w:val="0"/>
      <w:adjustRightInd w:val="0"/>
      <w:spacing w:after="0" w:line="288" w:lineRule="auto"/>
      <w:textAlignment w:val="center"/>
    </w:pPr>
    <w:rPr>
      <w:rFonts w:ascii="Times New Roman" w:hAnsi="Times New Roman"/>
      <w:color w:val="000000"/>
      <w:sz w:val="24"/>
      <w:szCs w:val="24"/>
    </w:rPr>
  </w:style>
  <w:style w:type="character" w:styleId="PlaceholderText">
    <w:name w:val="Placeholder Text"/>
    <w:basedOn w:val="DefaultParagraphFont"/>
    <w:uiPriority w:val="99"/>
    <w:semiHidden/>
    <w:rsid w:val="001459EA"/>
    <w:rPr>
      <w:rFonts w:cs="Times New Roman"/>
      <w:color w:val="808080"/>
    </w:rPr>
  </w:style>
  <w:style w:type="table" w:styleId="TableGrid">
    <w:name w:val="Table Grid"/>
    <w:basedOn w:val="TableNormal"/>
    <w:uiPriority w:val="99"/>
    <w:rsid w:val="001459EA"/>
    <w:rPr>
      <w:rFonts w:ascii="InterstateG-Light" w:hAnsi="InterstateG-Light"/>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459EA"/>
    <w:rPr>
      <w:rFonts w:ascii="Arial" w:hAnsi="Arial" w:cs="Times New Roman"/>
      <w:color w:val="0000FF"/>
      <w:sz w:val="16"/>
      <w:u w:val="single"/>
    </w:rPr>
  </w:style>
  <w:style w:type="paragraph" w:customStyle="1" w:styleId="Headingtext">
    <w:name w:val="Heading text"/>
    <w:basedOn w:val="Normal"/>
    <w:next w:val="Normal"/>
    <w:link w:val="HeadingtextCharChar"/>
    <w:uiPriority w:val="99"/>
    <w:rsid w:val="002466B7"/>
    <w:pPr>
      <w:spacing w:after="0" w:line="240" w:lineRule="auto"/>
    </w:pPr>
    <w:rPr>
      <w:rFonts w:ascii="Arial" w:hAnsi="Arial"/>
      <w:b/>
      <w:color w:val="005CAE"/>
      <w:sz w:val="20"/>
      <w:szCs w:val="28"/>
      <w:lang w:eastAsia="en-US"/>
    </w:rPr>
  </w:style>
  <w:style w:type="paragraph" w:styleId="ListParagraph">
    <w:name w:val="List Paragraph"/>
    <w:basedOn w:val="Normal"/>
    <w:uiPriority w:val="99"/>
    <w:qFormat/>
    <w:rsid w:val="002466B7"/>
    <w:pPr>
      <w:ind w:left="720"/>
      <w:contextualSpacing/>
    </w:pPr>
    <w:rPr>
      <w:noProof/>
      <w:lang w:eastAsia="en-US"/>
    </w:rPr>
  </w:style>
  <w:style w:type="character" w:customStyle="1" w:styleId="HeadingtextCharChar">
    <w:name w:val="Heading text Char Char"/>
    <w:basedOn w:val="DefaultParagraphFont"/>
    <w:link w:val="Headingtext"/>
    <w:uiPriority w:val="99"/>
    <w:locked/>
    <w:rsid w:val="002466B7"/>
    <w:rPr>
      <w:rFonts w:ascii="Arial" w:hAnsi="Arial" w:cs="Times New Roman"/>
      <w:b/>
      <w:color w:val="005CAE"/>
      <w:sz w:val="28"/>
      <w:szCs w:val="28"/>
      <w:lang w:eastAsia="en-US"/>
    </w:rPr>
  </w:style>
  <w:style w:type="paragraph" w:styleId="NoSpacing">
    <w:name w:val="No Spacing"/>
    <w:uiPriority w:val="99"/>
    <w:qFormat/>
    <w:rsid w:val="00AF1418"/>
    <w:rPr>
      <w:lang w:val="en-US" w:eastAsia="ja-JP"/>
    </w:rPr>
  </w:style>
  <w:style w:type="paragraph" w:styleId="BalloonText">
    <w:name w:val="Balloon Text"/>
    <w:basedOn w:val="Normal"/>
    <w:link w:val="BalloonTextChar"/>
    <w:uiPriority w:val="99"/>
    <w:semiHidden/>
    <w:rsid w:val="002F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29F"/>
    <w:rPr>
      <w:rFonts w:ascii="Tahoma" w:hAnsi="Tahoma" w:cs="Tahoma"/>
      <w:sz w:val="16"/>
      <w:szCs w:val="16"/>
    </w:rPr>
  </w:style>
  <w:style w:type="character" w:styleId="CommentReference">
    <w:name w:val="annotation reference"/>
    <w:basedOn w:val="DefaultParagraphFont"/>
    <w:uiPriority w:val="99"/>
    <w:semiHidden/>
    <w:rsid w:val="009D7F2B"/>
    <w:rPr>
      <w:rFonts w:cs="Times New Roman"/>
      <w:sz w:val="16"/>
      <w:szCs w:val="16"/>
    </w:rPr>
  </w:style>
  <w:style w:type="paragraph" w:styleId="CommentText">
    <w:name w:val="annotation text"/>
    <w:basedOn w:val="Normal"/>
    <w:link w:val="CommentTextChar"/>
    <w:uiPriority w:val="99"/>
    <w:semiHidden/>
    <w:rsid w:val="009D7F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D7F2B"/>
    <w:rPr>
      <w:rFonts w:cs="Times New Roman"/>
      <w:sz w:val="20"/>
      <w:szCs w:val="20"/>
    </w:rPr>
  </w:style>
  <w:style w:type="paragraph" w:styleId="CommentSubject">
    <w:name w:val="annotation subject"/>
    <w:basedOn w:val="CommentText"/>
    <w:next w:val="CommentText"/>
    <w:link w:val="CommentSubjectChar"/>
    <w:uiPriority w:val="99"/>
    <w:semiHidden/>
    <w:rsid w:val="009D7F2B"/>
    <w:rPr>
      <w:b/>
      <w:bCs/>
    </w:rPr>
  </w:style>
  <w:style w:type="character" w:customStyle="1" w:styleId="CommentSubjectChar">
    <w:name w:val="Comment Subject Char"/>
    <w:basedOn w:val="CommentTextChar"/>
    <w:link w:val="CommentSubject"/>
    <w:uiPriority w:val="99"/>
    <w:semiHidden/>
    <w:locked/>
    <w:rsid w:val="009D7F2B"/>
    <w:rPr>
      <w:b/>
      <w:bCs/>
    </w:rPr>
  </w:style>
  <w:style w:type="paragraph" w:styleId="BodyText">
    <w:name w:val="Body Text"/>
    <w:basedOn w:val="Normal"/>
    <w:link w:val="BodyTextChar"/>
    <w:uiPriority w:val="99"/>
    <w:rsid w:val="00FA32CD"/>
    <w:pPr>
      <w:spacing w:after="120"/>
    </w:pPr>
    <w:rPr>
      <w:lang w:eastAsia="en-US"/>
    </w:rPr>
  </w:style>
  <w:style w:type="character" w:customStyle="1" w:styleId="BodyTextChar">
    <w:name w:val="Body Text Char"/>
    <w:basedOn w:val="DefaultParagraphFont"/>
    <w:link w:val="BodyText"/>
    <w:uiPriority w:val="99"/>
    <w:locked/>
    <w:rsid w:val="00FA32CD"/>
    <w:rPr>
      <w:rFonts w:ascii="Calibri" w:hAnsi="Calibri" w:cs="Times New Roman"/>
      <w:lang w:eastAsia="en-US"/>
    </w:rPr>
  </w:style>
  <w:style w:type="paragraph" w:styleId="PlainText">
    <w:name w:val="Plain Text"/>
    <w:basedOn w:val="Normal"/>
    <w:link w:val="PlainTextChar"/>
    <w:uiPriority w:val="99"/>
    <w:semiHidden/>
    <w:rsid w:val="00703FF0"/>
    <w:pPr>
      <w:spacing w:after="0" w:line="240" w:lineRule="auto"/>
    </w:pPr>
    <w:rPr>
      <w:rFonts w:ascii="Consolas" w:hAnsi="Consolas"/>
      <w:sz w:val="21"/>
      <w:szCs w:val="21"/>
      <w:lang w:val="nl-NL" w:eastAsia="en-US"/>
    </w:rPr>
  </w:style>
  <w:style w:type="character" w:customStyle="1" w:styleId="PlainTextChar">
    <w:name w:val="Plain Text Char"/>
    <w:basedOn w:val="DefaultParagraphFont"/>
    <w:link w:val="PlainText"/>
    <w:uiPriority w:val="99"/>
    <w:semiHidden/>
    <w:locked/>
    <w:rsid w:val="00703FF0"/>
    <w:rPr>
      <w:rFonts w:ascii="Consolas" w:hAnsi="Consolas" w:cs="Times New Roman"/>
      <w:sz w:val="21"/>
      <w:szCs w:val="21"/>
      <w:lang w:val="nl-NL" w:eastAsia="en-US"/>
    </w:rPr>
  </w:style>
</w:styles>
</file>

<file path=word/webSettings.xml><?xml version="1.0" encoding="utf-8"?>
<w:webSettings xmlns:r="http://schemas.openxmlformats.org/officeDocument/2006/relationships" xmlns:w="http://schemas.openxmlformats.org/wordprocessingml/2006/main">
  <w:divs>
    <w:div w:id="124007870">
      <w:marLeft w:val="0"/>
      <w:marRight w:val="0"/>
      <w:marTop w:val="0"/>
      <w:marBottom w:val="0"/>
      <w:divBdr>
        <w:top w:val="none" w:sz="0" w:space="0" w:color="auto"/>
        <w:left w:val="none" w:sz="0" w:space="0" w:color="auto"/>
        <w:bottom w:val="none" w:sz="0" w:space="0" w:color="auto"/>
        <w:right w:val="none" w:sz="0" w:space="0" w:color="auto"/>
      </w:divBdr>
    </w:div>
    <w:div w:id="124007873">
      <w:marLeft w:val="0"/>
      <w:marRight w:val="0"/>
      <w:marTop w:val="0"/>
      <w:marBottom w:val="0"/>
      <w:divBdr>
        <w:top w:val="none" w:sz="0" w:space="0" w:color="auto"/>
        <w:left w:val="none" w:sz="0" w:space="0" w:color="auto"/>
        <w:bottom w:val="none" w:sz="0" w:space="0" w:color="auto"/>
        <w:right w:val="none" w:sz="0" w:space="0" w:color="auto"/>
      </w:divBdr>
    </w:div>
    <w:div w:id="124007874">
      <w:marLeft w:val="0"/>
      <w:marRight w:val="0"/>
      <w:marTop w:val="0"/>
      <w:marBottom w:val="0"/>
      <w:divBdr>
        <w:top w:val="none" w:sz="0" w:space="0" w:color="auto"/>
        <w:left w:val="none" w:sz="0" w:space="0" w:color="auto"/>
        <w:bottom w:val="none" w:sz="0" w:space="0" w:color="auto"/>
        <w:right w:val="none" w:sz="0" w:space="0" w:color="auto"/>
      </w:divBdr>
    </w:div>
    <w:div w:id="124007876">
      <w:marLeft w:val="0"/>
      <w:marRight w:val="0"/>
      <w:marTop w:val="0"/>
      <w:marBottom w:val="0"/>
      <w:divBdr>
        <w:top w:val="none" w:sz="0" w:space="0" w:color="auto"/>
        <w:left w:val="none" w:sz="0" w:space="0" w:color="auto"/>
        <w:bottom w:val="none" w:sz="0" w:space="0" w:color="auto"/>
        <w:right w:val="none" w:sz="0" w:space="0" w:color="auto"/>
      </w:divBdr>
    </w:div>
    <w:div w:id="124007885">
      <w:marLeft w:val="0"/>
      <w:marRight w:val="0"/>
      <w:marTop w:val="0"/>
      <w:marBottom w:val="0"/>
      <w:divBdr>
        <w:top w:val="none" w:sz="0" w:space="0" w:color="auto"/>
        <w:left w:val="none" w:sz="0" w:space="0" w:color="auto"/>
        <w:bottom w:val="none" w:sz="0" w:space="0" w:color="auto"/>
        <w:right w:val="none" w:sz="0" w:space="0" w:color="auto"/>
      </w:divBdr>
    </w:div>
    <w:div w:id="124007887">
      <w:marLeft w:val="0"/>
      <w:marRight w:val="0"/>
      <w:marTop w:val="0"/>
      <w:marBottom w:val="0"/>
      <w:divBdr>
        <w:top w:val="none" w:sz="0" w:space="0" w:color="auto"/>
        <w:left w:val="none" w:sz="0" w:space="0" w:color="auto"/>
        <w:bottom w:val="none" w:sz="0" w:space="0" w:color="auto"/>
        <w:right w:val="none" w:sz="0" w:space="0" w:color="auto"/>
      </w:divBdr>
      <w:divsChild>
        <w:div w:id="124007890">
          <w:marLeft w:val="0"/>
          <w:marRight w:val="0"/>
          <w:marTop w:val="0"/>
          <w:marBottom w:val="0"/>
          <w:divBdr>
            <w:top w:val="none" w:sz="0" w:space="0" w:color="auto"/>
            <w:left w:val="none" w:sz="0" w:space="0" w:color="auto"/>
            <w:bottom w:val="none" w:sz="0" w:space="0" w:color="auto"/>
            <w:right w:val="none" w:sz="0" w:space="0" w:color="auto"/>
          </w:divBdr>
          <w:divsChild>
            <w:div w:id="124007886">
              <w:marLeft w:val="0"/>
              <w:marRight w:val="0"/>
              <w:marTop w:val="0"/>
              <w:marBottom w:val="0"/>
              <w:divBdr>
                <w:top w:val="none" w:sz="0" w:space="0" w:color="auto"/>
                <w:left w:val="none" w:sz="0" w:space="0" w:color="auto"/>
                <w:bottom w:val="none" w:sz="0" w:space="0" w:color="auto"/>
                <w:right w:val="none" w:sz="0" w:space="0" w:color="auto"/>
              </w:divBdr>
              <w:divsChild>
                <w:div w:id="124007882">
                  <w:marLeft w:val="0"/>
                  <w:marRight w:val="0"/>
                  <w:marTop w:val="187"/>
                  <w:marBottom w:val="0"/>
                  <w:divBdr>
                    <w:top w:val="none" w:sz="0" w:space="0" w:color="auto"/>
                    <w:left w:val="none" w:sz="0" w:space="0" w:color="auto"/>
                    <w:bottom w:val="none" w:sz="0" w:space="0" w:color="auto"/>
                    <w:right w:val="none" w:sz="0" w:space="0" w:color="auto"/>
                  </w:divBdr>
                  <w:divsChild>
                    <w:div w:id="124007889">
                      <w:marLeft w:val="0"/>
                      <w:marRight w:val="0"/>
                      <w:marTop w:val="0"/>
                      <w:marBottom w:val="0"/>
                      <w:divBdr>
                        <w:top w:val="none" w:sz="0" w:space="0" w:color="auto"/>
                        <w:left w:val="none" w:sz="0" w:space="0" w:color="auto"/>
                        <w:bottom w:val="none" w:sz="0" w:space="0" w:color="auto"/>
                        <w:right w:val="none" w:sz="0" w:space="0" w:color="auto"/>
                      </w:divBdr>
                      <w:divsChild>
                        <w:div w:id="124007895">
                          <w:marLeft w:val="0"/>
                          <w:marRight w:val="0"/>
                          <w:marTop w:val="0"/>
                          <w:marBottom w:val="0"/>
                          <w:divBdr>
                            <w:top w:val="none" w:sz="0" w:space="0" w:color="auto"/>
                            <w:left w:val="none" w:sz="0" w:space="0" w:color="auto"/>
                            <w:bottom w:val="none" w:sz="0" w:space="0" w:color="auto"/>
                            <w:right w:val="none" w:sz="0" w:space="0" w:color="auto"/>
                          </w:divBdr>
                          <w:divsChild>
                            <w:div w:id="124007897">
                              <w:marLeft w:val="1449"/>
                              <w:marRight w:val="0"/>
                              <w:marTop w:val="0"/>
                              <w:marBottom w:val="0"/>
                              <w:divBdr>
                                <w:top w:val="none" w:sz="0" w:space="0" w:color="auto"/>
                                <w:left w:val="none" w:sz="0" w:space="0" w:color="auto"/>
                                <w:bottom w:val="none" w:sz="0" w:space="0" w:color="auto"/>
                                <w:right w:val="none" w:sz="0" w:space="0" w:color="auto"/>
                              </w:divBdr>
                              <w:divsChild>
                                <w:div w:id="124007869">
                                  <w:marLeft w:val="0"/>
                                  <w:marRight w:val="0"/>
                                  <w:marTop w:val="0"/>
                                  <w:marBottom w:val="0"/>
                                  <w:divBdr>
                                    <w:top w:val="none" w:sz="0" w:space="0" w:color="auto"/>
                                    <w:left w:val="none" w:sz="0" w:space="0" w:color="auto"/>
                                    <w:bottom w:val="none" w:sz="0" w:space="0" w:color="auto"/>
                                    <w:right w:val="none" w:sz="0" w:space="0" w:color="auto"/>
                                  </w:divBdr>
                                  <w:divsChild>
                                    <w:div w:id="124007877">
                                      <w:marLeft w:val="0"/>
                                      <w:marRight w:val="0"/>
                                      <w:marTop w:val="0"/>
                                      <w:marBottom w:val="0"/>
                                      <w:divBdr>
                                        <w:top w:val="none" w:sz="0" w:space="0" w:color="auto"/>
                                        <w:left w:val="none" w:sz="0" w:space="0" w:color="auto"/>
                                        <w:bottom w:val="none" w:sz="0" w:space="0" w:color="auto"/>
                                        <w:right w:val="none" w:sz="0" w:space="0" w:color="auto"/>
                                      </w:divBdr>
                                      <w:divsChild>
                                        <w:div w:id="124007898">
                                          <w:marLeft w:val="0"/>
                                          <w:marRight w:val="0"/>
                                          <w:marTop w:val="0"/>
                                          <w:marBottom w:val="0"/>
                                          <w:divBdr>
                                            <w:top w:val="none" w:sz="0" w:space="0" w:color="auto"/>
                                            <w:left w:val="none" w:sz="0" w:space="0" w:color="auto"/>
                                            <w:bottom w:val="none" w:sz="0" w:space="0" w:color="auto"/>
                                            <w:right w:val="none" w:sz="0" w:space="0" w:color="auto"/>
                                          </w:divBdr>
                                          <w:divsChild>
                                            <w:div w:id="124007880">
                                              <w:marLeft w:val="0"/>
                                              <w:marRight w:val="0"/>
                                              <w:marTop w:val="0"/>
                                              <w:marBottom w:val="0"/>
                                              <w:divBdr>
                                                <w:top w:val="none" w:sz="0" w:space="0" w:color="auto"/>
                                                <w:left w:val="none" w:sz="0" w:space="0" w:color="auto"/>
                                                <w:bottom w:val="none" w:sz="0" w:space="0" w:color="auto"/>
                                                <w:right w:val="none" w:sz="0" w:space="0" w:color="auto"/>
                                              </w:divBdr>
                                              <w:divsChild>
                                                <w:div w:id="124007875">
                                                  <w:marLeft w:val="0"/>
                                                  <w:marRight w:val="0"/>
                                                  <w:marTop w:val="0"/>
                                                  <w:marBottom w:val="94"/>
                                                  <w:divBdr>
                                                    <w:top w:val="none" w:sz="0" w:space="0" w:color="auto"/>
                                                    <w:left w:val="none" w:sz="0" w:space="0" w:color="auto"/>
                                                    <w:bottom w:val="none" w:sz="0" w:space="0" w:color="auto"/>
                                                    <w:right w:val="none" w:sz="0" w:space="0" w:color="auto"/>
                                                  </w:divBdr>
                                                  <w:divsChild>
                                                    <w:div w:id="124007867">
                                                      <w:marLeft w:val="9"/>
                                                      <w:marRight w:val="9"/>
                                                      <w:marTop w:val="9"/>
                                                      <w:marBottom w:val="9"/>
                                                      <w:divBdr>
                                                        <w:top w:val="single" w:sz="4" w:space="5" w:color="DDDDDD"/>
                                                        <w:left w:val="single" w:sz="4" w:space="5" w:color="DDDDDD"/>
                                                        <w:bottom w:val="single" w:sz="4" w:space="9" w:color="DDDDDD"/>
                                                        <w:right w:val="single" w:sz="4" w:space="5" w:color="DDDDDD"/>
                                                      </w:divBdr>
                                                      <w:divsChild>
                                                        <w:div w:id="124007879">
                                                          <w:marLeft w:val="0"/>
                                                          <w:marRight w:val="0"/>
                                                          <w:marTop w:val="0"/>
                                                          <w:marBottom w:val="0"/>
                                                          <w:divBdr>
                                                            <w:top w:val="none" w:sz="0" w:space="0" w:color="auto"/>
                                                            <w:left w:val="none" w:sz="0" w:space="0" w:color="auto"/>
                                                            <w:bottom w:val="none" w:sz="0" w:space="0" w:color="auto"/>
                                                            <w:right w:val="none" w:sz="0" w:space="0" w:color="auto"/>
                                                          </w:divBdr>
                                                          <w:divsChild>
                                                            <w:div w:id="124007868">
                                                              <w:marLeft w:val="0"/>
                                                              <w:marRight w:val="0"/>
                                                              <w:marTop w:val="0"/>
                                                              <w:marBottom w:val="0"/>
                                                              <w:divBdr>
                                                                <w:top w:val="none" w:sz="0" w:space="0" w:color="auto"/>
                                                                <w:left w:val="none" w:sz="0" w:space="0" w:color="auto"/>
                                                                <w:bottom w:val="none" w:sz="0" w:space="0" w:color="auto"/>
                                                                <w:right w:val="none" w:sz="0" w:space="0" w:color="auto"/>
                                                              </w:divBdr>
                                                            </w:div>
                                                            <w:div w:id="124007871">
                                                              <w:marLeft w:val="0"/>
                                                              <w:marRight w:val="0"/>
                                                              <w:marTop w:val="0"/>
                                                              <w:marBottom w:val="0"/>
                                                              <w:divBdr>
                                                                <w:top w:val="none" w:sz="0" w:space="0" w:color="auto"/>
                                                                <w:left w:val="none" w:sz="0" w:space="0" w:color="auto"/>
                                                                <w:bottom w:val="none" w:sz="0" w:space="0" w:color="auto"/>
                                                                <w:right w:val="none" w:sz="0" w:space="0" w:color="auto"/>
                                                              </w:divBdr>
                                                            </w:div>
                                                            <w:div w:id="124007878">
                                                              <w:marLeft w:val="0"/>
                                                              <w:marRight w:val="0"/>
                                                              <w:marTop w:val="0"/>
                                                              <w:marBottom w:val="0"/>
                                                              <w:divBdr>
                                                                <w:top w:val="none" w:sz="0" w:space="0" w:color="auto"/>
                                                                <w:left w:val="none" w:sz="0" w:space="0" w:color="auto"/>
                                                                <w:bottom w:val="none" w:sz="0" w:space="0" w:color="auto"/>
                                                                <w:right w:val="none" w:sz="0" w:space="0" w:color="auto"/>
                                                              </w:divBdr>
                                                            </w:div>
                                                            <w:div w:id="124007881">
                                                              <w:marLeft w:val="0"/>
                                                              <w:marRight w:val="0"/>
                                                              <w:marTop w:val="0"/>
                                                              <w:marBottom w:val="0"/>
                                                              <w:divBdr>
                                                                <w:top w:val="none" w:sz="0" w:space="0" w:color="auto"/>
                                                                <w:left w:val="none" w:sz="0" w:space="0" w:color="auto"/>
                                                                <w:bottom w:val="none" w:sz="0" w:space="0" w:color="auto"/>
                                                                <w:right w:val="none" w:sz="0" w:space="0" w:color="auto"/>
                                                              </w:divBdr>
                                                              <w:divsChild>
                                                                <w:div w:id="124007891">
                                                                  <w:marLeft w:val="0"/>
                                                                  <w:marRight w:val="0"/>
                                                                  <w:marTop w:val="0"/>
                                                                  <w:marBottom w:val="0"/>
                                                                  <w:divBdr>
                                                                    <w:top w:val="none" w:sz="0" w:space="0" w:color="auto"/>
                                                                    <w:left w:val="none" w:sz="0" w:space="0" w:color="auto"/>
                                                                    <w:bottom w:val="none" w:sz="0" w:space="0" w:color="auto"/>
                                                                    <w:right w:val="none" w:sz="0" w:space="0" w:color="auto"/>
                                                                  </w:divBdr>
                                                                </w:div>
                                                              </w:divsChild>
                                                            </w:div>
                                                            <w:div w:id="124007883">
                                                              <w:marLeft w:val="0"/>
                                                              <w:marRight w:val="0"/>
                                                              <w:marTop w:val="0"/>
                                                              <w:marBottom w:val="0"/>
                                                              <w:divBdr>
                                                                <w:top w:val="none" w:sz="0" w:space="0" w:color="auto"/>
                                                                <w:left w:val="none" w:sz="0" w:space="0" w:color="auto"/>
                                                                <w:bottom w:val="none" w:sz="0" w:space="0" w:color="auto"/>
                                                                <w:right w:val="none" w:sz="0" w:space="0" w:color="auto"/>
                                                              </w:divBdr>
                                                            </w:div>
                                                            <w:div w:id="124007884">
                                                              <w:marLeft w:val="0"/>
                                                              <w:marRight w:val="0"/>
                                                              <w:marTop w:val="0"/>
                                                              <w:marBottom w:val="0"/>
                                                              <w:divBdr>
                                                                <w:top w:val="none" w:sz="0" w:space="0" w:color="auto"/>
                                                                <w:left w:val="none" w:sz="0" w:space="0" w:color="auto"/>
                                                                <w:bottom w:val="none" w:sz="0" w:space="0" w:color="auto"/>
                                                                <w:right w:val="none" w:sz="0" w:space="0" w:color="auto"/>
                                                              </w:divBdr>
                                                            </w:div>
                                                            <w:div w:id="124007888">
                                                              <w:marLeft w:val="0"/>
                                                              <w:marRight w:val="0"/>
                                                              <w:marTop w:val="0"/>
                                                              <w:marBottom w:val="0"/>
                                                              <w:divBdr>
                                                                <w:top w:val="none" w:sz="0" w:space="0" w:color="auto"/>
                                                                <w:left w:val="none" w:sz="0" w:space="0" w:color="auto"/>
                                                                <w:bottom w:val="none" w:sz="0" w:space="0" w:color="auto"/>
                                                                <w:right w:val="none" w:sz="0" w:space="0" w:color="auto"/>
                                                              </w:divBdr>
                                                            </w:div>
                                                          </w:divsChild>
                                                        </w:div>
                                                        <w:div w:id="124007894">
                                                          <w:marLeft w:val="0"/>
                                                          <w:marRight w:val="0"/>
                                                          <w:marTop w:val="94"/>
                                                          <w:marBottom w:val="94"/>
                                                          <w:divBdr>
                                                            <w:top w:val="none" w:sz="0" w:space="0" w:color="auto"/>
                                                            <w:left w:val="none" w:sz="0" w:space="0" w:color="auto"/>
                                                            <w:bottom w:val="none" w:sz="0" w:space="0" w:color="auto"/>
                                                            <w:right w:val="none" w:sz="0" w:space="0" w:color="auto"/>
                                                          </w:divBdr>
                                                          <w:divsChild>
                                                            <w:div w:id="124007872">
                                                              <w:marLeft w:val="0"/>
                                                              <w:marRight w:val="0"/>
                                                              <w:marTop w:val="0"/>
                                                              <w:marBottom w:val="0"/>
                                                              <w:divBdr>
                                                                <w:top w:val="none" w:sz="0" w:space="0" w:color="auto"/>
                                                                <w:left w:val="none" w:sz="0" w:space="0" w:color="auto"/>
                                                                <w:bottom w:val="none" w:sz="0" w:space="0" w:color="auto"/>
                                                                <w:right w:val="none" w:sz="0" w:space="0" w:color="auto"/>
                                                              </w:divBdr>
                                                            </w:div>
                                                          </w:divsChild>
                                                        </w:div>
                                                        <w:div w:id="1240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07892">
      <w:marLeft w:val="0"/>
      <w:marRight w:val="0"/>
      <w:marTop w:val="0"/>
      <w:marBottom w:val="0"/>
      <w:divBdr>
        <w:top w:val="none" w:sz="0" w:space="0" w:color="auto"/>
        <w:left w:val="none" w:sz="0" w:space="0" w:color="auto"/>
        <w:bottom w:val="none" w:sz="0" w:space="0" w:color="auto"/>
        <w:right w:val="none" w:sz="0" w:space="0" w:color="auto"/>
      </w:divBdr>
    </w:div>
    <w:div w:id="124007893">
      <w:marLeft w:val="0"/>
      <w:marRight w:val="0"/>
      <w:marTop w:val="0"/>
      <w:marBottom w:val="0"/>
      <w:divBdr>
        <w:top w:val="none" w:sz="0" w:space="0" w:color="auto"/>
        <w:left w:val="none" w:sz="0" w:space="0" w:color="auto"/>
        <w:bottom w:val="none" w:sz="0" w:space="0" w:color="auto"/>
        <w:right w:val="none" w:sz="0" w:space="0" w:color="auto"/>
      </w:divBdr>
    </w:div>
    <w:div w:id="124007896">
      <w:marLeft w:val="0"/>
      <w:marRight w:val="0"/>
      <w:marTop w:val="0"/>
      <w:marBottom w:val="0"/>
      <w:divBdr>
        <w:top w:val="none" w:sz="0" w:space="0" w:color="auto"/>
        <w:left w:val="none" w:sz="0" w:space="0" w:color="auto"/>
        <w:bottom w:val="none" w:sz="0" w:space="0" w:color="auto"/>
        <w:right w:val="none" w:sz="0" w:space="0" w:color="auto"/>
      </w:divBdr>
    </w:div>
    <w:div w:id="1240079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egon.com/Documents/aegon-com/Governance/Governance-documents/EB-and-MB/Employment-agreement-Nooitgedagt.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r@aegon.com" TargetMode="External"/><Relationship Id="rId1" Type="http://schemas.openxmlformats.org/officeDocument/2006/relationships/hyperlink" Target="mailto:gcc-ir@aeg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1056</Words>
  <Characters>6020</Characters>
  <Application>Microsoft Office Outlook</Application>
  <DocSecurity>0</DocSecurity>
  <Lines>0</Lines>
  <Paragraphs>0</Paragraphs>
  <ScaleCrop>false</ScaleCrop>
  <Company>Member Company of the AEGON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Aegon intends to move to swap curve for solvency calculation in the Netherlands</dc:title>
  <dc:subject/>
  <dc:creator>admalee</dc:creator>
  <cp:keywords/>
  <dc:description/>
  <cp:lastModifiedBy>A User</cp:lastModifiedBy>
  <cp:revision>2</cp:revision>
  <cp:lastPrinted>2013-08-28T09:36:00Z</cp:lastPrinted>
  <dcterms:created xsi:type="dcterms:W3CDTF">2013-09-01T13:34:00Z</dcterms:created>
  <dcterms:modified xsi:type="dcterms:W3CDTF">2013-09-01T13:34:00Z</dcterms:modified>
  <cp:category>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0f085740-96c0-4a0c-a2c6-6f74318c53bb</vt:lpwstr>
  </property>
</Properties>
</file>