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6C5D8" w14:textId="75AFC762" w:rsidR="008B514D" w:rsidRPr="00E43BA3" w:rsidRDefault="00A11440" w:rsidP="00AE7767">
      <w:pPr>
        <w:pStyle w:val="Headingpressrelease"/>
        <w:rPr>
          <w:rFonts w:eastAsia="Calibri"/>
          <w:noProof/>
          <w:sz w:val="28"/>
          <w:szCs w:val="44"/>
          <w:lang w:val="en-US"/>
        </w:rPr>
      </w:pPr>
      <w:r>
        <w:rPr>
          <w:rFonts w:eastAsia="Calibri"/>
          <w:sz w:val="28"/>
          <w:szCs w:val="44"/>
          <w:lang w:val="en-US"/>
        </w:rPr>
        <w:t>An u</w:t>
      </w:r>
      <w:r w:rsidR="003E0D81" w:rsidRPr="003E0D81">
        <w:rPr>
          <w:rFonts w:eastAsia="Calibri"/>
          <w:sz w:val="28"/>
          <w:szCs w:val="44"/>
          <w:lang w:val="en-US"/>
        </w:rPr>
        <w:t xml:space="preserve">pdate </w:t>
      </w:r>
      <w:r>
        <w:rPr>
          <w:rFonts w:eastAsia="Calibri"/>
          <w:sz w:val="28"/>
          <w:szCs w:val="44"/>
          <w:lang w:val="en-US"/>
        </w:rPr>
        <w:t xml:space="preserve">of Aegon’s </w:t>
      </w:r>
      <w:r w:rsidR="003E0D81" w:rsidRPr="003E0D81">
        <w:rPr>
          <w:rFonts w:eastAsia="Calibri"/>
          <w:sz w:val="28"/>
          <w:szCs w:val="44"/>
          <w:lang w:val="en-US"/>
        </w:rPr>
        <w:t xml:space="preserve">sale </w:t>
      </w:r>
      <w:r w:rsidR="002A7243">
        <w:rPr>
          <w:rFonts w:eastAsia="Calibri"/>
          <w:sz w:val="28"/>
          <w:szCs w:val="44"/>
          <w:lang w:val="en-US"/>
        </w:rPr>
        <w:t xml:space="preserve">of </w:t>
      </w:r>
      <w:r w:rsidR="003E0D81" w:rsidRPr="003E0D81">
        <w:rPr>
          <w:rFonts w:eastAsia="Calibri"/>
          <w:sz w:val="28"/>
          <w:szCs w:val="44"/>
          <w:lang w:val="en-US"/>
        </w:rPr>
        <w:t xml:space="preserve">its Central and </w:t>
      </w:r>
      <w:r w:rsidR="0005055B">
        <w:rPr>
          <w:rFonts w:eastAsia="Calibri"/>
          <w:sz w:val="28"/>
          <w:szCs w:val="44"/>
          <w:lang w:val="en-US"/>
        </w:rPr>
        <w:t xml:space="preserve">Eastern </w:t>
      </w:r>
      <w:r w:rsidR="003E0D81" w:rsidRPr="003E0D81">
        <w:rPr>
          <w:rFonts w:eastAsia="Calibri"/>
          <w:sz w:val="28"/>
          <w:szCs w:val="44"/>
          <w:lang w:val="en-US"/>
        </w:rPr>
        <w:t>European business to VIG</w:t>
      </w:r>
    </w:p>
    <w:p w14:paraId="7936C5D9" w14:textId="77777777" w:rsidR="008B514D" w:rsidRPr="008D3A67" w:rsidRDefault="008B514D" w:rsidP="003C7D0F">
      <w:pPr>
        <w:autoSpaceDE w:val="0"/>
        <w:autoSpaceDN w:val="0"/>
        <w:adjustRightInd w:val="0"/>
        <w:spacing w:after="0" w:line="276" w:lineRule="auto"/>
        <w:rPr>
          <w:rFonts w:eastAsia="Calibri" w:cs="Arial"/>
          <w:szCs w:val="18"/>
        </w:rPr>
      </w:pPr>
    </w:p>
    <w:p w14:paraId="76F82EE1" w14:textId="77777777" w:rsidR="00D72012" w:rsidRDefault="00D72012" w:rsidP="00D72012">
      <w:bookmarkStart w:id="0" w:name="_Hlk68625822"/>
      <w:r>
        <w:rPr>
          <w:rFonts w:cs="Arial"/>
          <w:lang w:val="en-GB"/>
        </w:rPr>
        <w:t xml:space="preserve">Aegon has taken note of an announcement issued today by </w:t>
      </w:r>
      <w:r>
        <w:rPr>
          <w:rFonts w:cs="Arial"/>
          <w:color w:val="000000" w:themeColor="text1"/>
          <w:shd w:val="clear" w:color="auto" w:fill="FFFFFF"/>
          <w:lang w:val="en-GB"/>
        </w:rPr>
        <w:t xml:space="preserve">Vienna Insurance Group AG Wiener </w:t>
      </w:r>
      <w:proofErr w:type="spellStart"/>
      <w:r>
        <w:rPr>
          <w:rFonts w:cs="Arial"/>
          <w:color w:val="000000" w:themeColor="text1"/>
          <w:shd w:val="clear" w:color="auto" w:fill="FFFFFF"/>
          <w:lang w:val="en-GB"/>
        </w:rPr>
        <w:t>Versicherung</w:t>
      </w:r>
      <w:proofErr w:type="spellEnd"/>
      <w:r>
        <w:rPr>
          <w:rFonts w:cs="Arial"/>
          <w:color w:val="000000" w:themeColor="text1"/>
          <w:shd w:val="clear" w:color="auto" w:fill="FFFFFF"/>
          <w:lang w:val="en-GB"/>
        </w:rPr>
        <w:t xml:space="preserve"> Gruppe (VIG). </w:t>
      </w:r>
      <w:bookmarkEnd w:id="0"/>
      <w:r>
        <w:rPr>
          <w:bCs/>
        </w:rPr>
        <w:t xml:space="preserve">The announcement issued by VIG reads as follows: “Acquisition of the Aegon entities prevented by Hungary for the moment. </w:t>
      </w:r>
      <w:r>
        <w:t>VIENNA INSURANCE GROUP AG Wiener Versicherung Gruppe received a decree yesterday afternoon in which the Hungarian Ministry of the Interior announced that the intended acquisition by a foreign investor of the Aegon companies in Hungary is denied. As part of the approval process, Vienna Insurance Group has been in constructive talks with the responsible Hungarian Minister of Finance since January 2021. The decree is in contradiction with the course of the talks to date. Vienna Insurance Group expects that this issue will be resolved positively in the near future.</w:t>
      </w:r>
      <w:r>
        <w:rPr>
          <w:b/>
        </w:rPr>
        <w:t xml:space="preserve">” </w:t>
      </w:r>
      <w:r>
        <w:rPr>
          <w:bCs/>
        </w:rPr>
        <w:t>Aegon will continue to work with VIG to close the transaction.</w:t>
      </w:r>
    </w:p>
    <w:p w14:paraId="7936C5E1" w14:textId="77777777" w:rsidR="003C7D0F" w:rsidRPr="008D3A67" w:rsidRDefault="003C7D0F" w:rsidP="003C7D0F">
      <w:pPr>
        <w:pStyle w:val="IntroPressRelease"/>
        <w:rPr>
          <w:b w:val="0"/>
          <w:sz w:val="18"/>
        </w:rPr>
      </w:pPr>
    </w:p>
    <w:p w14:paraId="7936C5E2" w14:textId="77777777" w:rsidR="003C7D0F" w:rsidRPr="008D3A67" w:rsidRDefault="003C7D0F" w:rsidP="003C7D0F">
      <w:pPr>
        <w:pStyle w:val="IntroPressRelease"/>
        <w:rPr>
          <w:b w:val="0"/>
          <w:sz w:val="18"/>
        </w:rPr>
      </w:pPr>
    </w:p>
    <w:p w14:paraId="7936C5F0" w14:textId="3C8BDA32" w:rsidR="003A5E7B" w:rsidRDefault="003A5E7B" w:rsidP="003C7D0F">
      <w:pPr>
        <w:pStyle w:val="IntroPressRelease"/>
        <w:rPr>
          <w:b w:val="0"/>
          <w:sz w:val="18"/>
        </w:rPr>
      </w:pPr>
    </w:p>
    <w:p w14:paraId="5C3E86A1" w14:textId="77777777" w:rsidR="002D1093" w:rsidRPr="008D3A67" w:rsidRDefault="002D1093" w:rsidP="003C7D0F">
      <w:pPr>
        <w:pStyle w:val="IntroPressRelease"/>
        <w:rPr>
          <w:b w:val="0"/>
          <w:sz w:val="18"/>
        </w:rPr>
      </w:pPr>
    </w:p>
    <w:p w14:paraId="7936C5F1" w14:textId="22A5B07E" w:rsidR="003A5E7B" w:rsidRDefault="003A5E7B" w:rsidP="003C7D0F">
      <w:pPr>
        <w:pStyle w:val="IntroPressRelease"/>
        <w:rPr>
          <w:b w:val="0"/>
          <w:sz w:val="18"/>
        </w:rPr>
      </w:pPr>
    </w:p>
    <w:p w14:paraId="49708DCA" w14:textId="7DFC6B2D" w:rsidR="003B5200" w:rsidRDefault="003B5200" w:rsidP="003C7D0F">
      <w:pPr>
        <w:pStyle w:val="IntroPressRelease"/>
        <w:rPr>
          <w:b w:val="0"/>
          <w:sz w:val="18"/>
        </w:rPr>
      </w:pPr>
    </w:p>
    <w:p w14:paraId="16709FE3" w14:textId="77777777" w:rsidR="003B5200" w:rsidRPr="008D3A67" w:rsidRDefault="003B5200" w:rsidP="003C7D0F">
      <w:pPr>
        <w:pStyle w:val="IntroPressRelease"/>
        <w:rPr>
          <w:b w:val="0"/>
          <w:sz w:val="18"/>
        </w:rPr>
      </w:pPr>
    </w:p>
    <w:p w14:paraId="7936C5F2" w14:textId="77777777" w:rsidR="003A5E7B" w:rsidRPr="008D3A67" w:rsidRDefault="003A5E7B" w:rsidP="003C7D0F">
      <w:pPr>
        <w:pStyle w:val="IntroPressRelease"/>
        <w:rPr>
          <w:b w:val="0"/>
          <w:sz w:val="18"/>
        </w:rPr>
      </w:pPr>
    </w:p>
    <w:p w14:paraId="7936C5F3" w14:textId="77777777" w:rsidR="003C7D0F" w:rsidRPr="008D3A67" w:rsidRDefault="003C7D0F" w:rsidP="003C7D0F">
      <w:pPr>
        <w:pStyle w:val="IntroPressRelease"/>
        <w:rPr>
          <w:b w:val="0"/>
          <w:sz w:val="18"/>
        </w:rPr>
      </w:pPr>
    </w:p>
    <w:p w14:paraId="7936C5F4" w14:textId="77777777" w:rsidR="00283B78" w:rsidRPr="008D3A67" w:rsidRDefault="00283B78" w:rsidP="003C7D0F">
      <w:pPr>
        <w:pStyle w:val="IntroPressRelease"/>
        <w:rPr>
          <w:b w:val="0"/>
          <w:sz w:val="18"/>
        </w:rPr>
      </w:pPr>
    </w:p>
    <w:p w14:paraId="7936C5F5" w14:textId="77777777" w:rsidR="003A5E7B" w:rsidRPr="008D3A67" w:rsidRDefault="003A5E7B" w:rsidP="003A5E7B">
      <w:pPr>
        <w:pStyle w:val="IntroPressRelease"/>
        <w:rPr>
          <w:b w:val="0"/>
          <w:sz w:val="18"/>
        </w:rPr>
      </w:pPr>
      <w:r w:rsidRPr="008D3A67">
        <w:rPr>
          <w:b w:val="0"/>
          <w:noProof/>
          <w:sz w:val="18"/>
        </w:rPr>
        <mc:AlternateContent>
          <mc:Choice Requires="wps">
            <w:drawing>
              <wp:inline distT="0" distB="0" distL="0" distR="0" wp14:anchorId="7936C632" wp14:editId="7936C633">
                <wp:extent cx="5943600" cy="0"/>
                <wp:effectExtent l="0" t="0" r="19050" b="19050"/>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7E2A301"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" strokecolor="#5b9bd5 [3204]" strokeweight=".5pt">
                <v:stroke joinstyle="miter"/>
                <w10:anchorlock/>
              </v:line>
            </w:pict>
          </mc:Fallback>
        </mc:AlternateContent>
      </w:r>
    </w:p>
    <w:p w14:paraId="38E9EA47" w14:textId="77777777" w:rsidR="00FC2D5B" w:rsidRPr="003533D2" w:rsidRDefault="00FC2D5B" w:rsidP="00FC2D5B">
      <w:pPr>
        <w:pStyle w:val="IntroPressRelease"/>
        <w:rPr>
          <w:sz w:val="18"/>
        </w:rPr>
      </w:pPr>
      <w:r w:rsidRPr="003533D2">
        <w:rPr>
          <w:sz w:val="18"/>
        </w:rPr>
        <w:t>About Aegon</w:t>
      </w:r>
    </w:p>
    <w:p w14:paraId="00CD6B68" w14:textId="77777777" w:rsidR="00FC2D5B" w:rsidRPr="003533D2" w:rsidRDefault="00FC2D5B" w:rsidP="00FC2D5B">
      <w:pPr>
        <w:spacing w:after="60"/>
        <w:rPr>
          <w:rStyle w:val="BodyTextPressReleaseChar0"/>
          <w:color w:val="595959" w:themeColor="text1" w:themeTint="A6"/>
          <w:sz w:val="18"/>
        </w:rPr>
      </w:pPr>
      <w:r w:rsidRPr="003533D2">
        <w:rPr>
          <w:rStyle w:val="BodyTextPressReleaseChar0"/>
          <w:color w:val="595959" w:themeColor="text1" w:themeTint="A6"/>
          <w:sz w:val="18"/>
        </w:rPr>
        <w:t xml:space="preserve">Aegon’s roots go back more than 175 years – to the first half of the nineteenth century. Since then, Aegon has grown into an international company, with businesses in the Americas, Europe and Asia. Today, Aegon is one of the world’s leading financial services organizations, providing life insurance, pensions and asset management. Aegon’s purpose is to help people achieve a lifetime of financial security. More information on </w:t>
      </w:r>
      <w:hyperlink r:id="rId11" w:history="1">
        <w:r w:rsidRPr="003533D2">
          <w:rPr>
            <w:rStyle w:val="Hyperlink"/>
            <w:rFonts w:ascii="Arial" w:hAnsi="Arial"/>
            <w:szCs w:val="24"/>
          </w:rPr>
          <w:t>aegon.com</w:t>
        </w:r>
      </w:hyperlink>
      <w:r w:rsidRPr="003533D2">
        <w:rPr>
          <w:rStyle w:val="BodyTextPressReleaseChar0"/>
          <w:color w:val="595959" w:themeColor="text1" w:themeTint="A6"/>
          <w:sz w:val="18"/>
        </w:rPr>
        <w:t>.</w:t>
      </w:r>
    </w:p>
    <w:p w14:paraId="7936C5F8" w14:textId="77777777" w:rsidR="003A5E7B" w:rsidRPr="008D3A67" w:rsidRDefault="003A5E7B" w:rsidP="003A5E7B">
      <w:pPr>
        <w:autoSpaceDE w:val="0"/>
        <w:autoSpaceDN w:val="0"/>
        <w:adjustRightInd w:val="0"/>
        <w:spacing w:after="0" w:line="276" w:lineRule="auto"/>
        <w:rPr>
          <w:rFonts w:eastAsia="Calibri" w:cs="Arial"/>
          <w:color w:val="1D1D1D"/>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675"/>
        <w:gridCol w:w="4675"/>
      </w:tblGrid>
      <w:tr w:rsidR="003A5E7B" w:rsidRPr="008D3A67" w14:paraId="7936C5FB" w14:textId="77777777" w:rsidTr="00947E0C">
        <w:tc>
          <w:tcPr>
            <w:tcW w:w="4675" w:type="dxa"/>
          </w:tcPr>
          <w:p w14:paraId="7936C5F9" w14:textId="77777777" w:rsidR="003A5E7B" w:rsidRPr="00FC2D5B" w:rsidRDefault="003A5E7B" w:rsidP="00947E0C">
            <w:pPr>
              <w:autoSpaceDE w:val="0"/>
              <w:autoSpaceDN w:val="0"/>
              <w:adjustRightInd w:val="0"/>
              <w:spacing w:line="276" w:lineRule="auto"/>
              <w:rPr>
                <w:rFonts w:eastAsia="Calibri" w:cs="Arial"/>
                <w:b/>
                <w:bCs/>
                <w:color w:val="1D1D1D"/>
                <w:szCs w:val="24"/>
              </w:rPr>
            </w:pPr>
            <w:r w:rsidRPr="00FC2D5B">
              <w:rPr>
                <w:rFonts w:eastAsia="Calibri" w:cs="Arial"/>
                <w:b/>
                <w:bCs/>
                <w:color w:val="1D1D1D"/>
                <w:szCs w:val="24"/>
              </w:rPr>
              <w:t>Contacts</w:t>
            </w:r>
          </w:p>
        </w:tc>
        <w:tc>
          <w:tcPr>
            <w:tcW w:w="4675" w:type="dxa"/>
          </w:tcPr>
          <w:p w14:paraId="7936C5FA" w14:textId="77777777" w:rsidR="003A5E7B" w:rsidRPr="008D3A67" w:rsidRDefault="003A5E7B" w:rsidP="00947E0C">
            <w:pPr>
              <w:autoSpaceDE w:val="0"/>
              <w:autoSpaceDN w:val="0"/>
              <w:adjustRightInd w:val="0"/>
              <w:spacing w:line="276" w:lineRule="auto"/>
              <w:rPr>
                <w:rFonts w:eastAsia="Calibri" w:cs="Arial"/>
                <w:color w:val="1D1D1D"/>
                <w:szCs w:val="24"/>
              </w:rPr>
            </w:pPr>
          </w:p>
        </w:tc>
      </w:tr>
      <w:tr w:rsidR="003A5E7B" w:rsidRPr="008D3A67" w14:paraId="7936C5FE" w14:textId="77777777" w:rsidTr="00947E0C">
        <w:tc>
          <w:tcPr>
            <w:tcW w:w="4675" w:type="dxa"/>
          </w:tcPr>
          <w:p w14:paraId="7936C5FC" w14:textId="77777777" w:rsidR="003A5E7B" w:rsidRPr="008D3A67" w:rsidRDefault="003A5E7B" w:rsidP="00947E0C">
            <w:pPr>
              <w:autoSpaceDE w:val="0"/>
              <w:autoSpaceDN w:val="0"/>
              <w:adjustRightInd w:val="0"/>
              <w:spacing w:line="276" w:lineRule="auto"/>
              <w:rPr>
                <w:rFonts w:eastAsia="Calibri" w:cs="Arial"/>
                <w:color w:val="1D1D1D"/>
                <w:szCs w:val="24"/>
              </w:rPr>
            </w:pPr>
            <w:r w:rsidRPr="008D3A67">
              <w:rPr>
                <w:rFonts w:eastAsia="Calibri" w:cs="Arial"/>
                <w:color w:val="1D1D1D"/>
                <w:szCs w:val="24"/>
              </w:rPr>
              <w:t>Media relations</w:t>
            </w:r>
          </w:p>
        </w:tc>
        <w:tc>
          <w:tcPr>
            <w:tcW w:w="4675" w:type="dxa"/>
          </w:tcPr>
          <w:p w14:paraId="7936C5FD" w14:textId="77777777" w:rsidR="003A5E7B" w:rsidRPr="008D3A67" w:rsidRDefault="003A5E7B" w:rsidP="00947E0C">
            <w:pPr>
              <w:autoSpaceDE w:val="0"/>
              <w:autoSpaceDN w:val="0"/>
              <w:adjustRightInd w:val="0"/>
              <w:spacing w:line="276" w:lineRule="auto"/>
              <w:rPr>
                <w:rFonts w:eastAsia="Calibri" w:cs="Arial"/>
                <w:color w:val="1D1D1D"/>
                <w:szCs w:val="24"/>
              </w:rPr>
            </w:pPr>
            <w:r w:rsidRPr="008D3A67">
              <w:rPr>
                <w:rFonts w:eastAsia="Calibri" w:cs="Arial"/>
                <w:color w:val="1D1D1D"/>
                <w:szCs w:val="24"/>
              </w:rPr>
              <w:t>Investor relations</w:t>
            </w:r>
          </w:p>
        </w:tc>
      </w:tr>
      <w:tr w:rsidR="003A5E7B" w:rsidRPr="008D3A67" w14:paraId="7936C602" w14:textId="77777777" w:rsidTr="00947E0C">
        <w:tc>
          <w:tcPr>
            <w:tcW w:w="4675" w:type="dxa"/>
          </w:tcPr>
          <w:p w14:paraId="7936C5FF" w14:textId="77777777" w:rsidR="003A5E7B" w:rsidRPr="008D3A67" w:rsidRDefault="003A5E7B" w:rsidP="00947E0C">
            <w:pPr>
              <w:autoSpaceDE w:val="0"/>
              <w:autoSpaceDN w:val="0"/>
              <w:adjustRightInd w:val="0"/>
              <w:spacing w:line="276" w:lineRule="auto"/>
              <w:rPr>
                <w:rFonts w:eastAsia="Calibri" w:cs="Arial"/>
                <w:color w:val="0069B4"/>
                <w:szCs w:val="24"/>
              </w:rPr>
            </w:pPr>
            <w:r w:rsidRPr="008D3A67">
              <w:rPr>
                <w:rFonts w:eastAsia="Calibri" w:cs="Arial"/>
                <w:color w:val="0069B4"/>
                <w:szCs w:val="24"/>
              </w:rPr>
              <w:t>Dick Schiethart</w:t>
            </w:r>
          </w:p>
          <w:p w14:paraId="7936C600" w14:textId="77777777" w:rsidR="003A5E7B" w:rsidRPr="008D3A67" w:rsidRDefault="003A5E7B" w:rsidP="00947E0C">
            <w:pPr>
              <w:autoSpaceDE w:val="0"/>
              <w:autoSpaceDN w:val="0"/>
              <w:adjustRightInd w:val="0"/>
              <w:spacing w:line="276" w:lineRule="auto"/>
              <w:rPr>
                <w:rFonts w:eastAsia="Calibri" w:cs="Arial"/>
                <w:color w:val="0069B4"/>
                <w:szCs w:val="24"/>
              </w:rPr>
            </w:pPr>
          </w:p>
        </w:tc>
        <w:tc>
          <w:tcPr>
            <w:tcW w:w="4675" w:type="dxa"/>
          </w:tcPr>
          <w:p w14:paraId="7936C601" w14:textId="77777777" w:rsidR="003A5E7B" w:rsidRPr="008D3A67" w:rsidRDefault="003A5E7B" w:rsidP="00947E0C">
            <w:pPr>
              <w:autoSpaceDE w:val="0"/>
              <w:autoSpaceDN w:val="0"/>
              <w:adjustRightInd w:val="0"/>
              <w:spacing w:line="276" w:lineRule="auto"/>
              <w:rPr>
                <w:rFonts w:eastAsia="Calibri" w:cs="Arial"/>
                <w:color w:val="0069B4"/>
                <w:szCs w:val="24"/>
              </w:rPr>
            </w:pPr>
            <w:r w:rsidRPr="008D3A67">
              <w:rPr>
                <w:rFonts w:eastAsia="Calibri" w:cs="Arial"/>
                <w:color w:val="0069B4"/>
                <w:szCs w:val="24"/>
              </w:rPr>
              <w:t>Jan Willem Weidema</w:t>
            </w:r>
          </w:p>
        </w:tc>
      </w:tr>
      <w:tr w:rsidR="003A5E7B" w:rsidRPr="008D3A67" w14:paraId="7936C605" w14:textId="77777777" w:rsidTr="00947E0C">
        <w:tc>
          <w:tcPr>
            <w:tcW w:w="4675" w:type="dxa"/>
          </w:tcPr>
          <w:p w14:paraId="7936C603" w14:textId="77777777" w:rsidR="003A5E7B" w:rsidRPr="008D3A67" w:rsidRDefault="003A5E7B" w:rsidP="00947E0C">
            <w:pPr>
              <w:autoSpaceDE w:val="0"/>
              <w:autoSpaceDN w:val="0"/>
              <w:adjustRightInd w:val="0"/>
              <w:spacing w:line="276" w:lineRule="auto"/>
              <w:rPr>
                <w:rFonts w:eastAsia="Calibri" w:cs="Arial"/>
                <w:color w:val="1D1D1D"/>
                <w:szCs w:val="24"/>
              </w:rPr>
            </w:pPr>
            <w:r w:rsidRPr="008D3A67">
              <w:rPr>
                <w:rFonts w:eastAsia="Calibri" w:cs="Arial"/>
                <w:color w:val="1D1D1D"/>
                <w:szCs w:val="24"/>
              </w:rPr>
              <w:t>+31(0) 70 344 8821</w:t>
            </w:r>
          </w:p>
        </w:tc>
        <w:tc>
          <w:tcPr>
            <w:tcW w:w="4675" w:type="dxa"/>
          </w:tcPr>
          <w:p w14:paraId="7936C604" w14:textId="77777777" w:rsidR="003A5E7B" w:rsidRPr="008D3A67" w:rsidRDefault="003A5E7B" w:rsidP="00947E0C">
            <w:pPr>
              <w:autoSpaceDE w:val="0"/>
              <w:autoSpaceDN w:val="0"/>
              <w:adjustRightInd w:val="0"/>
              <w:spacing w:line="276" w:lineRule="auto"/>
              <w:rPr>
                <w:rFonts w:eastAsia="Calibri" w:cs="Arial"/>
                <w:color w:val="1D1D1D"/>
                <w:szCs w:val="24"/>
              </w:rPr>
            </w:pPr>
            <w:r w:rsidRPr="008D3A67">
              <w:rPr>
                <w:rFonts w:eastAsia="Calibri" w:cs="Arial"/>
                <w:color w:val="1D1D1D"/>
                <w:szCs w:val="24"/>
              </w:rPr>
              <w:t>+31(0) 70 344 8028</w:t>
            </w:r>
          </w:p>
        </w:tc>
      </w:tr>
      <w:tr w:rsidR="003A5E7B" w:rsidRPr="008D3A67" w14:paraId="7936C608" w14:textId="77777777" w:rsidTr="00947E0C">
        <w:tc>
          <w:tcPr>
            <w:tcW w:w="4675" w:type="dxa"/>
          </w:tcPr>
          <w:p w14:paraId="7936C606" w14:textId="77777777" w:rsidR="003A5E7B" w:rsidRPr="008D3A67" w:rsidRDefault="00566995" w:rsidP="00947E0C">
            <w:pPr>
              <w:autoSpaceDE w:val="0"/>
              <w:autoSpaceDN w:val="0"/>
              <w:adjustRightInd w:val="0"/>
              <w:spacing w:line="276" w:lineRule="auto"/>
              <w:rPr>
                <w:rFonts w:eastAsia="Calibri" w:cs="Arial"/>
                <w:color w:val="0069B4"/>
                <w:szCs w:val="24"/>
              </w:rPr>
            </w:pPr>
            <w:hyperlink r:id="rId12" w:history="1">
              <w:r w:rsidR="003A5E7B" w:rsidRPr="008D3A67">
                <w:rPr>
                  <w:rStyle w:val="Hyperlink"/>
                  <w:rFonts w:ascii="Arial" w:eastAsia="Calibri" w:hAnsi="Arial" w:cs="Arial"/>
                  <w:color w:val="0069B4"/>
                  <w:szCs w:val="24"/>
                </w:rPr>
                <w:t>dick.schiethart@aegon.com</w:t>
              </w:r>
            </w:hyperlink>
          </w:p>
        </w:tc>
        <w:tc>
          <w:tcPr>
            <w:tcW w:w="4675" w:type="dxa"/>
          </w:tcPr>
          <w:p w14:paraId="7936C607" w14:textId="77777777" w:rsidR="003A5E7B" w:rsidRPr="008D3A67" w:rsidRDefault="00566995" w:rsidP="00947E0C">
            <w:pPr>
              <w:autoSpaceDE w:val="0"/>
              <w:autoSpaceDN w:val="0"/>
              <w:adjustRightInd w:val="0"/>
              <w:spacing w:line="276" w:lineRule="auto"/>
              <w:rPr>
                <w:rFonts w:eastAsia="Calibri" w:cs="Arial"/>
                <w:color w:val="0069B4"/>
                <w:szCs w:val="24"/>
              </w:rPr>
            </w:pPr>
            <w:hyperlink r:id="rId13" w:history="1">
              <w:r w:rsidR="003A5E7B" w:rsidRPr="008D3A67">
                <w:rPr>
                  <w:rStyle w:val="Hyperlink"/>
                  <w:rFonts w:ascii="Arial" w:eastAsia="Calibri" w:hAnsi="Arial" w:cs="Arial"/>
                  <w:color w:val="0069B4"/>
                  <w:szCs w:val="24"/>
                </w:rPr>
                <w:t>janwillem.weidema@aegon.com</w:t>
              </w:r>
            </w:hyperlink>
          </w:p>
        </w:tc>
      </w:tr>
    </w:tbl>
    <w:p w14:paraId="2AC718F3" w14:textId="77777777" w:rsidR="00484BCB" w:rsidRDefault="00484BCB" w:rsidP="003C7D0F">
      <w:pPr>
        <w:autoSpaceDE w:val="0"/>
        <w:autoSpaceDN w:val="0"/>
        <w:adjustRightInd w:val="0"/>
        <w:spacing w:after="0" w:line="276" w:lineRule="auto"/>
        <w:rPr>
          <w:rFonts w:eastAsia="Calibri" w:cs="Arial"/>
          <w:color w:val="1D1D1D"/>
          <w:szCs w:val="24"/>
        </w:rPr>
        <w:sectPr w:rsidR="00484BCB" w:rsidSect="00BF0997">
          <w:headerReference w:type="default" r:id="rId14"/>
          <w:footerReference w:type="default" r:id="rId15"/>
          <w:pgSz w:w="12240" w:h="15840"/>
          <w:pgMar w:top="1440" w:right="1440" w:bottom="1440" w:left="1440" w:header="360" w:footer="0" w:gutter="0"/>
          <w:cols w:space="720"/>
          <w:docGrid w:linePitch="360"/>
        </w:sectPr>
      </w:pPr>
    </w:p>
    <w:p w14:paraId="62A4D6B3" w14:textId="77777777" w:rsidR="00A506E1" w:rsidRPr="008A2778" w:rsidRDefault="00A506E1" w:rsidP="00A506E1">
      <w:pPr>
        <w:pStyle w:val="Headingtext"/>
        <w:spacing w:line="276" w:lineRule="auto"/>
        <w:rPr>
          <w:rFonts w:ascii="Verdana" w:hAnsi="Verdana" w:cs="Arial"/>
          <w:color w:val="auto"/>
          <w:sz w:val="13"/>
          <w:szCs w:val="13"/>
          <w:lang w:val="en-GB"/>
        </w:rPr>
      </w:pPr>
      <w:r w:rsidRPr="008A2778">
        <w:rPr>
          <w:rFonts w:ascii="Verdana" w:hAnsi="Verdana" w:cs="Arial"/>
          <w:color w:val="auto"/>
          <w:sz w:val="13"/>
          <w:szCs w:val="13"/>
          <w:lang w:val="en-GB"/>
        </w:rPr>
        <w:lastRenderedPageBreak/>
        <w:t>Forward-looking statements</w:t>
      </w:r>
    </w:p>
    <w:p w14:paraId="68CD779A" w14:textId="77777777" w:rsidR="00A506E1" w:rsidRPr="008A2778" w:rsidRDefault="00A506E1" w:rsidP="00A506E1">
      <w:pPr>
        <w:spacing w:after="0" w:line="240" w:lineRule="auto"/>
        <w:rPr>
          <w:rFonts w:ascii="Verdana" w:hAnsi="Verdana" w:cs="Arial"/>
          <w:sz w:val="13"/>
          <w:szCs w:val="13"/>
          <w:lang w:val="en-GB"/>
        </w:rPr>
      </w:pPr>
      <w:r w:rsidRPr="00107A26">
        <w:rPr>
          <w:rFonts w:ascii="Verdana" w:hAnsi="Verdana" w:cs="Arial"/>
          <w:sz w:val="13"/>
          <w:szCs w:val="13"/>
          <w:lang w:val="en-GB"/>
        </w:rPr>
        <w:t>The statements contained in this document that are not historical facts are forward-looking statements as defined in the US Private Securitie</w:t>
      </w:r>
      <w:r>
        <w:rPr>
          <w:rFonts w:ascii="Verdana" w:hAnsi="Verdana" w:cs="Arial"/>
          <w:sz w:val="13"/>
          <w:szCs w:val="13"/>
          <w:lang w:val="en-GB"/>
        </w:rPr>
        <w:t>s Litigation Reform Act of 1995.</w:t>
      </w:r>
      <w:r w:rsidRPr="008A2778">
        <w:rPr>
          <w:rFonts w:ascii="Verdana" w:hAnsi="Verdana" w:cs="Arial"/>
          <w:sz w:val="13"/>
          <w:szCs w:val="13"/>
          <w:lang w:val="en-GB"/>
        </w:rPr>
        <w:t xml:space="preserve"> The following are words that identify such forward-looking statements: aim, believe, estimate, target, intend, may, expect, anticipate, predict, project, counting on, plan, continue, want, forecast, goal, should, would, </w:t>
      </w:r>
      <w:r>
        <w:rPr>
          <w:rFonts w:ascii="Verdana" w:hAnsi="Verdana" w:cs="Arial"/>
          <w:sz w:val="13"/>
          <w:szCs w:val="13"/>
          <w:lang w:val="en-GB"/>
        </w:rPr>
        <w:t xml:space="preserve">could, </w:t>
      </w:r>
      <w:r w:rsidRPr="008A2778">
        <w:rPr>
          <w:rFonts w:ascii="Verdana" w:hAnsi="Verdana" w:cs="Arial"/>
          <w:sz w:val="13"/>
          <w:szCs w:val="13"/>
          <w:lang w:val="en-GB"/>
        </w:rPr>
        <w:t>is confident, will, and similar expressions as they relate to Aegon. These statements are not guarantees of future performance and involve risks, uncertainties and assumptions that are difficult to predict. Aegon undertakes no obligation to publicly update or revise any forward-looking statements. Readers are cautioned not to place undue reliance on these forward-looking statements, which merely reflect company expectations at the time of writing. Actual results may differ materially from expectations conveyed in forward-looking statements due to changes caused by various risks and uncertainties. Such risks and uncertainties include but are not limited to the following:</w:t>
      </w:r>
    </w:p>
    <w:p w14:paraId="2D724256"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 xml:space="preserve">Changes in general economic </w:t>
      </w:r>
      <w:r>
        <w:rPr>
          <w:rFonts w:ascii="Verdana" w:hAnsi="Verdana" w:cs="Arial"/>
          <w:noProof w:val="0"/>
          <w:sz w:val="13"/>
          <w:szCs w:val="13"/>
          <w:lang w:val="en-GB"/>
        </w:rPr>
        <w:t xml:space="preserve">and/or governmental </w:t>
      </w:r>
      <w:r w:rsidRPr="008A2778">
        <w:rPr>
          <w:rFonts w:ascii="Verdana" w:hAnsi="Verdana" w:cs="Arial"/>
          <w:noProof w:val="0"/>
          <w:sz w:val="13"/>
          <w:szCs w:val="13"/>
          <w:lang w:val="en-GB"/>
        </w:rPr>
        <w:t>conditions, particularly in the United States, the Netherlands and the United Kingdom;</w:t>
      </w:r>
    </w:p>
    <w:p w14:paraId="1367AC98"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Changes in the performance of financial markets, including emerging markets, such as with regard to:</w:t>
      </w:r>
    </w:p>
    <w:p w14:paraId="0B550469" w14:textId="77777777" w:rsidR="00A506E1" w:rsidRPr="008A2778" w:rsidRDefault="00A506E1" w:rsidP="00A506E1">
      <w:pPr>
        <w:pStyle w:val="ListParagraph"/>
        <w:numPr>
          <w:ilvl w:val="0"/>
          <w:numId w:val="7"/>
        </w:numPr>
        <w:spacing w:after="0"/>
        <w:rPr>
          <w:rFonts w:ascii="Verdana" w:hAnsi="Verdana" w:cs="Arial"/>
          <w:noProof w:val="0"/>
          <w:sz w:val="13"/>
          <w:szCs w:val="13"/>
          <w:lang w:val="en-GB"/>
        </w:rPr>
      </w:pPr>
      <w:r w:rsidRPr="008A2778">
        <w:rPr>
          <w:rFonts w:ascii="Verdana" w:hAnsi="Verdana" w:cs="Arial"/>
          <w:noProof w:val="0"/>
          <w:sz w:val="13"/>
          <w:szCs w:val="13"/>
          <w:lang w:val="en-GB"/>
        </w:rPr>
        <w:t xml:space="preserve">The frequency and severity of defaults by issuers in Aegon’s fixed income investment portfolios; </w:t>
      </w:r>
    </w:p>
    <w:p w14:paraId="5796E4AB" w14:textId="77777777" w:rsidR="00A506E1" w:rsidRPr="008A2778" w:rsidRDefault="00A506E1" w:rsidP="00A506E1">
      <w:pPr>
        <w:pStyle w:val="ListParagraph"/>
        <w:numPr>
          <w:ilvl w:val="0"/>
          <w:numId w:val="7"/>
        </w:numPr>
        <w:spacing w:after="0"/>
        <w:rPr>
          <w:rFonts w:ascii="Verdana" w:hAnsi="Verdana" w:cs="Arial"/>
          <w:noProof w:val="0"/>
          <w:sz w:val="13"/>
          <w:szCs w:val="13"/>
          <w:lang w:val="en-GB"/>
        </w:rPr>
      </w:pPr>
      <w:r w:rsidRPr="008A2778">
        <w:rPr>
          <w:rFonts w:ascii="Verdana" w:hAnsi="Verdana" w:cs="Arial"/>
          <w:noProof w:val="0"/>
          <w:sz w:val="13"/>
          <w:szCs w:val="13"/>
          <w:lang w:val="en-GB"/>
        </w:rPr>
        <w:t>The effects of corporate bankruptcies and/or accounting restatements on the financial markets and the resulting decline in the value of equity and debt securities Aegon holds; and</w:t>
      </w:r>
    </w:p>
    <w:p w14:paraId="52CF5A9F" w14:textId="77777777" w:rsidR="00A506E1" w:rsidRPr="008A2778" w:rsidRDefault="00A506E1" w:rsidP="00A506E1">
      <w:pPr>
        <w:pStyle w:val="ListParagraph"/>
        <w:numPr>
          <w:ilvl w:val="0"/>
          <w:numId w:val="7"/>
        </w:numPr>
        <w:spacing w:after="0"/>
        <w:rPr>
          <w:rFonts w:ascii="Verdana" w:hAnsi="Verdana" w:cs="Arial"/>
          <w:noProof w:val="0"/>
          <w:sz w:val="13"/>
          <w:szCs w:val="13"/>
          <w:lang w:val="en-GB"/>
        </w:rPr>
      </w:pPr>
      <w:r w:rsidRPr="008A2778">
        <w:rPr>
          <w:rFonts w:ascii="Verdana" w:hAnsi="Verdana" w:cs="Arial"/>
          <w:noProof w:val="0"/>
          <w:sz w:val="13"/>
          <w:szCs w:val="13"/>
          <w:lang w:val="en-GB"/>
        </w:rPr>
        <w:t xml:space="preserve">The effects of declining creditworthiness of certain </w:t>
      </w:r>
      <w:r>
        <w:rPr>
          <w:rFonts w:ascii="Verdana" w:hAnsi="Verdana" w:cs="Arial"/>
          <w:noProof w:val="0"/>
          <w:sz w:val="13"/>
          <w:szCs w:val="13"/>
          <w:lang w:val="en-GB"/>
        </w:rPr>
        <w:t>public</w:t>
      </w:r>
      <w:r w:rsidRPr="008A2778">
        <w:rPr>
          <w:rFonts w:ascii="Verdana" w:hAnsi="Verdana" w:cs="Arial"/>
          <w:noProof w:val="0"/>
          <w:sz w:val="13"/>
          <w:szCs w:val="13"/>
          <w:lang w:val="en-GB"/>
        </w:rPr>
        <w:t xml:space="preserve"> sector securities and the resulting decline in the value of </w:t>
      </w:r>
      <w:r>
        <w:rPr>
          <w:rFonts w:ascii="Verdana" w:hAnsi="Verdana" w:cs="Arial"/>
          <w:noProof w:val="0"/>
          <w:sz w:val="13"/>
          <w:szCs w:val="13"/>
          <w:lang w:val="en-GB"/>
        </w:rPr>
        <w:t>government</w:t>
      </w:r>
      <w:r w:rsidRPr="008A2778">
        <w:rPr>
          <w:rFonts w:ascii="Verdana" w:hAnsi="Verdana" w:cs="Arial"/>
          <w:noProof w:val="0"/>
          <w:sz w:val="13"/>
          <w:szCs w:val="13"/>
          <w:lang w:val="en-GB"/>
        </w:rPr>
        <w:t xml:space="preserve"> exposure that Aegon holds;</w:t>
      </w:r>
    </w:p>
    <w:p w14:paraId="77D4722E"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Changes in the performance of Aegon’s investment portfolio and decline in ratings of Aegon’s counterparties;</w:t>
      </w:r>
    </w:p>
    <w:p w14:paraId="2C2D488C"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Lowering of one or more of Aegon’s debt ratings issued by recognized rating organizations and the adverse impact such action may have on Aegon’s ability to raise capital and on its liquidity and financial condition;</w:t>
      </w:r>
    </w:p>
    <w:p w14:paraId="6044E3D2"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 xml:space="preserve">Lowering of one or more of insurer financial strength ratings of Aegon’s insurance subsidiaries and the adverse impact such action may have on the </w:t>
      </w:r>
      <w:r>
        <w:rPr>
          <w:rFonts w:ascii="Verdana" w:hAnsi="Verdana" w:cs="Arial"/>
          <w:noProof w:val="0"/>
          <w:sz w:val="13"/>
          <w:szCs w:val="13"/>
          <w:lang w:val="en-GB"/>
        </w:rPr>
        <w:t>written premium</w:t>
      </w:r>
      <w:r w:rsidRPr="008A2778">
        <w:rPr>
          <w:rFonts w:ascii="Verdana" w:hAnsi="Verdana" w:cs="Arial"/>
          <w:noProof w:val="0"/>
          <w:sz w:val="13"/>
          <w:szCs w:val="13"/>
          <w:lang w:val="en-GB"/>
        </w:rPr>
        <w:t>, policy retention, profitability and liquidity of its insurance subsidiaries;</w:t>
      </w:r>
    </w:p>
    <w:p w14:paraId="4DE4DBA3"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The effect of the European Union’s Solvency II requirements and other regulations in other jurisdictions affecting the capital Aegon is required to maintain;</w:t>
      </w:r>
    </w:p>
    <w:p w14:paraId="5FCAC8B7"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C</w:t>
      </w:r>
      <w:r w:rsidRPr="008A2778">
        <w:rPr>
          <w:rFonts w:ascii="Verdana" w:hAnsi="Verdana" w:cs="Arial"/>
          <w:sz w:val="13"/>
          <w:szCs w:val="13"/>
          <w:lang w:val="en-GB"/>
        </w:rPr>
        <w:t>hanges affecting interest rate levels and continuing low or rapidly changing interest rate levels;</w:t>
      </w:r>
    </w:p>
    <w:p w14:paraId="0182FFC8"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Changes affecting currency exchange rates, in particular the EUR/USD and EUR/GBP exchange rates;</w:t>
      </w:r>
    </w:p>
    <w:p w14:paraId="199B5355"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Changes in the availability of, and costs associated with, liquidity sources such as bank and capital markets funding, as well as conditions in the credit markets in general such as changes in borrower and counterparty creditworthiness;</w:t>
      </w:r>
    </w:p>
    <w:p w14:paraId="76D895C8"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Increasing levels of competition in the United States, the Netherlands, the United Kingdom and emerging markets;</w:t>
      </w:r>
    </w:p>
    <w:p w14:paraId="6DF6FDF2"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 xml:space="preserve">Catastrophic events, either manmade or by nature, </w:t>
      </w:r>
      <w:r>
        <w:rPr>
          <w:rFonts w:ascii="Verdana" w:hAnsi="Verdana" w:cs="Arial"/>
          <w:noProof w:val="0"/>
          <w:sz w:val="13"/>
          <w:szCs w:val="13"/>
          <w:lang w:val="en-GB"/>
        </w:rPr>
        <w:t xml:space="preserve">including by way of example acts of God, acts of terrorism, acts of war and pandemics, </w:t>
      </w:r>
      <w:r w:rsidRPr="008A2778">
        <w:rPr>
          <w:rFonts w:ascii="Verdana" w:hAnsi="Verdana" w:cs="Arial"/>
          <w:noProof w:val="0"/>
          <w:sz w:val="13"/>
          <w:szCs w:val="13"/>
          <w:lang w:val="en-GB"/>
        </w:rPr>
        <w:t>could result in material losses and significantly interrupt Aegon’s business</w:t>
      </w:r>
      <w:r>
        <w:rPr>
          <w:rFonts w:ascii="Verdana" w:hAnsi="Verdana" w:cs="Arial"/>
          <w:noProof w:val="0"/>
          <w:sz w:val="13"/>
          <w:szCs w:val="13"/>
          <w:lang w:val="en-GB"/>
        </w:rPr>
        <w:t>;</w:t>
      </w:r>
    </w:p>
    <w:p w14:paraId="37791EE1"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The frequency and severity of insured loss events;</w:t>
      </w:r>
    </w:p>
    <w:p w14:paraId="3CA28238"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Changes affecting longevity, mortality, morbidity, persistence and other factors that may impact the profitability of Aegon’s insurance products;</w:t>
      </w:r>
    </w:p>
    <w:p w14:paraId="416A6813" w14:textId="77777777" w:rsidR="00A506E1" w:rsidRDefault="00A506E1" w:rsidP="00A506E1">
      <w:pPr>
        <w:pStyle w:val="ListParagraph"/>
        <w:numPr>
          <w:ilvl w:val="0"/>
          <w:numId w:val="2"/>
        </w:numPr>
        <w:spacing w:after="0"/>
        <w:ind w:left="284" w:hanging="284"/>
        <w:rPr>
          <w:rFonts w:ascii="Verdana" w:hAnsi="Verdana" w:cs="Arial"/>
          <w:noProof w:val="0"/>
          <w:sz w:val="13"/>
          <w:szCs w:val="13"/>
          <w:lang w:val="en-GB"/>
        </w:rPr>
      </w:pPr>
      <w:r w:rsidRPr="00D32394">
        <w:rPr>
          <w:rFonts w:ascii="Verdana" w:hAnsi="Verdana" w:cs="Arial"/>
          <w:noProof w:val="0"/>
          <w:sz w:val="13"/>
          <w:szCs w:val="13"/>
          <w:lang w:val="en-GB"/>
        </w:rPr>
        <w:t xml:space="preserve">Aegon’s projected results are highly sensitive to complex mathematical models of financial markets, mortality, longevity, and other dynamic systems subject to shocks and unpredictable volatility. </w:t>
      </w:r>
      <w:r w:rsidRPr="00D32394">
        <w:rPr>
          <w:rFonts w:ascii="Verdana" w:hAnsi="Verdana" w:cs="Arial"/>
          <w:sz w:val="13"/>
          <w:szCs w:val="13"/>
          <w:lang w:val="en-GB"/>
        </w:rPr>
        <w:t>Should assumptions to these models later prove incorrect, or should errors in those models escape the controls in place to detect them, future performance will vary from projected results</w:t>
      </w:r>
      <w:r>
        <w:rPr>
          <w:rFonts w:ascii="Verdana" w:hAnsi="Verdana" w:cs="Arial"/>
          <w:sz w:val="13"/>
          <w:szCs w:val="13"/>
          <w:lang w:val="en-GB"/>
        </w:rPr>
        <w:t>;</w:t>
      </w:r>
    </w:p>
    <w:p w14:paraId="2A27708E"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Reinsurers to whom Aegon has ceded significant underwriting risks may fail to meet their obligations;</w:t>
      </w:r>
    </w:p>
    <w:p w14:paraId="4615AE49" w14:textId="77777777" w:rsidR="00A506E1" w:rsidRPr="008A2778" w:rsidRDefault="00A506E1" w:rsidP="00A506E1">
      <w:pPr>
        <w:pStyle w:val="ListParagraph"/>
        <w:numPr>
          <w:ilvl w:val="0"/>
          <w:numId w:val="2"/>
        </w:numPr>
        <w:spacing w:after="0"/>
        <w:ind w:left="284" w:hanging="284"/>
        <w:rPr>
          <w:rFonts w:ascii="Verdana" w:hAnsi="Verdana"/>
          <w:sz w:val="13"/>
          <w:szCs w:val="13"/>
          <w:lang w:val="en-GB"/>
        </w:rPr>
      </w:pPr>
      <w:r w:rsidRPr="008A2778">
        <w:rPr>
          <w:rFonts w:ascii="Verdana" w:hAnsi="Verdana"/>
          <w:sz w:val="13"/>
          <w:szCs w:val="13"/>
          <w:lang w:val="en-GB"/>
        </w:rPr>
        <w:t>Changes in customer behavior and public opinion in general related to, among other things, the type of products Aegon sells, including legal, regulatory or commercial necessity to meet changing customer expectations;</w:t>
      </w:r>
    </w:p>
    <w:p w14:paraId="48CBF0EC"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Customer responsiveness to both new products and distribution channels;</w:t>
      </w:r>
    </w:p>
    <w:p w14:paraId="52E675BC"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 xml:space="preserve">As Aegon’s operations support complex transactions and are highly dependent on the proper functioning of information technology, </w:t>
      </w:r>
      <w:r>
        <w:rPr>
          <w:rFonts w:ascii="Verdana" w:hAnsi="Verdana" w:cs="Arial"/>
          <w:noProof w:val="0"/>
          <w:sz w:val="13"/>
          <w:szCs w:val="13"/>
          <w:lang w:val="en-GB"/>
        </w:rPr>
        <w:t xml:space="preserve">operational risks such as </w:t>
      </w:r>
      <w:r w:rsidRPr="008A2778">
        <w:rPr>
          <w:rFonts w:ascii="Verdana" w:hAnsi="Verdana" w:cs="Arial"/>
          <w:noProof w:val="0"/>
          <w:sz w:val="13"/>
          <w:szCs w:val="13"/>
          <w:lang w:val="en-GB"/>
        </w:rPr>
        <w:t>system</w:t>
      </w:r>
      <w:r>
        <w:rPr>
          <w:rFonts w:ascii="Verdana" w:hAnsi="Verdana" w:cs="Arial"/>
          <w:noProof w:val="0"/>
          <w:sz w:val="13"/>
          <w:szCs w:val="13"/>
          <w:lang w:val="en-GB"/>
        </w:rPr>
        <w:t xml:space="preserve"> disruptions or</w:t>
      </w:r>
      <w:r w:rsidRPr="008A2778">
        <w:rPr>
          <w:rFonts w:ascii="Verdana" w:hAnsi="Verdana" w:cs="Arial"/>
          <w:noProof w:val="0"/>
          <w:sz w:val="13"/>
          <w:szCs w:val="13"/>
          <w:lang w:val="en-GB"/>
        </w:rPr>
        <w:t xml:space="preserve"> failure</w:t>
      </w:r>
      <w:r>
        <w:rPr>
          <w:rFonts w:ascii="Verdana" w:hAnsi="Verdana" w:cs="Arial"/>
          <w:noProof w:val="0"/>
          <w:sz w:val="13"/>
          <w:szCs w:val="13"/>
          <w:lang w:val="en-GB"/>
        </w:rPr>
        <w:t xml:space="preserve">s, </w:t>
      </w:r>
      <w:r w:rsidRPr="008A2778">
        <w:rPr>
          <w:rFonts w:ascii="Verdana" w:hAnsi="Verdana" w:cs="Arial"/>
          <w:noProof w:val="0"/>
          <w:sz w:val="13"/>
          <w:szCs w:val="13"/>
          <w:lang w:val="en-GB"/>
        </w:rPr>
        <w:t xml:space="preserve"> security </w:t>
      </w:r>
      <w:r>
        <w:rPr>
          <w:rFonts w:ascii="Verdana" w:hAnsi="Verdana" w:cs="Arial"/>
          <w:noProof w:val="0"/>
          <w:sz w:val="13"/>
          <w:szCs w:val="13"/>
          <w:lang w:val="en-GB"/>
        </w:rPr>
        <w:t xml:space="preserve">or data privacy </w:t>
      </w:r>
      <w:r w:rsidRPr="008A2778">
        <w:rPr>
          <w:rFonts w:ascii="Verdana" w:hAnsi="Verdana" w:cs="Arial"/>
          <w:noProof w:val="0"/>
          <w:sz w:val="13"/>
          <w:szCs w:val="13"/>
          <w:lang w:val="en-GB"/>
        </w:rPr>
        <w:t>breach</w:t>
      </w:r>
      <w:r>
        <w:rPr>
          <w:rFonts w:ascii="Verdana" w:hAnsi="Verdana" w:cs="Arial"/>
          <w:noProof w:val="0"/>
          <w:sz w:val="13"/>
          <w:szCs w:val="13"/>
          <w:lang w:val="en-GB"/>
        </w:rPr>
        <w:t>es, cyberattacks, human error, failure to safeguard personally identifiable information, changes in operational practices or inadequate controls including with respect to third parties with which we do business</w:t>
      </w:r>
      <w:r w:rsidRPr="008A2778">
        <w:rPr>
          <w:rFonts w:ascii="Verdana" w:hAnsi="Verdana" w:cs="Arial"/>
          <w:noProof w:val="0"/>
          <w:sz w:val="13"/>
          <w:szCs w:val="13"/>
          <w:lang w:val="en-GB"/>
        </w:rPr>
        <w:t xml:space="preserve"> may disrupt Aegon’s business, damage its reputation and adversely affect its results of operations, financial condition and cash flows;</w:t>
      </w:r>
    </w:p>
    <w:p w14:paraId="6E3F8BA1" w14:textId="77777777" w:rsidR="00A506E1" w:rsidRPr="00D32394" w:rsidRDefault="00A506E1" w:rsidP="00A506E1">
      <w:pPr>
        <w:pStyle w:val="ListParagraph"/>
        <w:numPr>
          <w:ilvl w:val="0"/>
          <w:numId w:val="2"/>
        </w:numPr>
        <w:spacing w:after="0"/>
        <w:ind w:left="284" w:hanging="284"/>
        <w:rPr>
          <w:rFonts w:ascii="Verdana" w:hAnsi="Verdana" w:cs="Arial"/>
          <w:noProof w:val="0"/>
          <w:sz w:val="13"/>
          <w:szCs w:val="13"/>
          <w:lang w:val="en-GB"/>
        </w:rPr>
      </w:pPr>
      <w:r w:rsidRPr="00D32394">
        <w:rPr>
          <w:rFonts w:ascii="Verdana" w:hAnsi="Verdana" w:cs="Arial"/>
          <w:noProof w:val="0"/>
          <w:sz w:val="13"/>
          <w:szCs w:val="13"/>
          <w:lang w:val="en-GB"/>
        </w:rPr>
        <w:t xml:space="preserve">The impact of acquisitions and divestitures, restructurings, product withdrawals and other unusual items, including Aegon’s ability to integrate acquisitions and to obtain the anticipated results and synergies from acquisitions; </w:t>
      </w:r>
    </w:p>
    <w:p w14:paraId="16DC93A1" w14:textId="77777777" w:rsidR="00A506E1" w:rsidRDefault="00A506E1" w:rsidP="00A506E1">
      <w:pPr>
        <w:pStyle w:val="ListParagraph"/>
        <w:numPr>
          <w:ilvl w:val="0"/>
          <w:numId w:val="2"/>
        </w:numPr>
        <w:spacing w:after="0"/>
        <w:ind w:left="284" w:hanging="284"/>
        <w:rPr>
          <w:rFonts w:ascii="Verdana" w:hAnsi="Verdana" w:cs="Arial"/>
          <w:noProof w:val="0"/>
          <w:sz w:val="13"/>
          <w:szCs w:val="13"/>
          <w:lang w:val="en-GB"/>
        </w:rPr>
      </w:pPr>
      <w:r w:rsidRPr="00B332DD">
        <w:rPr>
          <w:rFonts w:ascii="Verdana" w:hAnsi="Verdana" w:cs="Arial"/>
          <w:noProof w:val="0"/>
          <w:sz w:val="13"/>
          <w:szCs w:val="13"/>
          <w:lang w:val="en-GB"/>
        </w:rPr>
        <w:t>Aegon’s failure to achieve anticipated levels of earnings or operational efficiencies</w:t>
      </w:r>
      <w:r>
        <w:rPr>
          <w:rFonts w:ascii="Verdana" w:hAnsi="Verdana" w:cs="Arial"/>
          <w:noProof w:val="0"/>
          <w:sz w:val="13"/>
          <w:szCs w:val="13"/>
          <w:lang w:val="en-GB"/>
        </w:rPr>
        <w:t>,</w:t>
      </w:r>
      <w:r w:rsidRPr="00B332DD">
        <w:rPr>
          <w:rFonts w:ascii="Verdana" w:hAnsi="Verdana" w:cs="Arial"/>
          <w:noProof w:val="0"/>
          <w:sz w:val="13"/>
          <w:szCs w:val="13"/>
          <w:lang w:val="en-GB"/>
        </w:rPr>
        <w:t xml:space="preserve"> as well as other </w:t>
      </w:r>
      <w:r w:rsidRPr="00E07885">
        <w:rPr>
          <w:rFonts w:ascii="Verdana" w:hAnsi="Verdana" w:cs="Arial"/>
          <w:noProof w:val="0"/>
          <w:sz w:val="13"/>
          <w:szCs w:val="13"/>
          <w:lang w:val="en-GB"/>
        </w:rPr>
        <w:t>management</w:t>
      </w:r>
      <w:r w:rsidRPr="00B332DD">
        <w:rPr>
          <w:rFonts w:ascii="Verdana" w:hAnsi="Verdana" w:cs="Arial"/>
          <w:noProof w:val="0"/>
          <w:sz w:val="13"/>
          <w:szCs w:val="13"/>
          <w:lang w:val="en-GB"/>
        </w:rPr>
        <w:t xml:space="preserve"> initiatives </w:t>
      </w:r>
      <w:r>
        <w:rPr>
          <w:rFonts w:ascii="Verdana" w:hAnsi="Verdana" w:cs="Arial"/>
          <w:noProof w:val="0"/>
          <w:sz w:val="13"/>
          <w:szCs w:val="13"/>
          <w:lang w:val="en-GB"/>
        </w:rPr>
        <w:t xml:space="preserve">related to </w:t>
      </w:r>
      <w:r w:rsidRPr="00B332DD">
        <w:rPr>
          <w:rFonts w:ascii="Verdana" w:hAnsi="Verdana" w:cs="Arial"/>
          <w:noProof w:val="0"/>
          <w:sz w:val="13"/>
          <w:szCs w:val="13"/>
          <w:lang w:val="en-GB"/>
        </w:rPr>
        <w:t>cost saving</w:t>
      </w:r>
      <w:r>
        <w:rPr>
          <w:rFonts w:ascii="Verdana" w:hAnsi="Verdana" w:cs="Arial"/>
          <w:noProof w:val="0"/>
          <w:sz w:val="13"/>
          <w:szCs w:val="13"/>
          <w:lang w:val="en-GB"/>
        </w:rPr>
        <w:t>s,</w:t>
      </w:r>
      <w:r w:rsidRPr="00B332DD">
        <w:rPr>
          <w:rFonts w:ascii="Verdana" w:hAnsi="Verdana" w:cs="Arial"/>
          <w:noProof w:val="0"/>
          <w:sz w:val="13"/>
          <w:szCs w:val="13"/>
          <w:lang w:val="en-GB"/>
        </w:rPr>
        <w:t xml:space="preserve"> </w:t>
      </w:r>
      <w:r w:rsidRPr="008D5EE0">
        <w:rPr>
          <w:rFonts w:ascii="Verdana" w:hAnsi="Verdana" w:cs="Arial"/>
          <w:noProof w:val="0"/>
          <w:sz w:val="13"/>
          <w:szCs w:val="13"/>
          <w:lang w:val="en-GB"/>
        </w:rPr>
        <w:t>cash</w:t>
      </w:r>
      <w:r w:rsidRPr="00027BE7">
        <w:rPr>
          <w:rFonts w:ascii="Verdana" w:hAnsi="Verdana" w:cs="Arial"/>
          <w:noProof w:val="0"/>
          <w:sz w:val="13"/>
          <w:szCs w:val="13"/>
          <w:lang w:val="en-GB"/>
        </w:rPr>
        <w:t xml:space="preserve"> capital</w:t>
      </w:r>
      <w:r>
        <w:rPr>
          <w:rFonts w:ascii="Verdana" w:hAnsi="Verdana" w:cs="Arial"/>
          <w:noProof w:val="0"/>
          <w:sz w:val="13"/>
          <w:szCs w:val="13"/>
          <w:lang w:val="en-GB"/>
        </w:rPr>
        <w:t xml:space="preserve"> at Holding, gross </w:t>
      </w:r>
      <w:r w:rsidRPr="00027BE7">
        <w:rPr>
          <w:rFonts w:ascii="Verdana" w:hAnsi="Verdana" w:cs="Arial"/>
          <w:noProof w:val="0"/>
          <w:sz w:val="13"/>
          <w:szCs w:val="13"/>
          <w:lang w:val="en-GB"/>
        </w:rPr>
        <w:t xml:space="preserve">financial </w:t>
      </w:r>
      <w:r w:rsidRPr="00DF094E">
        <w:rPr>
          <w:rFonts w:ascii="Verdana" w:hAnsi="Verdana" w:cs="Arial"/>
          <w:noProof w:val="0"/>
          <w:sz w:val="13"/>
          <w:szCs w:val="13"/>
          <w:lang w:val="en-GB"/>
        </w:rPr>
        <w:t>leverage</w:t>
      </w:r>
      <w:r>
        <w:rPr>
          <w:rFonts w:ascii="Verdana" w:hAnsi="Verdana" w:cs="Arial"/>
          <w:noProof w:val="0"/>
          <w:sz w:val="13"/>
          <w:szCs w:val="13"/>
          <w:lang w:val="en-GB"/>
        </w:rPr>
        <w:t xml:space="preserve"> and free cash flow;</w:t>
      </w:r>
    </w:p>
    <w:p w14:paraId="27184FF2"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Changes in the policies of central banks and/or governments;</w:t>
      </w:r>
    </w:p>
    <w:p w14:paraId="6ABFC330"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Litigation or regulatory action that could require Aegon to pay significant damages or change the way Aegon does business;</w:t>
      </w:r>
    </w:p>
    <w:p w14:paraId="59B00531" w14:textId="77777777" w:rsidR="00A506E1" w:rsidRPr="00D14CC1" w:rsidRDefault="00A506E1" w:rsidP="00A506E1">
      <w:pPr>
        <w:pStyle w:val="ListParagraph"/>
        <w:numPr>
          <w:ilvl w:val="0"/>
          <w:numId w:val="2"/>
        </w:numPr>
        <w:spacing w:after="0"/>
        <w:ind w:left="284" w:hanging="284"/>
        <w:rPr>
          <w:rFonts w:ascii="Verdana" w:hAnsi="Verdana" w:cs="Arial"/>
          <w:noProof w:val="0"/>
          <w:sz w:val="13"/>
          <w:szCs w:val="13"/>
          <w:lang w:val="en-GB"/>
        </w:rPr>
      </w:pPr>
      <w:r w:rsidRPr="00D14CC1">
        <w:rPr>
          <w:rFonts w:ascii="Verdana" w:hAnsi="Verdana" w:cs="Arial"/>
          <w:noProof w:val="0"/>
          <w:sz w:val="13"/>
          <w:szCs w:val="13"/>
          <w:lang w:val="en-GB"/>
        </w:rPr>
        <w:t>Competitive, legal, regulatory, or tax changes that affect profitability, the distribution cost of or demand for Aegon’s products;</w:t>
      </w:r>
    </w:p>
    <w:p w14:paraId="50C41333" w14:textId="77777777" w:rsidR="00A506E1" w:rsidRPr="000E0735" w:rsidRDefault="00A506E1" w:rsidP="00A506E1">
      <w:pPr>
        <w:pStyle w:val="ListParagraph"/>
        <w:numPr>
          <w:ilvl w:val="0"/>
          <w:numId w:val="2"/>
        </w:numPr>
        <w:spacing w:after="0"/>
        <w:ind w:left="284" w:hanging="284"/>
        <w:rPr>
          <w:rFonts w:ascii="Verdana" w:hAnsi="Verdana" w:cs="Arial"/>
          <w:noProof w:val="0"/>
          <w:sz w:val="13"/>
          <w:szCs w:val="13"/>
          <w:lang w:val="en-GB"/>
        </w:rPr>
      </w:pPr>
      <w:r w:rsidRPr="000E0735">
        <w:rPr>
          <w:rFonts w:ascii="Verdana" w:hAnsi="Verdana" w:cs="Arial"/>
          <w:noProof w:val="0"/>
          <w:sz w:val="13"/>
          <w:szCs w:val="13"/>
          <w:lang w:val="en-GB"/>
        </w:rPr>
        <w:t xml:space="preserve">Consequences of an actual or potential break-up of the European monetary union in whole or in part, </w:t>
      </w:r>
      <w:r>
        <w:rPr>
          <w:rFonts w:ascii="Verdana" w:hAnsi="Verdana" w:cs="Arial"/>
          <w:noProof w:val="0"/>
          <w:sz w:val="13"/>
          <w:szCs w:val="13"/>
          <w:lang w:val="en-GB"/>
        </w:rPr>
        <w:t>or</w:t>
      </w:r>
      <w:r w:rsidRPr="000E0735">
        <w:rPr>
          <w:rFonts w:ascii="Verdana" w:hAnsi="Verdana" w:cs="Arial"/>
          <w:noProof w:val="0"/>
          <w:sz w:val="13"/>
          <w:szCs w:val="13"/>
          <w:lang w:val="en-GB"/>
        </w:rPr>
        <w:t xml:space="preserve"> the exit of the United Kingdom from the European Union and potential consequences </w:t>
      </w:r>
      <w:r>
        <w:rPr>
          <w:rFonts w:ascii="Verdana" w:hAnsi="Verdana" w:cs="Arial"/>
          <w:noProof w:val="0"/>
          <w:sz w:val="13"/>
          <w:szCs w:val="13"/>
          <w:lang w:val="en-GB"/>
        </w:rPr>
        <w:t>if</w:t>
      </w:r>
      <w:r w:rsidRPr="000E0735">
        <w:rPr>
          <w:rFonts w:ascii="Verdana" w:hAnsi="Verdana" w:cs="Arial"/>
          <w:noProof w:val="0"/>
          <w:sz w:val="13"/>
          <w:szCs w:val="13"/>
          <w:lang w:val="en-GB"/>
        </w:rPr>
        <w:t xml:space="preserve"> other European Union countries </w:t>
      </w:r>
      <w:r>
        <w:rPr>
          <w:rFonts w:ascii="Verdana" w:hAnsi="Verdana" w:cs="Arial"/>
          <w:noProof w:val="0"/>
          <w:sz w:val="13"/>
          <w:szCs w:val="13"/>
          <w:lang w:val="en-GB"/>
        </w:rPr>
        <w:t>leave</w:t>
      </w:r>
      <w:r w:rsidRPr="000E0735">
        <w:rPr>
          <w:rFonts w:ascii="Verdana" w:hAnsi="Verdana" w:cs="Arial"/>
          <w:noProof w:val="0"/>
          <w:sz w:val="13"/>
          <w:szCs w:val="13"/>
          <w:lang w:val="en-GB"/>
        </w:rPr>
        <w:t xml:space="preserve"> the European Union;</w:t>
      </w:r>
    </w:p>
    <w:p w14:paraId="0D2162AC"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Changes in laws and regulations, particularly tho</w:t>
      </w:r>
      <w:bookmarkStart w:id="1" w:name="OpenAt"/>
      <w:bookmarkEnd w:id="1"/>
      <w:r w:rsidRPr="008A2778">
        <w:rPr>
          <w:rFonts w:ascii="Verdana" w:hAnsi="Verdana" w:cs="Arial"/>
          <w:noProof w:val="0"/>
          <w:sz w:val="13"/>
          <w:szCs w:val="13"/>
          <w:lang w:val="en-GB"/>
        </w:rPr>
        <w:t>se affecting Aegon’s operations</w:t>
      </w:r>
      <w:r>
        <w:rPr>
          <w:rFonts w:ascii="Verdana" w:hAnsi="Verdana" w:cs="Arial"/>
          <w:noProof w:val="0"/>
          <w:sz w:val="13"/>
          <w:szCs w:val="13"/>
          <w:lang w:val="en-GB"/>
        </w:rPr>
        <w:t>’</w:t>
      </w:r>
      <w:r w:rsidRPr="008A2778">
        <w:rPr>
          <w:rFonts w:ascii="Verdana" w:hAnsi="Verdana" w:cs="Arial"/>
          <w:noProof w:val="0"/>
          <w:sz w:val="13"/>
          <w:szCs w:val="13"/>
          <w:lang w:val="en-GB"/>
        </w:rPr>
        <w:t xml:space="preserve"> ability to hire and retain key personnel, </w:t>
      </w:r>
      <w:r>
        <w:rPr>
          <w:rFonts w:ascii="Verdana" w:hAnsi="Verdana" w:cs="Arial"/>
          <w:noProof w:val="0"/>
          <w:sz w:val="13"/>
          <w:szCs w:val="13"/>
          <w:lang w:val="en-GB"/>
        </w:rPr>
        <w:t xml:space="preserve">taxation of Aegon companies, </w:t>
      </w:r>
      <w:r w:rsidRPr="008A2778">
        <w:rPr>
          <w:rFonts w:ascii="Verdana" w:hAnsi="Verdana" w:cs="Arial"/>
          <w:noProof w:val="0"/>
          <w:sz w:val="13"/>
          <w:szCs w:val="13"/>
          <w:lang w:val="en-GB"/>
        </w:rPr>
        <w:t>the products Aegon sells, and the attractiveness of certain products to its consumers;</w:t>
      </w:r>
    </w:p>
    <w:p w14:paraId="54D31D7A" w14:textId="77777777" w:rsidR="00A506E1" w:rsidRPr="008A2778"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 xml:space="preserve">Regulatory changes relating to the </w:t>
      </w:r>
      <w:r>
        <w:rPr>
          <w:rFonts w:ascii="Verdana" w:hAnsi="Verdana" w:cs="Arial"/>
          <w:noProof w:val="0"/>
          <w:sz w:val="13"/>
          <w:szCs w:val="13"/>
          <w:lang w:val="en-GB"/>
        </w:rPr>
        <w:t xml:space="preserve">pensions, investment, and </w:t>
      </w:r>
      <w:r w:rsidRPr="008A2778">
        <w:rPr>
          <w:rFonts w:ascii="Verdana" w:hAnsi="Verdana" w:cs="Arial"/>
          <w:noProof w:val="0"/>
          <w:sz w:val="13"/>
          <w:szCs w:val="13"/>
          <w:lang w:val="en-GB"/>
        </w:rPr>
        <w:t>insurance industr</w:t>
      </w:r>
      <w:r>
        <w:rPr>
          <w:rFonts w:ascii="Verdana" w:hAnsi="Verdana" w:cs="Arial"/>
          <w:noProof w:val="0"/>
          <w:sz w:val="13"/>
          <w:szCs w:val="13"/>
          <w:lang w:val="en-GB"/>
        </w:rPr>
        <w:t>ies</w:t>
      </w:r>
      <w:r w:rsidRPr="008A2778">
        <w:rPr>
          <w:rFonts w:ascii="Verdana" w:hAnsi="Verdana" w:cs="Arial"/>
          <w:noProof w:val="0"/>
          <w:sz w:val="13"/>
          <w:szCs w:val="13"/>
          <w:lang w:val="en-GB"/>
        </w:rPr>
        <w:t xml:space="preserve"> in the jurisdictions in which Aegon operates;</w:t>
      </w:r>
    </w:p>
    <w:p w14:paraId="421EA59D" w14:textId="77777777" w:rsidR="00A506E1" w:rsidRDefault="00A506E1" w:rsidP="00A506E1">
      <w:pPr>
        <w:pStyle w:val="ListParagraph"/>
        <w:numPr>
          <w:ilvl w:val="0"/>
          <w:numId w:val="2"/>
        </w:numPr>
        <w:spacing w:after="0"/>
        <w:ind w:left="284" w:hanging="284"/>
        <w:rPr>
          <w:rFonts w:ascii="Verdana" w:hAnsi="Verdana"/>
          <w:sz w:val="13"/>
          <w:szCs w:val="13"/>
          <w:lang w:val="en-GB"/>
        </w:rPr>
      </w:pPr>
      <w:r w:rsidRPr="00500E20">
        <w:rPr>
          <w:rFonts w:ascii="Verdana" w:hAnsi="Verdana"/>
          <w:sz w:val="13"/>
          <w:szCs w:val="13"/>
          <w:lang w:val="en-GB"/>
        </w:rPr>
        <w:t>Standard setting initiatives of supranational standard setting bodies such as the Financial Stability Board and the International Association of Insurance Supervisors or changes to such standards that may have an impact on regional (such as EU), national or US federal or state level financial regulation or the application thereof to Aegon, including the designation of Aegon by the Financial Stability Board as a Global Systemically Important Insurer (G-SII)</w:t>
      </w:r>
      <w:r>
        <w:rPr>
          <w:rFonts w:ascii="Verdana" w:hAnsi="Verdana"/>
          <w:sz w:val="13"/>
          <w:szCs w:val="13"/>
          <w:lang w:val="en-GB"/>
        </w:rPr>
        <w:t>;</w:t>
      </w:r>
      <w:r w:rsidRPr="00500E20">
        <w:rPr>
          <w:rFonts w:ascii="Verdana" w:hAnsi="Verdana"/>
          <w:sz w:val="13"/>
          <w:szCs w:val="13"/>
          <w:lang w:val="en-GB"/>
        </w:rPr>
        <w:t xml:space="preserve"> </w:t>
      </w:r>
      <w:r>
        <w:rPr>
          <w:rFonts w:ascii="Verdana" w:hAnsi="Verdana"/>
          <w:sz w:val="13"/>
          <w:szCs w:val="13"/>
          <w:lang w:val="en-GB"/>
        </w:rPr>
        <w:t>and</w:t>
      </w:r>
    </w:p>
    <w:p w14:paraId="2CC45F23" w14:textId="77777777" w:rsidR="00A506E1" w:rsidRDefault="00A506E1" w:rsidP="00A506E1">
      <w:pPr>
        <w:pStyle w:val="ListParagraph"/>
        <w:numPr>
          <w:ilvl w:val="0"/>
          <w:numId w:val="2"/>
        </w:numPr>
        <w:spacing w:after="0"/>
        <w:ind w:left="284" w:hanging="284"/>
        <w:rPr>
          <w:rFonts w:ascii="Verdana" w:hAnsi="Verdana" w:cs="Arial"/>
          <w:noProof w:val="0"/>
          <w:sz w:val="13"/>
          <w:szCs w:val="13"/>
          <w:lang w:val="en-GB"/>
        </w:rPr>
      </w:pPr>
      <w:r w:rsidRPr="008A2778">
        <w:rPr>
          <w:rFonts w:ascii="Verdana" w:hAnsi="Verdana" w:cs="Arial"/>
          <w:noProof w:val="0"/>
          <w:sz w:val="13"/>
          <w:szCs w:val="13"/>
          <w:lang w:val="en-GB"/>
        </w:rPr>
        <w:t xml:space="preserve">Changes in accounting regulations and policies or a change by Aegon in applying such regulations and policies, voluntarily or otherwise, </w:t>
      </w:r>
      <w:r>
        <w:rPr>
          <w:rFonts w:ascii="Verdana" w:hAnsi="Verdana" w:cs="Arial"/>
          <w:noProof w:val="0"/>
          <w:sz w:val="13"/>
          <w:szCs w:val="13"/>
          <w:lang w:val="en-GB"/>
        </w:rPr>
        <w:t xml:space="preserve">which </w:t>
      </w:r>
      <w:r w:rsidRPr="008A2778">
        <w:rPr>
          <w:rFonts w:ascii="Verdana" w:hAnsi="Verdana" w:cs="Arial"/>
          <w:noProof w:val="0"/>
          <w:sz w:val="13"/>
          <w:szCs w:val="13"/>
          <w:lang w:val="en-GB"/>
        </w:rPr>
        <w:t>may affect Aegon’s reported results</w:t>
      </w:r>
      <w:r>
        <w:rPr>
          <w:rFonts w:ascii="Verdana" w:hAnsi="Verdana" w:cs="Arial"/>
          <w:noProof w:val="0"/>
          <w:sz w:val="13"/>
          <w:szCs w:val="13"/>
          <w:lang w:val="en-GB"/>
        </w:rPr>
        <w:t xml:space="preserve">, </w:t>
      </w:r>
      <w:r w:rsidRPr="008A2778">
        <w:rPr>
          <w:rFonts w:ascii="Verdana" w:hAnsi="Verdana" w:cs="Arial"/>
          <w:noProof w:val="0"/>
          <w:sz w:val="13"/>
          <w:szCs w:val="13"/>
          <w:lang w:val="en-GB"/>
        </w:rPr>
        <w:t>shareholders’ equity</w:t>
      </w:r>
      <w:r>
        <w:rPr>
          <w:rFonts w:ascii="Verdana" w:hAnsi="Verdana" w:cs="Arial"/>
          <w:noProof w:val="0"/>
          <w:sz w:val="13"/>
          <w:szCs w:val="13"/>
          <w:lang w:val="en-GB"/>
        </w:rPr>
        <w:t xml:space="preserve"> or regulatory capital adequacy levels. </w:t>
      </w:r>
    </w:p>
    <w:p w14:paraId="04829929" w14:textId="77777777" w:rsidR="00A506E1" w:rsidRDefault="00A506E1" w:rsidP="00A506E1">
      <w:pPr>
        <w:rPr>
          <w:rFonts w:ascii="Verdana" w:hAnsi="Verdana" w:cs="Arial"/>
          <w:sz w:val="13"/>
          <w:szCs w:val="13"/>
          <w:lang w:val="en-GB"/>
        </w:rPr>
      </w:pPr>
    </w:p>
    <w:p w14:paraId="3760AB45" w14:textId="57038706" w:rsidR="00A4568A" w:rsidRPr="008D3A67" w:rsidRDefault="00A506E1" w:rsidP="00A506E1">
      <w:pPr>
        <w:rPr>
          <w:rFonts w:eastAsia="Times New Roman" w:cs="Arial"/>
          <w:highlight w:val="yellow"/>
          <w:lang w:val="en-GB"/>
        </w:rPr>
      </w:pPr>
      <w:r w:rsidRPr="00136E52">
        <w:rPr>
          <w:rFonts w:ascii="Verdana" w:hAnsi="Verdana" w:cs="Arial"/>
          <w:sz w:val="13"/>
          <w:szCs w:val="13"/>
          <w:lang w:val="en-GB"/>
        </w:rPr>
        <w:t xml:space="preserve">This </w:t>
      </w:r>
      <w:r>
        <w:rPr>
          <w:rFonts w:ascii="Verdana" w:hAnsi="Verdana" w:cs="Arial"/>
          <w:sz w:val="13"/>
          <w:szCs w:val="13"/>
          <w:lang w:val="en-GB"/>
        </w:rPr>
        <w:t>document</w:t>
      </w:r>
      <w:r w:rsidRPr="00136E52">
        <w:rPr>
          <w:rFonts w:ascii="Verdana" w:hAnsi="Verdana" w:cs="Arial"/>
          <w:sz w:val="13"/>
          <w:szCs w:val="13"/>
          <w:lang w:val="en-GB"/>
        </w:rPr>
        <w:t xml:space="preserve"> contains information that qualifies, or may qualify, as inside information within the meaning of Article 7(1) of the EU Market Abuse Regulation (596/2014).</w:t>
      </w:r>
      <w:r>
        <w:rPr>
          <w:rFonts w:ascii="Verdana" w:hAnsi="Verdana" w:cs="Arial"/>
          <w:sz w:val="13"/>
          <w:szCs w:val="13"/>
          <w:lang w:val="en-GB"/>
        </w:rPr>
        <w:t xml:space="preserve"> </w:t>
      </w:r>
      <w:r w:rsidRPr="008A2778">
        <w:rPr>
          <w:rFonts w:ascii="Verdana" w:hAnsi="Verdana" w:cs="Arial"/>
          <w:sz w:val="13"/>
          <w:szCs w:val="13"/>
          <w:lang w:val="en-GB"/>
        </w:rPr>
        <w:t>Further details of potential risks and uncertainties affecting Aegon are described in its filings with the Netherlands Authority for the Financial Markets and the US Securities and Exchange Commission, including the Annual Report. These forward-looking statements speak only as of the date of this document. Except as required by any applicable law or regulation, Aegon expressly disclaims any obligation or undertaking to release publicly any updates or revisions to any forward-looking statements contained herein to reflect any change in Aegon’s expectations with regard thereto or any change in events, conditions or circumstances on which any such statement is based.</w:t>
      </w:r>
    </w:p>
    <w:p w14:paraId="7936C631" w14:textId="61EE6B76" w:rsidR="00981237" w:rsidRPr="008D3A67" w:rsidRDefault="00981237" w:rsidP="00A4568A">
      <w:pPr>
        <w:pStyle w:val="IntroPressRelease"/>
        <w:rPr>
          <w:b w:val="0"/>
          <w:sz w:val="18"/>
          <w:szCs w:val="12"/>
          <w:highlight w:val="yellow"/>
          <w:lang w:val="en-GB"/>
        </w:rPr>
      </w:pPr>
    </w:p>
    <w:sectPr w:rsidR="00981237" w:rsidRPr="008D3A67" w:rsidSect="00DB7CF9">
      <w:headerReference w:type="default" r:id="rId16"/>
      <w:pgSz w:w="12240" w:h="15840"/>
      <w:pgMar w:top="1440" w:right="1440" w:bottom="1152"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8B748" w14:textId="77777777" w:rsidR="002C76C3" w:rsidRDefault="002C76C3" w:rsidP="00BF0997">
      <w:pPr>
        <w:spacing w:after="0" w:line="240" w:lineRule="auto"/>
      </w:pPr>
      <w:r>
        <w:separator/>
      </w:r>
    </w:p>
  </w:endnote>
  <w:endnote w:type="continuationSeparator" w:id="0">
    <w:p w14:paraId="73763D0D" w14:textId="77777777" w:rsidR="002C76C3" w:rsidRDefault="002C76C3" w:rsidP="00BF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nticoSansDT">
    <w:altName w:val="Arial"/>
    <w:panose1 w:val="00000000000000000000"/>
    <w:charset w:val="00"/>
    <w:family w:val="swiss"/>
    <w:notTrueType/>
    <w:pitch w:val="variable"/>
    <w:sig w:usb0="800000E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6C63A" w14:textId="77777777" w:rsidR="00376B48" w:rsidRPr="00BF0997" w:rsidRDefault="00376B48" w:rsidP="003C7D0F">
    <w:pPr>
      <w:spacing w:after="0"/>
      <w:rPr>
        <w:rFonts w:ascii="Verdana" w:hAnsi="Verdana"/>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4A0E1" w14:textId="77777777" w:rsidR="002C76C3" w:rsidRDefault="002C76C3" w:rsidP="00BF0997">
      <w:pPr>
        <w:spacing w:after="0" w:line="240" w:lineRule="auto"/>
      </w:pPr>
      <w:r>
        <w:separator/>
      </w:r>
    </w:p>
  </w:footnote>
  <w:footnote w:type="continuationSeparator" w:id="0">
    <w:p w14:paraId="10119318" w14:textId="77777777" w:rsidR="002C76C3" w:rsidRDefault="002C76C3" w:rsidP="00BF0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6C638" w14:textId="30FC101B" w:rsidR="00376B48" w:rsidRDefault="00376B48" w:rsidP="00BF0997">
    <w:pPr>
      <w:pStyle w:val="Header"/>
      <w:tabs>
        <w:tab w:val="clear" w:pos="4680"/>
        <w:tab w:val="left" w:pos="815"/>
      </w:tabs>
      <w:ind w:right="360"/>
      <w:rPr>
        <w:rFonts w:ascii="Verdana" w:hAnsi="Verdana"/>
        <w:szCs w:val="18"/>
      </w:rPr>
    </w:pPr>
    <w:r w:rsidRPr="001712C1">
      <w:rPr>
        <w:rFonts w:ascii="Verdana" w:hAnsi="Verdana"/>
        <w:noProof/>
      </w:rPr>
      <mc:AlternateContent>
        <mc:Choice Requires="wps">
          <w:drawing>
            <wp:anchor distT="0" distB="0" distL="114300" distR="114300" simplePos="0" relativeHeight="251659264" behindDoc="0" locked="0" layoutInCell="1" allowOverlap="1" wp14:anchorId="7936C642" wp14:editId="054BF6A0">
              <wp:simplePos x="0" y="0"/>
              <wp:positionH relativeFrom="page">
                <wp:posOffset>4019550</wp:posOffset>
              </wp:positionH>
              <wp:positionV relativeFrom="page">
                <wp:posOffset>765810</wp:posOffset>
              </wp:positionV>
              <wp:extent cx="2876550" cy="229870"/>
              <wp:effectExtent l="0" t="0" r="0" b="0"/>
              <wp:wrapNone/>
              <wp:docPr id="21" name="Tekstvak 21"/>
              <wp:cNvGraphicFramePr/>
              <a:graphic xmlns:a="http://schemas.openxmlformats.org/drawingml/2006/main">
                <a:graphicData uri="http://schemas.microsoft.com/office/word/2010/wordprocessingShape">
                  <wps:wsp>
                    <wps:cNvSpPr txBox="1"/>
                    <wps:spPr>
                      <a:xfrm>
                        <a:off x="0" y="0"/>
                        <a:ext cx="2876550" cy="229870"/>
                      </a:xfrm>
                      <a:prstGeom prst="rect">
                        <a:avLst/>
                      </a:prstGeom>
                      <a:noFill/>
                      <a:ln w="6350">
                        <a:noFill/>
                      </a:ln>
                    </wps:spPr>
                    <wps:txbx>
                      <w:txbxContent>
                        <w:p w14:paraId="7936C64A" w14:textId="52DA32F8" w:rsidR="00376B48" w:rsidRPr="005C4D33" w:rsidRDefault="00376B48" w:rsidP="00BF0997">
                          <w:pPr>
                            <w:jc w:val="right"/>
                            <w:rPr>
                              <w:rFonts w:cs="Arial"/>
                              <w:sz w:val="16"/>
                            </w:rPr>
                          </w:pPr>
                          <w:r w:rsidRPr="005C4D33">
                            <w:rPr>
                              <w:rFonts w:cs="Arial"/>
                              <w:sz w:val="16"/>
                            </w:rPr>
                            <w:t xml:space="preserve">The Hague </w:t>
                          </w:r>
                          <w:r w:rsidRPr="002D1093">
                            <w:rPr>
                              <w:rFonts w:cs="Arial"/>
                              <w:sz w:val="16"/>
                            </w:rPr>
                            <w:t xml:space="preserve">– </w:t>
                          </w:r>
                          <w:r w:rsidR="009A3A37" w:rsidRPr="002D1093">
                            <w:rPr>
                              <w:rFonts w:cs="Arial"/>
                              <w:sz w:val="16"/>
                            </w:rPr>
                            <w:t>April</w:t>
                          </w:r>
                          <w:r w:rsidRPr="002D1093">
                            <w:rPr>
                              <w:rFonts w:cs="Arial"/>
                              <w:sz w:val="16"/>
                            </w:rPr>
                            <w:t xml:space="preserve"> </w:t>
                          </w:r>
                          <w:r w:rsidR="002D1093" w:rsidRPr="002D1093">
                            <w:rPr>
                              <w:rFonts w:cs="Arial"/>
                              <w:sz w:val="16"/>
                            </w:rPr>
                            <w:t>7</w:t>
                          </w:r>
                          <w:r w:rsidR="008A426D" w:rsidRPr="002D1093">
                            <w:rPr>
                              <w:rFonts w:cs="Arial"/>
                              <w:sz w:val="16"/>
                            </w:rPr>
                            <w:t xml:space="preserve">, </w:t>
                          </w:r>
                          <w:r w:rsidR="009A3A37">
                            <w:rPr>
                              <w:rFonts w:cs="Arial"/>
                              <w:sz w:val="16"/>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6C642" id="_x0000_t202" coordsize="21600,21600" o:spt="202" path="m,l,21600r21600,l21600,xe">
              <v:stroke joinstyle="miter"/>
              <v:path gradientshapeok="t" o:connecttype="rect"/>
            </v:shapetype>
            <v:shape id="Tekstvak 21" o:spid="_x0000_s1026" type="#_x0000_t202" style="position:absolute;margin-left:316.5pt;margin-top:60.3pt;width:226.5pt;height:1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" filled="f" stroked="f" strokeweight=".5pt">
              <v:textbox>
                <w:txbxContent>
                  <w:p w14:paraId="7936C64A" w14:textId="52DA32F8" w:rsidR="00376B48" w:rsidRPr="005C4D33" w:rsidRDefault="00376B48" w:rsidP="00BF0997">
                    <w:pPr>
                      <w:jc w:val="right"/>
                      <w:rPr>
                        <w:rFonts w:cs="Arial"/>
                        <w:sz w:val="16"/>
                      </w:rPr>
                    </w:pPr>
                    <w:r w:rsidRPr="005C4D33">
                      <w:rPr>
                        <w:rFonts w:cs="Arial"/>
                        <w:sz w:val="16"/>
                      </w:rPr>
                      <w:t xml:space="preserve">The Hague </w:t>
                    </w:r>
                    <w:r w:rsidRPr="002D1093">
                      <w:rPr>
                        <w:rFonts w:cs="Arial"/>
                        <w:sz w:val="16"/>
                      </w:rPr>
                      <w:t xml:space="preserve">– </w:t>
                    </w:r>
                    <w:r w:rsidR="009A3A37" w:rsidRPr="002D1093">
                      <w:rPr>
                        <w:rFonts w:cs="Arial"/>
                        <w:sz w:val="16"/>
                      </w:rPr>
                      <w:t>April</w:t>
                    </w:r>
                    <w:r w:rsidRPr="002D1093">
                      <w:rPr>
                        <w:rFonts w:cs="Arial"/>
                        <w:sz w:val="16"/>
                      </w:rPr>
                      <w:t xml:space="preserve"> </w:t>
                    </w:r>
                    <w:r w:rsidR="002D1093" w:rsidRPr="002D1093">
                      <w:rPr>
                        <w:rFonts w:cs="Arial"/>
                        <w:sz w:val="16"/>
                      </w:rPr>
                      <w:t>7</w:t>
                    </w:r>
                    <w:r w:rsidR="008A426D" w:rsidRPr="002D1093">
                      <w:rPr>
                        <w:rFonts w:cs="Arial"/>
                        <w:sz w:val="16"/>
                      </w:rPr>
                      <w:t xml:space="preserve">, </w:t>
                    </w:r>
                    <w:r w:rsidR="009A3A37">
                      <w:rPr>
                        <w:rFonts w:cs="Arial"/>
                        <w:sz w:val="16"/>
                      </w:rPr>
                      <w:t>2021</w:t>
                    </w:r>
                  </w:p>
                </w:txbxContent>
              </v:textbox>
              <w10:wrap anchorx="page" anchory="page"/>
            </v:shape>
          </w:pict>
        </mc:Fallback>
      </mc:AlternateContent>
    </w:r>
    <w:r w:rsidR="009D7AEC">
      <w:rPr>
        <w:rFonts w:ascii="Verdana" w:hAnsi="Verdana"/>
        <w:noProof/>
      </w:rPr>
      <w:drawing>
        <wp:inline distT="0" distB="0" distL="0" distR="0" wp14:anchorId="5102A11E" wp14:editId="501DFF28">
          <wp:extent cx="5943600" cy="54419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528 - press release banner - Press releas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44195"/>
                  </a:xfrm>
                  <a:prstGeom prst="rect">
                    <a:avLst/>
                  </a:prstGeom>
                </pic:spPr>
              </pic:pic>
            </a:graphicData>
          </a:graphic>
        </wp:inline>
      </w:drawing>
    </w:r>
    <w:r>
      <w:rPr>
        <w:rFonts w:ascii="Verdana" w:hAnsi="Verdana"/>
      </w:rPr>
      <w:tab/>
    </w:r>
    <w:r>
      <w:rPr>
        <w:rFonts w:ascii="Verdana" w:hAnsi="Verdana"/>
      </w:rPr>
      <w:tab/>
    </w:r>
  </w:p>
  <w:p w14:paraId="7936C639" w14:textId="77777777" w:rsidR="00376B48" w:rsidRPr="00BF0997" w:rsidRDefault="00376B48" w:rsidP="00BF0997">
    <w:pPr>
      <w:pStyle w:val="Header"/>
      <w:tabs>
        <w:tab w:val="clear" w:pos="4680"/>
        <w:tab w:val="left" w:pos="815"/>
      </w:tabs>
      <w:ind w:right="360"/>
      <w:rPr>
        <w:rFonts w:ascii="Verdana" w:hAnsi="Verdana"/>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48949" w14:textId="452A9F6D" w:rsidR="00484BCB" w:rsidRDefault="00BA2520" w:rsidP="00BF0997">
    <w:pPr>
      <w:pStyle w:val="Header"/>
      <w:tabs>
        <w:tab w:val="clear" w:pos="4680"/>
        <w:tab w:val="left" w:pos="815"/>
      </w:tabs>
      <w:ind w:right="360"/>
      <w:rPr>
        <w:rFonts w:ascii="Verdana" w:hAnsi="Verdana"/>
        <w:szCs w:val="18"/>
      </w:rPr>
    </w:pPr>
    <w:r>
      <w:rPr>
        <w:rFonts w:ascii="Verdana" w:hAnsi="Verdana"/>
        <w:noProof/>
      </w:rPr>
      <w:drawing>
        <wp:anchor distT="0" distB="0" distL="114300" distR="114300" simplePos="0" relativeHeight="251663360" behindDoc="0" locked="0" layoutInCell="1" allowOverlap="1" wp14:anchorId="792804DF" wp14:editId="2EBB9B12">
          <wp:simplePos x="0" y="0"/>
          <wp:positionH relativeFrom="column">
            <wp:posOffset>5096151</wp:posOffset>
          </wp:positionH>
          <wp:positionV relativeFrom="page">
            <wp:posOffset>238494</wp:posOffset>
          </wp:positionV>
          <wp:extent cx="883920" cy="317500"/>
          <wp:effectExtent l="0" t="0" r="0" b="635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GON hi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17500"/>
                  </a:xfrm>
                  <a:prstGeom prst="rect">
                    <a:avLst/>
                  </a:prstGeom>
                </pic:spPr>
              </pic:pic>
            </a:graphicData>
          </a:graphic>
        </wp:anchor>
      </w:drawing>
    </w:r>
    <w:r w:rsidR="00484BCB">
      <w:rPr>
        <w:rFonts w:ascii="Verdana" w:hAnsi="Verdana"/>
      </w:rPr>
      <w:tab/>
    </w:r>
    <w:r w:rsidR="00484BCB">
      <w:rPr>
        <w:rFonts w:ascii="Verdana" w:hAnsi="Verdana"/>
      </w:rPr>
      <w:tab/>
    </w:r>
  </w:p>
  <w:p w14:paraId="5D837EDF" w14:textId="54C3DD4C" w:rsidR="00484BCB" w:rsidRPr="00BF0997" w:rsidRDefault="00BA2520" w:rsidP="00BF0997">
    <w:pPr>
      <w:pStyle w:val="Header"/>
      <w:tabs>
        <w:tab w:val="clear" w:pos="4680"/>
        <w:tab w:val="left" w:pos="815"/>
      </w:tabs>
      <w:ind w:right="360"/>
      <w:rPr>
        <w:rFonts w:ascii="Verdana" w:hAnsi="Verdana"/>
        <w:szCs w:val="18"/>
      </w:rPr>
    </w:pPr>
    <w:r w:rsidRPr="001712C1">
      <w:rPr>
        <w:rFonts w:ascii="Verdana" w:hAnsi="Verdana"/>
        <w:noProof/>
      </w:rPr>
      <mc:AlternateContent>
        <mc:Choice Requires="wps">
          <w:drawing>
            <wp:anchor distT="0" distB="0" distL="114300" distR="114300" simplePos="0" relativeHeight="251661312" behindDoc="0" locked="0" layoutInCell="1" allowOverlap="1" wp14:anchorId="18A72A8C" wp14:editId="380C30ED">
              <wp:simplePos x="0" y="0"/>
              <wp:positionH relativeFrom="page">
                <wp:posOffset>4152121</wp:posOffset>
              </wp:positionH>
              <wp:positionV relativeFrom="page">
                <wp:posOffset>575451</wp:posOffset>
              </wp:positionV>
              <wp:extent cx="2876550" cy="229870"/>
              <wp:effectExtent l="0" t="0" r="0" b="0"/>
              <wp:wrapNone/>
              <wp:docPr id="2" name="Tekstvak 21"/>
              <wp:cNvGraphicFramePr/>
              <a:graphic xmlns:a="http://schemas.openxmlformats.org/drawingml/2006/main">
                <a:graphicData uri="http://schemas.microsoft.com/office/word/2010/wordprocessingShape">
                  <wps:wsp>
                    <wps:cNvSpPr txBox="1"/>
                    <wps:spPr>
                      <a:xfrm>
                        <a:off x="0" y="0"/>
                        <a:ext cx="2876550" cy="229870"/>
                      </a:xfrm>
                      <a:prstGeom prst="rect">
                        <a:avLst/>
                      </a:prstGeom>
                      <a:noFill/>
                      <a:ln w="6350">
                        <a:noFill/>
                      </a:ln>
                    </wps:spPr>
                    <wps:txbx>
                      <w:txbxContent>
                        <w:p w14:paraId="4672DA7B" w14:textId="06081587" w:rsidR="00484BCB" w:rsidRPr="005C4D33" w:rsidRDefault="00484BCB" w:rsidP="00BF0997">
                          <w:pPr>
                            <w:jc w:val="right"/>
                            <w:rPr>
                              <w:rFonts w:cs="Arial"/>
                              <w:sz w:val="16"/>
                            </w:rPr>
                          </w:pPr>
                          <w:r w:rsidRPr="005C4D33">
                            <w:rPr>
                              <w:rFonts w:cs="Arial"/>
                              <w:sz w:val="16"/>
                            </w:rPr>
                            <w:t xml:space="preserve">The Hague – </w:t>
                          </w:r>
                          <w:r w:rsidR="00093085" w:rsidRPr="00093085">
                            <w:rPr>
                              <w:rFonts w:cs="Arial"/>
                              <w:sz w:val="16"/>
                            </w:rPr>
                            <w:t>April 7,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72A8C" id="_x0000_t202" coordsize="21600,21600" o:spt="202" path="m,l,21600r21600,l21600,xe">
              <v:stroke joinstyle="miter"/>
              <v:path gradientshapeok="t" o:connecttype="rect"/>
            </v:shapetype>
            <v:shape id="_x0000_s1027" type="#_x0000_t202" style="position:absolute;margin-left:326.95pt;margin-top:45.3pt;width:226.5pt;height:18.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" filled="f" stroked="f" strokeweight=".5pt">
              <v:textbox>
                <w:txbxContent>
                  <w:p w14:paraId="4672DA7B" w14:textId="06081587" w:rsidR="00484BCB" w:rsidRPr="005C4D33" w:rsidRDefault="00484BCB" w:rsidP="00BF0997">
                    <w:pPr>
                      <w:jc w:val="right"/>
                      <w:rPr>
                        <w:rFonts w:cs="Arial"/>
                        <w:sz w:val="16"/>
                      </w:rPr>
                    </w:pPr>
                    <w:r w:rsidRPr="005C4D33">
                      <w:rPr>
                        <w:rFonts w:cs="Arial"/>
                        <w:sz w:val="16"/>
                      </w:rPr>
                      <w:t xml:space="preserve">The Hague – </w:t>
                    </w:r>
                    <w:r w:rsidR="00093085" w:rsidRPr="00093085">
                      <w:rPr>
                        <w:rFonts w:cs="Arial"/>
                        <w:sz w:val="16"/>
                      </w:rPr>
                      <w:t>April 7, 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30C6A"/>
    <w:multiLevelType w:val="hybridMultilevel"/>
    <w:tmpl w:val="BFE8DC96"/>
    <w:lvl w:ilvl="0" w:tplc="764E0C54">
      <w:numFmt w:val="bullet"/>
      <w:lvlText w:val="●"/>
      <w:lvlJc w:val="left"/>
      <w:pPr>
        <w:ind w:left="720" w:hanging="360"/>
      </w:pPr>
      <w:rPr>
        <w:rFonts w:ascii="Verdana" w:hAnsi="Verdana" w:cs="Times New Roman" w:hint="default"/>
        <w:color w:val="44546A" w:themeColor="text2"/>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422A6"/>
    <w:multiLevelType w:val="hybridMultilevel"/>
    <w:tmpl w:val="CA00E3B6"/>
    <w:lvl w:ilvl="0" w:tplc="C0E20E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E51974"/>
    <w:multiLevelType w:val="hybridMultilevel"/>
    <w:tmpl w:val="5E5C7BA0"/>
    <w:lvl w:ilvl="0" w:tplc="1662F7B4">
      <w:numFmt w:val="bullet"/>
      <w:lvlText w:val="●"/>
      <w:lvlJc w:val="left"/>
      <w:pPr>
        <w:ind w:left="360" w:hanging="360"/>
      </w:pPr>
      <w:rPr>
        <w:rFonts w:ascii="Verdana" w:hAnsi="Verdana" w:cs="Times New Roman" w:hint="default"/>
        <w:color w:val="0069B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FEA5A12"/>
    <w:multiLevelType w:val="hybridMultilevel"/>
    <w:tmpl w:val="ADAC2D2A"/>
    <w:lvl w:ilvl="0" w:tplc="BF163CCC">
      <w:start w:val="1"/>
      <w:numFmt w:val="bullet"/>
      <w:lvlText w:val="o"/>
      <w:lvlJc w:val="left"/>
      <w:pPr>
        <w:ind w:left="720" w:hanging="360"/>
      </w:pPr>
      <w:rPr>
        <w:rFonts w:ascii="Courier New" w:hAnsi="Courier New" w:cs="Times New Roman" w:hint="default"/>
        <w:color w:val="0070C0"/>
      </w:rPr>
    </w:lvl>
    <w:lvl w:ilvl="1" w:tplc="04130003">
      <w:start w:val="1"/>
      <w:numFmt w:val="decimal"/>
      <w:lvlText w:val="%2."/>
      <w:lvlJc w:val="left"/>
      <w:pPr>
        <w:tabs>
          <w:tab w:val="num" w:pos="1440"/>
        </w:tabs>
        <w:ind w:left="1440" w:hanging="360"/>
      </w:p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69E412C3"/>
    <w:multiLevelType w:val="hybridMultilevel"/>
    <w:tmpl w:val="FBD247A4"/>
    <w:lvl w:ilvl="0" w:tplc="8DD474BC">
      <w:start w:val="1"/>
      <w:numFmt w:val="bullet"/>
      <w:lvlText w:val="–"/>
      <w:lvlJc w:val="left"/>
      <w:pPr>
        <w:ind w:left="720" w:hanging="360"/>
      </w:pPr>
      <w:rPr>
        <w:rFonts w:ascii="Arial" w:hAnsi="Aria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37690A"/>
    <w:multiLevelType w:val="hybridMultilevel"/>
    <w:tmpl w:val="D4484706"/>
    <w:lvl w:ilvl="0" w:tplc="1CF8D5FC">
      <w:numFmt w:val="bullet"/>
      <w:lvlText w:val="●"/>
      <w:lvlJc w:val="left"/>
      <w:pPr>
        <w:ind w:left="360" w:hanging="360"/>
      </w:pPr>
      <w:rPr>
        <w:rFonts w:ascii="Verdana" w:hAnsi="Verdana" w:cs="Times New Roman" w:hint="default"/>
        <w:color w:val="0070C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F2D45EB"/>
    <w:multiLevelType w:val="hybridMultilevel"/>
    <w:tmpl w:val="1220CBE4"/>
    <w:lvl w:ilvl="0" w:tplc="7A5ECC10">
      <w:numFmt w:val="bullet"/>
      <w:lvlText w:val="●"/>
      <w:lvlJc w:val="left"/>
      <w:pPr>
        <w:ind w:left="360" w:hanging="360"/>
      </w:pPr>
      <w:rPr>
        <w:rFonts w:ascii="Verdana" w:hAnsi="Verdana" w:cs="Times New Roman" w:hint="default"/>
        <w:color w:val="44546A" w:themeColor="text2"/>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activeWritingStyle w:appName="MSWord" w:lang="en-US" w:vendorID="64" w:dllVersion="0" w:nlCheck="1" w:checkStyle="0"/>
  <w:proofState w:spelling="clean" w:grammar="clean"/>
  <w:documentProtection w:edit="readOnly" w:enforcement="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97"/>
    <w:rsid w:val="000037F5"/>
    <w:rsid w:val="00041814"/>
    <w:rsid w:val="0005055B"/>
    <w:rsid w:val="0006701E"/>
    <w:rsid w:val="00093085"/>
    <w:rsid w:val="000B305C"/>
    <w:rsid w:val="000B3DDB"/>
    <w:rsid w:val="000E6E69"/>
    <w:rsid w:val="001366F6"/>
    <w:rsid w:val="001D771F"/>
    <w:rsid w:val="001E7D93"/>
    <w:rsid w:val="001F77F6"/>
    <w:rsid w:val="00263896"/>
    <w:rsid w:val="00283B78"/>
    <w:rsid w:val="002A7243"/>
    <w:rsid w:val="002B74EE"/>
    <w:rsid w:val="002C76C3"/>
    <w:rsid w:val="002D1093"/>
    <w:rsid w:val="00320C2A"/>
    <w:rsid w:val="00376B48"/>
    <w:rsid w:val="003A5E7B"/>
    <w:rsid w:val="003B5200"/>
    <w:rsid w:val="003C7D0F"/>
    <w:rsid w:val="003E0D81"/>
    <w:rsid w:val="004050F8"/>
    <w:rsid w:val="00426AF3"/>
    <w:rsid w:val="00484BCB"/>
    <w:rsid w:val="004A2675"/>
    <w:rsid w:val="004D0CF7"/>
    <w:rsid w:val="0051009D"/>
    <w:rsid w:val="0051655F"/>
    <w:rsid w:val="005325C9"/>
    <w:rsid w:val="005457EE"/>
    <w:rsid w:val="0055243E"/>
    <w:rsid w:val="00566995"/>
    <w:rsid w:val="00574A37"/>
    <w:rsid w:val="00577B33"/>
    <w:rsid w:val="005A3A40"/>
    <w:rsid w:val="005C510E"/>
    <w:rsid w:val="005C6D75"/>
    <w:rsid w:val="005E6D49"/>
    <w:rsid w:val="00611557"/>
    <w:rsid w:val="00683B1F"/>
    <w:rsid w:val="006C0DFB"/>
    <w:rsid w:val="006C296C"/>
    <w:rsid w:val="006D7B4A"/>
    <w:rsid w:val="006E58BE"/>
    <w:rsid w:val="00724B95"/>
    <w:rsid w:val="007358DC"/>
    <w:rsid w:val="00744B3D"/>
    <w:rsid w:val="007725CD"/>
    <w:rsid w:val="00785D15"/>
    <w:rsid w:val="007B63AA"/>
    <w:rsid w:val="007D5345"/>
    <w:rsid w:val="00835DD4"/>
    <w:rsid w:val="00841E31"/>
    <w:rsid w:val="008433B8"/>
    <w:rsid w:val="0085184B"/>
    <w:rsid w:val="00896DCC"/>
    <w:rsid w:val="008A426D"/>
    <w:rsid w:val="008B1A54"/>
    <w:rsid w:val="008B514D"/>
    <w:rsid w:val="008D1683"/>
    <w:rsid w:val="008D3A67"/>
    <w:rsid w:val="00912015"/>
    <w:rsid w:val="00930A94"/>
    <w:rsid w:val="009413A8"/>
    <w:rsid w:val="00947E0C"/>
    <w:rsid w:val="009715AE"/>
    <w:rsid w:val="00980ADB"/>
    <w:rsid w:val="00981237"/>
    <w:rsid w:val="00994C94"/>
    <w:rsid w:val="009A3A37"/>
    <w:rsid w:val="009A6E81"/>
    <w:rsid w:val="009B02A3"/>
    <w:rsid w:val="009D7AEC"/>
    <w:rsid w:val="009F335C"/>
    <w:rsid w:val="009F3580"/>
    <w:rsid w:val="009F721E"/>
    <w:rsid w:val="00A11440"/>
    <w:rsid w:val="00A4568A"/>
    <w:rsid w:val="00A506E1"/>
    <w:rsid w:val="00AE2388"/>
    <w:rsid w:val="00AE7767"/>
    <w:rsid w:val="00B04329"/>
    <w:rsid w:val="00BA2520"/>
    <w:rsid w:val="00BF0997"/>
    <w:rsid w:val="00BF7703"/>
    <w:rsid w:val="00C57933"/>
    <w:rsid w:val="00CE43DA"/>
    <w:rsid w:val="00CE46CE"/>
    <w:rsid w:val="00D11D5F"/>
    <w:rsid w:val="00D12075"/>
    <w:rsid w:val="00D460C8"/>
    <w:rsid w:val="00D60080"/>
    <w:rsid w:val="00D72012"/>
    <w:rsid w:val="00D96D8D"/>
    <w:rsid w:val="00DB7CF9"/>
    <w:rsid w:val="00E00279"/>
    <w:rsid w:val="00E127A9"/>
    <w:rsid w:val="00E43BA3"/>
    <w:rsid w:val="00E52268"/>
    <w:rsid w:val="00E6119A"/>
    <w:rsid w:val="00E82994"/>
    <w:rsid w:val="00EA17C6"/>
    <w:rsid w:val="00EA7DAF"/>
    <w:rsid w:val="00ED729B"/>
    <w:rsid w:val="00F608A1"/>
    <w:rsid w:val="00F83BA9"/>
    <w:rsid w:val="00FA098E"/>
    <w:rsid w:val="00FB5FDA"/>
    <w:rsid w:val="00FC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36C5D8"/>
  <w15:chartTrackingRefBased/>
  <w15:docId w15:val="{35593A0A-E5AE-41D8-9AE3-C0DA78E2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7E0C"/>
  </w:style>
  <w:style w:type="paragraph" w:styleId="Heading1">
    <w:name w:val="heading 1"/>
    <w:basedOn w:val="Normal"/>
    <w:next w:val="Normal"/>
    <w:link w:val="Heading1Char"/>
    <w:uiPriority w:val="9"/>
    <w:rsid w:val="00577B33"/>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rsid w:val="00577B33"/>
    <w:pPr>
      <w:keepNext/>
      <w:keepLines/>
      <w:spacing w:before="40" w:after="0"/>
      <w:outlineLvl w:val="1"/>
    </w:pPr>
    <w:rPr>
      <w:rFonts w:eastAsiaTheme="majorEastAsia" w:cstheme="majorBidi"/>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97"/>
  </w:style>
  <w:style w:type="paragraph" w:styleId="Footer">
    <w:name w:val="footer"/>
    <w:basedOn w:val="Normal"/>
    <w:link w:val="FooterChar"/>
    <w:uiPriority w:val="99"/>
    <w:unhideWhenUsed/>
    <w:rsid w:val="00BF0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97"/>
  </w:style>
  <w:style w:type="table" w:styleId="TableGrid">
    <w:name w:val="Table Grid"/>
    <w:basedOn w:val="TableNormal"/>
    <w:uiPriority w:val="39"/>
    <w:rsid w:val="00BF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BF0997"/>
    <w:rPr>
      <w:rFonts w:ascii="SenticoSansDT" w:hAnsi="SenticoSansDT"/>
      <w:color w:val="0077C7"/>
      <w:u w:val="none"/>
    </w:rPr>
  </w:style>
  <w:style w:type="character" w:styleId="FollowedHyperlink">
    <w:name w:val="FollowedHyperlink"/>
    <w:basedOn w:val="DefaultParagraphFont"/>
    <w:uiPriority w:val="99"/>
    <w:semiHidden/>
    <w:unhideWhenUsed/>
    <w:rsid w:val="00BF0997"/>
    <w:rPr>
      <w:color w:val="954F72" w:themeColor="followedHyperlink"/>
      <w:u w:val="single"/>
    </w:rPr>
  </w:style>
  <w:style w:type="paragraph" w:customStyle="1" w:styleId="BasicParagraph">
    <w:name w:val="[Basic Paragraph]"/>
    <w:basedOn w:val="Normal"/>
    <w:uiPriority w:val="99"/>
    <w:rsid w:val="008B514D"/>
    <w:pPr>
      <w:autoSpaceDE w:val="0"/>
      <w:autoSpaceDN w:val="0"/>
      <w:adjustRightInd w:val="0"/>
      <w:spacing w:after="0" w:line="288" w:lineRule="auto"/>
      <w:textAlignment w:val="center"/>
    </w:pPr>
    <w:rPr>
      <w:rFonts w:ascii="Times New Roman" w:eastAsiaTheme="minorEastAsia" w:hAnsi="Times New Roman" w:cs="Times New Roman"/>
      <w:color w:val="000000"/>
      <w:sz w:val="24"/>
      <w:szCs w:val="24"/>
    </w:rPr>
  </w:style>
  <w:style w:type="paragraph" w:customStyle="1" w:styleId="Headingpressrelease">
    <w:name w:val="Heading press release"/>
    <w:basedOn w:val="Normal"/>
    <w:next w:val="Normal"/>
    <w:link w:val="HeadingpressreleaseChar"/>
    <w:rsid w:val="00376B48"/>
    <w:pPr>
      <w:spacing w:after="60" w:line="240" w:lineRule="auto"/>
    </w:pPr>
    <w:rPr>
      <w:rFonts w:eastAsia="Times New Roman" w:cs="Times New Roman"/>
      <w:color w:val="0069B4"/>
      <w:sz w:val="32"/>
      <w:szCs w:val="28"/>
      <w:lang w:val="nl-NL"/>
    </w:rPr>
  </w:style>
  <w:style w:type="paragraph" w:styleId="ListParagraph">
    <w:name w:val="List Paragraph"/>
    <w:basedOn w:val="Normal"/>
    <w:uiPriority w:val="34"/>
    <w:qFormat/>
    <w:rsid w:val="00981237"/>
    <w:pPr>
      <w:spacing w:after="120" w:line="276" w:lineRule="auto"/>
      <w:ind w:left="720"/>
      <w:contextualSpacing/>
    </w:pPr>
    <w:rPr>
      <w:rFonts w:ascii="Calibri" w:eastAsia="Calibri" w:hAnsi="Calibri" w:cs="Times New Roman"/>
      <w:noProof/>
      <w:lang w:val="nl-NL"/>
    </w:rPr>
  </w:style>
  <w:style w:type="character" w:customStyle="1" w:styleId="HeadingpressreleaseChar">
    <w:name w:val="Heading press release Char"/>
    <w:basedOn w:val="DefaultParagraphFont"/>
    <w:link w:val="Headingpressrelease"/>
    <w:rsid w:val="00376B48"/>
    <w:rPr>
      <w:rFonts w:ascii="Arial" w:eastAsia="Times New Roman" w:hAnsi="Arial" w:cs="Times New Roman"/>
      <w:color w:val="0069B4"/>
      <w:sz w:val="32"/>
      <w:szCs w:val="28"/>
      <w:lang w:val="nl-NL"/>
    </w:rPr>
  </w:style>
  <w:style w:type="paragraph" w:styleId="Subtitle">
    <w:name w:val="Subtitle"/>
    <w:basedOn w:val="Normal"/>
    <w:next w:val="Normal"/>
    <w:link w:val="SubtitleChar"/>
    <w:uiPriority w:val="11"/>
    <w:qFormat/>
    <w:rsid w:val="00577B33"/>
    <w:pPr>
      <w:numPr>
        <w:ilvl w:val="1"/>
      </w:numPr>
      <w:spacing w:after="60"/>
    </w:pPr>
    <w:rPr>
      <w:rFonts w:eastAsiaTheme="minorEastAsia"/>
      <w:b/>
      <w:color w:val="0069B4"/>
      <w:spacing w:val="15"/>
      <w:sz w:val="20"/>
    </w:rPr>
  </w:style>
  <w:style w:type="paragraph" w:customStyle="1" w:styleId="IntroPressRelease">
    <w:name w:val="Intro Press Release"/>
    <w:basedOn w:val="Normal"/>
    <w:link w:val="IntroPressReleaseChar"/>
    <w:qFormat/>
    <w:rsid w:val="00376B48"/>
    <w:pPr>
      <w:autoSpaceDE w:val="0"/>
      <w:autoSpaceDN w:val="0"/>
      <w:adjustRightInd w:val="0"/>
      <w:spacing w:after="60" w:line="276" w:lineRule="auto"/>
    </w:pPr>
    <w:rPr>
      <w:rFonts w:cs="Arial"/>
      <w:b/>
      <w:sz w:val="24"/>
      <w:szCs w:val="24"/>
    </w:rPr>
  </w:style>
  <w:style w:type="paragraph" w:customStyle="1" w:styleId="Bodytextpressrelease">
    <w:name w:val="Body text press release"/>
    <w:basedOn w:val="Normal"/>
    <w:link w:val="BodytextpressreleaseChar"/>
    <w:qFormat/>
    <w:rsid w:val="00376B48"/>
    <w:pPr>
      <w:autoSpaceDE w:val="0"/>
      <w:autoSpaceDN w:val="0"/>
      <w:adjustRightInd w:val="0"/>
      <w:spacing w:after="60" w:line="276" w:lineRule="auto"/>
    </w:pPr>
    <w:rPr>
      <w:rFonts w:cs="Arial"/>
      <w:sz w:val="20"/>
      <w:szCs w:val="24"/>
    </w:rPr>
  </w:style>
  <w:style w:type="character" w:customStyle="1" w:styleId="SubtitleChar">
    <w:name w:val="Subtitle Char"/>
    <w:basedOn w:val="DefaultParagraphFont"/>
    <w:link w:val="Subtitle"/>
    <w:uiPriority w:val="11"/>
    <w:rsid w:val="00577B33"/>
    <w:rPr>
      <w:rFonts w:ascii="Arial" w:eastAsiaTheme="minorEastAsia" w:hAnsi="Arial"/>
      <w:b/>
      <w:color w:val="0069B4"/>
      <w:spacing w:val="15"/>
      <w:sz w:val="20"/>
    </w:rPr>
  </w:style>
  <w:style w:type="character" w:customStyle="1" w:styleId="IntroPressReleaseChar">
    <w:name w:val="Intro Press Release Char"/>
    <w:basedOn w:val="DefaultParagraphFont"/>
    <w:link w:val="IntroPressRelease"/>
    <w:rsid w:val="00376B48"/>
    <w:rPr>
      <w:rFonts w:ascii="Arial" w:hAnsi="Arial" w:cs="Arial"/>
      <w:b/>
      <w:color w:val="000000"/>
      <w:sz w:val="24"/>
      <w:szCs w:val="24"/>
    </w:rPr>
  </w:style>
  <w:style w:type="character" w:customStyle="1" w:styleId="BodytextpressreleaseChar">
    <w:name w:val="Body text press release Char"/>
    <w:basedOn w:val="DefaultParagraphFont"/>
    <w:link w:val="Bodytextpressrelease"/>
    <w:rsid w:val="00376B48"/>
    <w:rPr>
      <w:rFonts w:ascii="Arial" w:hAnsi="Arial" w:cs="Arial"/>
      <w:sz w:val="20"/>
      <w:szCs w:val="24"/>
    </w:rPr>
  </w:style>
  <w:style w:type="paragraph" w:customStyle="1" w:styleId="Hyperlinkpressrelease">
    <w:name w:val="Hyperlink press release"/>
    <w:basedOn w:val="Normal"/>
    <w:link w:val="HyperlinkpressreleaseChar"/>
    <w:qFormat/>
    <w:rsid w:val="00376B48"/>
    <w:pPr>
      <w:autoSpaceDE w:val="0"/>
      <w:autoSpaceDN w:val="0"/>
      <w:adjustRightInd w:val="0"/>
      <w:spacing w:after="60" w:line="276" w:lineRule="auto"/>
    </w:pPr>
    <w:rPr>
      <w:rFonts w:cs="Arial"/>
      <w:color w:val="0069B4"/>
      <w:sz w:val="20"/>
      <w:szCs w:val="24"/>
    </w:rPr>
  </w:style>
  <w:style w:type="character" w:customStyle="1" w:styleId="HyperlinkpressreleaseChar">
    <w:name w:val="Hyperlink press release Char"/>
    <w:basedOn w:val="DefaultParagraphFont"/>
    <w:link w:val="Hyperlinkpressrelease"/>
    <w:rsid w:val="00376B48"/>
    <w:rPr>
      <w:rFonts w:ascii="Arial" w:hAnsi="Arial" w:cs="Arial"/>
      <w:color w:val="0069B4"/>
      <w:sz w:val="20"/>
      <w:szCs w:val="24"/>
    </w:rPr>
  </w:style>
  <w:style w:type="character" w:customStyle="1" w:styleId="Heading1Char">
    <w:name w:val="Heading 1 Char"/>
    <w:basedOn w:val="DefaultParagraphFont"/>
    <w:link w:val="Heading1"/>
    <w:uiPriority w:val="9"/>
    <w:rsid w:val="00577B33"/>
    <w:rPr>
      <w:rFonts w:ascii="Arial" w:eastAsiaTheme="majorEastAsia" w:hAnsi="Arial" w:cstheme="majorBidi"/>
      <w:b/>
      <w:color w:val="000000" w:themeColor="text1"/>
      <w:sz w:val="18"/>
      <w:szCs w:val="32"/>
    </w:rPr>
  </w:style>
  <w:style w:type="character" w:customStyle="1" w:styleId="Heading2Char">
    <w:name w:val="Heading 2 Char"/>
    <w:basedOn w:val="DefaultParagraphFont"/>
    <w:link w:val="Heading2"/>
    <w:uiPriority w:val="9"/>
    <w:rsid w:val="00577B33"/>
    <w:rPr>
      <w:rFonts w:ascii="Arial" w:eastAsiaTheme="majorEastAsia" w:hAnsi="Arial" w:cstheme="majorBidi"/>
      <w:color w:val="808080" w:themeColor="background1" w:themeShade="80"/>
      <w:sz w:val="18"/>
      <w:szCs w:val="26"/>
    </w:rPr>
  </w:style>
  <w:style w:type="paragraph" w:customStyle="1" w:styleId="Headingtext">
    <w:name w:val="Heading text"/>
    <w:basedOn w:val="Normal"/>
    <w:next w:val="Normal"/>
    <w:link w:val="HeadingtextCharChar"/>
    <w:rsid w:val="005457EE"/>
    <w:pPr>
      <w:spacing w:after="0" w:line="240" w:lineRule="auto"/>
    </w:pPr>
    <w:rPr>
      <w:rFonts w:eastAsia="Times New Roman" w:cs="Times New Roman"/>
      <w:b/>
      <w:color w:val="005CAE"/>
      <w:sz w:val="20"/>
      <w:szCs w:val="28"/>
      <w:lang w:val="nl-NL" w:eastAsia="nl-NL"/>
    </w:rPr>
  </w:style>
  <w:style w:type="character" w:customStyle="1" w:styleId="HeadingtextCharChar">
    <w:name w:val="Heading text Char Char"/>
    <w:basedOn w:val="DefaultParagraphFont"/>
    <w:link w:val="Headingtext"/>
    <w:rsid w:val="005457EE"/>
    <w:rPr>
      <w:rFonts w:ascii="Arial" w:eastAsia="Times New Roman" w:hAnsi="Arial" w:cs="Times New Roman"/>
      <w:b/>
      <w:color w:val="005CAE"/>
      <w:sz w:val="20"/>
      <w:szCs w:val="28"/>
      <w:lang w:val="nl-NL" w:eastAsia="nl-NL"/>
    </w:rPr>
  </w:style>
  <w:style w:type="paragraph" w:customStyle="1" w:styleId="BodyTextPressRelease0">
    <w:name w:val="Body Text Press Release"/>
    <w:basedOn w:val="Normal"/>
    <w:link w:val="BodyTextPressReleaseChar0"/>
    <w:qFormat/>
    <w:rsid w:val="00FC2D5B"/>
    <w:pPr>
      <w:autoSpaceDE w:val="0"/>
      <w:autoSpaceDN w:val="0"/>
      <w:adjustRightInd w:val="0"/>
      <w:spacing w:after="0" w:line="276" w:lineRule="auto"/>
      <w:jc w:val="both"/>
    </w:pPr>
    <w:rPr>
      <w:rFonts w:cs="Arial"/>
      <w:color w:val="1D1D1D"/>
      <w:sz w:val="24"/>
      <w:szCs w:val="24"/>
    </w:rPr>
  </w:style>
  <w:style w:type="character" w:customStyle="1" w:styleId="BodyTextPressReleaseChar0">
    <w:name w:val="Body Text Press Release Char"/>
    <w:basedOn w:val="DefaultParagraphFont"/>
    <w:link w:val="BodyTextPressRelease0"/>
    <w:rsid w:val="00FC2D5B"/>
    <w:rPr>
      <w:rFonts w:cs="Arial"/>
      <w:color w:val="1D1D1D"/>
      <w:sz w:val="24"/>
      <w:szCs w:val="24"/>
    </w:rPr>
  </w:style>
  <w:style w:type="character" w:styleId="CommentReference">
    <w:name w:val="annotation reference"/>
    <w:basedOn w:val="DefaultParagraphFont"/>
    <w:uiPriority w:val="99"/>
    <w:semiHidden/>
    <w:unhideWhenUsed/>
    <w:rsid w:val="00E6119A"/>
    <w:rPr>
      <w:sz w:val="16"/>
      <w:szCs w:val="16"/>
    </w:rPr>
  </w:style>
  <w:style w:type="paragraph" w:styleId="CommentText">
    <w:name w:val="annotation text"/>
    <w:basedOn w:val="Normal"/>
    <w:link w:val="CommentTextChar"/>
    <w:uiPriority w:val="99"/>
    <w:semiHidden/>
    <w:unhideWhenUsed/>
    <w:rsid w:val="00E6119A"/>
    <w:pPr>
      <w:spacing w:line="240" w:lineRule="auto"/>
    </w:pPr>
    <w:rPr>
      <w:sz w:val="20"/>
      <w:szCs w:val="20"/>
    </w:rPr>
  </w:style>
  <w:style w:type="character" w:customStyle="1" w:styleId="CommentTextChar">
    <w:name w:val="Comment Text Char"/>
    <w:basedOn w:val="DefaultParagraphFont"/>
    <w:link w:val="CommentText"/>
    <w:uiPriority w:val="99"/>
    <w:semiHidden/>
    <w:rsid w:val="00E6119A"/>
    <w:rPr>
      <w:sz w:val="20"/>
      <w:szCs w:val="20"/>
    </w:rPr>
  </w:style>
  <w:style w:type="paragraph" w:styleId="CommentSubject">
    <w:name w:val="annotation subject"/>
    <w:basedOn w:val="CommentText"/>
    <w:next w:val="CommentText"/>
    <w:link w:val="CommentSubjectChar"/>
    <w:uiPriority w:val="99"/>
    <w:semiHidden/>
    <w:unhideWhenUsed/>
    <w:rsid w:val="00E6119A"/>
    <w:rPr>
      <w:b/>
      <w:bCs/>
    </w:rPr>
  </w:style>
  <w:style w:type="character" w:customStyle="1" w:styleId="CommentSubjectChar">
    <w:name w:val="Comment Subject Char"/>
    <w:basedOn w:val="CommentTextChar"/>
    <w:link w:val="CommentSubject"/>
    <w:uiPriority w:val="99"/>
    <w:semiHidden/>
    <w:rsid w:val="00E611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2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willem.weidema@aego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ck.schiethart@aeg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gon.com/abou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egon CC Document" ma:contentTypeID="0x010100B0893451C74BF74FBF18272F56B69CE200CA2171AE9EAF434BB9712A3BA190F3FA" ma:contentTypeVersion="17" ma:contentTypeDescription="Aegon CC document" ma:contentTypeScope="" ma:versionID="beb120ba2533614f123fdcc1533c4ad2">
  <xsd:schema xmlns:xsd="http://www.w3.org/2001/XMLSchema" xmlns:xs="http://www.w3.org/2001/XMLSchema" xmlns:p="http://schemas.microsoft.com/office/2006/metadata/properties" xmlns:ns1="http://schemas.microsoft.com/sharepoint/v3" xmlns:ns2="bfe6e0b6-a5a6-435d-956e-8490d4b03c3e" xmlns:ns3="3cd766f3-da34-4982-9b8c-738a4581c217" xmlns:ns4="a74332eb-e2c4-488e-a7fe-cbaf6bd4e586" targetNamespace="http://schemas.microsoft.com/office/2006/metadata/properties" ma:root="true" ma:fieldsID="991ff38bced0fa1b9f44ac85cfc6fee0" ns1:_="" ns2:_="" ns3:_="" ns4:_="">
    <xsd:import namespace="http://schemas.microsoft.com/sharepoint/v3"/>
    <xsd:import namespace="bfe6e0b6-a5a6-435d-956e-8490d4b03c3e"/>
    <xsd:import namespace="3cd766f3-da34-4982-9b8c-738a4581c217"/>
    <xsd:import namespace="a74332eb-e2c4-488e-a7fe-cbaf6bd4e586"/>
    <xsd:element name="properties">
      <xsd:complexType>
        <xsd:sequence>
          <xsd:element name="documentManagement">
            <xsd:complexType>
              <xsd:all>
                <xsd:element ref="ns2:hc96ee5999704cb8819c1087c4cdf58f" minOccurs="0"/>
                <xsd:element ref="ns2:TaxCatchAll" minOccurs="0"/>
                <xsd:element ref="ns2:TaxCatchAllLabel" minOccurs="0"/>
                <xsd:element ref="ns2:eb26abaef6144b83b52d329c0a2467e4"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6e0b6-a5a6-435d-956e-8490d4b03c3e" elementFormDefault="qualified">
    <xsd:import namespace="http://schemas.microsoft.com/office/2006/documentManagement/types"/>
    <xsd:import namespace="http://schemas.microsoft.com/office/infopath/2007/PartnerControls"/>
    <xsd:element name="hc96ee5999704cb8819c1087c4cdf58f" ma:index="8" nillable="true" ma:taxonomy="true" ma:internalName="hc96ee5999704cb8819c1087c4cdf58f" ma:taxonomyFieldName="Confidentiality" ma:displayName="Confidentiality" ma:readOnly="false" ma:fieldId="{1c96ee59-9970-4cb8-819c-1087c4cdf58f}" ma:sspId="33ecf46e-890a-4d8f-8227-d99d79ddb869" ma:termSetId="98f66dd4-c283-45b6-95a1-825c1ce82a1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4f1c319-5407-4e74-97c0-74228fd037ba}" ma:internalName="TaxCatchAll" ma:readOnly="false" ma:showField="CatchAllData" ma:web="3cd766f3-da34-4982-9b8c-738a4581c21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4f1c319-5407-4e74-97c0-74228fd037ba}" ma:internalName="TaxCatchAllLabel" ma:readOnly="false" ma:showField="CatchAllDataLabel" ma:web="3cd766f3-da34-4982-9b8c-738a4581c217">
      <xsd:complexType>
        <xsd:complexContent>
          <xsd:extension base="dms:MultiChoiceLookup">
            <xsd:sequence>
              <xsd:element name="Value" type="dms:Lookup" maxOccurs="unbounded" minOccurs="0" nillable="true"/>
            </xsd:sequence>
          </xsd:extension>
        </xsd:complexContent>
      </xsd:complexType>
    </xsd:element>
    <xsd:element name="eb26abaef6144b83b52d329c0a2467e4" ma:index="12" ma:taxonomy="true" ma:internalName="eb26abaef6144b83b52d329c0a2467e4" ma:taxonomyFieldName="Document_x0020_Status" ma:displayName="Document status" ma:readOnly="false" ma:fieldId="{eb26abae-f614-4b83-b52d-329c0a2467e4}" ma:sspId="33ecf46e-890a-4d8f-8227-d99d79ddb869" ma:termSetId="6978f73a-37ba-41e4-a77a-bfa4d2f8a1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d766f3-da34-4982-9b8c-738a4581c2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4332eb-e2c4-488e-a7fe-cbaf6bd4e58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e6e0b6-a5a6-435d-956e-8490d4b03c3e">
      <Value>5</Value>
      <Value>2</Value>
    </TaxCatchAll>
    <TaxCatchAllLabel xmlns="bfe6e0b6-a5a6-435d-956e-8490d4b03c3e"/>
    <eb26abaef6144b83b52d329c0a2467e4 xmlns="bfe6e0b6-a5a6-435d-956e-8490d4b03c3e">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03b62d4e-41bd-4295-9ddd-6099ad34b4a6</TermId>
        </TermInfo>
      </Terms>
    </eb26abaef6144b83b52d329c0a2467e4>
    <hc96ee5999704cb8819c1087c4cdf58f xmlns="bfe6e0b6-a5a6-435d-956e-8490d4b03c3e">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561c8c91-1dad-40d4-98b3-ca2baf86f82d</TermId>
        </TermInfo>
      </Terms>
    </hc96ee5999704cb8819c1087c4cdf58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haredContentType xmlns="Microsoft.SharePoint.Taxonomy.ContentTypeSync" SourceId="33ecf46e-890a-4d8f-8227-d99d79ddb869" ContentTypeId="0x010100B0893451C74BF74FBF18272F56B69CE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1C9AD-F0E8-475E-BBE3-41EE3C513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e6e0b6-a5a6-435d-956e-8490d4b03c3e"/>
    <ds:schemaRef ds:uri="3cd766f3-da34-4982-9b8c-738a4581c217"/>
    <ds:schemaRef ds:uri="a74332eb-e2c4-488e-a7fe-cbaf6bd4e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73C93-88FD-4A4B-B9E0-97DAA7319E8F}">
  <ds:schemaRefs>
    <ds:schemaRef ds:uri="http://schemas.microsoft.com/sharepoint/v3"/>
    <ds:schemaRef ds:uri="http://purl.org/dc/terms/"/>
    <ds:schemaRef ds:uri="3cd766f3-da34-4982-9b8c-738a4581c217"/>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74332eb-e2c4-488e-a7fe-cbaf6bd4e586"/>
    <ds:schemaRef ds:uri="bfe6e0b6-a5a6-435d-956e-8490d4b03c3e"/>
    <ds:schemaRef ds:uri="http://www.w3.org/XML/1998/namespace"/>
    <ds:schemaRef ds:uri="http://purl.org/dc/dcmitype/"/>
  </ds:schemaRefs>
</ds:datastoreItem>
</file>

<file path=customXml/itemProps3.xml><?xml version="1.0" encoding="utf-8"?>
<ds:datastoreItem xmlns:ds="http://schemas.openxmlformats.org/officeDocument/2006/customXml" ds:itemID="{129A429B-A1B8-4170-A702-BC21112A5701}">
  <ds:schemaRefs>
    <ds:schemaRef ds:uri="Microsoft.SharePoint.Taxonomy.ContentTypeSync"/>
  </ds:schemaRefs>
</ds:datastoreItem>
</file>

<file path=customXml/itemProps4.xml><?xml version="1.0" encoding="utf-8"?>
<ds:datastoreItem xmlns:ds="http://schemas.openxmlformats.org/officeDocument/2006/customXml" ds:itemID="{1DC19723-9B4D-4FCF-808E-1B823FEA3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An update on Aegon's sale of its Central and Eastern European business to VIG</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update on Aegon's sale of its Central and Eastern European business to VIG</dc:title>
  <dc:subject>An update on Aegon's sale of its Central and Eastern European business to VIG</dc:subject>
  <dc:creator>Aegon</dc:creator>
  <cp:keywords>update Aegon's sale Central and Eastern European business </cp:keywords>
  <cp:lastModifiedBy>Schiethart, Dick</cp:lastModifiedBy>
  <cp:revision>2</cp:revision>
  <dcterms:created xsi:type="dcterms:W3CDTF">2021-04-06T23:53:00Z</dcterms:created>
  <dcterms:modified xsi:type="dcterms:W3CDTF">2021-04-06T23:53:00Z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0x010100B0893451C74BF74FBF18272F56B69CE200CA2171AE9EAF434BB9712A3BA190F3FA</vt:lpwstr>
  </property>
  <property fmtid="{D5CDD505-2E9C-101B-9397-08002B2CF9AE}" pid="3" name="Confidentiality">
    <vt:lpwstr>2;#Internal|561c8c91-1dad-40d4-98b3-ca2baf86f82d</vt:lpwstr>
  </property>
  <property fmtid="{D5CDD505-2E9C-101B-9397-08002B2CF9AE}" pid="4" name="Document Status">
    <vt:lpwstr>5;#Final|03b62d4e-41bd-4295-9ddd-6099ad34b4a6</vt:lpwstr>
  </property>
</Properties>
</file>