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FF" w:rsidRPr="005912BD" w:rsidRDefault="008C79FF">
      <w:pPr>
        <w:outlineLvl w:val="0"/>
        <w:rPr>
          <w:sz w:val="20"/>
          <w:szCs w:val="20"/>
        </w:rPr>
      </w:pPr>
      <w:bookmarkStart w:id="0" w:name="_GoBack"/>
      <w:bookmarkEnd w:id="0"/>
      <w:r w:rsidRPr="005912BD">
        <w:rPr>
          <w:sz w:val="20"/>
          <w:szCs w:val="20"/>
        </w:rPr>
        <w:t>Media Relations Contacts</w:t>
      </w:r>
    </w:p>
    <w:p w:rsidR="008C79FF" w:rsidRPr="005912BD" w:rsidRDefault="008C79FF">
      <w:pPr>
        <w:rPr>
          <w:sz w:val="20"/>
          <w:szCs w:val="20"/>
        </w:rPr>
      </w:pPr>
      <w:r w:rsidRPr="005912BD">
        <w:rPr>
          <w:sz w:val="20"/>
          <w:szCs w:val="20"/>
        </w:rPr>
        <w:t>Lucas van Grinsven - Corporate Communications - +31 40 268 3949 - Veldhoven, the Netherlands</w:t>
      </w:r>
    </w:p>
    <w:p w:rsidR="008C79FF" w:rsidRPr="005912BD" w:rsidRDefault="008C79FF">
      <w:pPr>
        <w:rPr>
          <w:sz w:val="20"/>
          <w:szCs w:val="20"/>
        </w:rPr>
      </w:pPr>
    </w:p>
    <w:p w:rsidR="008C79FF" w:rsidRPr="005912BD" w:rsidRDefault="008C79FF">
      <w:pPr>
        <w:outlineLvl w:val="0"/>
        <w:rPr>
          <w:sz w:val="20"/>
          <w:szCs w:val="20"/>
        </w:rPr>
      </w:pPr>
      <w:r w:rsidRPr="005912BD">
        <w:rPr>
          <w:sz w:val="20"/>
          <w:szCs w:val="20"/>
        </w:rPr>
        <w:t>Investor Relations Contacts</w:t>
      </w:r>
    </w:p>
    <w:p w:rsidR="008C79FF" w:rsidRPr="005912BD" w:rsidRDefault="008C79FF">
      <w:pPr>
        <w:rPr>
          <w:sz w:val="20"/>
          <w:szCs w:val="20"/>
        </w:rPr>
      </w:pPr>
      <w:r w:rsidRPr="005912BD">
        <w:rPr>
          <w:sz w:val="20"/>
          <w:szCs w:val="20"/>
        </w:rPr>
        <w:t>Craig DeYoung - Investor Relations - +1 480 383 4005 - Tempe, Arizona, USA</w:t>
      </w:r>
    </w:p>
    <w:p w:rsidR="008C79FF" w:rsidRPr="005912BD" w:rsidRDefault="008C79FF">
      <w:pPr>
        <w:rPr>
          <w:sz w:val="20"/>
          <w:szCs w:val="20"/>
        </w:rPr>
      </w:pPr>
      <w:r w:rsidRPr="005912BD">
        <w:rPr>
          <w:sz w:val="20"/>
          <w:szCs w:val="20"/>
        </w:rPr>
        <w:t>Franki D’Hoore - Investor Relations - +31 40 268 6494 - Veldhoven, the Netherlands</w:t>
      </w:r>
    </w:p>
    <w:p w:rsidR="008C79FF" w:rsidRDefault="008C79FF"/>
    <w:p w:rsidR="008C79FF" w:rsidRPr="005912BD" w:rsidRDefault="008C79FF"/>
    <w:p w:rsidR="008C79FF" w:rsidRPr="005912BD" w:rsidRDefault="008C79FF"/>
    <w:p w:rsidR="008C79FF" w:rsidRDefault="008C79FF">
      <w:pPr>
        <w:jc w:val="center"/>
        <w:outlineLvl w:val="0"/>
        <w:rPr>
          <w:b/>
        </w:rPr>
      </w:pPr>
      <w:r w:rsidRPr="005912BD">
        <w:rPr>
          <w:b/>
        </w:rPr>
        <w:t>ASML announces 201</w:t>
      </w:r>
      <w:r w:rsidR="00E873BC">
        <w:rPr>
          <w:b/>
        </w:rPr>
        <w:t>2</w:t>
      </w:r>
      <w:r w:rsidRPr="005912BD">
        <w:rPr>
          <w:b/>
        </w:rPr>
        <w:t xml:space="preserve"> </w:t>
      </w:r>
      <w:r w:rsidR="00012C28">
        <w:rPr>
          <w:b/>
        </w:rPr>
        <w:t>Second</w:t>
      </w:r>
      <w:r w:rsidR="00E873BC">
        <w:rPr>
          <w:b/>
        </w:rPr>
        <w:t xml:space="preserve"> </w:t>
      </w:r>
      <w:r w:rsidRPr="005912BD">
        <w:rPr>
          <w:b/>
        </w:rPr>
        <w:t>Quarter Results</w:t>
      </w:r>
    </w:p>
    <w:p w:rsidR="008C79FF" w:rsidRPr="005912BD" w:rsidRDefault="008C79FF">
      <w:pPr>
        <w:jc w:val="center"/>
        <w:outlineLvl w:val="0"/>
        <w:rPr>
          <w:b/>
        </w:rPr>
      </w:pPr>
    </w:p>
    <w:p w:rsidR="008C79FF" w:rsidRPr="005912BD" w:rsidRDefault="008C79FF">
      <w:pPr>
        <w:jc w:val="center"/>
        <w:rPr>
          <w:b/>
        </w:rPr>
      </w:pPr>
      <w:r>
        <w:rPr>
          <w:b/>
        </w:rPr>
        <w:t>ASML</w:t>
      </w:r>
      <w:r w:rsidR="008A4E6D">
        <w:rPr>
          <w:b/>
        </w:rPr>
        <w:t xml:space="preserve"> </w:t>
      </w:r>
      <w:r w:rsidR="001349BB">
        <w:rPr>
          <w:b/>
        </w:rPr>
        <w:t xml:space="preserve">confirms steady </w:t>
      </w:r>
      <w:r w:rsidR="002052D9">
        <w:rPr>
          <w:b/>
        </w:rPr>
        <w:t xml:space="preserve">sales for </w:t>
      </w:r>
      <w:r w:rsidR="00FB0144">
        <w:rPr>
          <w:b/>
        </w:rPr>
        <w:t xml:space="preserve">the </w:t>
      </w:r>
      <w:r w:rsidR="002052D9">
        <w:rPr>
          <w:b/>
        </w:rPr>
        <w:t xml:space="preserve">remainder of the </w:t>
      </w:r>
      <w:r w:rsidR="001349BB">
        <w:rPr>
          <w:b/>
        </w:rPr>
        <w:t>year</w:t>
      </w:r>
    </w:p>
    <w:p w:rsidR="008C79FF" w:rsidRPr="005912BD" w:rsidRDefault="008C79FF"/>
    <w:p w:rsidR="008C79FF" w:rsidRPr="005912BD" w:rsidRDefault="008C79FF"/>
    <w:p w:rsidR="008C79FF" w:rsidRDefault="008C79FF">
      <w:pPr>
        <w:spacing w:line="360" w:lineRule="auto"/>
      </w:pPr>
      <w:r w:rsidRPr="005912BD">
        <w:t xml:space="preserve">VELDHOVEN, the Netherlands, </w:t>
      </w:r>
      <w:r w:rsidR="005C2737">
        <w:t>July 18</w:t>
      </w:r>
      <w:r>
        <w:t>, 2012</w:t>
      </w:r>
      <w:r w:rsidRPr="005912BD">
        <w:t xml:space="preserve"> - ASML Holding N</w:t>
      </w:r>
      <w:r w:rsidR="00237523">
        <w:t>.</w:t>
      </w:r>
      <w:r w:rsidRPr="005912BD">
        <w:t>V</w:t>
      </w:r>
      <w:r w:rsidR="00237523">
        <w:t>.</w:t>
      </w:r>
      <w:r w:rsidRPr="005912BD">
        <w:t xml:space="preserve"> (ASML) today </w:t>
      </w:r>
      <w:r>
        <w:t>publishes</w:t>
      </w:r>
      <w:r w:rsidRPr="005912BD">
        <w:t xml:space="preserve"> 201</w:t>
      </w:r>
      <w:r w:rsidR="00E873BC">
        <w:t>2</w:t>
      </w:r>
      <w:r w:rsidRPr="005912BD">
        <w:t xml:space="preserve"> </w:t>
      </w:r>
      <w:r w:rsidR="005C2737">
        <w:t xml:space="preserve">second </w:t>
      </w:r>
      <w:r w:rsidRPr="005912BD">
        <w:t>quarter results</w:t>
      </w:r>
      <w:r>
        <w:t>.</w:t>
      </w:r>
    </w:p>
    <w:p w:rsidR="008C79FF" w:rsidRDefault="008C79FF">
      <w:pPr>
        <w:spacing w:line="360" w:lineRule="auto"/>
      </w:pPr>
    </w:p>
    <w:p w:rsidR="008C79FF" w:rsidRPr="004836BB" w:rsidRDefault="00DB4A6E">
      <w:pPr>
        <w:numPr>
          <w:ilvl w:val="0"/>
          <w:numId w:val="1"/>
        </w:numPr>
        <w:spacing w:line="360" w:lineRule="auto"/>
      </w:pPr>
      <w:r w:rsidRPr="004836BB">
        <w:t xml:space="preserve">ASML </w:t>
      </w:r>
      <w:r w:rsidR="005C2737" w:rsidRPr="004836BB">
        <w:t xml:space="preserve">on track for </w:t>
      </w:r>
      <w:r w:rsidR="00C8530D" w:rsidRPr="004836BB">
        <w:t>2012 second half sales between EUR 2.</w:t>
      </w:r>
      <w:r w:rsidR="00C248CA">
        <w:t>2</w:t>
      </w:r>
      <w:r w:rsidR="00C8530D" w:rsidRPr="004836BB">
        <w:t xml:space="preserve"> and 2.</w:t>
      </w:r>
      <w:r w:rsidR="00C248CA">
        <w:t>4</w:t>
      </w:r>
      <w:r w:rsidR="00C8530D" w:rsidRPr="004836BB">
        <w:t xml:space="preserve"> billion</w:t>
      </w:r>
    </w:p>
    <w:p w:rsidR="008C79FF" w:rsidRDefault="008C79FF">
      <w:pPr>
        <w:spacing w:line="360" w:lineRule="auto"/>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1E0" w:firstRow="1" w:lastRow="1" w:firstColumn="1" w:lastColumn="1" w:noHBand="0" w:noVBand="0"/>
      </w:tblPr>
      <w:tblGrid>
        <w:gridCol w:w="4059"/>
        <w:gridCol w:w="1346"/>
        <w:gridCol w:w="1219"/>
      </w:tblGrid>
      <w:tr w:rsidR="0016617E" w:rsidRPr="009B582F" w:rsidTr="005C2737">
        <w:trPr>
          <w:trHeight w:val="226"/>
        </w:trPr>
        <w:tc>
          <w:tcPr>
            <w:tcW w:w="4059" w:type="dxa"/>
            <w:shd w:val="clear" w:color="auto" w:fill="FFFFFF" w:themeFill="background1"/>
          </w:tcPr>
          <w:p w:rsidR="0016617E" w:rsidRPr="005C2737" w:rsidRDefault="0016617E">
            <w:pPr>
              <w:rPr>
                <w:sz w:val="20"/>
                <w:szCs w:val="20"/>
              </w:rPr>
            </w:pPr>
          </w:p>
        </w:tc>
        <w:tc>
          <w:tcPr>
            <w:tcW w:w="1346" w:type="dxa"/>
            <w:shd w:val="clear" w:color="auto" w:fill="D9D9D9" w:themeFill="background1" w:themeFillShade="D9"/>
          </w:tcPr>
          <w:p w:rsidR="0016617E" w:rsidRPr="005C2737" w:rsidRDefault="0016617E" w:rsidP="005C2737">
            <w:pPr>
              <w:jc w:val="right"/>
              <w:rPr>
                <w:b/>
                <w:bCs/>
                <w:sz w:val="20"/>
                <w:szCs w:val="20"/>
              </w:rPr>
            </w:pPr>
            <w:r w:rsidRPr="005C2737">
              <w:rPr>
                <w:b/>
                <w:bCs/>
                <w:sz w:val="20"/>
                <w:szCs w:val="20"/>
              </w:rPr>
              <w:t>Q</w:t>
            </w:r>
            <w:r w:rsidR="005C2737">
              <w:rPr>
                <w:b/>
                <w:bCs/>
                <w:sz w:val="20"/>
                <w:szCs w:val="20"/>
              </w:rPr>
              <w:t>2</w:t>
            </w:r>
            <w:r w:rsidRPr="005C2737">
              <w:rPr>
                <w:b/>
                <w:bCs/>
                <w:sz w:val="20"/>
                <w:szCs w:val="20"/>
              </w:rPr>
              <w:t xml:space="preserve"> 2012</w:t>
            </w:r>
          </w:p>
        </w:tc>
        <w:tc>
          <w:tcPr>
            <w:tcW w:w="1219" w:type="dxa"/>
            <w:shd w:val="clear" w:color="auto" w:fill="D9D9D9" w:themeFill="background1" w:themeFillShade="D9"/>
          </w:tcPr>
          <w:p w:rsidR="0016617E" w:rsidRPr="005C2737" w:rsidRDefault="0016617E" w:rsidP="006D4E40">
            <w:pPr>
              <w:jc w:val="right"/>
              <w:rPr>
                <w:b/>
                <w:bCs/>
                <w:sz w:val="20"/>
                <w:szCs w:val="20"/>
              </w:rPr>
            </w:pPr>
            <w:r w:rsidRPr="005C2737">
              <w:rPr>
                <w:b/>
                <w:bCs/>
                <w:sz w:val="20"/>
                <w:szCs w:val="20"/>
              </w:rPr>
              <w:t>Q</w:t>
            </w:r>
            <w:r w:rsidR="005C2737">
              <w:rPr>
                <w:b/>
                <w:bCs/>
                <w:sz w:val="20"/>
                <w:szCs w:val="20"/>
              </w:rPr>
              <w:t>1</w:t>
            </w:r>
            <w:r w:rsidRPr="005C2737">
              <w:rPr>
                <w:b/>
                <w:bCs/>
                <w:sz w:val="20"/>
                <w:szCs w:val="20"/>
              </w:rPr>
              <w:t xml:space="preserve"> 201</w:t>
            </w:r>
            <w:r w:rsidR="006D4E40">
              <w:rPr>
                <w:b/>
                <w:bCs/>
                <w:sz w:val="20"/>
                <w:szCs w:val="20"/>
              </w:rPr>
              <w:t>2</w:t>
            </w:r>
          </w:p>
        </w:tc>
      </w:tr>
      <w:tr w:rsidR="00F90126" w:rsidRPr="009B582F" w:rsidTr="005C2737">
        <w:trPr>
          <w:trHeight w:val="241"/>
        </w:trPr>
        <w:tc>
          <w:tcPr>
            <w:tcW w:w="4059" w:type="dxa"/>
            <w:shd w:val="clear" w:color="auto" w:fill="auto"/>
          </w:tcPr>
          <w:p w:rsidR="00F90126" w:rsidRPr="009B582F" w:rsidRDefault="00F90126">
            <w:pPr>
              <w:rPr>
                <w:sz w:val="20"/>
                <w:szCs w:val="20"/>
              </w:rPr>
            </w:pPr>
            <w:r w:rsidRPr="009B582F">
              <w:rPr>
                <w:sz w:val="20"/>
                <w:szCs w:val="20"/>
              </w:rPr>
              <w:t>Net sales</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1,228</w:t>
            </w:r>
          </w:p>
        </w:tc>
        <w:tc>
          <w:tcPr>
            <w:tcW w:w="1219" w:type="dxa"/>
            <w:shd w:val="clear" w:color="auto" w:fill="F2F2F2" w:themeFill="background1" w:themeFillShade="F2"/>
          </w:tcPr>
          <w:p w:rsidR="00F90126" w:rsidRPr="009B582F" w:rsidRDefault="00F90126" w:rsidP="005C2737">
            <w:pPr>
              <w:jc w:val="right"/>
              <w:rPr>
                <w:b/>
                <w:bCs/>
                <w:sz w:val="20"/>
                <w:szCs w:val="20"/>
              </w:rPr>
            </w:pPr>
            <w:r w:rsidRPr="009B582F">
              <w:rPr>
                <w:b/>
                <w:bCs/>
                <w:sz w:val="20"/>
                <w:szCs w:val="20"/>
              </w:rPr>
              <w:t>1,</w:t>
            </w:r>
            <w:r>
              <w:rPr>
                <w:b/>
                <w:bCs/>
                <w:sz w:val="20"/>
                <w:szCs w:val="20"/>
              </w:rPr>
              <w:t>252</w:t>
            </w:r>
          </w:p>
        </w:tc>
      </w:tr>
      <w:tr w:rsidR="00F90126" w:rsidRPr="009B582F" w:rsidTr="005C2737">
        <w:trPr>
          <w:trHeight w:val="514"/>
        </w:trPr>
        <w:tc>
          <w:tcPr>
            <w:tcW w:w="4059" w:type="dxa"/>
            <w:shd w:val="clear" w:color="auto" w:fill="auto"/>
          </w:tcPr>
          <w:p w:rsidR="00F90126" w:rsidRPr="009B582F" w:rsidRDefault="00F90126">
            <w:pPr>
              <w:rPr>
                <w:sz w:val="20"/>
                <w:szCs w:val="20"/>
              </w:rPr>
            </w:pPr>
            <w:r w:rsidRPr="009B582F">
              <w:rPr>
                <w:sz w:val="20"/>
                <w:szCs w:val="20"/>
              </w:rPr>
              <w:t>...of which service and field option sales</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243</w:t>
            </w:r>
          </w:p>
        </w:tc>
        <w:tc>
          <w:tcPr>
            <w:tcW w:w="1219" w:type="dxa"/>
            <w:shd w:val="clear" w:color="auto" w:fill="F2F2F2" w:themeFill="background1" w:themeFillShade="F2"/>
          </w:tcPr>
          <w:p w:rsidR="00F90126" w:rsidRPr="009B582F" w:rsidRDefault="00F90126" w:rsidP="005C2737">
            <w:pPr>
              <w:jc w:val="right"/>
              <w:rPr>
                <w:b/>
                <w:bCs/>
                <w:sz w:val="20"/>
                <w:szCs w:val="20"/>
              </w:rPr>
            </w:pPr>
            <w:r>
              <w:rPr>
                <w:b/>
                <w:bCs/>
                <w:sz w:val="20"/>
                <w:szCs w:val="20"/>
              </w:rPr>
              <w:t>202</w:t>
            </w:r>
          </w:p>
        </w:tc>
      </w:tr>
      <w:tr w:rsidR="00F90126" w:rsidRPr="009B582F" w:rsidTr="005C2737">
        <w:trPr>
          <w:trHeight w:val="226"/>
        </w:trPr>
        <w:tc>
          <w:tcPr>
            <w:tcW w:w="4059" w:type="dxa"/>
            <w:shd w:val="clear" w:color="auto" w:fill="auto"/>
          </w:tcPr>
          <w:p w:rsidR="00F90126" w:rsidRPr="009B582F" w:rsidRDefault="00F90126">
            <w:pPr>
              <w:rPr>
                <w:sz w:val="20"/>
                <w:szCs w:val="20"/>
              </w:rPr>
            </w:pPr>
            <w:r w:rsidRPr="009B582F">
              <w:rPr>
                <w:sz w:val="20"/>
                <w:szCs w:val="20"/>
              </w:rPr>
              <w:t>New systems sold (units)</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42</w:t>
            </w:r>
          </w:p>
        </w:tc>
        <w:tc>
          <w:tcPr>
            <w:tcW w:w="1219" w:type="dxa"/>
            <w:shd w:val="clear" w:color="auto" w:fill="F2F2F2" w:themeFill="background1" w:themeFillShade="F2"/>
          </w:tcPr>
          <w:p w:rsidR="00F90126" w:rsidRPr="009B582F" w:rsidRDefault="00F90126" w:rsidP="005C2737">
            <w:pPr>
              <w:jc w:val="right"/>
              <w:rPr>
                <w:b/>
                <w:bCs/>
                <w:sz w:val="20"/>
                <w:szCs w:val="20"/>
              </w:rPr>
            </w:pPr>
            <w:r>
              <w:rPr>
                <w:b/>
                <w:bCs/>
                <w:sz w:val="20"/>
                <w:szCs w:val="20"/>
              </w:rPr>
              <w:t>47</w:t>
            </w:r>
          </w:p>
        </w:tc>
      </w:tr>
      <w:tr w:rsidR="00F90126" w:rsidRPr="009B582F" w:rsidTr="005C2737">
        <w:trPr>
          <w:trHeight w:val="241"/>
        </w:trPr>
        <w:tc>
          <w:tcPr>
            <w:tcW w:w="4059" w:type="dxa"/>
            <w:shd w:val="clear" w:color="auto" w:fill="auto"/>
          </w:tcPr>
          <w:p w:rsidR="00F90126" w:rsidRPr="009B582F" w:rsidRDefault="00F90126">
            <w:pPr>
              <w:rPr>
                <w:sz w:val="20"/>
                <w:szCs w:val="20"/>
              </w:rPr>
            </w:pPr>
            <w:r w:rsidRPr="009B582F">
              <w:rPr>
                <w:sz w:val="20"/>
                <w:szCs w:val="20"/>
              </w:rPr>
              <w:t>Used systems sold (units)</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2</w:t>
            </w:r>
          </w:p>
        </w:tc>
        <w:tc>
          <w:tcPr>
            <w:tcW w:w="1219" w:type="dxa"/>
            <w:shd w:val="clear" w:color="auto" w:fill="F2F2F2" w:themeFill="background1" w:themeFillShade="F2"/>
          </w:tcPr>
          <w:p w:rsidR="00F90126" w:rsidRPr="009B582F" w:rsidRDefault="00F90126" w:rsidP="005C2737">
            <w:pPr>
              <w:jc w:val="right"/>
              <w:rPr>
                <w:b/>
                <w:bCs/>
                <w:sz w:val="20"/>
                <w:szCs w:val="20"/>
              </w:rPr>
            </w:pPr>
            <w:r>
              <w:rPr>
                <w:b/>
                <w:bCs/>
                <w:sz w:val="20"/>
                <w:szCs w:val="20"/>
              </w:rPr>
              <w:t>5</w:t>
            </w:r>
          </w:p>
        </w:tc>
      </w:tr>
      <w:tr w:rsidR="00F90126" w:rsidRPr="009B582F" w:rsidTr="005C2737">
        <w:trPr>
          <w:trHeight w:val="226"/>
        </w:trPr>
        <w:tc>
          <w:tcPr>
            <w:tcW w:w="4059" w:type="dxa"/>
            <w:shd w:val="clear" w:color="auto" w:fill="auto"/>
          </w:tcPr>
          <w:p w:rsidR="00F90126" w:rsidRPr="009B582F" w:rsidRDefault="00F90126">
            <w:pPr>
              <w:rPr>
                <w:sz w:val="20"/>
                <w:szCs w:val="20"/>
              </w:rPr>
            </w:pPr>
          </w:p>
        </w:tc>
        <w:tc>
          <w:tcPr>
            <w:tcW w:w="1346" w:type="dxa"/>
            <w:shd w:val="clear" w:color="auto" w:fill="FFFFFF" w:themeFill="background1"/>
          </w:tcPr>
          <w:p w:rsidR="00F90126" w:rsidRPr="009B582F" w:rsidRDefault="00F90126" w:rsidP="00701D6E">
            <w:pPr>
              <w:jc w:val="right"/>
              <w:rPr>
                <w:b/>
                <w:bCs/>
                <w:sz w:val="20"/>
                <w:szCs w:val="20"/>
              </w:rPr>
            </w:pPr>
          </w:p>
        </w:tc>
        <w:tc>
          <w:tcPr>
            <w:tcW w:w="1219" w:type="dxa"/>
            <w:shd w:val="clear" w:color="auto" w:fill="F2F2F2" w:themeFill="background1" w:themeFillShade="F2"/>
          </w:tcPr>
          <w:p w:rsidR="00F90126" w:rsidRPr="009B582F" w:rsidRDefault="00F90126">
            <w:pPr>
              <w:jc w:val="right"/>
              <w:rPr>
                <w:b/>
                <w:bCs/>
                <w:sz w:val="20"/>
                <w:szCs w:val="20"/>
              </w:rPr>
            </w:pPr>
          </w:p>
        </w:tc>
      </w:tr>
      <w:tr w:rsidR="00F90126" w:rsidRPr="009B582F" w:rsidTr="005C2737">
        <w:trPr>
          <w:trHeight w:val="226"/>
        </w:trPr>
        <w:tc>
          <w:tcPr>
            <w:tcW w:w="4059" w:type="dxa"/>
            <w:shd w:val="clear" w:color="auto" w:fill="auto"/>
          </w:tcPr>
          <w:p w:rsidR="00F90126" w:rsidRPr="009B582F" w:rsidRDefault="00F90126">
            <w:pPr>
              <w:rPr>
                <w:sz w:val="20"/>
                <w:szCs w:val="20"/>
              </w:rPr>
            </w:pPr>
            <w:r w:rsidRPr="009B582F">
              <w:rPr>
                <w:sz w:val="20"/>
                <w:szCs w:val="20"/>
              </w:rPr>
              <w:t xml:space="preserve">Net bookings, excluding EUV </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949</w:t>
            </w:r>
          </w:p>
        </w:tc>
        <w:tc>
          <w:tcPr>
            <w:tcW w:w="1219" w:type="dxa"/>
            <w:shd w:val="clear" w:color="auto" w:fill="F2F2F2" w:themeFill="background1" w:themeFillShade="F2"/>
          </w:tcPr>
          <w:p w:rsidR="00F90126" w:rsidRPr="009B582F" w:rsidRDefault="00F90126" w:rsidP="00E873BC">
            <w:pPr>
              <w:jc w:val="right"/>
              <w:rPr>
                <w:b/>
                <w:bCs/>
                <w:sz w:val="20"/>
                <w:szCs w:val="20"/>
              </w:rPr>
            </w:pPr>
            <w:r>
              <w:rPr>
                <w:b/>
                <w:bCs/>
                <w:sz w:val="20"/>
                <w:szCs w:val="20"/>
              </w:rPr>
              <w:t>865</w:t>
            </w:r>
          </w:p>
        </w:tc>
      </w:tr>
      <w:tr w:rsidR="00F90126" w:rsidRPr="009B582F" w:rsidTr="005C2737">
        <w:trPr>
          <w:trHeight w:val="241"/>
        </w:trPr>
        <w:tc>
          <w:tcPr>
            <w:tcW w:w="4059" w:type="dxa"/>
            <w:shd w:val="clear" w:color="auto" w:fill="auto"/>
          </w:tcPr>
          <w:p w:rsidR="00F90126" w:rsidRPr="009B582F" w:rsidRDefault="00F90126">
            <w:pPr>
              <w:rPr>
                <w:sz w:val="20"/>
                <w:szCs w:val="20"/>
              </w:rPr>
            </w:pPr>
            <w:r w:rsidRPr="009B582F">
              <w:rPr>
                <w:sz w:val="20"/>
                <w:szCs w:val="20"/>
              </w:rPr>
              <w:t>Net bookings, excluding EUV (units)</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43</w:t>
            </w:r>
          </w:p>
        </w:tc>
        <w:tc>
          <w:tcPr>
            <w:tcW w:w="1219" w:type="dxa"/>
            <w:shd w:val="clear" w:color="auto" w:fill="F2F2F2" w:themeFill="background1" w:themeFillShade="F2"/>
          </w:tcPr>
          <w:p w:rsidR="00F90126" w:rsidRPr="009B582F" w:rsidRDefault="00F90126" w:rsidP="00E873BC">
            <w:pPr>
              <w:jc w:val="right"/>
              <w:rPr>
                <w:b/>
                <w:bCs/>
                <w:sz w:val="20"/>
                <w:szCs w:val="20"/>
              </w:rPr>
            </w:pPr>
            <w:r>
              <w:rPr>
                <w:b/>
                <w:bCs/>
                <w:sz w:val="20"/>
                <w:szCs w:val="20"/>
              </w:rPr>
              <w:t>36</w:t>
            </w:r>
          </w:p>
        </w:tc>
      </w:tr>
      <w:tr w:rsidR="00F90126" w:rsidRPr="009B582F" w:rsidTr="005C2737">
        <w:trPr>
          <w:trHeight w:val="451"/>
        </w:trPr>
        <w:tc>
          <w:tcPr>
            <w:tcW w:w="4059" w:type="dxa"/>
            <w:shd w:val="clear" w:color="auto" w:fill="auto"/>
          </w:tcPr>
          <w:p w:rsidR="00F90126" w:rsidRPr="009B582F" w:rsidRDefault="00F90126">
            <w:pPr>
              <w:rPr>
                <w:sz w:val="20"/>
                <w:szCs w:val="20"/>
              </w:rPr>
            </w:pPr>
            <w:r w:rsidRPr="009B582F">
              <w:rPr>
                <w:sz w:val="20"/>
                <w:szCs w:val="20"/>
              </w:rPr>
              <w:t>ASP of booked systems, excluding EUV</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22.1</w:t>
            </w:r>
          </w:p>
        </w:tc>
        <w:tc>
          <w:tcPr>
            <w:tcW w:w="1219" w:type="dxa"/>
            <w:shd w:val="clear" w:color="auto" w:fill="F2F2F2" w:themeFill="background1" w:themeFillShade="F2"/>
          </w:tcPr>
          <w:p w:rsidR="00F90126" w:rsidRPr="009B582F" w:rsidRDefault="00F90126" w:rsidP="005C2737">
            <w:pPr>
              <w:jc w:val="right"/>
              <w:rPr>
                <w:b/>
                <w:bCs/>
                <w:sz w:val="20"/>
                <w:szCs w:val="20"/>
              </w:rPr>
            </w:pPr>
            <w:r>
              <w:rPr>
                <w:b/>
                <w:bCs/>
                <w:sz w:val="20"/>
                <w:szCs w:val="20"/>
              </w:rPr>
              <w:t>24.0</w:t>
            </w:r>
          </w:p>
        </w:tc>
      </w:tr>
      <w:tr w:rsidR="00F90126" w:rsidRPr="009B582F" w:rsidTr="005C2737">
        <w:trPr>
          <w:trHeight w:val="241"/>
        </w:trPr>
        <w:tc>
          <w:tcPr>
            <w:tcW w:w="4059" w:type="dxa"/>
            <w:shd w:val="clear" w:color="auto" w:fill="auto"/>
          </w:tcPr>
          <w:p w:rsidR="00F90126" w:rsidRPr="009B582F" w:rsidRDefault="00F90126">
            <w:pPr>
              <w:rPr>
                <w:sz w:val="20"/>
                <w:szCs w:val="20"/>
              </w:rPr>
            </w:pPr>
            <w:r w:rsidRPr="009B582F">
              <w:rPr>
                <w:sz w:val="20"/>
                <w:szCs w:val="20"/>
              </w:rPr>
              <w:t xml:space="preserve">Systems backlog, excluding EUV </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1,503</w:t>
            </w:r>
          </w:p>
        </w:tc>
        <w:tc>
          <w:tcPr>
            <w:tcW w:w="1219" w:type="dxa"/>
            <w:shd w:val="clear" w:color="auto" w:fill="F2F2F2" w:themeFill="background1" w:themeFillShade="F2"/>
          </w:tcPr>
          <w:p w:rsidR="00F90126" w:rsidRPr="009B582F" w:rsidRDefault="00F90126" w:rsidP="005C2737">
            <w:pPr>
              <w:jc w:val="right"/>
              <w:rPr>
                <w:b/>
                <w:bCs/>
                <w:sz w:val="20"/>
                <w:szCs w:val="20"/>
              </w:rPr>
            </w:pPr>
            <w:r w:rsidRPr="009B582F">
              <w:rPr>
                <w:b/>
                <w:bCs/>
                <w:sz w:val="20"/>
                <w:szCs w:val="20"/>
              </w:rPr>
              <w:t>1,</w:t>
            </w:r>
            <w:r>
              <w:rPr>
                <w:b/>
                <w:bCs/>
                <w:sz w:val="20"/>
                <w:szCs w:val="20"/>
              </w:rPr>
              <w:t>598</w:t>
            </w:r>
          </w:p>
        </w:tc>
      </w:tr>
      <w:tr w:rsidR="00F90126" w:rsidRPr="009B582F" w:rsidTr="005C2737">
        <w:trPr>
          <w:trHeight w:val="451"/>
        </w:trPr>
        <w:tc>
          <w:tcPr>
            <w:tcW w:w="4059" w:type="dxa"/>
            <w:shd w:val="clear" w:color="auto" w:fill="auto"/>
          </w:tcPr>
          <w:p w:rsidR="00F90126" w:rsidRPr="009B582F" w:rsidRDefault="00F90126">
            <w:pPr>
              <w:rPr>
                <w:sz w:val="20"/>
                <w:szCs w:val="20"/>
              </w:rPr>
            </w:pPr>
            <w:r w:rsidRPr="009B582F">
              <w:rPr>
                <w:sz w:val="20"/>
                <w:szCs w:val="20"/>
              </w:rPr>
              <w:t>Systems backlog, excluding EUV (units)</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55</w:t>
            </w:r>
          </w:p>
        </w:tc>
        <w:tc>
          <w:tcPr>
            <w:tcW w:w="1219" w:type="dxa"/>
            <w:shd w:val="clear" w:color="auto" w:fill="F2F2F2" w:themeFill="background1" w:themeFillShade="F2"/>
          </w:tcPr>
          <w:p w:rsidR="00F90126" w:rsidRPr="009B582F" w:rsidRDefault="00F90126" w:rsidP="005C2737">
            <w:pPr>
              <w:jc w:val="right"/>
              <w:rPr>
                <w:b/>
                <w:bCs/>
                <w:sz w:val="20"/>
                <w:szCs w:val="20"/>
              </w:rPr>
            </w:pPr>
            <w:r>
              <w:rPr>
                <w:b/>
                <w:bCs/>
                <w:sz w:val="20"/>
                <w:szCs w:val="20"/>
              </w:rPr>
              <w:t>56</w:t>
            </w:r>
          </w:p>
        </w:tc>
      </w:tr>
      <w:tr w:rsidR="00F90126" w:rsidRPr="009B582F" w:rsidTr="005C2737">
        <w:trPr>
          <w:trHeight w:val="226"/>
        </w:trPr>
        <w:tc>
          <w:tcPr>
            <w:tcW w:w="4059" w:type="dxa"/>
            <w:shd w:val="clear" w:color="auto" w:fill="auto"/>
          </w:tcPr>
          <w:p w:rsidR="00F90126" w:rsidRPr="009B582F" w:rsidRDefault="00F90126">
            <w:pPr>
              <w:rPr>
                <w:sz w:val="20"/>
                <w:szCs w:val="20"/>
              </w:rPr>
            </w:pPr>
            <w:r w:rsidRPr="009B582F">
              <w:rPr>
                <w:sz w:val="20"/>
                <w:szCs w:val="20"/>
              </w:rPr>
              <w:t>Gross margin excluding EUV</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43.2%</w:t>
            </w:r>
          </w:p>
        </w:tc>
        <w:tc>
          <w:tcPr>
            <w:tcW w:w="1219" w:type="dxa"/>
            <w:shd w:val="clear" w:color="auto" w:fill="F2F2F2" w:themeFill="background1" w:themeFillShade="F2"/>
          </w:tcPr>
          <w:p w:rsidR="00F90126" w:rsidRPr="009B582F" w:rsidRDefault="00F90126" w:rsidP="005C2737">
            <w:pPr>
              <w:jc w:val="right"/>
              <w:rPr>
                <w:b/>
                <w:bCs/>
                <w:sz w:val="20"/>
                <w:szCs w:val="20"/>
              </w:rPr>
            </w:pPr>
            <w:r w:rsidRPr="009B582F">
              <w:rPr>
                <w:b/>
                <w:bCs/>
                <w:sz w:val="20"/>
                <w:szCs w:val="20"/>
              </w:rPr>
              <w:t>4</w:t>
            </w:r>
            <w:r>
              <w:rPr>
                <w:b/>
                <w:bCs/>
                <w:sz w:val="20"/>
                <w:szCs w:val="20"/>
              </w:rPr>
              <w:t>3.3</w:t>
            </w:r>
            <w:r w:rsidRPr="009B582F">
              <w:rPr>
                <w:b/>
                <w:bCs/>
                <w:sz w:val="20"/>
                <w:szCs w:val="20"/>
              </w:rPr>
              <w:t>%</w:t>
            </w:r>
          </w:p>
        </w:tc>
      </w:tr>
      <w:tr w:rsidR="00F90126" w:rsidRPr="009B582F" w:rsidTr="005C2737">
        <w:trPr>
          <w:trHeight w:val="226"/>
        </w:trPr>
        <w:tc>
          <w:tcPr>
            <w:tcW w:w="4059" w:type="dxa"/>
            <w:shd w:val="clear" w:color="auto" w:fill="auto"/>
          </w:tcPr>
          <w:p w:rsidR="00F90126" w:rsidRPr="009B582F" w:rsidRDefault="00F90126">
            <w:pPr>
              <w:rPr>
                <w:sz w:val="20"/>
                <w:szCs w:val="20"/>
              </w:rPr>
            </w:pPr>
            <w:r w:rsidRPr="009B582F">
              <w:rPr>
                <w:sz w:val="20"/>
                <w:szCs w:val="20"/>
              </w:rPr>
              <w:t xml:space="preserve">Gross margin </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43.2%</w:t>
            </w:r>
          </w:p>
        </w:tc>
        <w:tc>
          <w:tcPr>
            <w:tcW w:w="1219" w:type="dxa"/>
            <w:shd w:val="clear" w:color="auto" w:fill="F2F2F2" w:themeFill="background1" w:themeFillShade="F2"/>
          </w:tcPr>
          <w:p w:rsidR="00F90126" w:rsidRPr="009B582F" w:rsidRDefault="00F90126" w:rsidP="00E873BC">
            <w:pPr>
              <w:jc w:val="right"/>
              <w:rPr>
                <w:b/>
                <w:bCs/>
                <w:sz w:val="20"/>
                <w:szCs w:val="20"/>
              </w:rPr>
            </w:pPr>
            <w:r w:rsidRPr="009B582F">
              <w:rPr>
                <w:b/>
                <w:bCs/>
                <w:sz w:val="20"/>
                <w:szCs w:val="20"/>
              </w:rPr>
              <w:t>4</w:t>
            </w:r>
            <w:r>
              <w:rPr>
                <w:b/>
                <w:bCs/>
                <w:sz w:val="20"/>
                <w:szCs w:val="20"/>
              </w:rPr>
              <w:t>1.8</w:t>
            </w:r>
            <w:r w:rsidRPr="009B582F">
              <w:rPr>
                <w:b/>
                <w:bCs/>
                <w:sz w:val="20"/>
                <w:szCs w:val="20"/>
              </w:rPr>
              <w:t>%</w:t>
            </w:r>
          </w:p>
        </w:tc>
      </w:tr>
      <w:tr w:rsidR="00F90126" w:rsidRPr="009B582F" w:rsidTr="005C2737">
        <w:trPr>
          <w:trHeight w:val="241"/>
        </w:trPr>
        <w:tc>
          <w:tcPr>
            <w:tcW w:w="4059" w:type="dxa"/>
            <w:shd w:val="clear" w:color="auto" w:fill="auto"/>
          </w:tcPr>
          <w:p w:rsidR="00F90126" w:rsidRPr="009B582F" w:rsidRDefault="00F90126">
            <w:pPr>
              <w:rPr>
                <w:sz w:val="20"/>
                <w:szCs w:val="20"/>
              </w:rPr>
            </w:pPr>
          </w:p>
        </w:tc>
        <w:tc>
          <w:tcPr>
            <w:tcW w:w="1346" w:type="dxa"/>
            <w:shd w:val="clear" w:color="auto" w:fill="FFFFFF" w:themeFill="background1"/>
          </w:tcPr>
          <w:p w:rsidR="00F90126" w:rsidRPr="009B582F" w:rsidRDefault="00F90126" w:rsidP="00701D6E">
            <w:pPr>
              <w:jc w:val="right"/>
              <w:rPr>
                <w:b/>
                <w:bCs/>
                <w:sz w:val="20"/>
                <w:szCs w:val="20"/>
              </w:rPr>
            </w:pPr>
          </w:p>
        </w:tc>
        <w:tc>
          <w:tcPr>
            <w:tcW w:w="1219" w:type="dxa"/>
            <w:shd w:val="clear" w:color="auto" w:fill="F2F2F2" w:themeFill="background1" w:themeFillShade="F2"/>
          </w:tcPr>
          <w:p w:rsidR="00F90126" w:rsidRPr="009B582F" w:rsidRDefault="00F90126">
            <w:pPr>
              <w:jc w:val="right"/>
              <w:rPr>
                <w:b/>
                <w:bCs/>
                <w:sz w:val="20"/>
                <w:szCs w:val="20"/>
              </w:rPr>
            </w:pPr>
          </w:p>
        </w:tc>
      </w:tr>
      <w:tr w:rsidR="00F90126" w:rsidRPr="009B582F" w:rsidTr="005C2737">
        <w:trPr>
          <w:trHeight w:val="451"/>
        </w:trPr>
        <w:tc>
          <w:tcPr>
            <w:tcW w:w="4059" w:type="dxa"/>
            <w:shd w:val="clear" w:color="auto" w:fill="auto"/>
          </w:tcPr>
          <w:p w:rsidR="00F90126" w:rsidRDefault="00F90126">
            <w:pPr>
              <w:rPr>
                <w:sz w:val="20"/>
                <w:szCs w:val="20"/>
              </w:rPr>
            </w:pPr>
            <w:r w:rsidRPr="009B582F">
              <w:rPr>
                <w:sz w:val="20"/>
                <w:szCs w:val="20"/>
              </w:rPr>
              <w:t>End-quarter cash and cash equivalents</w:t>
            </w:r>
            <w:r w:rsidR="00632416">
              <w:rPr>
                <w:sz w:val="20"/>
                <w:szCs w:val="20"/>
              </w:rPr>
              <w:t xml:space="preserve"> and short-term investments</w:t>
            </w:r>
          </w:p>
          <w:p w:rsidR="00632416" w:rsidRPr="009B582F" w:rsidRDefault="00632416">
            <w:pPr>
              <w:rPr>
                <w:sz w:val="20"/>
                <w:szCs w:val="20"/>
              </w:rPr>
            </w:pPr>
          </w:p>
        </w:tc>
        <w:tc>
          <w:tcPr>
            <w:tcW w:w="1346" w:type="dxa"/>
            <w:shd w:val="clear" w:color="auto" w:fill="FFFFFF" w:themeFill="background1"/>
          </w:tcPr>
          <w:p w:rsidR="00F90126" w:rsidRPr="009B582F" w:rsidRDefault="00632416" w:rsidP="00632416">
            <w:pPr>
              <w:jc w:val="right"/>
              <w:rPr>
                <w:b/>
                <w:bCs/>
                <w:sz w:val="20"/>
                <w:szCs w:val="20"/>
              </w:rPr>
            </w:pPr>
            <w:r w:rsidRPr="00C27016">
              <w:rPr>
                <w:b/>
                <w:bCs/>
                <w:sz w:val="20"/>
                <w:szCs w:val="20"/>
              </w:rPr>
              <w:t>2</w:t>
            </w:r>
            <w:r w:rsidR="00F90126" w:rsidRPr="00C27016">
              <w:rPr>
                <w:b/>
                <w:bCs/>
                <w:sz w:val="20"/>
                <w:szCs w:val="20"/>
              </w:rPr>
              <w:t>,</w:t>
            </w:r>
            <w:r w:rsidRPr="00C27016">
              <w:rPr>
                <w:b/>
                <w:bCs/>
                <w:sz w:val="20"/>
                <w:szCs w:val="20"/>
              </w:rPr>
              <w:t>702</w:t>
            </w:r>
          </w:p>
        </w:tc>
        <w:tc>
          <w:tcPr>
            <w:tcW w:w="1219" w:type="dxa"/>
            <w:shd w:val="clear" w:color="auto" w:fill="F2F2F2" w:themeFill="background1" w:themeFillShade="F2"/>
          </w:tcPr>
          <w:p w:rsidR="00F90126" w:rsidRPr="009B582F" w:rsidRDefault="00F90126" w:rsidP="005C2737">
            <w:pPr>
              <w:jc w:val="right"/>
              <w:rPr>
                <w:b/>
                <w:bCs/>
                <w:sz w:val="20"/>
                <w:szCs w:val="20"/>
              </w:rPr>
            </w:pPr>
            <w:r w:rsidRPr="009B582F">
              <w:rPr>
                <w:b/>
                <w:bCs/>
                <w:sz w:val="20"/>
                <w:szCs w:val="20"/>
              </w:rPr>
              <w:t>2,</w:t>
            </w:r>
            <w:r>
              <w:rPr>
                <w:b/>
                <w:bCs/>
                <w:sz w:val="20"/>
                <w:szCs w:val="20"/>
              </w:rPr>
              <w:t>953</w:t>
            </w:r>
          </w:p>
        </w:tc>
      </w:tr>
      <w:tr w:rsidR="00F90126" w:rsidRPr="009B582F" w:rsidTr="005C2737">
        <w:trPr>
          <w:trHeight w:val="226"/>
        </w:trPr>
        <w:tc>
          <w:tcPr>
            <w:tcW w:w="4059" w:type="dxa"/>
            <w:shd w:val="clear" w:color="auto" w:fill="auto"/>
          </w:tcPr>
          <w:p w:rsidR="00F90126" w:rsidRPr="009B582F" w:rsidRDefault="00F90126">
            <w:pPr>
              <w:rPr>
                <w:sz w:val="20"/>
                <w:szCs w:val="20"/>
              </w:rPr>
            </w:pPr>
            <w:r w:rsidRPr="009B582F">
              <w:rPr>
                <w:sz w:val="20"/>
                <w:szCs w:val="20"/>
              </w:rPr>
              <w:t>Net income</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292</w:t>
            </w:r>
          </w:p>
        </w:tc>
        <w:tc>
          <w:tcPr>
            <w:tcW w:w="1219" w:type="dxa"/>
            <w:shd w:val="clear" w:color="auto" w:fill="F2F2F2" w:themeFill="background1" w:themeFillShade="F2"/>
          </w:tcPr>
          <w:p w:rsidR="00F90126" w:rsidRPr="009B582F" w:rsidRDefault="00F90126" w:rsidP="00E873BC">
            <w:pPr>
              <w:jc w:val="right"/>
              <w:rPr>
                <w:b/>
                <w:bCs/>
                <w:sz w:val="20"/>
                <w:szCs w:val="20"/>
              </w:rPr>
            </w:pPr>
            <w:r>
              <w:rPr>
                <w:b/>
                <w:bCs/>
                <w:sz w:val="20"/>
                <w:szCs w:val="20"/>
              </w:rPr>
              <w:t>282</w:t>
            </w:r>
          </w:p>
        </w:tc>
      </w:tr>
      <w:tr w:rsidR="00F90126" w:rsidRPr="009B582F" w:rsidTr="005C2737">
        <w:trPr>
          <w:trHeight w:val="226"/>
        </w:trPr>
        <w:tc>
          <w:tcPr>
            <w:tcW w:w="4059" w:type="dxa"/>
            <w:shd w:val="clear" w:color="auto" w:fill="auto"/>
          </w:tcPr>
          <w:p w:rsidR="00F90126" w:rsidRPr="009B582F" w:rsidRDefault="00F90126">
            <w:pPr>
              <w:rPr>
                <w:sz w:val="20"/>
                <w:szCs w:val="20"/>
              </w:rPr>
            </w:pPr>
            <w:r w:rsidRPr="009B582F">
              <w:rPr>
                <w:sz w:val="20"/>
                <w:szCs w:val="20"/>
              </w:rPr>
              <w:t>EPS (in euro)</w:t>
            </w:r>
          </w:p>
        </w:tc>
        <w:tc>
          <w:tcPr>
            <w:tcW w:w="1346" w:type="dxa"/>
            <w:shd w:val="clear" w:color="auto" w:fill="FFFFFF" w:themeFill="background1"/>
          </w:tcPr>
          <w:p w:rsidR="00F90126" w:rsidRPr="009B582F" w:rsidRDefault="00F90126" w:rsidP="00701D6E">
            <w:pPr>
              <w:jc w:val="right"/>
              <w:rPr>
                <w:b/>
                <w:bCs/>
                <w:sz w:val="20"/>
                <w:szCs w:val="20"/>
              </w:rPr>
            </w:pPr>
            <w:r>
              <w:rPr>
                <w:b/>
                <w:bCs/>
                <w:sz w:val="20"/>
                <w:szCs w:val="20"/>
              </w:rPr>
              <w:t>0.71</w:t>
            </w:r>
          </w:p>
        </w:tc>
        <w:tc>
          <w:tcPr>
            <w:tcW w:w="1219" w:type="dxa"/>
            <w:shd w:val="clear" w:color="auto" w:fill="F2F2F2" w:themeFill="background1" w:themeFillShade="F2"/>
          </w:tcPr>
          <w:p w:rsidR="00F90126" w:rsidRPr="009B582F" w:rsidRDefault="00F90126" w:rsidP="00E873BC">
            <w:pPr>
              <w:jc w:val="right"/>
              <w:rPr>
                <w:b/>
                <w:bCs/>
                <w:sz w:val="20"/>
                <w:szCs w:val="20"/>
              </w:rPr>
            </w:pPr>
            <w:r w:rsidRPr="009B582F">
              <w:rPr>
                <w:b/>
                <w:bCs/>
                <w:sz w:val="20"/>
                <w:szCs w:val="20"/>
              </w:rPr>
              <w:t>0.</w:t>
            </w:r>
            <w:r>
              <w:rPr>
                <w:b/>
                <w:bCs/>
                <w:sz w:val="20"/>
                <w:szCs w:val="20"/>
              </w:rPr>
              <w:t>68</w:t>
            </w:r>
          </w:p>
        </w:tc>
      </w:tr>
      <w:tr w:rsidR="00F90126" w:rsidRPr="009B582F" w:rsidTr="005C2737">
        <w:trPr>
          <w:trHeight w:val="466"/>
        </w:trPr>
        <w:tc>
          <w:tcPr>
            <w:tcW w:w="4059" w:type="dxa"/>
            <w:tcBorders>
              <w:top w:val="single" w:sz="6" w:space="0" w:color="000080"/>
            </w:tcBorders>
            <w:shd w:val="clear" w:color="auto" w:fill="auto"/>
          </w:tcPr>
          <w:p w:rsidR="00F90126" w:rsidRPr="009B582F" w:rsidRDefault="00F90126">
            <w:pPr>
              <w:rPr>
                <w:sz w:val="20"/>
                <w:szCs w:val="20"/>
              </w:rPr>
            </w:pPr>
            <w:r w:rsidRPr="009B582F">
              <w:rPr>
                <w:sz w:val="20"/>
                <w:szCs w:val="20"/>
              </w:rPr>
              <w:t>(Figures in millions of euros unless otherwise indicated)</w:t>
            </w:r>
          </w:p>
        </w:tc>
        <w:tc>
          <w:tcPr>
            <w:tcW w:w="1346" w:type="dxa"/>
            <w:tcBorders>
              <w:top w:val="single" w:sz="6" w:space="0" w:color="000080"/>
            </w:tcBorders>
            <w:shd w:val="clear" w:color="auto" w:fill="FFFFFF" w:themeFill="background1"/>
          </w:tcPr>
          <w:p w:rsidR="00F90126" w:rsidRPr="009B582F" w:rsidRDefault="00F90126">
            <w:pPr>
              <w:jc w:val="right"/>
              <w:rPr>
                <w:b/>
                <w:sz w:val="20"/>
                <w:szCs w:val="20"/>
              </w:rPr>
            </w:pPr>
          </w:p>
        </w:tc>
        <w:tc>
          <w:tcPr>
            <w:tcW w:w="1219" w:type="dxa"/>
            <w:tcBorders>
              <w:top w:val="single" w:sz="6" w:space="0" w:color="000080"/>
            </w:tcBorders>
            <w:shd w:val="clear" w:color="auto" w:fill="F2F2F2" w:themeFill="background1" w:themeFillShade="F2"/>
          </w:tcPr>
          <w:p w:rsidR="00F90126" w:rsidRPr="009B582F" w:rsidRDefault="00F90126">
            <w:pPr>
              <w:jc w:val="right"/>
              <w:rPr>
                <w:sz w:val="20"/>
                <w:szCs w:val="20"/>
              </w:rPr>
            </w:pPr>
          </w:p>
        </w:tc>
      </w:tr>
    </w:tbl>
    <w:p w:rsidR="008C79FF" w:rsidRPr="005912BD" w:rsidRDefault="008C79FF">
      <w:pPr>
        <w:spacing w:line="360" w:lineRule="auto"/>
        <w:rPr>
          <w:b/>
        </w:rPr>
      </w:pPr>
    </w:p>
    <w:p w:rsidR="000064FD" w:rsidRPr="005912BD" w:rsidRDefault="000064FD" w:rsidP="000064FD">
      <w:pPr>
        <w:spacing w:line="360" w:lineRule="auto"/>
        <w:outlineLvl w:val="0"/>
        <w:rPr>
          <w:b/>
        </w:rPr>
      </w:pPr>
      <w:r w:rsidRPr="005912BD">
        <w:rPr>
          <w:b/>
        </w:rPr>
        <w:t>Outlook</w:t>
      </w:r>
    </w:p>
    <w:p w:rsidR="000064FD" w:rsidRDefault="000064FD" w:rsidP="000064FD">
      <w:pPr>
        <w:spacing w:line="360" w:lineRule="auto"/>
      </w:pPr>
      <w:r>
        <w:t xml:space="preserve">“We executed H1 2012 as planned and expect sales to remain steady in the second half,” said Eric Meurice, President and Chief Executive Officer of </w:t>
      </w:r>
      <w:smartTag w:uri="urn:schemas-microsoft-com:office:smarttags" w:element="stockticker">
        <w:r>
          <w:t>ASML</w:t>
        </w:r>
      </w:smartTag>
      <w:r>
        <w:t xml:space="preserve">. “The second half </w:t>
      </w:r>
      <w:r>
        <w:lastRenderedPageBreak/>
        <w:t xml:space="preserve">revenue </w:t>
      </w:r>
      <w:r w:rsidRPr="00A663C0">
        <w:t xml:space="preserve">level </w:t>
      </w:r>
      <w:r w:rsidRPr="004836BB">
        <w:t>is expected to be between EUR 2.</w:t>
      </w:r>
      <w:r w:rsidR="00C248CA">
        <w:t>2</w:t>
      </w:r>
      <w:r w:rsidRPr="004836BB">
        <w:t xml:space="preserve"> billion and 2.</w:t>
      </w:r>
      <w:r w:rsidR="00C248CA">
        <w:t>4</w:t>
      </w:r>
      <w:r w:rsidRPr="004836BB">
        <w:t xml:space="preserve"> billion</w:t>
      </w:r>
      <w:r w:rsidR="00C27016" w:rsidRPr="00A663C0">
        <w:t xml:space="preserve"> </w:t>
      </w:r>
      <w:r w:rsidRPr="00A663C0">
        <w:t xml:space="preserve">and looks sustained by an increase of NAND </w:t>
      </w:r>
      <w:r w:rsidR="00C27016" w:rsidRPr="002A24AA">
        <w:t xml:space="preserve">memory </w:t>
      </w:r>
      <w:r w:rsidRPr="004836BB">
        <w:t>critical layer systems shipments</w:t>
      </w:r>
      <w:r>
        <w:t xml:space="preserve">, stability of DRAM </w:t>
      </w:r>
      <w:r w:rsidR="00C27016">
        <w:t xml:space="preserve">memory </w:t>
      </w:r>
      <w:r w:rsidR="00390058">
        <w:t>systems sales</w:t>
      </w:r>
      <w:r w:rsidR="00A663C0">
        <w:t>, and</w:t>
      </w:r>
      <w:r w:rsidR="00390058">
        <w:t xml:space="preserve"> slower </w:t>
      </w:r>
      <w:r>
        <w:t xml:space="preserve">28/32 nm Logic in the second half compared with the first half. The exact level of sales achieved in the second half will depend on the strength of NAND pick up, itself fueled by new ultrabook PCs and new smartphone ramps. On the technology front, </w:t>
      </w:r>
      <w:r w:rsidR="00390058">
        <w:t xml:space="preserve">we </w:t>
      </w:r>
      <w:r w:rsidR="0079079F">
        <w:t>expect to</w:t>
      </w:r>
      <w:r w:rsidR="00390058">
        <w:t xml:space="preserve"> ship the first of the NXE:3300, our production</w:t>
      </w:r>
      <w:r w:rsidR="0079079F">
        <w:t>-</w:t>
      </w:r>
      <w:r w:rsidR="005E2686">
        <w:t>capable</w:t>
      </w:r>
      <w:r w:rsidR="00390058">
        <w:t xml:space="preserve"> </w:t>
      </w:r>
      <w:r w:rsidR="00A663C0">
        <w:t>Extreme Ultraviolet (</w:t>
      </w:r>
      <w:r w:rsidR="00390058">
        <w:t>EUV</w:t>
      </w:r>
      <w:r w:rsidR="00A663C0">
        <w:t xml:space="preserve">) </w:t>
      </w:r>
      <w:r w:rsidR="00390058">
        <w:t>system, by the end of this year or early next year and</w:t>
      </w:r>
      <w:r w:rsidR="00310184">
        <w:t xml:space="preserve"> </w:t>
      </w:r>
      <w:r w:rsidR="005E2686">
        <w:t>the rest of our 11 unit order</w:t>
      </w:r>
      <w:r w:rsidR="00390058">
        <w:t xml:space="preserve"> in 2013</w:t>
      </w:r>
      <w:r w:rsidR="0079079F">
        <w:t>.</w:t>
      </w:r>
      <w:r w:rsidR="005E2686">
        <w:t xml:space="preserve"> </w:t>
      </w:r>
      <w:r w:rsidR="0079079F">
        <w:t>T</w:t>
      </w:r>
      <w:r w:rsidR="005E2686">
        <w:t>hese tools will be used for process development</w:t>
      </w:r>
      <w:r w:rsidR="00A663C0">
        <w:t>.</w:t>
      </w:r>
      <w:r w:rsidR="005E2686">
        <w:t xml:space="preserve"> </w:t>
      </w:r>
      <w:r w:rsidR="00A663C0">
        <w:t>W</w:t>
      </w:r>
      <w:r>
        <w:t xml:space="preserve">e are </w:t>
      </w:r>
      <w:r w:rsidR="005E2686">
        <w:t xml:space="preserve">furthermore </w:t>
      </w:r>
      <w:r>
        <w:t xml:space="preserve">making progress in preparing </w:t>
      </w:r>
      <w:r w:rsidR="00471C85">
        <w:t xml:space="preserve">EUV </w:t>
      </w:r>
      <w:r>
        <w:t xml:space="preserve">lithography for </w:t>
      </w:r>
      <w:r w:rsidR="0079079F">
        <w:t xml:space="preserve">2014 device </w:t>
      </w:r>
      <w:r>
        <w:t xml:space="preserve">production, evidenced by customer commitment </w:t>
      </w:r>
      <w:r w:rsidR="0093474A">
        <w:t xml:space="preserve">to purchase </w:t>
      </w:r>
      <w:r w:rsidR="009E034B">
        <w:t xml:space="preserve">four additional </w:t>
      </w:r>
      <w:r>
        <w:t>production system</w:t>
      </w:r>
      <w:r w:rsidR="00C27016">
        <w:t>s</w:t>
      </w:r>
      <w:r w:rsidR="0093474A">
        <w:t xml:space="preserve"> </w:t>
      </w:r>
      <w:r>
        <w:t>for delivery in 2014</w:t>
      </w:r>
      <w:r w:rsidR="00267388">
        <w:t>.</w:t>
      </w:r>
      <w:r w:rsidR="00A663C0">
        <w:t xml:space="preserve"> </w:t>
      </w:r>
      <w:r w:rsidR="00267388">
        <w:t xml:space="preserve">This commitment is </w:t>
      </w:r>
      <w:r w:rsidR="005E2686">
        <w:t>enabled by the</w:t>
      </w:r>
      <w:r w:rsidR="001A5CAE">
        <w:t xml:space="preserve"> data gathered on source power increase and by steady performance of the six units already in the field</w:t>
      </w:r>
      <w:r>
        <w:t>,</w:t>
      </w:r>
      <w:r>
        <w:rPr>
          <w:rFonts w:eastAsia="Batang" w:cs="Arial"/>
        </w:rPr>
        <w:t xml:space="preserve">” </w:t>
      </w:r>
      <w:r>
        <w:t>Meurice said.</w:t>
      </w:r>
    </w:p>
    <w:p w:rsidR="000064FD" w:rsidRPr="005912BD" w:rsidRDefault="000064FD" w:rsidP="000064FD">
      <w:pPr>
        <w:spacing w:line="360" w:lineRule="auto"/>
      </w:pPr>
    </w:p>
    <w:p w:rsidR="000064FD" w:rsidRDefault="000064FD" w:rsidP="000064FD">
      <w:pPr>
        <w:spacing w:line="360" w:lineRule="auto"/>
      </w:pPr>
      <w:r>
        <w:t xml:space="preserve">For the third quarter 2012, </w:t>
      </w:r>
      <w:smartTag w:uri="urn:schemas-microsoft-com:office:smarttags" w:element="stockticker">
        <w:r w:rsidRPr="005912BD">
          <w:t>ASML</w:t>
        </w:r>
      </w:smartTag>
      <w:r w:rsidRPr="005912BD">
        <w:t xml:space="preserve"> expects net sales </w:t>
      </w:r>
      <w:r>
        <w:t xml:space="preserve">of about </w:t>
      </w:r>
      <w:r w:rsidRPr="0002015D">
        <w:t>EUR 1.2 billion, gross margin of about 43 percent, R&amp;D costs at EUR 1</w:t>
      </w:r>
      <w:r w:rsidR="00701D6E" w:rsidRPr="0002015D">
        <w:t>45</w:t>
      </w:r>
      <w:r w:rsidRPr="0002015D">
        <w:t xml:space="preserve"> million and SG&amp;A costs at EUR </w:t>
      </w:r>
      <w:r w:rsidR="00701D6E" w:rsidRPr="0002015D">
        <w:t>60</w:t>
      </w:r>
      <w:r w:rsidRPr="0002015D">
        <w:t xml:space="preserve"> million.</w:t>
      </w:r>
    </w:p>
    <w:p w:rsidR="00C27016" w:rsidRDefault="00C27016" w:rsidP="000064FD">
      <w:pPr>
        <w:spacing w:line="360" w:lineRule="auto"/>
      </w:pPr>
    </w:p>
    <w:p w:rsidR="008C79FF" w:rsidRDefault="00023F01">
      <w:pPr>
        <w:spacing w:line="360" w:lineRule="auto"/>
        <w:outlineLvl w:val="0"/>
      </w:pPr>
      <w:r>
        <w:rPr>
          <w:b/>
        </w:rPr>
        <w:t xml:space="preserve">Second </w:t>
      </w:r>
      <w:r w:rsidR="008C79FF">
        <w:rPr>
          <w:b/>
        </w:rPr>
        <w:t xml:space="preserve">Quarter </w:t>
      </w:r>
      <w:r w:rsidR="00F0331E">
        <w:rPr>
          <w:b/>
        </w:rPr>
        <w:t>2012</w:t>
      </w:r>
      <w:r w:rsidR="008C79FF">
        <w:rPr>
          <w:b/>
        </w:rPr>
        <w:t xml:space="preserve"> Highlights</w:t>
      </w:r>
    </w:p>
    <w:p w:rsidR="00471C85" w:rsidRDefault="00471C85" w:rsidP="00471C85">
      <w:pPr>
        <w:numPr>
          <w:ilvl w:val="0"/>
          <w:numId w:val="5"/>
        </w:numPr>
        <w:spacing w:line="360" w:lineRule="auto"/>
      </w:pPr>
      <w:r>
        <w:t>To date we have shipped 30 TWINSCAN NXT:1950i systems which can image 230 wafers per hours. In addition, we have started upgrading TWINSCAN NXT:1950i systems at customer manufacturing sites to this productivity level.</w:t>
      </w:r>
    </w:p>
    <w:p w:rsidR="005515CC" w:rsidRDefault="005515CC" w:rsidP="005515CC">
      <w:pPr>
        <w:numPr>
          <w:ilvl w:val="0"/>
          <w:numId w:val="5"/>
        </w:numPr>
        <w:spacing w:line="360" w:lineRule="auto"/>
      </w:pPr>
      <w:r>
        <w:t xml:space="preserve">A TWINSCAN NXT:1950i has </w:t>
      </w:r>
      <w:r w:rsidR="00637B50">
        <w:t xml:space="preserve">exceeded </w:t>
      </w:r>
      <w:r>
        <w:t xml:space="preserve">the productivity milestone of more than </w:t>
      </w:r>
      <w:r w:rsidR="00023F01">
        <w:t>5,1</w:t>
      </w:r>
      <w:r>
        <w:t>00 wafers in a single day at a customer manufacturing site</w:t>
      </w:r>
      <w:r w:rsidR="003B4CA0">
        <w:t xml:space="preserve">, </w:t>
      </w:r>
      <w:r w:rsidR="00023F01">
        <w:t xml:space="preserve">600 wafers more than the previous record achieved three months ago, underlining the continuing productivity improvements of our </w:t>
      </w:r>
      <w:r w:rsidR="001A4F3A">
        <w:t>platforms for high-volume chip manufacturing</w:t>
      </w:r>
      <w:r w:rsidR="00023F01">
        <w:t>.</w:t>
      </w:r>
    </w:p>
    <w:p w:rsidR="001A4F3A" w:rsidRDefault="00083AAA" w:rsidP="00083AAA">
      <w:pPr>
        <w:numPr>
          <w:ilvl w:val="0"/>
          <w:numId w:val="5"/>
        </w:numPr>
        <w:spacing w:line="360" w:lineRule="auto"/>
      </w:pPr>
      <w:r w:rsidRPr="00083AAA">
        <w:t xml:space="preserve">As part of our Holistic Lithography portfolio, our computational lithography unit Brion delivered significant enhancements to its leading Mask 3D models and applications, which are required at </w:t>
      </w:r>
      <w:r>
        <w:t xml:space="preserve">the </w:t>
      </w:r>
      <w:r w:rsidRPr="00083AAA">
        <w:t xml:space="preserve">20 </w:t>
      </w:r>
      <w:r>
        <w:t xml:space="preserve">nanometer node and below. </w:t>
      </w:r>
      <w:r w:rsidRPr="00083AAA">
        <w:t>The full accuracy of the Brion Mask 3D models can now be realized with virtually zero incremental computational cost versus substantially less acc</w:t>
      </w:r>
      <w:r>
        <w:t>urate thin mask models.</w:t>
      </w:r>
    </w:p>
    <w:p w:rsidR="001A4F3A" w:rsidRDefault="00471C85" w:rsidP="001A4F3A">
      <w:pPr>
        <w:numPr>
          <w:ilvl w:val="0"/>
          <w:numId w:val="5"/>
        </w:numPr>
        <w:spacing w:line="360" w:lineRule="auto"/>
      </w:pPr>
      <w:r>
        <w:t xml:space="preserve">Customers have now </w:t>
      </w:r>
      <w:r w:rsidR="001A4F3A">
        <w:t xml:space="preserve">exposed </w:t>
      </w:r>
      <w:r>
        <w:t xml:space="preserve">more than 15,000 wafers </w:t>
      </w:r>
      <w:r w:rsidR="001A4F3A">
        <w:t>on the six NXE:3100 process development systems</w:t>
      </w:r>
      <w:r>
        <w:t xml:space="preserve"> currently installed</w:t>
      </w:r>
      <w:r w:rsidR="001A4F3A">
        <w:t>.</w:t>
      </w:r>
    </w:p>
    <w:p w:rsidR="001A4F3A" w:rsidRDefault="00F0218D" w:rsidP="00607904">
      <w:pPr>
        <w:numPr>
          <w:ilvl w:val="0"/>
          <w:numId w:val="5"/>
        </w:numPr>
        <w:spacing w:line="360" w:lineRule="auto"/>
      </w:pPr>
      <w:r>
        <w:lastRenderedPageBreak/>
        <w:t>We have exposed t</w:t>
      </w:r>
      <w:r w:rsidR="001A4F3A">
        <w:t>he first wafers on the NXE:3300B EUV scanners –</w:t>
      </w:r>
      <w:r w:rsidR="00C27016">
        <w:t xml:space="preserve"> </w:t>
      </w:r>
      <w:r w:rsidR="001A4F3A">
        <w:t>the volume production successor of the NXE:3100.</w:t>
      </w:r>
      <w:r w:rsidR="00626408">
        <w:t xml:space="preserve"> </w:t>
      </w:r>
    </w:p>
    <w:p w:rsidR="0055775E" w:rsidRPr="00A663C0" w:rsidRDefault="0055775E" w:rsidP="0055775E">
      <w:pPr>
        <w:numPr>
          <w:ilvl w:val="0"/>
          <w:numId w:val="10"/>
        </w:numPr>
        <w:spacing w:before="100" w:beforeAutospacing="1" w:after="100" w:afterAutospacing="1" w:line="360" w:lineRule="auto"/>
      </w:pPr>
      <w:r>
        <w:t xml:space="preserve">We have received </w:t>
      </w:r>
      <w:r w:rsidR="00006104">
        <w:t xml:space="preserve">customer </w:t>
      </w:r>
      <w:r>
        <w:t xml:space="preserve">commitment </w:t>
      </w:r>
      <w:r w:rsidR="00D83057">
        <w:t xml:space="preserve">to purchase </w:t>
      </w:r>
      <w:r>
        <w:t>f</w:t>
      </w:r>
      <w:r w:rsidR="00D90642">
        <w:t>our</w:t>
      </w:r>
      <w:r>
        <w:t xml:space="preserve"> </w:t>
      </w:r>
      <w:r w:rsidR="00D90642">
        <w:t>additional</w:t>
      </w:r>
      <w:r>
        <w:t xml:space="preserve"> NXE:3300 systems, raising the total to 1</w:t>
      </w:r>
      <w:r w:rsidR="00D90642">
        <w:t>5</w:t>
      </w:r>
      <w:r>
        <w:t xml:space="preserve">, as customers are accelerating development and preparing for first semiconductor device production on EUV systems </w:t>
      </w:r>
      <w:r w:rsidRPr="00A663C0">
        <w:t xml:space="preserve">in </w:t>
      </w:r>
      <w:r w:rsidR="003F2B9E" w:rsidRPr="004836BB">
        <w:t>2014</w:t>
      </w:r>
      <w:r w:rsidRPr="00A663C0">
        <w:t>.</w:t>
      </w:r>
    </w:p>
    <w:p w:rsidR="00607904" w:rsidRPr="00662083" w:rsidRDefault="00607904" w:rsidP="00607904">
      <w:pPr>
        <w:numPr>
          <w:ilvl w:val="0"/>
          <w:numId w:val="5"/>
        </w:numPr>
        <w:spacing w:before="100" w:beforeAutospacing="1" w:after="100" w:afterAutospacing="1" w:line="360" w:lineRule="auto"/>
      </w:pPr>
      <w:r w:rsidRPr="00607904">
        <w:t>With regards to productivity of the EUV source, 50 Watt power capability has been repeatedly demonstrated at a supplier</w:t>
      </w:r>
      <w:r w:rsidR="006C1D14">
        <w:t xml:space="preserve"> and 105 Watt concept potential has been confirmed in lab experiments, supporting</w:t>
      </w:r>
      <w:r w:rsidRPr="00607904">
        <w:t xml:space="preserve"> our roadmap to volume  production systems starting at 70 wafers per hour.</w:t>
      </w:r>
      <w:r w:rsidR="006C1D14">
        <w:t xml:space="preserve"> In situ experiments on the NXE:3300 will however still be necessary for full confirmation.</w:t>
      </w:r>
    </w:p>
    <w:p w:rsidR="009B6399" w:rsidRDefault="00626408" w:rsidP="00607904">
      <w:pPr>
        <w:numPr>
          <w:ilvl w:val="0"/>
          <w:numId w:val="5"/>
        </w:numPr>
        <w:spacing w:before="100" w:beforeAutospacing="1" w:after="100" w:afterAutospacing="1" w:line="360" w:lineRule="auto"/>
      </w:pPr>
      <w:r>
        <w:t xml:space="preserve">ASML has </w:t>
      </w:r>
      <w:r w:rsidR="006C1D14">
        <w:t>completed</w:t>
      </w:r>
      <w:r>
        <w:t xml:space="preserve"> the expansion of the EUV cleanroom.</w:t>
      </w:r>
    </w:p>
    <w:p w:rsidR="001C21E9" w:rsidRDefault="001C21E9" w:rsidP="00834B60">
      <w:pPr>
        <w:numPr>
          <w:ilvl w:val="0"/>
          <w:numId w:val="5"/>
        </w:numPr>
        <w:spacing w:before="100" w:beforeAutospacing="1" w:after="100" w:afterAutospacing="1" w:line="360" w:lineRule="auto"/>
      </w:pPr>
      <w:r>
        <w:t xml:space="preserve">On July 9, ASML announced a co-investment program in which customers </w:t>
      </w:r>
      <w:r w:rsidR="00637B50">
        <w:t xml:space="preserve">will potentially </w:t>
      </w:r>
      <w:r>
        <w:t xml:space="preserve">contribute </w:t>
      </w:r>
      <w:r w:rsidR="003B0F7C">
        <w:t xml:space="preserve">up to </w:t>
      </w:r>
      <w:r>
        <w:t xml:space="preserve">EUR </w:t>
      </w:r>
      <w:r w:rsidR="003B0F7C">
        <w:t>1.38</w:t>
      </w:r>
      <w:r>
        <w:t xml:space="preserve"> billion over </w:t>
      </w:r>
      <w:r w:rsidR="003B0F7C">
        <w:t xml:space="preserve">the next </w:t>
      </w:r>
      <w:r>
        <w:t>5 years to accelerate the development of 450mm wafer platform and the next generaton of EUV systems, expected to enter volume production in the second half of this decade.</w:t>
      </w:r>
    </w:p>
    <w:p w:rsidR="00D2074D" w:rsidRPr="005912BD" w:rsidRDefault="00D2074D" w:rsidP="00D2074D">
      <w:pPr>
        <w:spacing w:line="360" w:lineRule="auto"/>
        <w:outlineLvl w:val="0"/>
        <w:rPr>
          <w:b/>
        </w:rPr>
      </w:pPr>
      <w:r w:rsidRPr="005912BD">
        <w:rPr>
          <w:b/>
        </w:rPr>
        <w:t>Update on share buy back program</w:t>
      </w:r>
    </w:p>
    <w:p w:rsidR="009C241D" w:rsidRDefault="009C241D" w:rsidP="009C241D">
      <w:pPr>
        <w:spacing w:line="360" w:lineRule="auto"/>
      </w:pPr>
      <w:r>
        <w:t xml:space="preserve">For regulatory reasons, in connection with the </w:t>
      </w:r>
      <w:r w:rsidR="00D71BD8">
        <w:t>C</w:t>
      </w:r>
      <w:r>
        <w:t xml:space="preserve">ustomer </w:t>
      </w:r>
      <w:r w:rsidR="00D71BD8">
        <w:t>C</w:t>
      </w:r>
      <w:r>
        <w:t>o-</w:t>
      </w:r>
      <w:r w:rsidR="00D71BD8">
        <w:t>I</w:t>
      </w:r>
      <w:r>
        <w:t xml:space="preserve">nvestment </w:t>
      </w:r>
      <w:r w:rsidR="00D71BD8">
        <w:t>P</w:t>
      </w:r>
      <w:r>
        <w:t xml:space="preserve">rogram announced on July 9, 2012, </w:t>
      </w:r>
      <w:r w:rsidR="00207983">
        <w:t>ASML</w:t>
      </w:r>
      <w:r>
        <w:t xml:space="preserve"> has suspended its </w:t>
      </w:r>
      <w:r w:rsidR="00D71BD8">
        <w:t xml:space="preserve">share </w:t>
      </w:r>
      <w:r>
        <w:t>buy-back program</w:t>
      </w:r>
      <w:r w:rsidR="00BB3963">
        <w:t xml:space="preserve"> from July 10, 2012</w:t>
      </w:r>
      <w:r>
        <w:t xml:space="preserve"> until further notice. </w:t>
      </w:r>
      <w:r w:rsidR="00207983">
        <w:t>ASML</w:t>
      </w:r>
      <w:r>
        <w:t xml:space="preserve"> intends to resume share buy-backs when permitted under applicable regulations.</w:t>
      </w:r>
    </w:p>
    <w:p w:rsidR="00D2074D" w:rsidRDefault="00D2074D">
      <w:pPr>
        <w:spacing w:line="360" w:lineRule="auto"/>
        <w:rPr>
          <w:b/>
        </w:rPr>
      </w:pPr>
    </w:p>
    <w:p w:rsidR="00BB3963" w:rsidRPr="003D6BB9" w:rsidRDefault="002052D9" w:rsidP="00BB3963">
      <w:pPr>
        <w:spacing w:line="360" w:lineRule="auto"/>
      </w:pPr>
      <w:r w:rsidRPr="002052D9">
        <w:t>In 2011</w:t>
      </w:r>
      <w:r>
        <w:t xml:space="preserve"> and 2012</w:t>
      </w:r>
      <w:r w:rsidRPr="002052D9">
        <w:t xml:space="preserve">, ASML has purchased shares for a total amount of EUR </w:t>
      </w:r>
      <w:r>
        <w:t>970</w:t>
      </w:r>
      <w:r w:rsidRPr="002052D9">
        <w:t xml:space="preserve"> million as part of its intention to purchase up to EUR 1</w:t>
      </w:r>
      <w:r>
        <w:t>,130</w:t>
      </w:r>
      <w:r w:rsidRPr="002052D9">
        <w:t xml:space="preserve"> </w:t>
      </w:r>
      <w:r w:rsidR="00B866DD">
        <w:t>m</w:t>
      </w:r>
      <w:r w:rsidRPr="002052D9">
        <w:t xml:space="preserve">illion of its own shares within 2 years. </w:t>
      </w:r>
      <w:r w:rsidR="00BB3963" w:rsidRPr="003D6BB9">
        <w:t xml:space="preserve">All transactions under the </w:t>
      </w:r>
      <w:r w:rsidR="00BB3963">
        <w:t>b</w:t>
      </w:r>
      <w:r w:rsidR="002E7F3D">
        <w:t>u</w:t>
      </w:r>
      <w:r w:rsidR="00BB3963">
        <w:t xml:space="preserve">y-back </w:t>
      </w:r>
      <w:r w:rsidR="00BB3963" w:rsidRPr="003D6BB9">
        <w:t>programs are published on ASML's website (www.asml.com/investors).</w:t>
      </w:r>
    </w:p>
    <w:p w:rsidR="00234755" w:rsidRDefault="00234755">
      <w:pPr>
        <w:spacing w:line="360" w:lineRule="auto"/>
        <w:rPr>
          <w:b/>
        </w:rPr>
      </w:pPr>
    </w:p>
    <w:p w:rsidR="00873AE2" w:rsidRDefault="00873AE2">
      <w:pPr>
        <w:spacing w:line="360" w:lineRule="auto"/>
        <w:rPr>
          <w:b/>
        </w:rPr>
      </w:pPr>
      <w:r>
        <w:rPr>
          <w:b/>
        </w:rPr>
        <w:t>Extraordinary General Meeting of shareholders</w:t>
      </w:r>
    </w:p>
    <w:p w:rsidR="00873AE2" w:rsidRPr="00C76D0A" w:rsidRDefault="00873AE2">
      <w:pPr>
        <w:spacing w:line="360" w:lineRule="auto"/>
      </w:pPr>
      <w:r w:rsidRPr="00873AE2">
        <w:t xml:space="preserve">Following </w:t>
      </w:r>
      <w:r>
        <w:t>the</w:t>
      </w:r>
      <w:r w:rsidRPr="00873AE2">
        <w:t xml:space="preserve"> announcement </w:t>
      </w:r>
      <w:r>
        <w:t xml:space="preserve">of the Customer Co-Investment Program for Innovation </w:t>
      </w:r>
      <w:r w:rsidRPr="00873AE2">
        <w:t xml:space="preserve">on </w:t>
      </w:r>
      <w:r>
        <w:t>July 9, 2012, ASML w</w:t>
      </w:r>
      <w:r w:rsidR="00701D6E">
        <w:t>i</w:t>
      </w:r>
      <w:r>
        <w:t>ll call an Extraordinary General Meeting of shareholders (“EGM”) to be scheduled for September 7, 2012. The convocation</w:t>
      </w:r>
      <w:r w:rsidR="004F3CB1">
        <w:t xml:space="preserve"> for this EGM will be issued on</w:t>
      </w:r>
      <w:r w:rsidR="00C91210">
        <w:t xml:space="preserve">, or about, </w:t>
      </w:r>
      <w:r>
        <w:t>July 24</w:t>
      </w:r>
      <w:r w:rsidR="00C91210">
        <w:t>, 2012</w:t>
      </w:r>
      <w:r>
        <w:t>.</w:t>
      </w:r>
    </w:p>
    <w:p w:rsidR="00873AE2" w:rsidRDefault="00873AE2">
      <w:pPr>
        <w:spacing w:line="360" w:lineRule="auto"/>
        <w:rPr>
          <w:b/>
        </w:rPr>
      </w:pPr>
    </w:p>
    <w:p w:rsidR="008C79FF" w:rsidRPr="005912BD" w:rsidRDefault="008C79FF">
      <w:pPr>
        <w:spacing w:line="360" w:lineRule="auto"/>
        <w:rPr>
          <w:b/>
        </w:rPr>
      </w:pPr>
      <w:r w:rsidRPr="005912BD">
        <w:rPr>
          <w:b/>
        </w:rPr>
        <w:t>About ASML</w:t>
      </w:r>
    </w:p>
    <w:p w:rsidR="008C79FF" w:rsidRPr="005912BD" w:rsidRDefault="008C79FF">
      <w:pPr>
        <w:spacing w:line="360" w:lineRule="auto"/>
      </w:pPr>
      <w:r w:rsidRPr="005912BD">
        <w:lastRenderedPageBreak/>
        <w:t xml:space="preserve">ASML is </w:t>
      </w:r>
      <w:r>
        <w:t xml:space="preserve">one of </w:t>
      </w:r>
      <w:r w:rsidRPr="005912BD">
        <w:t>the world's leading provider</w:t>
      </w:r>
      <w:r>
        <w:t>s</w:t>
      </w:r>
      <w:r w:rsidRPr="005912BD">
        <w:t xml:space="preserve"> of lithography systems for the semiconductor industry, manufacturing complex machines that are critical to the production of integrated circuits or chips. Headquartered in Veldhoven, the Netherlands, ASML is traded on Euronext Amsterdam and NASDAQ under the symbol ASML. ASML has </w:t>
      </w:r>
      <w:r w:rsidR="00F90126">
        <w:t>more than</w:t>
      </w:r>
      <w:r w:rsidRPr="00256AFD">
        <w:t xml:space="preserve"> </w:t>
      </w:r>
      <w:r w:rsidRPr="0016617E">
        <w:t>8,000</w:t>
      </w:r>
      <w:r w:rsidRPr="00256AFD">
        <w:t xml:space="preserve"> </w:t>
      </w:r>
      <w:r w:rsidRPr="00576EFC">
        <w:t>employees</w:t>
      </w:r>
      <w:r w:rsidRPr="005912BD">
        <w:t xml:space="preserve"> on payroll (expressed in full time equivalents), serving chip manufacturers in more than 55 locations in 16 countries. More information about our company, our products and technology, and career opportunities is available on our website: www.asml.com</w:t>
      </w:r>
    </w:p>
    <w:p w:rsidR="008C79FF" w:rsidRPr="005912BD" w:rsidRDefault="008C79FF">
      <w:pPr>
        <w:spacing w:line="360" w:lineRule="auto"/>
      </w:pPr>
    </w:p>
    <w:p w:rsidR="008C79FF" w:rsidRPr="005912BD" w:rsidRDefault="008C79FF">
      <w:pPr>
        <w:spacing w:line="360" w:lineRule="auto"/>
        <w:outlineLvl w:val="0"/>
        <w:rPr>
          <w:b/>
        </w:rPr>
      </w:pPr>
      <w:r w:rsidRPr="005912BD">
        <w:rPr>
          <w:b/>
        </w:rPr>
        <w:t>Investor and Media Conference Call</w:t>
      </w:r>
    </w:p>
    <w:p w:rsidR="008C79FF" w:rsidRPr="005912BD" w:rsidRDefault="008C79FF">
      <w:pPr>
        <w:spacing w:line="360" w:lineRule="auto"/>
      </w:pPr>
      <w:r w:rsidRPr="005912BD">
        <w:t xml:space="preserve">A conference call for investors and media will be hosted by CEO Eric Meurice and CFO Peter Wennink at 15:00 PM Central European Time / 09:00 AM Eastern U.S. time.  Dial-in numbers are: in the Netherlands </w:t>
      </w:r>
      <w:r w:rsidR="00834B60" w:rsidRPr="00834B60">
        <w:t>+ 31 10 29 44 290</w:t>
      </w:r>
      <w:r w:rsidRPr="005912BD">
        <w:t xml:space="preserve"> and the US </w:t>
      </w:r>
      <w:r w:rsidR="00834B60" w:rsidRPr="00834B60">
        <w:t xml:space="preserve">+1 646 254 3362 </w:t>
      </w:r>
      <w:r w:rsidRPr="005912BD">
        <w:t>(US participants will have to quote the following confirmation code when dialing into the conference:</w:t>
      </w:r>
      <w:r w:rsidR="00834B60">
        <w:t xml:space="preserve"> </w:t>
      </w:r>
      <w:r w:rsidR="00834B60" w:rsidRPr="00834B60">
        <w:t>2604228</w:t>
      </w:r>
      <w:r w:rsidR="00834B60">
        <w:t>)</w:t>
      </w:r>
      <w:r w:rsidRPr="005912BD">
        <w:t>. To listen to the conference call, access is also available via www.asml.com</w:t>
      </w:r>
    </w:p>
    <w:p w:rsidR="008C79FF" w:rsidRPr="005912BD" w:rsidRDefault="008C79FF">
      <w:pPr>
        <w:spacing w:line="360" w:lineRule="auto"/>
        <w:outlineLvl w:val="0"/>
      </w:pPr>
      <w:r w:rsidRPr="005912BD">
        <w:t>A replay of the Investor and Media Call will be available on www.asml.com</w:t>
      </w:r>
    </w:p>
    <w:p w:rsidR="008C79FF" w:rsidRDefault="008C79FF">
      <w:pPr>
        <w:spacing w:line="360" w:lineRule="auto"/>
        <w:outlineLvl w:val="0"/>
        <w:rPr>
          <w:b/>
        </w:rPr>
      </w:pPr>
    </w:p>
    <w:p w:rsidR="008C79FF" w:rsidRPr="005912BD" w:rsidRDefault="008C79FF">
      <w:pPr>
        <w:spacing w:line="360" w:lineRule="auto"/>
        <w:outlineLvl w:val="0"/>
        <w:rPr>
          <w:b/>
        </w:rPr>
      </w:pPr>
      <w:r>
        <w:rPr>
          <w:b/>
        </w:rPr>
        <w:t xml:space="preserve">US GAAP and </w:t>
      </w:r>
      <w:r w:rsidRPr="005912BD">
        <w:rPr>
          <w:b/>
        </w:rPr>
        <w:t xml:space="preserve">IFRS Financial Reporting </w:t>
      </w:r>
    </w:p>
    <w:p w:rsidR="008C79FF" w:rsidRPr="005912BD" w:rsidRDefault="008C79FF">
      <w:pPr>
        <w:spacing w:line="360" w:lineRule="auto"/>
      </w:pPr>
      <w:r w:rsidRPr="005912BD">
        <w:t xml:space="preserve">ASML's primary accounting standard for quarterly earnings releases and annual reports is US GAAP, the accounting standard generally accepted in the United States. Quarterly US GAAP consolidated statements of operations, consolidated statements of cash flows and consolidated balance sheets, and a reconciliation of net income and equity from US GAAP to IFRS </w:t>
      </w:r>
      <w:r w:rsidR="006A19DC">
        <w:t xml:space="preserve">as adopted by the EU </w:t>
      </w:r>
      <w:r w:rsidRPr="005912BD">
        <w:t>are available on www.asml.com</w:t>
      </w:r>
    </w:p>
    <w:p w:rsidR="008C79FF" w:rsidRPr="005912BD" w:rsidRDefault="008C79FF">
      <w:pPr>
        <w:spacing w:line="360" w:lineRule="auto"/>
      </w:pPr>
    </w:p>
    <w:p w:rsidR="008C79FF" w:rsidRPr="005912BD" w:rsidRDefault="008C79FF">
      <w:pPr>
        <w:spacing w:line="360" w:lineRule="auto"/>
      </w:pPr>
      <w:r w:rsidRPr="005912BD">
        <w:t>In addition to reporting financial figures in accordance with US GAAP, ASML also reports financial figures in accordance with IFRS for statutory purposes. The most significant differences between US GAAP and IFRS that affect ASML concern the capitalization of certain product development costs, the accounting of share-based payment plans, the accounting of income taxes and the accounting of reversal of inventory write-downs. ASML’s quarterly IFRS consolidated income statement, consolidated statement of cash flows, consolidated statement of financial position and a reconciliation of net income and equity from US GAAP to IFRS are available on www.asml.com</w:t>
      </w:r>
    </w:p>
    <w:p w:rsidR="008C79FF" w:rsidRDefault="008C79FF">
      <w:pPr>
        <w:spacing w:line="360" w:lineRule="auto"/>
      </w:pPr>
    </w:p>
    <w:p w:rsidR="008C79FF" w:rsidRPr="005912BD" w:rsidRDefault="008C79FF">
      <w:pPr>
        <w:spacing w:line="360" w:lineRule="auto"/>
      </w:pPr>
      <w:r w:rsidRPr="005912BD">
        <w:lastRenderedPageBreak/>
        <w:t xml:space="preserve">The consolidated balance sheets of ASML Holding N.V. as of </w:t>
      </w:r>
      <w:r w:rsidR="00F90126">
        <w:t>July</w:t>
      </w:r>
      <w:r w:rsidR="00F951BA">
        <w:t xml:space="preserve"> 1, 2012</w:t>
      </w:r>
      <w:r w:rsidRPr="005912BD">
        <w:t xml:space="preserve">, the related consolidated statements of operations and consolidated statements of cash flows for the quarter ended </w:t>
      </w:r>
      <w:r w:rsidR="00F90126">
        <w:t>July</w:t>
      </w:r>
      <w:r w:rsidR="00F951BA">
        <w:t xml:space="preserve"> 1, 2012</w:t>
      </w:r>
      <w:r w:rsidRPr="005912BD">
        <w:t xml:space="preserve"> as presented in this press release are unaudited.</w:t>
      </w:r>
    </w:p>
    <w:p w:rsidR="008C79FF" w:rsidRPr="005912BD" w:rsidRDefault="008C79FF">
      <w:pPr>
        <w:spacing w:line="360" w:lineRule="auto"/>
      </w:pPr>
    </w:p>
    <w:p w:rsidR="008C79FF" w:rsidRPr="005912BD" w:rsidRDefault="008C79FF">
      <w:pPr>
        <w:spacing w:line="360" w:lineRule="auto"/>
        <w:outlineLvl w:val="0"/>
      </w:pPr>
      <w:r w:rsidRPr="005912BD">
        <w:rPr>
          <w:b/>
          <w:bCs/>
        </w:rPr>
        <w:t>Regulated Information</w:t>
      </w:r>
    </w:p>
    <w:p w:rsidR="008C79FF" w:rsidRPr="005912BD" w:rsidRDefault="008C79FF">
      <w:pPr>
        <w:spacing w:line="360" w:lineRule="auto"/>
      </w:pPr>
      <w:r w:rsidRPr="005912BD">
        <w:t>This press release, the US GAAP consolidated financial statements</w:t>
      </w:r>
      <w:r>
        <w:rPr>
          <w:rFonts w:cs="Arial"/>
        </w:rPr>
        <w:t>,</w:t>
      </w:r>
      <w:r w:rsidRPr="005912BD">
        <w:rPr>
          <w:rFonts w:cs="Arial"/>
        </w:rPr>
        <w:t xml:space="preserve"> the IFRS consolidated financial statements</w:t>
      </w:r>
      <w:r>
        <w:rPr>
          <w:rFonts w:cs="Arial"/>
        </w:rPr>
        <w:t xml:space="preserve"> and the Statutory Interim Report</w:t>
      </w:r>
      <w:r w:rsidRPr="005912BD">
        <w:rPr>
          <w:rFonts w:cs="Arial"/>
        </w:rPr>
        <w:t> </w:t>
      </w:r>
      <w:r w:rsidRPr="005912BD">
        <w:t>published on www.asml.com comprise regulated information within the meaning of the Dutch Financial Markets Supervision Act (</w:t>
      </w:r>
      <w:r w:rsidRPr="005912BD">
        <w:rPr>
          <w:i/>
          <w:iCs/>
        </w:rPr>
        <w:t>Wet op het financieel toezicht</w:t>
      </w:r>
      <w:r w:rsidRPr="005912BD">
        <w:t>).</w:t>
      </w:r>
    </w:p>
    <w:p w:rsidR="008C79FF" w:rsidRPr="005912BD" w:rsidRDefault="008C79FF">
      <w:pPr>
        <w:spacing w:line="360" w:lineRule="auto"/>
        <w:rPr>
          <w:b/>
        </w:rPr>
      </w:pPr>
    </w:p>
    <w:p w:rsidR="008C79FF" w:rsidRPr="005912BD" w:rsidRDefault="008C79FF">
      <w:pPr>
        <w:spacing w:line="360" w:lineRule="auto"/>
        <w:outlineLvl w:val="0"/>
        <w:rPr>
          <w:b/>
        </w:rPr>
      </w:pPr>
      <w:r w:rsidRPr="005912BD">
        <w:rPr>
          <w:b/>
        </w:rPr>
        <w:t>Forward Looking Statements</w:t>
      </w:r>
    </w:p>
    <w:p w:rsidR="008C79FF" w:rsidRDefault="006328A3">
      <w:pPr>
        <w:spacing w:line="360" w:lineRule="auto"/>
      </w:pPr>
      <w:r w:rsidRPr="006328A3">
        <w:t xml:space="preserve"> "Safe Harbor" Statement under the US Private Securities Litigation Reform Act of 1995: the matters discussed in this document may include forward-looking statements, including statements made about our outlook, including expected sales trends, expected shipments of tools, productivity of our tools, purchase commitments</w:t>
      </w:r>
      <w:r w:rsidR="00F604EC">
        <w:t xml:space="preserve">, </w:t>
      </w:r>
      <w:r w:rsidRPr="006328A3">
        <w:t xml:space="preserve">IC unit demand, financial results, expected gross margin and expenses, statements about our co-investment program including potential funding commitments in connection with that program and statements about our buy-back program. These forward looking statements are subject to risks and uncertainties including, but not limited to: economic conditions, product demand and semiconductor equipment industry capacity, worldwide demand and manufacturing capacity utilization for semiconductors (the principal product of our customer base), including the impact of general economic conditions on consumer confidence and demand for our customers’ products, competitive products and pricing, the impact of manufacturing efficiencies and capacity constraints, the continuing success of technology advances and the related pace of new product development and customer acceptance of new products, our ability to enforce patents and protect intellectual property rights, the risk of intellectual property litigation, availability of raw materials and critical manufacturing equipment, trade environment, changes in exchange rates, available cash, distributable reserves for dividend payments and share repurchases, risks associated with our co-investment program, including whether shareholder approval of the Second Issuance and the synthetic buyback at the EGM will be obtained, receipt of regulatory approvals, whether other customers will participate in the program, whether the 450mm and EUV research and development programs will be successful, ASML's ability to hire additional workers as part of the 450mm and EUV programs </w:t>
      </w:r>
      <w:r w:rsidRPr="006328A3">
        <w:lastRenderedPageBreak/>
        <w:t>described in this release and other risks indicated in the risk factors included in ASML’s Annual Report on Form 20-F and other filings with the US Securities and Exchange Commission.</w:t>
      </w:r>
    </w:p>
    <w:sectPr w:rsidR="008C79F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FFA" w:rsidRDefault="00A74FFA">
      <w:r>
        <w:separator/>
      </w:r>
    </w:p>
  </w:endnote>
  <w:endnote w:type="continuationSeparator" w:id="0">
    <w:p w:rsidR="00A74FFA" w:rsidRDefault="00A7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0A" w:rsidRDefault="00E86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D6E" w:rsidRDefault="00701D6E">
    <w:pPr>
      <w:pStyle w:val="Footer"/>
      <w:jc w:val="right"/>
    </w:pPr>
    <w:r>
      <w:fldChar w:fldCharType="begin"/>
    </w:r>
    <w:r>
      <w:instrText xml:space="preserve"> PAGE   \* MERGEFORMAT </w:instrText>
    </w:r>
    <w:r>
      <w:fldChar w:fldCharType="separate"/>
    </w:r>
    <w:r w:rsidR="004C1A25">
      <w:rPr>
        <w:noProof/>
      </w:rPr>
      <w:t>2</w:t>
    </w:r>
    <w:r>
      <w:rPr>
        <w:noProof/>
      </w:rPr>
      <w:fldChar w:fldCharType="end"/>
    </w:r>
  </w:p>
  <w:p w:rsidR="00701D6E" w:rsidRDefault="00701D6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0A" w:rsidRDefault="00E86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FFA" w:rsidRDefault="00A74FFA">
      <w:r>
        <w:separator/>
      </w:r>
    </w:p>
  </w:footnote>
  <w:footnote w:type="continuationSeparator" w:id="0">
    <w:p w:rsidR="00A74FFA" w:rsidRDefault="00A74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0A" w:rsidRDefault="00E86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0A" w:rsidRDefault="00E86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0A" w:rsidRDefault="00E862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7FBD"/>
    <w:multiLevelType w:val="hybridMultilevel"/>
    <w:tmpl w:val="AA80A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C469C"/>
    <w:multiLevelType w:val="hybridMultilevel"/>
    <w:tmpl w:val="37E251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01B8D"/>
    <w:multiLevelType w:val="hybridMultilevel"/>
    <w:tmpl w:val="B0AA0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0D264E"/>
    <w:multiLevelType w:val="hybridMultilevel"/>
    <w:tmpl w:val="5DBA2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8C675F"/>
    <w:multiLevelType w:val="hybridMultilevel"/>
    <w:tmpl w:val="E2E2A6C4"/>
    <w:lvl w:ilvl="0" w:tplc="7BAAB0F4">
      <w:start w:val="3"/>
      <w:numFmt w:val="bullet"/>
      <w:lvlText w:val=""/>
      <w:lvlJc w:val="left"/>
      <w:pPr>
        <w:tabs>
          <w:tab w:val="num" w:pos="720"/>
        </w:tabs>
        <w:ind w:left="720" w:hanging="360"/>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7E583F"/>
    <w:multiLevelType w:val="hybridMultilevel"/>
    <w:tmpl w:val="DED41F06"/>
    <w:lvl w:ilvl="0" w:tplc="962C88B6">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387CFD"/>
    <w:multiLevelType w:val="hybridMultilevel"/>
    <w:tmpl w:val="4BBA9D44"/>
    <w:lvl w:ilvl="0" w:tplc="962C88B6">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BC2110"/>
    <w:multiLevelType w:val="hybridMultilevel"/>
    <w:tmpl w:val="CB88D914"/>
    <w:lvl w:ilvl="0" w:tplc="F1A60262">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2A1614"/>
    <w:multiLevelType w:val="multilevel"/>
    <w:tmpl w:val="37E2519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42"/>
    <w:rsid w:val="00005FA1"/>
    <w:rsid w:val="00006104"/>
    <w:rsid w:val="000064FD"/>
    <w:rsid w:val="00012C28"/>
    <w:rsid w:val="00015A4C"/>
    <w:rsid w:val="00020156"/>
    <w:rsid w:val="0002015D"/>
    <w:rsid w:val="00023995"/>
    <w:rsid w:val="00023F01"/>
    <w:rsid w:val="00042723"/>
    <w:rsid w:val="0007797A"/>
    <w:rsid w:val="00083AAA"/>
    <w:rsid w:val="00097445"/>
    <w:rsid w:val="000A346E"/>
    <w:rsid w:val="000A51FA"/>
    <w:rsid w:val="000B2E9F"/>
    <w:rsid w:val="000D0398"/>
    <w:rsid w:val="000D60F0"/>
    <w:rsid w:val="001023E5"/>
    <w:rsid w:val="00110339"/>
    <w:rsid w:val="00134208"/>
    <w:rsid w:val="001349BB"/>
    <w:rsid w:val="00147572"/>
    <w:rsid w:val="00160E5A"/>
    <w:rsid w:val="00162D70"/>
    <w:rsid w:val="0016617E"/>
    <w:rsid w:val="00180030"/>
    <w:rsid w:val="001A0DFE"/>
    <w:rsid w:val="001A4F3A"/>
    <w:rsid w:val="001A5CAE"/>
    <w:rsid w:val="001A65C1"/>
    <w:rsid w:val="001B3064"/>
    <w:rsid w:val="001B6DCD"/>
    <w:rsid w:val="001C21E9"/>
    <w:rsid w:val="001C2F32"/>
    <w:rsid w:val="002052D9"/>
    <w:rsid w:val="0020653E"/>
    <w:rsid w:val="00207983"/>
    <w:rsid w:val="00222842"/>
    <w:rsid w:val="00234755"/>
    <w:rsid w:val="00237523"/>
    <w:rsid w:val="002434C4"/>
    <w:rsid w:val="00243634"/>
    <w:rsid w:val="00244103"/>
    <w:rsid w:val="00244A20"/>
    <w:rsid w:val="0024622F"/>
    <w:rsid w:val="0025363E"/>
    <w:rsid w:val="00256AFD"/>
    <w:rsid w:val="00267388"/>
    <w:rsid w:val="00267612"/>
    <w:rsid w:val="00267B4D"/>
    <w:rsid w:val="0027756C"/>
    <w:rsid w:val="00293152"/>
    <w:rsid w:val="00296407"/>
    <w:rsid w:val="002978A8"/>
    <w:rsid w:val="002A2146"/>
    <w:rsid w:val="002A24AA"/>
    <w:rsid w:val="002B3B5A"/>
    <w:rsid w:val="002B59F8"/>
    <w:rsid w:val="002C2946"/>
    <w:rsid w:val="002E2728"/>
    <w:rsid w:val="002E7F3D"/>
    <w:rsid w:val="002F4C0D"/>
    <w:rsid w:val="00310184"/>
    <w:rsid w:val="00316BA5"/>
    <w:rsid w:val="0033600D"/>
    <w:rsid w:val="003630B8"/>
    <w:rsid w:val="00382F82"/>
    <w:rsid w:val="00390058"/>
    <w:rsid w:val="00392A12"/>
    <w:rsid w:val="00396416"/>
    <w:rsid w:val="003B07F8"/>
    <w:rsid w:val="003B0F7C"/>
    <w:rsid w:val="003B44B8"/>
    <w:rsid w:val="003B4CA0"/>
    <w:rsid w:val="003C37A8"/>
    <w:rsid w:val="003C72C2"/>
    <w:rsid w:val="003F2B9E"/>
    <w:rsid w:val="00403587"/>
    <w:rsid w:val="00420937"/>
    <w:rsid w:val="004261B9"/>
    <w:rsid w:val="0043163A"/>
    <w:rsid w:val="00435F24"/>
    <w:rsid w:val="004360D1"/>
    <w:rsid w:val="00436F71"/>
    <w:rsid w:val="00446CE1"/>
    <w:rsid w:val="004654DC"/>
    <w:rsid w:val="00471C85"/>
    <w:rsid w:val="00477C7D"/>
    <w:rsid w:val="004836BB"/>
    <w:rsid w:val="0049104E"/>
    <w:rsid w:val="00492A8D"/>
    <w:rsid w:val="00494F7E"/>
    <w:rsid w:val="004A3898"/>
    <w:rsid w:val="004C1A25"/>
    <w:rsid w:val="004F3CB1"/>
    <w:rsid w:val="00543F4B"/>
    <w:rsid w:val="005515CC"/>
    <w:rsid w:val="00553650"/>
    <w:rsid w:val="00555C8E"/>
    <w:rsid w:val="0055775E"/>
    <w:rsid w:val="0056448D"/>
    <w:rsid w:val="00576EFC"/>
    <w:rsid w:val="005873B9"/>
    <w:rsid w:val="00594CB4"/>
    <w:rsid w:val="005B5D26"/>
    <w:rsid w:val="005C2737"/>
    <w:rsid w:val="005C31A3"/>
    <w:rsid w:val="005D0E93"/>
    <w:rsid w:val="005E2686"/>
    <w:rsid w:val="005F148F"/>
    <w:rsid w:val="005F2783"/>
    <w:rsid w:val="00607904"/>
    <w:rsid w:val="00626408"/>
    <w:rsid w:val="006307A1"/>
    <w:rsid w:val="00632416"/>
    <w:rsid w:val="006328A3"/>
    <w:rsid w:val="00633B6F"/>
    <w:rsid w:val="00637B50"/>
    <w:rsid w:val="0064230E"/>
    <w:rsid w:val="00650746"/>
    <w:rsid w:val="00662083"/>
    <w:rsid w:val="00682A30"/>
    <w:rsid w:val="00687C4A"/>
    <w:rsid w:val="00687CD3"/>
    <w:rsid w:val="006A19DC"/>
    <w:rsid w:val="006A3C25"/>
    <w:rsid w:val="006C1D14"/>
    <w:rsid w:val="006C296B"/>
    <w:rsid w:val="006D4E40"/>
    <w:rsid w:val="006E6C66"/>
    <w:rsid w:val="00701D6E"/>
    <w:rsid w:val="00717E04"/>
    <w:rsid w:val="00733995"/>
    <w:rsid w:val="007410C6"/>
    <w:rsid w:val="007454EA"/>
    <w:rsid w:val="00746012"/>
    <w:rsid w:val="007541F1"/>
    <w:rsid w:val="00756C11"/>
    <w:rsid w:val="00762347"/>
    <w:rsid w:val="00771F58"/>
    <w:rsid w:val="00775FA8"/>
    <w:rsid w:val="007877CD"/>
    <w:rsid w:val="0079079F"/>
    <w:rsid w:val="007961B8"/>
    <w:rsid w:val="00796FCE"/>
    <w:rsid w:val="007A0029"/>
    <w:rsid w:val="007A55BD"/>
    <w:rsid w:val="007C44D0"/>
    <w:rsid w:val="007C60F2"/>
    <w:rsid w:val="007E4ADA"/>
    <w:rsid w:val="007F6299"/>
    <w:rsid w:val="00812EC7"/>
    <w:rsid w:val="00816528"/>
    <w:rsid w:val="0081710D"/>
    <w:rsid w:val="00834B60"/>
    <w:rsid w:val="00843E3D"/>
    <w:rsid w:val="00845E46"/>
    <w:rsid w:val="00862A50"/>
    <w:rsid w:val="00873AE2"/>
    <w:rsid w:val="00896205"/>
    <w:rsid w:val="008A4E6D"/>
    <w:rsid w:val="008B14FD"/>
    <w:rsid w:val="008B34E6"/>
    <w:rsid w:val="008B5294"/>
    <w:rsid w:val="008C79FF"/>
    <w:rsid w:val="008E3260"/>
    <w:rsid w:val="008F1728"/>
    <w:rsid w:val="0090024E"/>
    <w:rsid w:val="00900365"/>
    <w:rsid w:val="00903804"/>
    <w:rsid w:val="00910515"/>
    <w:rsid w:val="00926314"/>
    <w:rsid w:val="0093474A"/>
    <w:rsid w:val="0094286E"/>
    <w:rsid w:val="00947394"/>
    <w:rsid w:val="00957FF9"/>
    <w:rsid w:val="00961951"/>
    <w:rsid w:val="0099524E"/>
    <w:rsid w:val="009A31F4"/>
    <w:rsid w:val="009A3464"/>
    <w:rsid w:val="009B5238"/>
    <w:rsid w:val="009B6399"/>
    <w:rsid w:val="009C241D"/>
    <w:rsid w:val="009C29E2"/>
    <w:rsid w:val="009D3127"/>
    <w:rsid w:val="009D6BF2"/>
    <w:rsid w:val="009E034B"/>
    <w:rsid w:val="009F188E"/>
    <w:rsid w:val="00A0197B"/>
    <w:rsid w:val="00A028B1"/>
    <w:rsid w:val="00A03DCF"/>
    <w:rsid w:val="00A044CD"/>
    <w:rsid w:val="00A0768C"/>
    <w:rsid w:val="00A15221"/>
    <w:rsid w:val="00A25F2D"/>
    <w:rsid w:val="00A47C3E"/>
    <w:rsid w:val="00A554A8"/>
    <w:rsid w:val="00A55682"/>
    <w:rsid w:val="00A663C0"/>
    <w:rsid w:val="00A66AAB"/>
    <w:rsid w:val="00A67892"/>
    <w:rsid w:val="00A74FFA"/>
    <w:rsid w:val="00A857C6"/>
    <w:rsid w:val="00A97A7E"/>
    <w:rsid w:val="00AB2B9A"/>
    <w:rsid w:val="00AB7B20"/>
    <w:rsid w:val="00AD4A35"/>
    <w:rsid w:val="00AE38E1"/>
    <w:rsid w:val="00AE7EC8"/>
    <w:rsid w:val="00AF5682"/>
    <w:rsid w:val="00B01BF8"/>
    <w:rsid w:val="00B02CAB"/>
    <w:rsid w:val="00B16A68"/>
    <w:rsid w:val="00B6618D"/>
    <w:rsid w:val="00B866DD"/>
    <w:rsid w:val="00B90CFD"/>
    <w:rsid w:val="00B91839"/>
    <w:rsid w:val="00B960C2"/>
    <w:rsid w:val="00BA219A"/>
    <w:rsid w:val="00BA3C87"/>
    <w:rsid w:val="00BB200D"/>
    <w:rsid w:val="00BB3963"/>
    <w:rsid w:val="00BB66B8"/>
    <w:rsid w:val="00BC67C0"/>
    <w:rsid w:val="00BF7C8D"/>
    <w:rsid w:val="00C14193"/>
    <w:rsid w:val="00C248CA"/>
    <w:rsid w:val="00C27016"/>
    <w:rsid w:val="00C35292"/>
    <w:rsid w:val="00C45B90"/>
    <w:rsid w:val="00C4664A"/>
    <w:rsid w:val="00C54E29"/>
    <w:rsid w:val="00C54E9C"/>
    <w:rsid w:val="00C5581D"/>
    <w:rsid w:val="00C76D0A"/>
    <w:rsid w:val="00C8515C"/>
    <w:rsid w:val="00C8530D"/>
    <w:rsid w:val="00C91210"/>
    <w:rsid w:val="00CA5612"/>
    <w:rsid w:val="00CA58F8"/>
    <w:rsid w:val="00CB53E2"/>
    <w:rsid w:val="00CC27A3"/>
    <w:rsid w:val="00CD09F4"/>
    <w:rsid w:val="00CD2D39"/>
    <w:rsid w:val="00CE0202"/>
    <w:rsid w:val="00CE1B42"/>
    <w:rsid w:val="00CE5358"/>
    <w:rsid w:val="00D2074D"/>
    <w:rsid w:val="00D21A6C"/>
    <w:rsid w:val="00D3077D"/>
    <w:rsid w:val="00D40324"/>
    <w:rsid w:val="00D406C7"/>
    <w:rsid w:val="00D603BA"/>
    <w:rsid w:val="00D71BD8"/>
    <w:rsid w:val="00D83057"/>
    <w:rsid w:val="00D90642"/>
    <w:rsid w:val="00DA5CF1"/>
    <w:rsid w:val="00DB4A6E"/>
    <w:rsid w:val="00DD1993"/>
    <w:rsid w:val="00DF662B"/>
    <w:rsid w:val="00E23FD4"/>
    <w:rsid w:val="00E3455A"/>
    <w:rsid w:val="00E50F2C"/>
    <w:rsid w:val="00E8620A"/>
    <w:rsid w:val="00E873BC"/>
    <w:rsid w:val="00EA16E9"/>
    <w:rsid w:val="00EB71B2"/>
    <w:rsid w:val="00ED2D0A"/>
    <w:rsid w:val="00EF40D6"/>
    <w:rsid w:val="00F0218D"/>
    <w:rsid w:val="00F0331E"/>
    <w:rsid w:val="00F1419A"/>
    <w:rsid w:val="00F309E3"/>
    <w:rsid w:val="00F604EC"/>
    <w:rsid w:val="00F6135F"/>
    <w:rsid w:val="00F6725F"/>
    <w:rsid w:val="00F85B49"/>
    <w:rsid w:val="00F90126"/>
    <w:rsid w:val="00F93860"/>
    <w:rsid w:val="00F951BA"/>
    <w:rsid w:val="00FB0144"/>
    <w:rsid w:val="00FB0EE8"/>
    <w:rsid w:val="00FB63EC"/>
    <w:rsid w:val="00FD545D"/>
    <w:rsid w:val="00FE1A36"/>
    <w:rsid w:val="00FE1B74"/>
    <w:rsid w:val="00FE5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DocumentMap">
    <w:name w:val="Document Map"/>
    <w:basedOn w:val="Normal"/>
    <w:semiHidden/>
    <w:pPr>
      <w:shd w:val="clear" w:color="auto" w:fill="000080"/>
    </w:pPr>
    <w:rPr>
      <w:rFonts w:ascii="Tahoma" w:hAnsi="Tahoma"/>
    </w:rPr>
  </w:style>
  <w:style w:type="paragraph" w:customStyle="1" w:styleId="footnote">
    <w:name w:val="footnote"/>
    <w:basedOn w:val="Normal"/>
    <w:pPr>
      <w:spacing w:before="100" w:beforeAutospacing="1" w:after="100" w:afterAutospacing="1"/>
    </w:pPr>
    <w:rPr>
      <w:rFonts w:ascii="Times New Roman" w:eastAsia="SimSun" w:hAnsi="Times New Roman"/>
      <w:sz w:val="24"/>
      <w:szCs w:val="24"/>
      <w:lang w:eastAsia="zh-CN"/>
    </w:rPr>
  </w:style>
  <w:style w:type="character" w:customStyle="1" w:styleId="FooterChar">
    <w:name w:val="Footer Char"/>
    <w:link w:val="Footer"/>
    <w:uiPriority w:val="99"/>
    <w:rsid w:val="00682A30"/>
    <w:rPr>
      <w:rFonts w:ascii="Arial" w:hAnsi="Arial"/>
      <w:sz w:val="22"/>
      <w:szCs w:val="22"/>
      <w:lang w:eastAsia="ja-JP"/>
    </w:rPr>
  </w:style>
  <w:style w:type="paragraph" w:styleId="Revision">
    <w:name w:val="Revision"/>
    <w:hidden/>
    <w:uiPriority w:val="99"/>
    <w:semiHidden/>
    <w:rsid w:val="000B2E9F"/>
    <w:rPr>
      <w:rFonts w:ascii="Arial" w:hAnsi="Arial"/>
      <w:sz w:val="22"/>
      <w:szCs w:val="22"/>
      <w:lang w:val="en-US" w:eastAsia="ja-JP"/>
    </w:rPr>
  </w:style>
  <w:style w:type="paragraph" w:styleId="ListParagraph">
    <w:name w:val="List Paragraph"/>
    <w:basedOn w:val="Normal"/>
    <w:uiPriority w:val="34"/>
    <w:qFormat/>
    <w:rsid w:val="00C54E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DocumentMap">
    <w:name w:val="Document Map"/>
    <w:basedOn w:val="Normal"/>
    <w:semiHidden/>
    <w:pPr>
      <w:shd w:val="clear" w:color="auto" w:fill="000080"/>
    </w:pPr>
    <w:rPr>
      <w:rFonts w:ascii="Tahoma" w:hAnsi="Tahoma"/>
    </w:rPr>
  </w:style>
  <w:style w:type="paragraph" w:customStyle="1" w:styleId="footnote">
    <w:name w:val="footnote"/>
    <w:basedOn w:val="Normal"/>
    <w:pPr>
      <w:spacing w:before="100" w:beforeAutospacing="1" w:after="100" w:afterAutospacing="1"/>
    </w:pPr>
    <w:rPr>
      <w:rFonts w:ascii="Times New Roman" w:eastAsia="SimSun" w:hAnsi="Times New Roman"/>
      <w:sz w:val="24"/>
      <w:szCs w:val="24"/>
      <w:lang w:eastAsia="zh-CN"/>
    </w:rPr>
  </w:style>
  <w:style w:type="character" w:customStyle="1" w:styleId="FooterChar">
    <w:name w:val="Footer Char"/>
    <w:link w:val="Footer"/>
    <w:uiPriority w:val="99"/>
    <w:rsid w:val="00682A30"/>
    <w:rPr>
      <w:rFonts w:ascii="Arial" w:hAnsi="Arial"/>
      <w:sz w:val="22"/>
      <w:szCs w:val="22"/>
      <w:lang w:eastAsia="ja-JP"/>
    </w:rPr>
  </w:style>
  <w:style w:type="paragraph" w:styleId="Revision">
    <w:name w:val="Revision"/>
    <w:hidden/>
    <w:uiPriority w:val="99"/>
    <w:semiHidden/>
    <w:rsid w:val="000B2E9F"/>
    <w:rPr>
      <w:rFonts w:ascii="Arial" w:hAnsi="Arial"/>
      <w:sz w:val="22"/>
      <w:szCs w:val="22"/>
      <w:lang w:val="en-US" w:eastAsia="ja-JP"/>
    </w:rPr>
  </w:style>
  <w:style w:type="paragraph" w:styleId="ListParagraph">
    <w:name w:val="List Paragraph"/>
    <w:basedOn w:val="Normal"/>
    <w:uiPriority w:val="34"/>
    <w:qFormat/>
    <w:rsid w:val="00C54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877">
      <w:bodyDiv w:val="1"/>
      <w:marLeft w:val="0"/>
      <w:marRight w:val="0"/>
      <w:marTop w:val="0"/>
      <w:marBottom w:val="0"/>
      <w:divBdr>
        <w:top w:val="none" w:sz="0" w:space="0" w:color="auto"/>
        <w:left w:val="none" w:sz="0" w:space="0" w:color="auto"/>
        <w:bottom w:val="none" w:sz="0" w:space="0" w:color="auto"/>
        <w:right w:val="none" w:sz="0" w:space="0" w:color="auto"/>
      </w:divBdr>
    </w:div>
    <w:div w:id="85813249">
      <w:bodyDiv w:val="1"/>
      <w:marLeft w:val="0"/>
      <w:marRight w:val="0"/>
      <w:marTop w:val="0"/>
      <w:marBottom w:val="0"/>
      <w:divBdr>
        <w:top w:val="none" w:sz="0" w:space="0" w:color="auto"/>
        <w:left w:val="none" w:sz="0" w:space="0" w:color="auto"/>
        <w:bottom w:val="none" w:sz="0" w:space="0" w:color="auto"/>
        <w:right w:val="none" w:sz="0" w:space="0" w:color="auto"/>
      </w:divBdr>
    </w:div>
    <w:div w:id="129521032">
      <w:bodyDiv w:val="1"/>
      <w:marLeft w:val="0"/>
      <w:marRight w:val="0"/>
      <w:marTop w:val="0"/>
      <w:marBottom w:val="0"/>
      <w:divBdr>
        <w:top w:val="none" w:sz="0" w:space="0" w:color="auto"/>
        <w:left w:val="none" w:sz="0" w:space="0" w:color="auto"/>
        <w:bottom w:val="none" w:sz="0" w:space="0" w:color="auto"/>
        <w:right w:val="none" w:sz="0" w:space="0" w:color="auto"/>
      </w:divBdr>
      <w:divsChild>
        <w:div w:id="1820000980">
          <w:marLeft w:val="0"/>
          <w:marRight w:val="0"/>
          <w:marTop w:val="0"/>
          <w:marBottom w:val="0"/>
          <w:divBdr>
            <w:top w:val="none" w:sz="0" w:space="0" w:color="auto"/>
            <w:left w:val="none" w:sz="0" w:space="0" w:color="auto"/>
            <w:bottom w:val="none" w:sz="0" w:space="0" w:color="auto"/>
            <w:right w:val="none" w:sz="0" w:space="0" w:color="auto"/>
          </w:divBdr>
        </w:div>
      </w:divsChild>
    </w:div>
    <w:div w:id="155466038">
      <w:bodyDiv w:val="1"/>
      <w:marLeft w:val="0"/>
      <w:marRight w:val="0"/>
      <w:marTop w:val="0"/>
      <w:marBottom w:val="0"/>
      <w:divBdr>
        <w:top w:val="none" w:sz="0" w:space="0" w:color="auto"/>
        <w:left w:val="none" w:sz="0" w:space="0" w:color="auto"/>
        <w:bottom w:val="none" w:sz="0" w:space="0" w:color="auto"/>
        <w:right w:val="none" w:sz="0" w:space="0" w:color="auto"/>
      </w:divBdr>
    </w:div>
    <w:div w:id="297302090">
      <w:bodyDiv w:val="1"/>
      <w:marLeft w:val="0"/>
      <w:marRight w:val="0"/>
      <w:marTop w:val="0"/>
      <w:marBottom w:val="0"/>
      <w:divBdr>
        <w:top w:val="none" w:sz="0" w:space="0" w:color="auto"/>
        <w:left w:val="none" w:sz="0" w:space="0" w:color="auto"/>
        <w:bottom w:val="none" w:sz="0" w:space="0" w:color="auto"/>
        <w:right w:val="none" w:sz="0" w:space="0" w:color="auto"/>
      </w:divBdr>
    </w:div>
    <w:div w:id="424499646">
      <w:bodyDiv w:val="1"/>
      <w:marLeft w:val="0"/>
      <w:marRight w:val="0"/>
      <w:marTop w:val="0"/>
      <w:marBottom w:val="0"/>
      <w:divBdr>
        <w:top w:val="none" w:sz="0" w:space="0" w:color="auto"/>
        <w:left w:val="none" w:sz="0" w:space="0" w:color="auto"/>
        <w:bottom w:val="none" w:sz="0" w:space="0" w:color="auto"/>
        <w:right w:val="none" w:sz="0" w:space="0" w:color="auto"/>
      </w:divBdr>
    </w:div>
    <w:div w:id="511727015">
      <w:bodyDiv w:val="1"/>
      <w:marLeft w:val="0"/>
      <w:marRight w:val="0"/>
      <w:marTop w:val="0"/>
      <w:marBottom w:val="0"/>
      <w:divBdr>
        <w:top w:val="none" w:sz="0" w:space="0" w:color="auto"/>
        <w:left w:val="none" w:sz="0" w:space="0" w:color="auto"/>
        <w:bottom w:val="none" w:sz="0" w:space="0" w:color="auto"/>
        <w:right w:val="none" w:sz="0" w:space="0" w:color="auto"/>
      </w:divBdr>
      <w:divsChild>
        <w:div w:id="1776709887">
          <w:marLeft w:val="0"/>
          <w:marRight w:val="0"/>
          <w:marTop w:val="0"/>
          <w:marBottom w:val="0"/>
          <w:divBdr>
            <w:top w:val="none" w:sz="0" w:space="0" w:color="auto"/>
            <w:left w:val="none" w:sz="0" w:space="0" w:color="auto"/>
            <w:bottom w:val="none" w:sz="0" w:space="0" w:color="auto"/>
            <w:right w:val="none" w:sz="0" w:space="0" w:color="auto"/>
          </w:divBdr>
        </w:div>
      </w:divsChild>
    </w:div>
    <w:div w:id="600065873">
      <w:bodyDiv w:val="1"/>
      <w:marLeft w:val="0"/>
      <w:marRight w:val="0"/>
      <w:marTop w:val="0"/>
      <w:marBottom w:val="0"/>
      <w:divBdr>
        <w:top w:val="none" w:sz="0" w:space="0" w:color="auto"/>
        <w:left w:val="none" w:sz="0" w:space="0" w:color="auto"/>
        <w:bottom w:val="none" w:sz="0" w:space="0" w:color="auto"/>
        <w:right w:val="none" w:sz="0" w:space="0" w:color="auto"/>
      </w:divBdr>
    </w:div>
    <w:div w:id="671879286">
      <w:bodyDiv w:val="1"/>
      <w:marLeft w:val="0"/>
      <w:marRight w:val="0"/>
      <w:marTop w:val="0"/>
      <w:marBottom w:val="0"/>
      <w:divBdr>
        <w:top w:val="none" w:sz="0" w:space="0" w:color="auto"/>
        <w:left w:val="none" w:sz="0" w:space="0" w:color="auto"/>
        <w:bottom w:val="none" w:sz="0" w:space="0" w:color="auto"/>
        <w:right w:val="none" w:sz="0" w:space="0" w:color="auto"/>
      </w:divBdr>
      <w:divsChild>
        <w:div w:id="1185513011">
          <w:marLeft w:val="0"/>
          <w:marRight w:val="0"/>
          <w:marTop w:val="0"/>
          <w:marBottom w:val="0"/>
          <w:divBdr>
            <w:top w:val="none" w:sz="0" w:space="0" w:color="auto"/>
            <w:left w:val="none" w:sz="0" w:space="0" w:color="auto"/>
            <w:bottom w:val="none" w:sz="0" w:space="0" w:color="auto"/>
            <w:right w:val="none" w:sz="0" w:space="0" w:color="auto"/>
          </w:divBdr>
        </w:div>
      </w:divsChild>
    </w:div>
    <w:div w:id="692151653">
      <w:bodyDiv w:val="1"/>
      <w:marLeft w:val="0"/>
      <w:marRight w:val="0"/>
      <w:marTop w:val="0"/>
      <w:marBottom w:val="0"/>
      <w:divBdr>
        <w:top w:val="none" w:sz="0" w:space="0" w:color="auto"/>
        <w:left w:val="none" w:sz="0" w:space="0" w:color="auto"/>
        <w:bottom w:val="none" w:sz="0" w:space="0" w:color="auto"/>
        <w:right w:val="none" w:sz="0" w:space="0" w:color="auto"/>
      </w:divBdr>
    </w:div>
    <w:div w:id="886526521">
      <w:bodyDiv w:val="1"/>
      <w:marLeft w:val="0"/>
      <w:marRight w:val="0"/>
      <w:marTop w:val="0"/>
      <w:marBottom w:val="0"/>
      <w:divBdr>
        <w:top w:val="none" w:sz="0" w:space="0" w:color="auto"/>
        <w:left w:val="none" w:sz="0" w:space="0" w:color="auto"/>
        <w:bottom w:val="none" w:sz="0" w:space="0" w:color="auto"/>
        <w:right w:val="none" w:sz="0" w:space="0" w:color="auto"/>
      </w:divBdr>
      <w:divsChild>
        <w:div w:id="176964050">
          <w:marLeft w:val="0"/>
          <w:marRight w:val="0"/>
          <w:marTop w:val="0"/>
          <w:marBottom w:val="0"/>
          <w:divBdr>
            <w:top w:val="none" w:sz="0" w:space="0" w:color="auto"/>
            <w:left w:val="none" w:sz="0" w:space="0" w:color="auto"/>
            <w:bottom w:val="none" w:sz="0" w:space="0" w:color="auto"/>
            <w:right w:val="none" w:sz="0" w:space="0" w:color="auto"/>
          </w:divBdr>
        </w:div>
        <w:div w:id="766969629">
          <w:marLeft w:val="0"/>
          <w:marRight w:val="0"/>
          <w:marTop w:val="0"/>
          <w:marBottom w:val="0"/>
          <w:divBdr>
            <w:top w:val="none" w:sz="0" w:space="0" w:color="auto"/>
            <w:left w:val="none" w:sz="0" w:space="0" w:color="auto"/>
            <w:bottom w:val="none" w:sz="0" w:space="0" w:color="auto"/>
            <w:right w:val="none" w:sz="0" w:space="0" w:color="auto"/>
          </w:divBdr>
        </w:div>
        <w:div w:id="1654211471">
          <w:marLeft w:val="0"/>
          <w:marRight w:val="0"/>
          <w:marTop w:val="0"/>
          <w:marBottom w:val="0"/>
          <w:divBdr>
            <w:top w:val="none" w:sz="0" w:space="0" w:color="auto"/>
            <w:left w:val="none" w:sz="0" w:space="0" w:color="auto"/>
            <w:bottom w:val="none" w:sz="0" w:space="0" w:color="auto"/>
            <w:right w:val="none" w:sz="0" w:space="0" w:color="auto"/>
          </w:divBdr>
        </w:div>
        <w:div w:id="1856071634">
          <w:marLeft w:val="0"/>
          <w:marRight w:val="0"/>
          <w:marTop w:val="0"/>
          <w:marBottom w:val="0"/>
          <w:divBdr>
            <w:top w:val="none" w:sz="0" w:space="0" w:color="auto"/>
            <w:left w:val="none" w:sz="0" w:space="0" w:color="auto"/>
            <w:bottom w:val="none" w:sz="0" w:space="0" w:color="auto"/>
            <w:right w:val="none" w:sz="0" w:space="0" w:color="auto"/>
          </w:divBdr>
        </w:div>
        <w:div w:id="2121029336">
          <w:marLeft w:val="0"/>
          <w:marRight w:val="0"/>
          <w:marTop w:val="0"/>
          <w:marBottom w:val="0"/>
          <w:divBdr>
            <w:top w:val="none" w:sz="0" w:space="0" w:color="auto"/>
            <w:left w:val="none" w:sz="0" w:space="0" w:color="auto"/>
            <w:bottom w:val="none" w:sz="0" w:space="0" w:color="auto"/>
            <w:right w:val="none" w:sz="0" w:space="0" w:color="auto"/>
          </w:divBdr>
        </w:div>
      </w:divsChild>
    </w:div>
    <w:div w:id="931818489">
      <w:bodyDiv w:val="1"/>
      <w:marLeft w:val="0"/>
      <w:marRight w:val="0"/>
      <w:marTop w:val="0"/>
      <w:marBottom w:val="0"/>
      <w:divBdr>
        <w:top w:val="none" w:sz="0" w:space="0" w:color="auto"/>
        <w:left w:val="none" w:sz="0" w:space="0" w:color="auto"/>
        <w:bottom w:val="none" w:sz="0" w:space="0" w:color="auto"/>
        <w:right w:val="none" w:sz="0" w:space="0" w:color="auto"/>
      </w:divBdr>
    </w:div>
    <w:div w:id="1028218757">
      <w:bodyDiv w:val="1"/>
      <w:marLeft w:val="0"/>
      <w:marRight w:val="0"/>
      <w:marTop w:val="0"/>
      <w:marBottom w:val="0"/>
      <w:divBdr>
        <w:top w:val="none" w:sz="0" w:space="0" w:color="auto"/>
        <w:left w:val="none" w:sz="0" w:space="0" w:color="auto"/>
        <w:bottom w:val="none" w:sz="0" w:space="0" w:color="auto"/>
        <w:right w:val="none" w:sz="0" w:space="0" w:color="auto"/>
      </w:divBdr>
      <w:divsChild>
        <w:div w:id="82730700">
          <w:marLeft w:val="0"/>
          <w:marRight w:val="0"/>
          <w:marTop w:val="0"/>
          <w:marBottom w:val="0"/>
          <w:divBdr>
            <w:top w:val="none" w:sz="0" w:space="0" w:color="auto"/>
            <w:left w:val="none" w:sz="0" w:space="0" w:color="auto"/>
            <w:bottom w:val="none" w:sz="0" w:space="0" w:color="auto"/>
            <w:right w:val="none" w:sz="0" w:space="0" w:color="auto"/>
          </w:divBdr>
        </w:div>
        <w:div w:id="502204475">
          <w:marLeft w:val="0"/>
          <w:marRight w:val="0"/>
          <w:marTop w:val="0"/>
          <w:marBottom w:val="0"/>
          <w:divBdr>
            <w:top w:val="none" w:sz="0" w:space="0" w:color="auto"/>
            <w:left w:val="none" w:sz="0" w:space="0" w:color="auto"/>
            <w:bottom w:val="none" w:sz="0" w:space="0" w:color="auto"/>
            <w:right w:val="none" w:sz="0" w:space="0" w:color="auto"/>
          </w:divBdr>
        </w:div>
        <w:div w:id="700671134">
          <w:marLeft w:val="0"/>
          <w:marRight w:val="0"/>
          <w:marTop w:val="0"/>
          <w:marBottom w:val="0"/>
          <w:divBdr>
            <w:top w:val="none" w:sz="0" w:space="0" w:color="auto"/>
            <w:left w:val="none" w:sz="0" w:space="0" w:color="auto"/>
            <w:bottom w:val="none" w:sz="0" w:space="0" w:color="auto"/>
            <w:right w:val="none" w:sz="0" w:space="0" w:color="auto"/>
          </w:divBdr>
        </w:div>
        <w:div w:id="1101682618">
          <w:marLeft w:val="0"/>
          <w:marRight w:val="0"/>
          <w:marTop w:val="0"/>
          <w:marBottom w:val="0"/>
          <w:divBdr>
            <w:top w:val="none" w:sz="0" w:space="0" w:color="auto"/>
            <w:left w:val="none" w:sz="0" w:space="0" w:color="auto"/>
            <w:bottom w:val="none" w:sz="0" w:space="0" w:color="auto"/>
            <w:right w:val="none" w:sz="0" w:space="0" w:color="auto"/>
          </w:divBdr>
        </w:div>
        <w:div w:id="1593901314">
          <w:marLeft w:val="0"/>
          <w:marRight w:val="0"/>
          <w:marTop w:val="0"/>
          <w:marBottom w:val="0"/>
          <w:divBdr>
            <w:top w:val="none" w:sz="0" w:space="0" w:color="auto"/>
            <w:left w:val="none" w:sz="0" w:space="0" w:color="auto"/>
            <w:bottom w:val="none" w:sz="0" w:space="0" w:color="auto"/>
            <w:right w:val="none" w:sz="0" w:space="0" w:color="auto"/>
          </w:divBdr>
        </w:div>
      </w:divsChild>
    </w:div>
    <w:div w:id="1127167195">
      <w:bodyDiv w:val="1"/>
      <w:marLeft w:val="0"/>
      <w:marRight w:val="0"/>
      <w:marTop w:val="0"/>
      <w:marBottom w:val="0"/>
      <w:divBdr>
        <w:top w:val="none" w:sz="0" w:space="0" w:color="auto"/>
        <w:left w:val="none" w:sz="0" w:space="0" w:color="auto"/>
        <w:bottom w:val="none" w:sz="0" w:space="0" w:color="auto"/>
        <w:right w:val="none" w:sz="0" w:space="0" w:color="auto"/>
      </w:divBdr>
      <w:divsChild>
        <w:div w:id="2063283392">
          <w:marLeft w:val="0"/>
          <w:marRight w:val="0"/>
          <w:marTop w:val="0"/>
          <w:marBottom w:val="0"/>
          <w:divBdr>
            <w:top w:val="none" w:sz="0" w:space="0" w:color="auto"/>
            <w:left w:val="none" w:sz="0" w:space="0" w:color="auto"/>
            <w:bottom w:val="none" w:sz="0" w:space="0" w:color="auto"/>
            <w:right w:val="none" w:sz="0" w:space="0" w:color="auto"/>
          </w:divBdr>
        </w:div>
      </w:divsChild>
    </w:div>
    <w:div w:id="1130055710">
      <w:bodyDiv w:val="1"/>
      <w:marLeft w:val="0"/>
      <w:marRight w:val="0"/>
      <w:marTop w:val="0"/>
      <w:marBottom w:val="0"/>
      <w:divBdr>
        <w:top w:val="none" w:sz="0" w:space="0" w:color="auto"/>
        <w:left w:val="none" w:sz="0" w:space="0" w:color="auto"/>
        <w:bottom w:val="none" w:sz="0" w:space="0" w:color="auto"/>
        <w:right w:val="none" w:sz="0" w:space="0" w:color="auto"/>
      </w:divBdr>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606810838">
          <w:marLeft w:val="0"/>
          <w:marRight w:val="0"/>
          <w:marTop w:val="0"/>
          <w:marBottom w:val="0"/>
          <w:divBdr>
            <w:top w:val="none" w:sz="0" w:space="0" w:color="auto"/>
            <w:left w:val="none" w:sz="0" w:space="0" w:color="auto"/>
            <w:bottom w:val="none" w:sz="0" w:space="0" w:color="auto"/>
            <w:right w:val="none" w:sz="0" w:space="0" w:color="auto"/>
          </w:divBdr>
        </w:div>
        <w:div w:id="1023479031">
          <w:marLeft w:val="0"/>
          <w:marRight w:val="0"/>
          <w:marTop w:val="0"/>
          <w:marBottom w:val="0"/>
          <w:divBdr>
            <w:top w:val="none" w:sz="0" w:space="0" w:color="auto"/>
            <w:left w:val="none" w:sz="0" w:space="0" w:color="auto"/>
            <w:bottom w:val="none" w:sz="0" w:space="0" w:color="auto"/>
            <w:right w:val="none" w:sz="0" w:space="0" w:color="auto"/>
          </w:divBdr>
        </w:div>
        <w:div w:id="1520464527">
          <w:marLeft w:val="0"/>
          <w:marRight w:val="0"/>
          <w:marTop w:val="0"/>
          <w:marBottom w:val="0"/>
          <w:divBdr>
            <w:top w:val="none" w:sz="0" w:space="0" w:color="auto"/>
            <w:left w:val="none" w:sz="0" w:space="0" w:color="auto"/>
            <w:bottom w:val="none" w:sz="0" w:space="0" w:color="auto"/>
            <w:right w:val="none" w:sz="0" w:space="0" w:color="auto"/>
          </w:divBdr>
        </w:div>
        <w:div w:id="1572695363">
          <w:marLeft w:val="0"/>
          <w:marRight w:val="0"/>
          <w:marTop w:val="0"/>
          <w:marBottom w:val="0"/>
          <w:divBdr>
            <w:top w:val="none" w:sz="0" w:space="0" w:color="auto"/>
            <w:left w:val="none" w:sz="0" w:space="0" w:color="auto"/>
            <w:bottom w:val="none" w:sz="0" w:space="0" w:color="auto"/>
            <w:right w:val="none" w:sz="0" w:space="0" w:color="auto"/>
          </w:divBdr>
        </w:div>
        <w:div w:id="2044790543">
          <w:marLeft w:val="0"/>
          <w:marRight w:val="0"/>
          <w:marTop w:val="0"/>
          <w:marBottom w:val="0"/>
          <w:divBdr>
            <w:top w:val="none" w:sz="0" w:space="0" w:color="auto"/>
            <w:left w:val="none" w:sz="0" w:space="0" w:color="auto"/>
            <w:bottom w:val="none" w:sz="0" w:space="0" w:color="auto"/>
            <w:right w:val="none" w:sz="0" w:space="0" w:color="auto"/>
          </w:divBdr>
        </w:div>
      </w:divsChild>
    </w:div>
    <w:div w:id="1298343056">
      <w:bodyDiv w:val="1"/>
      <w:marLeft w:val="0"/>
      <w:marRight w:val="0"/>
      <w:marTop w:val="0"/>
      <w:marBottom w:val="0"/>
      <w:divBdr>
        <w:top w:val="none" w:sz="0" w:space="0" w:color="auto"/>
        <w:left w:val="none" w:sz="0" w:space="0" w:color="auto"/>
        <w:bottom w:val="none" w:sz="0" w:space="0" w:color="auto"/>
        <w:right w:val="none" w:sz="0" w:space="0" w:color="auto"/>
      </w:divBdr>
    </w:div>
    <w:div w:id="1364867126">
      <w:bodyDiv w:val="1"/>
      <w:marLeft w:val="0"/>
      <w:marRight w:val="0"/>
      <w:marTop w:val="0"/>
      <w:marBottom w:val="0"/>
      <w:divBdr>
        <w:top w:val="none" w:sz="0" w:space="0" w:color="auto"/>
        <w:left w:val="none" w:sz="0" w:space="0" w:color="auto"/>
        <w:bottom w:val="none" w:sz="0" w:space="0" w:color="auto"/>
        <w:right w:val="none" w:sz="0" w:space="0" w:color="auto"/>
      </w:divBdr>
    </w:div>
    <w:div w:id="1429081667">
      <w:bodyDiv w:val="1"/>
      <w:marLeft w:val="0"/>
      <w:marRight w:val="0"/>
      <w:marTop w:val="0"/>
      <w:marBottom w:val="0"/>
      <w:divBdr>
        <w:top w:val="none" w:sz="0" w:space="0" w:color="auto"/>
        <w:left w:val="none" w:sz="0" w:space="0" w:color="auto"/>
        <w:bottom w:val="none" w:sz="0" w:space="0" w:color="auto"/>
        <w:right w:val="none" w:sz="0" w:space="0" w:color="auto"/>
      </w:divBdr>
    </w:div>
    <w:div w:id="1470122893">
      <w:bodyDiv w:val="1"/>
      <w:marLeft w:val="0"/>
      <w:marRight w:val="0"/>
      <w:marTop w:val="0"/>
      <w:marBottom w:val="0"/>
      <w:divBdr>
        <w:top w:val="none" w:sz="0" w:space="0" w:color="auto"/>
        <w:left w:val="none" w:sz="0" w:space="0" w:color="auto"/>
        <w:bottom w:val="none" w:sz="0" w:space="0" w:color="auto"/>
        <w:right w:val="none" w:sz="0" w:space="0" w:color="auto"/>
      </w:divBdr>
    </w:div>
    <w:div w:id="1699118259">
      <w:bodyDiv w:val="1"/>
      <w:marLeft w:val="0"/>
      <w:marRight w:val="0"/>
      <w:marTop w:val="0"/>
      <w:marBottom w:val="0"/>
      <w:divBdr>
        <w:top w:val="none" w:sz="0" w:space="0" w:color="auto"/>
        <w:left w:val="none" w:sz="0" w:space="0" w:color="auto"/>
        <w:bottom w:val="none" w:sz="0" w:space="0" w:color="auto"/>
        <w:right w:val="none" w:sz="0" w:space="0" w:color="auto"/>
      </w:divBdr>
    </w:div>
    <w:div w:id="1759208542">
      <w:bodyDiv w:val="1"/>
      <w:marLeft w:val="0"/>
      <w:marRight w:val="0"/>
      <w:marTop w:val="0"/>
      <w:marBottom w:val="0"/>
      <w:divBdr>
        <w:top w:val="none" w:sz="0" w:space="0" w:color="auto"/>
        <w:left w:val="none" w:sz="0" w:space="0" w:color="auto"/>
        <w:bottom w:val="none" w:sz="0" w:space="0" w:color="auto"/>
        <w:right w:val="none" w:sz="0" w:space="0" w:color="auto"/>
      </w:divBdr>
    </w:div>
    <w:div w:id="1827235860">
      <w:bodyDiv w:val="1"/>
      <w:marLeft w:val="0"/>
      <w:marRight w:val="0"/>
      <w:marTop w:val="0"/>
      <w:marBottom w:val="0"/>
      <w:divBdr>
        <w:top w:val="none" w:sz="0" w:space="0" w:color="auto"/>
        <w:left w:val="none" w:sz="0" w:space="0" w:color="auto"/>
        <w:bottom w:val="none" w:sz="0" w:space="0" w:color="auto"/>
        <w:right w:val="none" w:sz="0" w:space="0" w:color="auto"/>
      </w:divBdr>
    </w:div>
    <w:div w:id="1907303911">
      <w:bodyDiv w:val="1"/>
      <w:marLeft w:val="0"/>
      <w:marRight w:val="0"/>
      <w:marTop w:val="0"/>
      <w:marBottom w:val="0"/>
      <w:divBdr>
        <w:top w:val="none" w:sz="0" w:space="0" w:color="auto"/>
        <w:left w:val="none" w:sz="0" w:space="0" w:color="auto"/>
        <w:bottom w:val="none" w:sz="0" w:space="0" w:color="auto"/>
        <w:right w:val="none" w:sz="0" w:space="0" w:color="auto"/>
      </w:divBdr>
      <w:divsChild>
        <w:div w:id="129637661">
          <w:marLeft w:val="0"/>
          <w:marRight w:val="0"/>
          <w:marTop w:val="0"/>
          <w:marBottom w:val="0"/>
          <w:divBdr>
            <w:top w:val="none" w:sz="0" w:space="0" w:color="auto"/>
            <w:left w:val="none" w:sz="0" w:space="0" w:color="auto"/>
            <w:bottom w:val="none" w:sz="0" w:space="0" w:color="auto"/>
            <w:right w:val="none" w:sz="0" w:space="0" w:color="auto"/>
          </w:divBdr>
        </w:div>
      </w:divsChild>
    </w:div>
    <w:div w:id="1913193029">
      <w:bodyDiv w:val="1"/>
      <w:marLeft w:val="0"/>
      <w:marRight w:val="0"/>
      <w:marTop w:val="0"/>
      <w:marBottom w:val="0"/>
      <w:divBdr>
        <w:top w:val="none" w:sz="0" w:space="0" w:color="auto"/>
        <w:left w:val="none" w:sz="0" w:space="0" w:color="auto"/>
        <w:bottom w:val="none" w:sz="0" w:space="0" w:color="auto"/>
        <w:right w:val="none" w:sz="0" w:space="0" w:color="auto"/>
      </w:divBdr>
    </w:div>
    <w:div w:id="21362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55CD-F45F-433F-8C5A-44A96294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9070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10676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2012-01-17T09:33:00Z</cp:lastPrinted>
  <dcterms:created xsi:type="dcterms:W3CDTF">2012-07-17T14:13:00Z</dcterms:created>
  <dcterms:modified xsi:type="dcterms:W3CDTF">2012-07-17T14:13:00Z</dcterms:modified>
</cp:coreProperties>
</file>