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ti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6C6" w:rsidRPr="00917B73" w:rsidRDefault="00A446C6" w:rsidP="00792212">
      <w:pPr>
        <w:tabs>
          <w:tab w:val="clear" w:pos="1134"/>
          <w:tab w:val="clear" w:pos="2268"/>
          <w:tab w:val="clear" w:pos="3402"/>
          <w:tab w:val="clear" w:pos="4536"/>
          <w:tab w:val="clear" w:pos="5670"/>
          <w:tab w:val="clear" w:pos="6804"/>
          <w:tab w:val="clear" w:pos="7938"/>
        </w:tabs>
        <w:spacing w:line="260" w:lineRule="exact"/>
        <w:jc w:val="center"/>
        <w:outlineLvl w:val="0"/>
        <w:rPr>
          <w:b/>
          <w:sz w:val="20"/>
          <w:u w:val="single"/>
          <w:lang w:val="en-GB" w:eastAsia="en-US"/>
        </w:rPr>
      </w:pPr>
      <w:bookmarkStart w:id="0" w:name="OLE_LINK1"/>
      <w:r w:rsidRPr="00917B73">
        <w:rPr>
          <w:b/>
          <w:sz w:val="20"/>
          <w:u w:val="single"/>
          <w:lang w:val="en-GB" w:eastAsia="en-US"/>
        </w:rPr>
        <w:t>PRESS RELEASE</w:t>
      </w:r>
    </w:p>
    <w:bookmarkEnd w:id="0"/>
    <w:p w:rsidR="00A446C6" w:rsidRPr="00917B73" w:rsidRDefault="00A446C6" w:rsidP="00792212">
      <w:pPr>
        <w:pStyle w:val="Default"/>
        <w:spacing w:line="260" w:lineRule="exact"/>
        <w:rPr>
          <w:sz w:val="20"/>
          <w:szCs w:val="20"/>
        </w:rPr>
      </w:pPr>
    </w:p>
    <w:p w:rsidR="00A446C6" w:rsidRPr="00917B73" w:rsidRDefault="00A446C6" w:rsidP="00792212">
      <w:pPr>
        <w:pStyle w:val="Default"/>
        <w:spacing w:line="260" w:lineRule="exact"/>
        <w:ind w:left="426"/>
        <w:jc w:val="center"/>
        <w:rPr>
          <w:b/>
          <w:bCs/>
          <w:sz w:val="20"/>
          <w:szCs w:val="20"/>
        </w:rPr>
      </w:pPr>
      <w:r w:rsidRPr="00917B73">
        <w:rPr>
          <w:b/>
          <w:bCs/>
          <w:sz w:val="20"/>
          <w:szCs w:val="20"/>
        </w:rPr>
        <w:t xml:space="preserve">BE Semiconductor Industries Announces Transactions </w:t>
      </w:r>
    </w:p>
    <w:p w:rsidR="00A446C6" w:rsidRPr="00917B73" w:rsidRDefault="00A446C6" w:rsidP="00792212">
      <w:pPr>
        <w:pStyle w:val="Default"/>
        <w:spacing w:line="260" w:lineRule="exact"/>
        <w:ind w:left="426"/>
        <w:jc w:val="center"/>
        <w:rPr>
          <w:b/>
          <w:bCs/>
          <w:sz w:val="20"/>
          <w:szCs w:val="20"/>
        </w:rPr>
      </w:pPr>
      <w:r w:rsidRPr="00917B73">
        <w:rPr>
          <w:b/>
          <w:bCs/>
          <w:sz w:val="20"/>
          <w:szCs w:val="20"/>
        </w:rPr>
        <w:t>Under Share Repurchase Program</w:t>
      </w:r>
    </w:p>
    <w:p w:rsidR="00A446C6" w:rsidRPr="00917B73" w:rsidRDefault="00A446C6" w:rsidP="00792212">
      <w:pPr>
        <w:pStyle w:val="Default"/>
        <w:spacing w:line="260" w:lineRule="exact"/>
        <w:ind w:left="426"/>
        <w:jc w:val="center"/>
        <w:rPr>
          <w:sz w:val="20"/>
          <w:szCs w:val="20"/>
        </w:rPr>
      </w:pPr>
    </w:p>
    <w:p w:rsidR="00A446C6" w:rsidRPr="00917B73" w:rsidRDefault="00A446C6" w:rsidP="00792212">
      <w:pPr>
        <w:spacing w:line="260" w:lineRule="exact"/>
        <w:ind w:right="11"/>
        <w:jc w:val="both"/>
        <w:rPr>
          <w:rFonts w:cs="Arial"/>
          <w:sz w:val="20"/>
        </w:rPr>
      </w:pPr>
      <w:proofErr w:type="spellStart"/>
      <w:r w:rsidRPr="00917B73">
        <w:rPr>
          <w:rFonts w:cs="Arial"/>
          <w:sz w:val="20"/>
        </w:rPr>
        <w:t>Duiven</w:t>
      </w:r>
      <w:proofErr w:type="spellEnd"/>
      <w:r w:rsidRPr="00917B73">
        <w:rPr>
          <w:rFonts w:cs="Arial"/>
          <w:sz w:val="20"/>
        </w:rPr>
        <w:t>, the Netherlands</w:t>
      </w:r>
      <w:r w:rsidR="00726573" w:rsidRPr="00917B73">
        <w:rPr>
          <w:rFonts w:cs="Arial"/>
          <w:sz w:val="20"/>
        </w:rPr>
        <w:t>,</w:t>
      </w:r>
      <w:r w:rsidR="00B73A06">
        <w:rPr>
          <w:rFonts w:cs="Arial"/>
          <w:sz w:val="20"/>
        </w:rPr>
        <w:t xml:space="preserve"> </w:t>
      </w:r>
      <w:r w:rsidR="00BA573B">
        <w:rPr>
          <w:rFonts w:cs="Arial"/>
          <w:sz w:val="20"/>
        </w:rPr>
        <w:t xml:space="preserve">June </w:t>
      </w:r>
      <w:r w:rsidR="007A5EC8">
        <w:rPr>
          <w:rFonts w:cs="Arial"/>
          <w:sz w:val="20"/>
        </w:rPr>
        <w:t>1</w:t>
      </w:r>
      <w:r w:rsidR="00876289">
        <w:rPr>
          <w:rFonts w:cs="Arial"/>
          <w:sz w:val="20"/>
        </w:rPr>
        <w:t>7</w:t>
      </w:r>
      <w:r w:rsidR="00CB2051">
        <w:rPr>
          <w:rFonts w:cs="Arial"/>
          <w:sz w:val="20"/>
        </w:rPr>
        <w:t xml:space="preserve">, </w:t>
      </w:r>
      <w:r w:rsidRPr="00917B73">
        <w:rPr>
          <w:rFonts w:cs="Arial"/>
          <w:sz w:val="20"/>
        </w:rPr>
        <w:t>20</w:t>
      </w:r>
      <w:r w:rsidR="00AA3264">
        <w:rPr>
          <w:rFonts w:cs="Arial"/>
          <w:sz w:val="20"/>
        </w:rPr>
        <w:t>2</w:t>
      </w:r>
      <w:r w:rsidR="001B314A">
        <w:rPr>
          <w:rFonts w:cs="Arial"/>
          <w:sz w:val="20"/>
        </w:rPr>
        <w:t>1</w:t>
      </w:r>
      <w:r w:rsidRPr="00917B73">
        <w:rPr>
          <w:rFonts w:cs="Arial"/>
          <w:sz w:val="20"/>
        </w:rPr>
        <w:t xml:space="preserve"> - BE Semiconductor Industries N.V. (the "Company" or "Besi") (Euronext Amsterdam: BESI; OTC: BESIY - Nasdaq International Designation) reports the following transactions, conducted under Besi’s current share repurchase program.</w:t>
      </w:r>
      <w:r w:rsidR="00FC3584" w:rsidRPr="00917B73">
        <w:rPr>
          <w:rFonts w:cs="Arial"/>
          <w:sz w:val="20"/>
        </w:rPr>
        <w:t xml:space="preserve"> </w:t>
      </w:r>
    </w:p>
    <w:p w:rsidR="003201ED" w:rsidRPr="00917B73" w:rsidRDefault="003201ED" w:rsidP="00792212">
      <w:pPr>
        <w:spacing w:line="260" w:lineRule="exact"/>
        <w:ind w:right="11"/>
        <w:jc w:val="both"/>
        <w:rPr>
          <w:rFonts w:cs="Arial"/>
          <w:color w:val="000000"/>
          <w:sz w:val="20"/>
        </w:rPr>
      </w:pPr>
    </w:p>
    <w:tbl>
      <w:tblPr>
        <w:tblStyle w:val="TableGrid"/>
        <w:tblW w:w="9351" w:type="dxa"/>
        <w:tblLook w:val="04A0" w:firstRow="1" w:lastRow="0" w:firstColumn="1" w:lastColumn="0" w:noHBand="0" w:noVBand="1"/>
      </w:tblPr>
      <w:tblGrid>
        <w:gridCol w:w="1242"/>
        <w:gridCol w:w="2439"/>
        <w:gridCol w:w="2948"/>
        <w:gridCol w:w="2722"/>
      </w:tblGrid>
      <w:tr w:rsidR="00A446C6" w:rsidRPr="00917B73" w:rsidTr="00357BC4">
        <w:tc>
          <w:tcPr>
            <w:tcW w:w="1242" w:type="dxa"/>
          </w:tcPr>
          <w:p w:rsidR="00A446C6" w:rsidRPr="00917B73" w:rsidRDefault="00A446C6" w:rsidP="00792212">
            <w:pPr>
              <w:spacing w:line="260" w:lineRule="exact"/>
              <w:ind w:right="11"/>
              <w:jc w:val="right"/>
              <w:rPr>
                <w:rFonts w:cs="Arial"/>
                <w:b/>
                <w:color w:val="000000"/>
                <w:sz w:val="20"/>
              </w:rPr>
            </w:pPr>
            <w:r w:rsidRPr="00917B73">
              <w:rPr>
                <w:rFonts w:cs="Arial"/>
                <w:b/>
                <w:color w:val="000000"/>
                <w:sz w:val="20"/>
              </w:rPr>
              <w:t>Date</w:t>
            </w:r>
          </w:p>
        </w:tc>
        <w:tc>
          <w:tcPr>
            <w:tcW w:w="2439" w:type="dxa"/>
          </w:tcPr>
          <w:p w:rsidR="00A446C6" w:rsidRPr="00917B73" w:rsidRDefault="00A446C6" w:rsidP="00792212">
            <w:pPr>
              <w:spacing w:line="260" w:lineRule="exact"/>
              <w:ind w:right="11"/>
              <w:jc w:val="right"/>
              <w:rPr>
                <w:rFonts w:cs="Arial"/>
                <w:b/>
                <w:color w:val="000000"/>
                <w:sz w:val="20"/>
              </w:rPr>
            </w:pPr>
            <w:r w:rsidRPr="00917B73">
              <w:rPr>
                <w:rFonts w:cs="Arial"/>
                <w:b/>
                <w:color w:val="000000"/>
                <w:sz w:val="20"/>
              </w:rPr>
              <w:t>Total repurchased shares</w:t>
            </w:r>
          </w:p>
        </w:tc>
        <w:tc>
          <w:tcPr>
            <w:tcW w:w="2948" w:type="dxa"/>
          </w:tcPr>
          <w:p w:rsidR="00A446C6" w:rsidRPr="00917B73" w:rsidRDefault="00A446C6" w:rsidP="00792212">
            <w:pPr>
              <w:spacing w:line="260" w:lineRule="exact"/>
              <w:ind w:right="11"/>
              <w:jc w:val="right"/>
              <w:rPr>
                <w:rFonts w:cs="Arial"/>
                <w:b/>
                <w:color w:val="000000"/>
                <w:sz w:val="20"/>
              </w:rPr>
            </w:pPr>
            <w:r w:rsidRPr="00917B73">
              <w:rPr>
                <w:rFonts w:cs="Arial"/>
                <w:b/>
                <w:color w:val="000000"/>
                <w:sz w:val="20"/>
              </w:rPr>
              <w:t>Weighted average price</w:t>
            </w:r>
          </w:p>
          <w:p w:rsidR="00A446C6" w:rsidRPr="00917B73" w:rsidRDefault="00A446C6" w:rsidP="00792212">
            <w:pPr>
              <w:spacing w:line="260" w:lineRule="exact"/>
              <w:ind w:right="11"/>
              <w:jc w:val="right"/>
              <w:rPr>
                <w:rFonts w:cs="Arial"/>
                <w:b/>
                <w:color w:val="000000"/>
                <w:sz w:val="20"/>
              </w:rPr>
            </w:pPr>
            <w:r w:rsidRPr="00917B73">
              <w:rPr>
                <w:rFonts w:cs="Arial"/>
                <w:b/>
                <w:color w:val="000000"/>
                <w:sz w:val="20"/>
              </w:rPr>
              <w:t>(in euro)</w:t>
            </w:r>
          </w:p>
        </w:tc>
        <w:tc>
          <w:tcPr>
            <w:tcW w:w="2722" w:type="dxa"/>
          </w:tcPr>
          <w:p w:rsidR="00A446C6" w:rsidRPr="00917B73" w:rsidRDefault="00A446C6" w:rsidP="00792212">
            <w:pPr>
              <w:spacing w:line="260" w:lineRule="exact"/>
              <w:ind w:right="11"/>
              <w:jc w:val="right"/>
              <w:rPr>
                <w:rFonts w:cs="Arial"/>
                <w:b/>
                <w:color w:val="000000"/>
                <w:sz w:val="20"/>
              </w:rPr>
            </w:pPr>
            <w:r w:rsidRPr="00917B73">
              <w:rPr>
                <w:rFonts w:cs="Arial"/>
                <w:b/>
                <w:color w:val="000000"/>
                <w:sz w:val="20"/>
              </w:rPr>
              <w:t>Total repurchased value</w:t>
            </w:r>
            <w:r w:rsidRPr="00917B73">
              <w:rPr>
                <w:rFonts w:cs="Arial"/>
                <w:b/>
                <w:color w:val="000000"/>
                <w:sz w:val="20"/>
              </w:rPr>
              <w:br/>
              <w:t>(in euro)</w:t>
            </w:r>
          </w:p>
        </w:tc>
      </w:tr>
      <w:tr w:rsidR="00DC3452" w:rsidRPr="00917B73" w:rsidTr="00357BC4">
        <w:tc>
          <w:tcPr>
            <w:tcW w:w="1242" w:type="dxa"/>
            <w:shd w:val="clear" w:color="auto" w:fill="auto"/>
          </w:tcPr>
          <w:p w:rsidR="00DC3452" w:rsidRPr="00917B73" w:rsidRDefault="007A5EC8" w:rsidP="00482776">
            <w:pPr>
              <w:spacing w:line="260" w:lineRule="exact"/>
              <w:ind w:right="11"/>
              <w:jc w:val="right"/>
              <w:rPr>
                <w:rFonts w:cs="Arial"/>
                <w:color w:val="000000"/>
                <w:sz w:val="20"/>
              </w:rPr>
            </w:pPr>
            <w:r>
              <w:rPr>
                <w:rFonts w:cs="Arial"/>
                <w:color w:val="000000"/>
                <w:sz w:val="20"/>
              </w:rPr>
              <w:t>09-Jun</w:t>
            </w:r>
            <w:r w:rsidR="00DC3452">
              <w:rPr>
                <w:rFonts w:cs="Arial"/>
                <w:color w:val="000000"/>
                <w:sz w:val="20"/>
              </w:rPr>
              <w:t>-2</w:t>
            </w:r>
            <w:r w:rsidR="001768C2">
              <w:rPr>
                <w:rFonts w:cs="Arial"/>
                <w:color w:val="000000"/>
                <w:sz w:val="20"/>
              </w:rPr>
              <w:t>1</w:t>
            </w:r>
          </w:p>
        </w:tc>
        <w:tc>
          <w:tcPr>
            <w:tcW w:w="2439" w:type="dxa"/>
            <w:vAlign w:val="bottom"/>
          </w:tcPr>
          <w:p w:rsidR="00DC3452" w:rsidRPr="00DC3452" w:rsidRDefault="0096289C" w:rsidP="00DC3452">
            <w:pPr>
              <w:tabs>
                <w:tab w:val="clear" w:pos="1134"/>
                <w:tab w:val="clear" w:pos="2268"/>
                <w:tab w:val="clear" w:pos="3402"/>
                <w:tab w:val="clear" w:pos="4536"/>
                <w:tab w:val="clear" w:pos="5670"/>
                <w:tab w:val="clear" w:pos="6804"/>
                <w:tab w:val="clear" w:pos="7938"/>
                <w:tab w:val="clear" w:pos="9072"/>
              </w:tabs>
              <w:spacing w:line="240" w:lineRule="auto"/>
              <w:jc w:val="right"/>
              <w:rPr>
                <w:rFonts w:cs="Arial"/>
                <w:sz w:val="20"/>
                <w:lang w:eastAsia="en-US"/>
              </w:rPr>
            </w:pPr>
            <w:r>
              <w:rPr>
                <w:rFonts w:cs="Arial"/>
                <w:sz w:val="20"/>
                <w:lang w:eastAsia="en-US"/>
              </w:rPr>
              <w:t>2,213</w:t>
            </w:r>
          </w:p>
        </w:tc>
        <w:tc>
          <w:tcPr>
            <w:tcW w:w="2948" w:type="dxa"/>
            <w:vAlign w:val="bottom"/>
          </w:tcPr>
          <w:p w:rsidR="00DC3452" w:rsidRPr="00917B73" w:rsidRDefault="0096289C" w:rsidP="00DC3452">
            <w:pPr>
              <w:spacing w:line="260" w:lineRule="exact"/>
              <w:jc w:val="right"/>
              <w:rPr>
                <w:rFonts w:cs="Arial"/>
                <w:sz w:val="20"/>
              </w:rPr>
            </w:pPr>
            <w:r>
              <w:rPr>
                <w:rFonts w:cs="Arial"/>
                <w:sz w:val="20"/>
              </w:rPr>
              <w:t>72.29</w:t>
            </w:r>
          </w:p>
        </w:tc>
        <w:tc>
          <w:tcPr>
            <w:tcW w:w="2722" w:type="dxa"/>
            <w:vAlign w:val="bottom"/>
          </w:tcPr>
          <w:p w:rsidR="00DC3452" w:rsidRPr="00917B73" w:rsidRDefault="0096289C" w:rsidP="00DC3452">
            <w:pPr>
              <w:spacing w:line="260" w:lineRule="exact"/>
              <w:jc w:val="right"/>
              <w:rPr>
                <w:rFonts w:cs="Arial"/>
                <w:sz w:val="20"/>
              </w:rPr>
            </w:pPr>
            <w:r>
              <w:rPr>
                <w:rFonts w:cs="Arial"/>
                <w:sz w:val="20"/>
              </w:rPr>
              <w:t>159,972.90</w:t>
            </w:r>
          </w:p>
        </w:tc>
      </w:tr>
      <w:tr w:rsidR="00DC3452" w:rsidRPr="00917B73" w:rsidTr="00357BC4">
        <w:tc>
          <w:tcPr>
            <w:tcW w:w="1242" w:type="dxa"/>
            <w:shd w:val="clear" w:color="auto" w:fill="auto"/>
          </w:tcPr>
          <w:p w:rsidR="00DC3452" w:rsidRPr="00917B73" w:rsidRDefault="007A5EC8" w:rsidP="006002D4">
            <w:pPr>
              <w:spacing w:line="260" w:lineRule="exact"/>
              <w:ind w:right="11"/>
              <w:jc w:val="right"/>
              <w:rPr>
                <w:rFonts w:cs="Arial"/>
                <w:color w:val="000000"/>
                <w:sz w:val="20"/>
              </w:rPr>
            </w:pPr>
            <w:r>
              <w:rPr>
                <w:rFonts w:cs="Arial"/>
                <w:color w:val="000000"/>
                <w:sz w:val="20"/>
              </w:rPr>
              <w:t>10</w:t>
            </w:r>
            <w:r w:rsidR="00BA573B">
              <w:rPr>
                <w:rFonts w:cs="Arial"/>
                <w:color w:val="000000"/>
                <w:sz w:val="20"/>
              </w:rPr>
              <w:t>-Jun</w:t>
            </w:r>
            <w:r w:rsidR="00DC3452" w:rsidRPr="00917B73">
              <w:rPr>
                <w:rFonts w:cs="Arial"/>
                <w:color w:val="000000"/>
                <w:sz w:val="20"/>
              </w:rPr>
              <w:t>-</w:t>
            </w:r>
            <w:r w:rsidR="00DC3452">
              <w:rPr>
                <w:rFonts w:cs="Arial"/>
                <w:color w:val="000000"/>
                <w:sz w:val="20"/>
              </w:rPr>
              <w:t>2</w:t>
            </w:r>
            <w:r w:rsidR="001768C2">
              <w:rPr>
                <w:rFonts w:cs="Arial"/>
                <w:color w:val="000000"/>
                <w:sz w:val="20"/>
              </w:rPr>
              <w:t>1</w:t>
            </w:r>
          </w:p>
        </w:tc>
        <w:tc>
          <w:tcPr>
            <w:tcW w:w="2439" w:type="dxa"/>
            <w:vAlign w:val="bottom"/>
          </w:tcPr>
          <w:p w:rsidR="00DC3452" w:rsidRPr="00DC3452" w:rsidRDefault="0096289C" w:rsidP="00DC3452">
            <w:pPr>
              <w:jc w:val="right"/>
              <w:rPr>
                <w:rFonts w:cs="Arial"/>
                <w:sz w:val="20"/>
              </w:rPr>
            </w:pPr>
            <w:r>
              <w:rPr>
                <w:rFonts w:cs="Arial"/>
                <w:sz w:val="20"/>
              </w:rPr>
              <w:t>2,215</w:t>
            </w:r>
          </w:p>
        </w:tc>
        <w:tc>
          <w:tcPr>
            <w:tcW w:w="2948" w:type="dxa"/>
            <w:vAlign w:val="bottom"/>
          </w:tcPr>
          <w:p w:rsidR="00DC3452" w:rsidRPr="00917B73" w:rsidRDefault="0096289C" w:rsidP="00DC3452">
            <w:pPr>
              <w:spacing w:line="260" w:lineRule="exact"/>
              <w:jc w:val="right"/>
              <w:rPr>
                <w:rFonts w:cs="Arial"/>
                <w:sz w:val="20"/>
              </w:rPr>
            </w:pPr>
            <w:r>
              <w:rPr>
                <w:rFonts w:cs="Arial"/>
                <w:sz w:val="20"/>
              </w:rPr>
              <w:t>72.21</w:t>
            </w:r>
          </w:p>
        </w:tc>
        <w:tc>
          <w:tcPr>
            <w:tcW w:w="2722" w:type="dxa"/>
            <w:vAlign w:val="bottom"/>
          </w:tcPr>
          <w:p w:rsidR="00DC3452" w:rsidRPr="00917B73" w:rsidRDefault="0096289C" w:rsidP="005F6055">
            <w:pPr>
              <w:spacing w:line="260" w:lineRule="exact"/>
              <w:jc w:val="right"/>
              <w:rPr>
                <w:rFonts w:cs="Arial"/>
                <w:sz w:val="20"/>
              </w:rPr>
            </w:pPr>
            <w:r>
              <w:rPr>
                <w:rFonts w:cs="Arial"/>
                <w:sz w:val="20"/>
              </w:rPr>
              <w:t>159,943.60</w:t>
            </w:r>
          </w:p>
        </w:tc>
      </w:tr>
      <w:tr w:rsidR="00DC3452" w:rsidRPr="00917B73" w:rsidTr="00357BC4">
        <w:tc>
          <w:tcPr>
            <w:tcW w:w="1242" w:type="dxa"/>
            <w:shd w:val="clear" w:color="auto" w:fill="auto"/>
          </w:tcPr>
          <w:p w:rsidR="00DC3452" w:rsidRPr="00917B73" w:rsidRDefault="007A5EC8" w:rsidP="00DC3452">
            <w:pPr>
              <w:spacing w:line="260" w:lineRule="exact"/>
              <w:ind w:right="11"/>
              <w:jc w:val="right"/>
              <w:rPr>
                <w:rFonts w:cs="Arial"/>
                <w:color w:val="000000"/>
                <w:sz w:val="20"/>
              </w:rPr>
            </w:pPr>
            <w:r>
              <w:rPr>
                <w:rFonts w:cs="Arial"/>
                <w:color w:val="000000"/>
                <w:sz w:val="20"/>
              </w:rPr>
              <w:t>11</w:t>
            </w:r>
            <w:r w:rsidR="00BA573B">
              <w:rPr>
                <w:rFonts w:cs="Arial"/>
                <w:color w:val="000000"/>
                <w:sz w:val="20"/>
              </w:rPr>
              <w:t>-Jun</w:t>
            </w:r>
            <w:r w:rsidR="00DC3452">
              <w:rPr>
                <w:rFonts w:cs="Arial"/>
                <w:color w:val="000000"/>
                <w:sz w:val="20"/>
              </w:rPr>
              <w:t>-2</w:t>
            </w:r>
            <w:r w:rsidR="001768C2">
              <w:rPr>
                <w:rFonts w:cs="Arial"/>
                <w:color w:val="000000"/>
                <w:sz w:val="20"/>
              </w:rPr>
              <w:t>1</w:t>
            </w:r>
          </w:p>
        </w:tc>
        <w:tc>
          <w:tcPr>
            <w:tcW w:w="2439" w:type="dxa"/>
            <w:vAlign w:val="bottom"/>
          </w:tcPr>
          <w:p w:rsidR="00DC3452" w:rsidRPr="00DC3452" w:rsidRDefault="0096289C" w:rsidP="00DC3452">
            <w:pPr>
              <w:jc w:val="right"/>
              <w:rPr>
                <w:rFonts w:cs="Arial"/>
                <w:sz w:val="20"/>
              </w:rPr>
            </w:pPr>
            <w:r>
              <w:rPr>
                <w:rFonts w:cs="Arial"/>
                <w:sz w:val="20"/>
              </w:rPr>
              <w:t>2,215</w:t>
            </w:r>
          </w:p>
        </w:tc>
        <w:tc>
          <w:tcPr>
            <w:tcW w:w="2948" w:type="dxa"/>
            <w:vAlign w:val="bottom"/>
          </w:tcPr>
          <w:p w:rsidR="00DC3452" w:rsidRPr="00917B73" w:rsidRDefault="0096289C" w:rsidP="007B73EB">
            <w:pPr>
              <w:spacing w:line="260" w:lineRule="exact"/>
              <w:jc w:val="right"/>
              <w:rPr>
                <w:rFonts w:cs="Arial"/>
                <w:sz w:val="20"/>
              </w:rPr>
            </w:pPr>
            <w:r>
              <w:rPr>
                <w:rFonts w:cs="Arial"/>
                <w:sz w:val="20"/>
              </w:rPr>
              <w:t>72.23</w:t>
            </w:r>
          </w:p>
        </w:tc>
        <w:tc>
          <w:tcPr>
            <w:tcW w:w="2722" w:type="dxa"/>
            <w:vAlign w:val="bottom"/>
          </w:tcPr>
          <w:p w:rsidR="00DC3452" w:rsidRPr="00917B73" w:rsidRDefault="0096289C" w:rsidP="00DC3452">
            <w:pPr>
              <w:spacing w:line="260" w:lineRule="exact"/>
              <w:jc w:val="right"/>
              <w:rPr>
                <w:rFonts w:cs="Arial"/>
                <w:sz w:val="20"/>
              </w:rPr>
            </w:pPr>
            <w:r>
              <w:rPr>
                <w:rFonts w:cs="Arial"/>
                <w:sz w:val="20"/>
              </w:rPr>
              <w:t>159,986.35</w:t>
            </w:r>
          </w:p>
        </w:tc>
      </w:tr>
      <w:tr w:rsidR="00DC3452" w:rsidRPr="00917B73" w:rsidTr="00357BC4">
        <w:tc>
          <w:tcPr>
            <w:tcW w:w="1242" w:type="dxa"/>
            <w:shd w:val="clear" w:color="auto" w:fill="auto"/>
          </w:tcPr>
          <w:p w:rsidR="00DC3452" w:rsidRPr="00917B73" w:rsidRDefault="007A5EC8" w:rsidP="0048768E">
            <w:pPr>
              <w:spacing w:line="260" w:lineRule="exact"/>
              <w:ind w:right="11"/>
              <w:jc w:val="right"/>
              <w:rPr>
                <w:rFonts w:cs="Arial"/>
                <w:color w:val="000000"/>
                <w:sz w:val="20"/>
              </w:rPr>
            </w:pPr>
            <w:r>
              <w:rPr>
                <w:rFonts w:cs="Arial"/>
                <w:color w:val="000000"/>
                <w:sz w:val="20"/>
              </w:rPr>
              <w:t>14</w:t>
            </w:r>
            <w:r w:rsidR="00BA573B">
              <w:rPr>
                <w:rFonts w:cs="Arial"/>
                <w:color w:val="000000"/>
                <w:sz w:val="20"/>
              </w:rPr>
              <w:t>-Jun</w:t>
            </w:r>
            <w:r w:rsidR="00DC3452">
              <w:rPr>
                <w:rFonts w:cs="Arial"/>
                <w:color w:val="000000"/>
                <w:sz w:val="20"/>
              </w:rPr>
              <w:t>-2</w:t>
            </w:r>
            <w:r w:rsidR="001768C2">
              <w:rPr>
                <w:rFonts w:cs="Arial"/>
                <w:color w:val="000000"/>
                <w:sz w:val="20"/>
              </w:rPr>
              <w:t>1</w:t>
            </w:r>
          </w:p>
        </w:tc>
        <w:tc>
          <w:tcPr>
            <w:tcW w:w="2439" w:type="dxa"/>
            <w:vAlign w:val="bottom"/>
          </w:tcPr>
          <w:p w:rsidR="00DC3452" w:rsidRPr="00DC3452" w:rsidRDefault="0096289C" w:rsidP="00DC3452">
            <w:pPr>
              <w:jc w:val="right"/>
              <w:rPr>
                <w:rFonts w:cs="Arial"/>
                <w:sz w:val="20"/>
              </w:rPr>
            </w:pPr>
            <w:r>
              <w:rPr>
                <w:rFonts w:cs="Arial"/>
                <w:sz w:val="20"/>
              </w:rPr>
              <w:t>2,232</w:t>
            </w:r>
          </w:p>
        </w:tc>
        <w:tc>
          <w:tcPr>
            <w:tcW w:w="2948" w:type="dxa"/>
            <w:vAlign w:val="bottom"/>
          </w:tcPr>
          <w:p w:rsidR="00DC3452" w:rsidRPr="00917B73" w:rsidRDefault="0096289C" w:rsidP="00DC3452">
            <w:pPr>
              <w:spacing w:line="260" w:lineRule="exact"/>
              <w:jc w:val="right"/>
              <w:rPr>
                <w:rFonts w:cs="Arial"/>
                <w:sz w:val="20"/>
              </w:rPr>
            </w:pPr>
            <w:r>
              <w:rPr>
                <w:rFonts w:cs="Arial"/>
                <w:sz w:val="20"/>
              </w:rPr>
              <w:t>71.66</w:t>
            </w:r>
          </w:p>
        </w:tc>
        <w:tc>
          <w:tcPr>
            <w:tcW w:w="2722" w:type="dxa"/>
            <w:vAlign w:val="bottom"/>
          </w:tcPr>
          <w:p w:rsidR="00DC3452" w:rsidRPr="00917B73" w:rsidRDefault="0096289C" w:rsidP="00DC3452">
            <w:pPr>
              <w:spacing w:line="260" w:lineRule="exact"/>
              <w:jc w:val="right"/>
              <w:rPr>
                <w:rFonts w:cs="Arial"/>
                <w:sz w:val="20"/>
              </w:rPr>
            </w:pPr>
            <w:r>
              <w:rPr>
                <w:rFonts w:cs="Arial"/>
                <w:sz w:val="20"/>
              </w:rPr>
              <w:t>159,949.14</w:t>
            </w:r>
          </w:p>
        </w:tc>
      </w:tr>
      <w:tr w:rsidR="00DC3452" w:rsidRPr="00917B73" w:rsidTr="00357BC4">
        <w:tc>
          <w:tcPr>
            <w:tcW w:w="1242" w:type="dxa"/>
            <w:shd w:val="clear" w:color="auto" w:fill="auto"/>
          </w:tcPr>
          <w:p w:rsidR="00DC3452" w:rsidRPr="00917B73" w:rsidRDefault="007A5EC8" w:rsidP="00C90CCB">
            <w:pPr>
              <w:spacing w:line="260" w:lineRule="exact"/>
              <w:ind w:right="11"/>
              <w:jc w:val="right"/>
              <w:rPr>
                <w:rFonts w:cs="Arial"/>
                <w:color w:val="000000"/>
                <w:sz w:val="20"/>
              </w:rPr>
            </w:pPr>
            <w:r>
              <w:rPr>
                <w:rFonts w:cs="Arial"/>
                <w:color w:val="000000"/>
                <w:sz w:val="20"/>
              </w:rPr>
              <w:t>15</w:t>
            </w:r>
            <w:r w:rsidR="00BA573B">
              <w:rPr>
                <w:rFonts w:cs="Arial"/>
                <w:color w:val="000000"/>
                <w:sz w:val="20"/>
              </w:rPr>
              <w:t>-Jun</w:t>
            </w:r>
            <w:r w:rsidR="00DC3452">
              <w:rPr>
                <w:rFonts w:cs="Arial"/>
                <w:color w:val="000000"/>
                <w:sz w:val="20"/>
              </w:rPr>
              <w:t>-2</w:t>
            </w:r>
            <w:r w:rsidR="001768C2">
              <w:rPr>
                <w:rFonts w:cs="Arial"/>
                <w:color w:val="000000"/>
                <w:sz w:val="20"/>
              </w:rPr>
              <w:t>1</w:t>
            </w:r>
          </w:p>
        </w:tc>
        <w:tc>
          <w:tcPr>
            <w:tcW w:w="2439" w:type="dxa"/>
            <w:vAlign w:val="bottom"/>
          </w:tcPr>
          <w:p w:rsidR="00DC3452" w:rsidRPr="00DC3452" w:rsidRDefault="0096289C" w:rsidP="00DC3452">
            <w:pPr>
              <w:jc w:val="right"/>
              <w:rPr>
                <w:rFonts w:cs="Arial"/>
                <w:sz w:val="20"/>
              </w:rPr>
            </w:pPr>
            <w:r>
              <w:rPr>
                <w:rFonts w:cs="Arial"/>
                <w:sz w:val="20"/>
              </w:rPr>
              <w:t>2,258</w:t>
            </w:r>
          </w:p>
        </w:tc>
        <w:tc>
          <w:tcPr>
            <w:tcW w:w="2948" w:type="dxa"/>
            <w:vAlign w:val="bottom"/>
          </w:tcPr>
          <w:p w:rsidR="00DC3452" w:rsidRPr="00917B73" w:rsidRDefault="0096289C" w:rsidP="00DC3452">
            <w:pPr>
              <w:spacing w:line="260" w:lineRule="exact"/>
              <w:jc w:val="right"/>
              <w:rPr>
                <w:rFonts w:cs="Arial"/>
                <w:sz w:val="20"/>
              </w:rPr>
            </w:pPr>
            <w:r>
              <w:rPr>
                <w:rFonts w:cs="Arial"/>
                <w:sz w:val="20"/>
              </w:rPr>
              <w:t>70.83</w:t>
            </w:r>
          </w:p>
        </w:tc>
        <w:tc>
          <w:tcPr>
            <w:tcW w:w="2722" w:type="dxa"/>
            <w:vAlign w:val="bottom"/>
          </w:tcPr>
          <w:p w:rsidR="00DC3452" w:rsidRPr="00917B73" w:rsidRDefault="0096289C" w:rsidP="00DC3452">
            <w:pPr>
              <w:spacing w:line="260" w:lineRule="exact"/>
              <w:jc w:val="right"/>
              <w:rPr>
                <w:rFonts w:cs="Arial"/>
                <w:sz w:val="20"/>
              </w:rPr>
            </w:pPr>
            <w:r>
              <w:rPr>
                <w:rFonts w:cs="Arial"/>
                <w:sz w:val="20"/>
              </w:rPr>
              <w:t>159,932.11</w:t>
            </w:r>
          </w:p>
        </w:tc>
      </w:tr>
      <w:tr w:rsidR="008E0832" w:rsidRPr="00917B73" w:rsidTr="00357BC4">
        <w:tc>
          <w:tcPr>
            <w:tcW w:w="1242" w:type="dxa"/>
            <w:shd w:val="clear" w:color="auto" w:fill="auto"/>
          </w:tcPr>
          <w:p w:rsidR="008E0832" w:rsidRDefault="007A5EC8" w:rsidP="00CD4953">
            <w:pPr>
              <w:spacing w:line="260" w:lineRule="exact"/>
              <w:ind w:right="11"/>
              <w:jc w:val="right"/>
              <w:rPr>
                <w:rFonts w:cs="Arial"/>
                <w:color w:val="000000"/>
                <w:sz w:val="20"/>
              </w:rPr>
            </w:pPr>
            <w:r>
              <w:rPr>
                <w:rFonts w:cs="Arial"/>
                <w:color w:val="000000"/>
                <w:sz w:val="20"/>
              </w:rPr>
              <w:t>16</w:t>
            </w:r>
            <w:r w:rsidR="00BA573B">
              <w:rPr>
                <w:rFonts w:cs="Arial"/>
                <w:color w:val="000000"/>
                <w:sz w:val="20"/>
              </w:rPr>
              <w:t>-Jun</w:t>
            </w:r>
            <w:r w:rsidR="008E0832">
              <w:rPr>
                <w:rFonts w:cs="Arial"/>
                <w:color w:val="000000"/>
                <w:sz w:val="20"/>
              </w:rPr>
              <w:t>-21</w:t>
            </w:r>
          </w:p>
        </w:tc>
        <w:tc>
          <w:tcPr>
            <w:tcW w:w="2439" w:type="dxa"/>
            <w:vAlign w:val="bottom"/>
          </w:tcPr>
          <w:p w:rsidR="008E0832" w:rsidRDefault="0096289C" w:rsidP="00DC3452">
            <w:pPr>
              <w:jc w:val="right"/>
              <w:rPr>
                <w:rFonts w:cs="Arial"/>
                <w:sz w:val="20"/>
              </w:rPr>
            </w:pPr>
            <w:r>
              <w:rPr>
                <w:rFonts w:cs="Arial"/>
                <w:sz w:val="20"/>
              </w:rPr>
              <w:t>2,273</w:t>
            </w:r>
          </w:p>
        </w:tc>
        <w:tc>
          <w:tcPr>
            <w:tcW w:w="2948" w:type="dxa"/>
            <w:vAlign w:val="bottom"/>
          </w:tcPr>
          <w:p w:rsidR="008E0832" w:rsidRDefault="0096289C" w:rsidP="00DC3452">
            <w:pPr>
              <w:spacing w:line="260" w:lineRule="exact"/>
              <w:jc w:val="right"/>
              <w:rPr>
                <w:rFonts w:cs="Arial"/>
                <w:sz w:val="20"/>
              </w:rPr>
            </w:pPr>
            <w:r>
              <w:rPr>
                <w:rFonts w:cs="Arial"/>
                <w:sz w:val="20"/>
              </w:rPr>
              <w:t>70.38</w:t>
            </w:r>
          </w:p>
        </w:tc>
        <w:tc>
          <w:tcPr>
            <w:tcW w:w="2722" w:type="dxa"/>
            <w:vAlign w:val="bottom"/>
          </w:tcPr>
          <w:p w:rsidR="008E0832" w:rsidRDefault="0096289C" w:rsidP="00DC3452">
            <w:pPr>
              <w:spacing w:line="260" w:lineRule="exact"/>
              <w:jc w:val="right"/>
              <w:rPr>
                <w:rFonts w:cs="Arial"/>
                <w:sz w:val="20"/>
              </w:rPr>
            </w:pPr>
            <w:r>
              <w:rPr>
                <w:rFonts w:cs="Arial"/>
                <w:sz w:val="20"/>
              </w:rPr>
              <w:t>159,976.69</w:t>
            </w:r>
          </w:p>
        </w:tc>
      </w:tr>
      <w:tr w:rsidR="00876289" w:rsidRPr="00917B73" w:rsidTr="00357BC4">
        <w:tc>
          <w:tcPr>
            <w:tcW w:w="1242" w:type="dxa"/>
            <w:shd w:val="clear" w:color="auto" w:fill="auto"/>
          </w:tcPr>
          <w:p w:rsidR="00876289" w:rsidRDefault="00876289" w:rsidP="00CD4953">
            <w:pPr>
              <w:spacing w:line="260" w:lineRule="exact"/>
              <w:ind w:right="11"/>
              <w:jc w:val="right"/>
              <w:rPr>
                <w:rFonts w:cs="Arial"/>
                <w:color w:val="000000"/>
                <w:sz w:val="20"/>
              </w:rPr>
            </w:pPr>
            <w:r>
              <w:rPr>
                <w:rFonts w:cs="Arial"/>
                <w:color w:val="000000"/>
                <w:sz w:val="20"/>
              </w:rPr>
              <w:t>17-Jun-21</w:t>
            </w:r>
          </w:p>
        </w:tc>
        <w:tc>
          <w:tcPr>
            <w:tcW w:w="2439" w:type="dxa"/>
            <w:vAlign w:val="bottom"/>
          </w:tcPr>
          <w:p w:rsidR="00876289" w:rsidRDefault="003427AF" w:rsidP="00DC3452">
            <w:pPr>
              <w:jc w:val="right"/>
              <w:rPr>
                <w:rFonts w:cs="Arial"/>
                <w:sz w:val="20"/>
              </w:rPr>
            </w:pPr>
            <w:r>
              <w:rPr>
                <w:rFonts w:cs="Arial"/>
                <w:sz w:val="20"/>
              </w:rPr>
              <w:t>2,264</w:t>
            </w:r>
          </w:p>
        </w:tc>
        <w:tc>
          <w:tcPr>
            <w:tcW w:w="2948" w:type="dxa"/>
            <w:vAlign w:val="bottom"/>
          </w:tcPr>
          <w:p w:rsidR="00876289" w:rsidRDefault="003427AF" w:rsidP="00DC3452">
            <w:pPr>
              <w:spacing w:line="260" w:lineRule="exact"/>
              <w:jc w:val="right"/>
              <w:rPr>
                <w:rFonts w:cs="Arial"/>
                <w:sz w:val="20"/>
              </w:rPr>
            </w:pPr>
            <w:r>
              <w:rPr>
                <w:rFonts w:cs="Arial"/>
                <w:sz w:val="20"/>
              </w:rPr>
              <w:t>70.64</w:t>
            </w:r>
          </w:p>
        </w:tc>
        <w:tc>
          <w:tcPr>
            <w:tcW w:w="2722" w:type="dxa"/>
            <w:vAlign w:val="bottom"/>
          </w:tcPr>
          <w:p w:rsidR="00876289" w:rsidRDefault="003427AF" w:rsidP="00DC3452">
            <w:pPr>
              <w:spacing w:line="260" w:lineRule="exact"/>
              <w:jc w:val="right"/>
              <w:rPr>
                <w:rFonts w:cs="Arial"/>
                <w:sz w:val="20"/>
              </w:rPr>
            </w:pPr>
            <w:r>
              <w:rPr>
                <w:rFonts w:cs="Arial"/>
                <w:sz w:val="20"/>
              </w:rPr>
              <w:t>159,931.90</w:t>
            </w:r>
            <w:bookmarkStart w:id="1" w:name="_GoBack"/>
            <w:bookmarkEnd w:id="1"/>
          </w:p>
        </w:tc>
      </w:tr>
    </w:tbl>
    <w:p w:rsidR="003147AE" w:rsidRPr="00917B73" w:rsidRDefault="003147AE" w:rsidP="00792212">
      <w:pPr>
        <w:tabs>
          <w:tab w:val="clear" w:pos="1134"/>
          <w:tab w:val="clear" w:pos="2268"/>
          <w:tab w:val="clear" w:pos="3402"/>
          <w:tab w:val="clear" w:pos="4536"/>
          <w:tab w:val="clear" w:pos="5670"/>
          <w:tab w:val="clear" w:pos="6804"/>
          <w:tab w:val="clear" w:pos="7938"/>
          <w:tab w:val="clear" w:pos="9072"/>
        </w:tabs>
        <w:spacing w:line="260" w:lineRule="exact"/>
        <w:rPr>
          <w:sz w:val="20"/>
        </w:rPr>
      </w:pPr>
    </w:p>
    <w:p w:rsidR="00F13347" w:rsidRDefault="00A446C6" w:rsidP="00792212">
      <w:pPr>
        <w:tabs>
          <w:tab w:val="clear" w:pos="1134"/>
          <w:tab w:val="clear" w:pos="2268"/>
          <w:tab w:val="clear" w:pos="3402"/>
          <w:tab w:val="clear" w:pos="4536"/>
          <w:tab w:val="clear" w:pos="5670"/>
          <w:tab w:val="clear" w:pos="6804"/>
          <w:tab w:val="clear" w:pos="7938"/>
        </w:tabs>
        <w:spacing w:line="260" w:lineRule="exact"/>
        <w:jc w:val="both"/>
        <w:rPr>
          <w:sz w:val="20"/>
        </w:rPr>
      </w:pPr>
      <w:r w:rsidRPr="00026E2B">
        <w:rPr>
          <w:rFonts w:eastAsia="SimSun" w:cs="Arial"/>
          <w:sz w:val="20"/>
          <w:lang w:val="en-GB" w:eastAsia="zh-CN"/>
        </w:rPr>
        <w:t xml:space="preserve">The share repurchases are part of </w:t>
      </w:r>
      <w:r w:rsidR="00E87C82" w:rsidRPr="00026E2B">
        <w:rPr>
          <w:rFonts w:eastAsia="SimSun" w:cs="Arial"/>
          <w:sz w:val="20"/>
          <w:lang w:val="en-GB" w:eastAsia="zh-CN"/>
        </w:rPr>
        <w:t xml:space="preserve">a € 75 million </w:t>
      </w:r>
      <w:r w:rsidRPr="00026E2B">
        <w:rPr>
          <w:sz w:val="20"/>
        </w:rPr>
        <w:t xml:space="preserve">share repurchase program announced on </w:t>
      </w:r>
      <w:r w:rsidR="00941C29" w:rsidRPr="00026E2B">
        <w:rPr>
          <w:sz w:val="20"/>
        </w:rPr>
        <w:t>July 26, 2018.</w:t>
      </w:r>
      <w:r w:rsidR="00CB66C7" w:rsidRPr="00026E2B">
        <w:rPr>
          <w:sz w:val="20"/>
        </w:rPr>
        <w:t xml:space="preserve"> </w:t>
      </w:r>
      <w:r w:rsidR="00026E2B" w:rsidRPr="00026E2B">
        <w:rPr>
          <w:rFonts w:cs="Arial"/>
          <w:sz w:val="20"/>
        </w:rPr>
        <w:t xml:space="preserve">On July 28, 2020, the Company announced </w:t>
      </w:r>
      <w:r w:rsidR="00026E2B" w:rsidRPr="00026E2B">
        <w:rPr>
          <w:rStyle w:val="gmaildefault"/>
          <w:rFonts w:cs="Arial"/>
          <w:sz w:val="20"/>
        </w:rPr>
        <w:t xml:space="preserve">the extension </w:t>
      </w:r>
      <w:r w:rsidR="00026E2B" w:rsidRPr="00026E2B">
        <w:rPr>
          <w:rFonts w:cs="Arial"/>
          <w:sz w:val="20"/>
        </w:rPr>
        <w:t xml:space="preserve">of its current share buyback program until October 30, 2021 and </w:t>
      </w:r>
      <w:r w:rsidR="00026E2B" w:rsidRPr="00026E2B">
        <w:rPr>
          <w:rStyle w:val="gmaildefault"/>
          <w:rFonts w:cs="Arial"/>
          <w:sz w:val="20"/>
        </w:rPr>
        <w:t>an i</w:t>
      </w:r>
      <w:r w:rsidR="00026E2B" w:rsidRPr="00026E2B">
        <w:rPr>
          <w:rFonts w:cs="Arial"/>
          <w:sz w:val="20"/>
        </w:rPr>
        <w:t xml:space="preserve">ncrease </w:t>
      </w:r>
      <w:r w:rsidR="00026E2B" w:rsidRPr="00026E2B">
        <w:rPr>
          <w:rStyle w:val="gmaildefault"/>
          <w:rFonts w:cs="Arial"/>
          <w:sz w:val="20"/>
        </w:rPr>
        <w:t>in its t</w:t>
      </w:r>
      <w:r w:rsidR="00026E2B" w:rsidRPr="00026E2B">
        <w:rPr>
          <w:rFonts w:cs="Arial"/>
          <w:sz w:val="20"/>
        </w:rPr>
        <w:t>otal amount from € 75 million to € 125 million</w:t>
      </w:r>
      <w:r w:rsidR="00026E2B">
        <w:rPr>
          <w:rFonts w:cs="Arial"/>
          <w:sz w:val="20"/>
        </w:rPr>
        <w:t xml:space="preserve">. </w:t>
      </w:r>
      <w:r w:rsidR="00917B73" w:rsidRPr="00026E2B">
        <w:rPr>
          <w:rFonts w:cs="Arial"/>
          <w:sz w:val="20"/>
          <w:shd w:val="clear" w:color="auto" w:fill="FFFFFF"/>
        </w:rPr>
        <w:t>D</w:t>
      </w:r>
      <w:r w:rsidRPr="00026E2B">
        <w:rPr>
          <w:sz w:val="20"/>
        </w:rPr>
        <w:t>etails</w:t>
      </w:r>
      <w:r w:rsidRPr="00917B73">
        <w:rPr>
          <w:sz w:val="20"/>
        </w:rPr>
        <w:t xml:space="preserve"> are available on our website at</w:t>
      </w:r>
      <w:r w:rsidR="00F13347">
        <w:rPr>
          <w:sz w:val="20"/>
        </w:rPr>
        <w:t xml:space="preserve"> </w:t>
      </w:r>
      <w:hyperlink r:id="rId6" w:history="1">
        <w:r w:rsidR="00C2081C" w:rsidRPr="00917B73">
          <w:rPr>
            <w:rStyle w:val="Hyperlink"/>
            <w:sz w:val="20"/>
          </w:rPr>
          <w:t>https://www.besi.com/investor-relations/share-repurchase-program/</w:t>
        </w:r>
      </w:hyperlink>
      <w:r w:rsidR="00C2081C" w:rsidRPr="00917B73">
        <w:rPr>
          <w:sz w:val="20"/>
        </w:rPr>
        <w:t>.</w:t>
      </w:r>
    </w:p>
    <w:p w:rsidR="00F17D9C" w:rsidRPr="00917B73" w:rsidRDefault="00C2081C" w:rsidP="00792212">
      <w:pPr>
        <w:tabs>
          <w:tab w:val="clear" w:pos="1134"/>
          <w:tab w:val="clear" w:pos="2268"/>
          <w:tab w:val="clear" w:pos="3402"/>
          <w:tab w:val="clear" w:pos="4536"/>
          <w:tab w:val="clear" w:pos="5670"/>
          <w:tab w:val="clear" w:pos="6804"/>
          <w:tab w:val="clear" w:pos="7938"/>
        </w:tabs>
        <w:spacing w:line="260" w:lineRule="exact"/>
        <w:jc w:val="both"/>
        <w:rPr>
          <w:color w:val="000000"/>
          <w:sz w:val="20"/>
          <w:lang w:val="en-GB"/>
        </w:rPr>
      </w:pPr>
      <w:r w:rsidRPr="00917B73">
        <w:rPr>
          <w:sz w:val="20"/>
        </w:rPr>
        <w:t xml:space="preserve"> </w:t>
      </w:r>
      <w:r w:rsidRPr="00917B73">
        <w:rPr>
          <w:sz w:val="20"/>
        </w:rPr>
        <w:br/>
      </w:r>
      <w:r w:rsidR="00F17D9C" w:rsidRPr="00917B73">
        <w:rPr>
          <w:color w:val="000000"/>
          <w:sz w:val="20"/>
        </w:rPr>
        <w:t>This regular update of the transactions conducted under the share repurchase program is made public under the Market Abuse Regulation (No. 596/2014/EU).</w:t>
      </w:r>
    </w:p>
    <w:p w:rsidR="00F17D9C" w:rsidRPr="00917B73" w:rsidRDefault="00F17D9C" w:rsidP="00792212">
      <w:pPr>
        <w:tabs>
          <w:tab w:val="clear" w:pos="1134"/>
          <w:tab w:val="clear" w:pos="2268"/>
          <w:tab w:val="clear" w:pos="3402"/>
          <w:tab w:val="clear" w:pos="4536"/>
          <w:tab w:val="clear" w:pos="5670"/>
          <w:tab w:val="clear" w:pos="6804"/>
          <w:tab w:val="clear" w:pos="7938"/>
          <w:tab w:val="clear" w:pos="9072"/>
        </w:tabs>
        <w:spacing w:line="260" w:lineRule="exact"/>
        <w:jc w:val="both"/>
        <w:rPr>
          <w:color w:val="000000"/>
          <w:sz w:val="20"/>
        </w:rPr>
      </w:pPr>
    </w:p>
    <w:p w:rsidR="00CA606A" w:rsidRPr="00917B73" w:rsidRDefault="00CA606A" w:rsidP="00792212">
      <w:pPr>
        <w:tabs>
          <w:tab w:val="clear" w:pos="1134"/>
          <w:tab w:val="clear" w:pos="2268"/>
          <w:tab w:val="clear" w:pos="3402"/>
          <w:tab w:val="clear" w:pos="4536"/>
          <w:tab w:val="clear" w:pos="5670"/>
          <w:tab w:val="clear" w:pos="6804"/>
          <w:tab w:val="clear" w:pos="7938"/>
        </w:tabs>
        <w:spacing w:line="260" w:lineRule="exact"/>
        <w:rPr>
          <w:rFonts w:cs="Arial"/>
          <w:b/>
          <w:bCs/>
          <w:sz w:val="20"/>
          <w:u w:val="single"/>
          <w:lang w:eastAsia="en-US"/>
        </w:rPr>
      </w:pPr>
      <w:r w:rsidRPr="00917B73">
        <w:rPr>
          <w:rFonts w:cs="Arial"/>
          <w:b/>
          <w:bCs/>
          <w:sz w:val="20"/>
          <w:u w:val="single"/>
          <w:lang w:eastAsia="en-US"/>
        </w:rPr>
        <w:t xml:space="preserve">About Besi </w:t>
      </w:r>
    </w:p>
    <w:p w:rsidR="00F07322" w:rsidRDefault="00F07322" w:rsidP="00792212">
      <w:pPr>
        <w:spacing w:line="260" w:lineRule="exact"/>
        <w:jc w:val="both"/>
        <w:rPr>
          <w:sz w:val="20"/>
        </w:rPr>
      </w:pPr>
      <w:r>
        <w:rPr>
          <w:sz w:val="20"/>
        </w:rPr>
        <w:t xml:space="preserve">Besi is a leading supplier of semiconductor assembly equipment for the global semiconductor and electronics industries offering high levels of accuracy, productivity and reliability at a low cost of ownership. The Company develops leading edge assembly processes and equipment for </w:t>
      </w:r>
      <w:proofErr w:type="spellStart"/>
      <w:r>
        <w:rPr>
          <w:sz w:val="20"/>
        </w:rPr>
        <w:t>leadframe</w:t>
      </w:r>
      <w:proofErr w:type="spellEnd"/>
      <w:r>
        <w:rPr>
          <w:sz w:val="20"/>
        </w:rPr>
        <w:t xml:space="preserve">, substrate and wafer level packaging applications in a wide range of end-user markets including electronics, mobile internet, cloud server, computing, automotive, industrial, LED and solar energy. Customers are primarily leading semiconductor manufacturers, assembly subcontractors and electronics and industrial companies. Besi’s ordinary shares are listed on Euronext Amsterdam (symbol: BESI). Its Level 1 ADRs are listed on the OTC markets (symbol: BESIY Nasdaq International Designation) and its headquarters are located in Duiven, the Netherlands. For more information, please visit our website at </w:t>
      </w:r>
      <w:hyperlink r:id="rId7" w:history="1">
        <w:r w:rsidRPr="00634128">
          <w:rPr>
            <w:rStyle w:val="Hyperlink"/>
            <w:sz w:val="20"/>
          </w:rPr>
          <w:t>www.besi.com</w:t>
        </w:r>
      </w:hyperlink>
      <w:r>
        <w:rPr>
          <w:sz w:val="20"/>
        </w:rPr>
        <w:t xml:space="preserve">. </w:t>
      </w:r>
    </w:p>
    <w:p w:rsidR="00A446C6" w:rsidRPr="00917B73" w:rsidRDefault="00A446C6" w:rsidP="00792212">
      <w:pPr>
        <w:tabs>
          <w:tab w:val="clear" w:pos="1134"/>
          <w:tab w:val="clear" w:pos="2268"/>
          <w:tab w:val="clear" w:pos="3402"/>
          <w:tab w:val="clear" w:pos="4536"/>
          <w:tab w:val="clear" w:pos="5670"/>
          <w:tab w:val="clear" w:pos="6804"/>
          <w:tab w:val="clear" w:pos="7938"/>
        </w:tabs>
        <w:spacing w:line="260" w:lineRule="exact"/>
        <w:jc w:val="both"/>
        <w:rPr>
          <w:sz w:val="20"/>
        </w:rPr>
      </w:pPr>
    </w:p>
    <w:p w:rsidR="00A446C6" w:rsidRPr="00917B73" w:rsidRDefault="00A446C6" w:rsidP="00792212">
      <w:pPr>
        <w:tabs>
          <w:tab w:val="clear" w:pos="1134"/>
          <w:tab w:val="clear" w:pos="2268"/>
          <w:tab w:val="clear" w:pos="3402"/>
          <w:tab w:val="clear" w:pos="4536"/>
          <w:tab w:val="clear" w:pos="5670"/>
          <w:tab w:val="clear" w:pos="6804"/>
          <w:tab w:val="clear" w:pos="7938"/>
        </w:tabs>
        <w:spacing w:line="260" w:lineRule="exact"/>
        <w:jc w:val="both"/>
        <w:rPr>
          <w:rFonts w:cs="Arial"/>
          <w:b/>
          <w:bCs/>
          <w:sz w:val="20"/>
          <w:u w:val="single"/>
          <w:lang w:eastAsia="en-US"/>
        </w:rPr>
      </w:pPr>
      <w:r w:rsidRPr="00917B73">
        <w:rPr>
          <w:rFonts w:cs="Arial"/>
          <w:b/>
          <w:bCs/>
          <w:sz w:val="20"/>
          <w:u w:val="single"/>
          <w:lang w:eastAsia="en-US"/>
        </w:rPr>
        <w:t>Contacts:</w:t>
      </w:r>
    </w:p>
    <w:p w:rsidR="00A446C6" w:rsidRPr="00917B73" w:rsidRDefault="00A446C6" w:rsidP="00792212">
      <w:pPr>
        <w:tabs>
          <w:tab w:val="clear" w:pos="1134"/>
          <w:tab w:val="clear" w:pos="2268"/>
          <w:tab w:val="clear" w:pos="3402"/>
          <w:tab w:val="clear" w:pos="4536"/>
          <w:tab w:val="clear" w:pos="5670"/>
          <w:tab w:val="clear" w:pos="6804"/>
          <w:tab w:val="clear" w:pos="7938"/>
          <w:tab w:val="left" w:pos="5387"/>
        </w:tabs>
        <w:autoSpaceDE w:val="0"/>
        <w:autoSpaceDN w:val="0"/>
        <w:adjustRightInd w:val="0"/>
        <w:spacing w:line="260" w:lineRule="exact"/>
        <w:rPr>
          <w:rFonts w:cs="Arial"/>
          <w:sz w:val="20"/>
          <w:lang w:eastAsia="en-US"/>
        </w:rPr>
      </w:pPr>
      <w:r w:rsidRPr="00917B73">
        <w:rPr>
          <w:rFonts w:cs="Arial"/>
          <w:sz w:val="20"/>
          <w:lang w:eastAsia="en-US"/>
        </w:rPr>
        <w:t>Richard Blickman, President &amp; CEO</w:t>
      </w:r>
      <w:r w:rsidRPr="00917B73">
        <w:rPr>
          <w:rFonts w:cs="Arial"/>
          <w:sz w:val="20"/>
          <w:lang w:eastAsia="en-US"/>
        </w:rPr>
        <w:tab/>
      </w:r>
      <w:r w:rsidR="00883F84" w:rsidRPr="00917B73">
        <w:rPr>
          <w:rFonts w:cs="Arial"/>
          <w:noProof/>
          <w:sz w:val="20"/>
          <w:lang w:val="nb-NO" w:eastAsia="en-US"/>
        </w:rPr>
        <w:t>CFF Communications</w:t>
      </w:r>
    </w:p>
    <w:p w:rsidR="008C1E82" w:rsidRDefault="00E9631D" w:rsidP="00792212">
      <w:pPr>
        <w:tabs>
          <w:tab w:val="clear" w:pos="1134"/>
          <w:tab w:val="clear" w:pos="2268"/>
          <w:tab w:val="clear" w:pos="3402"/>
          <w:tab w:val="clear" w:pos="4536"/>
          <w:tab w:val="clear" w:pos="5670"/>
          <w:tab w:val="clear" w:pos="6804"/>
          <w:tab w:val="clear" w:pos="7938"/>
          <w:tab w:val="left" w:pos="5387"/>
        </w:tabs>
        <w:autoSpaceDE w:val="0"/>
        <w:autoSpaceDN w:val="0"/>
        <w:adjustRightInd w:val="0"/>
        <w:spacing w:line="260" w:lineRule="exact"/>
        <w:rPr>
          <w:rFonts w:cs="Arial"/>
          <w:sz w:val="20"/>
          <w:lang w:val="nl-NL" w:eastAsia="en-US"/>
        </w:rPr>
      </w:pPr>
      <w:r>
        <w:rPr>
          <w:rFonts w:cs="Arial"/>
          <w:sz w:val="20"/>
          <w:lang w:val="nl-NL" w:eastAsia="en-US"/>
        </w:rPr>
        <w:t>Hetwig van Kerkhof, SVP Finance</w:t>
      </w:r>
      <w:r w:rsidR="008C1E82">
        <w:rPr>
          <w:rFonts w:cs="Arial"/>
          <w:sz w:val="20"/>
          <w:lang w:val="nl-NL" w:eastAsia="en-US"/>
        </w:rPr>
        <w:tab/>
        <w:t>Frank Jansen</w:t>
      </w:r>
    </w:p>
    <w:p w:rsidR="00A446C6" w:rsidRPr="00917B73" w:rsidRDefault="00E9631D" w:rsidP="00792212">
      <w:pPr>
        <w:tabs>
          <w:tab w:val="clear" w:pos="1134"/>
          <w:tab w:val="clear" w:pos="2268"/>
          <w:tab w:val="clear" w:pos="3402"/>
          <w:tab w:val="clear" w:pos="4536"/>
          <w:tab w:val="clear" w:pos="5670"/>
          <w:tab w:val="clear" w:pos="6804"/>
          <w:tab w:val="clear" w:pos="7938"/>
          <w:tab w:val="left" w:pos="5387"/>
        </w:tabs>
        <w:autoSpaceDE w:val="0"/>
        <w:autoSpaceDN w:val="0"/>
        <w:adjustRightInd w:val="0"/>
        <w:spacing w:line="260" w:lineRule="exact"/>
        <w:rPr>
          <w:rFonts w:cs="Arial"/>
          <w:sz w:val="20"/>
          <w:lang w:val="nl-NL" w:eastAsia="en-US"/>
        </w:rPr>
      </w:pPr>
      <w:r w:rsidRPr="00917B73">
        <w:rPr>
          <w:rFonts w:cs="Arial"/>
          <w:sz w:val="20"/>
          <w:lang w:val="nl-NL" w:eastAsia="en-US"/>
        </w:rPr>
        <w:t xml:space="preserve">Tel. </w:t>
      </w:r>
      <w:r w:rsidRPr="00917B73">
        <w:rPr>
          <w:rFonts w:cs="Arial"/>
          <w:sz w:val="20"/>
          <w:lang w:val="nb-NO" w:eastAsia="en-US"/>
        </w:rPr>
        <w:t>(31) 26 319 4500</w:t>
      </w:r>
      <w:r w:rsidR="00A446C6" w:rsidRPr="00917B73">
        <w:rPr>
          <w:rFonts w:cs="Arial"/>
          <w:sz w:val="20"/>
          <w:lang w:val="nl-NL" w:eastAsia="en-US"/>
        </w:rPr>
        <w:tab/>
      </w:r>
      <w:r w:rsidR="008C1E82" w:rsidRPr="00917B73">
        <w:rPr>
          <w:rFonts w:cs="Arial"/>
          <w:noProof/>
          <w:sz w:val="20"/>
          <w:lang w:val="nb-NO" w:eastAsia="en-US"/>
        </w:rPr>
        <w:t>Tel. (31) 20 575 4024</w:t>
      </w:r>
    </w:p>
    <w:p w:rsidR="00A446C6" w:rsidRPr="00917B73" w:rsidRDefault="003427AF" w:rsidP="00792212">
      <w:pPr>
        <w:tabs>
          <w:tab w:val="clear" w:pos="1134"/>
          <w:tab w:val="clear" w:pos="2268"/>
          <w:tab w:val="clear" w:pos="3402"/>
          <w:tab w:val="clear" w:pos="4536"/>
          <w:tab w:val="clear" w:pos="5670"/>
          <w:tab w:val="clear" w:pos="6804"/>
          <w:tab w:val="clear" w:pos="7938"/>
          <w:tab w:val="left" w:pos="5387"/>
        </w:tabs>
        <w:autoSpaceDE w:val="0"/>
        <w:autoSpaceDN w:val="0"/>
        <w:adjustRightInd w:val="0"/>
        <w:spacing w:line="260" w:lineRule="exact"/>
        <w:rPr>
          <w:rFonts w:cs="Arial"/>
          <w:sz w:val="20"/>
          <w:lang w:val="nb-NO" w:eastAsia="en-US"/>
        </w:rPr>
      </w:pPr>
      <w:hyperlink r:id="rId8" w:history="1">
        <w:r w:rsidR="00E9631D" w:rsidRPr="00917B73">
          <w:rPr>
            <w:rStyle w:val="Hyperlink"/>
            <w:rFonts w:cs="Arial"/>
            <w:sz w:val="20"/>
            <w:lang w:val="nb-NO" w:eastAsia="en-US"/>
          </w:rPr>
          <w:t>investor.relations@besi.com</w:t>
        </w:r>
      </w:hyperlink>
      <w:r w:rsidR="00A446C6" w:rsidRPr="00917B73">
        <w:rPr>
          <w:rFonts w:cs="Arial"/>
          <w:sz w:val="20"/>
          <w:lang w:val="nb-NO" w:eastAsia="en-US"/>
        </w:rPr>
        <w:tab/>
      </w:r>
      <w:hyperlink r:id="rId9" w:history="1">
        <w:r w:rsidR="008C1E82" w:rsidRPr="00917B73">
          <w:rPr>
            <w:rStyle w:val="Hyperlink"/>
            <w:rFonts w:cs="Arial"/>
            <w:noProof/>
            <w:sz w:val="20"/>
            <w:lang w:val="nb-NO" w:eastAsia="en-US"/>
          </w:rPr>
          <w:t>besi@cffcommunications.nl</w:t>
        </w:r>
      </w:hyperlink>
    </w:p>
    <w:p w:rsidR="007E5579" w:rsidRPr="00917B73" w:rsidRDefault="00A446C6" w:rsidP="00792212">
      <w:pPr>
        <w:tabs>
          <w:tab w:val="clear" w:pos="1134"/>
          <w:tab w:val="clear" w:pos="2268"/>
          <w:tab w:val="clear" w:pos="3402"/>
          <w:tab w:val="clear" w:pos="4536"/>
          <w:tab w:val="clear" w:pos="5670"/>
          <w:tab w:val="clear" w:pos="6804"/>
          <w:tab w:val="clear" w:pos="7938"/>
          <w:tab w:val="left" w:pos="5387"/>
        </w:tabs>
        <w:autoSpaceDE w:val="0"/>
        <w:autoSpaceDN w:val="0"/>
        <w:adjustRightInd w:val="0"/>
        <w:spacing w:line="260" w:lineRule="exact"/>
        <w:rPr>
          <w:rFonts w:cs="Arial"/>
          <w:noProof/>
          <w:color w:val="0000FF" w:themeColor="hyperlink"/>
          <w:sz w:val="20"/>
          <w:u w:val="single"/>
          <w:lang w:val="nb-NO" w:eastAsia="en-US"/>
        </w:rPr>
      </w:pPr>
      <w:r w:rsidRPr="00917B73">
        <w:rPr>
          <w:rFonts w:cs="Arial"/>
          <w:sz w:val="20"/>
          <w:lang w:val="nb-NO" w:eastAsia="en-US"/>
        </w:rPr>
        <w:tab/>
      </w:r>
    </w:p>
    <w:sectPr w:rsidR="007E5579" w:rsidRPr="00917B73" w:rsidSect="003201ED">
      <w:headerReference w:type="default" r:id="rId10"/>
      <w:headerReference w:type="first" r:id="rId11"/>
      <w:footerReference w:type="first" r:id="rId12"/>
      <w:type w:val="continuous"/>
      <w:pgSz w:w="12240" w:h="15840" w:code="1"/>
      <w:pgMar w:top="2835" w:right="1134" w:bottom="568" w:left="1701" w:header="680" w:footer="590" w:gutter="0"/>
      <w:cols w:space="708"/>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DDD" w:rsidRDefault="00C07DDD">
      <w:r>
        <w:separator/>
      </w:r>
    </w:p>
  </w:endnote>
  <w:endnote w:type="continuationSeparator" w:id="0">
    <w:p w:rsidR="00C07DDD" w:rsidRDefault="00C07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A47" w:rsidRDefault="00994745">
    <w:pPr>
      <w:tabs>
        <w:tab w:val="left" w:pos="2939"/>
        <w:tab w:val="right" w:pos="10206"/>
      </w:tabs>
    </w:pPr>
    <w:r>
      <w:rPr>
        <w:noProof/>
        <w:lang w:eastAsia="en-US"/>
      </w:rPr>
      <w:drawing>
        <wp:anchor distT="0" distB="0" distL="114300" distR="114300" simplePos="0" relativeHeight="251664384" behindDoc="1" locked="1" layoutInCell="1" allowOverlap="1" wp14:anchorId="43845093" wp14:editId="4613F3F0">
          <wp:simplePos x="0" y="0"/>
          <wp:positionH relativeFrom="page">
            <wp:posOffset>5926455</wp:posOffset>
          </wp:positionH>
          <wp:positionV relativeFrom="page">
            <wp:posOffset>9591675</wp:posOffset>
          </wp:positionV>
          <wp:extent cx="649080" cy="7632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w_besi_com.tif"/>
                  <pic:cNvPicPr/>
                </pic:nvPicPr>
                <pic:blipFill>
                  <a:blip r:embed="rId1">
                    <a:extLst>
                      <a:ext uri="{28A0092B-C50C-407E-A947-70E740481C1C}">
                        <a14:useLocalDpi xmlns:a14="http://schemas.microsoft.com/office/drawing/2010/main" val="0"/>
                      </a:ext>
                    </a:extLst>
                  </a:blip>
                  <a:stretch>
                    <a:fillRect/>
                  </a:stretch>
                </pic:blipFill>
                <pic:spPr>
                  <a:xfrm>
                    <a:off x="0" y="0"/>
                    <a:ext cx="649080" cy="763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DDD" w:rsidRDefault="00C07DDD">
      <w:r>
        <w:separator/>
      </w:r>
    </w:p>
  </w:footnote>
  <w:footnote w:type="continuationSeparator" w:id="0">
    <w:p w:rsidR="00C07DDD" w:rsidRDefault="00C07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A47" w:rsidRDefault="00255E2C">
    <w:pPr>
      <w:tabs>
        <w:tab w:val="left" w:pos="7626"/>
        <w:tab w:val="left" w:pos="7655"/>
      </w:tabs>
    </w:pPr>
    <w:r>
      <w:rPr>
        <w:noProof/>
        <w:lang w:eastAsia="en-US"/>
      </w:rPr>
      <w:drawing>
        <wp:anchor distT="0" distB="0" distL="114300" distR="114300" simplePos="0" relativeHeight="251662336" behindDoc="0" locked="1" layoutInCell="1" allowOverlap="0" wp14:anchorId="76F050A7" wp14:editId="7C5319DD">
          <wp:simplePos x="0" y="0"/>
          <wp:positionH relativeFrom="page">
            <wp:posOffset>5220970</wp:posOffset>
          </wp:positionH>
          <wp:positionV relativeFrom="page">
            <wp:posOffset>504190</wp:posOffset>
          </wp:positionV>
          <wp:extent cx="1410480" cy="110952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si.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0480" cy="1109520"/>
                  </a:xfrm>
                  <a:prstGeom prst="rect">
                    <a:avLst/>
                  </a:prstGeom>
                </pic:spPr>
              </pic:pic>
            </a:graphicData>
          </a:graphic>
          <wp14:sizeRelH relativeFrom="margin">
            <wp14:pctWidth>0</wp14:pctWidth>
          </wp14:sizeRelH>
          <wp14:sizeRelV relativeFrom="margin">
            <wp14:pctHeight>0</wp14:pctHeight>
          </wp14:sizeRelV>
        </wp:anchor>
      </w:drawing>
    </w:r>
    <w:r w:rsidR="00C07ED1">
      <w:rPr>
        <w:noProof/>
        <w:lang w:eastAsia="en-US"/>
      </w:rPr>
      <mc:AlternateContent>
        <mc:Choice Requires="wps">
          <w:drawing>
            <wp:anchor distT="0" distB="0" distL="114300" distR="114300" simplePos="0" relativeHeight="251655168" behindDoc="0" locked="0" layoutInCell="1" allowOverlap="1" wp14:anchorId="1B143597" wp14:editId="71589088">
              <wp:simplePos x="0" y="0"/>
              <wp:positionH relativeFrom="column">
                <wp:posOffset>-2437765</wp:posOffset>
              </wp:positionH>
              <wp:positionV relativeFrom="paragraph">
                <wp:posOffset>2885440</wp:posOffset>
              </wp:positionV>
              <wp:extent cx="21590" cy="8915400"/>
              <wp:effectExtent l="10160" t="8890" r="6350" b="1016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 cy="8915400"/>
                      </a:xfrm>
                      <a:prstGeom prst="line">
                        <a:avLst/>
                      </a:prstGeom>
                      <a:noFill/>
                      <a:ln w="7620">
                        <a:solidFill>
                          <a:srgbClr val="0088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DC925C"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5pt,227.2pt" to="-190.25pt,9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" strokecolor="#008837" strokeweight=".6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A47" w:rsidRDefault="00061B98" w:rsidP="00201EED">
    <w:r>
      <w:rPr>
        <w:noProof/>
        <w:lang w:eastAsia="en-US"/>
      </w:rPr>
      <w:drawing>
        <wp:anchor distT="0" distB="0" distL="114300" distR="114300" simplePos="0" relativeHeight="251658240" behindDoc="0" locked="1" layoutInCell="1" allowOverlap="0" wp14:anchorId="6DADB7D3" wp14:editId="3C72149C">
          <wp:simplePos x="0" y="0"/>
          <wp:positionH relativeFrom="page">
            <wp:posOffset>5220970</wp:posOffset>
          </wp:positionH>
          <wp:positionV relativeFrom="page">
            <wp:posOffset>504190</wp:posOffset>
          </wp:positionV>
          <wp:extent cx="1410480" cy="110952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si.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0480" cy="1109520"/>
                  </a:xfrm>
                  <a:prstGeom prst="rect">
                    <a:avLst/>
                  </a:prstGeom>
                </pic:spPr>
              </pic:pic>
            </a:graphicData>
          </a:graphic>
          <wp14:sizeRelH relativeFrom="margin">
            <wp14:pctWidth>0</wp14:pctWidth>
          </wp14:sizeRelH>
          <wp14:sizeRelV relativeFrom="margin">
            <wp14:pctHeight>0</wp14:pctHeight>
          </wp14:sizeRelV>
        </wp:anchor>
      </w:drawing>
    </w:r>
    <w:r w:rsidR="00C07ED1">
      <w:rPr>
        <w:noProof/>
        <w:lang w:eastAsia="en-US"/>
      </w:rPr>
      <mc:AlternateContent>
        <mc:Choice Requires="wps">
          <w:drawing>
            <wp:anchor distT="0" distB="0" distL="114300" distR="114300" simplePos="0" relativeHeight="251656192" behindDoc="0" locked="0" layoutInCell="1" allowOverlap="1" wp14:anchorId="7F8D815B" wp14:editId="72A87458">
              <wp:simplePos x="0" y="0"/>
              <wp:positionH relativeFrom="column">
                <wp:posOffset>-2437765</wp:posOffset>
              </wp:positionH>
              <wp:positionV relativeFrom="paragraph">
                <wp:posOffset>2885440</wp:posOffset>
              </wp:positionV>
              <wp:extent cx="21590" cy="8915400"/>
              <wp:effectExtent l="10160" t="8890" r="6350" b="10160"/>
              <wp:wrapNone/>
              <wp:docPr id="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 cy="8915400"/>
                      </a:xfrm>
                      <a:prstGeom prst="line">
                        <a:avLst/>
                      </a:prstGeom>
                      <a:noFill/>
                      <a:ln w="7620">
                        <a:solidFill>
                          <a:srgbClr val="00883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2EFCC6" id="Line 1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95pt,227.2pt" to="-190.25pt,9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" strokecolor="#008837" strokeweight=".6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598"/>
  <w:hyphenationZone w:val="425"/>
  <w:displayHorizontalDrawingGridEvery w:val="0"/>
  <w:displayVerticalDrawingGridEvery w:val="0"/>
  <w:doNotUseMarginsForDrawingGridOrigin/>
  <w:noPunctuationKerning/>
  <w:characterSpacingControl w:val="doNotCompress"/>
  <w:hdrShapeDefaults>
    <o:shapedefaults v:ext="edit" spidmax="1251329">
      <o:colormru v:ext="edit" colors="#f7f7f7,#0088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7AE"/>
    <w:rsid w:val="00001744"/>
    <w:rsid w:val="00003A60"/>
    <w:rsid w:val="00004DB4"/>
    <w:rsid w:val="00005950"/>
    <w:rsid w:val="00006DBF"/>
    <w:rsid w:val="0001129E"/>
    <w:rsid w:val="00011562"/>
    <w:rsid w:val="00011839"/>
    <w:rsid w:val="000138D2"/>
    <w:rsid w:val="0001797D"/>
    <w:rsid w:val="0002062E"/>
    <w:rsid w:val="00026E2B"/>
    <w:rsid w:val="000278E6"/>
    <w:rsid w:val="00027CD0"/>
    <w:rsid w:val="00031488"/>
    <w:rsid w:val="000316F6"/>
    <w:rsid w:val="0003381A"/>
    <w:rsid w:val="0003793E"/>
    <w:rsid w:val="00037DE2"/>
    <w:rsid w:val="00041499"/>
    <w:rsid w:val="000426C7"/>
    <w:rsid w:val="000429F2"/>
    <w:rsid w:val="0004739B"/>
    <w:rsid w:val="000525EA"/>
    <w:rsid w:val="00053EA1"/>
    <w:rsid w:val="0005440A"/>
    <w:rsid w:val="00057680"/>
    <w:rsid w:val="00061B98"/>
    <w:rsid w:val="0006531E"/>
    <w:rsid w:val="00067A4A"/>
    <w:rsid w:val="000707DE"/>
    <w:rsid w:val="0007425B"/>
    <w:rsid w:val="000760AD"/>
    <w:rsid w:val="00077215"/>
    <w:rsid w:val="00080C8B"/>
    <w:rsid w:val="00081962"/>
    <w:rsid w:val="00083D08"/>
    <w:rsid w:val="0008629D"/>
    <w:rsid w:val="0008631D"/>
    <w:rsid w:val="0008792D"/>
    <w:rsid w:val="0009089E"/>
    <w:rsid w:val="000908D4"/>
    <w:rsid w:val="00091E34"/>
    <w:rsid w:val="00092265"/>
    <w:rsid w:val="000929B3"/>
    <w:rsid w:val="00092DF0"/>
    <w:rsid w:val="00094250"/>
    <w:rsid w:val="000956BC"/>
    <w:rsid w:val="00096775"/>
    <w:rsid w:val="000A375E"/>
    <w:rsid w:val="000A7237"/>
    <w:rsid w:val="000B2A07"/>
    <w:rsid w:val="000B4B23"/>
    <w:rsid w:val="000B6B0E"/>
    <w:rsid w:val="000B6D06"/>
    <w:rsid w:val="000C07A1"/>
    <w:rsid w:val="000C090D"/>
    <w:rsid w:val="000C2237"/>
    <w:rsid w:val="000C3A32"/>
    <w:rsid w:val="000C6A28"/>
    <w:rsid w:val="000C7E06"/>
    <w:rsid w:val="000D0FA2"/>
    <w:rsid w:val="000D18DF"/>
    <w:rsid w:val="000D53B4"/>
    <w:rsid w:val="000E09FE"/>
    <w:rsid w:val="000E3386"/>
    <w:rsid w:val="000E45AD"/>
    <w:rsid w:val="000E57FA"/>
    <w:rsid w:val="000E6A1D"/>
    <w:rsid w:val="000F01FE"/>
    <w:rsid w:val="000F54B6"/>
    <w:rsid w:val="00102639"/>
    <w:rsid w:val="001063B4"/>
    <w:rsid w:val="00107448"/>
    <w:rsid w:val="00107897"/>
    <w:rsid w:val="00114328"/>
    <w:rsid w:val="00114AEB"/>
    <w:rsid w:val="00114EB4"/>
    <w:rsid w:val="00120041"/>
    <w:rsid w:val="00123A2E"/>
    <w:rsid w:val="001304A4"/>
    <w:rsid w:val="00131856"/>
    <w:rsid w:val="00136066"/>
    <w:rsid w:val="00140A64"/>
    <w:rsid w:val="00151ED6"/>
    <w:rsid w:val="00153CD7"/>
    <w:rsid w:val="00160D7E"/>
    <w:rsid w:val="00161709"/>
    <w:rsid w:val="00161936"/>
    <w:rsid w:val="00162145"/>
    <w:rsid w:val="00162473"/>
    <w:rsid w:val="001632AA"/>
    <w:rsid w:val="001640A6"/>
    <w:rsid w:val="00164712"/>
    <w:rsid w:val="001729F7"/>
    <w:rsid w:val="00176700"/>
    <w:rsid w:val="001768C2"/>
    <w:rsid w:val="001840FC"/>
    <w:rsid w:val="00186053"/>
    <w:rsid w:val="001960B4"/>
    <w:rsid w:val="00196E91"/>
    <w:rsid w:val="001970C4"/>
    <w:rsid w:val="00197782"/>
    <w:rsid w:val="001A5242"/>
    <w:rsid w:val="001A5B42"/>
    <w:rsid w:val="001A73D4"/>
    <w:rsid w:val="001A74D5"/>
    <w:rsid w:val="001B314A"/>
    <w:rsid w:val="001C0D73"/>
    <w:rsid w:val="001C237E"/>
    <w:rsid w:val="001C29AA"/>
    <w:rsid w:val="001C2B35"/>
    <w:rsid w:val="001C5BA0"/>
    <w:rsid w:val="001D0C20"/>
    <w:rsid w:val="001D0D8B"/>
    <w:rsid w:val="001D1172"/>
    <w:rsid w:val="001D4A47"/>
    <w:rsid w:val="001D7583"/>
    <w:rsid w:val="001E38B6"/>
    <w:rsid w:val="001E53CB"/>
    <w:rsid w:val="001F02A1"/>
    <w:rsid w:val="001F2F28"/>
    <w:rsid w:val="00200B35"/>
    <w:rsid w:val="00201EED"/>
    <w:rsid w:val="00203E52"/>
    <w:rsid w:val="00210A69"/>
    <w:rsid w:val="00212A61"/>
    <w:rsid w:val="00216E2F"/>
    <w:rsid w:val="00217790"/>
    <w:rsid w:val="002205EA"/>
    <w:rsid w:val="002225D3"/>
    <w:rsid w:val="00222D72"/>
    <w:rsid w:val="0022435E"/>
    <w:rsid w:val="00224E62"/>
    <w:rsid w:val="0022522E"/>
    <w:rsid w:val="0022662A"/>
    <w:rsid w:val="00226F42"/>
    <w:rsid w:val="00232C03"/>
    <w:rsid w:val="002349E6"/>
    <w:rsid w:val="00234BAC"/>
    <w:rsid w:val="00244A79"/>
    <w:rsid w:val="00251033"/>
    <w:rsid w:val="00251895"/>
    <w:rsid w:val="002542AF"/>
    <w:rsid w:val="00255E2C"/>
    <w:rsid w:val="002619A2"/>
    <w:rsid w:val="00261A9F"/>
    <w:rsid w:val="00264F2F"/>
    <w:rsid w:val="00271C2A"/>
    <w:rsid w:val="00272C85"/>
    <w:rsid w:val="00275C26"/>
    <w:rsid w:val="00276BDF"/>
    <w:rsid w:val="002905B5"/>
    <w:rsid w:val="0029235D"/>
    <w:rsid w:val="00293A12"/>
    <w:rsid w:val="00297358"/>
    <w:rsid w:val="002A6255"/>
    <w:rsid w:val="002B01DE"/>
    <w:rsid w:val="002C73B8"/>
    <w:rsid w:val="002C7E88"/>
    <w:rsid w:val="002D0546"/>
    <w:rsid w:val="002D0CA3"/>
    <w:rsid w:val="002D0F46"/>
    <w:rsid w:val="002D28AD"/>
    <w:rsid w:val="002D29C2"/>
    <w:rsid w:val="002D790A"/>
    <w:rsid w:val="002E0876"/>
    <w:rsid w:val="002E1FD4"/>
    <w:rsid w:val="002E3854"/>
    <w:rsid w:val="002E401D"/>
    <w:rsid w:val="002E7581"/>
    <w:rsid w:val="002F34CF"/>
    <w:rsid w:val="002F5993"/>
    <w:rsid w:val="002F6127"/>
    <w:rsid w:val="002F6397"/>
    <w:rsid w:val="0030784F"/>
    <w:rsid w:val="00307B5D"/>
    <w:rsid w:val="00310824"/>
    <w:rsid w:val="0031302D"/>
    <w:rsid w:val="0031364E"/>
    <w:rsid w:val="003147AE"/>
    <w:rsid w:val="003179AB"/>
    <w:rsid w:val="003201ED"/>
    <w:rsid w:val="00321A96"/>
    <w:rsid w:val="0032418E"/>
    <w:rsid w:val="00325C64"/>
    <w:rsid w:val="0033010D"/>
    <w:rsid w:val="003309AD"/>
    <w:rsid w:val="00331883"/>
    <w:rsid w:val="003427AF"/>
    <w:rsid w:val="003436FE"/>
    <w:rsid w:val="0035437A"/>
    <w:rsid w:val="00354E59"/>
    <w:rsid w:val="00357BC4"/>
    <w:rsid w:val="0037129C"/>
    <w:rsid w:val="00372719"/>
    <w:rsid w:val="00374DA5"/>
    <w:rsid w:val="0037597A"/>
    <w:rsid w:val="00376744"/>
    <w:rsid w:val="00381F23"/>
    <w:rsid w:val="0038245F"/>
    <w:rsid w:val="003856C0"/>
    <w:rsid w:val="00387604"/>
    <w:rsid w:val="00391270"/>
    <w:rsid w:val="00391438"/>
    <w:rsid w:val="003A3841"/>
    <w:rsid w:val="003A4D68"/>
    <w:rsid w:val="003A5156"/>
    <w:rsid w:val="003B37CC"/>
    <w:rsid w:val="003B65DB"/>
    <w:rsid w:val="003B666F"/>
    <w:rsid w:val="003B6921"/>
    <w:rsid w:val="003C012E"/>
    <w:rsid w:val="003C01D6"/>
    <w:rsid w:val="003C0476"/>
    <w:rsid w:val="003C0872"/>
    <w:rsid w:val="003C2A8E"/>
    <w:rsid w:val="003D18C2"/>
    <w:rsid w:val="003D2293"/>
    <w:rsid w:val="003D3250"/>
    <w:rsid w:val="003D497A"/>
    <w:rsid w:val="003E0B7F"/>
    <w:rsid w:val="003E68D4"/>
    <w:rsid w:val="003F0333"/>
    <w:rsid w:val="003F52DC"/>
    <w:rsid w:val="003F5569"/>
    <w:rsid w:val="003F670C"/>
    <w:rsid w:val="0040101B"/>
    <w:rsid w:val="00403097"/>
    <w:rsid w:val="00404D90"/>
    <w:rsid w:val="00404E66"/>
    <w:rsid w:val="00406F61"/>
    <w:rsid w:val="00414BD4"/>
    <w:rsid w:val="00416823"/>
    <w:rsid w:val="0042003A"/>
    <w:rsid w:val="00420053"/>
    <w:rsid w:val="004253E7"/>
    <w:rsid w:val="004308C8"/>
    <w:rsid w:val="0043389F"/>
    <w:rsid w:val="004343D8"/>
    <w:rsid w:val="00435B47"/>
    <w:rsid w:val="00436EAD"/>
    <w:rsid w:val="00443F56"/>
    <w:rsid w:val="004504E2"/>
    <w:rsid w:val="00452C91"/>
    <w:rsid w:val="0045330D"/>
    <w:rsid w:val="00453D69"/>
    <w:rsid w:val="00453EA8"/>
    <w:rsid w:val="00457CA2"/>
    <w:rsid w:val="00460587"/>
    <w:rsid w:val="0046089E"/>
    <w:rsid w:val="004633D5"/>
    <w:rsid w:val="00467C90"/>
    <w:rsid w:val="00467FD8"/>
    <w:rsid w:val="00474DED"/>
    <w:rsid w:val="004761BB"/>
    <w:rsid w:val="00476D91"/>
    <w:rsid w:val="00476E67"/>
    <w:rsid w:val="00477489"/>
    <w:rsid w:val="00480577"/>
    <w:rsid w:val="00480CDA"/>
    <w:rsid w:val="00481575"/>
    <w:rsid w:val="00482776"/>
    <w:rsid w:val="00482D57"/>
    <w:rsid w:val="00485641"/>
    <w:rsid w:val="0048768E"/>
    <w:rsid w:val="00492B1C"/>
    <w:rsid w:val="00493D6F"/>
    <w:rsid w:val="00494727"/>
    <w:rsid w:val="004A1F0F"/>
    <w:rsid w:val="004A5FB8"/>
    <w:rsid w:val="004A70D5"/>
    <w:rsid w:val="004B0510"/>
    <w:rsid w:val="004B1A35"/>
    <w:rsid w:val="004C2319"/>
    <w:rsid w:val="004C37CE"/>
    <w:rsid w:val="004C5CD3"/>
    <w:rsid w:val="004C685D"/>
    <w:rsid w:val="004C6C23"/>
    <w:rsid w:val="004C7F94"/>
    <w:rsid w:val="004D3633"/>
    <w:rsid w:val="004D5C99"/>
    <w:rsid w:val="004D7790"/>
    <w:rsid w:val="004E1A98"/>
    <w:rsid w:val="004E1E86"/>
    <w:rsid w:val="004E3D3E"/>
    <w:rsid w:val="004E6D4E"/>
    <w:rsid w:val="004F4960"/>
    <w:rsid w:val="00500CCD"/>
    <w:rsid w:val="005124D5"/>
    <w:rsid w:val="00515415"/>
    <w:rsid w:val="00520658"/>
    <w:rsid w:val="00525A1E"/>
    <w:rsid w:val="005313D7"/>
    <w:rsid w:val="00532E5A"/>
    <w:rsid w:val="00534C51"/>
    <w:rsid w:val="00536F26"/>
    <w:rsid w:val="00537391"/>
    <w:rsid w:val="00542093"/>
    <w:rsid w:val="00543A4D"/>
    <w:rsid w:val="00546CC8"/>
    <w:rsid w:val="00550EBD"/>
    <w:rsid w:val="005510ED"/>
    <w:rsid w:val="00553EE9"/>
    <w:rsid w:val="005610D2"/>
    <w:rsid w:val="00561BB6"/>
    <w:rsid w:val="005626D0"/>
    <w:rsid w:val="0056761F"/>
    <w:rsid w:val="00567F45"/>
    <w:rsid w:val="005704BD"/>
    <w:rsid w:val="00572FF5"/>
    <w:rsid w:val="005821BA"/>
    <w:rsid w:val="0058521A"/>
    <w:rsid w:val="00585292"/>
    <w:rsid w:val="00592181"/>
    <w:rsid w:val="0059442E"/>
    <w:rsid w:val="005A41C1"/>
    <w:rsid w:val="005A7F7D"/>
    <w:rsid w:val="005A7FCE"/>
    <w:rsid w:val="005B166D"/>
    <w:rsid w:val="005B1B30"/>
    <w:rsid w:val="005B483B"/>
    <w:rsid w:val="005B6C7A"/>
    <w:rsid w:val="005C0135"/>
    <w:rsid w:val="005C4B41"/>
    <w:rsid w:val="005C7083"/>
    <w:rsid w:val="005D5D33"/>
    <w:rsid w:val="005D7D08"/>
    <w:rsid w:val="005F1FDB"/>
    <w:rsid w:val="005F257A"/>
    <w:rsid w:val="005F3FC4"/>
    <w:rsid w:val="005F6055"/>
    <w:rsid w:val="005F6C01"/>
    <w:rsid w:val="005F7CAF"/>
    <w:rsid w:val="006002D4"/>
    <w:rsid w:val="006047F2"/>
    <w:rsid w:val="0060569D"/>
    <w:rsid w:val="00606703"/>
    <w:rsid w:val="006133F9"/>
    <w:rsid w:val="006149DE"/>
    <w:rsid w:val="00620873"/>
    <w:rsid w:val="00621C93"/>
    <w:rsid w:val="0062332F"/>
    <w:rsid w:val="006235AB"/>
    <w:rsid w:val="006247CE"/>
    <w:rsid w:val="00624869"/>
    <w:rsid w:val="00627340"/>
    <w:rsid w:val="00640D4C"/>
    <w:rsid w:val="0064193F"/>
    <w:rsid w:val="0064257E"/>
    <w:rsid w:val="00642CB8"/>
    <w:rsid w:val="006459C6"/>
    <w:rsid w:val="00646994"/>
    <w:rsid w:val="00647E94"/>
    <w:rsid w:val="00650685"/>
    <w:rsid w:val="00650A19"/>
    <w:rsid w:val="00650ABA"/>
    <w:rsid w:val="006522AF"/>
    <w:rsid w:val="00654F38"/>
    <w:rsid w:val="00655FC9"/>
    <w:rsid w:val="00661B9E"/>
    <w:rsid w:val="0066393D"/>
    <w:rsid w:val="00664F1E"/>
    <w:rsid w:val="0066735D"/>
    <w:rsid w:val="006679CC"/>
    <w:rsid w:val="00671B61"/>
    <w:rsid w:val="00672830"/>
    <w:rsid w:val="00673189"/>
    <w:rsid w:val="0067611A"/>
    <w:rsid w:val="00683E1A"/>
    <w:rsid w:val="0069243A"/>
    <w:rsid w:val="00693B00"/>
    <w:rsid w:val="00695F74"/>
    <w:rsid w:val="006A373A"/>
    <w:rsid w:val="006B2C1C"/>
    <w:rsid w:val="006B56DF"/>
    <w:rsid w:val="006C07E4"/>
    <w:rsid w:val="006C0DD6"/>
    <w:rsid w:val="006C1657"/>
    <w:rsid w:val="006C349A"/>
    <w:rsid w:val="006C37E6"/>
    <w:rsid w:val="006C41D6"/>
    <w:rsid w:val="006C6A4E"/>
    <w:rsid w:val="006C7317"/>
    <w:rsid w:val="006D12B6"/>
    <w:rsid w:val="006D3CFC"/>
    <w:rsid w:val="006D49D2"/>
    <w:rsid w:val="006D68F5"/>
    <w:rsid w:val="006D75EA"/>
    <w:rsid w:val="006E3A46"/>
    <w:rsid w:val="006E707C"/>
    <w:rsid w:val="006F1CA0"/>
    <w:rsid w:val="006F1CC0"/>
    <w:rsid w:val="006F31AC"/>
    <w:rsid w:val="006F60BB"/>
    <w:rsid w:val="006F6962"/>
    <w:rsid w:val="006F7CA8"/>
    <w:rsid w:val="00702776"/>
    <w:rsid w:val="00705B0B"/>
    <w:rsid w:val="00706C9B"/>
    <w:rsid w:val="007142E8"/>
    <w:rsid w:val="00715765"/>
    <w:rsid w:val="00720679"/>
    <w:rsid w:val="00726573"/>
    <w:rsid w:val="007341B1"/>
    <w:rsid w:val="007343A7"/>
    <w:rsid w:val="007346FF"/>
    <w:rsid w:val="007430AD"/>
    <w:rsid w:val="007436C2"/>
    <w:rsid w:val="00744885"/>
    <w:rsid w:val="0074651F"/>
    <w:rsid w:val="00747240"/>
    <w:rsid w:val="00751C29"/>
    <w:rsid w:val="00757C49"/>
    <w:rsid w:val="007610C8"/>
    <w:rsid w:val="00764505"/>
    <w:rsid w:val="007705BD"/>
    <w:rsid w:val="00771617"/>
    <w:rsid w:val="0077255C"/>
    <w:rsid w:val="00773F5E"/>
    <w:rsid w:val="0077511E"/>
    <w:rsid w:val="0078253C"/>
    <w:rsid w:val="00786CCE"/>
    <w:rsid w:val="00787D24"/>
    <w:rsid w:val="00792212"/>
    <w:rsid w:val="0079278E"/>
    <w:rsid w:val="00793BA7"/>
    <w:rsid w:val="00794CE8"/>
    <w:rsid w:val="007A0687"/>
    <w:rsid w:val="007A4070"/>
    <w:rsid w:val="007A5EC8"/>
    <w:rsid w:val="007B4759"/>
    <w:rsid w:val="007B63AE"/>
    <w:rsid w:val="007B73EB"/>
    <w:rsid w:val="007D26EC"/>
    <w:rsid w:val="007D61A4"/>
    <w:rsid w:val="007D75A4"/>
    <w:rsid w:val="007E00B9"/>
    <w:rsid w:val="007E30CB"/>
    <w:rsid w:val="007E5579"/>
    <w:rsid w:val="007E657B"/>
    <w:rsid w:val="007F1866"/>
    <w:rsid w:val="007F76DF"/>
    <w:rsid w:val="008001D3"/>
    <w:rsid w:val="0080139C"/>
    <w:rsid w:val="0081204F"/>
    <w:rsid w:val="0081657A"/>
    <w:rsid w:val="0082237D"/>
    <w:rsid w:val="00827E07"/>
    <w:rsid w:val="00833517"/>
    <w:rsid w:val="00836B0C"/>
    <w:rsid w:val="00837FB8"/>
    <w:rsid w:val="0084579F"/>
    <w:rsid w:val="00856915"/>
    <w:rsid w:val="00857024"/>
    <w:rsid w:val="00861839"/>
    <w:rsid w:val="00867B0D"/>
    <w:rsid w:val="0087401B"/>
    <w:rsid w:val="00874AE1"/>
    <w:rsid w:val="00876289"/>
    <w:rsid w:val="00883E9A"/>
    <w:rsid w:val="00883F84"/>
    <w:rsid w:val="00885F81"/>
    <w:rsid w:val="008909B1"/>
    <w:rsid w:val="00894AB8"/>
    <w:rsid w:val="008A2E2D"/>
    <w:rsid w:val="008A39B5"/>
    <w:rsid w:val="008A6CC4"/>
    <w:rsid w:val="008B2C9A"/>
    <w:rsid w:val="008B49D5"/>
    <w:rsid w:val="008B6D6A"/>
    <w:rsid w:val="008B75AA"/>
    <w:rsid w:val="008C0AFA"/>
    <w:rsid w:val="008C0B56"/>
    <w:rsid w:val="008C1995"/>
    <w:rsid w:val="008C1E82"/>
    <w:rsid w:val="008C53CC"/>
    <w:rsid w:val="008D4051"/>
    <w:rsid w:val="008D4185"/>
    <w:rsid w:val="008D711E"/>
    <w:rsid w:val="008D723C"/>
    <w:rsid w:val="008D7807"/>
    <w:rsid w:val="008D78E3"/>
    <w:rsid w:val="008E0832"/>
    <w:rsid w:val="008E3CEC"/>
    <w:rsid w:val="008F1251"/>
    <w:rsid w:val="008F186F"/>
    <w:rsid w:val="00902C1D"/>
    <w:rsid w:val="0091156B"/>
    <w:rsid w:val="00914B18"/>
    <w:rsid w:val="00917B73"/>
    <w:rsid w:val="00920D62"/>
    <w:rsid w:val="00922364"/>
    <w:rsid w:val="00926F75"/>
    <w:rsid w:val="00931448"/>
    <w:rsid w:val="009317BC"/>
    <w:rsid w:val="00932F58"/>
    <w:rsid w:val="00934026"/>
    <w:rsid w:val="009350D6"/>
    <w:rsid w:val="00941C29"/>
    <w:rsid w:val="00942D00"/>
    <w:rsid w:val="00943A59"/>
    <w:rsid w:val="0095132C"/>
    <w:rsid w:val="00952E01"/>
    <w:rsid w:val="0095356D"/>
    <w:rsid w:val="0095407B"/>
    <w:rsid w:val="0095530F"/>
    <w:rsid w:val="00956BF2"/>
    <w:rsid w:val="00957D49"/>
    <w:rsid w:val="009602A3"/>
    <w:rsid w:val="00962633"/>
    <w:rsid w:val="0096289C"/>
    <w:rsid w:val="00970F76"/>
    <w:rsid w:val="00972922"/>
    <w:rsid w:val="0097480A"/>
    <w:rsid w:val="00977175"/>
    <w:rsid w:val="009805FD"/>
    <w:rsid w:val="00981BA2"/>
    <w:rsid w:val="00983213"/>
    <w:rsid w:val="00984365"/>
    <w:rsid w:val="009872BB"/>
    <w:rsid w:val="0099093A"/>
    <w:rsid w:val="00994745"/>
    <w:rsid w:val="00995E33"/>
    <w:rsid w:val="00997DDF"/>
    <w:rsid w:val="009A1788"/>
    <w:rsid w:val="009A3298"/>
    <w:rsid w:val="009A5B5D"/>
    <w:rsid w:val="009A73B5"/>
    <w:rsid w:val="009B7AC2"/>
    <w:rsid w:val="009B7B8E"/>
    <w:rsid w:val="009C1629"/>
    <w:rsid w:val="009C33F6"/>
    <w:rsid w:val="009D22F8"/>
    <w:rsid w:val="009D283F"/>
    <w:rsid w:val="009D46B1"/>
    <w:rsid w:val="009D7782"/>
    <w:rsid w:val="009E1496"/>
    <w:rsid w:val="009E44B1"/>
    <w:rsid w:val="009F3D30"/>
    <w:rsid w:val="009F668C"/>
    <w:rsid w:val="00A00372"/>
    <w:rsid w:val="00A01BA1"/>
    <w:rsid w:val="00A03700"/>
    <w:rsid w:val="00A0452A"/>
    <w:rsid w:val="00A07F30"/>
    <w:rsid w:val="00A11743"/>
    <w:rsid w:val="00A21B93"/>
    <w:rsid w:val="00A23953"/>
    <w:rsid w:val="00A2682B"/>
    <w:rsid w:val="00A30115"/>
    <w:rsid w:val="00A32120"/>
    <w:rsid w:val="00A34D33"/>
    <w:rsid w:val="00A34FC5"/>
    <w:rsid w:val="00A4428D"/>
    <w:rsid w:val="00A446C6"/>
    <w:rsid w:val="00A45F35"/>
    <w:rsid w:val="00A537F8"/>
    <w:rsid w:val="00A610C4"/>
    <w:rsid w:val="00A61781"/>
    <w:rsid w:val="00A6369E"/>
    <w:rsid w:val="00A70FE0"/>
    <w:rsid w:val="00A724D0"/>
    <w:rsid w:val="00A72899"/>
    <w:rsid w:val="00A75071"/>
    <w:rsid w:val="00A76079"/>
    <w:rsid w:val="00A82495"/>
    <w:rsid w:val="00A83EC6"/>
    <w:rsid w:val="00A845A3"/>
    <w:rsid w:val="00A90C7A"/>
    <w:rsid w:val="00A90D3C"/>
    <w:rsid w:val="00A96571"/>
    <w:rsid w:val="00A97A4C"/>
    <w:rsid w:val="00AA272C"/>
    <w:rsid w:val="00AA3264"/>
    <w:rsid w:val="00AB0378"/>
    <w:rsid w:val="00AB507B"/>
    <w:rsid w:val="00AB73C3"/>
    <w:rsid w:val="00AC0232"/>
    <w:rsid w:val="00AC171F"/>
    <w:rsid w:val="00AC30A4"/>
    <w:rsid w:val="00AC3E1E"/>
    <w:rsid w:val="00AC449D"/>
    <w:rsid w:val="00AC6D09"/>
    <w:rsid w:val="00AC745E"/>
    <w:rsid w:val="00AD20CA"/>
    <w:rsid w:val="00AD310B"/>
    <w:rsid w:val="00AD404C"/>
    <w:rsid w:val="00AE0263"/>
    <w:rsid w:val="00AE60FD"/>
    <w:rsid w:val="00AE7D37"/>
    <w:rsid w:val="00AF1099"/>
    <w:rsid w:val="00AF12CA"/>
    <w:rsid w:val="00AF43DF"/>
    <w:rsid w:val="00AF458B"/>
    <w:rsid w:val="00B00592"/>
    <w:rsid w:val="00B00D15"/>
    <w:rsid w:val="00B0380D"/>
    <w:rsid w:val="00B041AD"/>
    <w:rsid w:val="00B1398F"/>
    <w:rsid w:val="00B15B8B"/>
    <w:rsid w:val="00B2344A"/>
    <w:rsid w:val="00B23BA1"/>
    <w:rsid w:val="00B3280F"/>
    <w:rsid w:val="00B32EF1"/>
    <w:rsid w:val="00B3595C"/>
    <w:rsid w:val="00B40902"/>
    <w:rsid w:val="00B41E2F"/>
    <w:rsid w:val="00B429C2"/>
    <w:rsid w:val="00B42BD1"/>
    <w:rsid w:val="00B445BE"/>
    <w:rsid w:val="00B46A9C"/>
    <w:rsid w:val="00B5160F"/>
    <w:rsid w:val="00B53521"/>
    <w:rsid w:val="00B54008"/>
    <w:rsid w:val="00B54185"/>
    <w:rsid w:val="00B63302"/>
    <w:rsid w:val="00B656CE"/>
    <w:rsid w:val="00B73A06"/>
    <w:rsid w:val="00B74927"/>
    <w:rsid w:val="00B8072F"/>
    <w:rsid w:val="00B81D3C"/>
    <w:rsid w:val="00B83999"/>
    <w:rsid w:val="00B9297A"/>
    <w:rsid w:val="00B93168"/>
    <w:rsid w:val="00B938EB"/>
    <w:rsid w:val="00B94EA1"/>
    <w:rsid w:val="00B975B3"/>
    <w:rsid w:val="00BA0079"/>
    <w:rsid w:val="00BA0D95"/>
    <w:rsid w:val="00BA167B"/>
    <w:rsid w:val="00BA573B"/>
    <w:rsid w:val="00BA6DCD"/>
    <w:rsid w:val="00BB05C5"/>
    <w:rsid w:val="00BC63A4"/>
    <w:rsid w:val="00BD6754"/>
    <w:rsid w:val="00BE3E1E"/>
    <w:rsid w:val="00BE3F2A"/>
    <w:rsid w:val="00BE4606"/>
    <w:rsid w:val="00BE78D4"/>
    <w:rsid w:val="00BF0005"/>
    <w:rsid w:val="00BF131A"/>
    <w:rsid w:val="00BF1D92"/>
    <w:rsid w:val="00BF3D17"/>
    <w:rsid w:val="00BF496D"/>
    <w:rsid w:val="00BF5780"/>
    <w:rsid w:val="00C0660D"/>
    <w:rsid w:val="00C07DDD"/>
    <w:rsid w:val="00C07ED1"/>
    <w:rsid w:val="00C115CF"/>
    <w:rsid w:val="00C12E45"/>
    <w:rsid w:val="00C13EDF"/>
    <w:rsid w:val="00C2081C"/>
    <w:rsid w:val="00C21459"/>
    <w:rsid w:val="00C23ACF"/>
    <w:rsid w:val="00C30119"/>
    <w:rsid w:val="00C31E36"/>
    <w:rsid w:val="00C326ED"/>
    <w:rsid w:val="00C3755A"/>
    <w:rsid w:val="00C41DC2"/>
    <w:rsid w:val="00C44E83"/>
    <w:rsid w:val="00C456AF"/>
    <w:rsid w:val="00C5038B"/>
    <w:rsid w:val="00C50E99"/>
    <w:rsid w:val="00C52269"/>
    <w:rsid w:val="00C53245"/>
    <w:rsid w:val="00C53D8E"/>
    <w:rsid w:val="00C61E60"/>
    <w:rsid w:val="00C70C46"/>
    <w:rsid w:val="00C71695"/>
    <w:rsid w:val="00C74897"/>
    <w:rsid w:val="00C82410"/>
    <w:rsid w:val="00C90CCB"/>
    <w:rsid w:val="00C9265A"/>
    <w:rsid w:val="00C9368E"/>
    <w:rsid w:val="00C956C6"/>
    <w:rsid w:val="00CA4580"/>
    <w:rsid w:val="00CA5333"/>
    <w:rsid w:val="00CA606A"/>
    <w:rsid w:val="00CA6605"/>
    <w:rsid w:val="00CB0F56"/>
    <w:rsid w:val="00CB2051"/>
    <w:rsid w:val="00CB517D"/>
    <w:rsid w:val="00CB66C7"/>
    <w:rsid w:val="00CC1FEE"/>
    <w:rsid w:val="00CC390C"/>
    <w:rsid w:val="00CC412B"/>
    <w:rsid w:val="00CC419E"/>
    <w:rsid w:val="00CC6B0C"/>
    <w:rsid w:val="00CD3815"/>
    <w:rsid w:val="00CD389D"/>
    <w:rsid w:val="00CD4953"/>
    <w:rsid w:val="00CD684B"/>
    <w:rsid w:val="00CE211E"/>
    <w:rsid w:val="00CE5B04"/>
    <w:rsid w:val="00CF3E88"/>
    <w:rsid w:val="00D01AF8"/>
    <w:rsid w:val="00D037B9"/>
    <w:rsid w:val="00D0601F"/>
    <w:rsid w:val="00D109B2"/>
    <w:rsid w:val="00D11CCD"/>
    <w:rsid w:val="00D12725"/>
    <w:rsid w:val="00D17EC2"/>
    <w:rsid w:val="00D24EB7"/>
    <w:rsid w:val="00D26C2A"/>
    <w:rsid w:val="00D324C4"/>
    <w:rsid w:val="00D33F24"/>
    <w:rsid w:val="00D43F13"/>
    <w:rsid w:val="00D44683"/>
    <w:rsid w:val="00D476EB"/>
    <w:rsid w:val="00D65F03"/>
    <w:rsid w:val="00D66504"/>
    <w:rsid w:val="00D70660"/>
    <w:rsid w:val="00D70BA0"/>
    <w:rsid w:val="00D759C9"/>
    <w:rsid w:val="00D76A5B"/>
    <w:rsid w:val="00D80066"/>
    <w:rsid w:val="00D86065"/>
    <w:rsid w:val="00D91A70"/>
    <w:rsid w:val="00D977C2"/>
    <w:rsid w:val="00DA027C"/>
    <w:rsid w:val="00DA45F5"/>
    <w:rsid w:val="00DA61E3"/>
    <w:rsid w:val="00DB4726"/>
    <w:rsid w:val="00DC2AE4"/>
    <w:rsid w:val="00DC3452"/>
    <w:rsid w:val="00DC4281"/>
    <w:rsid w:val="00DC537A"/>
    <w:rsid w:val="00DC7E16"/>
    <w:rsid w:val="00DD06CD"/>
    <w:rsid w:val="00DD5D54"/>
    <w:rsid w:val="00DD601C"/>
    <w:rsid w:val="00DE231A"/>
    <w:rsid w:val="00DE65CD"/>
    <w:rsid w:val="00DE7F58"/>
    <w:rsid w:val="00DF192E"/>
    <w:rsid w:val="00DF328D"/>
    <w:rsid w:val="00E004BC"/>
    <w:rsid w:val="00E024B3"/>
    <w:rsid w:val="00E11132"/>
    <w:rsid w:val="00E1210E"/>
    <w:rsid w:val="00E15B0C"/>
    <w:rsid w:val="00E25C50"/>
    <w:rsid w:val="00E25CF0"/>
    <w:rsid w:val="00E26E69"/>
    <w:rsid w:val="00E27BF7"/>
    <w:rsid w:val="00E30071"/>
    <w:rsid w:val="00E32395"/>
    <w:rsid w:val="00E329CB"/>
    <w:rsid w:val="00E36646"/>
    <w:rsid w:val="00E40ABF"/>
    <w:rsid w:val="00E423C5"/>
    <w:rsid w:val="00E449FD"/>
    <w:rsid w:val="00E45016"/>
    <w:rsid w:val="00E479FC"/>
    <w:rsid w:val="00E5552A"/>
    <w:rsid w:val="00E6662E"/>
    <w:rsid w:val="00E668A8"/>
    <w:rsid w:val="00E67C43"/>
    <w:rsid w:val="00E71AA4"/>
    <w:rsid w:val="00E73935"/>
    <w:rsid w:val="00E74159"/>
    <w:rsid w:val="00E75771"/>
    <w:rsid w:val="00E801BA"/>
    <w:rsid w:val="00E82727"/>
    <w:rsid w:val="00E851CD"/>
    <w:rsid w:val="00E87C82"/>
    <w:rsid w:val="00E87E0A"/>
    <w:rsid w:val="00E933C8"/>
    <w:rsid w:val="00E93498"/>
    <w:rsid w:val="00E93D3D"/>
    <w:rsid w:val="00E9423D"/>
    <w:rsid w:val="00E955C8"/>
    <w:rsid w:val="00E9631D"/>
    <w:rsid w:val="00E967DD"/>
    <w:rsid w:val="00EA0F30"/>
    <w:rsid w:val="00EB1ED0"/>
    <w:rsid w:val="00EB7C04"/>
    <w:rsid w:val="00ED027D"/>
    <w:rsid w:val="00ED1664"/>
    <w:rsid w:val="00ED6A1F"/>
    <w:rsid w:val="00ED6FE3"/>
    <w:rsid w:val="00EE00A4"/>
    <w:rsid w:val="00EE07D9"/>
    <w:rsid w:val="00EE14CD"/>
    <w:rsid w:val="00EE3FCB"/>
    <w:rsid w:val="00EE5249"/>
    <w:rsid w:val="00EE6E43"/>
    <w:rsid w:val="00EF05F9"/>
    <w:rsid w:val="00EF12A6"/>
    <w:rsid w:val="00EF3A99"/>
    <w:rsid w:val="00EF42D5"/>
    <w:rsid w:val="00EF4D27"/>
    <w:rsid w:val="00F00402"/>
    <w:rsid w:val="00F05636"/>
    <w:rsid w:val="00F05972"/>
    <w:rsid w:val="00F07322"/>
    <w:rsid w:val="00F10AE9"/>
    <w:rsid w:val="00F10E84"/>
    <w:rsid w:val="00F11FA5"/>
    <w:rsid w:val="00F13347"/>
    <w:rsid w:val="00F17D9C"/>
    <w:rsid w:val="00F21112"/>
    <w:rsid w:val="00F2487C"/>
    <w:rsid w:val="00F2509F"/>
    <w:rsid w:val="00F3332E"/>
    <w:rsid w:val="00F4171E"/>
    <w:rsid w:val="00F45EEC"/>
    <w:rsid w:val="00F502DB"/>
    <w:rsid w:val="00F51D83"/>
    <w:rsid w:val="00F657E6"/>
    <w:rsid w:val="00F72B40"/>
    <w:rsid w:val="00F77011"/>
    <w:rsid w:val="00F818F7"/>
    <w:rsid w:val="00F819DE"/>
    <w:rsid w:val="00F83C5E"/>
    <w:rsid w:val="00F84AE0"/>
    <w:rsid w:val="00F93D0E"/>
    <w:rsid w:val="00F947EB"/>
    <w:rsid w:val="00F96895"/>
    <w:rsid w:val="00F979EC"/>
    <w:rsid w:val="00FA00FC"/>
    <w:rsid w:val="00FA0718"/>
    <w:rsid w:val="00FA3A15"/>
    <w:rsid w:val="00FA429C"/>
    <w:rsid w:val="00FA52C9"/>
    <w:rsid w:val="00FB3C0F"/>
    <w:rsid w:val="00FC1D28"/>
    <w:rsid w:val="00FC2D86"/>
    <w:rsid w:val="00FC3584"/>
    <w:rsid w:val="00FD0CBF"/>
    <w:rsid w:val="00FE2C57"/>
    <w:rsid w:val="00FE572C"/>
    <w:rsid w:val="00FE681F"/>
    <w:rsid w:val="00FE71C8"/>
    <w:rsid w:val="00FF317C"/>
    <w:rsid w:val="00FF4037"/>
    <w:rsid w:val="00FF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1329">
      <o:colormru v:ext="edit" colors="#f7f7f7,#008837"/>
    </o:shapedefaults>
    <o:shapelayout v:ext="edit">
      <o:idmap v:ext="edit" data="1"/>
    </o:shapelayout>
  </w:shapeDefaults>
  <w:decimalSymbol w:val="."/>
  <w:listSeparator w:val=","/>
  <w14:docId w14:val="1A5D6A47"/>
  <w15:docId w15:val="{E07B8611-28D2-45C6-B4DF-775DA751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32C"/>
    <w:pPr>
      <w:tabs>
        <w:tab w:val="left" w:pos="1134"/>
        <w:tab w:val="left" w:pos="2268"/>
        <w:tab w:val="left" w:pos="3402"/>
        <w:tab w:val="left" w:pos="4536"/>
        <w:tab w:val="left" w:pos="5670"/>
        <w:tab w:val="left" w:pos="6804"/>
        <w:tab w:val="left" w:pos="7938"/>
        <w:tab w:val="left" w:pos="9072"/>
      </w:tabs>
      <w:spacing w:line="280" w:lineRule="atLeast"/>
    </w:pPr>
    <w:rPr>
      <w:rFonts w:ascii="Arial" w:hAnsi="Arial"/>
      <w:sz w:val="22"/>
      <w:lang w:eastAsia="de-DE"/>
    </w:rPr>
  </w:style>
  <w:style w:type="paragraph" w:styleId="Heading1">
    <w:name w:val="heading 1"/>
    <w:basedOn w:val="Normal"/>
    <w:next w:val="Normal"/>
    <w:qFormat/>
    <w:pPr>
      <w:keepNext/>
      <w:spacing w:before="240" w:after="60"/>
      <w:outlineLvl w:val="0"/>
    </w:pPr>
    <w:rPr>
      <w:rFonts w:ascii="Helvetica" w:hAnsi="Helvetica"/>
      <w:b/>
      <w:kern w:val="32"/>
      <w:sz w:val="32"/>
      <w:szCs w:val="32"/>
    </w:rPr>
  </w:style>
  <w:style w:type="paragraph" w:styleId="Heading2">
    <w:name w:val="heading 2"/>
    <w:basedOn w:val="Normal"/>
    <w:next w:val="Normal"/>
    <w:qFormat/>
    <w:rsid w:val="00F502DB"/>
    <w:pPr>
      <w:keepNext/>
      <w:spacing w:before="240" w:after="60"/>
      <w:outlineLvl w:val="1"/>
    </w:pPr>
    <w:rPr>
      <w:rFonts w:cs="Arial"/>
      <w:b/>
      <w:bCs/>
      <w:i/>
      <w:iCs/>
      <w:sz w:val="28"/>
      <w:szCs w:val="28"/>
    </w:rPr>
  </w:style>
  <w:style w:type="paragraph" w:styleId="Heading3">
    <w:name w:val="heading 3"/>
    <w:basedOn w:val="Normal"/>
    <w:next w:val="Normal"/>
    <w:qFormat/>
    <w:rsid w:val="00F502D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block">
    <w:name w:val="Address block"/>
    <w:basedOn w:val="Normal"/>
    <w:rsid w:val="00500CCD"/>
  </w:style>
  <w:style w:type="paragraph" w:styleId="Header">
    <w:name w:val="header"/>
    <w:basedOn w:val="Normal"/>
    <w:rsid w:val="00A90D3C"/>
    <w:pPr>
      <w:tabs>
        <w:tab w:val="center" w:pos="4320"/>
        <w:tab w:val="right" w:pos="8640"/>
      </w:tabs>
    </w:pPr>
  </w:style>
  <w:style w:type="paragraph" w:styleId="DocumentMap">
    <w:name w:val="Document Map"/>
    <w:basedOn w:val="Normal"/>
    <w:semiHidden/>
    <w:pPr>
      <w:shd w:val="clear" w:color="auto" w:fill="C6D5EC"/>
    </w:pPr>
    <w:rPr>
      <w:rFonts w:ascii="Lucida Grande" w:hAnsi="Lucida Grande"/>
      <w:szCs w:val="24"/>
    </w:rPr>
  </w:style>
  <w:style w:type="paragraph" w:styleId="Footer">
    <w:name w:val="footer"/>
    <w:basedOn w:val="Normal"/>
    <w:rsid w:val="00A90D3C"/>
    <w:pPr>
      <w:tabs>
        <w:tab w:val="center" w:pos="4320"/>
        <w:tab w:val="right" w:pos="8640"/>
      </w:tabs>
    </w:pPr>
  </w:style>
  <w:style w:type="paragraph" w:styleId="BalloonText">
    <w:name w:val="Balloon Text"/>
    <w:basedOn w:val="Normal"/>
    <w:link w:val="BalloonTextChar"/>
    <w:rsid w:val="00061B98"/>
    <w:rPr>
      <w:rFonts w:ascii="Tahoma" w:hAnsi="Tahoma" w:cs="Tahoma"/>
      <w:sz w:val="16"/>
      <w:szCs w:val="16"/>
    </w:rPr>
  </w:style>
  <w:style w:type="character" w:customStyle="1" w:styleId="BalloonTextChar">
    <w:name w:val="Balloon Text Char"/>
    <w:basedOn w:val="DefaultParagraphFont"/>
    <w:link w:val="BalloonText"/>
    <w:rsid w:val="00061B98"/>
    <w:rPr>
      <w:rFonts w:ascii="Tahoma" w:hAnsi="Tahoma" w:cs="Tahoma"/>
      <w:sz w:val="16"/>
      <w:szCs w:val="16"/>
      <w:lang w:val="de-DE" w:eastAsia="de-DE"/>
    </w:rPr>
  </w:style>
  <w:style w:type="character" w:styleId="Emphasis">
    <w:name w:val="Emphasis"/>
    <w:basedOn w:val="DefaultParagraphFont"/>
    <w:rsid w:val="00255E2C"/>
    <w:rPr>
      <w:i/>
      <w:iCs/>
    </w:rPr>
  </w:style>
  <w:style w:type="paragraph" w:customStyle="1" w:styleId="Default">
    <w:name w:val="Default"/>
    <w:link w:val="DefaultChar"/>
    <w:rsid w:val="00A446C6"/>
    <w:pPr>
      <w:autoSpaceDE w:val="0"/>
      <w:autoSpaceDN w:val="0"/>
      <w:adjustRightInd w:val="0"/>
    </w:pPr>
    <w:rPr>
      <w:rFonts w:ascii="Arial" w:hAnsi="Arial" w:cs="Arial"/>
      <w:color w:val="000000"/>
      <w:sz w:val="24"/>
      <w:szCs w:val="24"/>
    </w:rPr>
  </w:style>
  <w:style w:type="character" w:customStyle="1" w:styleId="DefaultChar">
    <w:name w:val="Default Char"/>
    <w:link w:val="Default"/>
    <w:rsid w:val="00A446C6"/>
    <w:rPr>
      <w:rFonts w:ascii="Arial" w:hAnsi="Arial" w:cs="Arial"/>
      <w:color w:val="000000"/>
      <w:sz w:val="24"/>
      <w:szCs w:val="24"/>
    </w:rPr>
  </w:style>
  <w:style w:type="table" w:styleId="TableGrid">
    <w:name w:val="Table Grid"/>
    <w:basedOn w:val="TableNormal"/>
    <w:uiPriority w:val="59"/>
    <w:rsid w:val="00A446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A446C6"/>
    <w:rPr>
      <w:color w:val="0000FF" w:themeColor="hyperlink"/>
      <w:u w:val="single"/>
    </w:rPr>
  </w:style>
  <w:style w:type="character" w:styleId="FollowedHyperlink">
    <w:name w:val="FollowedHyperlink"/>
    <w:basedOn w:val="DefaultParagraphFont"/>
    <w:semiHidden/>
    <w:unhideWhenUsed/>
    <w:rsid w:val="00A446C6"/>
    <w:rPr>
      <w:color w:val="800080" w:themeColor="followedHyperlink"/>
      <w:u w:val="single"/>
    </w:rPr>
  </w:style>
  <w:style w:type="character" w:customStyle="1" w:styleId="gmaildefault">
    <w:name w:val="gmail_default"/>
    <w:basedOn w:val="DefaultParagraphFont"/>
    <w:rsid w:val="00026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0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vestor.relations@besi.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esi.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esi.com/investor-relations/share-repurchase-program/"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besi@cffcommunications.n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Letter</vt:lpstr>
    </vt:vector>
  </TitlesOfParts>
  <Company>Besi</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Claudia Vissers</dc:creator>
  <cp:lastModifiedBy>Claudia Vissers</cp:lastModifiedBy>
  <cp:revision>6</cp:revision>
  <cp:lastPrinted>2020-11-19T08:29:00Z</cp:lastPrinted>
  <dcterms:created xsi:type="dcterms:W3CDTF">2021-06-14T09:21:00Z</dcterms:created>
  <dcterms:modified xsi:type="dcterms:W3CDTF">2021-06-17T16:54:00Z</dcterms:modified>
</cp:coreProperties>
</file>