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69" w:rsidRPr="00A92EB6" w:rsidRDefault="00651869" w:rsidP="00651869">
      <w:pPr>
        <w:autoSpaceDE w:val="0"/>
        <w:autoSpaceDN w:val="0"/>
        <w:adjustRightInd w:val="0"/>
        <w:spacing w:after="0" w:line="240" w:lineRule="auto"/>
        <w:rPr>
          <w:rFonts w:ascii="Arial" w:hAnsi="Arial" w:cs="Arial"/>
          <w:b/>
          <w:sz w:val="36"/>
          <w:szCs w:val="36"/>
          <w:lang w:val="nl-NL"/>
        </w:rPr>
      </w:pPr>
      <w:r w:rsidRPr="00A92EB6">
        <w:rPr>
          <w:rFonts w:ascii="Arial" w:hAnsi="Arial" w:cs="Arial"/>
          <w:b/>
          <w:sz w:val="36"/>
          <w:szCs w:val="36"/>
          <w:lang w:val="nl-NL"/>
        </w:rPr>
        <w:t>Tussentijdse Verklaring</w:t>
      </w:r>
    </w:p>
    <w:p w:rsidR="00651869" w:rsidRPr="002D0591" w:rsidRDefault="00651869" w:rsidP="00651869">
      <w:pPr>
        <w:autoSpaceDE w:val="0"/>
        <w:autoSpaceDN w:val="0"/>
        <w:adjustRightInd w:val="0"/>
        <w:spacing w:after="0" w:line="240" w:lineRule="auto"/>
        <w:rPr>
          <w:sz w:val="20"/>
          <w:szCs w:val="20"/>
          <w:lang w:val="nl-NL"/>
        </w:rPr>
      </w:pPr>
      <w:r w:rsidRPr="002D0591">
        <w:rPr>
          <w:rFonts w:ascii="Arial" w:hAnsi="Arial" w:cs="Arial"/>
          <w:sz w:val="20"/>
          <w:szCs w:val="20"/>
          <w:lang w:val="nl-NL"/>
        </w:rPr>
        <w:t xml:space="preserve">In de periode 1 </w:t>
      </w:r>
      <w:r>
        <w:rPr>
          <w:rFonts w:ascii="Arial" w:hAnsi="Arial" w:cs="Arial"/>
          <w:sz w:val="20"/>
          <w:szCs w:val="20"/>
          <w:lang w:val="nl-NL"/>
        </w:rPr>
        <w:t>oktober</w:t>
      </w:r>
      <w:r w:rsidRPr="002D0591">
        <w:rPr>
          <w:rFonts w:ascii="Arial" w:hAnsi="Arial" w:cs="Arial"/>
          <w:sz w:val="20"/>
          <w:szCs w:val="20"/>
          <w:lang w:val="nl-NL"/>
        </w:rPr>
        <w:t xml:space="preserve"> –</w:t>
      </w:r>
      <w:r>
        <w:rPr>
          <w:rFonts w:ascii="Arial" w:hAnsi="Arial" w:cs="Arial"/>
          <w:sz w:val="20"/>
          <w:szCs w:val="20"/>
          <w:lang w:val="nl-NL"/>
        </w:rPr>
        <w:t xml:space="preserve"> 3 november</w:t>
      </w:r>
      <w:r w:rsidRPr="002D0591">
        <w:rPr>
          <w:rFonts w:ascii="Arial" w:hAnsi="Arial" w:cs="Arial"/>
          <w:sz w:val="20"/>
          <w:szCs w:val="20"/>
          <w:lang w:val="nl-NL"/>
        </w:rPr>
        <w:t xml:space="preserve"> 201</w:t>
      </w:r>
      <w:r>
        <w:rPr>
          <w:rFonts w:ascii="Arial" w:hAnsi="Arial" w:cs="Arial"/>
          <w:sz w:val="20"/>
          <w:szCs w:val="20"/>
          <w:lang w:val="nl-NL"/>
        </w:rPr>
        <w:t>2</w:t>
      </w:r>
      <w:r w:rsidRPr="002D0591">
        <w:rPr>
          <w:rFonts w:ascii="Arial" w:hAnsi="Arial" w:cs="Arial"/>
          <w:sz w:val="20"/>
          <w:szCs w:val="20"/>
          <w:lang w:val="nl-NL"/>
        </w:rPr>
        <w:t xml:space="preserve"> hebben zich geen belangrijke gebeurtenissen en/of transacties voorgedaan die gevolgen hebben voor de financiële positie van de onderneming en wordt voor het overige verwezen naar de inhoud van het onderstaand persbericht van Brunel International N.V. dat op </w:t>
      </w:r>
      <w:r>
        <w:rPr>
          <w:rFonts w:ascii="Arial" w:hAnsi="Arial" w:cs="Arial"/>
          <w:sz w:val="20"/>
          <w:szCs w:val="20"/>
          <w:lang w:val="nl-NL"/>
        </w:rPr>
        <w:t>2</w:t>
      </w:r>
      <w:r w:rsidRPr="002D0591">
        <w:rPr>
          <w:rFonts w:ascii="Arial" w:hAnsi="Arial" w:cs="Arial"/>
          <w:sz w:val="20"/>
          <w:szCs w:val="20"/>
          <w:lang w:val="nl-NL"/>
        </w:rPr>
        <w:t xml:space="preserve"> </w:t>
      </w:r>
      <w:r>
        <w:rPr>
          <w:rFonts w:ascii="Arial" w:hAnsi="Arial" w:cs="Arial"/>
          <w:sz w:val="20"/>
          <w:szCs w:val="20"/>
          <w:lang w:val="nl-NL"/>
        </w:rPr>
        <w:t>november</w:t>
      </w:r>
      <w:r w:rsidRPr="002D0591">
        <w:rPr>
          <w:rFonts w:ascii="Arial" w:hAnsi="Arial" w:cs="Arial"/>
          <w:sz w:val="20"/>
          <w:szCs w:val="20"/>
          <w:lang w:val="nl-NL"/>
        </w:rPr>
        <w:t xml:space="preserve"> 201</w:t>
      </w:r>
      <w:r>
        <w:rPr>
          <w:rFonts w:ascii="Arial" w:hAnsi="Arial" w:cs="Arial"/>
          <w:sz w:val="20"/>
          <w:szCs w:val="20"/>
          <w:lang w:val="nl-NL"/>
        </w:rPr>
        <w:t>2</w:t>
      </w:r>
      <w:r w:rsidRPr="002D0591">
        <w:rPr>
          <w:rFonts w:ascii="Arial" w:hAnsi="Arial" w:cs="Arial"/>
          <w:sz w:val="20"/>
          <w:szCs w:val="20"/>
          <w:lang w:val="nl-NL"/>
        </w:rPr>
        <w:t xml:space="preserve"> is uitgebracht.</w:t>
      </w:r>
    </w:p>
    <w:p w:rsidR="00651869" w:rsidRPr="00651869" w:rsidRDefault="00651869" w:rsidP="008C4104">
      <w:pPr>
        <w:spacing w:after="0"/>
        <w:rPr>
          <w:rFonts w:ascii="Arial" w:hAnsi="Arial" w:cs="Arial"/>
          <w:b/>
          <w:sz w:val="48"/>
          <w:szCs w:val="48"/>
          <w:lang w:val="nl-NL"/>
        </w:rPr>
      </w:pPr>
    </w:p>
    <w:p w:rsidR="00E771F5" w:rsidRPr="005E111E" w:rsidRDefault="00E771F5" w:rsidP="008C4104">
      <w:pPr>
        <w:spacing w:after="0"/>
        <w:rPr>
          <w:rFonts w:ascii="Arial" w:hAnsi="Arial" w:cs="Arial"/>
          <w:b/>
          <w:sz w:val="36"/>
          <w:szCs w:val="36"/>
          <w:lang w:val="en-GB"/>
        </w:rPr>
      </w:pPr>
      <w:r w:rsidRPr="005E111E">
        <w:rPr>
          <w:rFonts w:ascii="Arial" w:hAnsi="Arial" w:cs="Arial"/>
          <w:b/>
          <w:sz w:val="48"/>
          <w:szCs w:val="48"/>
          <w:lang w:val="en-GB"/>
        </w:rPr>
        <w:t>Press Release</w:t>
      </w:r>
    </w:p>
    <w:p w:rsidR="00D71B47" w:rsidRDefault="00B66AB6" w:rsidP="008C4104">
      <w:pPr>
        <w:spacing w:after="0"/>
        <w:rPr>
          <w:rFonts w:ascii="Arial" w:hAnsi="Arial" w:cs="Arial"/>
          <w:sz w:val="36"/>
          <w:szCs w:val="36"/>
          <w:lang w:val="en-GB"/>
        </w:rPr>
      </w:pPr>
      <w:r>
        <w:rPr>
          <w:rFonts w:ascii="Arial" w:hAnsi="Arial" w:cs="Arial"/>
          <w:sz w:val="36"/>
          <w:szCs w:val="36"/>
          <w:lang w:val="en-GB"/>
        </w:rPr>
        <w:t xml:space="preserve">Brunel’s </w:t>
      </w:r>
      <w:r w:rsidR="00927174">
        <w:rPr>
          <w:rFonts w:ascii="Arial" w:hAnsi="Arial" w:cs="Arial"/>
          <w:sz w:val="36"/>
          <w:szCs w:val="36"/>
          <w:lang w:val="en-GB"/>
        </w:rPr>
        <w:t xml:space="preserve">revenue growth </w:t>
      </w:r>
      <w:r w:rsidR="008D527C">
        <w:rPr>
          <w:rFonts w:ascii="Arial" w:hAnsi="Arial" w:cs="Arial"/>
          <w:sz w:val="36"/>
          <w:szCs w:val="36"/>
          <w:lang w:val="en-GB"/>
        </w:rPr>
        <w:t xml:space="preserve">full year </w:t>
      </w:r>
      <w:r w:rsidR="00033BDC">
        <w:rPr>
          <w:rFonts w:ascii="Arial" w:hAnsi="Arial" w:cs="Arial"/>
          <w:sz w:val="36"/>
          <w:szCs w:val="36"/>
          <w:lang w:val="en-GB"/>
        </w:rPr>
        <w:t xml:space="preserve">2012 of </w:t>
      </w:r>
      <w:r w:rsidR="00927174">
        <w:rPr>
          <w:rFonts w:ascii="Arial" w:hAnsi="Arial" w:cs="Arial"/>
          <w:sz w:val="36"/>
          <w:szCs w:val="36"/>
          <w:lang w:val="en-GB"/>
        </w:rPr>
        <w:t>25%</w:t>
      </w:r>
    </w:p>
    <w:p w:rsidR="00B66AB6" w:rsidRDefault="00B66AB6" w:rsidP="008C4104">
      <w:pPr>
        <w:spacing w:after="0"/>
        <w:rPr>
          <w:rFonts w:ascii="Arial" w:hAnsi="Arial" w:cs="Arial"/>
          <w:sz w:val="36"/>
          <w:szCs w:val="36"/>
          <w:lang w:val="en-GB"/>
        </w:rPr>
      </w:pPr>
    </w:p>
    <w:p w:rsidR="004878A8" w:rsidRDefault="00D71B47" w:rsidP="006C358C">
      <w:pPr>
        <w:spacing w:after="0" w:line="240" w:lineRule="auto"/>
        <w:rPr>
          <w:rFonts w:ascii="Arial" w:hAnsi="Arial" w:cs="Arial"/>
          <w:sz w:val="20"/>
          <w:szCs w:val="20"/>
          <w:lang w:val="en-GB"/>
        </w:rPr>
      </w:pPr>
      <w:r>
        <w:rPr>
          <w:rFonts w:ascii="Arial" w:hAnsi="Arial" w:cs="Arial"/>
          <w:sz w:val="20"/>
          <w:szCs w:val="20"/>
          <w:lang w:val="en-GB"/>
        </w:rPr>
        <w:t xml:space="preserve">Amsterdam, </w:t>
      </w:r>
      <w:r w:rsidR="00F36077">
        <w:rPr>
          <w:rFonts w:ascii="Arial" w:hAnsi="Arial" w:cs="Arial"/>
          <w:sz w:val="20"/>
          <w:szCs w:val="20"/>
          <w:lang w:val="en-GB"/>
        </w:rPr>
        <w:t>2</w:t>
      </w:r>
      <w:r>
        <w:rPr>
          <w:rFonts w:ascii="Arial" w:hAnsi="Arial" w:cs="Arial"/>
          <w:sz w:val="20"/>
          <w:szCs w:val="20"/>
          <w:lang w:val="en-GB"/>
        </w:rPr>
        <w:t xml:space="preserve"> </w:t>
      </w:r>
      <w:r w:rsidR="00F36077">
        <w:rPr>
          <w:rFonts w:ascii="Arial" w:hAnsi="Arial" w:cs="Arial"/>
          <w:sz w:val="20"/>
          <w:szCs w:val="20"/>
          <w:lang w:val="en-GB"/>
        </w:rPr>
        <w:t>November</w:t>
      </w:r>
      <w:r>
        <w:rPr>
          <w:rFonts w:ascii="Arial" w:hAnsi="Arial" w:cs="Arial"/>
          <w:sz w:val="20"/>
          <w:szCs w:val="20"/>
          <w:lang w:val="en-GB"/>
        </w:rPr>
        <w:t xml:space="preserve"> 2012</w:t>
      </w:r>
    </w:p>
    <w:p w:rsidR="00394EE9" w:rsidRPr="00B66AB6" w:rsidRDefault="00394EE9" w:rsidP="006C358C">
      <w:pPr>
        <w:spacing w:after="0" w:line="240" w:lineRule="auto"/>
        <w:rPr>
          <w:rFonts w:ascii="Arial" w:hAnsi="Arial" w:cs="Arial"/>
          <w:sz w:val="20"/>
          <w:szCs w:val="20"/>
          <w:lang w:val="en-GB"/>
        </w:rPr>
      </w:pPr>
    </w:p>
    <w:p w:rsidR="008D527C" w:rsidRPr="008D527C" w:rsidRDefault="008D527C" w:rsidP="008D527C">
      <w:pPr>
        <w:spacing w:line="240" w:lineRule="auto"/>
        <w:rPr>
          <w:rFonts w:ascii="Arial" w:hAnsi="Arial" w:cs="Arial"/>
          <w:b/>
          <w:sz w:val="20"/>
          <w:szCs w:val="20"/>
          <w:lang w:val="en-GB"/>
        </w:rPr>
      </w:pPr>
      <w:r w:rsidRPr="008D527C">
        <w:rPr>
          <w:rFonts w:ascii="Arial" w:hAnsi="Arial" w:cs="Arial"/>
          <w:b/>
          <w:sz w:val="20"/>
          <w:szCs w:val="20"/>
          <w:lang w:val="en-GB"/>
        </w:rPr>
        <w:t>Key points Q3 2012</w:t>
      </w:r>
    </w:p>
    <w:p w:rsidR="008D527C" w:rsidRPr="00C163BA" w:rsidRDefault="008D527C" w:rsidP="00C163BA">
      <w:pPr>
        <w:pStyle w:val="ListParagraph"/>
        <w:numPr>
          <w:ilvl w:val="0"/>
          <w:numId w:val="4"/>
        </w:numPr>
        <w:spacing w:after="0"/>
        <w:rPr>
          <w:rFonts w:ascii="Arial" w:hAnsi="Arial" w:cs="Arial"/>
          <w:sz w:val="20"/>
          <w:szCs w:val="20"/>
          <w:lang w:val="en-GB"/>
        </w:rPr>
      </w:pPr>
      <w:r w:rsidRPr="008D527C">
        <w:rPr>
          <w:rFonts w:ascii="Arial" w:hAnsi="Arial" w:cs="Arial"/>
          <w:sz w:val="20"/>
          <w:szCs w:val="20"/>
          <w:lang w:val="en-GB"/>
        </w:rPr>
        <w:t>Reve</w:t>
      </w:r>
      <w:r>
        <w:rPr>
          <w:rFonts w:ascii="Arial" w:hAnsi="Arial" w:cs="Arial"/>
          <w:sz w:val="20"/>
          <w:szCs w:val="20"/>
          <w:lang w:val="en-GB"/>
        </w:rPr>
        <w:t>nue up 3</w:t>
      </w:r>
      <w:r w:rsidR="00C163BA">
        <w:rPr>
          <w:rFonts w:ascii="Arial" w:hAnsi="Arial" w:cs="Arial"/>
          <w:sz w:val="20"/>
          <w:szCs w:val="20"/>
          <w:lang w:val="en-GB"/>
        </w:rPr>
        <w:t>3</w:t>
      </w:r>
      <w:r w:rsidRPr="00C163BA">
        <w:rPr>
          <w:rFonts w:ascii="Arial" w:hAnsi="Arial" w:cs="Arial"/>
          <w:sz w:val="20"/>
          <w:szCs w:val="20"/>
          <w:lang w:val="en-GB"/>
        </w:rPr>
        <w:t>% to € 32</w:t>
      </w:r>
      <w:r w:rsidR="00C163BA" w:rsidRPr="00C163BA">
        <w:rPr>
          <w:rFonts w:ascii="Arial" w:hAnsi="Arial" w:cs="Arial"/>
          <w:sz w:val="20"/>
          <w:szCs w:val="20"/>
          <w:lang w:val="en-GB"/>
        </w:rPr>
        <w:t>5</w:t>
      </w:r>
      <w:r w:rsidRPr="00C163BA">
        <w:rPr>
          <w:rFonts w:ascii="Arial" w:hAnsi="Arial" w:cs="Arial"/>
          <w:sz w:val="20"/>
          <w:szCs w:val="20"/>
          <w:lang w:val="en-GB"/>
        </w:rPr>
        <w:t xml:space="preserve"> m</w:t>
      </w:r>
      <w:r w:rsidR="00C163BA">
        <w:rPr>
          <w:rFonts w:ascii="Arial" w:hAnsi="Arial" w:cs="Arial"/>
          <w:sz w:val="20"/>
          <w:szCs w:val="20"/>
          <w:lang w:val="en-GB"/>
        </w:rPr>
        <w:t>illion and gross profit up by 23</w:t>
      </w:r>
      <w:r w:rsidRPr="00C163BA">
        <w:rPr>
          <w:rFonts w:ascii="Arial" w:hAnsi="Arial" w:cs="Arial"/>
          <w:sz w:val="20"/>
          <w:szCs w:val="20"/>
          <w:lang w:val="en-GB"/>
        </w:rPr>
        <w:t>% to € 60 million</w:t>
      </w:r>
    </w:p>
    <w:p w:rsidR="00460CB9" w:rsidRDefault="008D527C" w:rsidP="008D527C">
      <w:pPr>
        <w:pStyle w:val="ListParagraph"/>
        <w:numPr>
          <w:ilvl w:val="0"/>
          <w:numId w:val="4"/>
        </w:numPr>
        <w:spacing w:after="0"/>
        <w:rPr>
          <w:rFonts w:ascii="Arial" w:hAnsi="Arial" w:cs="Arial"/>
          <w:sz w:val="20"/>
          <w:szCs w:val="20"/>
          <w:lang w:val="en-GB"/>
        </w:rPr>
      </w:pPr>
      <w:r>
        <w:rPr>
          <w:rFonts w:ascii="Arial" w:hAnsi="Arial" w:cs="Arial"/>
          <w:sz w:val="20"/>
          <w:szCs w:val="20"/>
          <w:lang w:val="en-GB"/>
        </w:rPr>
        <w:t>G</w:t>
      </w:r>
      <w:r w:rsidR="00B66AB6" w:rsidRPr="008D527C">
        <w:rPr>
          <w:rFonts w:ascii="Arial" w:hAnsi="Arial" w:cs="Arial"/>
          <w:sz w:val="20"/>
          <w:szCs w:val="20"/>
          <w:lang w:val="en-GB"/>
        </w:rPr>
        <w:t xml:space="preserve">ross margin </w:t>
      </w:r>
      <w:r w:rsidR="00460CB9">
        <w:rPr>
          <w:rFonts w:ascii="Arial" w:hAnsi="Arial" w:cs="Arial"/>
          <w:sz w:val="20"/>
          <w:szCs w:val="20"/>
          <w:lang w:val="en-GB"/>
        </w:rPr>
        <w:t>at 18.</w:t>
      </w:r>
      <w:r w:rsidR="00C163BA">
        <w:rPr>
          <w:rFonts w:ascii="Arial" w:hAnsi="Arial" w:cs="Arial"/>
          <w:sz w:val="20"/>
          <w:szCs w:val="20"/>
          <w:lang w:val="en-GB"/>
        </w:rPr>
        <w:t>4</w:t>
      </w:r>
      <w:r w:rsidR="00460CB9">
        <w:rPr>
          <w:rFonts w:ascii="Arial" w:hAnsi="Arial" w:cs="Arial"/>
          <w:sz w:val="20"/>
          <w:szCs w:val="20"/>
          <w:lang w:val="en-GB"/>
        </w:rPr>
        <w:t>% down f</w:t>
      </w:r>
      <w:r w:rsidR="002404DB">
        <w:rPr>
          <w:rFonts w:ascii="Arial" w:hAnsi="Arial" w:cs="Arial"/>
          <w:sz w:val="20"/>
          <w:szCs w:val="20"/>
          <w:lang w:val="en-GB"/>
        </w:rPr>
        <w:t>r</w:t>
      </w:r>
      <w:r w:rsidR="00460CB9">
        <w:rPr>
          <w:rFonts w:ascii="Arial" w:hAnsi="Arial" w:cs="Arial"/>
          <w:sz w:val="20"/>
          <w:szCs w:val="20"/>
          <w:lang w:val="en-GB"/>
        </w:rPr>
        <w:t>om 19.9% as a result of changed revenue mix</w:t>
      </w:r>
    </w:p>
    <w:p w:rsidR="00B66AB6" w:rsidRDefault="00460CB9" w:rsidP="008D527C">
      <w:pPr>
        <w:pStyle w:val="ListParagraph"/>
        <w:numPr>
          <w:ilvl w:val="0"/>
          <w:numId w:val="4"/>
        </w:numPr>
        <w:spacing w:after="0"/>
        <w:rPr>
          <w:rFonts w:ascii="Arial" w:hAnsi="Arial" w:cs="Arial"/>
          <w:sz w:val="20"/>
          <w:szCs w:val="20"/>
          <w:lang w:val="en-GB"/>
        </w:rPr>
      </w:pPr>
      <w:r>
        <w:rPr>
          <w:rFonts w:ascii="Arial" w:hAnsi="Arial" w:cs="Arial"/>
          <w:sz w:val="20"/>
          <w:szCs w:val="20"/>
          <w:lang w:val="en-GB"/>
        </w:rPr>
        <w:t>Operational costs continue to decrease (f</w:t>
      </w:r>
      <w:r w:rsidR="00C163BA">
        <w:rPr>
          <w:rFonts w:ascii="Arial" w:hAnsi="Arial" w:cs="Arial"/>
          <w:sz w:val="20"/>
          <w:szCs w:val="20"/>
          <w:lang w:val="en-GB"/>
        </w:rPr>
        <w:t>r</w:t>
      </w:r>
      <w:r>
        <w:rPr>
          <w:rFonts w:ascii="Arial" w:hAnsi="Arial" w:cs="Arial"/>
          <w:sz w:val="20"/>
          <w:szCs w:val="20"/>
          <w:lang w:val="en-GB"/>
        </w:rPr>
        <w:t>om 13.0% to 11.</w:t>
      </w:r>
      <w:r w:rsidR="00C163BA">
        <w:rPr>
          <w:rFonts w:ascii="Arial" w:hAnsi="Arial" w:cs="Arial"/>
          <w:sz w:val="20"/>
          <w:szCs w:val="20"/>
          <w:lang w:val="en-GB"/>
        </w:rPr>
        <w:t>8</w:t>
      </w:r>
      <w:r>
        <w:rPr>
          <w:rFonts w:ascii="Arial" w:hAnsi="Arial" w:cs="Arial"/>
          <w:sz w:val="20"/>
          <w:szCs w:val="20"/>
          <w:lang w:val="en-GB"/>
        </w:rPr>
        <w:t>%) as percentage of revenue</w:t>
      </w:r>
    </w:p>
    <w:p w:rsidR="00012E25" w:rsidRDefault="00012E25" w:rsidP="008D527C">
      <w:pPr>
        <w:pStyle w:val="ListParagraph"/>
        <w:numPr>
          <w:ilvl w:val="0"/>
          <w:numId w:val="4"/>
        </w:numPr>
        <w:spacing w:after="0"/>
        <w:rPr>
          <w:rFonts w:ascii="Arial" w:hAnsi="Arial" w:cs="Arial"/>
          <w:sz w:val="20"/>
          <w:szCs w:val="20"/>
          <w:lang w:val="en-GB"/>
        </w:rPr>
      </w:pPr>
      <w:r>
        <w:rPr>
          <w:rFonts w:ascii="Arial" w:hAnsi="Arial" w:cs="Arial"/>
          <w:sz w:val="20"/>
          <w:szCs w:val="20"/>
          <w:lang w:val="en-GB"/>
        </w:rPr>
        <w:t xml:space="preserve">One off costs Q3 </w:t>
      </w:r>
      <w:r w:rsidRPr="00C163BA">
        <w:rPr>
          <w:rFonts w:ascii="Arial" w:hAnsi="Arial" w:cs="Arial"/>
          <w:sz w:val="20"/>
          <w:szCs w:val="20"/>
          <w:lang w:val="en-GB"/>
        </w:rPr>
        <w:t>€</w:t>
      </w:r>
      <w:r>
        <w:rPr>
          <w:rFonts w:ascii="Arial" w:hAnsi="Arial" w:cs="Arial"/>
          <w:sz w:val="20"/>
          <w:szCs w:val="20"/>
          <w:lang w:val="en-GB"/>
        </w:rPr>
        <w:t xml:space="preserve"> 1.8 million</w:t>
      </w:r>
    </w:p>
    <w:p w:rsidR="006C3EC7" w:rsidRPr="00460CB9" w:rsidRDefault="00460CB9" w:rsidP="00460CB9">
      <w:pPr>
        <w:pStyle w:val="ListParagraph"/>
        <w:numPr>
          <w:ilvl w:val="0"/>
          <w:numId w:val="4"/>
        </w:numPr>
        <w:spacing w:after="0"/>
        <w:rPr>
          <w:rFonts w:ascii="Arial" w:hAnsi="Arial" w:cs="Arial"/>
          <w:sz w:val="20"/>
          <w:szCs w:val="20"/>
          <w:lang w:val="en-GB"/>
        </w:rPr>
      </w:pPr>
      <w:r>
        <w:rPr>
          <w:rFonts w:ascii="Arial" w:hAnsi="Arial" w:cs="Arial"/>
          <w:sz w:val="20"/>
          <w:szCs w:val="20"/>
          <w:lang w:val="en-GB"/>
        </w:rPr>
        <w:t xml:space="preserve">Ebit up </w:t>
      </w:r>
      <w:r w:rsidR="00C163BA">
        <w:rPr>
          <w:rFonts w:ascii="Arial" w:hAnsi="Arial" w:cs="Arial"/>
          <w:sz w:val="20"/>
          <w:szCs w:val="20"/>
          <w:lang w:val="en-GB"/>
        </w:rPr>
        <w:t>2</w:t>
      </w:r>
      <w:r>
        <w:rPr>
          <w:rFonts w:ascii="Arial" w:hAnsi="Arial" w:cs="Arial"/>
          <w:sz w:val="20"/>
          <w:szCs w:val="20"/>
          <w:lang w:val="en-GB"/>
        </w:rPr>
        <w:t xml:space="preserve">7% to </w:t>
      </w:r>
      <w:r w:rsidRPr="00B66AB6">
        <w:rPr>
          <w:rFonts w:ascii="Arial" w:hAnsi="Arial" w:cs="Arial"/>
          <w:sz w:val="20"/>
          <w:szCs w:val="20"/>
          <w:lang w:val="en-GB"/>
        </w:rPr>
        <w:t>€</w:t>
      </w:r>
      <w:r w:rsidR="00B66AB6" w:rsidRPr="00460CB9">
        <w:rPr>
          <w:rFonts w:ascii="Arial" w:hAnsi="Arial" w:cs="Arial"/>
          <w:sz w:val="20"/>
          <w:szCs w:val="20"/>
          <w:lang w:val="en-GB"/>
        </w:rPr>
        <w:t xml:space="preserve"> 2</w:t>
      </w:r>
      <w:r w:rsidR="00C163BA">
        <w:rPr>
          <w:rFonts w:ascii="Arial" w:hAnsi="Arial" w:cs="Arial"/>
          <w:sz w:val="20"/>
          <w:szCs w:val="20"/>
          <w:lang w:val="en-GB"/>
        </w:rPr>
        <w:t>1</w:t>
      </w:r>
      <w:r w:rsidR="00B66AB6" w:rsidRPr="00460CB9">
        <w:rPr>
          <w:rFonts w:ascii="Arial" w:hAnsi="Arial" w:cs="Arial"/>
          <w:sz w:val="20"/>
          <w:szCs w:val="20"/>
          <w:lang w:val="en-GB"/>
        </w:rPr>
        <w:t xml:space="preserve"> million</w:t>
      </w:r>
    </w:p>
    <w:p w:rsidR="006C3EC7" w:rsidRDefault="006C3EC7" w:rsidP="006C358C">
      <w:pPr>
        <w:spacing w:after="0" w:line="240" w:lineRule="auto"/>
        <w:rPr>
          <w:rFonts w:ascii="Arial" w:hAnsi="Arial" w:cs="Arial"/>
          <w:sz w:val="20"/>
          <w:szCs w:val="20"/>
          <w:lang w:val="en-GB"/>
        </w:rPr>
      </w:pPr>
    </w:p>
    <w:tbl>
      <w:tblPr>
        <w:tblpPr w:leftFromText="180" w:rightFromText="180" w:vertAnchor="text" w:horzAnchor="margin" w:tblpY="115"/>
        <w:tblW w:w="9046" w:type="dxa"/>
        <w:tblLook w:val="04A0" w:firstRow="1" w:lastRow="0" w:firstColumn="1" w:lastColumn="0" w:noHBand="0" w:noVBand="1"/>
      </w:tblPr>
      <w:tblGrid>
        <w:gridCol w:w="2278"/>
        <w:gridCol w:w="1128"/>
        <w:gridCol w:w="1128"/>
        <w:gridCol w:w="1128"/>
        <w:gridCol w:w="1128"/>
        <w:gridCol w:w="1128"/>
        <w:gridCol w:w="1128"/>
      </w:tblGrid>
      <w:tr w:rsidR="00F36077" w:rsidRPr="00650EA4" w:rsidTr="00F36077">
        <w:trPr>
          <w:trHeight w:val="402"/>
        </w:trPr>
        <w:tc>
          <w:tcPr>
            <w:tcW w:w="2278" w:type="dxa"/>
            <w:tcBorders>
              <w:bottom w:val="single" w:sz="4" w:space="0" w:color="auto"/>
            </w:tcBorders>
            <w:shd w:val="clear" w:color="auto" w:fill="auto"/>
            <w:noWrap/>
            <w:vAlign w:val="bottom"/>
            <w:hideMark/>
          </w:tcPr>
          <w:p w:rsidR="00F36077" w:rsidRPr="00650EA4" w:rsidRDefault="00F36077" w:rsidP="00F36077">
            <w:pPr>
              <w:spacing w:after="0" w:line="240" w:lineRule="auto"/>
              <w:rPr>
                <w:rFonts w:ascii="Arial" w:eastAsia="Times New Roman" w:hAnsi="Arial" w:cs="Arial"/>
                <w:b/>
                <w:bCs/>
                <w:sz w:val="18"/>
                <w:szCs w:val="18"/>
                <w:lang w:val="en-GB"/>
              </w:rPr>
            </w:pPr>
            <w:r w:rsidRPr="00650EA4">
              <w:rPr>
                <w:rFonts w:ascii="Arial" w:eastAsia="Times New Roman" w:hAnsi="Arial" w:cs="Arial"/>
                <w:b/>
                <w:bCs/>
                <w:sz w:val="18"/>
                <w:szCs w:val="18"/>
                <w:lang w:val="en-GB"/>
              </w:rPr>
              <w:t xml:space="preserve">Brunel International </w:t>
            </w:r>
            <w:r w:rsidRPr="00650EA4">
              <w:rPr>
                <w:rFonts w:ascii="Arial" w:eastAsia="Times New Roman" w:hAnsi="Arial" w:cs="Arial"/>
                <w:b/>
                <w:bCs/>
                <w:sz w:val="16"/>
                <w:szCs w:val="16"/>
                <w:lang w:val="en-GB"/>
              </w:rPr>
              <w:t>(unaudited)</w:t>
            </w:r>
          </w:p>
        </w:tc>
        <w:tc>
          <w:tcPr>
            <w:tcW w:w="1128" w:type="dxa"/>
            <w:tcBorders>
              <w:bottom w:val="single" w:sz="4" w:space="0" w:color="auto"/>
            </w:tcBorders>
            <w:shd w:val="clear" w:color="auto" w:fill="auto"/>
            <w:noWrap/>
            <w:vAlign w:val="bottom"/>
            <w:hideMark/>
          </w:tcPr>
          <w:p w:rsidR="00F36077" w:rsidRPr="00650EA4" w:rsidRDefault="00F36077" w:rsidP="00F36077">
            <w:pPr>
              <w:spacing w:after="0"/>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c>
          <w:tcPr>
            <w:tcW w:w="1128" w:type="dxa"/>
            <w:tcBorders>
              <w:bottom w:val="single" w:sz="4" w:space="0" w:color="auto"/>
            </w:tcBorders>
            <w:shd w:val="clear" w:color="auto" w:fill="auto"/>
            <w:noWrap/>
            <w:vAlign w:val="bottom"/>
            <w:hideMark/>
          </w:tcPr>
          <w:p w:rsidR="00F36077" w:rsidRPr="00650EA4" w:rsidRDefault="00F36077" w:rsidP="00F36077">
            <w:pPr>
              <w:spacing w:after="0"/>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c>
          <w:tcPr>
            <w:tcW w:w="1128" w:type="dxa"/>
            <w:tcBorders>
              <w:bottom w:val="single" w:sz="4" w:space="0" w:color="auto"/>
            </w:tcBorders>
            <w:shd w:val="clear" w:color="auto" w:fill="auto"/>
            <w:noWrap/>
            <w:vAlign w:val="bottom"/>
            <w:hideMark/>
          </w:tcPr>
          <w:p w:rsidR="00F36077" w:rsidRPr="00650EA4" w:rsidRDefault="00F36077" w:rsidP="00F36077">
            <w:pPr>
              <w:spacing w:after="0"/>
              <w:jc w:val="center"/>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c>
          <w:tcPr>
            <w:tcW w:w="1128" w:type="dxa"/>
            <w:tcBorders>
              <w:bottom w:val="single" w:sz="4" w:space="0" w:color="auto"/>
            </w:tcBorders>
            <w:shd w:val="clear" w:color="auto" w:fill="auto"/>
            <w:noWrap/>
            <w:vAlign w:val="bottom"/>
            <w:hideMark/>
          </w:tcPr>
          <w:p w:rsidR="00F36077" w:rsidRPr="00650EA4" w:rsidRDefault="00F36077" w:rsidP="00F36077">
            <w:pPr>
              <w:spacing w:after="0"/>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c>
          <w:tcPr>
            <w:tcW w:w="1128" w:type="dxa"/>
            <w:tcBorders>
              <w:bottom w:val="single" w:sz="4" w:space="0" w:color="auto"/>
            </w:tcBorders>
            <w:shd w:val="clear" w:color="auto" w:fill="auto"/>
            <w:noWrap/>
            <w:vAlign w:val="bottom"/>
            <w:hideMark/>
          </w:tcPr>
          <w:p w:rsidR="00F36077" w:rsidRPr="00650EA4" w:rsidRDefault="00F36077" w:rsidP="00F36077">
            <w:pPr>
              <w:spacing w:after="0"/>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c>
          <w:tcPr>
            <w:tcW w:w="1128" w:type="dxa"/>
            <w:tcBorders>
              <w:bottom w:val="single" w:sz="4" w:space="0" w:color="auto"/>
            </w:tcBorders>
            <w:shd w:val="clear" w:color="auto" w:fill="auto"/>
            <w:noWrap/>
            <w:vAlign w:val="bottom"/>
            <w:hideMark/>
          </w:tcPr>
          <w:p w:rsidR="00F36077" w:rsidRPr="00650EA4" w:rsidRDefault="00F36077" w:rsidP="00F36077">
            <w:pPr>
              <w:spacing w:after="0"/>
              <w:jc w:val="center"/>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r>
      <w:tr w:rsidR="00F36077" w:rsidRPr="00650EA4" w:rsidTr="00F36077">
        <w:trPr>
          <w:trHeight w:val="402"/>
        </w:trPr>
        <w:tc>
          <w:tcPr>
            <w:tcW w:w="2278" w:type="dxa"/>
            <w:tcBorders>
              <w:top w:val="single" w:sz="4" w:space="0" w:color="auto"/>
            </w:tcBorders>
            <w:shd w:val="clear" w:color="auto" w:fill="auto"/>
            <w:noWrap/>
            <w:vAlign w:val="bottom"/>
            <w:hideMark/>
          </w:tcPr>
          <w:p w:rsidR="00F36077" w:rsidRPr="00650EA4" w:rsidRDefault="00F36077" w:rsidP="00F36077">
            <w:pPr>
              <w:spacing w:after="0" w:line="240" w:lineRule="auto"/>
              <w:rPr>
                <w:rFonts w:ascii="Arial" w:eastAsia="Times New Roman" w:hAnsi="Arial" w:cs="Arial"/>
                <w:sz w:val="18"/>
                <w:szCs w:val="18"/>
                <w:lang w:val="en-GB"/>
              </w:rPr>
            </w:pPr>
            <w:r w:rsidRPr="00650EA4">
              <w:rPr>
                <w:rFonts w:ascii="Arial" w:eastAsia="Times New Roman" w:hAnsi="Arial" w:cs="Arial"/>
                <w:sz w:val="18"/>
                <w:szCs w:val="18"/>
                <w:lang w:val="en-GB"/>
              </w:rPr>
              <w:t>in € million</w:t>
            </w:r>
          </w:p>
        </w:tc>
        <w:tc>
          <w:tcPr>
            <w:tcW w:w="1128" w:type="dxa"/>
            <w:tcBorders>
              <w:top w:val="single" w:sz="4" w:space="0" w:color="auto"/>
            </w:tcBorders>
            <w:shd w:val="clear" w:color="auto" w:fill="auto"/>
            <w:noWrap/>
            <w:vAlign w:val="bottom"/>
            <w:hideMark/>
          </w:tcPr>
          <w:p w:rsidR="00F36077" w:rsidRPr="00650EA4" w:rsidRDefault="00F36077" w:rsidP="00F36077">
            <w:pPr>
              <w:spacing w:after="0" w:line="240" w:lineRule="auto"/>
              <w:rPr>
                <w:rFonts w:ascii="Arial" w:eastAsia="Times New Roman" w:hAnsi="Arial" w:cs="Arial"/>
                <w:sz w:val="18"/>
                <w:szCs w:val="18"/>
                <w:lang w:val="en-GB"/>
              </w:rPr>
            </w:pPr>
          </w:p>
        </w:tc>
        <w:tc>
          <w:tcPr>
            <w:tcW w:w="1128" w:type="dxa"/>
            <w:tcBorders>
              <w:top w:val="single" w:sz="4" w:space="0" w:color="auto"/>
            </w:tcBorders>
            <w:shd w:val="clear" w:color="auto" w:fill="auto"/>
            <w:noWrap/>
            <w:vAlign w:val="bottom"/>
            <w:hideMark/>
          </w:tcPr>
          <w:p w:rsidR="00F36077" w:rsidRPr="00650EA4" w:rsidRDefault="00F36077" w:rsidP="00F36077">
            <w:pPr>
              <w:spacing w:after="0" w:line="240" w:lineRule="auto"/>
              <w:rPr>
                <w:rFonts w:ascii="Arial" w:eastAsia="Times New Roman" w:hAnsi="Arial" w:cs="Arial"/>
                <w:sz w:val="18"/>
                <w:szCs w:val="18"/>
                <w:lang w:val="en-GB"/>
              </w:rPr>
            </w:pPr>
          </w:p>
        </w:tc>
        <w:tc>
          <w:tcPr>
            <w:tcW w:w="1128" w:type="dxa"/>
            <w:tcBorders>
              <w:top w:val="single" w:sz="4" w:space="0" w:color="auto"/>
            </w:tcBorders>
            <w:shd w:val="clear" w:color="auto" w:fill="auto"/>
            <w:noWrap/>
            <w:vAlign w:val="bottom"/>
            <w:hideMark/>
          </w:tcPr>
          <w:p w:rsidR="00F36077" w:rsidRPr="00650EA4" w:rsidRDefault="00F36077" w:rsidP="00F36077">
            <w:pPr>
              <w:spacing w:after="0" w:line="240" w:lineRule="auto"/>
              <w:jc w:val="center"/>
              <w:rPr>
                <w:rFonts w:ascii="Arial" w:eastAsia="Times New Roman" w:hAnsi="Arial" w:cs="Arial"/>
                <w:b/>
                <w:bCs/>
                <w:sz w:val="18"/>
                <w:szCs w:val="18"/>
                <w:lang w:val="en-GB"/>
              </w:rPr>
            </w:pPr>
          </w:p>
        </w:tc>
        <w:tc>
          <w:tcPr>
            <w:tcW w:w="1128" w:type="dxa"/>
            <w:tcBorders>
              <w:top w:val="single" w:sz="4" w:space="0" w:color="auto"/>
            </w:tcBorders>
            <w:shd w:val="clear" w:color="auto" w:fill="auto"/>
            <w:noWrap/>
            <w:vAlign w:val="bottom"/>
            <w:hideMark/>
          </w:tcPr>
          <w:p w:rsidR="00F36077" w:rsidRPr="00650EA4" w:rsidRDefault="00F36077" w:rsidP="00F36077">
            <w:pPr>
              <w:spacing w:after="0" w:line="240" w:lineRule="auto"/>
              <w:rPr>
                <w:rFonts w:ascii="Arial" w:eastAsia="Times New Roman" w:hAnsi="Arial" w:cs="Arial"/>
                <w:sz w:val="18"/>
                <w:szCs w:val="18"/>
                <w:lang w:val="en-GB"/>
              </w:rPr>
            </w:pPr>
          </w:p>
        </w:tc>
        <w:tc>
          <w:tcPr>
            <w:tcW w:w="1128" w:type="dxa"/>
            <w:tcBorders>
              <w:top w:val="single" w:sz="4" w:space="0" w:color="auto"/>
            </w:tcBorders>
            <w:shd w:val="clear" w:color="auto" w:fill="auto"/>
            <w:noWrap/>
            <w:vAlign w:val="bottom"/>
            <w:hideMark/>
          </w:tcPr>
          <w:p w:rsidR="00F36077" w:rsidRPr="00650EA4" w:rsidRDefault="00F36077" w:rsidP="00F36077">
            <w:pPr>
              <w:spacing w:after="0" w:line="240" w:lineRule="auto"/>
              <w:rPr>
                <w:rFonts w:ascii="Arial" w:eastAsia="Times New Roman" w:hAnsi="Arial" w:cs="Arial"/>
                <w:sz w:val="18"/>
                <w:szCs w:val="18"/>
                <w:lang w:val="en-GB"/>
              </w:rPr>
            </w:pPr>
          </w:p>
        </w:tc>
        <w:tc>
          <w:tcPr>
            <w:tcW w:w="1128" w:type="dxa"/>
            <w:tcBorders>
              <w:top w:val="single" w:sz="4" w:space="0" w:color="auto"/>
            </w:tcBorders>
            <w:shd w:val="clear" w:color="auto" w:fill="auto"/>
            <w:noWrap/>
            <w:vAlign w:val="bottom"/>
            <w:hideMark/>
          </w:tcPr>
          <w:p w:rsidR="00F36077" w:rsidRPr="00650EA4" w:rsidRDefault="00F36077" w:rsidP="00F36077">
            <w:pPr>
              <w:spacing w:after="0" w:line="240" w:lineRule="auto"/>
              <w:jc w:val="center"/>
              <w:rPr>
                <w:rFonts w:ascii="Arial" w:eastAsia="Times New Roman" w:hAnsi="Arial" w:cs="Arial"/>
                <w:b/>
                <w:bCs/>
                <w:sz w:val="18"/>
                <w:szCs w:val="18"/>
                <w:lang w:val="en-GB"/>
              </w:rPr>
            </w:pPr>
            <w:r w:rsidRPr="00650EA4">
              <w:rPr>
                <w:rFonts w:ascii="Arial" w:eastAsia="Times New Roman" w:hAnsi="Arial" w:cs="Arial"/>
                <w:b/>
                <w:bCs/>
                <w:sz w:val="18"/>
                <w:szCs w:val="18"/>
                <w:lang w:val="en-GB"/>
              </w:rPr>
              <w:t> </w:t>
            </w:r>
          </w:p>
        </w:tc>
      </w:tr>
      <w:tr w:rsidR="00F36077" w:rsidRPr="00650EA4" w:rsidTr="00F36077">
        <w:trPr>
          <w:trHeight w:val="255"/>
        </w:trPr>
        <w:tc>
          <w:tcPr>
            <w:tcW w:w="2278" w:type="dxa"/>
            <w:shd w:val="clear" w:color="auto" w:fill="auto"/>
            <w:noWrap/>
            <w:vAlign w:val="bottom"/>
            <w:hideMark/>
          </w:tcPr>
          <w:p w:rsidR="00F36077" w:rsidRPr="00650EA4" w:rsidRDefault="00F36077" w:rsidP="00F36077">
            <w:pPr>
              <w:spacing w:after="0" w:line="240" w:lineRule="auto"/>
              <w:rPr>
                <w:rFonts w:ascii="Arial" w:eastAsia="Times New Roman" w:hAnsi="Arial" w:cs="Arial"/>
                <w:sz w:val="18"/>
                <w:szCs w:val="18"/>
                <w:lang w:val="en-GB"/>
              </w:rPr>
            </w:pPr>
            <w:r w:rsidRPr="00650EA4">
              <w:rPr>
                <w:rFonts w:ascii="Arial" w:eastAsia="Times New Roman" w:hAnsi="Arial" w:cs="Arial"/>
                <w:sz w:val="18"/>
                <w:szCs w:val="18"/>
                <w:lang w:val="en-GB"/>
              </w:rPr>
              <w:t> </w:t>
            </w:r>
          </w:p>
        </w:tc>
        <w:tc>
          <w:tcPr>
            <w:tcW w:w="1128" w:type="dxa"/>
            <w:shd w:val="clear" w:color="auto" w:fill="auto"/>
            <w:vAlign w:val="bottom"/>
            <w:hideMark/>
          </w:tcPr>
          <w:p w:rsidR="00F36077" w:rsidRPr="00650EA4" w:rsidRDefault="00F36077" w:rsidP="000D2093">
            <w:pPr>
              <w:spacing w:after="0" w:line="240" w:lineRule="auto"/>
              <w:jc w:val="right"/>
              <w:rPr>
                <w:rFonts w:ascii="Arial" w:eastAsia="Times New Roman" w:hAnsi="Arial" w:cs="Arial"/>
                <w:b/>
                <w:bCs/>
                <w:sz w:val="18"/>
                <w:szCs w:val="18"/>
                <w:lang w:val="en-GB"/>
              </w:rPr>
            </w:pPr>
            <w:r w:rsidRPr="00650EA4">
              <w:rPr>
                <w:rFonts w:ascii="Arial" w:eastAsia="Times New Roman" w:hAnsi="Arial" w:cs="Arial"/>
                <w:b/>
                <w:bCs/>
                <w:sz w:val="18"/>
                <w:szCs w:val="18"/>
                <w:lang w:val="en-GB"/>
              </w:rPr>
              <w:t>Q</w:t>
            </w:r>
            <w:r w:rsidR="000D2093" w:rsidRPr="00650EA4">
              <w:rPr>
                <w:rFonts w:ascii="Arial" w:eastAsia="Times New Roman" w:hAnsi="Arial" w:cs="Arial"/>
                <w:b/>
                <w:bCs/>
                <w:sz w:val="18"/>
                <w:szCs w:val="18"/>
                <w:lang w:val="en-GB"/>
              </w:rPr>
              <w:t>3</w:t>
            </w:r>
            <w:r w:rsidRPr="00650EA4">
              <w:rPr>
                <w:rFonts w:ascii="Arial" w:eastAsia="Times New Roman" w:hAnsi="Arial" w:cs="Arial"/>
                <w:b/>
                <w:bCs/>
                <w:sz w:val="18"/>
                <w:szCs w:val="18"/>
                <w:lang w:val="en-GB"/>
              </w:rPr>
              <w:t xml:space="preserve"> 2012</w:t>
            </w:r>
          </w:p>
        </w:tc>
        <w:tc>
          <w:tcPr>
            <w:tcW w:w="1128" w:type="dxa"/>
            <w:shd w:val="clear" w:color="auto" w:fill="auto"/>
            <w:vAlign w:val="bottom"/>
            <w:hideMark/>
          </w:tcPr>
          <w:p w:rsidR="00F36077" w:rsidRPr="00650EA4" w:rsidRDefault="00F36077" w:rsidP="000D2093">
            <w:pPr>
              <w:spacing w:after="0" w:line="240" w:lineRule="auto"/>
              <w:jc w:val="right"/>
              <w:rPr>
                <w:rFonts w:ascii="Arial" w:eastAsia="Times New Roman" w:hAnsi="Arial" w:cs="Arial"/>
                <w:b/>
                <w:bCs/>
                <w:sz w:val="18"/>
                <w:szCs w:val="18"/>
                <w:lang w:val="en-GB"/>
              </w:rPr>
            </w:pPr>
            <w:r w:rsidRPr="00650EA4">
              <w:rPr>
                <w:rFonts w:ascii="Arial" w:eastAsia="Times New Roman" w:hAnsi="Arial" w:cs="Arial"/>
                <w:b/>
                <w:bCs/>
                <w:sz w:val="18"/>
                <w:szCs w:val="18"/>
                <w:lang w:val="en-GB"/>
              </w:rPr>
              <w:t>Q</w:t>
            </w:r>
            <w:r w:rsidR="000D2093" w:rsidRPr="00650EA4">
              <w:rPr>
                <w:rFonts w:ascii="Arial" w:eastAsia="Times New Roman" w:hAnsi="Arial" w:cs="Arial"/>
                <w:b/>
                <w:bCs/>
                <w:sz w:val="18"/>
                <w:szCs w:val="18"/>
                <w:lang w:val="en-GB"/>
              </w:rPr>
              <w:t>3</w:t>
            </w:r>
            <w:r w:rsidRPr="00650EA4">
              <w:rPr>
                <w:rFonts w:ascii="Arial" w:eastAsia="Times New Roman" w:hAnsi="Arial" w:cs="Arial"/>
                <w:b/>
                <w:bCs/>
                <w:sz w:val="18"/>
                <w:szCs w:val="18"/>
                <w:lang w:val="en-GB"/>
              </w:rPr>
              <w:t xml:space="preserve"> 2011</w:t>
            </w:r>
          </w:p>
        </w:tc>
        <w:tc>
          <w:tcPr>
            <w:tcW w:w="1128" w:type="dxa"/>
            <w:shd w:val="clear" w:color="auto" w:fill="auto"/>
            <w:vAlign w:val="bottom"/>
            <w:hideMark/>
          </w:tcPr>
          <w:p w:rsidR="00F36077" w:rsidRPr="00650EA4" w:rsidRDefault="00F36077" w:rsidP="00F36077">
            <w:pPr>
              <w:spacing w:after="0" w:line="240" w:lineRule="auto"/>
              <w:jc w:val="center"/>
              <w:rPr>
                <w:rFonts w:ascii="Arial" w:eastAsia="Times New Roman" w:hAnsi="Arial" w:cs="Arial"/>
                <w:b/>
                <w:bCs/>
                <w:color w:val="000000"/>
                <w:sz w:val="18"/>
                <w:szCs w:val="18"/>
                <w:lang w:val="en-GB"/>
              </w:rPr>
            </w:pPr>
            <w:r w:rsidRPr="00650EA4">
              <w:rPr>
                <w:rFonts w:ascii="Arial" w:eastAsia="Times New Roman" w:hAnsi="Arial" w:cs="Arial"/>
                <w:b/>
                <w:bCs/>
                <w:color w:val="000000"/>
                <w:sz w:val="18"/>
                <w:szCs w:val="18"/>
                <w:lang w:val="en-GB"/>
              </w:rPr>
              <w:t>Change %</w:t>
            </w:r>
          </w:p>
        </w:tc>
        <w:tc>
          <w:tcPr>
            <w:tcW w:w="1128" w:type="dxa"/>
            <w:shd w:val="clear" w:color="auto" w:fill="auto"/>
            <w:vAlign w:val="bottom"/>
            <w:hideMark/>
          </w:tcPr>
          <w:p w:rsidR="00F36077" w:rsidRPr="00650EA4" w:rsidRDefault="000D2093" w:rsidP="000D2093">
            <w:pPr>
              <w:spacing w:after="0" w:line="240" w:lineRule="auto"/>
              <w:jc w:val="right"/>
              <w:rPr>
                <w:rFonts w:ascii="Arial" w:eastAsia="Times New Roman" w:hAnsi="Arial" w:cs="Arial"/>
                <w:b/>
                <w:bCs/>
                <w:sz w:val="18"/>
                <w:szCs w:val="18"/>
                <w:lang w:val="en-GB"/>
              </w:rPr>
            </w:pPr>
            <w:proofErr w:type="spellStart"/>
            <w:r w:rsidRPr="00650EA4">
              <w:rPr>
                <w:rFonts w:ascii="Arial" w:eastAsia="Times New Roman" w:hAnsi="Arial" w:cs="Arial"/>
                <w:b/>
                <w:bCs/>
                <w:sz w:val="18"/>
                <w:szCs w:val="18"/>
                <w:lang w:val="en-GB"/>
              </w:rPr>
              <w:t>Ytd</w:t>
            </w:r>
            <w:proofErr w:type="spellEnd"/>
            <w:r w:rsidR="00F36077" w:rsidRPr="00650EA4">
              <w:rPr>
                <w:rFonts w:ascii="Arial" w:eastAsia="Times New Roman" w:hAnsi="Arial" w:cs="Arial"/>
                <w:b/>
                <w:bCs/>
                <w:sz w:val="18"/>
                <w:szCs w:val="18"/>
                <w:lang w:val="en-GB"/>
              </w:rPr>
              <w:t xml:space="preserve"> 2012</w:t>
            </w:r>
          </w:p>
        </w:tc>
        <w:tc>
          <w:tcPr>
            <w:tcW w:w="1128" w:type="dxa"/>
            <w:shd w:val="clear" w:color="auto" w:fill="auto"/>
            <w:vAlign w:val="bottom"/>
            <w:hideMark/>
          </w:tcPr>
          <w:p w:rsidR="00F36077" w:rsidRPr="00650EA4" w:rsidRDefault="000D2093" w:rsidP="000D2093">
            <w:pPr>
              <w:spacing w:after="0" w:line="240" w:lineRule="auto"/>
              <w:jc w:val="right"/>
              <w:rPr>
                <w:rFonts w:ascii="Arial" w:eastAsia="Times New Roman" w:hAnsi="Arial" w:cs="Arial"/>
                <w:b/>
                <w:bCs/>
                <w:sz w:val="18"/>
                <w:szCs w:val="18"/>
                <w:lang w:val="en-GB"/>
              </w:rPr>
            </w:pPr>
            <w:r w:rsidRPr="00650EA4">
              <w:rPr>
                <w:rFonts w:ascii="Arial" w:eastAsia="Times New Roman" w:hAnsi="Arial" w:cs="Arial"/>
                <w:b/>
                <w:bCs/>
                <w:sz w:val="18"/>
                <w:szCs w:val="18"/>
                <w:lang w:val="en-GB"/>
              </w:rPr>
              <w:t>YtD</w:t>
            </w:r>
            <w:r w:rsidR="00F36077" w:rsidRPr="00650EA4">
              <w:rPr>
                <w:rFonts w:ascii="Arial" w:eastAsia="Times New Roman" w:hAnsi="Arial" w:cs="Arial"/>
                <w:b/>
                <w:bCs/>
                <w:sz w:val="18"/>
                <w:szCs w:val="18"/>
                <w:lang w:val="en-GB"/>
              </w:rPr>
              <w:t xml:space="preserve"> 2011</w:t>
            </w:r>
          </w:p>
        </w:tc>
        <w:tc>
          <w:tcPr>
            <w:tcW w:w="1128" w:type="dxa"/>
            <w:shd w:val="clear" w:color="auto" w:fill="auto"/>
            <w:vAlign w:val="bottom"/>
            <w:hideMark/>
          </w:tcPr>
          <w:p w:rsidR="00F36077" w:rsidRPr="00650EA4" w:rsidRDefault="00F36077" w:rsidP="00F36077">
            <w:pPr>
              <w:spacing w:after="0" w:line="240" w:lineRule="auto"/>
              <w:jc w:val="center"/>
              <w:rPr>
                <w:rFonts w:ascii="Arial" w:eastAsia="Times New Roman" w:hAnsi="Arial" w:cs="Arial"/>
                <w:b/>
                <w:bCs/>
                <w:color w:val="000000"/>
                <w:sz w:val="18"/>
                <w:szCs w:val="18"/>
                <w:lang w:val="en-GB"/>
              </w:rPr>
            </w:pPr>
            <w:r w:rsidRPr="00650EA4">
              <w:rPr>
                <w:rFonts w:ascii="Arial" w:eastAsia="Times New Roman" w:hAnsi="Arial" w:cs="Arial"/>
                <w:b/>
                <w:bCs/>
                <w:color w:val="000000"/>
                <w:sz w:val="18"/>
                <w:szCs w:val="18"/>
                <w:lang w:val="en-GB"/>
              </w:rPr>
              <w:t>Change %</w:t>
            </w:r>
          </w:p>
        </w:tc>
      </w:tr>
      <w:tr w:rsidR="00F36077" w:rsidRPr="00650EA4" w:rsidTr="00F36077">
        <w:trPr>
          <w:trHeight w:val="255"/>
        </w:trPr>
        <w:tc>
          <w:tcPr>
            <w:tcW w:w="2278" w:type="dxa"/>
            <w:shd w:val="clear" w:color="auto" w:fill="auto"/>
            <w:noWrap/>
            <w:vAlign w:val="bottom"/>
          </w:tcPr>
          <w:p w:rsidR="00F36077" w:rsidRPr="00650EA4" w:rsidRDefault="00F36077" w:rsidP="00F36077">
            <w:pPr>
              <w:spacing w:after="0" w:line="240" w:lineRule="auto"/>
              <w:rPr>
                <w:rFonts w:ascii="Arial" w:eastAsia="Times New Roman" w:hAnsi="Arial" w:cs="Arial"/>
                <w:sz w:val="18"/>
                <w:szCs w:val="18"/>
                <w:lang w:val="en-GB"/>
              </w:rPr>
            </w:pPr>
          </w:p>
        </w:tc>
        <w:tc>
          <w:tcPr>
            <w:tcW w:w="1128" w:type="dxa"/>
            <w:shd w:val="clear" w:color="auto" w:fill="auto"/>
            <w:vAlign w:val="bottom"/>
          </w:tcPr>
          <w:p w:rsidR="00F36077" w:rsidRPr="00650EA4" w:rsidRDefault="00F36077" w:rsidP="00F36077">
            <w:pPr>
              <w:spacing w:after="0" w:line="240" w:lineRule="auto"/>
              <w:jc w:val="right"/>
              <w:rPr>
                <w:rFonts w:ascii="Arial" w:eastAsia="Times New Roman" w:hAnsi="Arial" w:cs="Arial"/>
                <w:b/>
                <w:bCs/>
                <w:sz w:val="18"/>
                <w:szCs w:val="18"/>
                <w:lang w:val="en-GB"/>
              </w:rPr>
            </w:pPr>
          </w:p>
        </w:tc>
        <w:tc>
          <w:tcPr>
            <w:tcW w:w="1128" w:type="dxa"/>
            <w:shd w:val="clear" w:color="auto" w:fill="auto"/>
            <w:vAlign w:val="bottom"/>
          </w:tcPr>
          <w:p w:rsidR="00F36077" w:rsidRPr="00650EA4" w:rsidRDefault="00F36077" w:rsidP="00F36077">
            <w:pPr>
              <w:spacing w:after="0" w:line="240" w:lineRule="auto"/>
              <w:jc w:val="right"/>
              <w:rPr>
                <w:rFonts w:ascii="Arial" w:eastAsia="Times New Roman" w:hAnsi="Arial" w:cs="Arial"/>
                <w:b/>
                <w:bCs/>
                <w:sz w:val="18"/>
                <w:szCs w:val="18"/>
                <w:lang w:val="en-GB"/>
              </w:rPr>
            </w:pPr>
          </w:p>
        </w:tc>
        <w:tc>
          <w:tcPr>
            <w:tcW w:w="1128" w:type="dxa"/>
            <w:shd w:val="clear" w:color="auto" w:fill="auto"/>
            <w:vAlign w:val="bottom"/>
          </w:tcPr>
          <w:p w:rsidR="00F36077" w:rsidRPr="00650EA4" w:rsidRDefault="00F36077" w:rsidP="00F36077">
            <w:pPr>
              <w:spacing w:after="0" w:line="240" w:lineRule="auto"/>
              <w:jc w:val="center"/>
              <w:rPr>
                <w:rFonts w:ascii="Arial" w:eastAsia="Times New Roman" w:hAnsi="Arial" w:cs="Arial"/>
                <w:b/>
                <w:bCs/>
                <w:color w:val="000000"/>
                <w:sz w:val="18"/>
                <w:szCs w:val="18"/>
                <w:lang w:val="en-GB"/>
              </w:rPr>
            </w:pPr>
          </w:p>
        </w:tc>
        <w:tc>
          <w:tcPr>
            <w:tcW w:w="1128" w:type="dxa"/>
            <w:shd w:val="clear" w:color="auto" w:fill="auto"/>
            <w:vAlign w:val="bottom"/>
          </w:tcPr>
          <w:p w:rsidR="00F36077" w:rsidRPr="00650EA4" w:rsidRDefault="00F36077" w:rsidP="00F36077">
            <w:pPr>
              <w:spacing w:after="0" w:line="240" w:lineRule="auto"/>
              <w:jc w:val="right"/>
              <w:rPr>
                <w:rFonts w:ascii="Arial" w:eastAsia="Times New Roman" w:hAnsi="Arial" w:cs="Arial"/>
                <w:b/>
                <w:bCs/>
                <w:sz w:val="18"/>
                <w:szCs w:val="18"/>
                <w:lang w:val="en-GB"/>
              </w:rPr>
            </w:pPr>
          </w:p>
        </w:tc>
        <w:tc>
          <w:tcPr>
            <w:tcW w:w="1128" w:type="dxa"/>
            <w:shd w:val="clear" w:color="auto" w:fill="auto"/>
            <w:vAlign w:val="bottom"/>
          </w:tcPr>
          <w:p w:rsidR="00F36077" w:rsidRPr="00650EA4" w:rsidRDefault="00F36077" w:rsidP="00F36077">
            <w:pPr>
              <w:spacing w:after="0" w:line="240" w:lineRule="auto"/>
              <w:jc w:val="right"/>
              <w:rPr>
                <w:rFonts w:ascii="Arial" w:eastAsia="Times New Roman" w:hAnsi="Arial" w:cs="Arial"/>
                <w:b/>
                <w:bCs/>
                <w:sz w:val="18"/>
                <w:szCs w:val="18"/>
                <w:lang w:val="en-GB"/>
              </w:rPr>
            </w:pPr>
          </w:p>
        </w:tc>
        <w:tc>
          <w:tcPr>
            <w:tcW w:w="1128" w:type="dxa"/>
            <w:shd w:val="clear" w:color="auto" w:fill="auto"/>
            <w:vAlign w:val="bottom"/>
          </w:tcPr>
          <w:p w:rsidR="00F36077" w:rsidRPr="00650EA4" w:rsidRDefault="00F36077" w:rsidP="00F36077">
            <w:pPr>
              <w:spacing w:after="0" w:line="240" w:lineRule="auto"/>
              <w:jc w:val="center"/>
              <w:rPr>
                <w:rFonts w:ascii="Arial" w:eastAsia="Times New Roman" w:hAnsi="Arial" w:cs="Arial"/>
                <w:b/>
                <w:bCs/>
                <w:color w:val="000000"/>
                <w:sz w:val="18"/>
                <w:szCs w:val="18"/>
                <w:lang w:val="en-GB"/>
              </w:rPr>
            </w:pPr>
          </w:p>
        </w:tc>
      </w:tr>
      <w:tr w:rsidR="00F36077" w:rsidRPr="00650EA4" w:rsidTr="00F36077">
        <w:trPr>
          <w:trHeight w:val="402"/>
        </w:trPr>
        <w:tc>
          <w:tcPr>
            <w:tcW w:w="2278" w:type="dxa"/>
            <w:shd w:val="clear" w:color="auto" w:fill="auto"/>
            <w:noWrap/>
            <w:vAlign w:val="bottom"/>
            <w:hideMark/>
          </w:tcPr>
          <w:p w:rsidR="00F36077" w:rsidRPr="00650EA4" w:rsidRDefault="00F36077" w:rsidP="00F36077">
            <w:pPr>
              <w:rPr>
                <w:rFonts w:ascii="Arial" w:hAnsi="Arial" w:cs="Arial"/>
                <w:sz w:val="18"/>
                <w:szCs w:val="18"/>
                <w:lang w:val="en-GB"/>
              </w:rPr>
            </w:pPr>
            <w:r w:rsidRPr="00650EA4">
              <w:rPr>
                <w:rFonts w:ascii="Arial" w:hAnsi="Arial" w:cs="Arial"/>
                <w:sz w:val="18"/>
                <w:szCs w:val="18"/>
                <w:lang w:val="en-GB"/>
              </w:rPr>
              <w:t>Revenue</w:t>
            </w:r>
          </w:p>
        </w:tc>
        <w:tc>
          <w:tcPr>
            <w:tcW w:w="1128" w:type="dxa"/>
            <w:shd w:val="clear" w:color="auto" w:fill="auto"/>
            <w:noWrap/>
            <w:vAlign w:val="bottom"/>
            <w:hideMark/>
          </w:tcPr>
          <w:p w:rsidR="00F36077" w:rsidRPr="00650EA4" w:rsidRDefault="002404DB" w:rsidP="002404DB">
            <w:pPr>
              <w:jc w:val="right"/>
              <w:rPr>
                <w:rFonts w:ascii="Arial" w:hAnsi="Arial" w:cs="Arial"/>
                <w:sz w:val="18"/>
                <w:szCs w:val="18"/>
                <w:lang w:val="en-GB"/>
              </w:rPr>
            </w:pPr>
            <w:r w:rsidRPr="00650EA4">
              <w:rPr>
                <w:rFonts w:ascii="Arial" w:hAnsi="Arial" w:cs="Arial"/>
                <w:sz w:val="18"/>
                <w:szCs w:val="18"/>
                <w:lang w:val="en-GB"/>
              </w:rPr>
              <w:t>325</w:t>
            </w:r>
            <w:r w:rsidR="00F36077" w:rsidRPr="00650EA4">
              <w:rPr>
                <w:rFonts w:ascii="Arial" w:hAnsi="Arial" w:cs="Arial"/>
                <w:sz w:val="18"/>
                <w:szCs w:val="18"/>
                <w:lang w:val="en-GB"/>
              </w:rPr>
              <w:t>.</w:t>
            </w:r>
            <w:r w:rsidRPr="00650EA4">
              <w:rPr>
                <w:rFonts w:ascii="Arial" w:hAnsi="Arial" w:cs="Arial"/>
                <w:sz w:val="18"/>
                <w:szCs w:val="18"/>
                <w:lang w:val="en-GB"/>
              </w:rPr>
              <w:t>2</w:t>
            </w:r>
          </w:p>
        </w:tc>
        <w:tc>
          <w:tcPr>
            <w:tcW w:w="1128" w:type="dxa"/>
            <w:shd w:val="clear" w:color="auto" w:fill="auto"/>
            <w:noWrap/>
            <w:vAlign w:val="bottom"/>
            <w:hideMark/>
          </w:tcPr>
          <w:p w:rsidR="00F36077" w:rsidRPr="00650EA4" w:rsidRDefault="000D2093" w:rsidP="000D2093">
            <w:pPr>
              <w:jc w:val="right"/>
              <w:rPr>
                <w:rFonts w:ascii="Arial" w:hAnsi="Arial" w:cs="Arial"/>
                <w:sz w:val="18"/>
                <w:szCs w:val="18"/>
                <w:lang w:val="en-GB"/>
              </w:rPr>
            </w:pPr>
            <w:r w:rsidRPr="00650EA4">
              <w:rPr>
                <w:rFonts w:ascii="Arial" w:hAnsi="Arial" w:cs="Arial"/>
                <w:sz w:val="18"/>
                <w:szCs w:val="18"/>
                <w:lang w:val="en-GB"/>
              </w:rPr>
              <w:t>244.2</w:t>
            </w:r>
          </w:p>
        </w:tc>
        <w:tc>
          <w:tcPr>
            <w:tcW w:w="1128" w:type="dxa"/>
            <w:shd w:val="clear" w:color="auto" w:fill="auto"/>
            <w:noWrap/>
            <w:vAlign w:val="bottom"/>
            <w:hideMark/>
          </w:tcPr>
          <w:p w:rsidR="00F36077" w:rsidRPr="00650EA4" w:rsidRDefault="002404DB" w:rsidP="008D527C">
            <w:pPr>
              <w:jc w:val="center"/>
              <w:rPr>
                <w:rFonts w:ascii="Arial" w:hAnsi="Arial" w:cs="Arial"/>
                <w:b/>
                <w:bCs/>
                <w:sz w:val="18"/>
                <w:szCs w:val="18"/>
                <w:lang w:val="en-GB"/>
              </w:rPr>
            </w:pPr>
            <w:r w:rsidRPr="00650EA4">
              <w:rPr>
                <w:rFonts w:ascii="Arial" w:hAnsi="Arial" w:cs="Arial"/>
                <w:b/>
                <w:bCs/>
                <w:sz w:val="18"/>
                <w:szCs w:val="18"/>
                <w:lang w:val="en-GB"/>
              </w:rPr>
              <w:t>33</w:t>
            </w:r>
            <w:r w:rsidR="00F36077" w:rsidRPr="00650EA4">
              <w:rPr>
                <w:rFonts w:ascii="Arial" w:hAnsi="Arial" w:cs="Arial"/>
                <w:b/>
                <w:bCs/>
                <w:sz w:val="18"/>
                <w:szCs w:val="18"/>
                <w:lang w:val="en-GB"/>
              </w:rPr>
              <w:t>%</w:t>
            </w:r>
            <w:r w:rsidR="007E7D66" w:rsidRPr="00650EA4">
              <w:rPr>
                <w:rFonts w:ascii="Arial" w:hAnsi="Arial" w:cs="Arial"/>
                <w:b/>
                <w:bCs/>
                <w:sz w:val="18"/>
                <w:szCs w:val="18"/>
                <w:lang w:val="en-GB"/>
              </w:rPr>
              <w:t>*</w:t>
            </w:r>
          </w:p>
        </w:tc>
        <w:tc>
          <w:tcPr>
            <w:tcW w:w="1128" w:type="dxa"/>
            <w:shd w:val="clear" w:color="auto" w:fill="auto"/>
            <w:noWrap/>
            <w:vAlign w:val="bottom"/>
            <w:hideMark/>
          </w:tcPr>
          <w:p w:rsidR="00F36077" w:rsidRPr="00650EA4" w:rsidRDefault="002404DB" w:rsidP="002404DB">
            <w:pPr>
              <w:jc w:val="right"/>
              <w:rPr>
                <w:rFonts w:ascii="Arial" w:hAnsi="Arial" w:cs="Arial"/>
                <w:sz w:val="18"/>
                <w:szCs w:val="18"/>
                <w:lang w:val="en-GB"/>
              </w:rPr>
            </w:pPr>
            <w:r w:rsidRPr="00650EA4">
              <w:rPr>
                <w:rFonts w:ascii="Arial" w:hAnsi="Arial" w:cs="Arial"/>
                <w:sz w:val="18"/>
                <w:szCs w:val="18"/>
                <w:lang w:val="en-GB"/>
              </w:rPr>
              <w:t>919</w:t>
            </w:r>
            <w:r w:rsidR="00392CD9" w:rsidRPr="00650EA4">
              <w:rPr>
                <w:rFonts w:ascii="Arial" w:hAnsi="Arial" w:cs="Arial"/>
                <w:sz w:val="18"/>
                <w:szCs w:val="18"/>
                <w:lang w:val="en-GB"/>
              </w:rPr>
              <w:t>.</w:t>
            </w:r>
            <w:r w:rsidRPr="00650EA4">
              <w:rPr>
                <w:rFonts w:ascii="Arial" w:hAnsi="Arial" w:cs="Arial"/>
                <w:sz w:val="18"/>
                <w:szCs w:val="18"/>
                <w:lang w:val="en-GB"/>
              </w:rPr>
              <w:t>0</w:t>
            </w:r>
          </w:p>
        </w:tc>
        <w:tc>
          <w:tcPr>
            <w:tcW w:w="1128" w:type="dxa"/>
            <w:shd w:val="clear" w:color="auto" w:fill="auto"/>
            <w:noWrap/>
            <w:vAlign w:val="bottom"/>
            <w:hideMark/>
          </w:tcPr>
          <w:p w:rsidR="00F36077" w:rsidRPr="00650EA4" w:rsidRDefault="00392CD9" w:rsidP="00392CD9">
            <w:pPr>
              <w:jc w:val="right"/>
              <w:rPr>
                <w:rFonts w:ascii="Arial" w:hAnsi="Arial" w:cs="Arial"/>
                <w:sz w:val="18"/>
                <w:szCs w:val="18"/>
                <w:lang w:val="en-GB"/>
              </w:rPr>
            </w:pPr>
            <w:r w:rsidRPr="00650EA4">
              <w:rPr>
                <w:rFonts w:ascii="Arial" w:hAnsi="Arial" w:cs="Arial"/>
                <w:sz w:val="18"/>
                <w:szCs w:val="18"/>
                <w:lang w:val="en-GB"/>
              </w:rPr>
              <w:t>688</w:t>
            </w:r>
            <w:r w:rsidR="00F36077" w:rsidRPr="00650EA4">
              <w:rPr>
                <w:rFonts w:ascii="Arial" w:hAnsi="Arial" w:cs="Arial"/>
                <w:sz w:val="18"/>
                <w:szCs w:val="18"/>
                <w:lang w:val="en-GB"/>
              </w:rPr>
              <w:t>.</w:t>
            </w:r>
            <w:r w:rsidRPr="00650EA4">
              <w:rPr>
                <w:rFonts w:ascii="Arial" w:hAnsi="Arial" w:cs="Arial"/>
                <w:sz w:val="18"/>
                <w:szCs w:val="18"/>
                <w:lang w:val="en-GB"/>
              </w:rPr>
              <w:t>9</w:t>
            </w:r>
          </w:p>
        </w:tc>
        <w:tc>
          <w:tcPr>
            <w:tcW w:w="1128" w:type="dxa"/>
            <w:shd w:val="clear" w:color="auto" w:fill="auto"/>
            <w:noWrap/>
            <w:vAlign w:val="bottom"/>
            <w:hideMark/>
          </w:tcPr>
          <w:p w:rsidR="00F36077" w:rsidRPr="00650EA4" w:rsidRDefault="00F36077" w:rsidP="002404DB">
            <w:pPr>
              <w:tabs>
                <w:tab w:val="right" w:pos="719"/>
                <w:tab w:val="left" w:pos="789"/>
              </w:tabs>
              <w:rPr>
                <w:rFonts w:ascii="Arial" w:hAnsi="Arial" w:cs="Arial"/>
                <w:b/>
                <w:bCs/>
                <w:sz w:val="18"/>
                <w:szCs w:val="18"/>
                <w:lang w:val="en-GB"/>
              </w:rPr>
            </w:pPr>
            <w:r w:rsidRPr="00650EA4">
              <w:rPr>
                <w:rFonts w:ascii="Arial" w:hAnsi="Arial" w:cs="Arial"/>
                <w:b/>
                <w:bCs/>
                <w:sz w:val="18"/>
                <w:szCs w:val="18"/>
                <w:lang w:val="en-GB"/>
              </w:rPr>
              <w:tab/>
              <w:t>3</w:t>
            </w:r>
            <w:r w:rsidR="002404DB" w:rsidRPr="00650EA4">
              <w:rPr>
                <w:rFonts w:ascii="Arial" w:hAnsi="Arial" w:cs="Arial"/>
                <w:b/>
                <w:bCs/>
                <w:sz w:val="18"/>
                <w:szCs w:val="18"/>
                <w:lang w:val="en-GB"/>
              </w:rPr>
              <w:t>3</w:t>
            </w:r>
            <w:r w:rsidRPr="00650EA4">
              <w:rPr>
                <w:rFonts w:ascii="Arial" w:hAnsi="Arial" w:cs="Arial"/>
                <w:b/>
                <w:bCs/>
                <w:sz w:val="18"/>
                <w:szCs w:val="18"/>
                <w:lang w:val="en-GB"/>
              </w:rPr>
              <w:t>%</w:t>
            </w:r>
            <w:r w:rsidR="00EC0EC1" w:rsidRPr="00650EA4">
              <w:rPr>
                <w:rFonts w:ascii="Arial" w:hAnsi="Arial" w:cs="Arial"/>
                <w:b/>
                <w:bCs/>
                <w:sz w:val="18"/>
                <w:szCs w:val="18"/>
                <w:lang w:val="en-GB"/>
              </w:rPr>
              <w:t>*</w:t>
            </w:r>
          </w:p>
        </w:tc>
      </w:tr>
      <w:tr w:rsidR="00F36077" w:rsidRPr="00650EA4" w:rsidTr="00F36077">
        <w:trPr>
          <w:trHeight w:val="402"/>
        </w:trPr>
        <w:tc>
          <w:tcPr>
            <w:tcW w:w="2278" w:type="dxa"/>
            <w:shd w:val="clear" w:color="auto" w:fill="auto"/>
            <w:noWrap/>
            <w:vAlign w:val="bottom"/>
            <w:hideMark/>
          </w:tcPr>
          <w:p w:rsidR="00F36077" w:rsidRPr="00650EA4" w:rsidRDefault="00F36077" w:rsidP="00F36077">
            <w:pPr>
              <w:rPr>
                <w:rFonts w:ascii="Arial" w:hAnsi="Arial" w:cs="Arial"/>
                <w:sz w:val="18"/>
                <w:szCs w:val="18"/>
                <w:lang w:val="en-GB"/>
              </w:rPr>
            </w:pPr>
            <w:r w:rsidRPr="00650EA4">
              <w:rPr>
                <w:rFonts w:ascii="Arial" w:hAnsi="Arial" w:cs="Arial"/>
                <w:sz w:val="18"/>
                <w:szCs w:val="18"/>
                <w:lang w:val="en-GB"/>
              </w:rPr>
              <w:t>Gross Profit</w:t>
            </w:r>
          </w:p>
        </w:tc>
        <w:tc>
          <w:tcPr>
            <w:tcW w:w="1128" w:type="dxa"/>
            <w:shd w:val="clear" w:color="auto" w:fill="auto"/>
            <w:noWrap/>
            <w:vAlign w:val="bottom"/>
            <w:hideMark/>
          </w:tcPr>
          <w:p w:rsidR="00F36077" w:rsidRPr="00650EA4" w:rsidRDefault="002404DB" w:rsidP="002404DB">
            <w:pPr>
              <w:jc w:val="right"/>
              <w:rPr>
                <w:rFonts w:ascii="Arial" w:hAnsi="Arial" w:cs="Arial"/>
                <w:sz w:val="18"/>
                <w:szCs w:val="18"/>
                <w:lang w:val="en-GB"/>
              </w:rPr>
            </w:pPr>
            <w:r w:rsidRPr="00650EA4">
              <w:rPr>
                <w:rFonts w:ascii="Arial" w:hAnsi="Arial" w:cs="Arial"/>
                <w:sz w:val="18"/>
                <w:szCs w:val="18"/>
                <w:lang w:val="en-GB"/>
              </w:rPr>
              <w:t>59</w:t>
            </w:r>
            <w:r w:rsidR="00F36077" w:rsidRPr="00650EA4">
              <w:rPr>
                <w:rFonts w:ascii="Arial" w:hAnsi="Arial" w:cs="Arial"/>
                <w:sz w:val="18"/>
                <w:szCs w:val="18"/>
                <w:lang w:val="en-GB"/>
              </w:rPr>
              <w:t>.</w:t>
            </w:r>
            <w:r w:rsidRPr="00650EA4">
              <w:rPr>
                <w:rFonts w:ascii="Arial" w:hAnsi="Arial" w:cs="Arial"/>
                <w:sz w:val="18"/>
                <w:szCs w:val="18"/>
                <w:lang w:val="en-GB"/>
              </w:rPr>
              <w:t>7</w:t>
            </w:r>
          </w:p>
        </w:tc>
        <w:tc>
          <w:tcPr>
            <w:tcW w:w="1128" w:type="dxa"/>
            <w:shd w:val="clear" w:color="auto" w:fill="auto"/>
            <w:noWrap/>
            <w:vAlign w:val="bottom"/>
            <w:hideMark/>
          </w:tcPr>
          <w:p w:rsidR="00F36077" w:rsidRPr="00650EA4" w:rsidRDefault="00F36077" w:rsidP="000D2093">
            <w:pPr>
              <w:jc w:val="right"/>
              <w:rPr>
                <w:rFonts w:ascii="Arial" w:hAnsi="Arial" w:cs="Arial"/>
                <w:sz w:val="18"/>
                <w:szCs w:val="18"/>
                <w:lang w:val="en-GB"/>
              </w:rPr>
            </w:pPr>
            <w:r w:rsidRPr="00650EA4">
              <w:rPr>
                <w:rFonts w:ascii="Arial" w:hAnsi="Arial" w:cs="Arial"/>
                <w:sz w:val="18"/>
                <w:szCs w:val="18"/>
                <w:lang w:val="en-GB"/>
              </w:rPr>
              <w:t>4</w:t>
            </w:r>
            <w:r w:rsidR="000D2093" w:rsidRPr="00650EA4">
              <w:rPr>
                <w:rFonts w:ascii="Arial" w:hAnsi="Arial" w:cs="Arial"/>
                <w:sz w:val="18"/>
                <w:szCs w:val="18"/>
                <w:lang w:val="en-GB"/>
              </w:rPr>
              <w:t>8</w:t>
            </w:r>
            <w:r w:rsidRPr="00650EA4">
              <w:rPr>
                <w:rFonts w:ascii="Arial" w:hAnsi="Arial" w:cs="Arial"/>
                <w:sz w:val="18"/>
                <w:szCs w:val="18"/>
                <w:lang w:val="en-GB"/>
              </w:rPr>
              <w:t>.5</w:t>
            </w:r>
          </w:p>
        </w:tc>
        <w:tc>
          <w:tcPr>
            <w:tcW w:w="1128" w:type="dxa"/>
            <w:shd w:val="clear" w:color="auto" w:fill="auto"/>
            <w:noWrap/>
            <w:vAlign w:val="bottom"/>
            <w:hideMark/>
          </w:tcPr>
          <w:p w:rsidR="00F36077" w:rsidRPr="00650EA4" w:rsidRDefault="008D527C" w:rsidP="002404DB">
            <w:pPr>
              <w:jc w:val="center"/>
              <w:rPr>
                <w:rFonts w:ascii="Arial" w:hAnsi="Arial" w:cs="Arial"/>
                <w:b/>
                <w:bCs/>
                <w:sz w:val="18"/>
                <w:szCs w:val="18"/>
                <w:lang w:val="en-GB"/>
              </w:rPr>
            </w:pPr>
            <w:r w:rsidRPr="00650EA4">
              <w:rPr>
                <w:rFonts w:ascii="Arial" w:hAnsi="Arial" w:cs="Arial"/>
                <w:b/>
                <w:bCs/>
                <w:sz w:val="18"/>
                <w:szCs w:val="18"/>
                <w:lang w:val="en-GB"/>
              </w:rPr>
              <w:t>2</w:t>
            </w:r>
            <w:r w:rsidR="002404DB" w:rsidRPr="00650EA4">
              <w:rPr>
                <w:rFonts w:ascii="Arial" w:hAnsi="Arial" w:cs="Arial"/>
                <w:b/>
                <w:bCs/>
                <w:sz w:val="18"/>
                <w:szCs w:val="18"/>
                <w:lang w:val="en-GB"/>
              </w:rPr>
              <w:t>3</w:t>
            </w:r>
            <w:r w:rsidR="00F36077" w:rsidRPr="00650EA4">
              <w:rPr>
                <w:rFonts w:ascii="Arial" w:hAnsi="Arial" w:cs="Arial"/>
                <w:b/>
                <w:bCs/>
                <w:sz w:val="18"/>
                <w:szCs w:val="18"/>
                <w:lang w:val="en-GB"/>
              </w:rPr>
              <w:t>%</w:t>
            </w:r>
          </w:p>
        </w:tc>
        <w:tc>
          <w:tcPr>
            <w:tcW w:w="1128" w:type="dxa"/>
            <w:shd w:val="clear" w:color="auto" w:fill="auto"/>
            <w:noWrap/>
            <w:vAlign w:val="bottom"/>
            <w:hideMark/>
          </w:tcPr>
          <w:p w:rsidR="00F36077" w:rsidRPr="00650EA4" w:rsidRDefault="00392CD9" w:rsidP="002404DB">
            <w:pPr>
              <w:jc w:val="right"/>
              <w:rPr>
                <w:rFonts w:ascii="Arial" w:hAnsi="Arial" w:cs="Arial"/>
                <w:sz w:val="18"/>
                <w:szCs w:val="18"/>
                <w:lang w:val="en-GB"/>
              </w:rPr>
            </w:pPr>
            <w:r w:rsidRPr="00650EA4">
              <w:rPr>
                <w:rFonts w:ascii="Arial" w:hAnsi="Arial" w:cs="Arial"/>
                <w:sz w:val="18"/>
                <w:szCs w:val="18"/>
                <w:lang w:val="en-GB"/>
              </w:rPr>
              <w:t>1</w:t>
            </w:r>
            <w:r w:rsidR="002404DB" w:rsidRPr="00650EA4">
              <w:rPr>
                <w:rFonts w:ascii="Arial" w:hAnsi="Arial" w:cs="Arial"/>
                <w:sz w:val="18"/>
                <w:szCs w:val="18"/>
                <w:lang w:val="en-GB"/>
              </w:rPr>
              <w:t>69</w:t>
            </w:r>
            <w:r w:rsidR="00F36077" w:rsidRPr="00650EA4">
              <w:rPr>
                <w:rFonts w:ascii="Arial" w:hAnsi="Arial" w:cs="Arial"/>
                <w:sz w:val="18"/>
                <w:szCs w:val="18"/>
                <w:lang w:val="en-GB"/>
              </w:rPr>
              <w:t>.</w:t>
            </w:r>
            <w:r w:rsidR="002404DB" w:rsidRPr="00650EA4">
              <w:rPr>
                <w:rFonts w:ascii="Arial" w:hAnsi="Arial" w:cs="Arial"/>
                <w:sz w:val="18"/>
                <w:szCs w:val="18"/>
                <w:lang w:val="en-GB"/>
              </w:rPr>
              <w:t>8</w:t>
            </w:r>
          </w:p>
        </w:tc>
        <w:tc>
          <w:tcPr>
            <w:tcW w:w="1128" w:type="dxa"/>
            <w:shd w:val="clear" w:color="auto" w:fill="auto"/>
            <w:noWrap/>
            <w:vAlign w:val="bottom"/>
            <w:hideMark/>
          </w:tcPr>
          <w:p w:rsidR="00F36077" w:rsidRPr="00650EA4" w:rsidRDefault="00392CD9" w:rsidP="00392CD9">
            <w:pPr>
              <w:jc w:val="right"/>
              <w:rPr>
                <w:rFonts w:ascii="Arial" w:hAnsi="Arial" w:cs="Arial"/>
                <w:sz w:val="18"/>
                <w:szCs w:val="18"/>
                <w:lang w:val="en-GB"/>
              </w:rPr>
            </w:pPr>
            <w:r w:rsidRPr="00650EA4">
              <w:rPr>
                <w:rFonts w:ascii="Arial" w:hAnsi="Arial" w:cs="Arial"/>
                <w:sz w:val="18"/>
                <w:szCs w:val="18"/>
                <w:lang w:val="en-GB"/>
              </w:rPr>
              <w:t>138.5</w:t>
            </w:r>
          </w:p>
        </w:tc>
        <w:tc>
          <w:tcPr>
            <w:tcW w:w="1128" w:type="dxa"/>
            <w:shd w:val="clear" w:color="auto" w:fill="auto"/>
            <w:noWrap/>
            <w:vAlign w:val="bottom"/>
            <w:hideMark/>
          </w:tcPr>
          <w:p w:rsidR="00F36077" w:rsidRPr="00650EA4" w:rsidRDefault="00F36077" w:rsidP="00392CD9">
            <w:pPr>
              <w:tabs>
                <w:tab w:val="right" w:pos="719"/>
                <w:tab w:val="left" w:pos="789"/>
              </w:tabs>
              <w:rPr>
                <w:rFonts w:ascii="Arial" w:hAnsi="Arial" w:cs="Arial"/>
                <w:b/>
                <w:bCs/>
                <w:sz w:val="18"/>
                <w:szCs w:val="18"/>
                <w:lang w:val="en-GB"/>
              </w:rPr>
            </w:pPr>
            <w:r w:rsidRPr="00650EA4">
              <w:rPr>
                <w:rFonts w:ascii="Arial" w:hAnsi="Arial" w:cs="Arial"/>
                <w:b/>
                <w:bCs/>
                <w:sz w:val="18"/>
                <w:szCs w:val="18"/>
                <w:lang w:val="en-GB"/>
              </w:rPr>
              <w:tab/>
              <w:t>2</w:t>
            </w:r>
            <w:r w:rsidR="00392CD9" w:rsidRPr="00650EA4">
              <w:rPr>
                <w:rFonts w:ascii="Arial" w:hAnsi="Arial" w:cs="Arial"/>
                <w:b/>
                <w:bCs/>
                <w:sz w:val="18"/>
                <w:szCs w:val="18"/>
                <w:lang w:val="en-GB"/>
              </w:rPr>
              <w:t>3</w:t>
            </w:r>
            <w:r w:rsidRPr="00650EA4">
              <w:rPr>
                <w:rFonts w:ascii="Arial" w:hAnsi="Arial" w:cs="Arial"/>
                <w:b/>
                <w:bCs/>
                <w:sz w:val="18"/>
                <w:szCs w:val="18"/>
                <w:lang w:val="en-GB"/>
              </w:rPr>
              <w:t>%</w:t>
            </w:r>
          </w:p>
        </w:tc>
      </w:tr>
      <w:tr w:rsidR="00F36077" w:rsidRPr="00650EA4" w:rsidTr="00F36077">
        <w:trPr>
          <w:trHeight w:val="402"/>
        </w:trPr>
        <w:tc>
          <w:tcPr>
            <w:tcW w:w="2278" w:type="dxa"/>
            <w:shd w:val="clear" w:color="auto" w:fill="auto"/>
            <w:noWrap/>
            <w:vAlign w:val="bottom"/>
            <w:hideMark/>
          </w:tcPr>
          <w:p w:rsidR="00F36077" w:rsidRPr="00650EA4" w:rsidRDefault="00F36077" w:rsidP="00F36077">
            <w:pPr>
              <w:rPr>
                <w:rFonts w:ascii="Arial" w:hAnsi="Arial" w:cs="Arial"/>
                <w:sz w:val="18"/>
                <w:szCs w:val="18"/>
                <w:lang w:val="en-GB"/>
              </w:rPr>
            </w:pPr>
            <w:r w:rsidRPr="00650EA4">
              <w:rPr>
                <w:rFonts w:ascii="Arial" w:hAnsi="Arial" w:cs="Arial"/>
                <w:sz w:val="18"/>
                <w:szCs w:val="18"/>
                <w:lang w:val="en-GB"/>
              </w:rPr>
              <w:t>Gross margin</w:t>
            </w:r>
          </w:p>
        </w:tc>
        <w:tc>
          <w:tcPr>
            <w:tcW w:w="1128" w:type="dxa"/>
            <w:shd w:val="clear" w:color="auto" w:fill="auto"/>
            <w:noWrap/>
            <w:vAlign w:val="bottom"/>
            <w:hideMark/>
          </w:tcPr>
          <w:p w:rsidR="00F36077" w:rsidRPr="00650EA4" w:rsidRDefault="00F36077" w:rsidP="002404DB">
            <w:pPr>
              <w:jc w:val="right"/>
              <w:rPr>
                <w:rFonts w:ascii="Arial" w:hAnsi="Arial" w:cs="Arial"/>
                <w:sz w:val="18"/>
                <w:szCs w:val="18"/>
                <w:lang w:val="en-GB"/>
              </w:rPr>
            </w:pPr>
            <w:r w:rsidRPr="00650EA4">
              <w:rPr>
                <w:rFonts w:ascii="Arial" w:hAnsi="Arial" w:cs="Arial"/>
                <w:sz w:val="18"/>
                <w:szCs w:val="18"/>
                <w:lang w:val="en-GB"/>
              </w:rPr>
              <w:t>1</w:t>
            </w:r>
            <w:r w:rsidR="00392CD9" w:rsidRPr="00650EA4">
              <w:rPr>
                <w:rFonts w:ascii="Arial" w:hAnsi="Arial" w:cs="Arial"/>
                <w:sz w:val="18"/>
                <w:szCs w:val="18"/>
                <w:lang w:val="en-GB"/>
              </w:rPr>
              <w:t>8</w:t>
            </w:r>
            <w:r w:rsidRPr="00650EA4">
              <w:rPr>
                <w:rFonts w:ascii="Arial" w:hAnsi="Arial" w:cs="Arial"/>
                <w:sz w:val="18"/>
                <w:szCs w:val="18"/>
                <w:lang w:val="en-GB"/>
              </w:rPr>
              <w:t>.</w:t>
            </w:r>
            <w:r w:rsidR="002404DB" w:rsidRPr="00650EA4">
              <w:rPr>
                <w:rFonts w:ascii="Arial" w:hAnsi="Arial" w:cs="Arial"/>
                <w:sz w:val="18"/>
                <w:szCs w:val="18"/>
                <w:lang w:val="en-GB"/>
              </w:rPr>
              <w:t>4</w:t>
            </w:r>
            <w:r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0D2093" w:rsidP="000D2093">
            <w:pPr>
              <w:jc w:val="right"/>
              <w:rPr>
                <w:rFonts w:ascii="Arial" w:hAnsi="Arial" w:cs="Arial"/>
                <w:sz w:val="18"/>
                <w:szCs w:val="18"/>
                <w:lang w:val="en-GB"/>
              </w:rPr>
            </w:pPr>
            <w:r w:rsidRPr="00650EA4">
              <w:rPr>
                <w:rFonts w:ascii="Arial" w:hAnsi="Arial" w:cs="Arial"/>
                <w:sz w:val="18"/>
                <w:szCs w:val="18"/>
                <w:lang w:val="en-GB"/>
              </w:rPr>
              <w:t>19.9</w:t>
            </w:r>
            <w:r w:rsidR="00F36077"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F36077" w:rsidP="00F36077">
            <w:pPr>
              <w:jc w:val="center"/>
              <w:rPr>
                <w:rFonts w:ascii="Arial" w:hAnsi="Arial" w:cs="Arial"/>
                <w:b/>
                <w:bCs/>
                <w:sz w:val="18"/>
                <w:szCs w:val="18"/>
                <w:lang w:val="en-GB"/>
              </w:rPr>
            </w:pPr>
          </w:p>
        </w:tc>
        <w:tc>
          <w:tcPr>
            <w:tcW w:w="1128" w:type="dxa"/>
            <w:shd w:val="clear" w:color="auto" w:fill="auto"/>
            <w:noWrap/>
            <w:vAlign w:val="bottom"/>
            <w:hideMark/>
          </w:tcPr>
          <w:p w:rsidR="00F36077" w:rsidRPr="00650EA4" w:rsidRDefault="00F36077" w:rsidP="00F36077">
            <w:pPr>
              <w:jc w:val="right"/>
              <w:rPr>
                <w:rFonts w:ascii="Arial" w:hAnsi="Arial" w:cs="Arial"/>
                <w:sz w:val="18"/>
                <w:szCs w:val="18"/>
                <w:lang w:val="en-GB"/>
              </w:rPr>
            </w:pPr>
            <w:r w:rsidRPr="00650EA4">
              <w:rPr>
                <w:rFonts w:ascii="Arial" w:hAnsi="Arial" w:cs="Arial"/>
                <w:sz w:val="18"/>
                <w:szCs w:val="18"/>
                <w:lang w:val="en-GB"/>
              </w:rPr>
              <w:t>18.5%</w:t>
            </w:r>
          </w:p>
        </w:tc>
        <w:tc>
          <w:tcPr>
            <w:tcW w:w="1128" w:type="dxa"/>
            <w:shd w:val="clear" w:color="auto" w:fill="auto"/>
            <w:noWrap/>
            <w:vAlign w:val="bottom"/>
            <w:hideMark/>
          </w:tcPr>
          <w:p w:rsidR="00F36077" w:rsidRPr="00650EA4" w:rsidRDefault="00F36077" w:rsidP="00392CD9">
            <w:pPr>
              <w:jc w:val="right"/>
              <w:rPr>
                <w:rFonts w:ascii="Arial" w:hAnsi="Arial" w:cs="Arial"/>
                <w:sz w:val="18"/>
                <w:szCs w:val="18"/>
                <w:lang w:val="en-GB"/>
              </w:rPr>
            </w:pPr>
            <w:r w:rsidRPr="00650EA4">
              <w:rPr>
                <w:rFonts w:ascii="Arial" w:hAnsi="Arial" w:cs="Arial"/>
                <w:sz w:val="18"/>
                <w:szCs w:val="18"/>
                <w:lang w:val="en-GB"/>
              </w:rPr>
              <w:t>20.</w:t>
            </w:r>
            <w:r w:rsidR="00392CD9" w:rsidRPr="00650EA4">
              <w:rPr>
                <w:rFonts w:ascii="Arial" w:hAnsi="Arial" w:cs="Arial"/>
                <w:sz w:val="18"/>
                <w:szCs w:val="18"/>
                <w:lang w:val="en-GB"/>
              </w:rPr>
              <w:t>1</w:t>
            </w:r>
            <w:r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F36077" w:rsidP="00F36077">
            <w:pPr>
              <w:tabs>
                <w:tab w:val="right" w:pos="729"/>
                <w:tab w:val="left" w:pos="789"/>
              </w:tabs>
              <w:jc w:val="center"/>
              <w:rPr>
                <w:rFonts w:ascii="Arial" w:hAnsi="Arial" w:cs="Arial"/>
                <w:b/>
                <w:bCs/>
                <w:sz w:val="18"/>
                <w:szCs w:val="18"/>
                <w:lang w:val="en-GB"/>
              </w:rPr>
            </w:pPr>
            <w:r w:rsidRPr="00650EA4">
              <w:rPr>
                <w:rFonts w:ascii="Arial" w:hAnsi="Arial" w:cs="Arial"/>
                <w:b/>
                <w:bCs/>
                <w:sz w:val="18"/>
                <w:szCs w:val="18"/>
                <w:lang w:val="en-GB"/>
              </w:rPr>
              <w:t> </w:t>
            </w:r>
          </w:p>
        </w:tc>
      </w:tr>
      <w:tr w:rsidR="00F36077" w:rsidRPr="00650EA4" w:rsidTr="00F36077">
        <w:trPr>
          <w:trHeight w:val="402"/>
        </w:trPr>
        <w:tc>
          <w:tcPr>
            <w:tcW w:w="2278" w:type="dxa"/>
            <w:shd w:val="clear" w:color="auto" w:fill="auto"/>
            <w:noWrap/>
            <w:vAlign w:val="bottom"/>
            <w:hideMark/>
          </w:tcPr>
          <w:p w:rsidR="00F36077" w:rsidRPr="00650EA4" w:rsidRDefault="00F36077" w:rsidP="00F36077">
            <w:pPr>
              <w:rPr>
                <w:rFonts w:ascii="Arial" w:hAnsi="Arial" w:cs="Arial"/>
                <w:sz w:val="18"/>
                <w:szCs w:val="18"/>
                <w:lang w:val="en-GB"/>
              </w:rPr>
            </w:pPr>
            <w:r w:rsidRPr="00650EA4">
              <w:rPr>
                <w:rFonts w:ascii="Arial" w:hAnsi="Arial" w:cs="Arial"/>
                <w:sz w:val="18"/>
                <w:szCs w:val="18"/>
                <w:lang w:val="en-GB"/>
              </w:rPr>
              <w:t>Ebit</w:t>
            </w:r>
          </w:p>
        </w:tc>
        <w:tc>
          <w:tcPr>
            <w:tcW w:w="1128" w:type="dxa"/>
            <w:shd w:val="clear" w:color="auto" w:fill="auto"/>
            <w:noWrap/>
            <w:vAlign w:val="bottom"/>
            <w:hideMark/>
          </w:tcPr>
          <w:p w:rsidR="00F36077" w:rsidRPr="00650EA4" w:rsidRDefault="00392CD9" w:rsidP="002404DB">
            <w:pPr>
              <w:jc w:val="right"/>
              <w:rPr>
                <w:rFonts w:ascii="Arial" w:hAnsi="Arial" w:cs="Arial"/>
                <w:sz w:val="18"/>
                <w:szCs w:val="18"/>
                <w:lang w:val="en-GB"/>
              </w:rPr>
            </w:pPr>
            <w:r w:rsidRPr="00650EA4">
              <w:rPr>
                <w:rFonts w:ascii="Arial" w:hAnsi="Arial" w:cs="Arial"/>
                <w:sz w:val="18"/>
                <w:szCs w:val="18"/>
                <w:lang w:val="en-GB"/>
              </w:rPr>
              <w:t>2</w:t>
            </w:r>
            <w:r w:rsidR="002404DB" w:rsidRPr="00650EA4">
              <w:rPr>
                <w:rFonts w:ascii="Arial" w:hAnsi="Arial" w:cs="Arial"/>
                <w:sz w:val="18"/>
                <w:szCs w:val="18"/>
                <w:lang w:val="en-GB"/>
              </w:rPr>
              <w:t>1</w:t>
            </w:r>
            <w:r w:rsidR="00F36077" w:rsidRPr="00650EA4">
              <w:rPr>
                <w:rFonts w:ascii="Arial" w:hAnsi="Arial" w:cs="Arial"/>
                <w:sz w:val="18"/>
                <w:szCs w:val="18"/>
                <w:lang w:val="en-GB"/>
              </w:rPr>
              <w:t>.</w:t>
            </w:r>
            <w:r w:rsidR="002404DB" w:rsidRPr="00650EA4">
              <w:rPr>
                <w:rFonts w:ascii="Arial" w:hAnsi="Arial" w:cs="Arial"/>
                <w:sz w:val="18"/>
                <w:szCs w:val="18"/>
                <w:lang w:val="en-GB"/>
              </w:rPr>
              <w:t>2</w:t>
            </w:r>
          </w:p>
        </w:tc>
        <w:tc>
          <w:tcPr>
            <w:tcW w:w="1128" w:type="dxa"/>
            <w:shd w:val="clear" w:color="auto" w:fill="auto"/>
            <w:noWrap/>
            <w:vAlign w:val="bottom"/>
            <w:hideMark/>
          </w:tcPr>
          <w:p w:rsidR="00F36077" w:rsidRPr="00650EA4" w:rsidRDefault="00F36077" w:rsidP="00392CD9">
            <w:pPr>
              <w:jc w:val="right"/>
              <w:rPr>
                <w:rFonts w:ascii="Arial" w:hAnsi="Arial" w:cs="Arial"/>
                <w:sz w:val="18"/>
                <w:szCs w:val="18"/>
                <w:lang w:val="en-GB"/>
              </w:rPr>
            </w:pPr>
            <w:r w:rsidRPr="00650EA4">
              <w:rPr>
                <w:rFonts w:ascii="Arial" w:hAnsi="Arial" w:cs="Arial"/>
                <w:sz w:val="18"/>
                <w:szCs w:val="18"/>
                <w:lang w:val="en-GB"/>
              </w:rPr>
              <w:t>1</w:t>
            </w:r>
            <w:r w:rsidR="00392CD9" w:rsidRPr="00650EA4">
              <w:rPr>
                <w:rFonts w:ascii="Arial" w:hAnsi="Arial" w:cs="Arial"/>
                <w:sz w:val="18"/>
                <w:szCs w:val="18"/>
                <w:lang w:val="en-GB"/>
              </w:rPr>
              <w:t>6</w:t>
            </w:r>
            <w:r w:rsidRPr="00650EA4">
              <w:rPr>
                <w:rFonts w:ascii="Arial" w:hAnsi="Arial" w:cs="Arial"/>
                <w:sz w:val="18"/>
                <w:szCs w:val="18"/>
                <w:lang w:val="en-GB"/>
              </w:rPr>
              <w:t>.</w:t>
            </w:r>
            <w:r w:rsidR="00392CD9" w:rsidRPr="00650EA4">
              <w:rPr>
                <w:rFonts w:ascii="Arial" w:hAnsi="Arial" w:cs="Arial"/>
                <w:sz w:val="18"/>
                <w:szCs w:val="18"/>
                <w:lang w:val="en-GB"/>
              </w:rPr>
              <w:t>7</w:t>
            </w:r>
          </w:p>
        </w:tc>
        <w:tc>
          <w:tcPr>
            <w:tcW w:w="1128" w:type="dxa"/>
            <w:shd w:val="clear" w:color="auto" w:fill="auto"/>
            <w:noWrap/>
            <w:vAlign w:val="bottom"/>
            <w:hideMark/>
          </w:tcPr>
          <w:p w:rsidR="00F36077" w:rsidRPr="00650EA4" w:rsidRDefault="002404DB" w:rsidP="002404DB">
            <w:pPr>
              <w:jc w:val="center"/>
              <w:rPr>
                <w:rFonts w:ascii="Arial" w:hAnsi="Arial" w:cs="Arial"/>
                <w:b/>
                <w:bCs/>
                <w:sz w:val="18"/>
                <w:szCs w:val="18"/>
                <w:lang w:val="en-GB"/>
              </w:rPr>
            </w:pPr>
            <w:r w:rsidRPr="00650EA4">
              <w:rPr>
                <w:rFonts w:ascii="Arial" w:hAnsi="Arial" w:cs="Arial"/>
                <w:b/>
                <w:bCs/>
                <w:sz w:val="18"/>
                <w:szCs w:val="18"/>
                <w:lang w:val="en-GB"/>
              </w:rPr>
              <w:t>2</w:t>
            </w:r>
            <w:r w:rsidR="008D527C" w:rsidRPr="00650EA4">
              <w:rPr>
                <w:rFonts w:ascii="Arial" w:hAnsi="Arial" w:cs="Arial"/>
                <w:b/>
                <w:bCs/>
                <w:sz w:val="18"/>
                <w:szCs w:val="18"/>
                <w:lang w:val="en-GB"/>
              </w:rPr>
              <w:t>7</w:t>
            </w:r>
            <w:r w:rsidR="00F36077" w:rsidRPr="00650EA4">
              <w:rPr>
                <w:rFonts w:ascii="Arial" w:hAnsi="Arial" w:cs="Arial"/>
                <w:b/>
                <w:bCs/>
                <w:sz w:val="18"/>
                <w:szCs w:val="18"/>
                <w:lang w:val="en-GB"/>
              </w:rPr>
              <w:t>%</w:t>
            </w:r>
            <w:r w:rsidR="0038270F">
              <w:rPr>
                <w:rFonts w:ascii="Arial" w:hAnsi="Arial" w:cs="Arial"/>
                <w:b/>
                <w:bCs/>
                <w:sz w:val="18"/>
                <w:szCs w:val="18"/>
                <w:lang w:val="en-GB"/>
              </w:rPr>
              <w:t>**</w:t>
            </w:r>
          </w:p>
        </w:tc>
        <w:tc>
          <w:tcPr>
            <w:tcW w:w="1128" w:type="dxa"/>
            <w:shd w:val="clear" w:color="auto" w:fill="auto"/>
            <w:noWrap/>
            <w:vAlign w:val="bottom"/>
            <w:hideMark/>
          </w:tcPr>
          <w:p w:rsidR="00F36077" w:rsidRPr="00650EA4" w:rsidRDefault="002404DB" w:rsidP="002404DB">
            <w:pPr>
              <w:jc w:val="right"/>
              <w:rPr>
                <w:rFonts w:ascii="Arial" w:hAnsi="Arial" w:cs="Arial"/>
                <w:sz w:val="18"/>
                <w:szCs w:val="18"/>
                <w:lang w:val="en-GB"/>
              </w:rPr>
            </w:pPr>
            <w:r w:rsidRPr="00650EA4">
              <w:rPr>
                <w:rFonts w:ascii="Arial" w:hAnsi="Arial" w:cs="Arial"/>
                <w:sz w:val="18"/>
                <w:szCs w:val="18"/>
                <w:lang w:val="en-GB"/>
              </w:rPr>
              <w:t>59</w:t>
            </w:r>
            <w:r w:rsidR="00F36077" w:rsidRPr="00650EA4">
              <w:rPr>
                <w:rFonts w:ascii="Arial" w:hAnsi="Arial" w:cs="Arial"/>
                <w:sz w:val="18"/>
                <w:szCs w:val="18"/>
                <w:lang w:val="en-GB"/>
              </w:rPr>
              <w:t>.</w:t>
            </w:r>
            <w:r w:rsidRPr="00650EA4">
              <w:rPr>
                <w:rFonts w:ascii="Arial" w:hAnsi="Arial" w:cs="Arial"/>
                <w:sz w:val="18"/>
                <w:szCs w:val="18"/>
                <w:lang w:val="en-GB"/>
              </w:rPr>
              <w:t>2</w:t>
            </w:r>
          </w:p>
        </w:tc>
        <w:tc>
          <w:tcPr>
            <w:tcW w:w="1128" w:type="dxa"/>
            <w:shd w:val="clear" w:color="auto" w:fill="auto"/>
            <w:noWrap/>
            <w:vAlign w:val="bottom"/>
            <w:hideMark/>
          </w:tcPr>
          <w:p w:rsidR="00F36077" w:rsidRPr="00650EA4" w:rsidRDefault="00392CD9" w:rsidP="00392CD9">
            <w:pPr>
              <w:jc w:val="right"/>
              <w:rPr>
                <w:rFonts w:ascii="Arial" w:hAnsi="Arial" w:cs="Arial"/>
                <w:sz w:val="18"/>
                <w:szCs w:val="18"/>
                <w:lang w:val="en-GB"/>
              </w:rPr>
            </w:pPr>
            <w:r w:rsidRPr="00650EA4">
              <w:rPr>
                <w:rFonts w:ascii="Arial" w:hAnsi="Arial" w:cs="Arial"/>
                <w:sz w:val="18"/>
                <w:szCs w:val="18"/>
                <w:lang w:val="en-GB"/>
              </w:rPr>
              <w:t>44</w:t>
            </w:r>
            <w:r w:rsidR="00F36077" w:rsidRPr="00650EA4">
              <w:rPr>
                <w:rFonts w:ascii="Arial" w:hAnsi="Arial" w:cs="Arial"/>
                <w:sz w:val="18"/>
                <w:szCs w:val="18"/>
                <w:lang w:val="en-GB"/>
              </w:rPr>
              <w:t>.</w:t>
            </w:r>
            <w:r w:rsidRPr="00650EA4">
              <w:rPr>
                <w:rFonts w:ascii="Arial" w:hAnsi="Arial" w:cs="Arial"/>
                <w:sz w:val="18"/>
                <w:szCs w:val="18"/>
                <w:lang w:val="en-GB"/>
              </w:rPr>
              <w:t>3</w:t>
            </w:r>
          </w:p>
        </w:tc>
        <w:tc>
          <w:tcPr>
            <w:tcW w:w="1128" w:type="dxa"/>
            <w:shd w:val="clear" w:color="auto" w:fill="auto"/>
            <w:noWrap/>
            <w:vAlign w:val="bottom"/>
            <w:hideMark/>
          </w:tcPr>
          <w:p w:rsidR="00F36077" w:rsidRPr="00650EA4" w:rsidRDefault="00F36077" w:rsidP="002404DB">
            <w:pPr>
              <w:tabs>
                <w:tab w:val="right" w:pos="729"/>
                <w:tab w:val="left" w:pos="789"/>
              </w:tabs>
              <w:rPr>
                <w:rFonts w:ascii="Arial" w:hAnsi="Arial" w:cs="Arial"/>
                <w:b/>
                <w:bCs/>
                <w:sz w:val="18"/>
                <w:szCs w:val="18"/>
                <w:lang w:val="en-GB"/>
              </w:rPr>
            </w:pPr>
            <w:r w:rsidRPr="00650EA4">
              <w:rPr>
                <w:rFonts w:ascii="Arial" w:hAnsi="Arial" w:cs="Arial"/>
                <w:b/>
                <w:bCs/>
                <w:sz w:val="18"/>
                <w:szCs w:val="18"/>
                <w:lang w:val="en-GB"/>
              </w:rPr>
              <w:tab/>
              <w:t>3</w:t>
            </w:r>
            <w:r w:rsidR="002404DB" w:rsidRPr="00650EA4">
              <w:rPr>
                <w:rFonts w:ascii="Arial" w:hAnsi="Arial" w:cs="Arial"/>
                <w:b/>
                <w:bCs/>
                <w:sz w:val="18"/>
                <w:szCs w:val="18"/>
                <w:lang w:val="en-GB"/>
              </w:rPr>
              <w:t>3</w:t>
            </w:r>
            <w:r w:rsidRPr="00650EA4">
              <w:rPr>
                <w:rFonts w:ascii="Arial" w:hAnsi="Arial" w:cs="Arial"/>
                <w:b/>
                <w:bCs/>
                <w:sz w:val="18"/>
                <w:szCs w:val="18"/>
                <w:lang w:val="en-GB"/>
              </w:rPr>
              <w:t>%</w:t>
            </w:r>
          </w:p>
        </w:tc>
      </w:tr>
      <w:tr w:rsidR="00F36077" w:rsidRPr="00650EA4" w:rsidTr="00F36077">
        <w:trPr>
          <w:trHeight w:val="402"/>
        </w:trPr>
        <w:tc>
          <w:tcPr>
            <w:tcW w:w="2278" w:type="dxa"/>
            <w:shd w:val="clear" w:color="auto" w:fill="auto"/>
            <w:noWrap/>
            <w:vAlign w:val="bottom"/>
            <w:hideMark/>
          </w:tcPr>
          <w:p w:rsidR="00F36077" w:rsidRPr="00650EA4" w:rsidRDefault="00F36077" w:rsidP="00F36077">
            <w:pPr>
              <w:rPr>
                <w:rFonts w:ascii="Arial" w:hAnsi="Arial" w:cs="Arial"/>
                <w:sz w:val="18"/>
                <w:szCs w:val="18"/>
                <w:lang w:val="en-GB"/>
              </w:rPr>
            </w:pPr>
            <w:r w:rsidRPr="00650EA4">
              <w:rPr>
                <w:rFonts w:ascii="Arial" w:hAnsi="Arial" w:cs="Arial"/>
                <w:sz w:val="18"/>
                <w:szCs w:val="18"/>
                <w:lang w:val="en-GB"/>
              </w:rPr>
              <w:t>Ebit %</w:t>
            </w:r>
          </w:p>
        </w:tc>
        <w:tc>
          <w:tcPr>
            <w:tcW w:w="1128" w:type="dxa"/>
            <w:shd w:val="clear" w:color="auto" w:fill="auto"/>
            <w:noWrap/>
            <w:vAlign w:val="bottom"/>
            <w:hideMark/>
          </w:tcPr>
          <w:p w:rsidR="00F36077" w:rsidRPr="00650EA4" w:rsidRDefault="002404DB" w:rsidP="002404DB">
            <w:pPr>
              <w:jc w:val="right"/>
              <w:rPr>
                <w:rFonts w:ascii="Arial" w:hAnsi="Arial" w:cs="Arial"/>
                <w:sz w:val="18"/>
                <w:szCs w:val="18"/>
                <w:lang w:val="en-GB"/>
              </w:rPr>
            </w:pPr>
            <w:r w:rsidRPr="00650EA4">
              <w:rPr>
                <w:rFonts w:ascii="Arial" w:hAnsi="Arial" w:cs="Arial"/>
                <w:sz w:val="18"/>
                <w:szCs w:val="18"/>
                <w:lang w:val="en-GB"/>
              </w:rPr>
              <w:t>6</w:t>
            </w:r>
            <w:r w:rsidR="00F36077" w:rsidRPr="00650EA4">
              <w:rPr>
                <w:rFonts w:ascii="Arial" w:hAnsi="Arial" w:cs="Arial"/>
                <w:sz w:val="18"/>
                <w:szCs w:val="18"/>
                <w:lang w:val="en-GB"/>
              </w:rPr>
              <w:t>.</w:t>
            </w:r>
            <w:r w:rsidRPr="00650EA4">
              <w:rPr>
                <w:rFonts w:ascii="Arial" w:hAnsi="Arial" w:cs="Arial"/>
                <w:sz w:val="18"/>
                <w:szCs w:val="18"/>
                <w:lang w:val="en-GB"/>
              </w:rPr>
              <w:t>5</w:t>
            </w:r>
            <w:r w:rsidR="00F36077"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392CD9" w:rsidP="00392CD9">
            <w:pPr>
              <w:jc w:val="right"/>
              <w:rPr>
                <w:rFonts w:ascii="Arial" w:hAnsi="Arial" w:cs="Arial"/>
                <w:sz w:val="18"/>
                <w:szCs w:val="18"/>
                <w:lang w:val="en-GB"/>
              </w:rPr>
            </w:pPr>
            <w:r w:rsidRPr="00650EA4">
              <w:rPr>
                <w:rFonts w:ascii="Arial" w:hAnsi="Arial" w:cs="Arial"/>
                <w:sz w:val="18"/>
                <w:szCs w:val="18"/>
                <w:lang w:val="en-GB"/>
              </w:rPr>
              <w:t>6</w:t>
            </w:r>
            <w:r w:rsidR="00F36077" w:rsidRPr="00650EA4">
              <w:rPr>
                <w:rFonts w:ascii="Arial" w:hAnsi="Arial" w:cs="Arial"/>
                <w:sz w:val="18"/>
                <w:szCs w:val="18"/>
                <w:lang w:val="en-GB"/>
              </w:rPr>
              <w:t>.</w:t>
            </w:r>
            <w:r w:rsidRPr="00650EA4">
              <w:rPr>
                <w:rFonts w:ascii="Arial" w:hAnsi="Arial" w:cs="Arial"/>
                <w:sz w:val="18"/>
                <w:szCs w:val="18"/>
                <w:lang w:val="en-GB"/>
              </w:rPr>
              <w:t>8</w:t>
            </w:r>
            <w:r w:rsidR="00F36077"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F36077" w:rsidP="00F36077">
            <w:pPr>
              <w:jc w:val="center"/>
              <w:rPr>
                <w:rFonts w:ascii="Arial" w:hAnsi="Arial" w:cs="Arial"/>
                <w:b/>
                <w:bCs/>
                <w:sz w:val="18"/>
                <w:szCs w:val="18"/>
                <w:lang w:val="en-GB"/>
              </w:rPr>
            </w:pPr>
            <w:r w:rsidRPr="00650EA4">
              <w:rPr>
                <w:rFonts w:ascii="Arial" w:hAnsi="Arial" w:cs="Arial"/>
                <w:b/>
                <w:bCs/>
                <w:sz w:val="18"/>
                <w:szCs w:val="18"/>
                <w:lang w:val="en-GB"/>
              </w:rPr>
              <w:t> </w:t>
            </w:r>
          </w:p>
        </w:tc>
        <w:tc>
          <w:tcPr>
            <w:tcW w:w="1128" w:type="dxa"/>
            <w:shd w:val="clear" w:color="auto" w:fill="auto"/>
            <w:noWrap/>
            <w:vAlign w:val="bottom"/>
            <w:hideMark/>
          </w:tcPr>
          <w:p w:rsidR="00F36077" w:rsidRPr="00650EA4" w:rsidRDefault="00F36077" w:rsidP="002404DB">
            <w:pPr>
              <w:jc w:val="right"/>
              <w:rPr>
                <w:rFonts w:ascii="Arial" w:hAnsi="Arial" w:cs="Arial"/>
                <w:sz w:val="18"/>
                <w:szCs w:val="18"/>
                <w:lang w:val="en-GB"/>
              </w:rPr>
            </w:pPr>
            <w:r w:rsidRPr="00650EA4">
              <w:rPr>
                <w:rFonts w:ascii="Arial" w:hAnsi="Arial" w:cs="Arial"/>
                <w:sz w:val="18"/>
                <w:szCs w:val="18"/>
                <w:lang w:val="en-GB"/>
              </w:rPr>
              <w:t>6.</w:t>
            </w:r>
            <w:r w:rsidR="002404DB" w:rsidRPr="00650EA4">
              <w:rPr>
                <w:rFonts w:ascii="Arial" w:hAnsi="Arial" w:cs="Arial"/>
                <w:sz w:val="18"/>
                <w:szCs w:val="18"/>
                <w:lang w:val="en-GB"/>
              </w:rPr>
              <w:t>4</w:t>
            </w:r>
            <w:r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F36077" w:rsidP="00392CD9">
            <w:pPr>
              <w:jc w:val="right"/>
              <w:rPr>
                <w:rFonts w:ascii="Arial" w:hAnsi="Arial" w:cs="Arial"/>
                <w:sz w:val="18"/>
                <w:szCs w:val="18"/>
                <w:lang w:val="en-GB"/>
              </w:rPr>
            </w:pPr>
            <w:r w:rsidRPr="00650EA4">
              <w:rPr>
                <w:rFonts w:ascii="Arial" w:hAnsi="Arial" w:cs="Arial"/>
                <w:sz w:val="18"/>
                <w:szCs w:val="18"/>
                <w:lang w:val="en-GB"/>
              </w:rPr>
              <w:t>6.</w:t>
            </w:r>
            <w:r w:rsidR="00392CD9" w:rsidRPr="00650EA4">
              <w:rPr>
                <w:rFonts w:ascii="Arial" w:hAnsi="Arial" w:cs="Arial"/>
                <w:sz w:val="18"/>
                <w:szCs w:val="18"/>
                <w:lang w:val="en-GB"/>
              </w:rPr>
              <w:t>4</w:t>
            </w:r>
            <w:r w:rsidRPr="00650EA4">
              <w:rPr>
                <w:rFonts w:ascii="Arial" w:hAnsi="Arial" w:cs="Arial"/>
                <w:sz w:val="18"/>
                <w:szCs w:val="18"/>
                <w:lang w:val="en-GB"/>
              </w:rPr>
              <w:t>%</w:t>
            </w:r>
          </w:p>
        </w:tc>
        <w:tc>
          <w:tcPr>
            <w:tcW w:w="1128" w:type="dxa"/>
            <w:shd w:val="clear" w:color="auto" w:fill="auto"/>
            <w:noWrap/>
            <w:vAlign w:val="bottom"/>
            <w:hideMark/>
          </w:tcPr>
          <w:p w:rsidR="00F36077" w:rsidRPr="00650EA4" w:rsidRDefault="00F36077" w:rsidP="00F36077">
            <w:pPr>
              <w:jc w:val="center"/>
              <w:rPr>
                <w:rFonts w:ascii="Arial" w:hAnsi="Arial" w:cs="Arial"/>
                <w:b/>
                <w:bCs/>
                <w:sz w:val="18"/>
                <w:szCs w:val="18"/>
                <w:lang w:val="en-GB"/>
              </w:rPr>
            </w:pPr>
            <w:r w:rsidRPr="00650EA4">
              <w:rPr>
                <w:rFonts w:ascii="Arial" w:hAnsi="Arial" w:cs="Arial"/>
                <w:b/>
                <w:bCs/>
                <w:sz w:val="18"/>
                <w:szCs w:val="18"/>
                <w:lang w:val="en-GB"/>
              </w:rPr>
              <w:t> </w:t>
            </w:r>
          </w:p>
        </w:tc>
      </w:tr>
    </w:tbl>
    <w:p w:rsidR="004506F5" w:rsidRDefault="00374BFB" w:rsidP="00505CB3">
      <w:pPr>
        <w:tabs>
          <w:tab w:val="left" w:pos="284"/>
        </w:tabs>
        <w:spacing w:after="0"/>
        <w:rPr>
          <w:rFonts w:ascii="Arial" w:hAnsi="Arial" w:cs="Arial"/>
          <w:i/>
          <w:sz w:val="16"/>
          <w:szCs w:val="16"/>
          <w:lang w:val="en-GB"/>
        </w:rPr>
      </w:pPr>
      <w:r w:rsidRPr="00650EA4">
        <w:rPr>
          <w:rFonts w:ascii="Arial" w:hAnsi="Arial" w:cs="Arial"/>
          <w:i/>
          <w:sz w:val="16"/>
          <w:szCs w:val="16"/>
          <w:lang w:val="en-GB"/>
        </w:rPr>
        <w:t xml:space="preserve">* </w:t>
      </w:r>
      <w:r w:rsidR="00505CB3">
        <w:rPr>
          <w:rFonts w:ascii="Arial" w:hAnsi="Arial" w:cs="Arial"/>
          <w:i/>
          <w:sz w:val="16"/>
          <w:szCs w:val="16"/>
          <w:lang w:val="en-GB"/>
        </w:rPr>
        <w:tab/>
      </w:r>
      <w:r w:rsidRPr="00650EA4">
        <w:rPr>
          <w:rFonts w:ascii="Arial" w:hAnsi="Arial" w:cs="Arial"/>
          <w:i/>
          <w:sz w:val="16"/>
          <w:szCs w:val="16"/>
          <w:lang w:val="en-GB"/>
        </w:rPr>
        <w:t>+26% at constant currencies</w:t>
      </w:r>
    </w:p>
    <w:p w:rsidR="0038270F" w:rsidRPr="00650EA4" w:rsidRDefault="0038270F" w:rsidP="00505CB3">
      <w:pPr>
        <w:tabs>
          <w:tab w:val="left" w:pos="284"/>
        </w:tabs>
        <w:spacing w:after="0"/>
        <w:rPr>
          <w:rFonts w:ascii="Arial" w:hAnsi="Arial" w:cs="Arial"/>
          <w:sz w:val="20"/>
          <w:szCs w:val="20"/>
          <w:lang w:val="en-GB"/>
        </w:rPr>
      </w:pPr>
      <w:r>
        <w:rPr>
          <w:rFonts w:ascii="Arial" w:hAnsi="Arial" w:cs="Arial"/>
          <w:i/>
          <w:sz w:val="16"/>
          <w:szCs w:val="16"/>
          <w:lang w:val="en-GB"/>
        </w:rPr>
        <w:t xml:space="preserve">** </w:t>
      </w:r>
      <w:r w:rsidR="00505CB3">
        <w:rPr>
          <w:rFonts w:ascii="Arial" w:hAnsi="Arial" w:cs="Arial"/>
          <w:i/>
          <w:sz w:val="16"/>
          <w:szCs w:val="16"/>
          <w:lang w:val="en-GB"/>
        </w:rPr>
        <w:tab/>
        <w:t>+</w:t>
      </w:r>
      <w:r>
        <w:rPr>
          <w:rFonts w:ascii="Arial" w:hAnsi="Arial" w:cs="Arial"/>
          <w:i/>
          <w:sz w:val="16"/>
          <w:szCs w:val="16"/>
          <w:lang w:val="en-GB"/>
        </w:rPr>
        <w:t>38% excluding one off costs</w:t>
      </w:r>
    </w:p>
    <w:p w:rsidR="004506F5" w:rsidRPr="00650EA4" w:rsidRDefault="004506F5" w:rsidP="008C4104">
      <w:pPr>
        <w:pStyle w:val="ListParagraph"/>
        <w:spacing w:after="0"/>
        <w:ind w:left="360"/>
        <w:rPr>
          <w:rFonts w:ascii="Arial" w:hAnsi="Arial" w:cs="Arial"/>
          <w:sz w:val="20"/>
          <w:szCs w:val="20"/>
          <w:lang w:val="en-GB"/>
        </w:rPr>
      </w:pPr>
    </w:p>
    <w:p w:rsidR="00B66AB6" w:rsidRPr="00650EA4" w:rsidRDefault="00B66AB6" w:rsidP="00B66AB6">
      <w:pPr>
        <w:spacing w:after="0"/>
        <w:rPr>
          <w:rFonts w:ascii="Arial" w:hAnsi="Arial" w:cs="Arial"/>
          <w:sz w:val="20"/>
          <w:szCs w:val="20"/>
          <w:lang w:val="en-GB"/>
        </w:rPr>
      </w:pPr>
      <w:r w:rsidRPr="00650EA4">
        <w:rPr>
          <w:rFonts w:ascii="Arial" w:hAnsi="Arial" w:cs="Arial"/>
          <w:sz w:val="20"/>
          <w:szCs w:val="20"/>
          <w:lang w:val="en-GB"/>
        </w:rPr>
        <w:t xml:space="preserve">Brunel </w:t>
      </w:r>
      <w:r w:rsidRPr="00033BDC">
        <w:rPr>
          <w:rFonts w:ascii="Arial" w:hAnsi="Arial" w:cs="Arial"/>
          <w:b/>
          <w:sz w:val="20"/>
          <w:szCs w:val="20"/>
          <w:lang w:val="en-GB"/>
        </w:rPr>
        <w:t>Oil and Gas</w:t>
      </w:r>
      <w:r w:rsidRPr="00650EA4">
        <w:rPr>
          <w:rFonts w:ascii="Arial" w:hAnsi="Arial" w:cs="Arial"/>
          <w:sz w:val="20"/>
          <w:szCs w:val="20"/>
          <w:lang w:val="en-GB"/>
        </w:rPr>
        <w:t xml:space="preserve"> realised a revenue of € </w:t>
      </w:r>
      <w:r w:rsidR="002404DB" w:rsidRPr="00650EA4">
        <w:rPr>
          <w:rFonts w:ascii="Arial" w:hAnsi="Arial" w:cs="Arial"/>
          <w:sz w:val="20"/>
          <w:szCs w:val="20"/>
          <w:lang w:val="en-GB"/>
        </w:rPr>
        <w:t>229</w:t>
      </w:r>
      <w:r w:rsidRPr="00650EA4">
        <w:rPr>
          <w:rFonts w:ascii="Arial" w:hAnsi="Arial" w:cs="Arial"/>
          <w:sz w:val="20"/>
          <w:szCs w:val="20"/>
          <w:lang w:val="en-GB"/>
        </w:rPr>
        <w:t xml:space="preserve"> million, an increase of </w:t>
      </w:r>
      <w:r w:rsidR="002404DB" w:rsidRPr="00650EA4">
        <w:rPr>
          <w:rFonts w:ascii="Arial" w:hAnsi="Arial" w:cs="Arial"/>
          <w:sz w:val="20"/>
          <w:szCs w:val="20"/>
          <w:lang w:val="en-GB"/>
        </w:rPr>
        <w:t>45%</w:t>
      </w:r>
      <w:r w:rsidRPr="00650EA4">
        <w:rPr>
          <w:rFonts w:ascii="Arial" w:hAnsi="Arial" w:cs="Arial"/>
          <w:sz w:val="20"/>
          <w:szCs w:val="20"/>
          <w:lang w:val="en-GB"/>
        </w:rPr>
        <w:t xml:space="preserve"> compared to the same period in 2011. The increase is mainly due to the large numbers of contractors employed </w:t>
      </w:r>
      <w:r w:rsidR="00663E9D" w:rsidRPr="00650EA4">
        <w:rPr>
          <w:rFonts w:ascii="Arial" w:hAnsi="Arial" w:cs="Arial"/>
          <w:sz w:val="20"/>
          <w:szCs w:val="20"/>
          <w:lang w:val="en-GB"/>
        </w:rPr>
        <w:t>i</w:t>
      </w:r>
      <w:r w:rsidRPr="00650EA4">
        <w:rPr>
          <w:rFonts w:ascii="Arial" w:hAnsi="Arial" w:cs="Arial"/>
          <w:sz w:val="20"/>
          <w:szCs w:val="20"/>
          <w:lang w:val="en-GB"/>
        </w:rPr>
        <w:t xml:space="preserve">n </w:t>
      </w:r>
      <w:r w:rsidR="00663E9D" w:rsidRPr="00650EA4">
        <w:rPr>
          <w:rFonts w:ascii="Arial" w:hAnsi="Arial" w:cs="Arial"/>
          <w:sz w:val="20"/>
          <w:szCs w:val="20"/>
          <w:lang w:val="en-GB"/>
        </w:rPr>
        <w:t xml:space="preserve">the Offshore Projects division. </w:t>
      </w:r>
      <w:r w:rsidRPr="00650EA4">
        <w:rPr>
          <w:rFonts w:ascii="Arial" w:hAnsi="Arial" w:cs="Arial"/>
          <w:sz w:val="20"/>
          <w:szCs w:val="20"/>
          <w:lang w:val="en-GB"/>
        </w:rPr>
        <w:t xml:space="preserve">The revenue generated by the Australian projects amounted to € </w:t>
      </w:r>
      <w:r w:rsidR="00663E9D" w:rsidRPr="00650EA4">
        <w:rPr>
          <w:rFonts w:ascii="Arial" w:hAnsi="Arial" w:cs="Arial"/>
          <w:sz w:val="20"/>
          <w:szCs w:val="20"/>
          <w:lang w:val="en-GB"/>
        </w:rPr>
        <w:t>7</w:t>
      </w:r>
      <w:r w:rsidR="00033BDC">
        <w:rPr>
          <w:rFonts w:ascii="Arial" w:hAnsi="Arial" w:cs="Arial"/>
          <w:sz w:val="20"/>
          <w:szCs w:val="20"/>
          <w:lang w:val="en-GB"/>
        </w:rPr>
        <w:t xml:space="preserve">2 </w:t>
      </w:r>
      <w:r w:rsidR="00831E6C" w:rsidRPr="00650EA4">
        <w:rPr>
          <w:rFonts w:ascii="Arial" w:hAnsi="Arial" w:cs="Arial"/>
          <w:sz w:val="20"/>
          <w:szCs w:val="20"/>
          <w:lang w:val="en-GB"/>
        </w:rPr>
        <w:t>million</w:t>
      </w:r>
      <w:r w:rsidR="00033BDC">
        <w:rPr>
          <w:rFonts w:ascii="Arial" w:hAnsi="Arial" w:cs="Arial"/>
          <w:sz w:val="20"/>
          <w:szCs w:val="20"/>
          <w:lang w:val="en-GB"/>
        </w:rPr>
        <w:t xml:space="preserve"> in this quarter which is twice the amount realised in Q3 last year.</w:t>
      </w:r>
      <w:r w:rsidR="0084126B" w:rsidRPr="00650EA4">
        <w:rPr>
          <w:rFonts w:ascii="Arial" w:hAnsi="Arial" w:cs="Arial"/>
          <w:sz w:val="20"/>
          <w:szCs w:val="20"/>
          <w:lang w:val="en-GB"/>
        </w:rPr>
        <w:t xml:space="preserve"> </w:t>
      </w:r>
      <w:r w:rsidR="0038270F">
        <w:rPr>
          <w:rFonts w:ascii="Arial" w:hAnsi="Arial" w:cs="Arial"/>
          <w:sz w:val="20"/>
          <w:szCs w:val="20"/>
          <w:lang w:val="en-GB"/>
        </w:rPr>
        <w:t xml:space="preserve">As a result of a lower activity level, the offshore projects revenue Q4 2012 is expected to amount approximately </w:t>
      </w:r>
      <w:r w:rsidR="0038270F" w:rsidRPr="00650EA4">
        <w:rPr>
          <w:rFonts w:ascii="Arial" w:hAnsi="Arial" w:cs="Arial"/>
          <w:sz w:val="20"/>
          <w:szCs w:val="20"/>
          <w:lang w:val="en-GB"/>
        </w:rPr>
        <w:t>€</w:t>
      </w:r>
      <w:r w:rsidR="0038270F">
        <w:rPr>
          <w:rFonts w:ascii="Arial" w:hAnsi="Arial" w:cs="Arial"/>
          <w:sz w:val="20"/>
          <w:szCs w:val="20"/>
          <w:lang w:val="en-GB"/>
        </w:rPr>
        <w:t xml:space="preserve"> 50 </w:t>
      </w:r>
      <w:r w:rsidR="00831E6C" w:rsidRPr="00650EA4">
        <w:rPr>
          <w:rFonts w:ascii="Arial" w:hAnsi="Arial" w:cs="Arial"/>
          <w:sz w:val="20"/>
          <w:szCs w:val="20"/>
          <w:lang w:val="en-GB"/>
        </w:rPr>
        <w:t>million</w:t>
      </w:r>
      <w:r w:rsidR="0038270F">
        <w:rPr>
          <w:rFonts w:ascii="Arial" w:hAnsi="Arial" w:cs="Arial"/>
          <w:sz w:val="20"/>
          <w:szCs w:val="20"/>
          <w:lang w:val="en-GB"/>
        </w:rPr>
        <w:t xml:space="preserve">. </w:t>
      </w:r>
      <w:r w:rsidR="006527D8" w:rsidRPr="00650EA4">
        <w:rPr>
          <w:rFonts w:ascii="Arial" w:hAnsi="Arial" w:cs="Arial"/>
          <w:sz w:val="20"/>
          <w:szCs w:val="20"/>
          <w:lang w:val="en-GB"/>
        </w:rPr>
        <w:t xml:space="preserve">The regular Energy </w:t>
      </w:r>
      <w:r w:rsidR="00033BDC">
        <w:rPr>
          <w:rFonts w:ascii="Arial" w:hAnsi="Arial" w:cs="Arial"/>
          <w:sz w:val="20"/>
          <w:szCs w:val="20"/>
          <w:lang w:val="en-GB"/>
        </w:rPr>
        <w:t>business</w:t>
      </w:r>
      <w:r w:rsidR="006527D8" w:rsidRPr="00650EA4">
        <w:rPr>
          <w:rFonts w:ascii="Arial" w:hAnsi="Arial" w:cs="Arial"/>
          <w:sz w:val="20"/>
          <w:szCs w:val="20"/>
          <w:lang w:val="en-GB"/>
        </w:rPr>
        <w:t xml:space="preserve"> continued to increase revenue in Q3</w:t>
      </w:r>
      <w:r w:rsidR="00033BDC">
        <w:rPr>
          <w:rFonts w:ascii="Arial" w:hAnsi="Arial" w:cs="Arial"/>
          <w:sz w:val="20"/>
          <w:szCs w:val="20"/>
          <w:lang w:val="en-GB"/>
        </w:rPr>
        <w:t xml:space="preserve"> by 27% compared with Q3 last year</w:t>
      </w:r>
      <w:r w:rsidR="006527D8" w:rsidRPr="00650EA4">
        <w:rPr>
          <w:rFonts w:ascii="Arial" w:hAnsi="Arial" w:cs="Arial"/>
          <w:sz w:val="20"/>
          <w:szCs w:val="20"/>
          <w:lang w:val="en-GB"/>
        </w:rPr>
        <w:t>.</w:t>
      </w:r>
    </w:p>
    <w:p w:rsidR="00B66AB6" w:rsidRPr="00650EA4" w:rsidRDefault="00B66AB6" w:rsidP="00B66AB6">
      <w:pPr>
        <w:spacing w:after="0"/>
        <w:rPr>
          <w:rFonts w:ascii="Arial" w:hAnsi="Arial" w:cs="Arial"/>
          <w:sz w:val="20"/>
          <w:szCs w:val="20"/>
          <w:lang w:val="en-GB"/>
        </w:rPr>
      </w:pPr>
      <w:r w:rsidRPr="00650EA4">
        <w:rPr>
          <w:rFonts w:ascii="Arial" w:hAnsi="Arial" w:cs="Arial"/>
          <w:sz w:val="20"/>
          <w:szCs w:val="20"/>
          <w:lang w:val="en-GB"/>
        </w:rPr>
        <w:t>The g</w:t>
      </w:r>
      <w:r w:rsidR="002404DB" w:rsidRPr="00650EA4">
        <w:rPr>
          <w:rFonts w:ascii="Arial" w:hAnsi="Arial" w:cs="Arial"/>
          <w:sz w:val="20"/>
          <w:szCs w:val="20"/>
          <w:lang w:val="en-GB"/>
        </w:rPr>
        <w:t>ross margin</w:t>
      </w:r>
      <w:r w:rsidR="00033BDC">
        <w:rPr>
          <w:rFonts w:ascii="Arial" w:hAnsi="Arial" w:cs="Arial"/>
          <w:sz w:val="20"/>
          <w:szCs w:val="20"/>
          <w:lang w:val="en-GB"/>
        </w:rPr>
        <w:t xml:space="preserve"> of Oil and Gas</w:t>
      </w:r>
      <w:r w:rsidR="002404DB" w:rsidRPr="00650EA4">
        <w:rPr>
          <w:rFonts w:ascii="Arial" w:hAnsi="Arial" w:cs="Arial"/>
          <w:sz w:val="20"/>
          <w:szCs w:val="20"/>
          <w:lang w:val="en-GB"/>
        </w:rPr>
        <w:t xml:space="preserve"> in Q</w:t>
      </w:r>
      <w:r w:rsidR="00B10BB2" w:rsidRPr="00650EA4">
        <w:rPr>
          <w:rFonts w:ascii="Arial" w:hAnsi="Arial" w:cs="Arial"/>
          <w:sz w:val="20"/>
          <w:szCs w:val="20"/>
          <w:lang w:val="en-GB"/>
        </w:rPr>
        <w:t>3</w:t>
      </w:r>
      <w:r w:rsidR="002404DB" w:rsidRPr="00650EA4">
        <w:rPr>
          <w:rFonts w:ascii="Arial" w:hAnsi="Arial" w:cs="Arial"/>
          <w:sz w:val="20"/>
          <w:szCs w:val="20"/>
          <w:lang w:val="en-GB"/>
        </w:rPr>
        <w:t xml:space="preserve"> 2012 is</w:t>
      </w:r>
      <w:r w:rsidRPr="00650EA4">
        <w:rPr>
          <w:rFonts w:ascii="Arial" w:hAnsi="Arial" w:cs="Arial"/>
          <w:sz w:val="20"/>
          <w:szCs w:val="20"/>
          <w:lang w:val="en-GB"/>
        </w:rPr>
        <w:t xml:space="preserve"> 1</w:t>
      </w:r>
      <w:r w:rsidR="002404DB" w:rsidRPr="00650EA4">
        <w:rPr>
          <w:rFonts w:ascii="Arial" w:hAnsi="Arial" w:cs="Arial"/>
          <w:sz w:val="20"/>
          <w:szCs w:val="20"/>
          <w:lang w:val="en-GB"/>
        </w:rPr>
        <w:t>1.4</w:t>
      </w:r>
      <w:r w:rsidRPr="00650EA4">
        <w:rPr>
          <w:rFonts w:ascii="Arial" w:hAnsi="Arial" w:cs="Arial"/>
          <w:sz w:val="20"/>
          <w:szCs w:val="20"/>
          <w:lang w:val="en-GB"/>
        </w:rPr>
        <w:t xml:space="preserve">%, </w:t>
      </w:r>
      <w:r w:rsidR="002404DB" w:rsidRPr="00650EA4">
        <w:rPr>
          <w:rFonts w:ascii="Arial" w:hAnsi="Arial" w:cs="Arial"/>
          <w:sz w:val="20"/>
          <w:szCs w:val="20"/>
          <w:lang w:val="en-GB"/>
        </w:rPr>
        <w:t xml:space="preserve">slightly up compared </w:t>
      </w:r>
      <w:r w:rsidRPr="00650EA4">
        <w:rPr>
          <w:rFonts w:ascii="Arial" w:hAnsi="Arial" w:cs="Arial"/>
          <w:sz w:val="20"/>
          <w:szCs w:val="20"/>
          <w:lang w:val="en-GB"/>
        </w:rPr>
        <w:t>to the gross margin in the same period last</w:t>
      </w:r>
      <w:r w:rsidR="00033BDC">
        <w:rPr>
          <w:rFonts w:ascii="Arial" w:hAnsi="Arial" w:cs="Arial"/>
          <w:sz w:val="20"/>
          <w:szCs w:val="20"/>
          <w:lang w:val="en-GB"/>
        </w:rPr>
        <w:t xml:space="preserve"> year driven by higher gross margins in both the Energy and </w:t>
      </w:r>
      <w:r w:rsidR="00033BDC" w:rsidRPr="00D665CB">
        <w:rPr>
          <w:rFonts w:ascii="Arial" w:hAnsi="Arial" w:cs="Arial"/>
          <w:sz w:val="20"/>
          <w:szCs w:val="20"/>
          <w:lang w:val="en-GB"/>
        </w:rPr>
        <w:t xml:space="preserve">Offshore </w:t>
      </w:r>
      <w:r w:rsidR="00C3643A" w:rsidRPr="00D665CB">
        <w:rPr>
          <w:rFonts w:ascii="Arial" w:hAnsi="Arial" w:cs="Arial"/>
          <w:sz w:val="20"/>
          <w:szCs w:val="20"/>
          <w:lang w:val="en-GB"/>
        </w:rPr>
        <w:t>businesses.</w:t>
      </w:r>
      <w:r w:rsidRPr="00650EA4">
        <w:rPr>
          <w:rFonts w:ascii="Arial" w:hAnsi="Arial" w:cs="Arial"/>
          <w:sz w:val="20"/>
          <w:szCs w:val="20"/>
          <w:lang w:val="en-GB"/>
        </w:rPr>
        <w:t xml:space="preserve"> </w:t>
      </w:r>
    </w:p>
    <w:p w:rsidR="00B66AB6" w:rsidRPr="00650EA4" w:rsidRDefault="00B66AB6" w:rsidP="00B66AB6">
      <w:pPr>
        <w:spacing w:after="0"/>
        <w:rPr>
          <w:rFonts w:ascii="Arial" w:hAnsi="Arial" w:cs="Arial"/>
          <w:sz w:val="20"/>
          <w:szCs w:val="20"/>
          <w:lang w:val="en-GB"/>
        </w:rPr>
      </w:pPr>
    </w:p>
    <w:p w:rsidR="00650EA4" w:rsidRPr="00650EA4" w:rsidRDefault="00B66AB6" w:rsidP="00B66AB6">
      <w:pPr>
        <w:spacing w:after="0"/>
        <w:rPr>
          <w:rFonts w:ascii="Arial" w:hAnsi="Arial" w:cs="Arial"/>
          <w:sz w:val="20"/>
          <w:szCs w:val="20"/>
          <w:lang w:val="en-GB"/>
        </w:rPr>
      </w:pPr>
      <w:r w:rsidRPr="00650EA4">
        <w:rPr>
          <w:rFonts w:ascii="Arial" w:hAnsi="Arial" w:cs="Arial"/>
          <w:sz w:val="20"/>
          <w:szCs w:val="20"/>
          <w:lang w:val="en-GB"/>
        </w:rPr>
        <w:t xml:space="preserve">Brunel </w:t>
      </w:r>
      <w:r w:rsidRPr="00033BDC">
        <w:rPr>
          <w:rFonts w:ascii="Arial" w:hAnsi="Arial" w:cs="Arial"/>
          <w:b/>
          <w:sz w:val="20"/>
          <w:szCs w:val="20"/>
          <w:lang w:val="en-GB"/>
        </w:rPr>
        <w:t>Europe</w:t>
      </w:r>
      <w:r w:rsidRPr="00650EA4">
        <w:rPr>
          <w:rFonts w:ascii="Arial" w:hAnsi="Arial" w:cs="Arial"/>
          <w:sz w:val="20"/>
          <w:szCs w:val="20"/>
          <w:lang w:val="en-GB"/>
        </w:rPr>
        <w:t xml:space="preserve"> </w:t>
      </w:r>
      <w:r w:rsidR="006527D8" w:rsidRPr="00650EA4">
        <w:rPr>
          <w:rFonts w:ascii="Arial" w:hAnsi="Arial" w:cs="Arial"/>
          <w:sz w:val="20"/>
          <w:szCs w:val="20"/>
          <w:lang w:val="en-GB"/>
        </w:rPr>
        <w:t xml:space="preserve">continued to </w:t>
      </w:r>
      <w:r w:rsidR="00650EA4" w:rsidRPr="00650EA4">
        <w:rPr>
          <w:rFonts w:ascii="Arial" w:hAnsi="Arial" w:cs="Arial"/>
          <w:sz w:val="20"/>
          <w:szCs w:val="20"/>
          <w:lang w:val="en-GB"/>
        </w:rPr>
        <w:t>increase its revenue in Q3 this year.</w:t>
      </w:r>
      <w:r w:rsidRPr="00650EA4">
        <w:rPr>
          <w:rFonts w:ascii="Arial" w:hAnsi="Arial" w:cs="Arial"/>
          <w:sz w:val="20"/>
          <w:szCs w:val="20"/>
          <w:lang w:val="en-GB"/>
        </w:rPr>
        <w:t xml:space="preserve"> Total revenue </w:t>
      </w:r>
      <w:r w:rsidR="00650EA4" w:rsidRPr="00650EA4">
        <w:rPr>
          <w:rFonts w:ascii="Arial" w:hAnsi="Arial" w:cs="Arial"/>
          <w:sz w:val="20"/>
          <w:szCs w:val="20"/>
          <w:lang w:val="en-GB"/>
        </w:rPr>
        <w:t xml:space="preserve">this quarter </w:t>
      </w:r>
      <w:r w:rsidRPr="00650EA4">
        <w:rPr>
          <w:rFonts w:ascii="Arial" w:hAnsi="Arial" w:cs="Arial"/>
          <w:sz w:val="20"/>
          <w:szCs w:val="20"/>
          <w:lang w:val="en-GB"/>
        </w:rPr>
        <w:t xml:space="preserve">amounted to </w:t>
      </w:r>
    </w:p>
    <w:p w:rsidR="00B66AB6" w:rsidRPr="00650EA4" w:rsidRDefault="00B66AB6" w:rsidP="00B66AB6">
      <w:pPr>
        <w:spacing w:after="0"/>
        <w:rPr>
          <w:rFonts w:ascii="Arial" w:hAnsi="Arial" w:cs="Arial"/>
          <w:sz w:val="20"/>
          <w:szCs w:val="20"/>
          <w:lang w:val="en-GB"/>
        </w:rPr>
      </w:pPr>
      <w:r w:rsidRPr="00650EA4">
        <w:rPr>
          <w:rFonts w:ascii="Arial" w:hAnsi="Arial" w:cs="Arial"/>
          <w:sz w:val="20"/>
          <w:szCs w:val="20"/>
          <w:lang w:val="en-GB"/>
        </w:rPr>
        <w:t>€ 9</w:t>
      </w:r>
      <w:r w:rsidR="00650EA4" w:rsidRPr="00650EA4">
        <w:rPr>
          <w:rFonts w:ascii="Arial" w:hAnsi="Arial" w:cs="Arial"/>
          <w:sz w:val="20"/>
          <w:szCs w:val="20"/>
          <w:lang w:val="en-GB"/>
        </w:rPr>
        <w:t>6</w:t>
      </w:r>
      <w:r w:rsidRPr="00650EA4">
        <w:rPr>
          <w:rFonts w:ascii="Arial" w:hAnsi="Arial" w:cs="Arial"/>
          <w:sz w:val="20"/>
          <w:szCs w:val="20"/>
          <w:lang w:val="en-GB"/>
        </w:rPr>
        <w:t xml:space="preserve"> million, </w:t>
      </w:r>
      <w:r w:rsidR="00650EA4" w:rsidRPr="00650EA4">
        <w:rPr>
          <w:rFonts w:ascii="Arial" w:hAnsi="Arial" w:cs="Arial"/>
          <w:sz w:val="20"/>
          <w:szCs w:val="20"/>
          <w:lang w:val="en-GB"/>
        </w:rPr>
        <w:t>up € 4 million compared to the previous quarter</w:t>
      </w:r>
      <w:r w:rsidR="00C3643A">
        <w:rPr>
          <w:rFonts w:ascii="Arial" w:hAnsi="Arial" w:cs="Arial"/>
          <w:sz w:val="20"/>
          <w:szCs w:val="20"/>
          <w:lang w:val="en-GB"/>
        </w:rPr>
        <w:t xml:space="preserve"> of</w:t>
      </w:r>
      <w:r w:rsidR="00650EA4" w:rsidRPr="00650EA4">
        <w:rPr>
          <w:rFonts w:ascii="Arial" w:hAnsi="Arial" w:cs="Arial"/>
          <w:sz w:val="20"/>
          <w:szCs w:val="20"/>
          <w:lang w:val="en-GB"/>
        </w:rPr>
        <w:t xml:space="preserve"> this year and </w:t>
      </w:r>
      <w:r w:rsidRPr="00650EA4">
        <w:rPr>
          <w:rFonts w:ascii="Arial" w:hAnsi="Arial" w:cs="Arial"/>
          <w:sz w:val="20"/>
          <w:szCs w:val="20"/>
          <w:lang w:val="en-GB"/>
        </w:rPr>
        <w:t>an increase of 1</w:t>
      </w:r>
      <w:r w:rsidR="00650EA4" w:rsidRPr="00650EA4">
        <w:rPr>
          <w:rFonts w:ascii="Arial" w:hAnsi="Arial" w:cs="Arial"/>
          <w:sz w:val="20"/>
          <w:szCs w:val="20"/>
          <w:lang w:val="en-GB"/>
        </w:rPr>
        <w:t>1</w:t>
      </w:r>
      <w:r w:rsidRPr="00650EA4">
        <w:rPr>
          <w:rFonts w:ascii="Arial" w:hAnsi="Arial" w:cs="Arial"/>
          <w:sz w:val="20"/>
          <w:szCs w:val="20"/>
          <w:lang w:val="en-GB"/>
        </w:rPr>
        <w:t xml:space="preserve">% compared to the same period in 2011. </w:t>
      </w:r>
    </w:p>
    <w:p w:rsidR="00650EA4" w:rsidRDefault="00B66AB6" w:rsidP="00B66AB6">
      <w:pPr>
        <w:spacing w:after="0"/>
        <w:rPr>
          <w:rFonts w:ascii="Arial" w:hAnsi="Arial" w:cs="Arial"/>
          <w:sz w:val="20"/>
          <w:szCs w:val="20"/>
          <w:lang w:val="en-GB"/>
        </w:rPr>
      </w:pPr>
      <w:r w:rsidRPr="00650EA4">
        <w:rPr>
          <w:rFonts w:ascii="Arial" w:hAnsi="Arial" w:cs="Arial"/>
          <w:sz w:val="20"/>
          <w:szCs w:val="20"/>
          <w:lang w:val="en-GB"/>
        </w:rPr>
        <w:t xml:space="preserve">Gross margin </w:t>
      </w:r>
      <w:r w:rsidR="00650EA4" w:rsidRPr="00650EA4">
        <w:rPr>
          <w:rFonts w:ascii="Arial" w:hAnsi="Arial" w:cs="Arial"/>
          <w:sz w:val="20"/>
          <w:szCs w:val="20"/>
          <w:lang w:val="en-GB"/>
        </w:rPr>
        <w:t>this quarter is</w:t>
      </w:r>
      <w:r w:rsidRPr="00650EA4">
        <w:rPr>
          <w:rFonts w:ascii="Arial" w:hAnsi="Arial" w:cs="Arial"/>
          <w:sz w:val="20"/>
          <w:szCs w:val="20"/>
          <w:lang w:val="en-GB"/>
        </w:rPr>
        <w:t xml:space="preserve"> 3</w:t>
      </w:r>
      <w:r w:rsidR="00650EA4" w:rsidRPr="00650EA4">
        <w:rPr>
          <w:rFonts w:ascii="Arial" w:hAnsi="Arial" w:cs="Arial"/>
          <w:sz w:val="20"/>
          <w:szCs w:val="20"/>
          <w:lang w:val="en-GB"/>
        </w:rPr>
        <w:t>5</w:t>
      </w:r>
      <w:r w:rsidRPr="00650EA4">
        <w:rPr>
          <w:rFonts w:ascii="Arial" w:hAnsi="Arial" w:cs="Arial"/>
          <w:sz w:val="20"/>
          <w:szCs w:val="20"/>
          <w:lang w:val="en-GB"/>
        </w:rPr>
        <w:t>%</w:t>
      </w:r>
      <w:r w:rsidR="00FE63C7">
        <w:rPr>
          <w:rFonts w:ascii="Arial" w:hAnsi="Arial" w:cs="Arial"/>
          <w:sz w:val="20"/>
          <w:szCs w:val="20"/>
          <w:lang w:val="en-GB"/>
        </w:rPr>
        <w:t xml:space="preserve">, 1ppt below the margin realised in the same period last year which </w:t>
      </w:r>
      <w:r w:rsidR="000F60DF">
        <w:rPr>
          <w:rFonts w:ascii="Arial" w:hAnsi="Arial" w:cs="Arial"/>
          <w:sz w:val="20"/>
          <w:szCs w:val="20"/>
          <w:lang w:val="en-GB"/>
        </w:rPr>
        <w:t>had</w:t>
      </w:r>
      <w:r w:rsidR="00FE63C7">
        <w:rPr>
          <w:rFonts w:ascii="Arial" w:hAnsi="Arial" w:cs="Arial"/>
          <w:sz w:val="20"/>
          <w:szCs w:val="20"/>
          <w:lang w:val="en-GB"/>
        </w:rPr>
        <w:t xml:space="preserve"> one more working day. </w:t>
      </w:r>
    </w:p>
    <w:p w:rsidR="00374BFB" w:rsidRDefault="00374BFB" w:rsidP="00B66AB6">
      <w:pPr>
        <w:spacing w:after="0"/>
        <w:rPr>
          <w:rFonts w:ascii="Arial" w:hAnsi="Arial" w:cs="Arial"/>
          <w:sz w:val="20"/>
          <w:szCs w:val="20"/>
          <w:lang w:val="en-GB"/>
        </w:rPr>
      </w:pPr>
    </w:p>
    <w:p w:rsidR="00926B04" w:rsidRPr="00E37EF2" w:rsidRDefault="00B66AB6" w:rsidP="00B66AB6">
      <w:pPr>
        <w:spacing w:after="0"/>
        <w:rPr>
          <w:rFonts w:ascii="Arial" w:hAnsi="Arial" w:cs="Arial"/>
          <w:sz w:val="20"/>
          <w:szCs w:val="20"/>
          <w:lang w:val="en-GB"/>
        </w:rPr>
      </w:pPr>
      <w:r w:rsidRPr="00926B04">
        <w:rPr>
          <w:rFonts w:ascii="Arial" w:hAnsi="Arial" w:cs="Arial"/>
          <w:sz w:val="20"/>
          <w:szCs w:val="20"/>
          <w:lang w:val="en-GB"/>
        </w:rPr>
        <w:t xml:space="preserve">In the </w:t>
      </w:r>
      <w:r w:rsidRPr="00033BDC">
        <w:rPr>
          <w:rFonts w:ascii="Arial" w:hAnsi="Arial" w:cs="Arial"/>
          <w:b/>
          <w:sz w:val="20"/>
          <w:szCs w:val="20"/>
          <w:lang w:val="en-GB"/>
        </w:rPr>
        <w:t>Netherlands</w:t>
      </w:r>
      <w:r w:rsidRPr="00926B04">
        <w:rPr>
          <w:rFonts w:ascii="Arial" w:hAnsi="Arial" w:cs="Arial"/>
          <w:sz w:val="20"/>
          <w:szCs w:val="20"/>
          <w:lang w:val="en-GB"/>
        </w:rPr>
        <w:t xml:space="preserve"> a</w:t>
      </w:r>
      <w:r w:rsidR="00C3643A">
        <w:rPr>
          <w:rFonts w:ascii="Arial" w:hAnsi="Arial" w:cs="Arial"/>
          <w:sz w:val="20"/>
          <w:szCs w:val="20"/>
          <w:lang w:val="en-GB"/>
        </w:rPr>
        <w:t xml:space="preserve"> Q3</w:t>
      </w:r>
      <w:r w:rsidRPr="00926B04">
        <w:rPr>
          <w:rFonts w:ascii="Arial" w:hAnsi="Arial" w:cs="Arial"/>
          <w:sz w:val="20"/>
          <w:szCs w:val="20"/>
          <w:lang w:val="en-GB"/>
        </w:rPr>
        <w:t xml:space="preserve"> re</w:t>
      </w:r>
      <w:r w:rsidR="00AE4F04" w:rsidRPr="00926B04">
        <w:rPr>
          <w:rFonts w:ascii="Arial" w:hAnsi="Arial" w:cs="Arial"/>
          <w:sz w:val="20"/>
          <w:szCs w:val="20"/>
          <w:lang w:val="en-GB"/>
        </w:rPr>
        <w:t xml:space="preserve">venue of </w:t>
      </w:r>
      <w:r w:rsidRPr="00926B04">
        <w:rPr>
          <w:rFonts w:ascii="Arial" w:hAnsi="Arial" w:cs="Arial"/>
          <w:sz w:val="20"/>
          <w:szCs w:val="20"/>
          <w:lang w:val="en-GB"/>
        </w:rPr>
        <w:t xml:space="preserve">€ </w:t>
      </w:r>
      <w:r w:rsidR="00FE63C7" w:rsidRPr="00926B04">
        <w:rPr>
          <w:rFonts w:ascii="Arial" w:hAnsi="Arial" w:cs="Arial"/>
          <w:sz w:val="20"/>
          <w:szCs w:val="20"/>
          <w:lang w:val="en-GB"/>
        </w:rPr>
        <w:t>39</w:t>
      </w:r>
      <w:r w:rsidRPr="00926B04">
        <w:rPr>
          <w:rFonts w:ascii="Arial" w:hAnsi="Arial" w:cs="Arial"/>
          <w:sz w:val="20"/>
          <w:szCs w:val="20"/>
          <w:lang w:val="en-GB"/>
        </w:rPr>
        <w:t xml:space="preserve"> million was realised, an increase of </w:t>
      </w:r>
      <w:r w:rsidR="00FE63C7" w:rsidRPr="00926B04">
        <w:rPr>
          <w:rFonts w:ascii="Arial" w:hAnsi="Arial" w:cs="Arial"/>
          <w:sz w:val="20"/>
          <w:szCs w:val="20"/>
          <w:lang w:val="en-GB"/>
        </w:rPr>
        <w:t>2</w:t>
      </w:r>
      <w:r w:rsidRPr="00926B04">
        <w:rPr>
          <w:rFonts w:ascii="Arial" w:hAnsi="Arial" w:cs="Arial"/>
          <w:sz w:val="20"/>
          <w:szCs w:val="20"/>
          <w:lang w:val="en-GB"/>
        </w:rPr>
        <w:t>% compared to the same period last year</w:t>
      </w:r>
      <w:r w:rsidR="00926B04" w:rsidRPr="00926B04">
        <w:rPr>
          <w:rFonts w:ascii="Arial" w:hAnsi="Arial" w:cs="Arial"/>
          <w:sz w:val="20"/>
          <w:szCs w:val="20"/>
          <w:lang w:val="en-GB"/>
        </w:rPr>
        <w:t xml:space="preserve"> despite one less working day</w:t>
      </w:r>
      <w:r w:rsidRPr="00926B04">
        <w:rPr>
          <w:rFonts w:ascii="Arial" w:hAnsi="Arial" w:cs="Arial"/>
          <w:sz w:val="20"/>
          <w:szCs w:val="20"/>
          <w:lang w:val="en-GB"/>
        </w:rPr>
        <w:t xml:space="preserve">. The gross margin </w:t>
      </w:r>
      <w:r w:rsidR="00926B04" w:rsidRPr="00926B04">
        <w:rPr>
          <w:rFonts w:ascii="Arial" w:hAnsi="Arial" w:cs="Arial"/>
          <w:sz w:val="20"/>
          <w:szCs w:val="20"/>
          <w:lang w:val="en-GB"/>
        </w:rPr>
        <w:t xml:space="preserve">in Q3 is 1.3ppt below the gross </w:t>
      </w:r>
      <w:r w:rsidR="00926B04" w:rsidRPr="00E37EF2">
        <w:rPr>
          <w:rFonts w:ascii="Arial" w:hAnsi="Arial" w:cs="Arial"/>
          <w:sz w:val="20"/>
          <w:szCs w:val="20"/>
          <w:lang w:val="en-GB"/>
        </w:rPr>
        <w:t>margin in Q3 of last year</w:t>
      </w:r>
      <w:r w:rsidR="00C3643A">
        <w:rPr>
          <w:rFonts w:ascii="Arial" w:hAnsi="Arial" w:cs="Arial"/>
          <w:sz w:val="20"/>
          <w:szCs w:val="20"/>
          <w:lang w:val="en-GB"/>
        </w:rPr>
        <w:t>, again fully explained by one less working day.</w:t>
      </w:r>
      <w:r w:rsidR="00926B04" w:rsidRPr="00E37EF2">
        <w:rPr>
          <w:rFonts w:ascii="Arial" w:hAnsi="Arial" w:cs="Arial"/>
          <w:sz w:val="20"/>
          <w:szCs w:val="20"/>
          <w:lang w:val="en-GB"/>
        </w:rPr>
        <w:t xml:space="preserve"> </w:t>
      </w:r>
    </w:p>
    <w:p w:rsidR="00926B04" w:rsidRPr="00E37EF2" w:rsidRDefault="00B66AB6" w:rsidP="00B66AB6">
      <w:pPr>
        <w:spacing w:after="0"/>
        <w:rPr>
          <w:rFonts w:ascii="Arial" w:hAnsi="Arial" w:cs="Arial"/>
          <w:sz w:val="20"/>
          <w:szCs w:val="20"/>
          <w:lang w:val="en-GB"/>
        </w:rPr>
      </w:pPr>
      <w:r w:rsidRPr="00E37EF2">
        <w:rPr>
          <w:rFonts w:ascii="Arial" w:hAnsi="Arial" w:cs="Arial"/>
          <w:sz w:val="20"/>
          <w:szCs w:val="20"/>
          <w:lang w:val="en-GB"/>
        </w:rPr>
        <w:t xml:space="preserve">In </w:t>
      </w:r>
      <w:r w:rsidRPr="00033BDC">
        <w:rPr>
          <w:rFonts w:ascii="Arial" w:hAnsi="Arial" w:cs="Arial"/>
          <w:b/>
          <w:sz w:val="20"/>
          <w:szCs w:val="20"/>
          <w:lang w:val="en-GB"/>
        </w:rPr>
        <w:t>Germany</w:t>
      </w:r>
      <w:r w:rsidRPr="00E37EF2">
        <w:rPr>
          <w:rFonts w:ascii="Arial" w:hAnsi="Arial" w:cs="Arial"/>
          <w:sz w:val="20"/>
          <w:szCs w:val="20"/>
          <w:lang w:val="en-GB"/>
        </w:rPr>
        <w:t xml:space="preserve"> revenue </w:t>
      </w:r>
      <w:r w:rsidR="00C3643A">
        <w:rPr>
          <w:rFonts w:ascii="Arial" w:hAnsi="Arial" w:cs="Arial"/>
          <w:sz w:val="20"/>
          <w:szCs w:val="20"/>
          <w:lang w:val="en-GB"/>
        </w:rPr>
        <w:t xml:space="preserve">in Q3 </w:t>
      </w:r>
      <w:r w:rsidRPr="00E37EF2">
        <w:rPr>
          <w:rFonts w:ascii="Arial" w:hAnsi="Arial" w:cs="Arial"/>
          <w:sz w:val="20"/>
          <w:szCs w:val="20"/>
          <w:lang w:val="en-GB"/>
        </w:rPr>
        <w:t>increased to € 4</w:t>
      </w:r>
      <w:r w:rsidR="00926B04" w:rsidRPr="00E37EF2">
        <w:rPr>
          <w:rFonts w:ascii="Arial" w:hAnsi="Arial" w:cs="Arial"/>
          <w:sz w:val="20"/>
          <w:szCs w:val="20"/>
          <w:lang w:val="en-GB"/>
        </w:rPr>
        <w:t>9</w:t>
      </w:r>
      <w:r w:rsidRPr="00E37EF2">
        <w:rPr>
          <w:rFonts w:ascii="Arial" w:hAnsi="Arial" w:cs="Arial"/>
          <w:sz w:val="20"/>
          <w:szCs w:val="20"/>
          <w:lang w:val="en-GB"/>
        </w:rPr>
        <w:t xml:space="preserve"> million, up 2</w:t>
      </w:r>
      <w:r w:rsidR="00926B04" w:rsidRPr="00E37EF2">
        <w:rPr>
          <w:rFonts w:ascii="Arial" w:hAnsi="Arial" w:cs="Arial"/>
          <w:sz w:val="20"/>
          <w:szCs w:val="20"/>
          <w:lang w:val="en-GB"/>
        </w:rPr>
        <w:t>0</w:t>
      </w:r>
      <w:r w:rsidRPr="00E37EF2">
        <w:rPr>
          <w:rFonts w:ascii="Arial" w:hAnsi="Arial" w:cs="Arial"/>
          <w:sz w:val="20"/>
          <w:szCs w:val="20"/>
          <w:lang w:val="en-GB"/>
        </w:rPr>
        <w:t xml:space="preserve">% compared to the same period in 2011. The gross margin </w:t>
      </w:r>
      <w:r w:rsidR="00926B04" w:rsidRPr="00E37EF2">
        <w:rPr>
          <w:rFonts w:ascii="Arial" w:hAnsi="Arial" w:cs="Arial"/>
          <w:sz w:val="20"/>
          <w:szCs w:val="20"/>
          <w:lang w:val="en-GB"/>
        </w:rPr>
        <w:t>of 38.6% i</w:t>
      </w:r>
      <w:r w:rsidRPr="00E37EF2">
        <w:rPr>
          <w:rFonts w:ascii="Arial" w:hAnsi="Arial" w:cs="Arial"/>
          <w:sz w:val="20"/>
          <w:szCs w:val="20"/>
          <w:lang w:val="en-GB"/>
        </w:rPr>
        <w:t>n Q</w:t>
      </w:r>
      <w:r w:rsidR="00926B04" w:rsidRPr="00E37EF2">
        <w:rPr>
          <w:rFonts w:ascii="Arial" w:hAnsi="Arial" w:cs="Arial"/>
          <w:sz w:val="20"/>
          <w:szCs w:val="20"/>
          <w:lang w:val="en-GB"/>
        </w:rPr>
        <w:t>3 2012 is 1.4ppt below the gross margin realised in the same quarter last year</w:t>
      </w:r>
      <w:r w:rsidR="005F657D">
        <w:rPr>
          <w:rFonts w:ascii="Arial" w:hAnsi="Arial" w:cs="Arial"/>
          <w:sz w:val="20"/>
          <w:szCs w:val="20"/>
          <w:lang w:val="en-GB"/>
        </w:rPr>
        <w:t>,</w:t>
      </w:r>
      <w:r w:rsidR="00C3643A">
        <w:rPr>
          <w:rFonts w:ascii="Arial" w:hAnsi="Arial" w:cs="Arial"/>
          <w:sz w:val="20"/>
          <w:szCs w:val="20"/>
          <w:lang w:val="en-GB"/>
        </w:rPr>
        <w:t xml:space="preserve"> </w:t>
      </w:r>
      <w:r w:rsidR="005F657D">
        <w:rPr>
          <w:rFonts w:ascii="Arial" w:hAnsi="Arial" w:cs="Arial"/>
          <w:sz w:val="20"/>
          <w:szCs w:val="20"/>
          <w:lang w:val="en-GB"/>
        </w:rPr>
        <w:t>also fully due</w:t>
      </w:r>
      <w:r w:rsidR="00C3643A">
        <w:rPr>
          <w:rFonts w:ascii="Arial" w:hAnsi="Arial" w:cs="Arial"/>
          <w:sz w:val="20"/>
          <w:szCs w:val="20"/>
          <w:lang w:val="en-GB"/>
        </w:rPr>
        <w:t xml:space="preserve"> to </w:t>
      </w:r>
      <w:r w:rsidR="00926B04" w:rsidRPr="00E37EF2">
        <w:rPr>
          <w:rFonts w:ascii="Arial" w:hAnsi="Arial" w:cs="Arial"/>
          <w:sz w:val="20"/>
          <w:szCs w:val="20"/>
          <w:lang w:val="en-GB"/>
        </w:rPr>
        <w:t>one less working day.</w:t>
      </w:r>
      <w:r w:rsidR="00AF2F84" w:rsidRPr="00E37EF2">
        <w:rPr>
          <w:rFonts w:ascii="Arial" w:hAnsi="Arial" w:cs="Arial"/>
          <w:sz w:val="20"/>
          <w:szCs w:val="20"/>
          <w:lang w:val="en-GB"/>
        </w:rPr>
        <w:t xml:space="preserve"> </w:t>
      </w:r>
    </w:p>
    <w:p w:rsidR="00926B04" w:rsidRPr="00E37EF2" w:rsidRDefault="00926B04" w:rsidP="00B66AB6">
      <w:pPr>
        <w:spacing w:after="0"/>
        <w:rPr>
          <w:rFonts w:ascii="Arial" w:hAnsi="Arial" w:cs="Arial"/>
          <w:sz w:val="20"/>
          <w:szCs w:val="20"/>
          <w:lang w:val="en-GB"/>
        </w:rPr>
      </w:pPr>
    </w:p>
    <w:p w:rsidR="00A82922" w:rsidRDefault="0091222C" w:rsidP="00B66AB6">
      <w:pPr>
        <w:spacing w:after="0"/>
        <w:rPr>
          <w:rFonts w:ascii="Arial" w:hAnsi="Arial" w:cs="Arial"/>
          <w:sz w:val="20"/>
          <w:szCs w:val="20"/>
          <w:lang w:val="en-GB"/>
        </w:rPr>
      </w:pPr>
      <w:r w:rsidRPr="00E37EF2">
        <w:rPr>
          <w:rFonts w:ascii="Arial" w:hAnsi="Arial" w:cs="Arial"/>
          <w:sz w:val="20"/>
          <w:szCs w:val="20"/>
          <w:lang w:val="en-GB"/>
        </w:rPr>
        <w:t xml:space="preserve">Total overhead costs in </w:t>
      </w:r>
      <w:r w:rsidR="00C3643A">
        <w:rPr>
          <w:rFonts w:ascii="Arial" w:hAnsi="Arial" w:cs="Arial"/>
          <w:sz w:val="20"/>
          <w:szCs w:val="20"/>
          <w:lang w:val="en-GB"/>
        </w:rPr>
        <w:t xml:space="preserve">the </w:t>
      </w:r>
      <w:r w:rsidRPr="00E37EF2">
        <w:rPr>
          <w:rFonts w:ascii="Arial" w:hAnsi="Arial" w:cs="Arial"/>
          <w:sz w:val="20"/>
          <w:szCs w:val="20"/>
          <w:lang w:val="en-GB"/>
        </w:rPr>
        <w:t xml:space="preserve">third </w:t>
      </w:r>
      <w:r w:rsidR="00B66AB6" w:rsidRPr="00E37EF2">
        <w:rPr>
          <w:rFonts w:ascii="Arial" w:hAnsi="Arial" w:cs="Arial"/>
          <w:sz w:val="20"/>
          <w:szCs w:val="20"/>
          <w:lang w:val="en-GB"/>
        </w:rPr>
        <w:t>quarter of 2012</w:t>
      </w:r>
      <w:r w:rsidRPr="00E37EF2">
        <w:rPr>
          <w:rFonts w:ascii="Arial" w:hAnsi="Arial" w:cs="Arial"/>
          <w:sz w:val="20"/>
          <w:szCs w:val="20"/>
          <w:lang w:val="en-GB"/>
        </w:rPr>
        <w:t xml:space="preserve"> amount</w:t>
      </w:r>
      <w:r w:rsidR="00B66AB6" w:rsidRPr="00E37EF2">
        <w:rPr>
          <w:rFonts w:ascii="Arial" w:hAnsi="Arial" w:cs="Arial"/>
          <w:sz w:val="20"/>
          <w:szCs w:val="20"/>
          <w:lang w:val="en-GB"/>
        </w:rPr>
        <w:t xml:space="preserve"> to € </w:t>
      </w:r>
      <w:r w:rsidR="000F60DF">
        <w:rPr>
          <w:rFonts w:ascii="Arial" w:hAnsi="Arial" w:cs="Arial"/>
          <w:sz w:val="20"/>
          <w:szCs w:val="20"/>
          <w:lang w:val="en-GB"/>
        </w:rPr>
        <w:t>38 million. This includes</w:t>
      </w:r>
      <w:r w:rsidR="00C163BA" w:rsidRPr="00E37EF2">
        <w:rPr>
          <w:rFonts w:ascii="Arial" w:hAnsi="Arial" w:cs="Arial"/>
          <w:sz w:val="20"/>
          <w:szCs w:val="20"/>
          <w:lang w:val="en-GB"/>
        </w:rPr>
        <w:t xml:space="preserve"> two one off </w:t>
      </w:r>
      <w:r w:rsidRPr="00E37EF2">
        <w:rPr>
          <w:rFonts w:ascii="Arial" w:hAnsi="Arial" w:cs="Arial"/>
          <w:sz w:val="20"/>
          <w:szCs w:val="20"/>
          <w:lang w:val="en-GB"/>
        </w:rPr>
        <w:t>items</w:t>
      </w:r>
      <w:r w:rsidR="00C163BA" w:rsidRPr="00E37EF2">
        <w:rPr>
          <w:rFonts w:ascii="Arial" w:hAnsi="Arial" w:cs="Arial"/>
          <w:sz w:val="20"/>
          <w:szCs w:val="20"/>
          <w:lang w:val="en-GB"/>
        </w:rPr>
        <w:t xml:space="preserve">. </w:t>
      </w:r>
      <w:r w:rsidR="0038270F" w:rsidRPr="00650EA4">
        <w:rPr>
          <w:rFonts w:ascii="Arial" w:hAnsi="Arial" w:cs="Arial"/>
          <w:sz w:val="20"/>
          <w:szCs w:val="20"/>
          <w:lang w:val="en-GB"/>
        </w:rPr>
        <w:t>€</w:t>
      </w:r>
      <w:r w:rsidR="0038270F">
        <w:rPr>
          <w:rFonts w:ascii="Arial" w:hAnsi="Arial" w:cs="Arial"/>
          <w:sz w:val="20"/>
          <w:szCs w:val="20"/>
          <w:lang w:val="en-GB"/>
        </w:rPr>
        <w:t> </w:t>
      </w:r>
      <w:r w:rsidR="00C163BA" w:rsidRPr="00E37EF2">
        <w:rPr>
          <w:rFonts w:ascii="Arial" w:hAnsi="Arial" w:cs="Arial"/>
          <w:sz w:val="20"/>
          <w:szCs w:val="20"/>
          <w:lang w:val="en-GB"/>
        </w:rPr>
        <w:t xml:space="preserve">0.8 </w:t>
      </w:r>
      <w:r w:rsidR="000F60DF" w:rsidRPr="00E37EF2">
        <w:rPr>
          <w:rFonts w:ascii="Arial" w:hAnsi="Arial" w:cs="Arial"/>
          <w:sz w:val="20"/>
          <w:szCs w:val="20"/>
          <w:lang w:val="en-GB"/>
        </w:rPr>
        <w:t>mi</w:t>
      </w:r>
      <w:r w:rsidR="000F60DF">
        <w:rPr>
          <w:rFonts w:ascii="Arial" w:hAnsi="Arial" w:cs="Arial"/>
          <w:sz w:val="20"/>
          <w:szCs w:val="20"/>
          <w:lang w:val="en-GB"/>
        </w:rPr>
        <w:t>llio</w:t>
      </w:r>
      <w:r w:rsidR="000F60DF" w:rsidRPr="00E37EF2">
        <w:rPr>
          <w:rFonts w:ascii="Arial" w:hAnsi="Arial" w:cs="Arial"/>
          <w:sz w:val="20"/>
          <w:szCs w:val="20"/>
          <w:lang w:val="en-GB"/>
        </w:rPr>
        <w:t>n</w:t>
      </w:r>
      <w:r w:rsidR="00C163BA" w:rsidRPr="00E37EF2">
        <w:rPr>
          <w:rFonts w:ascii="Arial" w:hAnsi="Arial" w:cs="Arial"/>
          <w:sz w:val="20"/>
          <w:szCs w:val="20"/>
          <w:lang w:val="en-GB"/>
        </w:rPr>
        <w:t xml:space="preserve"> loss</w:t>
      </w:r>
      <w:r w:rsidR="005F657D">
        <w:rPr>
          <w:rFonts w:ascii="Arial" w:hAnsi="Arial" w:cs="Arial"/>
          <w:sz w:val="20"/>
          <w:szCs w:val="20"/>
          <w:lang w:val="en-GB"/>
        </w:rPr>
        <w:t xml:space="preserve"> was incurred</w:t>
      </w:r>
      <w:r w:rsidR="00C163BA" w:rsidRPr="00E37EF2">
        <w:rPr>
          <w:rFonts w:ascii="Arial" w:hAnsi="Arial" w:cs="Arial"/>
          <w:sz w:val="20"/>
          <w:szCs w:val="20"/>
          <w:lang w:val="en-GB"/>
        </w:rPr>
        <w:t xml:space="preserve"> on a </w:t>
      </w:r>
      <w:r w:rsidR="002404DB" w:rsidRPr="00E37EF2">
        <w:rPr>
          <w:rFonts w:ascii="Arial" w:hAnsi="Arial" w:cs="Arial"/>
          <w:sz w:val="20"/>
          <w:szCs w:val="20"/>
          <w:lang w:val="en-GB"/>
        </w:rPr>
        <w:t xml:space="preserve">bankruptcy case in </w:t>
      </w:r>
      <w:r w:rsidR="00C163BA" w:rsidRPr="00E37EF2">
        <w:rPr>
          <w:rFonts w:ascii="Arial" w:hAnsi="Arial" w:cs="Arial"/>
          <w:sz w:val="20"/>
          <w:szCs w:val="20"/>
          <w:lang w:val="en-GB"/>
        </w:rPr>
        <w:t>German</w:t>
      </w:r>
      <w:r w:rsidR="00C3643A">
        <w:rPr>
          <w:rFonts w:ascii="Arial" w:hAnsi="Arial" w:cs="Arial"/>
          <w:sz w:val="20"/>
          <w:szCs w:val="20"/>
          <w:lang w:val="en-GB"/>
        </w:rPr>
        <w:t>y</w:t>
      </w:r>
      <w:r w:rsidR="00C163BA" w:rsidRPr="00E37EF2">
        <w:rPr>
          <w:rFonts w:ascii="Arial" w:hAnsi="Arial" w:cs="Arial"/>
          <w:sz w:val="20"/>
          <w:szCs w:val="20"/>
          <w:lang w:val="en-GB"/>
        </w:rPr>
        <w:t xml:space="preserve"> a</w:t>
      </w:r>
      <w:r w:rsidR="00755183">
        <w:rPr>
          <w:rFonts w:ascii="Arial" w:hAnsi="Arial" w:cs="Arial"/>
          <w:sz w:val="20"/>
          <w:szCs w:val="20"/>
          <w:lang w:val="en-GB"/>
        </w:rPr>
        <w:t xml:space="preserve">nd we have </w:t>
      </w:r>
      <w:r w:rsidR="00C3643A">
        <w:rPr>
          <w:rFonts w:ascii="Arial" w:hAnsi="Arial" w:cs="Arial"/>
          <w:sz w:val="20"/>
          <w:szCs w:val="20"/>
          <w:lang w:val="en-GB"/>
        </w:rPr>
        <w:t>provided</w:t>
      </w:r>
      <w:r w:rsidR="00755183">
        <w:rPr>
          <w:rFonts w:ascii="Arial" w:hAnsi="Arial" w:cs="Arial"/>
          <w:sz w:val="20"/>
          <w:szCs w:val="20"/>
          <w:lang w:val="en-GB"/>
        </w:rPr>
        <w:t xml:space="preserve"> for</w:t>
      </w:r>
      <w:r w:rsidR="0038270F">
        <w:rPr>
          <w:rFonts w:ascii="Arial" w:hAnsi="Arial" w:cs="Arial"/>
          <w:sz w:val="20"/>
          <w:szCs w:val="20"/>
          <w:lang w:val="en-GB"/>
        </w:rPr>
        <w:t xml:space="preserve"> </w:t>
      </w:r>
      <w:r w:rsidR="0038270F" w:rsidRPr="00650EA4">
        <w:rPr>
          <w:rFonts w:ascii="Arial" w:hAnsi="Arial" w:cs="Arial"/>
          <w:sz w:val="20"/>
          <w:szCs w:val="20"/>
          <w:lang w:val="en-GB"/>
        </w:rPr>
        <w:t>€</w:t>
      </w:r>
      <w:r w:rsidR="00755183">
        <w:rPr>
          <w:rFonts w:ascii="Arial" w:hAnsi="Arial" w:cs="Arial"/>
          <w:sz w:val="20"/>
          <w:szCs w:val="20"/>
          <w:lang w:val="en-GB"/>
        </w:rPr>
        <w:t xml:space="preserve"> 1</w:t>
      </w:r>
      <w:r w:rsidR="00C3643A">
        <w:rPr>
          <w:rFonts w:ascii="Arial" w:hAnsi="Arial" w:cs="Arial"/>
          <w:sz w:val="20"/>
          <w:szCs w:val="20"/>
          <w:lang w:val="en-GB"/>
        </w:rPr>
        <w:t>.0</w:t>
      </w:r>
      <w:r w:rsidR="00C163BA" w:rsidRPr="00E37EF2">
        <w:rPr>
          <w:rFonts w:ascii="Arial" w:hAnsi="Arial" w:cs="Arial"/>
          <w:sz w:val="20"/>
          <w:szCs w:val="20"/>
          <w:lang w:val="en-GB"/>
        </w:rPr>
        <w:t xml:space="preserve"> m</w:t>
      </w:r>
      <w:r w:rsidR="00755183">
        <w:rPr>
          <w:rFonts w:ascii="Arial" w:hAnsi="Arial" w:cs="Arial"/>
          <w:sz w:val="20"/>
          <w:szCs w:val="20"/>
          <w:lang w:val="en-GB"/>
        </w:rPr>
        <w:t>il</w:t>
      </w:r>
      <w:r w:rsidR="00C163BA" w:rsidRPr="00E37EF2">
        <w:rPr>
          <w:rFonts w:ascii="Arial" w:hAnsi="Arial" w:cs="Arial"/>
          <w:sz w:val="20"/>
          <w:szCs w:val="20"/>
          <w:lang w:val="en-GB"/>
        </w:rPr>
        <w:t>l</w:t>
      </w:r>
      <w:r w:rsidR="00755183">
        <w:rPr>
          <w:rFonts w:ascii="Arial" w:hAnsi="Arial" w:cs="Arial"/>
          <w:sz w:val="20"/>
          <w:szCs w:val="20"/>
          <w:lang w:val="en-GB"/>
        </w:rPr>
        <w:t>io</w:t>
      </w:r>
      <w:r w:rsidR="00C163BA" w:rsidRPr="00E37EF2">
        <w:rPr>
          <w:rFonts w:ascii="Arial" w:hAnsi="Arial" w:cs="Arial"/>
          <w:sz w:val="20"/>
          <w:szCs w:val="20"/>
          <w:lang w:val="en-GB"/>
        </w:rPr>
        <w:t>n c</w:t>
      </w:r>
      <w:r w:rsidR="00C3643A">
        <w:rPr>
          <w:rFonts w:ascii="Arial" w:hAnsi="Arial" w:cs="Arial"/>
          <w:sz w:val="20"/>
          <w:szCs w:val="20"/>
          <w:lang w:val="en-GB"/>
        </w:rPr>
        <w:t>risis-tax (</w:t>
      </w:r>
      <w:r w:rsidR="00C353C2">
        <w:rPr>
          <w:rFonts w:ascii="Arial" w:hAnsi="Arial" w:cs="Arial"/>
          <w:sz w:val="20"/>
          <w:szCs w:val="20"/>
          <w:lang w:val="en-GB"/>
        </w:rPr>
        <w:t>“</w:t>
      </w:r>
      <w:proofErr w:type="spellStart"/>
      <w:r w:rsidR="00C163BA" w:rsidRPr="00E37EF2">
        <w:rPr>
          <w:rFonts w:ascii="Arial" w:hAnsi="Arial" w:cs="Arial"/>
          <w:sz w:val="20"/>
          <w:szCs w:val="20"/>
          <w:lang w:val="en-GB"/>
        </w:rPr>
        <w:t>crisis</w:t>
      </w:r>
      <w:r w:rsidRPr="00E37EF2">
        <w:rPr>
          <w:rFonts w:ascii="Arial" w:hAnsi="Arial" w:cs="Arial"/>
          <w:sz w:val="20"/>
          <w:szCs w:val="20"/>
          <w:lang w:val="en-GB"/>
        </w:rPr>
        <w:t>heffing</w:t>
      </w:r>
      <w:proofErr w:type="spellEnd"/>
      <w:r w:rsidR="00C353C2">
        <w:rPr>
          <w:rFonts w:ascii="Arial" w:hAnsi="Arial" w:cs="Arial"/>
          <w:sz w:val="20"/>
          <w:szCs w:val="20"/>
          <w:lang w:val="en-GB"/>
        </w:rPr>
        <w:t>”</w:t>
      </w:r>
      <w:r w:rsidR="00C3643A">
        <w:rPr>
          <w:rFonts w:ascii="Arial" w:hAnsi="Arial" w:cs="Arial"/>
          <w:sz w:val="20"/>
          <w:szCs w:val="20"/>
          <w:lang w:val="en-GB"/>
        </w:rPr>
        <w:t>)</w:t>
      </w:r>
      <w:r w:rsidR="00A82922">
        <w:rPr>
          <w:rFonts w:ascii="Arial" w:hAnsi="Arial" w:cs="Arial"/>
          <w:sz w:val="20"/>
          <w:szCs w:val="20"/>
          <w:lang w:val="en-GB"/>
        </w:rPr>
        <w:t>, which has been implemented</w:t>
      </w:r>
      <w:r w:rsidR="005F657D">
        <w:rPr>
          <w:rFonts w:ascii="Arial" w:hAnsi="Arial" w:cs="Arial"/>
          <w:sz w:val="20"/>
          <w:szCs w:val="20"/>
          <w:lang w:val="en-GB"/>
        </w:rPr>
        <w:t xml:space="preserve"> by the Dutch Government</w:t>
      </w:r>
      <w:r w:rsidR="00A82922">
        <w:rPr>
          <w:rFonts w:ascii="Arial" w:hAnsi="Arial" w:cs="Arial"/>
          <w:sz w:val="20"/>
          <w:szCs w:val="20"/>
          <w:lang w:val="en-GB"/>
        </w:rPr>
        <w:t xml:space="preserve"> retroactively for </w:t>
      </w:r>
      <w:r w:rsidR="005F657D">
        <w:rPr>
          <w:rFonts w:ascii="Arial" w:hAnsi="Arial" w:cs="Arial"/>
          <w:sz w:val="20"/>
          <w:szCs w:val="20"/>
          <w:lang w:val="en-GB"/>
        </w:rPr>
        <w:t xml:space="preserve">the </w:t>
      </w:r>
      <w:r w:rsidR="00A82922">
        <w:rPr>
          <w:rFonts w:ascii="Arial" w:hAnsi="Arial" w:cs="Arial"/>
          <w:sz w:val="20"/>
          <w:szCs w:val="20"/>
          <w:lang w:val="en-GB"/>
        </w:rPr>
        <w:t>full year 2012</w:t>
      </w:r>
      <w:r w:rsidR="0038270F">
        <w:rPr>
          <w:rFonts w:ascii="Arial" w:hAnsi="Arial" w:cs="Arial"/>
          <w:sz w:val="20"/>
          <w:szCs w:val="20"/>
          <w:lang w:val="en-GB"/>
        </w:rPr>
        <w:t>.</w:t>
      </w:r>
    </w:p>
    <w:p w:rsidR="0091222C" w:rsidRPr="00E37EF2" w:rsidRDefault="0091222C" w:rsidP="00B66AB6">
      <w:pPr>
        <w:spacing w:after="0"/>
        <w:rPr>
          <w:rFonts w:ascii="Arial" w:hAnsi="Arial" w:cs="Arial"/>
          <w:sz w:val="20"/>
          <w:szCs w:val="20"/>
          <w:lang w:val="en-GB"/>
        </w:rPr>
      </w:pPr>
      <w:r w:rsidRPr="00E37EF2">
        <w:rPr>
          <w:rFonts w:ascii="Arial" w:hAnsi="Arial" w:cs="Arial"/>
          <w:sz w:val="20"/>
          <w:szCs w:val="20"/>
          <w:lang w:val="en-GB"/>
        </w:rPr>
        <w:t>Excluding the</w:t>
      </w:r>
      <w:r w:rsidR="00E37EF2" w:rsidRPr="00E37EF2">
        <w:rPr>
          <w:rFonts w:ascii="Arial" w:hAnsi="Arial" w:cs="Arial"/>
          <w:sz w:val="20"/>
          <w:szCs w:val="20"/>
          <w:lang w:val="en-GB"/>
        </w:rPr>
        <w:t>se</w:t>
      </w:r>
      <w:r w:rsidRPr="00E37EF2">
        <w:rPr>
          <w:rFonts w:ascii="Arial" w:hAnsi="Arial" w:cs="Arial"/>
          <w:sz w:val="20"/>
          <w:szCs w:val="20"/>
          <w:lang w:val="en-GB"/>
        </w:rPr>
        <w:t xml:space="preserve"> one off effect</w:t>
      </w:r>
      <w:r w:rsidR="00E37EF2" w:rsidRPr="00E37EF2">
        <w:rPr>
          <w:rFonts w:ascii="Arial" w:hAnsi="Arial" w:cs="Arial"/>
          <w:sz w:val="20"/>
          <w:szCs w:val="20"/>
          <w:lang w:val="en-GB"/>
        </w:rPr>
        <w:t>s</w:t>
      </w:r>
      <w:r w:rsidRPr="00E37EF2">
        <w:rPr>
          <w:rFonts w:ascii="Arial" w:hAnsi="Arial" w:cs="Arial"/>
          <w:sz w:val="20"/>
          <w:szCs w:val="20"/>
          <w:lang w:val="en-GB"/>
        </w:rPr>
        <w:t xml:space="preserve"> accounted for </w:t>
      </w:r>
      <w:r w:rsidR="00E37EF2" w:rsidRPr="00E37EF2">
        <w:rPr>
          <w:rFonts w:ascii="Arial" w:hAnsi="Arial" w:cs="Arial"/>
          <w:sz w:val="20"/>
          <w:szCs w:val="20"/>
          <w:lang w:val="en-GB"/>
        </w:rPr>
        <w:t>in Q3 2012</w:t>
      </w:r>
      <w:r w:rsidR="005F657D">
        <w:rPr>
          <w:rFonts w:ascii="Arial" w:hAnsi="Arial" w:cs="Arial"/>
          <w:sz w:val="20"/>
          <w:szCs w:val="20"/>
          <w:lang w:val="en-GB"/>
        </w:rPr>
        <w:t>,</w:t>
      </w:r>
      <w:r w:rsidRPr="00E37EF2">
        <w:rPr>
          <w:rFonts w:ascii="Arial" w:hAnsi="Arial" w:cs="Arial"/>
          <w:sz w:val="20"/>
          <w:szCs w:val="20"/>
          <w:lang w:val="en-GB"/>
        </w:rPr>
        <w:t xml:space="preserve"> </w:t>
      </w:r>
      <w:r w:rsidR="000F60DF">
        <w:rPr>
          <w:rFonts w:ascii="Arial" w:hAnsi="Arial" w:cs="Arial"/>
          <w:sz w:val="20"/>
          <w:szCs w:val="20"/>
          <w:lang w:val="en-GB"/>
        </w:rPr>
        <w:t xml:space="preserve">overhead </w:t>
      </w:r>
      <w:r w:rsidR="005F657D">
        <w:rPr>
          <w:rFonts w:ascii="Arial" w:hAnsi="Arial" w:cs="Arial"/>
          <w:sz w:val="20"/>
          <w:szCs w:val="20"/>
          <w:lang w:val="en-GB"/>
        </w:rPr>
        <w:t xml:space="preserve">costs </w:t>
      </w:r>
      <w:r w:rsidRPr="00E37EF2">
        <w:rPr>
          <w:rFonts w:ascii="Arial" w:hAnsi="Arial" w:cs="Arial"/>
          <w:sz w:val="20"/>
          <w:szCs w:val="20"/>
          <w:lang w:val="en-GB"/>
        </w:rPr>
        <w:t>increase</w:t>
      </w:r>
      <w:r w:rsidR="005F657D">
        <w:rPr>
          <w:rFonts w:ascii="Arial" w:hAnsi="Arial" w:cs="Arial"/>
          <w:sz w:val="20"/>
          <w:szCs w:val="20"/>
          <w:lang w:val="en-GB"/>
        </w:rPr>
        <w:t>d</w:t>
      </w:r>
      <w:r w:rsidRPr="00E37EF2">
        <w:rPr>
          <w:rFonts w:ascii="Arial" w:hAnsi="Arial" w:cs="Arial"/>
          <w:sz w:val="20"/>
          <w:szCs w:val="20"/>
          <w:lang w:val="en-GB"/>
        </w:rPr>
        <w:t xml:space="preserve"> </w:t>
      </w:r>
      <w:r w:rsidR="005F657D">
        <w:rPr>
          <w:rFonts w:ascii="Arial" w:hAnsi="Arial" w:cs="Arial"/>
          <w:sz w:val="20"/>
          <w:szCs w:val="20"/>
          <w:lang w:val="en-GB"/>
        </w:rPr>
        <w:t>by</w:t>
      </w:r>
      <w:r w:rsidRPr="00E37EF2">
        <w:rPr>
          <w:rFonts w:ascii="Arial" w:hAnsi="Arial" w:cs="Arial"/>
          <w:sz w:val="20"/>
          <w:szCs w:val="20"/>
          <w:lang w:val="en-GB"/>
        </w:rPr>
        <w:t xml:space="preserve"> some 1</w:t>
      </w:r>
      <w:r w:rsidR="00974F23">
        <w:rPr>
          <w:rFonts w:ascii="Arial" w:hAnsi="Arial" w:cs="Arial"/>
          <w:sz w:val="20"/>
          <w:szCs w:val="20"/>
          <w:lang w:val="en-GB"/>
        </w:rPr>
        <w:t>6</w:t>
      </w:r>
      <w:r w:rsidRPr="00E37EF2">
        <w:rPr>
          <w:rFonts w:ascii="Arial" w:hAnsi="Arial" w:cs="Arial"/>
          <w:sz w:val="20"/>
          <w:szCs w:val="20"/>
          <w:lang w:val="en-GB"/>
        </w:rPr>
        <w:t xml:space="preserve">% </w:t>
      </w:r>
      <w:r w:rsidR="00E37EF2" w:rsidRPr="00E37EF2">
        <w:rPr>
          <w:rFonts w:ascii="Arial" w:hAnsi="Arial" w:cs="Arial"/>
          <w:sz w:val="20"/>
          <w:szCs w:val="20"/>
          <w:lang w:val="en-GB"/>
        </w:rPr>
        <w:t xml:space="preserve">compared to </w:t>
      </w:r>
      <w:r w:rsidR="005F657D">
        <w:rPr>
          <w:rFonts w:ascii="Arial" w:hAnsi="Arial" w:cs="Arial"/>
          <w:sz w:val="20"/>
          <w:szCs w:val="20"/>
          <w:lang w:val="en-GB"/>
        </w:rPr>
        <w:t>the</w:t>
      </w:r>
      <w:r w:rsidR="00E37EF2" w:rsidRPr="00E37EF2">
        <w:rPr>
          <w:rFonts w:ascii="Arial" w:hAnsi="Arial" w:cs="Arial"/>
          <w:sz w:val="20"/>
          <w:szCs w:val="20"/>
          <w:lang w:val="en-GB"/>
        </w:rPr>
        <w:t xml:space="preserve"> same period last year, </w:t>
      </w:r>
      <w:r w:rsidRPr="00E37EF2">
        <w:rPr>
          <w:rFonts w:ascii="Arial" w:hAnsi="Arial" w:cs="Arial"/>
          <w:sz w:val="20"/>
          <w:szCs w:val="20"/>
          <w:lang w:val="en-GB"/>
        </w:rPr>
        <w:t>in line with previous quarters</w:t>
      </w:r>
      <w:r w:rsidR="000F60DF">
        <w:rPr>
          <w:rFonts w:ascii="Arial" w:hAnsi="Arial" w:cs="Arial"/>
          <w:sz w:val="20"/>
          <w:szCs w:val="20"/>
          <w:lang w:val="en-GB"/>
        </w:rPr>
        <w:t>.</w:t>
      </w:r>
      <w:r w:rsidRPr="00E37EF2">
        <w:rPr>
          <w:rFonts w:ascii="Arial" w:hAnsi="Arial" w:cs="Arial"/>
          <w:sz w:val="20"/>
          <w:szCs w:val="20"/>
          <w:lang w:val="en-GB"/>
        </w:rPr>
        <w:t xml:space="preserve"> </w:t>
      </w:r>
    </w:p>
    <w:p w:rsidR="00B66AB6" w:rsidRPr="00E37EF2" w:rsidRDefault="00B66AB6" w:rsidP="00B66AB6">
      <w:pPr>
        <w:spacing w:after="0"/>
        <w:rPr>
          <w:rFonts w:ascii="Arial" w:hAnsi="Arial" w:cs="Arial"/>
          <w:sz w:val="20"/>
          <w:szCs w:val="20"/>
          <w:lang w:val="en-GB"/>
        </w:rPr>
      </w:pPr>
    </w:p>
    <w:p w:rsidR="00B66AB6" w:rsidRPr="00E37EF2" w:rsidRDefault="00B66AB6" w:rsidP="00B66AB6">
      <w:pPr>
        <w:spacing w:after="0"/>
        <w:rPr>
          <w:rFonts w:ascii="Arial" w:hAnsi="Arial" w:cs="Arial"/>
          <w:sz w:val="20"/>
          <w:szCs w:val="20"/>
          <w:lang w:val="en-GB"/>
        </w:rPr>
      </w:pPr>
      <w:r w:rsidRPr="00E37EF2">
        <w:rPr>
          <w:rFonts w:ascii="Arial" w:hAnsi="Arial" w:cs="Arial"/>
          <w:sz w:val="20"/>
          <w:szCs w:val="20"/>
          <w:lang w:val="en-GB"/>
        </w:rPr>
        <w:t xml:space="preserve">Ebit </w:t>
      </w:r>
      <w:r w:rsidR="00E37EF2" w:rsidRPr="00E37EF2">
        <w:rPr>
          <w:rFonts w:ascii="Arial" w:hAnsi="Arial" w:cs="Arial"/>
          <w:sz w:val="20"/>
          <w:szCs w:val="20"/>
          <w:lang w:val="en-GB"/>
        </w:rPr>
        <w:t>is</w:t>
      </w:r>
      <w:r w:rsidRPr="00E37EF2">
        <w:rPr>
          <w:rFonts w:ascii="Arial" w:hAnsi="Arial" w:cs="Arial"/>
          <w:sz w:val="20"/>
          <w:szCs w:val="20"/>
          <w:lang w:val="en-GB"/>
        </w:rPr>
        <w:t xml:space="preserve"> </w:t>
      </w:r>
      <w:r w:rsidR="00E37EF2" w:rsidRPr="00E37EF2">
        <w:rPr>
          <w:rFonts w:ascii="Arial" w:hAnsi="Arial" w:cs="Arial"/>
          <w:sz w:val="20"/>
          <w:szCs w:val="20"/>
          <w:lang w:val="en-GB"/>
        </w:rPr>
        <w:t>6</w:t>
      </w:r>
      <w:r w:rsidRPr="00E37EF2">
        <w:rPr>
          <w:rFonts w:ascii="Arial" w:hAnsi="Arial" w:cs="Arial"/>
          <w:sz w:val="20"/>
          <w:szCs w:val="20"/>
          <w:lang w:val="en-GB"/>
        </w:rPr>
        <w:t>.</w:t>
      </w:r>
      <w:r w:rsidR="00E37EF2" w:rsidRPr="00E37EF2">
        <w:rPr>
          <w:rFonts w:ascii="Arial" w:hAnsi="Arial" w:cs="Arial"/>
          <w:sz w:val="20"/>
          <w:szCs w:val="20"/>
          <w:lang w:val="en-GB"/>
        </w:rPr>
        <w:t>5</w:t>
      </w:r>
      <w:r w:rsidRPr="00E37EF2">
        <w:rPr>
          <w:rFonts w:ascii="Arial" w:hAnsi="Arial" w:cs="Arial"/>
          <w:sz w:val="20"/>
          <w:szCs w:val="20"/>
          <w:lang w:val="en-GB"/>
        </w:rPr>
        <w:t>% in Q</w:t>
      </w:r>
      <w:r w:rsidR="00E37EF2" w:rsidRPr="00E37EF2">
        <w:rPr>
          <w:rFonts w:ascii="Arial" w:hAnsi="Arial" w:cs="Arial"/>
          <w:sz w:val="20"/>
          <w:szCs w:val="20"/>
          <w:lang w:val="en-GB"/>
        </w:rPr>
        <w:t>3 2012, in line with the 6.8</w:t>
      </w:r>
      <w:r w:rsidRPr="00E37EF2">
        <w:rPr>
          <w:rFonts w:ascii="Arial" w:hAnsi="Arial" w:cs="Arial"/>
          <w:sz w:val="20"/>
          <w:szCs w:val="20"/>
          <w:lang w:val="en-GB"/>
        </w:rPr>
        <w:t>% in Q</w:t>
      </w:r>
      <w:r w:rsidR="00E37EF2" w:rsidRPr="00E37EF2">
        <w:rPr>
          <w:rFonts w:ascii="Arial" w:hAnsi="Arial" w:cs="Arial"/>
          <w:sz w:val="20"/>
          <w:szCs w:val="20"/>
          <w:lang w:val="en-GB"/>
        </w:rPr>
        <w:t>3</w:t>
      </w:r>
      <w:r w:rsidRPr="00E37EF2">
        <w:rPr>
          <w:rFonts w:ascii="Arial" w:hAnsi="Arial" w:cs="Arial"/>
          <w:sz w:val="20"/>
          <w:szCs w:val="20"/>
          <w:lang w:val="en-GB"/>
        </w:rPr>
        <w:t xml:space="preserve"> 2011</w:t>
      </w:r>
      <w:r w:rsidR="00E37EF2" w:rsidRPr="00E37EF2">
        <w:rPr>
          <w:rFonts w:ascii="Arial" w:hAnsi="Arial" w:cs="Arial"/>
          <w:sz w:val="20"/>
          <w:szCs w:val="20"/>
          <w:lang w:val="en-GB"/>
        </w:rPr>
        <w:t>. Excluding the two mentioned one of</w:t>
      </w:r>
      <w:r w:rsidR="00DE7493">
        <w:rPr>
          <w:rFonts w:ascii="Arial" w:hAnsi="Arial" w:cs="Arial"/>
          <w:sz w:val="20"/>
          <w:szCs w:val="20"/>
          <w:lang w:val="en-GB"/>
        </w:rPr>
        <w:t>f</w:t>
      </w:r>
      <w:r w:rsidR="00E37EF2" w:rsidRPr="00E37EF2">
        <w:rPr>
          <w:rFonts w:ascii="Arial" w:hAnsi="Arial" w:cs="Arial"/>
          <w:sz w:val="20"/>
          <w:szCs w:val="20"/>
          <w:lang w:val="en-GB"/>
        </w:rPr>
        <w:t xml:space="preserve"> costs the Ebit for Q3 would have been 7.1%</w:t>
      </w:r>
      <w:r w:rsidRPr="00E37EF2">
        <w:rPr>
          <w:rFonts w:ascii="Arial" w:hAnsi="Arial" w:cs="Arial"/>
          <w:sz w:val="20"/>
          <w:szCs w:val="20"/>
          <w:lang w:val="en-GB"/>
        </w:rPr>
        <w:t xml:space="preserve">. </w:t>
      </w:r>
    </w:p>
    <w:p w:rsidR="00B66AB6" w:rsidRPr="007E2943" w:rsidRDefault="00B66AB6" w:rsidP="00B66AB6">
      <w:pPr>
        <w:spacing w:after="0"/>
        <w:rPr>
          <w:rFonts w:ascii="Arial" w:hAnsi="Arial" w:cs="Arial"/>
          <w:i/>
          <w:sz w:val="20"/>
          <w:szCs w:val="20"/>
          <w:highlight w:val="yellow"/>
          <w:lang w:val="en-GB"/>
        </w:rPr>
      </w:pPr>
    </w:p>
    <w:p w:rsidR="00755183" w:rsidRPr="007E2943" w:rsidRDefault="00B66AB6" w:rsidP="00B66AB6">
      <w:pPr>
        <w:spacing w:after="0"/>
        <w:rPr>
          <w:rFonts w:ascii="Arial" w:hAnsi="Arial" w:cs="Arial"/>
          <w:i/>
          <w:sz w:val="20"/>
          <w:szCs w:val="20"/>
          <w:lang w:val="en-GB"/>
        </w:rPr>
      </w:pPr>
      <w:r w:rsidRPr="00374BFB">
        <w:rPr>
          <w:rFonts w:ascii="Arial" w:hAnsi="Arial" w:cs="Arial"/>
          <w:sz w:val="20"/>
          <w:szCs w:val="20"/>
          <w:lang w:val="en-GB"/>
        </w:rPr>
        <w:t>Jan Arie van Barneveld, CEO of Brunel International:</w:t>
      </w:r>
      <w:r w:rsidRPr="007E2943">
        <w:rPr>
          <w:rFonts w:ascii="Arial" w:hAnsi="Arial" w:cs="Arial"/>
          <w:i/>
          <w:sz w:val="20"/>
          <w:szCs w:val="20"/>
          <w:lang w:val="en-GB"/>
        </w:rPr>
        <w:t xml:space="preserve"> “</w:t>
      </w:r>
      <w:r w:rsidR="00801367" w:rsidRPr="007E2943">
        <w:rPr>
          <w:rFonts w:ascii="Arial" w:hAnsi="Arial" w:cs="Arial"/>
          <w:i/>
          <w:sz w:val="20"/>
          <w:szCs w:val="20"/>
          <w:lang w:val="en-GB"/>
        </w:rPr>
        <w:t xml:space="preserve">I am pleased to see that </w:t>
      </w:r>
      <w:r w:rsidR="0044452E" w:rsidRPr="007E2943">
        <w:rPr>
          <w:rFonts w:ascii="Arial" w:hAnsi="Arial" w:cs="Arial"/>
          <w:i/>
          <w:sz w:val="20"/>
          <w:szCs w:val="20"/>
          <w:lang w:val="en-GB"/>
        </w:rPr>
        <w:t xml:space="preserve">all our divisions continue to perform as expected and in some </w:t>
      </w:r>
      <w:r w:rsidR="00446FA0" w:rsidRPr="007E2943">
        <w:rPr>
          <w:rFonts w:ascii="Arial" w:hAnsi="Arial" w:cs="Arial"/>
          <w:i/>
          <w:sz w:val="20"/>
          <w:szCs w:val="20"/>
          <w:lang w:val="en-GB"/>
        </w:rPr>
        <w:t>areas</w:t>
      </w:r>
      <w:r w:rsidR="0044452E" w:rsidRPr="007E2943">
        <w:rPr>
          <w:rFonts w:ascii="Arial" w:hAnsi="Arial" w:cs="Arial"/>
          <w:i/>
          <w:sz w:val="20"/>
          <w:szCs w:val="20"/>
          <w:lang w:val="en-GB"/>
        </w:rPr>
        <w:t xml:space="preserve"> even outperform these expectations.</w:t>
      </w:r>
      <w:r w:rsidR="00446FA0" w:rsidRPr="007E2943">
        <w:rPr>
          <w:rFonts w:ascii="Arial" w:hAnsi="Arial" w:cs="Arial"/>
          <w:i/>
          <w:sz w:val="20"/>
          <w:szCs w:val="20"/>
          <w:lang w:val="en-GB"/>
        </w:rPr>
        <w:t xml:space="preserve"> We</w:t>
      </w:r>
      <w:r w:rsidR="00CB1929">
        <w:rPr>
          <w:rFonts w:ascii="Arial" w:hAnsi="Arial" w:cs="Arial"/>
          <w:i/>
          <w:sz w:val="20"/>
          <w:szCs w:val="20"/>
          <w:lang w:val="en-GB"/>
        </w:rPr>
        <w:t xml:space="preserve"> </w:t>
      </w:r>
      <w:r w:rsidR="00446FA0" w:rsidRPr="007E2943">
        <w:rPr>
          <w:rFonts w:ascii="Arial" w:hAnsi="Arial" w:cs="Arial"/>
          <w:i/>
          <w:sz w:val="20"/>
          <w:szCs w:val="20"/>
          <w:lang w:val="en-GB"/>
        </w:rPr>
        <w:t xml:space="preserve">have been able to realise growth </w:t>
      </w:r>
      <w:r w:rsidR="00060B9F" w:rsidRPr="007E2943">
        <w:rPr>
          <w:rFonts w:ascii="Arial" w:hAnsi="Arial" w:cs="Arial"/>
          <w:i/>
          <w:sz w:val="20"/>
          <w:szCs w:val="20"/>
          <w:lang w:val="en-GB"/>
        </w:rPr>
        <w:t xml:space="preserve">in markets that are challenging. </w:t>
      </w:r>
      <w:r w:rsidR="003972A6" w:rsidRPr="007E2943">
        <w:rPr>
          <w:rFonts w:ascii="Arial" w:hAnsi="Arial" w:cs="Arial"/>
          <w:i/>
          <w:sz w:val="20"/>
          <w:szCs w:val="20"/>
          <w:lang w:val="en-GB"/>
        </w:rPr>
        <w:t xml:space="preserve">We are confirmed in our strategy that </w:t>
      </w:r>
      <w:r w:rsidR="00A82922">
        <w:rPr>
          <w:rFonts w:ascii="Arial" w:hAnsi="Arial" w:cs="Arial"/>
          <w:i/>
          <w:sz w:val="20"/>
          <w:szCs w:val="20"/>
          <w:lang w:val="en-GB"/>
        </w:rPr>
        <w:t xml:space="preserve">our investment in </w:t>
      </w:r>
      <w:r w:rsidR="003972A6" w:rsidRPr="007E2943">
        <w:rPr>
          <w:rFonts w:ascii="Arial" w:hAnsi="Arial" w:cs="Arial"/>
          <w:i/>
          <w:sz w:val="20"/>
          <w:szCs w:val="20"/>
          <w:lang w:val="en-GB"/>
        </w:rPr>
        <w:t>a strong commercial</w:t>
      </w:r>
      <w:r w:rsidR="00A82922">
        <w:rPr>
          <w:rFonts w:ascii="Arial" w:hAnsi="Arial" w:cs="Arial"/>
          <w:i/>
          <w:sz w:val="20"/>
          <w:szCs w:val="20"/>
          <w:lang w:val="en-GB"/>
        </w:rPr>
        <w:t xml:space="preserve"> organisation</w:t>
      </w:r>
      <w:r w:rsidR="003972A6" w:rsidRPr="007E2943">
        <w:rPr>
          <w:rFonts w:ascii="Arial" w:hAnsi="Arial" w:cs="Arial"/>
          <w:i/>
          <w:sz w:val="20"/>
          <w:szCs w:val="20"/>
          <w:lang w:val="en-GB"/>
        </w:rPr>
        <w:t>,</w:t>
      </w:r>
      <w:r w:rsidR="00A82922">
        <w:rPr>
          <w:rFonts w:ascii="Arial" w:hAnsi="Arial" w:cs="Arial"/>
          <w:i/>
          <w:sz w:val="20"/>
          <w:szCs w:val="20"/>
          <w:lang w:val="en-GB"/>
        </w:rPr>
        <w:t xml:space="preserve"> flawless</w:t>
      </w:r>
      <w:r w:rsidR="003972A6" w:rsidRPr="007E2943">
        <w:rPr>
          <w:rFonts w:ascii="Arial" w:hAnsi="Arial" w:cs="Arial"/>
          <w:i/>
          <w:sz w:val="20"/>
          <w:szCs w:val="20"/>
          <w:lang w:val="en-GB"/>
        </w:rPr>
        <w:t xml:space="preserve"> </w:t>
      </w:r>
      <w:r w:rsidR="007E2943" w:rsidRPr="007E2943">
        <w:rPr>
          <w:rFonts w:ascii="Arial" w:hAnsi="Arial" w:cs="Arial"/>
          <w:i/>
          <w:sz w:val="20"/>
          <w:szCs w:val="20"/>
          <w:lang w:val="en-GB"/>
        </w:rPr>
        <w:t>back office</w:t>
      </w:r>
      <w:r w:rsidR="00A82922">
        <w:rPr>
          <w:rFonts w:ascii="Arial" w:hAnsi="Arial" w:cs="Arial"/>
          <w:i/>
          <w:sz w:val="20"/>
          <w:szCs w:val="20"/>
          <w:lang w:val="en-GB"/>
        </w:rPr>
        <w:t xml:space="preserve"> processes and reliable </w:t>
      </w:r>
      <w:r w:rsidR="00843564">
        <w:rPr>
          <w:rFonts w:ascii="Arial" w:hAnsi="Arial" w:cs="Arial"/>
          <w:i/>
          <w:sz w:val="20"/>
          <w:szCs w:val="20"/>
          <w:lang w:val="en-GB"/>
        </w:rPr>
        <w:t>information systems</w:t>
      </w:r>
      <w:r w:rsidR="003972A6" w:rsidRPr="007E2943">
        <w:rPr>
          <w:rFonts w:ascii="Arial" w:hAnsi="Arial" w:cs="Arial"/>
          <w:i/>
          <w:sz w:val="20"/>
          <w:szCs w:val="20"/>
          <w:lang w:val="en-GB"/>
        </w:rPr>
        <w:t xml:space="preserve"> </w:t>
      </w:r>
      <w:r w:rsidR="007E2943" w:rsidRPr="00D665CB">
        <w:rPr>
          <w:rFonts w:ascii="Arial" w:hAnsi="Arial" w:cs="Arial"/>
          <w:i/>
          <w:sz w:val="20"/>
          <w:szCs w:val="20"/>
          <w:lang w:val="en-GB"/>
        </w:rPr>
        <w:t>support</w:t>
      </w:r>
      <w:r w:rsidR="00672ABA">
        <w:rPr>
          <w:rFonts w:ascii="Arial" w:hAnsi="Arial" w:cs="Arial"/>
          <w:i/>
          <w:sz w:val="20"/>
          <w:szCs w:val="20"/>
          <w:lang w:val="en-GB"/>
        </w:rPr>
        <w:t>s</w:t>
      </w:r>
      <w:r w:rsidR="003972A6" w:rsidRPr="00D665CB">
        <w:rPr>
          <w:rFonts w:ascii="Arial" w:hAnsi="Arial" w:cs="Arial"/>
          <w:i/>
          <w:sz w:val="20"/>
          <w:szCs w:val="20"/>
          <w:lang w:val="en-GB"/>
        </w:rPr>
        <w:t xml:space="preserve"> </w:t>
      </w:r>
      <w:r w:rsidR="00843564" w:rsidRPr="00D665CB">
        <w:rPr>
          <w:rFonts w:ascii="Arial" w:hAnsi="Arial" w:cs="Arial"/>
          <w:i/>
          <w:sz w:val="20"/>
          <w:szCs w:val="20"/>
          <w:lang w:val="en-GB"/>
        </w:rPr>
        <w:t>our</w:t>
      </w:r>
      <w:r w:rsidR="00843564">
        <w:rPr>
          <w:rFonts w:ascii="Arial" w:hAnsi="Arial" w:cs="Arial"/>
          <w:i/>
          <w:sz w:val="20"/>
          <w:szCs w:val="20"/>
          <w:lang w:val="en-GB"/>
        </w:rPr>
        <w:t xml:space="preserve"> </w:t>
      </w:r>
      <w:r w:rsidR="003972A6" w:rsidRPr="007E2943">
        <w:rPr>
          <w:rFonts w:ascii="Arial" w:hAnsi="Arial" w:cs="Arial"/>
          <w:i/>
          <w:sz w:val="20"/>
          <w:szCs w:val="20"/>
          <w:lang w:val="en-GB"/>
        </w:rPr>
        <w:t xml:space="preserve">dedicated customer focus </w:t>
      </w:r>
      <w:r w:rsidR="00A82922">
        <w:rPr>
          <w:rFonts w:ascii="Arial" w:hAnsi="Arial" w:cs="Arial"/>
          <w:i/>
          <w:sz w:val="20"/>
          <w:szCs w:val="20"/>
          <w:lang w:val="en-GB"/>
        </w:rPr>
        <w:t>which</w:t>
      </w:r>
      <w:r w:rsidR="007E2943" w:rsidRPr="007E2943">
        <w:rPr>
          <w:rFonts w:ascii="Arial" w:hAnsi="Arial" w:cs="Arial"/>
          <w:i/>
          <w:sz w:val="20"/>
          <w:szCs w:val="20"/>
          <w:lang w:val="en-GB"/>
        </w:rPr>
        <w:t xml:space="preserve"> drives revenue growth as </w:t>
      </w:r>
      <w:r w:rsidR="00390100">
        <w:rPr>
          <w:rFonts w:ascii="Arial" w:hAnsi="Arial" w:cs="Arial"/>
          <w:i/>
          <w:sz w:val="20"/>
          <w:szCs w:val="20"/>
          <w:lang w:val="en-GB"/>
        </w:rPr>
        <w:t xml:space="preserve">well as increased market share. </w:t>
      </w:r>
      <w:r w:rsidR="00755183">
        <w:rPr>
          <w:rFonts w:ascii="Arial" w:hAnsi="Arial" w:cs="Arial"/>
          <w:i/>
          <w:sz w:val="20"/>
          <w:szCs w:val="20"/>
          <w:lang w:val="en-GB"/>
        </w:rPr>
        <w:t>Our growth strategy remains successful as we continue to outpace the competition while maintain</w:t>
      </w:r>
      <w:r w:rsidR="000F60DF">
        <w:rPr>
          <w:rFonts w:ascii="Arial" w:hAnsi="Arial" w:cs="Arial"/>
          <w:i/>
          <w:sz w:val="20"/>
          <w:szCs w:val="20"/>
          <w:lang w:val="en-GB"/>
        </w:rPr>
        <w:t>ing</w:t>
      </w:r>
      <w:r w:rsidR="00755183">
        <w:rPr>
          <w:rFonts w:ascii="Arial" w:hAnsi="Arial" w:cs="Arial"/>
          <w:i/>
          <w:sz w:val="20"/>
          <w:szCs w:val="20"/>
          <w:lang w:val="en-GB"/>
        </w:rPr>
        <w:t xml:space="preserve"> healthy margins. </w:t>
      </w:r>
      <w:r w:rsidR="00BE77B9">
        <w:rPr>
          <w:rFonts w:ascii="Arial" w:hAnsi="Arial" w:cs="Arial"/>
          <w:i/>
          <w:sz w:val="20"/>
          <w:szCs w:val="20"/>
          <w:lang w:val="en-GB"/>
        </w:rPr>
        <w:t>We do recognise that the current market conditions are less favourable but we still see sufficient opportunities for further growth.</w:t>
      </w:r>
      <w:r w:rsidR="00843564">
        <w:rPr>
          <w:rFonts w:ascii="Arial" w:hAnsi="Arial" w:cs="Arial"/>
          <w:i/>
          <w:sz w:val="20"/>
          <w:szCs w:val="20"/>
          <w:lang w:val="en-GB"/>
        </w:rPr>
        <w:t>”</w:t>
      </w:r>
    </w:p>
    <w:p w:rsidR="00B66AB6" w:rsidRDefault="00B66AB6" w:rsidP="00755183">
      <w:pPr>
        <w:spacing w:after="0"/>
        <w:rPr>
          <w:rFonts w:ascii="Arial" w:hAnsi="Arial" w:cs="Arial"/>
          <w:i/>
          <w:sz w:val="20"/>
          <w:szCs w:val="20"/>
          <w:highlight w:val="yellow"/>
          <w:lang w:val="en-GB"/>
        </w:rPr>
      </w:pPr>
    </w:p>
    <w:p w:rsidR="00033BDC" w:rsidRPr="00843564" w:rsidRDefault="00033BDC" w:rsidP="00755183">
      <w:pPr>
        <w:spacing w:after="0"/>
        <w:rPr>
          <w:rFonts w:ascii="Arial" w:hAnsi="Arial" w:cs="Arial"/>
          <w:sz w:val="20"/>
          <w:szCs w:val="20"/>
          <w:lang w:val="en-GB"/>
        </w:rPr>
      </w:pPr>
      <w:r w:rsidRPr="00033BDC">
        <w:rPr>
          <w:rFonts w:ascii="Arial" w:hAnsi="Arial" w:cs="Arial"/>
          <w:sz w:val="20"/>
          <w:szCs w:val="20"/>
          <w:lang w:val="en-GB"/>
        </w:rPr>
        <w:t>Outlook 2012</w:t>
      </w:r>
    </w:p>
    <w:p w:rsidR="00012E25" w:rsidRPr="00843564" w:rsidRDefault="00012E25" w:rsidP="00B66AB6">
      <w:pPr>
        <w:spacing w:after="0"/>
        <w:rPr>
          <w:rFonts w:ascii="Arial" w:hAnsi="Arial" w:cs="Arial"/>
          <w:sz w:val="20"/>
          <w:szCs w:val="20"/>
          <w:lang w:val="en-GB"/>
        </w:rPr>
      </w:pPr>
      <w:r w:rsidRPr="00843564">
        <w:rPr>
          <w:rFonts w:ascii="Arial" w:hAnsi="Arial" w:cs="Arial"/>
          <w:sz w:val="20"/>
          <w:szCs w:val="20"/>
          <w:lang w:val="en-GB"/>
        </w:rPr>
        <w:t>Although the revenue level in the last quarter of 201</w:t>
      </w:r>
      <w:r w:rsidR="000F60DF" w:rsidRPr="00843564">
        <w:rPr>
          <w:rFonts w:ascii="Arial" w:hAnsi="Arial" w:cs="Arial"/>
          <w:sz w:val="20"/>
          <w:szCs w:val="20"/>
          <w:lang w:val="en-GB"/>
        </w:rPr>
        <w:t>1</w:t>
      </w:r>
      <w:r w:rsidRPr="00843564">
        <w:rPr>
          <w:rFonts w:ascii="Arial" w:hAnsi="Arial" w:cs="Arial"/>
          <w:sz w:val="20"/>
          <w:szCs w:val="20"/>
          <w:lang w:val="en-GB"/>
        </w:rPr>
        <w:t xml:space="preserve"> provides a challenging comparison, we </w:t>
      </w:r>
      <w:r w:rsidR="00446FA0" w:rsidRPr="00843564">
        <w:rPr>
          <w:rFonts w:ascii="Arial" w:hAnsi="Arial" w:cs="Arial"/>
          <w:sz w:val="20"/>
          <w:szCs w:val="20"/>
          <w:lang w:val="en-GB"/>
        </w:rPr>
        <w:t>do feel comfortable that our 2012 full year revenue will increase by 25% compared to 2011.</w:t>
      </w:r>
    </w:p>
    <w:p w:rsidR="00012E25" w:rsidRDefault="00012E25" w:rsidP="00B66AB6">
      <w:pPr>
        <w:spacing w:after="0"/>
        <w:rPr>
          <w:rFonts w:ascii="Arial" w:hAnsi="Arial" w:cs="Arial"/>
          <w:i/>
          <w:sz w:val="20"/>
          <w:szCs w:val="20"/>
          <w:lang w:val="en-GB"/>
        </w:rPr>
      </w:pPr>
    </w:p>
    <w:p w:rsidR="003315B9" w:rsidRDefault="003315B9" w:rsidP="00462BF6">
      <w:pPr>
        <w:pStyle w:val="Standaard2"/>
        <w:widowControl/>
        <w:jc w:val="both"/>
        <w:rPr>
          <w:rFonts w:ascii="Arial" w:hAnsi="Arial"/>
          <w:color w:val="000000"/>
          <w:szCs w:val="18"/>
          <w:lang w:val="en-GB"/>
        </w:rPr>
      </w:pPr>
    </w:p>
    <w:p w:rsidR="00462BF6" w:rsidRPr="007A409B" w:rsidRDefault="00462BF6" w:rsidP="00390100">
      <w:pPr>
        <w:pStyle w:val="Standaard2"/>
        <w:widowControl/>
        <w:jc w:val="both"/>
        <w:rPr>
          <w:rFonts w:ascii="Arial" w:hAnsi="Arial"/>
          <w:color w:val="000000"/>
          <w:szCs w:val="18"/>
          <w:lang w:val="en-GB"/>
        </w:rPr>
      </w:pPr>
      <w:r w:rsidRPr="007A409B">
        <w:rPr>
          <w:rFonts w:ascii="Arial" w:hAnsi="Arial"/>
          <w:color w:val="000000"/>
          <w:szCs w:val="18"/>
          <w:lang w:val="en-GB"/>
        </w:rPr>
        <w:t>Not for publication</w:t>
      </w:r>
    </w:p>
    <w:p w:rsidR="00462BF6" w:rsidRPr="007A409B" w:rsidRDefault="00462BF6" w:rsidP="00390100">
      <w:pPr>
        <w:pStyle w:val="Standaard2"/>
        <w:widowControl/>
        <w:jc w:val="both"/>
        <w:rPr>
          <w:rFonts w:ascii="Arial" w:hAnsi="Arial"/>
          <w:color w:val="000000"/>
          <w:szCs w:val="18"/>
          <w:lang w:val="en-GB"/>
        </w:rPr>
      </w:pPr>
      <w:r w:rsidRPr="007A409B">
        <w:rPr>
          <w:rFonts w:ascii="Arial" w:hAnsi="Arial"/>
          <w:color w:val="000000"/>
          <w:szCs w:val="18"/>
          <w:lang w:val="en-GB"/>
        </w:rPr>
        <w:t>--------------------------------------------------------------------------------------------------------------------------------</w:t>
      </w:r>
    </w:p>
    <w:p w:rsidR="00462BF6" w:rsidRPr="007A409B" w:rsidRDefault="00462BF6" w:rsidP="00390100">
      <w:pPr>
        <w:pStyle w:val="Standaard1"/>
        <w:spacing w:after="0"/>
        <w:rPr>
          <w:rFonts w:ascii="Arial" w:hAnsi="Arial"/>
          <w:color w:val="000000"/>
          <w:szCs w:val="18"/>
          <w:lang w:val="en-GB"/>
        </w:rPr>
      </w:pPr>
      <w:r w:rsidRPr="007A409B">
        <w:rPr>
          <w:rFonts w:ascii="Arial" w:hAnsi="Arial"/>
          <w:color w:val="000000"/>
          <w:szCs w:val="18"/>
          <w:lang w:val="en-GB"/>
        </w:rPr>
        <w:t>For further information:</w:t>
      </w:r>
    </w:p>
    <w:p w:rsidR="00462BF6" w:rsidRPr="00462BF6" w:rsidRDefault="00862F0C" w:rsidP="00390100">
      <w:pPr>
        <w:pStyle w:val="Standaard1"/>
        <w:tabs>
          <w:tab w:val="left" w:pos="2880"/>
          <w:tab w:val="left" w:pos="6660"/>
        </w:tabs>
        <w:spacing w:after="0"/>
        <w:jc w:val="left"/>
        <w:rPr>
          <w:rFonts w:ascii="Arial" w:hAnsi="Arial"/>
          <w:color w:val="000000"/>
          <w:lang w:val="en-GB"/>
        </w:rPr>
      </w:pPr>
      <w:r>
        <w:rPr>
          <w:rFonts w:ascii="Arial" w:hAnsi="Arial"/>
          <w:color w:val="000000"/>
          <w:lang w:val="en-GB"/>
        </w:rPr>
        <w:t>Jan Arie van Barneveld</w:t>
      </w:r>
      <w:r>
        <w:rPr>
          <w:rFonts w:ascii="Arial" w:hAnsi="Arial"/>
          <w:color w:val="000000"/>
          <w:lang w:val="en-GB"/>
        </w:rPr>
        <w:tab/>
        <w:t>CEO Brunel International</w:t>
      </w:r>
      <w:r>
        <w:rPr>
          <w:rFonts w:ascii="Arial" w:hAnsi="Arial"/>
          <w:color w:val="000000"/>
          <w:lang w:val="en-GB"/>
        </w:rPr>
        <w:tab/>
      </w:r>
      <w:r w:rsidR="00462BF6" w:rsidRPr="00462BF6">
        <w:rPr>
          <w:rFonts w:ascii="Arial" w:hAnsi="Arial"/>
          <w:color w:val="000000"/>
          <w:lang w:val="en-GB"/>
        </w:rPr>
        <w:t>tel.: +31(0)20 312 50 81</w:t>
      </w:r>
    </w:p>
    <w:p w:rsidR="00462BF6" w:rsidRPr="00462BF6" w:rsidRDefault="00862F0C" w:rsidP="00390100">
      <w:pPr>
        <w:pStyle w:val="Standaard1"/>
        <w:tabs>
          <w:tab w:val="left" w:pos="2880"/>
          <w:tab w:val="left" w:pos="6660"/>
        </w:tabs>
        <w:spacing w:after="0"/>
        <w:jc w:val="left"/>
        <w:rPr>
          <w:rFonts w:ascii="Arial" w:hAnsi="Arial"/>
          <w:color w:val="000000"/>
        </w:rPr>
      </w:pPr>
      <w:r>
        <w:rPr>
          <w:rFonts w:ascii="Arial" w:hAnsi="Arial"/>
          <w:color w:val="000000"/>
        </w:rPr>
        <w:t>Rob van der Hoek</w:t>
      </w:r>
      <w:r>
        <w:rPr>
          <w:rFonts w:ascii="Arial" w:hAnsi="Arial"/>
          <w:color w:val="000000"/>
        </w:rPr>
        <w:tab/>
        <w:t>CFO Brunel International</w:t>
      </w:r>
      <w:r>
        <w:rPr>
          <w:rFonts w:ascii="Arial" w:hAnsi="Arial"/>
          <w:color w:val="000000"/>
        </w:rPr>
        <w:tab/>
      </w:r>
      <w:r w:rsidR="00462BF6" w:rsidRPr="00462BF6">
        <w:rPr>
          <w:rFonts w:ascii="Arial" w:hAnsi="Arial"/>
          <w:color w:val="000000"/>
        </w:rPr>
        <w:t>tel.: +31(0)20 312 50 81</w:t>
      </w:r>
    </w:p>
    <w:p w:rsidR="00462BF6" w:rsidRPr="00462BF6" w:rsidRDefault="00462BF6" w:rsidP="00390100">
      <w:pPr>
        <w:pStyle w:val="Standaard1"/>
        <w:tabs>
          <w:tab w:val="left" w:pos="2880"/>
          <w:tab w:val="left" w:pos="6660"/>
        </w:tabs>
        <w:spacing w:after="0"/>
        <w:jc w:val="left"/>
        <w:rPr>
          <w:rFonts w:ascii="Arial" w:hAnsi="Arial"/>
          <w:color w:val="000000"/>
        </w:rPr>
      </w:pPr>
    </w:p>
    <w:p w:rsidR="00462BF6" w:rsidRDefault="00462BF6" w:rsidP="00FA5B1F">
      <w:pPr>
        <w:spacing w:after="0"/>
        <w:rPr>
          <w:rStyle w:val="Lead-inEmphasis"/>
          <w:rFonts w:ascii="Arial" w:hAnsi="Arial"/>
          <w:color w:val="000000"/>
          <w:lang w:val="en-GB"/>
        </w:rPr>
      </w:pPr>
      <w:r w:rsidRPr="00462BF6">
        <w:rPr>
          <w:rFonts w:ascii="Arial" w:hAnsi="Arial"/>
          <w:color w:val="000000"/>
          <w:sz w:val="20"/>
          <w:szCs w:val="20"/>
          <w:lang w:val="en-GB"/>
        </w:rPr>
        <w:t>Brunel International N.V. is an internati</w:t>
      </w:r>
      <w:r w:rsidR="00155102">
        <w:rPr>
          <w:rFonts w:ascii="Arial" w:hAnsi="Arial"/>
          <w:color w:val="000000"/>
          <w:sz w:val="20"/>
          <w:szCs w:val="20"/>
          <w:lang w:val="en-GB"/>
        </w:rPr>
        <w:t>onal service provider specialising</w:t>
      </w:r>
      <w:r w:rsidRPr="00462BF6">
        <w:rPr>
          <w:rFonts w:ascii="Arial" w:hAnsi="Arial"/>
          <w:color w:val="000000"/>
          <w:sz w:val="20"/>
          <w:szCs w:val="20"/>
          <w:lang w:val="en-GB"/>
        </w:rPr>
        <w:t xml:space="preserve"> in the flexible deployment of knowledge and capacity in the fields of Engineering, Oil &amp; Gas, Aerospace, Automotive, ICT, Finance, Legal and Insurance &amp; Banking. Services are provided in the form of Project Management, Secondment and Consultancy. Incorporated in 1975, Brunel has since become a global company with some 10,000 employees and an annual </w:t>
      </w:r>
      <w:r w:rsidR="00486BA9">
        <w:rPr>
          <w:rFonts w:ascii="Arial" w:hAnsi="Arial"/>
          <w:color w:val="000000"/>
          <w:sz w:val="20"/>
          <w:szCs w:val="20"/>
          <w:lang w:val="en-GB"/>
        </w:rPr>
        <w:t>revenue</w:t>
      </w:r>
      <w:r w:rsidRPr="00462BF6">
        <w:rPr>
          <w:rFonts w:ascii="Arial" w:hAnsi="Arial"/>
          <w:color w:val="000000"/>
          <w:sz w:val="20"/>
          <w:szCs w:val="20"/>
          <w:lang w:val="en-GB"/>
        </w:rPr>
        <w:t xml:space="preserve"> of </w:t>
      </w:r>
      <w:r w:rsidRPr="00462BF6">
        <w:rPr>
          <w:rFonts w:ascii="Arial" w:hAnsi="Arial" w:cs="Tahoma"/>
          <w:color w:val="000000"/>
          <w:sz w:val="20"/>
          <w:szCs w:val="20"/>
          <w:lang w:val="en-GB"/>
        </w:rPr>
        <w:t>€</w:t>
      </w:r>
      <w:r w:rsidRPr="00462BF6">
        <w:rPr>
          <w:rFonts w:ascii="Arial" w:hAnsi="Arial"/>
          <w:color w:val="000000"/>
          <w:sz w:val="20"/>
          <w:szCs w:val="20"/>
          <w:lang w:val="en-GB"/>
        </w:rPr>
        <w:t xml:space="preserve"> 980 million</w:t>
      </w:r>
      <w:r w:rsidR="00B66AB6">
        <w:rPr>
          <w:rFonts w:ascii="Arial" w:hAnsi="Arial"/>
          <w:color w:val="000000"/>
          <w:sz w:val="20"/>
          <w:szCs w:val="20"/>
          <w:lang w:val="en-GB"/>
        </w:rPr>
        <w:t xml:space="preserve"> (2011)</w:t>
      </w:r>
      <w:r w:rsidRPr="00462BF6">
        <w:rPr>
          <w:rFonts w:ascii="Arial" w:hAnsi="Arial"/>
          <w:color w:val="000000"/>
          <w:sz w:val="20"/>
          <w:szCs w:val="20"/>
          <w:lang w:val="en-GB"/>
        </w:rPr>
        <w:t>. The company is listed at Euronext Amsterdam N.V</w:t>
      </w:r>
      <w:r w:rsidRPr="00462BF6">
        <w:rPr>
          <w:rStyle w:val="Lead-inEmphasis"/>
          <w:rFonts w:ascii="Arial" w:hAnsi="Arial"/>
          <w:color w:val="000000"/>
          <w:lang w:val="en-GB"/>
        </w:rPr>
        <w:t>. For more information on Brunel International visit our website www.brunel.net</w:t>
      </w:r>
      <w:r w:rsidR="00FA5B1F">
        <w:rPr>
          <w:rStyle w:val="Lead-inEmphasis"/>
          <w:rFonts w:ascii="Arial" w:hAnsi="Arial"/>
          <w:color w:val="000000"/>
          <w:lang w:val="en-GB"/>
        </w:rPr>
        <w:t>.</w:t>
      </w:r>
    </w:p>
    <w:p w:rsidR="00FA5B1F" w:rsidRPr="00462BF6" w:rsidRDefault="00FA5B1F" w:rsidP="00FA5B1F">
      <w:pPr>
        <w:spacing w:after="0"/>
        <w:rPr>
          <w:rStyle w:val="Lead-inEmphasis"/>
          <w:rFonts w:ascii="Arial" w:hAnsi="Arial"/>
          <w:color w:val="000000"/>
          <w:lang w:val="en-GB"/>
        </w:rPr>
      </w:pPr>
    </w:p>
    <w:p w:rsidR="00824444" w:rsidRPr="00B75668" w:rsidRDefault="00824444" w:rsidP="00FA5B1F">
      <w:pPr>
        <w:spacing w:after="0"/>
        <w:rPr>
          <w:rFonts w:ascii="Arial" w:hAnsi="Arial" w:cs="Arial"/>
          <w:b/>
          <w:sz w:val="20"/>
          <w:szCs w:val="20"/>
          <w:lang w:val="en-GB"/>
        </w:rPr>
      </w:pPr>
      <w:r w:rsidRPr="00B75668">
        <w:rPr>
          <w:rFonts w:ascii="Arial" w:hAnsi="Arial" w:cs="Arial"/>
          <w:b/>
          <w:sz w:val="20"/>
          <w:szCs w:val="20"/>
          <w:lang w:val="en-GB"/>
        </w:rPr>
        <w:t>Financial Calendar</w:t>
      </w:r>
      <w:r w:rsidRPr="00B75668">
        <w:rPr>
          <w:rFonts w:ascii="Arial" w:hAnsi="Arial" w:cs="Arial"/>
          <w:b/>
          <w:sz w:val="20"/>
          <w:szCs w:val="20"/>
          <w:lang w:val="en-GB"/>
        </w:rPr>
        <w:tab/>
      </w:r>
    </w:p>
    <w:p w:rsidR="0044452E" w:rsidRPr="00B75668" w:rsidRDefault="0044452E" w:rsidP="0044452E">
      <w:pPr>
        <w:tabs>
          <w:tab w:val="left" w:pos="2127"/>
        </w:tabs>
        <w:spacing w:after="0"/>
        <w:rPr>
          <w:rFonts w:ascii="Arial" w:hAnsi="Arial" w:cs="Arial"/>
          <w:sz w:val="20"/>
          <w:szCs w:val="20"/>
          <w:lang w:val="en-GB"/>
        </w:rPr>
      </w:pPr>
      <w:r w:rsidRPr="00B75668">
        <w:rPr>
          <w:rFonts w:ascii="Arial" w:hAnsi="Arial" w:cs="Arial"/>
          <w:sz w:val="20"/>
          <w:szCs w:val="20"/>
          <w:lang w:val="en-GB"/>
        </w:rPr>
        <w:t xml:space="preserve">March </w:t>
      </w:r>
      <w:r w:rsidR="0046501C" w:rsidRPr="00B75668">
        <w:rPr>
          <w:rFonts w:ascii="Arial" w:hAnsi="Arial" w:cs="Arial"/>
          <w:sz w:val="20"/>
          <w:szCs w:val="20"/>
          <w:lang w:val="en-GB"/>
        </w:rPr>
        <w:t>1</w:t>
      </w:r>
      <w:r w:rsidRPr="00B75668">
        <w:rPr>
          <w:rFonts w:ascii="Arial" w:hAnsi="Arial" w:cs="Arial"/>
          <w:sz w:val="20"/>
          <w:szCs w:val="20"/>
          <w:lang w:val="en-GB"/>
        </w:rPr>
        <w:t>, 2013</w:t>
      </w:r>
      <w:r w:rsidRPr="00B75668">
        <w:rPr>
          <w:rFonts w:ascii="Arial" w:hAnsi="Arial" w:cs="Arial"/>
          <w:sz w:val="20"/>
          <w:szCs w:val="20"/>
          <w:lang w:val="en-GB"/>
        </w:rPr>
        <w:tab/>
        <w:t>Publication of fourth quarter and annual results</w:t>
      </w:r>
    </w:p>
    <w:p w:rsidR="00824444" w:rsidRPr="00B75668" w:rsidRDefault="006629B6" w:rsidP="00FA5B1F">
      <w:pPr>
        <w:tabs>
          <w:tab w:val="left" w:pos="2127"/>
        </w:tabs>
        <w:spacing w:after="0"/>
        <w:rPr>
          <w:rFonts w:ascii="Arial" w:hAnsi="Arial" w:cs="Arial"/>
          <w:sz w:val="20"/>
          <w:szCs w:val="20"/>
          <w:lang w:val="en-GB"/>
        </w:rPr>
      </w:pPr>
      <w:r w:rsidRPr="00B75668">
        <w:rPr>
          <w:rFonts w:ascii="Arial" w:hAnsi="Arial" w:cs="Arial"/>
          <w:sz w:val="20"/>
          <w:szCs w:val="20"/>
          <w:lang w:val="en-GB"/>
        </w:rPr>
        <w:t>Ma</w:t>
      </w:r>
      <w:r w:rsidR="0046501C" w:rsidRPr="00B75668">
        <w:rPr>
          <w:rFonts w:ascii="Arial" w:hAnsi="Arial" w:cs="Arial"/>
          <w:sz w:val="20"/>
          <w:szCs w:val="20"/>
          <w:lang w:val="en-GB"/>
        </w:rPr>
        <w:t>y</w:t>
      </w:r>
      <w:r w:rsidRPr="00B75668">
        <w:rPr>
          <w:rFonts w:ascii="Arial" w:hAnsi="Arial" w:cs="Arial"/>
          <w:sz w:val="20"/>
          <w:szCs w:val="20"/>
          <w:lang w:val="en-GB"/>
        </w:rPr>
        <w:t xml:space="preserve"> </w:t>
      </w:r>
      <w:r w:rsidR="0046501C" w:rsidRPr="00B75668">
        <w:rPr>
          <w:rFonts w:ascii="Arial" w:hAnsi="Arial" w:cs="Arial"/>
          <w:sz w:val="20"/>
          <w:szCs w:val="20"/>
          <w:lang w:val="en-GB"/>
        </w:rPr>
        <w:t>2</w:t>
      </w:r>
      <w:r w:rsidR="0044452E" w:rsidRPr="00B75668">
        <w:rPr>
          <w:rFonts w:ascii="Arial" w:hAnsi="Arial" w:cs="Arial"/>
          <w:sz w:val="20"/>
          <w:szCs w:val="20"/>
          <w:lang w:val="en-GB"/>
        </w:rPr>
        <w:t>, 2013</w:t>
      </w:r>
      <w:r w:rsidRPr="00B75668">
        <w:rPr>
          <w:rFonts w:ascii="Arial" w:hAnsi="Arial" w:cs="Arial"/>
          <w:sz w:val="20"/>
          <w:szCs w:val="20"/>
          <w:lang w:val="en-GB"/>
        </w:rPr>
        <w:tab/>
      </w:r>
      <w:r w:rsidR="0044452E" w:rsidRPr="00B75668">
        <w:rPr>
          <w:rFonts w:ascii="Arial" w:hAnsi="Arial" w:cs="Arial"/>
          <w:sz w:val="20"/>
          <w:szCs w:val="20"/>
          <w:lang w:val="en-GB"/>
        </w:rPr>
        <w:t>General Meeting of Shareholders</w:t>
      </w:r>
      <w:r w:rsidR="00EE485C">
        <w:rPr>
          <w:rFonts w:ascii="Arial" w:hAnsi="Arial" w:cs="Arial"/>
          <w:sz w:val="20"/>
          <w:szCs w:val="20"/>
          <w:lang w:val="en-GB"/>
        </w:rPr>
        <w:t xml:space="preserve"> and </w:t>
      </w:r>
      <w:r w:rsidR="000A0500">
        <w:rPr>
          <w:rFonts w:ascii="Arial" w:hAnsi="Arial" w:cs="Arial"/>
          <w:sz w:val="20"/>
          <w:szCs w:val="20"/>
          <w:lang w:val="en-GB"/>
        </w:rPr>
        <w:t>t</w:t>
      </w:r>
      <w:r w:rsidR="00EE485C">
        <w:rPr>
          <w:rFonts w:ascii="Arial" w:hAnsi="Arial" w:cs="Arial"/>
          <w:sz w:val="20"/>
          <w:szCs w:val="20"/>
          <w:lang w:val="en-GB"/>
        </w:rPr>
        <w:t>rading update first quarter</w:t>
      </w:r>
    </w:p>
    <w:p w:rsidR="00824444" w:rsidRDefault="00824444" w:rsidP="00824444">
      <w:pPr>
        <w:spacing w:after="0" w:line="360" w:lineRule="auto"/>
        <w:rPr>
          <w:rFonts w:ascii="Arial" w:hAnsi="Arial" w:cs="Arial"/>
          <w:sz w:val="20"/>
          <w:szCs w:val="20"/>
          <w:lang w:val="en-GB"/>
        </w:rPr>
      </w:pPr>
    </w:p>
    <w:p w:rsidR="00C11F58" w:rsidRDefault="00462BF6" w:rsidP="00D37271">
      <w:pPr>
        <w:spacing w:after="0" w:line="220" w:lineRule="exact"/>
        <w:rPr>
          <w:rFonts w:ascii="Arial" w:hAnsi="Arial" w:cs="Arial"/>
          <w:sz w:val="20"/>
          <w:szCs w:val="20"/>
          <w:lang w:val="en-GB"/>
        </w:rPr>
      </w:pPr>
      <w:r w:rsidRPr="00D37271">
        <w:rPr>
          <w:rFonts w:ascii="Arial" w:hAnsi="Arial"/>
          <w:color w:val="000000"/>
          <w:sz w:val="18"/>
          <w:szCs w:val="18"/>
          <w:lang w:val="en-GB"/>
        </w:rPr>
        <w:t>Certain statements in this document concern prognoses about the future financial condition and the results of operations of Brunel International NV as well as plans and objectives. Obviously, such prognoses involve risks and a degree of uncertainty since they concern future events and depend on circumstances that will apply then. Many factors may contribute to the actual results and developments differing from the prognoses made in this document. These factors include general economic conditions, a shortage on the job market, changes in the demand for (flexible) personnel, changes in employment legislation, future currency and interest fluctuations, future takeovers, acquisitions and disposals and the rate of technological developments. These prognoses therefore apply only on the date on which the document was compiled.</w:t>
      </w:r>
    </w:p>
    <w:sectPr w:rsidR="00C11F58" w:rsidSect="00390100">
      <w:headerReference w:type="default" r:id="rId9"/>
      <w:pgSz w:w="12240" w:h="15840"/>
      <w:pgMar w:top="1517" w:right="1440" w:bottom="709" w:left="144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1A" w:rsidRDefault="00CA6A1A" w:rsidP="00E771F5">
      <w:pPr>
        <w:spacing w:after="0" w:line="240" w:lineRule="auto"/>
      </w:pPr>
      <w:r>
        <w:separator/>
      </w:r>
    </w:p>
  </w:endnote>
  <w:endnote w:type="continuationSeparator" w:id="0">
    <w:p w:rsidR="00CA6A1A" w:rsidRDefault="00CA6A1A" w:rsidP="00E7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Sans-Plai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1A" w:rsidRDefault="00CA6A1A" w:rsidP="00E771F5">
      <w:pPr>
        <w:spacing w:after="0" w:line="240" w:lineRule="auto"/>
      </w:pPr>
      <w:r>
        <w:separator/>
      </w:r>
    </w:p>
  </w:footnote>
  <w:footnote w:type="continuationSeparator" w:id="0">
    <w:p w:rsidR="00CA6A1A" w:rsidRDefault="00CA6A1A" w:rsidP="00E7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00" w:rsidRDefault="00390100">
    <w:pPr>
      <w:pStyle w:val="Header"/>
    </w:pPr>
    <w:r>
      <w:rPr>
        <w:noProof/>
      </w:rPr>
      <w:drawing>
        <wp:anchor distT="12192" distB="16764" distL="114300" distR="119253" simplePos="0" relativeHeight="251657216" behindDoc="1" locked="0" layoutInCell="1" allowOverlap="1" wp14:anchorId="46385F7C" wp14:editId="7BB3DFC0">
          <wp:simplePos x="0" y="0"/>
          <wp:positionH relativeFrom="page">
            <wp:posOffset>5657850</wp:posOffset>
          </wp:positionH>
          <wp:positionV relativeFrom="page">
            <wp:posOffset>57150</wp:posOffset>
          </wp:positionV>
          <wp:extent cx="1947545" cy="1103630"/>
          <wp:effectExtent l="0" t="0" r="0" b="1270"/>
          <wp:wrapNone/>
          <wp:docPr id="3" name="Picture 0" descr="Brunel_Logo_rgb_x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unel_Logo_rgb_x11.jpg"/>
                  <pic:cNvPicPr/>
                </pic:nvPicPr>
                <pic:blipFill>
                  <a:blip r:embed="rId1"/>
                  <a:stretch>
                    <a:fillRect/>
                  </a:stretch>
                </pic:blipFill>
                <pic:spPr>
                  <a:xfrm>
                    <a:off x="0" y="0"/>
                    <a:ext cx="1947545" cy="1103630"/>
                  </a:xfrm>
                  <a:prstGeom prst="rect">
                    <a:avLst/>
                  </a:prstGeom>
                  <a:ln>
                    <a:noFill/>
                  </a:ln>
                  <a:effectLst>
                    <a:softEdge rad="112500"/>
                  </a:effectLst>
                </pic:spPr>
              </pic:pic>
            </a:graphicData>
          </a:graphic>
        </wp:anchor>
      </w:drawing>
    </w:r>
  </w:p>
  <w:p w:rsidR="00390100" w:rsidRDefault="00390100" w:rsidP="00E771F5">
    <w:pPr>
      <w:pStyle w:val="Header"/>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218D"/>
    <w:multiLevelType w:val="hybridMultilevel"/>
    <w:tmpl w:val="1A68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15EEF"/>
    <w:multiLevelType w:val="hybridMultilevel"/>
    <w:tmpl w:val="5726A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D7500D"/>
    <w:multiLevelType w:val="hybridMultilevel"/>
    <w:tmpl w:val="B2C81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8347F0"/>
    <w:multiLevelType w:val="hybridMultilevel"/>
    <w:tmpl w:val="0FCE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F5"/>
    <w:rsid w:val="00003D91"/>
    <w:rsid w:val="00006E6B"/>
    <w:rsid w:val="00007C97"/>
    <w:rsid w:val="00012E25"/>
    <w:rsid w:val="00013A05"/>
    <w:rsid w:val="000201C1"/>
    <w:rsid w:val="00022D87"/>
    <w:rsid w:val="00033665"/>
    <w:rsid w:val="00033BDC"/>
    <w:rsid w:val="00037F8D"/>
    <w:rsid w:val="00043DCB"/>
    <w:rsid w:val="00046B8B"/>
    <w:rsid w:val="00060B9F"/>
    <w:rsid w:val="00067868"/>
    <w:rsid w:val="0007075A"/>
    <w:rsid w:val="00072F89"/>
    <w:rsid w:val="00077751"/>
    <w:rsid w:val="00077BB7"/>
    <w:rsid w:val="000872AD"/>
    <w:rsid w:val="0009089C"/>
    <w:rsid w:val="00095ED6"/>
    <w:rsid w:val="000A0500"/>
    <w:rsid w:val="000A4025"/>
    <w:rsid w:val="000C3435"/>
    <w:rsid w:val="000D0444"/>
    <w:rsid w:val="000D2093"/>
    <w:rsid w:val="000E0236"/>
    <w:rsid w:val="000E2451"/>
    <w:rsid w:val="000E6089"/>
    <w:rsid w:val="000E6113"/>
    <w:rsid w:val="000E6B65"/>
    <w:rsid w:val="000E7DF7"/>
    <w:rsid w:val="000F60DF"/>
    <w:rsid w:val="00101C1E"/>
    <w:rsid w:val="00107C99"/>
    <w:rsid w:val="0013180E"/>
    <w:rsid w:val="001478DF"/>
    <w:rsid w:val="00147F2A"/>
    <w:rsid w:val="001535B5"/>
    <w:rsid w:val="00155102"/>
    <w:rsid w:val="00176DE9"/>
    <w:rsid w:val="00193E01"/>
    <w:rsid w:val="00197F94"/>
    <w:rsid w:val="001A245B"/>
    <w:rsid w:val="001A40DD"/>
    <w:rsid w:val="001B36AC"/>
    <w:rsid w:val="001D04D4"/>
    <w:rsid w:val="001D1EE0"/>
    <w:rsid w:val="001D685A"/>
    <w:rsid w:val="001E0B80"/>
    <w:rsid w:val="001E4551"/>
    <w:rsid w:val="001E7783"/>
    <w:rsid w:val="001F1446"/>
    <w:rsid w:val="001F31C0"/>
    <w:rsid w:val="001F6548"/>
    <w:rsid w:val="00204740"/>
    <w:rsid w:val="002072C0"/>
    <w:rsid w:val="00221691"/>
    <w:rsid w:val="00222C0A"/>
    <w:rsid w:val="00225A54"/>
    <w:rsid w:val="00225EBC"/>
    <w:rsid w:val="002270D0"/>
    <w:rsid w:val="0022712A"/>
    <w:rsid w:val="0024039A"/>
    <w:rsid w:val="002404DB"/>
    <w:rsid w:val="00246DFC"/>
    <w:rsid w:val="00252C37"/>
    <w:rsid w:val="00261620"/>
    <w:rsid w:val="002666AC"/>
    <w:rsid w:val="0027050A"/>
    <w:rsid w:val="002758CB"/>
    <w:rsid w:val="00281CD3"/>
    <w:rsid w:val="00285C16"/>
    <w:rsid w:val="002940A6"/>
    <w:rsid w:val="002A7CDF"/>
    <w:rsid w:val="002B774A"/>
    <w:rsid w:val="002C1926"/>
    <w:rsid w:val="002C292B"/>
    <w:rsid w:val="002C3134"/>
    <w:rsid w:val="002C4AE8"/>
    <w:rsid w:val="002F2493"/>
    <w:rsid w:val="002F274B"/>
    <w:rsid w:val="002F43DF"/>
    <w:rsid w:val="002F5E96"/>
    <w:rsid w:val="002F6995"/>
    <w:rsid w:val="0031182F"/>
    <w:rsid w:val="0032182B"/>
    <w:rsid w:val="003315B9"/>
    <w:rsid w:val="003355D4"/>
    <w:rsid w:val="003361C1"/>
    <w:rsid w:val="00345698"/>
    <w:rsid w:val="00354075"/>
    <w:rsid w:val="00354E32"/>
    <w:rsid w:val="00361160"/>
    <w:rsid w:val="00364DC0"/>
    <w:rsid w:val="00370708"/>
    <w:rsid w:val="00372B38"/>
    <w:rsid w:val="00374BFB"/>
    <w:rsid w:val="00374E3F"/>
    <w:rsid w:val="0038270F"/>
    <w:rsid w:val="00384072"/>
    <w:rsid w:val="00390100"/>
    <w:rsid w:val="00392CD9"/>
    <w:rsid w:val="00393C17"/>
    <w:rsid w:val="00394EE9"/>
    <w:rsid w:val="003972A6"/>
    <w:rsid w:val="003A6FFE"/>
    <w:rsid w:val="003B0D07"/>
    <w:rsid w:val="003B58FD"/>
    <w:rsid w:val="003B6F46"/>
    <w:rsid w:val="003D1B22"/>
    <w:rsid w:val="003D2E08"/>
    <w:rsid w:val="003E1D88"/>
    <w:rsid w:val="003F5101"/>
    <w:rsid w:val="003F5A02"/>
    <w:rsid w:val="00400238"/>
    <w:rsid w:val="00404D1B"/>
    <w:rsid w:val="00405315"/>
    <w:rsid w:val="00426908"/>
    <w:rsid w:val="00426FDE"/>
    <w:rsid w:val="00427FBB"/>
    <w:rsid w:val="004305CE"/>
    <w:rsid w:val="004329E0"/>
    <w:rsid w:val="00433CAB"/>
    <w:rsid w:val="00436A24"/>
    <w:rsid w:val="0044452E"/>
    <w:rsid w:val="00445D7E"/>
    <w:rsid w:val="00446FA0"/>
    <w:rsid w:val="004506F5"/>
    <w:rsid w:val="00460416"/>
    <w:rsid w:val="00460435"/>
    <w:rsid w:val="00460CB9"/>
    <w:rsid w:val="00461827"/>
    <w:rsid w:val="00462BF6"/>
    <w:rsid w:val="00462CEE"/>
    <w:rsid w:val="0046501C"/>
    <w:rsid w:val="00465D70"/>
    <w:rsid w:val="0047456A"/>
    <w:rsid w:val="0048443D"/>
    <w:rsid w:val="00486BA9"/>
    <w:rsid w:val="0048712F"/>
    <w:rsid w:val="004878A8"/>
    <w:rsid w:val="00487BB2"/>
    <w:rsid w:val="004A0D72"/>
    <w:rsid w:val="004B1EC3"/>
    <w:rsid w:val="004D30C5"/>
    <w:rsid w:val="004D684F"/>
    <w:rsid w:val="004E1769"/>
    <w:rsid w:val="004E5944"/>
    <w:rsid w:val="004F627B"/>
    <w:rsid w:val="004F78ED"/>
    <w:rsid w:val="00505CB3"/>
    <w:rsid w:val="00516BF4"/>
    <w:rsid w:val="00527C74"/>
    <w:rsid w:val="00530E25"/>
    <w:rsid w:val="00534534"/>
    <w:rsid w:val="005374DB"/>
    <w:rsid w:val="00550B61"/>
    <w:rsid w:val="0056040A"/>
    <w:rsid w:val="0056054D"/>
    <w:rsid w:val="005673C2"/>
    <w:rsid w:val="00571E00"/>
    <w:rsid w:val="00581763"/>
    <w:rsid w:val="005834DD"/>
    <w:rsid w:val="005B7E9C"/>
    <w:rsid w:val="005C2135"/>
    <w:rsid w:val="005D01AF"/>
    <w:rsid w:val="005D19D9"/>
    <w:rsid w:val="005D26FC"/>
    <w:rsid w:val="005E111E"/>
    <w:rsid w:val="005E3D13"/>
    <w:rsid w:val="005E5231"/>
    <w:rsid w:val="005F657D"/>
    <w:rsid w:val="00607E0C"/>
    <w:rsid w:val="00610AEB"/>
    <w:rsid w:val="00616F8B"/>
    <w:rsid w:val="0063398A"/>
    <w:rsid w:val="00634F10"/>
    <w:rsid w:val="006370B5"/>
    <w:rsid w:val="00642535"/>
    <w:rsid w:val="006458CB"/>
    <w:rsid w:val="00650EA4"/>
    <w:rsid w:val="00651869"/>
    <w:rsid w:val="006527D8"/>
    <w:rsid w:val="006629B6"/>
    <w:rsid w:val="00663E9D"/>
    <w:rsid w:val="00672ABA"/>
    <w:rsid w:val="006774F1"/>
    <w:rsid w:val="00684A25"/>
    <w:rsid w:val="00690CBC"/>
    <w:rsid w:val="006A14D9"/>
    <w:rsid w:val="006A43A0"/>
    <w:rsid w:val="006B7E31"/>
    <w:rsid w:val="006C358C"/>
    <w:rsid w:val="006C3EC7"/>
    <w:rsid w:val="006E5683"/>
    <w:rsid w:val="006E65DC"/>
    <w:rsid w:val="006F6C58"/>
    <w:rsid w:val="00703787"/>
    <w:rsid w:val="007073FC"/>
    <w:rsid w:val="00714F65"/>
    <w:rsid w:val="00720621"/>
    <w:rsid w:val="00724F68"/>
    <w:rsid w:val="007317E4"/>
    <w:rsid w:val="00734EB7"/>
    <w:rsid w:val="007509CF"/>
    <w:rsid w:val="00755183"/>
    <w:rsid w:val="007574A4"/>
    <w:rsid w:val="007624CB"/>
    <w:rsid w:val="007713C6"/>
    <w:rsid w:val="00792E96"/>
    <w:rsid w:val="00795AFB"/>
    <w:rsid w:val="007A2B3C"/>
    <w:rsid w:val="007A5F51"/>
    <w:rsid w:val="007A6A6F"/>
    <w:rsid w:val="007B252D"/>
    <w:rsid w:val="007D1640"/>
    <w:rsid w:val="007D5AC3"/>
    <w:rsid w:val="007E262E"/>
    <w:rsid w:val="007E28AA"/>
    <w:rsid w:val="007E2943"/>
    <w:rsid w:val="007E400B"/>
    <w:rsid w:val="007E7D66"/>
    <w:rsid w:val="007F3752"/>
    <w:rsid w:val="007F7C2C"/>
    <w:rsid w:val="00801367"/>
    <w:rsid w:val="0080144B"/>
    <w:rsid w:val="00802071"/>
    <w:rsid w:val="00803C15"/>
    <w:rsid w:val="00816069"/>
    <w:rsid w:val="00824444"/>
    <w:rsid w:val="00831E6C"/>
    <w:rsid w:val="00840752"/>
    <w:rsid w:val="0084126B"/>
    <w:rsid w:val="00843124"/>
    <w:rsid w:val="00843564"/>
    <w:rsid w:val="00851EC0"/>
    <w:rsid w:val="00855553"/>
    <w:rsid w:val="00862F0C"/>
    <w:rsid w:val="00870110"/>
    <w:rsid w:val="00870973"/>
    <w:rsid w:val="008756B1"/>
    <w:rsid w:val="00884D5E"/>
    <w:rsid w:val="0089110C"/>
    <w:rsid w:val="008958F7"/>
    <w:rsid w:val="008978A2"/>
    <w:rsid w:val="008A37E3"/>
    <w:rsid w:val="008A3A2D"/>
    <w:rsid w:val="008A4155"/>
    <w:rsid w:val="008B64DC"/>
    <w:rsid w:val="008C4104"/>
    <w:rsid w:val="008D4139"/>
    <w:rsid w:val="008D4D4F"/>
    <w:rsid w:val="008D527C"/>
    <w:rsid w:val="008D6C9F"/>
    <w:rsid w:val="008E3770"/>
    <w:rsid w:val="008E471B"/>
    <w:rsid w:val="008E7A29"/>
    <w:rsid w:val="0091222C"/>
    <w:rsid w:val="0091394D"/>
    <w:rsid w:val="00913D87"/>
    <w:rsid w:val="0091693F"/>
    <w:rsid w:val="0092505E"/>
    <w:rsid w:val="00926B04"/>
    <w:rsid w:val="00927174"/>
    <w:rsid w:val="00940FC7"/>
    <w:rsid w:val="00946A87"/>
    <w:rsid w:val="00951B45"/>
    <w:rsid w:val="00954207"/>
    <w:rsid w:val="00965506"/>
    <w:rsid w:val="00974F23"/>
    <w:rsid w:val="009845A9"/>
    <w:rsid w:val="009A0A97"/>
    <w:rsid w:val="009A465D"/>
    <w:rsid w:val="009A6C88"/>
    <w:rsid w:val="009B2E78"/>
    <w:rsid w:val="009B5486"/>
    <w:rsid w:val="009C527D"/>
    <w:rsid w:val="009C556E"/>
    <w:rsid w:val="009D3272"/>
    <w:rsid w:val="009E275D"/>
    <w:rsid w:val="009E2B8A"/>
    <w:rsid w:val="009E47CF"/>
    <w:rsid w:val="009F1A85"/>
    <w:rsid w:val="009F2FAA"/>
    <w:rsid w:val="009F3519"/>
    <w:rsid w:val="00A022D5"/>
    <w:rsid w:val="00A038B8"/>
    <w:rsid w:val="00A052F8"/>
    <w:rsid w:val="00A0579F"/>
    <w:rsid w:val="00A05CEB"/>
    <w:rsid w:val="00A066BC"/>
    <w:rsid w:val="00A13F7C"/>
    <w:rsid w:val="00A15550"/>
    <w:rsid w:val="00A312FF"/>
    <w:rsid w:val="00A4409D"/>
    <w:rsid w:val="00A44D00"/>
    <w:rsid w:val="00A521D5"/>
    <w:rsid w:val="00A56344"/>
    <w:rsid w:val="00A60F70"/>
    <w:rsid w:val="00A673D2"/>
    <w:rsid w:val="00A82922"/>
    <w:rsid w:val="00A82FB0"/>
    <w:rsid w:val="00A86179"/>
    <w:rsid w:val="00A86E30"/>
    <w:rsid w:val="00A96931"/>
    <w:rsid w:val="00AA3479"/>
    <w:rsid w:val="00AC1270"/>
    <w:rsid w:val="00AC18BC"/>
    <w:rsid w:val="00AC7290"/>
    <w:rsid w:val="00AD19CA"/>
    <w:rsid w:val="00AD2537"/>
    <w:rsid w:val="00AE16F7"/>
    <w:rsid w:val="00AE3DFB"/>
    <w:rsid w:val="00AE4F04"/>
    <w:rsid w:val="00AF2F84"/>
    <w:rsid w:val="00B04149"/>
    <w:rsid w:val="00B07C4B"/>
    <w:rsid w:val="00B10BB2"/>
    <w:rsid w:val="00B20602"/>
    <w:rsid w:val="00B33B25"/>
    <w:rsid w:val="00B46B91"/>
    <w:rsid w:val="00B47058"/>
    <w:rsid w:val="00B512D7"/>
    <w:rsid w:val="00B57C33"/>
    <w:rsid w:val="00B66AB6"/>
    <w:rsid w:val="00B73A26"/>
    <w:rsid w:val="00B74FFE"/>
    <w:rsid w:val="00B75521"/>
    <w:rsid w:val="00B75668"/>
    <w:rsid w:val="00B93FCE"/>
    <w:rsid w:val="00BA0ADD"/>
    <w:rsid w:val="00BA28F2"/>
    <w:rsid w:val="00BB4546"/>
    <w:rsid w:val="00BD4270"/>
    <w:rsid w:val="00BE77B9"/>
    <w:rsid w:val="00C11F58"/>
    <w:rsid w:val="00C163BA"/>
    <w:rsid w:val="00C34F9E"/>
    <w:rsid w:val="00C353C2"/>
    <w:rsid w:val="00C3643A"/>
    <w:rsid w:val="00C426AB"/>
    <w:rsid w:val="00C45B48"/>
    <w:rsid w:val="00C47F6A"/>
    <w:rsid w:val="00C501E9"/>
    <w:rsid w:val="00C51AC2"/>
    <w:rsid w:val="00C66479"/>
    <w:rsid w:val="00C863B9"/>
    <w:rsid w:val="00C879CB"/>
    <w:rsid w:val="00C935FF"/>
    <w:rsid w:val="00CA39AF"/>
    <w:rsid w:val="00CA6A1A"/>
    <w:rsid w:val="00CB1929"/>
    <w:rsid w:val="00CE078E"/>
    <w:rsid w:val="00CF6C71"/>
    <w:rsid w:val="00CF79B7"/>
    <w:rsid w:val="00D13CC1"/>
    <w:rsid w:val="00D165B2"/>
    <w:rsid w:val="00D17092"/>
    <w:rsid w:val="00D32CC7"/>
    <w:rsid w:val="00D37271"/>
    <w:rsid w:val="00D45F1A"/>
    <w:rsid w:val="00D569CB"/>
    <w:rsid w:val="00D63EFD"/>
    <w:rsid w:val="00D665CB"/>
    <w:rsid w:val="00D67AF6"/>
    <w:rsid w:val="00D71B47"/>
    <w:rsid w:val="00D725DD"/>
    <w:rsid w:val="00D82552"/>
    <w:rsid w:val="00D85CF4"/>
    <w:rsid w:val="00DA04E4"/>
    <w:rsid w:val="00DA08B6"/>
    <w:rsid w:val="00DA1A4C"/>
    <w:rsid w:val="00DA1EC5"/>
    <w:rsid w:val="00DA4E22"/>
    <w:rsid w:val="00DA6AA6"/>
    <w:rsid w:val="00DC375E"/>
    <w:rsid w:val="00DE36F5"/>
    <w:rsid w:val="00DE7493"/>
    <w:rsid w:val="00DF2287"/>
    <w:rsid w:val="00E01877"/>
    <w:rsid w:val="00E079FA"/>
    <w:rsid w:val="00E10808"/>
    <w:rsid w:val="00E1260F"/>
    <w:rsid w:val="00E161EE"/>
    <w:rsid w:val="00E241CC"/>
    <w:rsid w:val="00E366AE"/>
    <w:rsid w:val="00E37EF2"/>
    <w:rsid w:val="00E505C3"/>
    <w:rsid w:val="00E539B8"/>
    <w:rsid w:val="00E56A74"/>
    <w:rsid w:val="00E5746A"/>
    <w:rsid w:val="00E71251"/>
    <w:rsid w:val="00E770D3"/>
    <w:rsid w:val="00E771F5"/>
    <w:rsid w:val="00E824C7"/>
    <w:rsid w:val="00E838A0"/>
    <w:rsid w:val="00E83E3D"/>
    <w:rsid w:val="00E904C5"/>
    <w:rsid w:val="00E92806"/>
    <w:rsid w:val="00E928C7"/>
    <w:rsid w:val="00E943A0"/>
    <w:rsid w:val="00E96923"/>
    <w:rsid w:val="00E9750D"/>
    <w:rsid w:val="00E97DAE"/>
    <w:rsid w:val="00EA11A6"/>
    <w:rsid w:val="00EB208A"/>
    <w:rsid w:val="00EC00A0"/>
    <w:rsid w:val="00EC0EC1"/>
    <w:rsid w:val="00EC37F7"/>
    <w:rsid w:val="00EC57C2"/>
    <w:rsid w:val="00EC7F4E"/>
    <w:rsid w:val="00ED5AE4"/>
    <w:rsid w:val="00EE1509"/>
    <w:rsid w:val="00EE485C"/>
    <w:rsid w:val="00EE487A"/>
    <w:rsid w:val="00EF0456"/>
    <w:rsid w:val="00F05D82"/>
    <w:rsid w:val="00F20032"/>
    <w:rsid w:val="00F2482A"/>
    <w:rsid w:val="00F2718B"/>
    <w:rsid w:val="00F349F8"/>
    <w:rsid w:val="00F36077"/>
    <w:rsid w:val="00F44035"/>
    <w:rsid w:val="00F475BE"/>
    <w:rsid w:val="00F52571"/>
    <w:rsid w:val="00F57119"/>
    <w:rsid w:val="00F610D8"/>
    <w:rsid w:val="00F63C88"/>
    <w:rsid w:val="00F66287"/>
    <w:rsid w:val="00F66635"/>
    <w:rsid w:val="00F668FD"/>
    <w:rsid w:val="00F706A8"/>
    <w:rsid w:val="00F71115"/>
    <w:rsid w:val="00F95267"/>
    <w:rsid w:val="00F96A33"/>
    <w:rsid w:val="00FA5B1F"/>
    <w:rsid w:val="00FB3829"/>
    <w:rsid w:val="00FC095B"/>
    <w:rsid w:val="00FC203E"/>
    <w:rsid w:val="00FC5E62"/>
    <w:rsid w:val="00FC67CE"/>
    <w:rsid w:val="00FD058D"/>
    <w:rsid w:val="00FD2E8C"/>
    <w:rsid w:val="00FD6B09"/>
    <w:rsid w:val="00FE3C9E"/>
    <w:rsid w:val="00FE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F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1F5"/>
  </w:style>
  <w:style w:type="paragraph" w:styleId="Footer">
    <w:name w:val="footer"/>
    <w:basedOn w:val="Normal"/>
    <w:link w:val="FooterChar"/>
    <w:uiPriority w:val="99"/>
    <w:unhideWhenUsed/>
    <w:rsid w:val="00E7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1F5"/>
  </w:style>
  <w:style w:type="paragraph" w:styleId="BalloonText">
    <w:name w:val="Balloon Text"/>
    <w:basedOn w:val="Normal"/>
    <w:link w:val="BalloonTextChar"/>
    <w:uiPriority w:val="99"/>
    <w:semiHidden/>
    <w:unhideWhenUsed/>
    <w:rsid w:val="00E77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1F5"/>
    <w:rPr>
      <w:rFonts w:ascii="Tahoma" w:hAnsi="Tahoma" w:cs="Tahoma"/>
      <w:sz w:val="16"/>
      <w:szCs w:val="16"/>
    </w:rPr>
  </w:style>
  <w:style w:type="table" w:styleId="TableGrid">
    <w:name w:val="Table Grid"/>
    <w:basedOn w:val="TableNormal"/>
    <w:uiPriority w:val="59"/>
    <w:rsid w:val="00193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668FD"/>
    <w:rPr>
      <w:color w:val="0000FF"/>
      <w:u w:val="single"/>
    </w:rPr>
  </w:style>
  <w:style w:type="character" w:styleId="CommentReference">
    <w:name w:val="annotation reference"/>
    <w:basedOn w:val="DefaultParagraphFont"/>
    <w:uiPriority w:val="99"/>
    <w:semiHidden/>
    <w:unhideWhenUsed/>
    <w:rsid w:val="00534534"/>
    <w:rPr>
      <w:sz w:val="16"/>
      <w:szCs w:val="16"/>
    </w:rPr>
  </w:style>
  <w:style w:type="paragraph" w:styleId="CommentText">
    <w:name w:val="annotation text"/>
    <w:basedOn w:val="Normal"/>
    <w:link w:val="CommentTextChar"/>
    <w:uiPriority w:val="99"/>
    <w:semiHidden/>
    <w:unhideWhenUsed/>
    <w:rsid w:val="00534534"/>
    <w:rPr>
      <w:sz w:val="20"/>
      <w:szCs w:val="20"/>
    </w:rPr>
  </w:style>
  <w:style w:type="character" w:customStyle="1" w:styleId="CommentTextChar">
    <w:name w:val="Comment Text Char"/>
    <w:basedOn w:val="DefaultParagraphFont"/>
    <w:link w:val="CommentText"/>
    <w:uiPriority w:val="99"/>
    <w:semiHidden/>
    <w:rsid w:val="00534534"/>
  </w:style>
  <w:style w:type="paragraph" w:styleId="CommentSubject">
    <w:name w:val="annotation subject"/>
    <w:basedOn w:val="CommentText"/>
    <w:next w:val="CommentText"/>
    <w:link w:val="CommentSubjectChar"/>
    <w:uiPriority w:val="99"/>
    <w:semiHidden/>
    <w:unhideWhenUsed/>
    <w:rsid w:val="00534534"/>
    <w:rPr>
      <w:b/>
      <w:bCs/>
    </w:rPr>
  </w:style>
  <w:style w:type="character" w:customStyle="1" w:styleId="CommentSubjectChar">
    <w:name w:val="Comment Subject Char"/>
    <w:basedOn w:val="CommentTextChar"/>
    <w:link w:val="CommentSubject"/>
    <w:uiPriority w:val="99"/>
    <w:semiHidden/>
    <w:rsid w:val="00534534"/>
    <w:rPr>
      <w:b/>
      <w:bCs/>
    </w:rPr>
  </w:style>
  <w:style w:type="paragraph" w:styleId="ListParagraph">
    <w:name w:val="List Paragraph"/>
    <w:basedOn w:val="Normal"/>
    <w:uiPriority w:val="34"/>
    <w:qFormat/>
    <w:rsid w:val="00D71B47"/>
    <w:pPr>
      <w:ind w:left="720"/>
      <w:contextualSpacing/>
    </w:pPr>
  </w:style>
  <w:style w:type="paragraph" w:customStyle="1" w:styleId="Drukletters-nauw">
    <w:name w:val="Drukletters - nauw"/>
    <w:basedOn w:val="Normal"/>
    <w:qFormat/>
    <w:rsid w:val="00A0579F"/>
    <w:pPr>
      <w:overflowPunct w:val="0"/>
      <w:autoSpaceDE w:val="0"/>
      <w:autoSpaceDN w:val="0"/>
      <w:adjustRightInd w:val="0"/>
      <w:spacing w:after="0" w:line="280" w:lineRule="exact"/>
      <w:textAlignment w:val="baseline"/>
    </w:pPr>
    <w:rPr>
      <w:rFonts w:ascii="Arial" w:eastAsia="Times New Roman" w:hAnsi="Arial"/>
      <w:sz w:val="15"/>
      <w:szCs w:val="20"/>
      <w:lang w:val="nl"/>
    </w:rPr>
  </w:style>
  <w:style w:type="character" w:customStyle="1" w:styleId="Lead-inEmphasis">
    <w:name w:val="Lead-in Emphasis"/>
    <w:rsid w:val="00462BF6"/>
    <w:rPr>
      <w:rFonts w:ascii="TheSans-Plain" w:hAnsi="TheSans-Plain"/>
      <w:spacing w:val="0"/>
      <w:sz w:val="20"/>
      <w:szCs w:val="20"/>
    </w:rPr>
  </w:style>
  <w:style w:type="paragraph" w:customStyle="1" w:styleId="Standaard1">
    <w:name w:val="Standaard1"/>
    <w:rsid w:val="00462BF6"/>
    <w:pPr>
      <w:overflowPunct w:val="0"/>
      <w:autoSpaceDE w:val="0"/>
      <w:autoSpaceDN w:val="0"/>
      <w:adjustRightInd w:val="0"/>
      <w:spacing w:after="120"/>
      <w:jc w:val="both"/>
      <w:textAlignment w:val="baseline"/>
    </w:pPr>
    <w:rPr>
      <w:rFonts w:ascii="TheSans-Plain" w:eastAsia="Times New Roman" w:hAnsi="TheSans-Plain"/>
    </w:rPr>
  </w:style>
  <w:style w:type="paragraph" w:customStyle="1" w:styleId="Standaard2">
    <w:name w:val="Standaard2"/>
    <w:rsid w:val="00462BF6"/>
    <w:pPr>
      <w:widowControl w:val="0"/>
      <w:overflowPunct w:val="0"/>
      <w:autoSpaceDE w:val="0"/>
      <w:autoSpaceDN w:val="0"/>
      <w:adjustRightInd w:val="0"/>
      <w:textAlignment w:val="baseline"/>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F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1F5"/>
  </w:style>
  <w:style w:type="paragraph" w:styleId="Footer">
    <w:name w:val="footer"/>
    <w:basedOn w:val="Normal"/>
    <w:link w:val="FooterChar"/>
    <w:uiPriority w:val="99"/>
    <w:unhideWhenUsed/>
    <w:rsid w:val="00E7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1F5"/>
  </w:style>
  <w:style w:type="paragraph" w:styleId="BalloonText">
    <w:name w:val="Balloon Text"/>
    <w:basedOn w:val="Normal"/>
    <w:link w:val="BalloonTextChar"/>
    <w:uiPriority w:val="99"/>
    <w:semiHidden/>
    <w:unhideWhenUsed/>
    <w:rsid w:val="00E77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1F5"/>
    <w:rPr>
      <w:rFonts w:ascii="Tahoma" w:hAnsi="Tahoma" w:cs="Tahoma"/>
      <w:sz w:val="16"/>
      <w:szCs w:val="16"/>
    </w:rPr>
  </w:style>
  <w:style w:type="table" w:styleId="TableGrid">
    <w:name w:val="Table Grid"/>
    <w:basedOn w:val="TableNormal"/>
    <w:uiPriority w:val="59"/>
    <w:rsid w:val="00193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668FD"/>
    <w:rPr>
      <w:color w:val="0000FF"/>
      <w:u w:val="single"/>
    </w:rPr>
  </w:style>
  <w:style w:type="character" w:styleId="CommentReference">
    <w:name w:val="annotation reference"/>
    <w:basedOn w:val="DefaultParagraphFont"/>
    <w:uiPriority w:val="99"/>
    <w:semiHidden/>
    <w:unhideWhenUsed/>
    <w:rsid w:val="00534534"/>
    <w:rPr>
      <w:sz w:val="16"/>
      <w:szCs w:val="16"/>
    </w:rPr>
  </w:style>
  <w:style w:type="paragraph" w:styleId="CommentText">
    <w:name w:val="annotation text"/>
    <w:basedOn w:val="Normal"/>
    <w:link w:val="CommentTextChar"/>
    <w:uiPriority w:val="99"/>
    <w:semiHidden/>
    <w:unhideWhenUsed/>
    <w:rsid w:val="00534534"/>
    <w:rPr>
      <w:sz w:val="20"/>
      <w:szCs w:val="20"/>
    </w:rPr>
  </w:style>
  <w:style w:type="character" w:customStyle="1" w:styleId="CommentTextChar">
    <w:name w:val="Comment Text Char"/>
    <w:basedOn w:val="DefaultParagraphFont"/>
    <w:link w:val="CommentText"/>
    <w:uiPriority w:val="99"/>
    <w:semiHidden/>
    <w:rsid w:val="00534534"/>
  </w:style>
  <w:style w:type="paragraph" w:styleId="CommentSubject">
    <w:name w:val="annotation subject"/>
    <w:basedOn w:val="CommentText"/>
    <w:next w:val="CommentText"/>
    <w:link w:val="CommentSubjectChar"/>
    <w:uiPriority w:val="99"/>
    <w:semiHidden/>
    <w:unhideWhenUsed/>
    <w:rsid w:val="00534534"/>
    <w:rPr>
      <w:b/>
      <w:bCs/>
    </w:rPr>
  </w:style>
  <w:style w:type="character" w:customStyle="1" w:styleId="CommentSubjectChar">
    <w:name w:val="Comment Subject Char"/>
    <w:basedOn w:val="CommentTextChar"/>
    <w:link w:val="CommentSubject"/>
    <w:uiPriority w:val="99"/>
    <w:semiHidden/>
    <w:rsid w:val="00534534"/>
    <w:rPr>
      <w:b/>
      <w:bCs/>
    </w:rPr>
  </w:style>
  <w:style w:type="paragraph" w:styleId="ListParagraph">
    <w:name w:val="List Paragraph"/>
    <w:basedOn w:val="Normal"/>
    <w:uiPriority w:val="34"/>
    <w:qFormat/>
    <w:rsid w:val="00D71B47"/>
    <w:pPr>
      <w:ind w:left="720"/>
      <w:contextualSpacing/>
    </w:pPr>
  </w:style>
  <w:style w:type="paragraph" w:customStyle="1" w:styleId="Drukletters-nauw">
    <w:name w:val="Drukletters - nauw"/>
    <w:basedOn w:val="Normal"/>
    <w:qFormat/>
    <w:rsid w:val="00A0579F"/>
    <w:pPr>
      <w:overflowPunct w:val="0"/>
      <w:autoSpaceDE w:val="0"/>
      <w:autoSpaceDN w:val="0"/>
      <w:adjustRightInd w:val="0"/>
      <w:spacing w:after="0" w:line="280" w:lineRule="exact"/>
      <w:textAlignment w:val="baseline"/>
    </w:pPr>
    <w:rPr>
      <w:rFonts w:ascii="Arial" w:eastAsia="Times New Roman" w:hAnsi="Arial"/>
      <w:sz w:val="15"/>
      <w:szCs w:val="20"/>
      <w:lang w:val="nl"/>
    </w:rPr>
  </w:style>
  <w:style w:type="character" w:customStyle="1" w:styleId="Lead-inEmphasis">
    <w:name w:val="Lead-in Emphasis"/>
    <w:rsid w:val="00462BF6"/>
    <w:rPr>
      <w:rFonts w:ascii="TheSans-Plain" w:hAnsi="TheSans-Plain"/>
      <w:spacing w:val="0"/>
      <w:sz w:val="20"/>
      <w:szCs w:val="20"/>
    </w:rPr>
  </w:style>
  <w:style w:type="paragraph" w:customStyle="1" w:styleId="Standaard1">
    <w:name w:val="Standaard1"/>
    <w:rsid w:val="00462BF6"/>
    <w:pPr>
      <w:overflowPunct w:val="0"/>
      <w:autoSpaceDE w:val="0"/>
      <w:autoSpaceDN w:val="0"/>
      <w:adjustRightInd w:val="0"/>
      <w:spacing w:after="120"/>
      <w:jc w:val="both"/>
      <w:textAlignment w:val="baseline"/>
    </w:pPr>
    <w:rPr>
      <w:rFonts w:ascii="TheSans-Plain" w:eastAsia="Times New Roman" w:hAnsi="TheSans-Plain"/>
    </w:rPr>
  </w:style>
  <w:style w:type="paragraph" w:customStyle="1" w:styleId="Standaard2">
    <w:name w:val="Standaard2"/>
    <w:rsid w:val="00462BF6"/>
    <w:pPr>
      <w:widowControl w:val="0"/>
      <w:overflowPunct w:val="0"/>
      <w:autoSpaceDE w:val="0"/>
      <w:autoSpaceDN w:val="0"/>
      <w:adjustRightInd w:val="0"/>
      <w:textAlignment w:val="baseline"/>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169">
      <w:bodyDiv w:val="1"/>
      <w:marLeft w:val="0"/>
      <w:marRight w:val="0"/>
      <w:marTop w:val="0"/>
      <w:marBottom w:val="0"/>
      <w:divBdr>
        <w:top w:val="none" w:sz="0" w:space="0" w:color="auto"/>
        <w:left w:val="none" w:sz="0" w:space="0" w:color="auto"/>
        <w:bottom w:val="none" w:sz="0" w:space="0" w:color="auto"/>
        <w:right w:val="none" w:sz="0" w:space="0" w:color="auto"/>
      </w:divBdr>
    </w:div>
    <w:div w:id="316613379">
      <w:bodyDiv w:val="1"/>
      <w:marLeft w:val="0"/>
      <w:marRight w:val="0"/>
      <w:marTop w:val="0"/>
      <w:marBottom w:val="0"/>
      <w:divBdr>
        <w:top w:val="none" w:sz="0" w:space="0" w:color="auto"/>
        <w:left w:val="none" w:sz="0" w:space="0" w:color="auto"/>
        <w:bottom w:val="none" w:sz="0" w:space="0" w:color="auto"/>
        <w:right w:val="none" w:sz="0" w:space="0" w:color="auto"/>
      </w:divBdr>
    </w:div>
    <w:div w:id="345835859">
      <w:bodyDiv w:val="1"/>
      <w:marLeft w:val="0"/>
      <w:marRight w:val="0"/>
      <w:marTop w:val="0"/>
      <w:marBottom w:val="0"/>
      <w:divBdr>
        <w:top w:val="none" w:sz="0" w:space="0" w:color="auto"/>
        <w:left w:val="none" w:sz="0" w:space="0" w:color="auto"/>
        <w:bottom w:val="none" w:sz="0" w:space="0" w:color="auto"/>
        <w:right w:val="none" w:sz="0" w:space="0" w:color="auto"/>
      </w:divBdr>
    </w:div>
    <w:div w:id="657655913">
      <w:bodyDiv w:val="1"/>
      <w:marLeft w:val="0"/>
      <w:marRight w:val="0"/>
      <w:marTop w:val="0"/>
      <w:marBottom w:val="0"/>
      <w:divBdr>
        <w:top w:val="none" w:sz="0" w:space="0" w:color="auto"/>
        <w:left w:val="none" w:sz="0" w:space="0" w:color="auto"/>
        <w:bottom w:val="none" w:sz="0" w:space="0" w:color="auto"/>
        <w:right w:val="none" w:sz="0" w:space="0" w:color="auto"/>
      </w:divBdr>
    </w:div>
    <w:div w:id="721641374">
      <w:bodyDiv w:val="1"/>
      <w:marLeft w:val="0"/>
      <w:marRight w:val="0"/>
      <w:marTop w:val="0"/>
      <w:marBottom w:val="0"/>
      <w:divBdr>
        <w:top w:val="none" w:sz="0" w:space="0" w:color="auto"/>
        <w:left w:val="none" w:sz="0" w:space="0" w:color="auto"/>
        <w:bottom w:val="none" w:sz="0" w:space="0" w:color="auto"/>
        <w:right w:val="none" w:sz="0" w:space="0" w:color="auto"/>
      </w:divBdr>
    </w:div>
    <w:div w:id="760684652">
      <w:bodyDiv w:val="1"/>
      <w:marLeft w:val="0"/>
      <w:marRight w:val="0"/>
      <w:marTop w:val="0"/>
      <w:marBottom w:val="0"/>
      <w:divBdr>
        <w:top w:val="none" w:sz="0" w:space="0" w:color="auto"/>
        <w:left w:val="none" w:sz="0" w:space="0" w:color="auto"/>
        <w:bottom w:val="none" w:sz="0" w:space="0" w:color="auto"/>
        <w:right w:val="none" w:sz="0" w:space="0" w:color="auto"/>
      </w:divBdr>
    </w:div>
    <w:div w:id="874853138">
      <w:bodyDiv w:val="1"/>
      <w:marLeft w:val="0"/>
      <w:marRight w:val="0"/>
      <w:marTop w:val="0"/>
      <w:marBottom w:val="0"/>
      <w:divBdr>
        <w:top w:val="none" w:sz="0" w:space="0" w:color="auto"/>
        <w:left w:val="none" w:sz="0" w:space="0" w:color="auto"/>
        <w:bottom w:val="none" w:sz="0" w:space="0" w:color="auto"/>
        <w:right w:val="none" w:sz="0" w:space="0" w:color="auto"/>
      </w:divBdr>
    </w:div>
    <w:div w:id="989747186">
      <w:bodyDiv w:val="1"/>
      <w:marLeft w:val="0"/>
      <w:marRight w:val="0"/>
      <w:marTop w:val="0"/>
      <w:marBottom w:val="0"/>
      <w:divBdr>
        <w:top w:val="none" w:sz="0" w:space="0" w:color="auto"/>
        <w:left w:val="none" w:sz="0" w:space="0" w:color="auto"/>
        <w:bottom w:val="none" w:sz="0" w:space="0" w:color="auto"/>
        <w:right w:val="none" w:sz="0" w:space="0" w:color="auto"/>
      </w:divBdr>
    </w:div>
    <w:div w:id="1099833656">
      <w:bodyDiv w:val="1"/>
      <w:marLeft w:val="0"/>
      <w:marRight w:val="0"/>
      <w:marTop w:val="0"/>
      <w:marBottom w:val="0"/>
      <w:divBdr>
        <w:top w:val="none" w:sz="0" w:space="0" w:color="auto"/>
        <w:left w:val="none" w:sz="0" w:space="0" w:color="auto"/>
        <w:bottom w:val="none" w:sz="0" w:space="0" w:color="auto"/>
        <w:right w:val="none" w:sz="0" w:space="0" w:color="auto"/>
      </w:divBdr>
    </w:div>
    <w:div w:id="1328023226">
      <w:bodyDiv w:val="1"/>
      <w:marLeft w:val="0"/>
      <w:marRight w:val="0"/>
      <w:marTop w:val="0"/>
      <w:marBottom w:val="0"/>
      <w:divBdr>
        <w:top w:val="none" w:sz="0" w:space="0" w:color="auto"/>
        <w:left w:val="none" w:sz="0" w:space="0" w:color="auto"/>
        <w:bottom w:val="none" w:sz="0" w:space="0" w:color="auto"/>
        <w:right w:val="none" w:sz="0" w:space="0" w:color="auto"/>
      </w:divBdr>
    </w:div>
    <w:div w:id="1443568156">
      <w:bodyDiv w:val="1"/>
      <w:marLeft w:val="0"/>
      <w:marRight w:val="0"/>
      <w:marTop w:val="0"/>
      <w:marBottom w:val="0"/>
      <w:divBdr>
        <w:top w:val="none" w:sz="0" w:space="0" w:color="auto"/>
        <w:left w:val="none" w:sz="0" w:space="0" w:color="auto"/>
        <w:bottom w:val="none" w:sz="0" w:space="0" w:color="auto"/>
        <w:right w:val="none" w:sz="0" w:space="0" w:color="auto"/>
      </w:divBdr>
    </w:div>
    <w:div w:id="1458336903">
      <w:bodyDiv w:val="1"/>
      <w:marLeft w:val="0"/>
      <w:marRight w:val="0"/>
      <w:marTop w:val="0"/>
      <w:marBottom w:val="0"/>
      <w:divBdr>
        <w:top w:val="none" w:sz="0" w:space="0" w:color="auto"/>
        <w:left w:val="none" w:sz="0" w:space="0" w:color="auto"/>
        <w:bottom w:val="none" w:sz="0" w:space="0" w:color="auto"/>
        <w:right w:val="none" w:sz="0" w:space="0" w:color="auto"/>
      </w:divBdr>
    </w:div>
    <w:div w:id="1475096602">
      <w:bodyDiv w:val="1"/>
      <w:marLeft w:val="0"/>
      <w:marRight w:val="0"/>
      <w:marTop w:val="0"/>
      <w:marBottom w:val="0"/>
      <w:divBdr>
        <w:top w:val="none" w:sz="0" w:space="0" w:color="auto"/>
        <w:left w:val="none" w:sz="0" w:space="0" w:color="auto"/>
        <w:bottom w:val="none" w:sz="0" w:space="0" w:color="auto"/>
        <w:right w:val="none" w:sz="0" w:space="0" w:color="auto"/>
      </w:divBdr>
    </w:div>
    <w:div w:id="1515150396">
      <w:bodyDiv w:val="1"/>
      <w:marLeft w:val="0"/>
      <w:marRight w:val="0"/>
      <w:marTop w:val="0"/>
      <w:marBottom w:val="0"/>
      <w:divBdr>
        <w:top w:val="none" w:sz="0" w:space="0" w:color="auto"/>
        <w:left w:val="none" w:sz="0" w:space="0" w:color="auto"/>
        <w:bottom w:val="none" w:sz="0" w:space="0" w:color="auto"/>
        <w:right w:val="none" w:sz="0" w:space="0" w:color="auto"/>
      </w:divBdr>
    </w:div>
    <w:div w:id="1557010664">
      <w:bodyDiv w:val="1"/>
      <w:marLeft w:val="0"/>
      <w:marRight w:val="0"/>
      <w:marTop w:val="0"/>
      <w:marBottom w:val="0"/>
      <w:divBdr>
        <w:top w:val="none" w:sz="0" w:space="0" w:color="auto"/>
        <w:left w:val="none" w:sz="0" w:space="0" w:color="auto"/>
        <w:bottom w:val="none" w:sz="0" w:space="0" w:color="auto"/>
        <w:right w:val="none" w:sz="0" w:space="0" w:color="auto"/>
      </w:divBdr>
    </w:div>
    <w:div w:id="1620911090">
      <w:bodyDiv w:val="1"/>
      <w:marLeft w:val="0"/>
      <w:marRight w:val="0"/>
      <w:marTop w:val="0"/>
      <w:marBottom w:val="0"/>
      <w:divBdr>
        <w:top w:val="none" w:sz="0" w:space="0" w:color="auto"/>
        <w:left w:val="none" w:sz="0" w:space="0" w:color="auto"/>
        <w:bottom w:val="none" w:sz="0" w:space="0" w:color="auto"/>
        <w:right w:val="none" w:sz="0" w:space="0" w:color="auto"/>
      </w:divBdr>
    </w:div>
    <w:div w:id="1752847321">
      <w:bodyDiv w:val="1"/>
      <w:marLeft w:val="0"/>
      <w:marRight w:val="0"/>
      <w:marTop w:val="0"/>
      <w:marBottom w:val="0"/>
      <w:divBdr>
        <w:top w:val="none" w:sz="0" w:space="0" w:color="auto"/>
        <w:left w:val="none" w:sz="0" w:space="0" w:color="auto"/>
        <w:bottom w:val="none" w:sz="0" w:space="0" w:color="auto"/>
        <w:right w:val="none" w:sz="0" w:space="0" w:color="auto"/>
      </w:divBdr>
    </w:div>
    <w:div w:id="1850485744">
      <w:bodyDiv w:val="1"/>
      <w:marLeft w:val="0"/>
      <w:marRight w:val="0"/>
      <w:marTop w:val="0"/>
      <w:marBottom w:val="0"/>
      <w:divBdr>
        <w:top w:val="none" w:sz="0" w:space="0" w:color="auto"/>
        <w:left w:val="none" w:sz="0" w:space="0" w:color="auto"/>
        <w:bottom w:val="none" w:sz="0" w:space="0" w:color="auto"/>
        <w:right w:val="none" w:sz="0" w:space="0" w:color="auto"/>
      </w:divBdr>
    </w:div>
    <w:div w:id="1931154760">
      <w:bodyDiv w:val="1"/>
      <w:marLeft w:val="0"/>
      <w:marRight w:val="0"/>
      <w:marTop w:val="0"/>
      <w:marBottom w:val="0"/>
      <w:divBdr>
        <w:top w:val="none" w:sz="0" w:space="0" w:color="auto"/>
        <w:left w:val="none" w:sz="0" w:space="0" w:color="auto"/>
        <w:bottom w:val="none" w:sz="0" w:space="0" w:color="auto"/>
        <w:right w:val="none" w:sz="0" w:space="0" w:color="auto"/>
      </w:divBdr>
    </w:div>
    <w:div w:id="2089764623">
      <w:bodyDiv w:val="1"/>
      <w:marLeft w:val="0"/>
      <w:marRight w:val="0"/>
      <w:marTop w:val="0"/>
      <w:marBottom w:val="0"/>
      <w:divBdr>
        <w:top w:val="none" w:sz="0" w:space="0" w:color="auto"/>
        <w:left w:val="none" w:sz="0" w:space="0" w:color="auto"/>
        <w:bottom w:val="none" w:sz="0" w:space="0" w:color="auto"/>
        <w:right w:val="none" w:sz="0" w:space="0" w:color="auto"/>
      </w:divBdr>
    </w:div>
    <w:div w:id="21449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7386-5B89-4306-B50D-DADB519B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4304FA91</Template>
  <TotalTime>4</TotalTime>
  <Pages>1</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Links>
    <vt:vector size="6" baseType="variant">
      <vt:variant>
        <vt:i4>3997754</vt:i4>
      </vt:variant>
      <vt:variant>
        <vt:i4>0</vt:i4>
      </vt:variant>
      <vt:variant>
        <vt:i4>0</vt:i4>
      </vt:variant>
      <vt:variant>
        <vt:i4>5</vt:i4>
      </vt:variant>
      <vt:variant>
        <vt:lpwstr>http://www.brunel.net/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Annella Boon</dc:creator>
  <cp:lastModifiedBy>Annella Boon</cp:lastModifiedBy>
  <cp:revision>2</cp:revision>
  <cp:lastPrinted>2012-11-01T17:17:00Z</cp:lastPrinted>
  <dcterms:created xsi:type="dcterms:W3CDTF">2012-11-01T17:38:00Z</dcterms:created>
  <dcterms:modified xsi:type="dcterms:W3CDTF">2012-11-01T17:38:00Z</dcterms:modified>
</cp:coreProperties>
</file>