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DD140" w14:textId="77777777" w:rsidR="0095548C" w:rsidRPr="002D16D8" w:rsidRDefault="0095548C" w:rsidP="0095548C">
      <w:pPr>
        <w:autoSpaceDE w:val="0"/>
        <w:autoSpaceDN w:val="0"/>
        <w:adjustRightInd w:val="0"/>
        <w:spacing w:after="0" w:line="180" w:lineRule="atLeast"/>
        <w:jc w:val="both"/>
        <w:rPr>
          <w:rFonts w:ascii="Times New Roman" w:hAnsi="Times New Roman" w:cs="Times New Roman"/>
          <w:color w:val="000000"/>
          <w:sz w:val="18"/>
          <w:szCs w:val="18"/>
          <w:lang w:val="en-GB"/>
        </w:rPr>
      </w:pPr>
      <w:r w:rsidRPr="002D16D8">
        <w:rPr>
          <w:rFonts w:ascii="Times New Roman" w:hAnsi="Times New Roman" w:cs="Times New Roman"/>
          <w:color w:val="000000"/>
          <w:sz w:val="18"/>
          <w:szCs w:val="18"/>
          <w:lang w:val="en-GB"/>
        </w:rPr>
        <w:t>This communication is an advertisement for the purposes of the Prospectus Regulation EU 2017/1129 and underlying legislation. It is not a prospectus and does not constitute an offer of securities for sale or subscription in any jurisdiction. Neither this announcement nor anything contained herein shall form the basis of, or be relied upon in connection with, any offer or commitment whatsoever in any jurisdiction. The prospectus relating to the securities was approved by the Dutch Authority for the Financial Markets (</w:t>
      </w:r>
      <w:proofErr w:type="spellStart"/>
      <w:r w:rsidRPr="002D16D8">
        <w:rPr>
          <w:rFonts w:ascii="Times New Roman" w:hAnsi="Times New Roman" w:cs="Times New Roman"/>
          <w:i/>
          <w:color w:val="000000"/>
          <w:sz w:val="18"/>
          <w:szCs w:val="18"/>
          <w:lang w:val="en-GB"/>
        </w:rPr>
        <w:t>Stichting</w:t>
      </w:r>
      <w:proofErr w:type="spellEnd"/>
      <w:r w:rsidRPr="002D16D8">
        <w:rPr>
          <w:rFonts w:ascii="Times New Roman" w:hAnsi="Times New Roman" w:cs="Times New Roman"/>
          <w:i/>
          <w:color w:val="000000"/>
          <w:sz w:val="18"/>
          <w:szCs w:val="18"/>
          <w:lang w:val="en-GB"/>
        </w:rPr>
        <w:t xml:space="preserve"> </w:t>
      </w:r>
      <w:proofErr w:type="spellStart"/>
      <w:r w:rsidRPr="002D16D8">
        <w:rPr>
          <w:rFonts w:ascii="Times New Roman" w:hAnsi="Times New Roman" w:cs="Times New Roman"/>
          <w:i/>
          <w:color w:val="000000"/>
          <w:sz w:val="18"/>
          <w:szCs w:val="18"/>
          <w:lang w:val="en-GB"/>
        </w:rPr>
        <w:t>Autoriteit</w:t>
      </w:r>
      <w:proofErr w:type="spellEnd"/>
      <w:r w:rsidRPr="002D16D8">
        <w:rPr>
          <w:rFonts w:ascii="Times New Roman" w:hAnsi="Times New Roman" w:cs="Times New Roman"/>
          <w:i/>
          <w:color w:val="000000"/>
          <w:sz w:val="18"/>
          <w:szCs w:val="18"/>
          <w:lang w:val="en-GB"/>
        </w:rPr>
        <w:t xml:space="preserve"> </w:t>
      </w:r>
      <w:proofErr w:type="spellStart"/>
      <w:r w:rsidRPr="002D16D8">
        <w:rPr>
          <w:rFonts w:ascii="Times New Roman" w:hAnsi="Times New Roman" w:cs="Times New Roman"/>
          <w:i/>
          <w:color w:val="000000"/>
          <w:sz w:val="18"/>
          <w:szCs w:val="18"/>
          <w:lang w:val="en-GB"/>
        </w:rPr>
        <w:t>Financiële</w:t>
      </w:r>
      <w:proofErr w:type="spellEnd"/>
      <w:r w:rsidRPr="002D16D8">
        <w:rPr>
          <w:rFonts w:ascii="Times New Roman" w:hAnsi="Times New Roman" w:cs="Times New Roman"/>
          <w:i/>
          <w:color w:val="000000"/>
          <w:sz w:val="18"/>
          <w:szCs w:val="18"/>
          <w:lang w:val="en-GB"/>
        </w:rPr>
        <w:t xml:space="preserve"> </w:t>
      </w:r>
      <w:proofErr w:type="spellStart"/>
      <w:r w:rsidRPr="002D16D8">
        <w:rPr>
          <w:rFonts w:ascii="Times New Roman" w:hAnsi="Times New Roman" w:cs="Times New Roman"/>
          <w:i/>
          <w:color w:val="000000"/>
          <w:sz w:val="18"/>
          <w:szCs w:val="18"/>
          <w:lang w:val="en-GB"/>
        </w:rPr>
        <w:t>Markten</w:t>
      </w:r>
      <w:proofErr w:type="spellEnd"/>
      <w:r w:rsidRPr="002D16D8">
        <w:rPr>
          <w:rFonts w:ascii="Times New Roman" w:hAnsi="Times New Roman" w:cs="Times New Roman"/>
          <w:color w:val="000000"/>
          <w:sz w:val="18"/>
          <w:szCs w:val="18"/>
          <w:lang w:val="en-GB"/>
        </w:rPr>
        <w:t xml:space="preserve">) in accordance with the Prospectus Regulation regime and is available free of charge at the issuer's website </w:t>
      </w:r>
      <w:bookmarkStart w:id="0" w:name="_Hlk68970727"/>
      <w:r w:rsidRPr="002D16D8">
        <w:rPr>
          <w:rFonts w:ascii="Times New Roman" w:hAnsi="Times New Roman" w:cs="Times New Roman"/>
          <w:color w:val="000000"/>
          <w:sz w:val="18"/>
          <w:szCs w:val="18"/>
          <w:lang w:val="en-GB"/>
        </w:rPr>
        <w:t>in the section IPO Documentation:</w:t>
      </w:r>
      <w:r w:rsidRPr="002D16D8">
        <w:rPr>
          <w:lang w:val="en-GB"/>
        </w:rPr>
        <w:t xml:space="preserve"> </w:t>
      </w:r>
      <w:r w:rsidRPr="002D16D8">
        <w:rPr>
          <w:rFonts w:ascii="Times New Roman" w:hAnsi="Times New Roman" w:cs="Times New Roman"/>
          <w:color w:val="000000"/>
          <w:sz w:val="18"/>
          <w:szCs w:val="18"/>
          <w:lang w:val="en-GB"/>
        </w:rPr>
        <w:t>https://www.ctp.eu/investors/ipo-documentation/</w:t>
      </w:r>
      <w:bookmarkEnd w:id="0"/>
      <w:r w:rsidRPr="002D16D8">
        <w:rPr>
          <w:rFonts w:ascii="Times New Roman" w:hAnsi="Times New Roman" w:cs="Times New Roman"/>
          <w:color w:val="000000"/>
          <w:sz w:val="18"/>
          <w:szCs w:val="18"/>
          <w:lang w:val="en-GB"/>
        </w:rPr>
        <w:t>. Investors should purchase securities solely on the basis of the prospectus and should read the prospectus before making an investment decision in order to fully understand the potential risks and rewards associated with the decision to invest in the securities.</w:t>
      </w:r>
    </w:p>
    <w:p w14:paraId="2CA12F09" w14:textId="77777777" w:rsidR="005B44F3" w:rsidRPr="002D16D8" w:rsidRDefault="005B44F3" w:rsidP="004C361E">
      <w:pPr>
        <w:autoSpaceDE w:val="0"/>
        <w:autoSpaceDN w:val="0"/>
        <w:adjustRightInd w:val="0"/>
        <w:spacing w:after="0" w:line="180" w:lineRule="atLeast"/>
        <w:jc w:val="both"/>
        <w:rPr>
          <w:rFonts w:ascii="Times New Roman" w:hAnsi="Times New Roman" w:cs="Times New Roman"/>
          <w:color w:val="000000"/>
          <w:sz w:val="18"/>
          <w:szCs w:val="18"/>
          <w:lang w:val="en-GB"/>
        </w:rPr>
      </w:pPr>
    </w:p>
    <w:p w14:paraId="3E963B3F" w14:textId="77777777" w:rsidR="00401121" w:rsidRPr="002D16D8" w:rsidRDefault="00401121" w:rsidP="00401121">
      <w:pPr>
        <w:jc w:val="center"/>
        <w:rPr>
          <w:rFonts w:ascii="Arial" w:hAnsi="Arial" w:cs="Arial"/>
          <w:lang w:val="en-GB"/>
        </w:rPr>
      </w:pPr>
      <w:r w:rsidRPr="002D16D8">
        <w:rPr>
          <w:rFonts w:ascii="Arial" w:hAnsi="Arial" w:cs="Arial"/>
          <w:b/>
          <w:bCs/>
          <w:noProof/>
          <w:sz w:val="20"/>
          <w:szCs w:val="20"/>
          <w:lang w:val="en-GB" w:eastAsia="en-GB"/>
        </w:rPr>
        <w:drawing>
          <wp:inline distT="0" distB="0" distL="0" distR="0" wp14:anchorId="50C111BB" wp14:editId="19D219AA">
            <wp:extent cx="1250950" cy="833553"/>
            <wp:effectExtent l="0" t="0" r="6350" b="5080"/>
            <wp:docPr id="3" name="Afbeelding 3" descr="Afbeelding met tekst, illustratie  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  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1918" cy="860851"/>
                    </a:xfrm>
                    <a:prstGeom prst="rect">
                      <a:avLst/>
                    </a:prstGeom>
                  </pic:spPr>
                </pic:pic>
              </a:graphicData>
            </a:graphic>
          </wp:inline>
        </w:drawing>
      </w:r>
    </w:p>
    <w:p w14:paraId="246BA499" w14:textId="77777777" w:rsidR="003527F1" w:rsidRPr="002D16D8" w:rsidRDefault="003527F1" w:rsidP="003527F1">
      <w:pPr>
        <w:shd w:val="clear" w:color="auto" w:fill="FFFFFF"/>
        <w:spacing w:after="0" w:line="240" w:lineRule="auto"/>
        <w:rPr>
          <w:rFonts w:ascii="Arial" w:eastAsia="Times New Roman" w:hAnsi="Arial" w:cs="Arial"/>
          <w:kern w:val="36"/>
          <w:sz w:val="20"/>
          <w:szCs w:val="20"/>
          <w:lang w:val="en-GB" w:eastAsia="nl-NL"/>
        </w:rPr>
      </w:pPr>
    </w:p>
    <w:p w14:paraId="50964AB6" w14:textId="77777777" w:rsidR="00B547BB" w:rsidRPr="002D16D8" w:rsidRDefault="00B547BB" w:rsidP="00B547BB">
      <w:pPr>
        <w:shd w:val="clear" w:color="auto" w:fill="FFFFFF"/>
        <w:spacing w:after="0" w:line="240" w:lineRule="auto"/>
        <w:rPr>
          <w:rFonts w:ascii="Arial" w:eastAsia="Times New Roman" w:hAnsi="Arial" w:cs="Arial"/>
          <w:b/>
          <w:bCs/>
          <w:kern w:val="36"/>
          <w:sz w:val="24"/>
          <w:szCs w:val="24"/>
          <w:lang w:val="en-GB" w:eastAsia="nl-NL"/>
        </w:rPr>
      </w:pPr>
      <w:bookmarkStart w:id="1" w:name="_Hlk66980519"/>
      <w:r w:rsidRPr="002D16D8">
        <w:rPr>
          <w:rFonts w:ascii="Arial" w:eastAsia="Times New Roman" w:hAnsi="Arial" w:cs="Arial"/>
          <w:b/>
          <w:bCs/>
          <w:kern w:val="36"/>
          <w:sz w:val="24"/>
          <w:szCs w:val="24"/>
          <w:lang w:val="en-GB" w:eastAsia="nl-NL"/>
        </w:rPr>
        <w:t xml:space="preserve">CTP </w:t>
      </w:r>
      <w:r w:rsidR="0086141D" w:rsidRPr="002D16D8">
        <w:rPr>
          <w:rFonts w:ascii="Arial" w:eastAsia="Times New Roman" w:hAnsi="Arial" w:cs="Arial"/>
          <w:b/>
          <w:bCs/>
          <w:kern w:val="36"/>
          <w:sz w:val="24"/>
          <w:szCs w:val="24"/>
          <w:lang w:val="en-GB" w:eastAsia="nl-NL"/>
        </w:rPr>
        <w:t xml:space="preserve">ANNOUNCES PARTIAL EXERCISE OF THE </w:t>
      </w:r>
      <w:r w:rsidRPr="002D16D8">
        <w:rPr>
          <w:rFonts w:ascii="Arial" w:eastAsia="Times New Roman" w:hAnsi="Arial" w:cs="Arial"/>
          <w:b/>
          <w:bCs/>
          <w:kern w:val="36"/>
          <w:sz w:val="24"/>
          <w:szCs w:val="24"/>
          <w:lang w:val="en-GB" w:eastAsia="nl-NL"/>
        </w:rPr>
        <w:t xml:space="preserve">OVERALLOTMENT OPTION </w:t>
      </w:r>
      <w:r w:rsidR="0086141D" w:rsidRPr="002D16D8">
        <w:rPr>
          <w:rFonts w:ascii="Arial" w:eastAsia="Times New Roman" w:hAnsi="Arial" w:cs="Arial"/>
          <w:b/>
          <w:bCs/>
          <w:kern w:val="36"/>
          <w:sz w:val="24"/>
          <w:szCs w:val="24"/>
          <w:lang w:val="en-GB" w:eastAsia="nl-NL"/>
        </w:rPr>
        <w:t>CONCLUDING ITS IPO PROCES</w:t>
      </w:r>
      <w:r w:rsidR="00562811" w:rsidRPr="002D16D8">
        <w:rPr>
          <w:rFonts w:ascii="Arial" w:eastAsia="Times New Roman" w:hAnsi="Arial" w:cs="Arial"/>
          <w:b/>
          <w:bCs/>
          <w:kern w:val="36"/>
          <w:sz w:val="24"/>
          <w:szCs w:val="24"/>
          <w:lang w:val="en-GB" w:eastAsia="nl-NL"/>
        </w:rPr>
        <w:t>S</w:t>
      </w:r>
    </w:p>
    <w:p w14:paraId="30BD0CBF" w14:textId="77777777" w:rsidR="00A9151A" w:rsidRPr="002D16D8" w:rsidRDefault="00A9151A">
      <w:pPr>
        <w:rPr>
          <w:rStyle w:val="Zwaar"/>
          <w:rFonts w:ascii="Arial" w:hAnsi="Arial" w:cs="Arial"/>
          <w:sz w:val="20"/>
          <w:szCs w:val="20"/>
          <w:shd w:val="clear" w:color="auto" w:fill="FFFFFF"/>
          <w:lang w:val="en-GB"/>
        </w:rPr>
      </w:pPr>
    </w:p>
    <w:p w14:paraId="5F9ED30D" w14:textId="77777777" w:rsidR="0086141D" w:rsidRPr="002D16D8" w:rsidRDefault="00B547BB" w:rsidP="0086141D">
      <w:pPr>
        <w:rPr>
          <w:rFonts w:ascii="Arial" w:eastAsia="Times New Roman" w:hAnsi="Arial" w:cs="Arial"/>
          <w:sz w:val="20"/>
          <w:szCs w:val="20"/>
          <w:lang w:val="en-GB" w:eastAsia="nl-NL"/>
        </w:rPr>
      </w:pPr>
      <w:r w:rsidRPr="002D16D8">
        <w:rPr>
          <w:rStyle w:val="Zwaar"/>
          <w:rFonts w:ascii="Arial" w:hAnsi="Arial" w:cs="Arial"/>
          <w:sz w:val="20"/>
          <w:szCs w:val="20"/>
          <w:shd w:val="clear" w:color="auto" w:fill="FFFFFF"/>
          <w:lang w:val="en-GB"/>
        </w:rPr>
        <w:t xml:space="preserve">Utrecht, the Netherlands / Prague, Czech Republic, </w:t>
      </w:r>
      <w:r w:rsidR="00AD7A43" w:rsidRPr="002D16D8">
        <w:rPr>
          <w:rStyle w:val="Zwaar"/>
          <w:rFonts w:ascii="Arial" w:hAnsi="Arial" w:cs="Arial"/>
          <w:sz w:val="20"/>
          <w:szCs w:val="20"/>
          <w:shd w:val="clear" w:color="auto" w:fill="FFFFFF"/>
          <w:lang w:val="en-GB"/>
        </w:rPr>
        <w:t>12</w:t>
      </w:r>
      <w:r w:rsidR="004965E9" w:rsidRPr="002D16D8">
        <w:rPr>
          <w:rStyle w:val="Zwaar"/>
          <w:rFonts w:ascii="Arial" w:hAnsi="Arial" w:cs="Arial"/>
          <w:sz w:val="20"/>
          <w:szCs w:val="20"/>
          <w:shd w:val="clear" w:color="auto" w:fill="FFFFFF"/>
          <w:lang w:val="en-GB"/>
        </w:rPr>
        <w:t xml:space="preserve"> </w:t>
      </w:r>
      <w:r w:rsidRPr="002D16D8">
        <w:rPr>
          <w:rStyle w:val="Zwaar"/>
          <w:rFonts w:ascii="Arial" w:hAnsi="Arial" w:cs="Arial"/>
          <w:sz w:val="20"/>
          <w:szCs w:val="20"/>
          <w:shd w:val="clear" w:color="auto" w:fill="FFFFFF"/>
          <w:lang w:val="en-GB"/>
        </w:rPr>
        <w:t>April 2021</w:t>
      </w:r>
      <w:r w:rsidRPr="002D16D8">
        <w:rPr>
          <w:rFonts w:ascii="Arial" w:hAnsi="Arial" w:cs="Arial"/>
          <w:sz w:val="20"/>
          <w:szCs w:val="20"/>
          <w:shd w:val="clear" w:color="auto" w:fill="FFFFFF"/>
          <w:lang w:val="en-GB"/>
        </w:rPr>
        <w:t> </w:t>
      </w:r>
      <w:bookmarkStart w:id="2" w:name="_Hlk67055175"/>
      <w:r w:rsidRPr="002D16D8">
        <w:rPr>
          <w:rFonts w:ascii="Arial" w:hAnsi="Arial" w:cs="Arial"/>
          <w:sz w:val="20"/>
          <w:szCs w:val="20"/>
          <w:shd w:val="clear" w:color="auto" w:fill="FFFFFF"/>
          <w:lang w:val="en-GB"/>
        </w:rPr>
        <w:t xml:space="preserve">– </w:t>
      </w:r>
      <w:bookmarkStart w:id="3" w:name="_Hlk67055198"/>
      <w:r w:rsidRPr="002D16D8">
        <w:rPr>
          <w:rFonts w:ascii="Arial" w:eastAsia="Times New Roman" w:hAnsi="Arial" w:cs="Arial"/>
          <w:sz w:val="20"/>
          <w:szCs w:val="20"/>
          <w:lang w:val="en-GB" w:eastAsia="nl-NL"/>
        </w:rPr>
        <w:t xml:space="preserve">CTP </w:t>
      </w:r>
      <w:r w:rsidR="000E380D" w:rsidRPr="002D16D8">
        <w:rPr>
          <w:rFonts w:ascii="Arial" w:eastAsia="Times New Roman" w:hAnsi="Arial" w:cs="Arial"/>
          <w:sz w:val="20"/>
          <w:szCs w:val="20"/>
          <w:lang w:val="en-GB" w:eastAsia="nl-NL"/>
        </w:rPr>
        <w:t>N</w:t>
      </w:r>
      <w:r w:rsidRPr="002D16D8">
        <w:rPr>
          <w:rFonts w:ascii="Arial" w:eastAsia="Times New Roman" w:hAnsi="Arial" w:cs="Arial"/>
          <w:sz w:val="20"/>
          <w:szCs w:val="20"/>
          <w:lang w:val="en-GB" w:eastAsia="nl-NL"/>
        </w:rPr>
        <w:t>.V</w:t>
      </w:r>
      <w:bookmarkEnd w:id="2"/>
      <w:bookmarkEnd w:id="3"/>
      <w:r w:rsidRPr="002D16D8">
        <w:rPr>
          <w:rFonts w:ascii="Arial" w:eastAsia="Times New Roman" w:hAnsi="Arial" w:cs="Arial"/>
          <w:sz w:val="20"/>
          <w:szCs w:val="20"/>
          <w:lang w:val="en-GB" w:eastAsia="nl-NL"/>
        </w:rPr>
        <w:t xml:space="preserve">. (“CTP” or </w:t>
      </w:r>
      <w:r w:rsidR="00B76FE2" w:rsidRPr="002D16D8">
        <w:rPr>
          <w:rFonts w:ascii="Arial" w:eastAsia="Times New Roman" w:hAnsi="Arial" w:cs="Arial"/>
          <w:sz w:val="20"/>
          <w:szCs w:val="20"/>
          <w:lang w:val="en-GB" w:eastAsia="nl-NL"/>
        </w:rPr>
        <w:t xml:space="preserve">the </w:t>
      </w:r>
      <w:r w:rsidRPr="002D16D8">
        <w:rPr>
          <w:rFonts w:ascii="Arial" w:eastAsia="Times New Roman" w:hAnsi="Arial" w:cs="Arial"/>
          <w:sz w:val="20"/>
          <w:szCs w:val="20"/>
          <w:lang w:val="en-GB" w:eastAsia="nl-NL"/>
        </w:rPr>
        <w:t xml:space="preserve">“Company” or, together with its subsidiaries, “the Group”), a leading vertically integrated European logistics property owner-developer, today announces that Morgan Stanley Europe S.E., acting as stabilisation manager (the “Stabilisation Manager”) on behalf of the underwriters, has partially exercised the Over-Allotment Option (as defined below), </w:t>
      </w:r>
      <w:r w:rsidR="00562811" w:rsidRPr="002D16D8">
        <w:rPr>
          <w:rFonts w:ascii="Arial" w:eastAsia="Times New Roman" w:hAnsi="Arial" w:cs="Arial"/>
          <w:sz w:val="20"/>
          <w:szCs w:val="20"/>
          <w:lang w:val="en-GB" w:eastAsia="nl-NL"/>
        </w:rPr>
        <w:t xml:space="preserve">in the amount of </w:t>
      </w:r>
      <w:r w:rsidRPr="002D16D8">
        <w:rPr>
          <w:rFonts w:ascii="Arial" w:eastAsia="Times New Roman" w:hAnsi="Arial" w:cs="Arial"/>
          <w:sz w:val="20"/>
          <w:szCs w:val="20"/>
          <w:lang w:val="en-GB" w:eastAsia="nl-NL"/>
        </w:rPr>
        <w:t>6,692,7</w:t>
      </w:r>
      <w:r w:rsidR="004965E9" w:rsidRPr="002D16D8">
        <w:rPr>
          <w:rFonts w:ascii="Arial" w:eastAsia="Times New Roman" w:hAnsi="Arial" w:cs="Arial"/>
          <w:sz w:val="20"/>
          <w:szCs w:val="20"/>
          <w:lang w:val="en-GB" w:eastAsia="nl-NL"/>
        </w:rPr>
        <w:t>2</w:t>
      </w:r>
      <w:r w:rsidRPr="002D16D8">
        <w:rPr>
          <w:rFonts w:ascii="Arial" w:eastAsia="Times New Roman" w:hAnsi="Arial" w:cs="Arial"/>
          <w:sz w:val="20"/>
          <w:szCs w:val="20"/>
          <w:lang w:val="en-GB" w:eastAsia="nl-NL"/>
        </w:rPr>
        <w:t xml:space="preserve">3 Shares. </w:t>
      </w:r>
    </w:p>
    <w:p w14:paraId="6B13877E" w14:textId="77777777" w:rsidR="00B547BB" w:rsidRPr="002D16D8" w:rsidRDefault="00B547BB" w:rsidP="00B547BB">
      <w:pPr>
        <w:rPr>
          <w:rFonts w:ascii="Arial" w:eastAsia="Times New Roman" w:hAnsi="Arial" w:cs="Arial"/>
          <w:sz w:val="20"/>
          <w:szCs w:val="20"/>
          <w:lang w:val="en-GB" w:eastAsia="nl-NL"/>
        </w:rPr>
      </w:pPr>
      <w:r w:rsidRPr="002D16D8">
        <w:rPr>
          <w:rFonts w:ascii="Arial" w:eastAsia="Times New Roman" w:hAnsi="Arial" w:cs="Arial"/>
          <w:sz w:val="20"/>
          <w:szCs w:val="20"/>
          <w:lang w:val="en-GB" w:eastAsia="nl-NL"/>
        </w:rPr>
        <w:t xml:space="preserve">This brings the total </w:t>
      </w:r>
      <w:r w:rsidR="0040676C" w:rsidRPr="002D16D8">
        <w:rPr>
          <w:rFonts w:ascii="Arial" w:eastAsia="Times New Roman" w:hAnsi="Arial" w:cs="Arial"/>
          <w:sz w:val="20"/>
          <w:szCs w:val="20"/>
          <w:lang w:val="en-GB" w:eastAsia="nl-NL"/>
        </w:rPr>
        <w:t xml:space="preserve">gross </w:t>
      </w:r>
      <w:r w:rsidRPr="002D16D8">
        <w:rPr>
          <w:rFonts w:ascii="Arial" w:eastAsia="Times New Roman" w:hAnsi="Arial" w:cs="Arial"/>
          <w:sz w:val="20"/>
          <w:szCs w:val="20"/>
          <w:lang w:val="en-GB" w:eastAsia="nl-NL"/>
        </w:rPr>
        <w:t xml:space="preserve">proceeds of the </w:t>
      </w:r>
      <w:r w:rsidR="0040676C" w:rsidRPr="002D16D8">
        <w:rPr>
          <w:rFonts w:ascii="Arial" w:eastAsia="Times New Roman" w:hAnsi="Arial" w:cs="Arial"/>
          <w:sz w:val="20"/>
          <w:szCs w:val="20"/>
          <w:lang w:val="en-GB" w:eastAsia="nl-NL"/>
        </w:rPr>
        <w:t xml:space="preserve">initial public </w:t>
      </w:r>
      <w:r w:rsidRPr="002D16D8">
        <w:rPr>
          <w:rFonts w:ascii="Arial" w:eastAsia="Times New Roman" w:hAnsi="Arial" w:cs="Arial"/>
          <w:sz w:val="20"/>
          <w:szCs w:val="20"/>
          <w:lang w:val="en-GB" w:eastAsia="nl-NL"/>
        </w:rPr>
        <w:t>offering</w:t>
      </w:r>
      <w:r w:rsidR="00457C2D" w:rsidRPr="002D16D8">
        <w:rPr>
          <w:rFonts w:ascii="Arial" w:eastAsia="Times New Roman" w:hAnsi="Arial" w:cs="Arial"/>
          <w:sz w:val="20"/>
          <w:szCs w:val="20"/>
          <w:lang w:val="en-GB" w:eastAsia="nl-NL"/>
        </w:rPr>
        <w:t xml:space="preserve"> (the “Offer”)</w:t>
      </w:r>
      <w:r w:rsidRPr="002D16D8">
        <w:rPr>
          <w:rFonts w:ascii="Arial" w:eastAsia="Times New Roman" w:hAnsi="Arial" w:cs="Arial"/>
          <w:sz w:val="20"/>
          <w:szCs w:val="20"/>
          <w:lang w:val="en-GB" w:eastAsia="nl-NL"/>
        </w:rPr>
        <w:t xml:space="preserve"> of the Company’s shares </w:t>
      </w:r>
      <w:r w:rsidR="00B76FE2" w:rsidRPr="002D16D8">
        <w:rPr>
          <w:rFonts w:ascii="Arial" w:eastAsia="Times New Roman" w:hAnsi="Arial" w:cs="Arial"/>
          <w:sz w:val="20"/>
          <w:szCs w:val="20"/>
          <w:lang w:val="en-GB" w:eastAsia="nl-NL"/>
        </w:rPr>
        <w:t>(the “</w:t>
      </w:r>
      <w:r w:rsidR="00457C2D" w:rsidRPr="002D16D8">
        <w:rPr>
          <w:rFonts w:ascii="Arial" w:eastAsia="Times New Roman" w:hAnsi="Arial" w:cs="Arial"/>
          <w:sz w:val="20"/>
          <w:szCs w:val="20"/>
          <w:lang w:val="en-GB" w:eastAsia="nl-NL"/>
        </w:rPr>
        <w:t>Shares</w:t>
      </w:r>
      <w:r w:rsidR="00B76FE2" w:rsidRPr="002D16D8">
        <w:rPr>
          <w:rFonts w:ascii="Arial" w:eastAsia="Times New Roman" w:hAnsi="Arial" w:cs="Arial"/>
          <w:sz w:val="20"/>
          <w:szCs w:val="20"/>
          <w:lang w:val="en-GB" w:eastAsia="nl-NL"/>
        </w:rPr>
        <w:t xml:space="preserve">”) </w:t>
      </w:r>
      <w:r w:rsidRPr="002D16D8">
        <w:rPr>
          <w:rFonts w:ascii="Arial" w:eastAsia="Times New Roman" w:hAnsi="Arial" w:cs="Arial"/>
          <w:sz w:val="20"/>
          <w:szCs w:val="20"/>
          <w:lang w:val="en-GB" w:eastAsia="nl-NL"/>
        </w:rPr>
        <w:t>to a</w:t>
      </w:r>
      <w:r w:rsidR="0079556D" w:rsidRPr="002D16D8">
        <w:rPr>
          <w:rFonts w:ascii="Arial" w:eastAsia="Times New Roman" w:hAnsi="Arial" w:cs="Arial"/>
          <w:sz w:val="20"/>
          <w:szCs w:val="20"/>
          <w:lang w:val="en-GB" w:eastAsia="nl-NL"/>
        </w:rPr>
        <w:t>n</w:t>
      </w:r>
      <w:r w:rsidRPr="002D16D8">
        <w:rPr>
          <w:rFonts w:ascii="Arial" w:eastAsia="Times New Roman" w:hAnsi="Arial" w:cs="Arial"/>
          <w:sz w:val="20"/>
          <w:szCs w:val="20"/>
          <w:lang w:val="en-GB" w:eastAsia="nl-NL"/>
        </w:rPr>
        <w:t xml:space="preserve"> amount of € </w:t>
      </w:r>
      <w:r w:rsidR="0086141D" w:rsidRPr="002D16D8">
        <w:rPr>
          <w:rFonts w:ascii="Arial" w:eastAsia="Times New Roman" w:hAnsi="Arial" w:cs="Arial"/>
          <w:sz w:val="20"/>
          <w:szCs w:val="20"/>
          <w:lang w:val="en-GB" w:eastAsia="nl-NL"/>
        </w:rPr>
        <w:t>947.9 m</w:t>
      </w:r>
      <w:r w:rsidRPr="002D16D8">
        <w:rPr>
          <w:rFonts w:ascii="Arial" w:eastAsia="Times New Roman" w:hAnsi="Arial" w:cs="Arial"/>
          <w:sz w:val="20"/>
          <w:szCs w:val="20"/>
          <w:lang w:val="en-GB" w:eastAsia="nl-NL"/>
        </w:rPr>
        <w:t xml:space="preserve">illion and ends the stabilisation period. Settlement of the Over-Allotment Option will take place on </w:t>
      </w:r>
      <w:r w:rsidR="00562811" w:rsidRPr="002D16D8">
        <w:rPr>
          <w:rFonts w:ascii="Arial" w:eastAsia="Times New Roman" w:hAnsi="Arial" w:cs="Arial"/>
          <w:sz w:val="20"/>
          <w:szCs w:val="20"/>
          <w:lang w:val="en-GB" w:eastAsia="nl-NL"/>
        </w:rPr>
        <w:t>14</w:t>
      </w:r>
      <w:r w:rsidRPr="002D16D8">
        <w:rPr>
          <w:rFonts w:ascii="Arial" w:eastAsia="Times New Roman" w:hAnsi="Arial" w:cs="Arial"/>
          <w:sz w:val="20"/>
          <w:szCs w:val="20"/>
          <w:lang w:val="en-GB" w:eastAsia="nl-NL"/>
        </w:rPr>
        <w:t xml:space="preserve"> April 2021.</w:t>
      </w:r>
    </w:p>
    <w:p w14:paraId="6741CA95" w14:textId="77777777" w:rsidR="00B547BB" w:rsidRPr="002D16D8" w:rsidRDefault="00B547BB" w:rsidP="0086141D">
      <w:pPr>
        <w:spacing w:after="0"/>
        <w:rPr>
          <w:rFonts w:ascii="Arial" w:eastAsia="Times New Roman" w:hAnsi="Arial" w:cs="Arial"/>
          <w:b/>
          <w:bCs/>
          <w:sz w:val="20"/>
          <w:szCs w:val="20"/>
          <w:lang w:val="en-GB" w:eastAsia="nl-NL"/>
        </w:rPr>
      </w:pPr>
      <w:r w:rsidRPr="002D16D8">
        <w:rPr>
          <w:rFonts w:ascii="Arial" w:eastAsia="Times New Roman" w:hAnsi="Arial" w:cs="Arial"/>
          <w:b/>
          <w:bCs/>
          <w:sz w:val="20"/>
          <w:szCs w:val="20"/>
          <w:lang w:val="en-GB" w:eastAsia="nl-NL"/>
        </w:rPr>
        <w:t>Over-Allotment Option</w:t>
      </w:r>
    </w:p>
    <w:p w14:paraId="62059FDA" w14:textId="235A8024" w:rsidR="00B547BB" w:rsidRPr="002D16D8" w:rsidRDefault="00B547BB" w:rsidP="0079556D">
      <w:pPr>
        <w:spacing w:line="240" w:lineRule="auto"/>
        <w:rPr>
          <w:rFonts w:ascii="Arial" w:eastAsia="Times New Roman" w:hAnsi="Arial" w:cs="Arial"/>
          <w:sz w:val="20"/>
          <w:szCs w:val="20"/>
          <w:lang w:val="en-GB" w:eastAsia="nl-NL"/>
        </w:rPr>
      </w:pPr>
      <w:r w:rsidRPr="002D16D8">
        <w:rPr>
          <w:rFonts w:ascii="Arial" w:eastAsia="Times New Roman" w:hAnsi="Arial" w:cs="Arial"/>
          <w:sz w:val="20"/>
          <w:szCs w:val="20"/>
          <w:lang w:val="en-GB" w:eastAsia="nl-NL"/>
        </w:rPr>
        <w:t xml:space="preserve">The total number of Shares allotted in the Offer was </w:t>
      </w:r>
      <w:r w:rsidR="007A5E69" w:rsidRPr="002D16D8">
        <w:rPr>
          <w:rFonts w:ascii="Arial" w:eastAsia="Times New Roman" w:hAnsi="Arial" w:cs="Arial"/>
          <w:sz w:val="20"/>
          <w:szCs w:val="20"/>
          <w:lang w:val="en-GB" w:eastAsia="nl-NL"/>
        </w:rPr>
        <w:t>61,017,000</w:t>
      </w:r>
      <w:r w:rsidRPr="002D16D8">
        <w:rPr>
          <w:rFonts w:ascii="Arial" w:eastAsia="Times New Roman" w:hAnsi="Arial" w:cs="Arial"/>
          <w:sz w:val="20"/>
          <w:szCs w:val="20"/>
          <w:lang w:val="en-GB" w:eastAsia="nl-NL"/>
        </w:rPr>
        <w:t xml:space="preserve">, representing </w:t>
      </w:r>
      <w:r w:rsidR="007A5E69" w:rsidRPr="002D16D8">
        <w:rPr>
          <w:rFonts w:ascii="Arial" w:eastAsia="Times New Roman" w:hAnsi="Arial" w:cs="Arial"/>
          <w:sz w:val="20"/>
          <w:szCs w:val="20"/>
          <w:lang w:val="en-GB" w:eastAsia="nl-NL"/>
        </w:rPr>
        <w:t>15.4</w:t>
      </w:r>
      <w:r w:rsidRPr="002D16D8">
        <w:rPr>
          <w:rFonts w:ascii="Arial" w:eastAsia="Times New Roman" w:hAnsi="Arial" w:cs="Arial"/>
          <w:sz w:val="20"/>
          <w:szCs w:val="20"/>
          <w:lang w:val="en-GB" w:eastAsia="nl-NL"/>
        </w:rPr>
        <w:t xml:space="preserve">% of the Shares. </w:t>
      </w:r>
      <w:r w:rsidR="00CE13E7" w:rsidRPr="002D16D8">
        <w:rPr>
          <w:rFonts w:ascii="Arial" w:eastAsia="Times New Roman" w:hAnsi="Arial" w:cs="Arial"/>
          <w:sz w:val="20"/>
          <w:szCs w:val="20"/>
          <w:lang w:val="en-GB" w:eastAsia="nl-NL"/>
        </w:rPr>
        <w:t xml:space="preserve">Additionally, as </w:t>
      </w:r>
      <w:r w:rsidRPr="002D16D8">
        <w:rPr>
          <w:rFonts w:ascii="Arial" w:eastAsia="Times New Roman" w:hAnsi="Arial" w:cs="Arial"/>
          <w:sz w:val="20"/>
          <w:szCs w:val="20"/>
          <w:lang w:val="en-GB" w:eastAsia="nl-NL"/>
        </w:rPr>
        <w:t xml:space="preserve">part of the Offer and as set out in the </w:t>
      </w:r>
      <w:r w:rsidR="0086141D" w:rsidRPr="002D16D8">
        <w:rPr>
          <w:rFonts w:ascii="Arial" w:eastAsia="Times New Roman" w:hAnsi="Arial" w:cs="Arial"/>
          <w:sz w:val="20"/>
          <w:szCs w:val="20"/>
          <w:lang w:val="en-GB" w:eastAsia="nl-NL"/>
        </w:rPr>
        <w:t>p</w:t>
      </w:r>
      <w:r w:rsidRPr="002D16D8">
        <w:rPr>
          <w:rFonts w:ascii="Arial" w:eastAsia="Times New Roman" w:hAnsi="Arial" w:cs="Arial"/>
          <w:sz w:val="20"/>
          <w:szCs w:val="20"/>
          <w:lang w:val="en-GB" w:eastAsia="nl-NL"/>
        </w:rPr>
        <w:t xml:space="preserve">rospectus, </w:t>
      </w:r>
      <w:r w:rsidR="0041267D" w:rsidRPr="002D16D8">
        <w:rPr>
          <w:rFonts w:ascii="Arial" w:eastAsia="Times New Roman" w:hAnsi="Arial" w:cs="Arial"/>
          <w:sz w:val="20"/>
          <w:szCs w:val="20"/>
          <w:lang w:val="en-GB" w:eastAsia="nl-NL"/>
        </w:rPr>
        <w:t>CTP’s sole shareholder, CTP Holding B.V. (the “Sole Shareholder”)</w:t>
      </w:r>
      <w:r w:rsidRPr="002D16D8">
        <w:rPr>
          <w:rFonts w:ascii="Arial" w:eastAsia="Times New Roman" w:hAnsi="Arial" w:cs="Arial"/>
          <w:sz w:val="20"/>
          <w:szCs w:val="20"/>
          <w:lang w:val="en-GB" w:eastAsia="nl-NL"/>
        </w:rPr>
        <w:t xml:space="preserve">, granted the </w:t>
      </w:r>
      <w:r w:rsidR="0041267D" w:rsidRPr="002D16D8">
        <w:rPr>
          <w:rFonts w:ascii="Arial" w:eastAsia="Times New Roman" w:hAnsi="Arial" w:cs="Arial"/>
          <w:sz w:val="20"/>
          <w:szCs w:val="20"/>
          <w:lang w:val="en-GB" w:eastAsia="nl-NL"/>
        </w:rPr>
        <w:t>j</w:t>
      </w:r>
      <w:r w:rsidRPr="002D16D8">
        <w:rPr>
          <w:rFonts w:ascii="Arial" w:eastAsia="Times New Roman" w:hAnsi="Arial" w:cs="Arial"/>
          <w:sz w:val="20"/>
          <w:szCs w:val="20"/>
          <w:lang w:val="en-GB" w:eastAsia="nl-NL"/>
        </w:rPr>
        <w:t xml:space="preserve">oint </w:t>
      </w:r>
      <w:r w:rsidR="0041267D" w:rsidRPr="002D16D8">
        <w:rPr>
          <w:rFonts w:ascii="Arial" w:eastAsia="Times New Roman" w:hAnsi="Arial" w:cs="Arial"/>
          <w:sz w:val="20"/>
          <w:szCs w:val="20"/>
          <w:lang w:val="en-GB" w:eastAsia="nl-NL"/>
        </w:rPr>
        <w:t>g</w:t>
      </w:r>
      <w:r w:rsidRPr="002D16D8">
        <w:rPr>
          <w:rFonts w:ascii="Arial" w:eastAsia="Times New Roman" w:hAnsi="Arial" w:cs="Arial"/>
          <w:sz w:val="20"/>
          <w:szCs w:val="20"/>
          <w:lang w:val="en-GB" w:eastAsia="nl-NL"/>
        </w:rPr>
        <w:t xml:space="preserve">lobal </w:t>
      </w:r>
      <w:r w:rsidR="0041267D" w:rsidRPr="002D16D8">
        <w:rPr>
          <w:rFonts w:ascii="Arial" w:eastAsia="Times New Roman" w:hAnsi="Arial" w:cs="Arial"/>
          <w:sz w:val="20"/>
          <w:szCs w:val="20"/>
          <w:lang w:val="en-GB" w:eastAsia="nl-NL"/>
        </w:rPr>
        <w:t>c</w:t>
      </w:r>
      <w:r w:rsidRPr="002D16D8">
        <w:rPr>
          <w:rFonts w:ascii="Arial" w:eastAsia="Times New Roman" w:hAnsi="Arial" w:cs="Arial"/>
          <w:sz w:val="20"/>
          <w:szCs w:val="20"/>
          <w:lang w:val="en-GB" w:eastAsia="nl-NL"/>
        </w:rPr>
        <w:t xml:space="preserve">oordinators, on behalf of the </w:t>
      </w:r>
      <w:r w:rsidR="0086141D" w:rsidRPr="002D16D8">
        <w:rPr>
          <w:rFonts w:ascii="Arial" w:eastAsia="Times New Roman" w:hAnsi="Arial" w:cs="Arial"/>
          <w:sz w:val="20"/>
          <w:szCs w:val="20"/>
          <w:lang w:val="en-GB" w:eastAsia="nl-NL"/>
        </w:rPr>
        <w:t>u</w:t>
      </w:r>
      <w:r w:rsidRPr="002D16D8">
        <w:rPr>
          <w:rFonts w:ascii="Arial" w:eastAsia="Times New Roman" w:hAnsi="Arial" w:cs="Arial"/>
          <w:sz w:val="20"/>
          <w:szCs w:val="20"/>
          <w:lang w:val="en-GB" w:eastAsia="nl-NL"/>
        </w:rPr>
        <w:t>nderwriters</w:t>
      </w:r>
      <w:r w:rsidR="00D502B7" w:rsidRPr="002D16D8">
        <w:rPr>
          <w:rFonts w:ascii="Arial" w:eastAsia="Times New Roman" w:hAnsi="Arial" w:cs="Arial"/>
          <w:sz w:val="20"/>
          <w:szCs w:val="20"/>
          <w:lang w:val="en-GB" w:eastAsia="nl-NL"/>
        </w:rPr>
        <w:t>,</w:t>
      </w:r>
      <w:r w:rsidR="0041267D" w:rsidRPr="002D16D8">
        <w:rPr>
          <w:rFonts w:ascii="Arial" w:eastAsia="Times New Roman" w:hAnsi="Arial" w:cs="Arial"/>
          <w:sz w:val="20"/>
          <w:szCs w:val="20"/>
          <w:lang w:val="en-GB" w:eastAsia="nl-NL"/>
        </w:rPr>
        <w:t xml:space="preserve"> as part of the Offer an </w:t>
      </w:r>
      <w:r w:rsidR="008E35D8" w:rsidRPr="002D16D8">
        <w:rPr>
          <w:rFonts w:ascii="Arial" w:eastAsia="Times New Roman" w:hAnsi="Arial" w:cs="Arial"/>
          <w:sz w:val="20"/>
          <w:szCs w:val="20"/>
          <w:lang w:val="en-GB" w:eastAsia="nl-NL"/>
        </w:rPr>
        <w:t>o</w:t>
      </w:r>
      <w:r w:rsidR="0041267D" w:rsidRPr="002D16D8">
        <w:rPr>
          <w:rFonts w:ascii="Arial" w:eastAsia="Times New Roman" w:hAnsi="Arial" w:cs="Arial"/>
          <w:sz w:val="20"/>
          <w:szCs w:val="20"/>
          <w:lang w:val="en-GB" w:eastAsia="nl-NL"/>
        </w:rPr>
        <w:t>ver-</w:t>
      </w:r>
      <w:r w:rsidR="008E35D8" w:rsidRPr="002D16D8">
        <w:rPr>
          <w:rFonts w:ascii="Arial" w:eastAsia="Times New Roman" w:hAnsi="Arial" w:cs="Arial"/>
          <w:sz w:val="20"/>
          <w:szCs w:val="20"/>
          <w:lang w:val="en-GB" w:eastAsia="nl-NL"/>
        </w:rPr>
        <w:t>a</w:t>
      </w:r>
      <w:r w:rsidR="0041267D" w:rsidRPr="002D16D8">
        <w:rPr>
          <w:rFonts w:ascii="Arial" w:eastAsia="Times New Roman" w:hAnsi="Arial" w:cs="Arial"/>
          <w:sz w:val="20"/>
          <w:szCs w:val="20"/>
          <w:lang w:val="en-GB" w:eastAsia="nl-NL"/>
        </w:rPr>
        <w:t xml:space="preserve">llotment </w:t>
      </w:r>
      <w:r w:rsidR="008E35D8" w:rsidRPr="002D16D8">
        <w:rPr>
          <w:rFonts w:ascii="Arial" w:eastAsia="Times New Roman" w:hAnsi="Arial" w:cs="Arial"/>
          <w:sz w:val="20"/>
          <w:szCs w:val="20"/>
          <w:lang w:val="en-GB" w:eastAsia="nl-NL"/>
        </w:rPr>
        <w:t>o</w:t>
      </w:r>
      <w:r w:rsidR="0041267D" w:rsidRPr="002D16D8">
        <w:rPr>
          <w:rFonts w:ascii="Arial" w:eastAsia="Times New Roman" w:hAnsi="Arial" w:cs="Arial"/>
          <w:sz w:val="20"/>
          <w:szCs w:val="20"/>
          <w:lang w:val="en-GB" w:eastAsia="nl-NL"/>
        </w:rPr>
        <w:t xml:space="preserve">ption </w:t>
      </w:r>
      <w:r w:rsidR="008E35D8" w:rsidRPr="002D16D8">
        <w:rPr>
          <w:rFonts w:ascii="Arial" w:eastAsia="Times New Roman" w:hAnsi="Arial" w:cs="Arial"/>
          <w:sz w:val="20"/>
          <w:szCs w:val="20"/>
          <w:lang w:val="en-GB" w:eastAsia="nl-NL"/>
        </w:rPr>
        <w:t xml:space="preserve">(the “Over-Allotment Option”) </w:t>
      </w:r>
      <w:r w:rsidRPr="002D16D8">
        <w:rPr>
          <w:rFonts w:ascii="Arial" w:eastAsia="Times New Roman" w:hAnsi="Arial" w:cs="Arial"/>
          <w:sz w:val="20"/>
          <w:szCs w:val="20"/>
          <w:lang w:val="en-GB" w:eastAsia="nl-NL"/>
        </w:rPr>
        <w:t xml:space="preserve">of up to </w:t>
      </w:r>
      <w:r w:rsidR="0041267D" w:rsidRPr="002D16D8">
        <w:rPr>
          <w:rFonts w:ascii="Arial" w:eastAsia="Times New Roman" w:hAnsi="Arial" w:cs="Arial"/>
          <w:sz w:val="20"/>
          <w:szCs w:val="20"/>
          <w:lang w:val="en-GB" w:eastAsia="nl-NL"/>
        </w:rPr>
        <w:t>9,152,550 additional shares</w:t>
      </w:r>
      <w:r w:rsidRPr="002D16D8">
        <w:rPr>
          <w:rFonts w:ascii="Arial" w:eastAsia="Times New Roman" w:hAnsi="Arial" w:cs="Arial"/>
          <w:sz w:val="20"/>
          <w:szCs w:val="20"/>
          <w:lang w:val="en-GB" w:eastAsia="nl-NL"/>
        </w:rPr>
        <w:t xml:space="preserve">, representing up to </w:t>
      </w:r>
      <w:r w:rsidR="007A5E69" w:rsidRPr="002D16D8">
        <w:rPr>
          <w:rFonts w:ascii="Arial" w:eastAsia="Times New Roman" w:hAnsi="Arial" w:cs="Arial"/>
          <w:sz w:val="20"/>
          <w:szCs w:val="20"/>
          <w:lang w:val="en-GB" w:eastAsia="nl-NL"/>
        </w:rPr>
        <w:t>2.3</w:t>
      </w:r>
      <w:r w:rsidR="0041267D" w:rsidRPr="002D16D8">
        <w:rPr>
          <w:rFonts w:ascii="Arial" w:eastAsia="Times New Roman" w:hAnsi="Arial" w:cs="Arial"/>
          <w:sz w:val="20"/>
          <w:szCs w:val="20"/>
          <w:lang w:val="en-GB" w:eastAsia="nl-NL"/>
        </w:rPr>
        <w:t>%</w:t>
      </w:r>
      <w:r w:rsidRPr="002D16D8">
        <w:rPr>
          <w:rFonts w:ascii="Arial" w:eastAsia="Times New Roman" w:hAnsi="Arial" w:cs="Arial"/>
          <w:sz w:val="20"/>
          <w:szCs w:val="20"/>
          <w:lang w:val="en-GB" w:eastAsia="nl-NL"/>
        </w:rPr>
        <w:t xml:space="preserve"> additional Shares</w:t>
      </w:r>
      <w:r w:rsidR="0041267D" w:rsidRPr="002D16D8">
        <w:rPr>
          <w:rFonts w:ascii="Arial" w:eastAsia="Times New Roman" w:hAnsi="Arial" w:cs="Arial"/>
          <w:sz w:val="20"/>
          <w:szCs w:val="20"/>
          <w:lang w:val="en-GB" w:eastAsia="nl-NL"/>
        </w:rPr>
        <w:t xml:space="preserve">, </w:t>
      </w:r>
      <w:r w:rsidRPr="002D16D8">
        <w:rPr>
          <w:rFonts w:ascii="Arial" w:eastAsia="Times New Roman" w:hAnsi="Arial" w:cs="Arial"/>
          <w:sz w:val="20"/>
          <w:szCs w:val="20"/>
          <w:lang w:val="en-GB" w:eastAsia="nl-NL"/>
        </w:rPr>
        <w:t xml:space="preserve">exercisable within 30 calendar days after the </w:t>
      </w:r>
      <w:r w:rsidR="0041267D" w:rsidRPr="002D16D8">
        <w:rPr>
          <w:rFonts w:ascii="Arial" w:eastAsia="Times New Roman" w:hAnsi="Arial" w:cs="Arial"/>
          <w:sz w:val="20"/>
          <w:szCs w:val="20"/>
          <w:lang w:val="en-GB" w:eastAsia="nl-NL"/>
        </w:rPr>
        <w:t>f</w:t>
      </w:r>
      <w:r w:rsidRPr="002D16D8">
        <w:rPr>
          <w:rFonts w:ascii="Arial" w:eastAsia="Times New Roman" w:hAnsi="Arial" w:cs="Arial"/>
          <w:sz w:val="20"/>
          <w:szCs w:val="20"/>
          <w:lang w:val="en-GB" w:eastAsia="nl-NL"/>
        </w:rPr>
        <w:t xml:space="preserve">irst </w:t>
      </w:r>
      <w:r w:rsidR="0041267D" w:rsidRPr="002D16D8">
        <w:rPr>
          <w:rFonts w:ascii="Arial" w:eastAsia="Times New Roman" w:hAnsi="Arial" w:cs="Arial"/>
          <w:sz w:val="20"/>
          <w:szCs w:val="20"/>
          <w:lang w:val="en-GB" w:eastAsia="nl-NL"/>
        </w:rPr>
        <w:t>t</w:t>
      </w:r>
      <w:r w:rsidRPr="002D16D8">
        <w:rPr>
          <w:rFonts w:ascii="Arial" w:eastAsia="Times New Roman" w:hAnsi="Arial" w:cs="Arial"/>
          <w:sz w:val="20"/>
          <w:szCs w:val="20"/>
          <w:lang w:val="en-GB" w:eastAsia="nl-NL"/>
        </w:rPr>
        <w:t xml:space="preserve">rading </w:t>
      </w:r>
      <w:r w:rsidR="0041267D" w:rsidRPr="002D16D8">
        <w:rPr>
          <w:rFonts w:ascii="Arial" w:eastAsia="Times New Roman" w:hAnsi="Arial" w:cs="Arial"/>
          <w:sz w:val="20"/>
          <w:szCs w:val="20"/>
          <w:lang w:val="en-GB" w:eastAsia="nl-NL"/>
        </w:rPr>
        <w:t>d</w:t>
      </w:r>
      <w:r w:rsidRPr="002D16D8">
        <w:rPr>
          <w:rFonts w:ascii="Arial" w:eastAsia="Times New Roman" w:hAnsi="Arial" w:cs="Arial"/>
          <w:sz w:val="20"/>
          <w:szCs w:val="20"/>
          <w:lang w:val="en-GB" w:eastAsia="nl-NL"/>
        </w:rPr>
        <w:t>ate</w:t>
      </w:r>
      <w:r w:rsidR="0041267D" w:rsidRPr="002D16D8">
        <w:rPr>
          <w:rFonts w:ascii="Arial" w:eastAsia="Times New Roman" w:hAnsi="Arial" w:cs="Arial"/>
          <w:sz w:val="20"/>
          <w:szCs w:val="20"/>
          <w:lang w:val="en-GB" w:eastAsia="nl-NL"/>
        </w:rPr>
        <w:t>, being 25 March 2021</w:t>
      </w:r>
      <w:r w:rsidRPr="002D16D8">
        <w:rPr>
          <w:rFonts w:ascii="Arial" w:eastAsia="Times New Roman" w:hAnsi="Arial" w:cs="Arial"/>
          <w:sz w:val="20"/>
          <w:szCs w:val="20"/>
          <w:lang w:val="en-GB" w:eastAsia="nl-NL"/>
        </w:rPr>
        <w:t xml:space="preserve">. </w:t>
      </w:r>
    </w:p>
    <w:p w14:paraId="0CD2535A" w14:textId="61F2B18A" w:rsidR="00B547BB" w:rsidRPr="002D16D8" w:rsidRDefault="00B547BB" w:rsidP="0079556D">
      <w:pPr>
        <w:spacing w:line="240" w:lineRule="auto"/>
        <w:rPr>
          <w:rFonts w:ascii="Arial" w:eastAsia="Times New Roman" w:hAnsi="Arial" w:cs="Arial"/>
          <w:sz w:val="20"/>
          <w:szCs w:val="20"/>
          <w:lang w:val="en-GB" w:eastAsia="nl-NL"/>
        </w:rPr>
      </w:pPr>
      <w:r w:rsidRPr="002D16D8">
        <w:rPr>
          <w:rFonts w:ascii="Arial" w:eastAsia="Times New Roman" w:hAnsi="Arial" w:cs="Arial"/>
          <w:sz w:val="20"/>
          <w:szCs w:val="20"/>
          <w:lang w:val="en-GB" w:eastAsia="nl-NL"/>
        </w:rPr>
        <w:t xml:space="preserve">The Stabilisation </w:t>
      </w:r>
      <w:r w:rsidR="00562811" w:rsidRPr="002D16D8">
        <w:rPr>
          <w:rFonts w:ascii="Arial" w:eastAsia="Times New Roman" w:hAnsi="Arial" w:cs="Arial"/>
          <w:sz w:val="20"/>
          <w:szCs w:val="20"/>
          <w:lang w:val="en-GB" w:eastAsia="nl-NL"/>
        </w:rPr>
        <w:t xml:space="preserve">Manager </w:t>
      </w:r>
      <w:r w:rsidRPr="002D16D8">
        <w:rPr>
          <w:rFonts w:ascii="Arial" w:eastAsia="Times New Roman" w:hAnsi="Arial" w:cs="Arial"/>
          <w:sz w:val="20"/>
          <w:szCs w:val="20"/>
          <w:lang w:val="en-GB" w:eastAsia="nl-NL"/>
        </w:rPr>
        <w:t xml:space="preserve">(on behalf of the </w:t>
      </w:r>
      <w:r w:rsidR="00516D30" w:rsidRPr="002D16D8">
        <w:rPr>
          <w:rFonts w:ascii="Arial" w:eastAsia="Times New Roman" w:hAnsi="Arial" w:cs="Arial"/>
          <w:sz w:val="20"/>
          <w:szCs w:val="20"/>
          <w:lang w:val="en-GB" w:eastAsia="nl-NL"/>
        </w:rPr>
        <w:t>underwriters</w:t>
      </w:r>
      <w:r w:rsidRPr="002D16D8">
        <w:rPr>
          <w:rFonts w:ascii="Arial" w:eastAsia="Times New Roman" w:hAnsi="Arial" w:cs="Arial"/>
          <w:sz w:val="20"/>
          <w:szCs w:val="20"/>
          <w:lang w:val="en-GB" w:eastAsia="nl-NL"/>
        </w:rPr>
        <w:t xml:space="preserve">) has notified </w:t>
      </w:r>
      <w:r w:rsidR="0041267D" w:rsidRPr="002D16D8">
        <w:rPr>
          <w:rFonts w:ascii="Arial" w:eastAsia="Times New Roman" w:hAnsi="Arial" w:cs="Arial"/>
          <w:sz w:val="20"/>
          <w:szCs w:val="20"/>
          <w:lang w:val="en-GB" w:eastAsia="nl-NL"/>
        </w:rPr>
        <w:t xml:space="preserve">the Sole Shareholder and </w:t>
      </w:r>
      <w:r w:rsidRPr="002D16D8">
        <w:rPr>
          <w:rFonts w:ascii="Arial" w:eastAsia="Times New Roman" w:hAnsi="Arial" w:cs="Arial"/>
          <w:sz w:val="20"/>
          <w:szCs w:val="20"/>
          <w:lang w:val="en-GB" w:eastAsia="nl-NL"/>
        </w:rPr>
        <w:t xml:space="preserve">the Company of the </w:t>
      </w:r>
      <w:r w:rsidR="0041267D" w:rsidRPr="002D16D8">
        <w:rPr>
          <w:rFonts w:ascii="Arial" w:eastAsia="Times New Roman" w:hAnsi="Arial" w:cs="Arial"/>
          <w:sz w:val="20"/>
          <w:szCs w:val="20"/>
          <w:lang w:val="en-GB" w:eastAsia="nl-NL"/>
        </w:rPr>
        <w:t xml:space="preserve">partial </w:t>
      </w:r>
      <w:r w:rsidRPr="002D16D8">
        <w:rPr>
          <w:rFonts w:ascii="Arial" w:eastAsia="Times New Roman" w:hAnsi="Arial" w:cs="Arial"/>
          <w:sz w:val="20"/>
          <w:szCs w:val="20"/>
          <w:lang w:val="en-GB" w:eastAsia="nl-NL"/>
        </w:rPr>
        <w:t>exercise of the Over-Allotment Option</w:t>
      </w:r>
      <w:r w:rsidR="000E380D" w:rsidRPr="002D16D8">
        <w:rPr>
          <w:rFonts w:ascii="Arial" w:eastAsia="Times New Roman" w:hAnsi="Arial" w:cs="Arial"/>
          <w:sz w:val="20"/>
          <w:szCs w:val="20"/>
          <w:lang w:val="en-GB" w:eastAsia="nl-NL"/>
        </w:rPr>
        <w:t xml:space="preserve"> and the end of the stabilisation period</w:t>
      </w:r>
      <w:r w:rsidRPr="002D16D8">
        <w:rPr>
          <w:rFonts w:ascii="Arial" w:eastAsia="Times New Roman" w:hAnsi="Arial" w:cs="Arial"/>
          <w:sz w:val="20"/>
          <w:szCs w:val="20"/>
          <w:lang w:val="en-GB" w:eastAsia="nl-NL"/>
        </w:rPr>
        <w:t xml:space="preserve">. Following the </w:t>
      </w:r>
      <w:r w:rsidR="0041267D" w:rsidRPr="002D16D8">
        <w:rPr>
          <w:rFonts w:ascii="Arial" w:eastAsia="Times New Roman" w:hAnsi="Arial" w:cs="Arial"/>
          <w:sz w:val="20"/>
          <w:szCs w:val="20"/>
          <w:lang w:val="en-GB" w:eastAsia="nl-NL"/>
        </w:rPr>
        <w:t xml:space="preserve">partial </w:t>
      </w:r>
      <w:r w:rsidRPr="002D16D8">
        <w:rPr>
          <w:rFonts w:ascii="Arial" w:eastAsia="Times New Roman" w:hAnsi="Arial" w:cs="Arial"/>
          <w:sz w:val="20"/>
          <w:szCs w:val="20"/>
          <w:lang w:val="en-GB" w:eastAsia="nl-NL"/>
        </w:rPr>
        <w:t xml:space="preserve">exercise of the Over-Allotment Option, the number of Shares </w:t>
      </w:r>
      <w:r w:rsidR="00516D30" w:rsidRPr="002D16D8">
        <w:rPr>
          <w:rFonts w:ascii="Arial" w:eastAsia="Times New Roman" w:hAnsi="Arial" w:cs="Arial"/>
          <w:sz w:val="20"/>
          <w:szCs w:val="20"/>
          <w:lang w:val="en-GB" w:eastAsia="nl-NL"/>
        </w:rPr>
        <w:t xml:space="preserve">allotted in the Offer </w:t>
      </w:r>
      <w:r w:rsidRPr="002D16D8">
        <w:rPr>
          <w:rFonts w:ascii="Arial" w:eastAsia="Times New Roman" w:hAnsi="Arial" w:cs="Arial"/>
          <w:sz w:val="20"/>
          <w:szCs w:val="20"/>
          <w:lang w:val="en-GB" w:eastAsia="nl-NL"/>
        </w:rPr>
        <w:t>increase</w:t>
      </w:r>
      <w:r w:rsidR="007A5E69" w:rsidRPr="002D16D8">
        <w:rPr>
          <w:rFonts w:ascii="Arial" w:eastAsia="Times New Roman" w:hAnsi="Arial" w:cs="Arial"/>
          <w:sz w:val="20"/>
          <w:szCs w:val="20"/>
          <w:lang w:val="en-GB" w:eastAsia="nl-NL"/>
        </w:rPr>
        <w:t>s</w:t>
      </w:r>
      <w:r w:rsidRPr="002D16D8">
        <w:rPr>
          <w:rFonts w:ascii="Arial" w:eastAsia="Times New Roman" w:hAnsi="Arial" w:cs="Arial"/>
          <w:sz w:val="20"/>
          <w:szCs w:val="20"/>
          <w:lang w:val="en-GB" w:eastAsia="nl-NL"/>
        </w:rPr>
        <w:t xml:space="preserve"> to </w:t>
      </w:r>
      <w:r w:rsidR="007A5E69" w:rsidRPr="002D16D8">
        <w:rPr>
          <w:rFonts w:ascii="Arial" w:eastAsia="Times New Roman" w:hAnsi="Arial" w:cs="Arial"/>
          <w:sz w:val="20"/>
          <w:szCs w:val="20"/>
          <w:lang w:val="en-GB" w:eastAsia="nl-NL"/>
        </w:rPr>
        <w:t>67,709,</w:t>
      </w:r>
      <w:r w:rsidR="004965E9" w:rsidRPr="002D16D8">
        <w:rPr>
          <w:rFonts w:ascii="Arial" w:eastAsia="Times New Roman" w:hAnsi="Arial" w:cs="Arial"/>
          <w:sz w:val="20"/>
          <w:szCs w:val="20"/>
          <w:lang w:val="en-GB" w:eastAsia="nl-NL"/>
        </w:rPr>
        <w:t xml:space="preserve">723 </w:t>
      </w:r>
      <w:r w:rsidRPr="002D16D8">
        <w:rPr>
          <w:rFonts w:ascii="Arial" w:eastAsia="Times New Roman" w:hAnsi="Arial" w:cs="Arial"/>
          <w:sz w:val="20"/>
          <w:szCs w:val="20"/>
          <w:lang w:val="en-GB" w:eastAsia="nl-NL"/>
        </w:rPr>
        <w:t xml:space="preserve">representing </w:t>
      </w:r>
      <w:r w:rsidR="007A5E69" w:rsidRPr="002D16D8">
        <w:rPr>
          <w:rFonts w:ascii="Arial" w:eastAsia="Times New Roman" w:hAnsi="Arial" w:cs="Arial"/>
          <w:sz w:val="20"/>
          <w:szCs w:val="20"/>
          <w:lang w:val="en-GB" w:eastAsia="nl-NL"/>
        </w:rPr>
        <w:t>17%</w:t>
      </w:r>
      <w:r w:rsidRPr="002D16D8">
        <w:rPr>
          <w:rFonts w:ascii="Arial" w:eastAsia="Times New Roman" w:hAnsi="Arial" w:cs="Arial"/>
          <w:sz w:val="20"/>
          <w:szCs w:val="20"/>
          <w:lang w:val="en-GB" w:eastAsia="nl-NL"/>
        </w:rPr>
        <w:t xml:space="preserve"> of the Shares</w:t>
      </w:r>
      <w:r w:rsidR="00562811" w:rsidRPr="002D16D8">
        <w:rPr>
          <w:rFonts w:ascii="Arial" w:eastAsia="Times New Roman" w:hAnsi="Arial" w:cs="Arial"/>
          <w:sz w:val="20"/>
          <w:szCs w:val="20"/>
          <w:lang w:val="en-GB" w:eastAsia="nl-NL"/>
        </w:rPr>
        <w:t xml:space="preserve">. The </w:t>
      </w:r>
      <w:r w:rsidR="00CE13E7" w:rsidRPr="002D16D8">
        <w:rPr>
          <w:rFonts w:ascii="Arial" w:eastAsia="Times New Roman" w:hAnsi="Arial" w:cs="Arial"/>
          <w:sz w:val="20"/>
          <w:szCs w:val="20"/>
          <w:lang w:val="en-GB" w:eastAsia="nl-NL"/>
        </w:rPr>
        <w:t xml:space="preserve">partial </w:t>
      </w:r>
      <w:r w:rsidR="00562811" w:rsidRPr="002D16D8">
        <w:rPr>
          <w:rFonts w:ascii="Arial" w:eastAsia="Times New Roman" w:hAnsi="Arial" w:cs="Arial"/>
          <w:sz w:val="20"/>
          <w:szCs w:val="20"/>
          <w:lang w:val="en-GB" w:eastAsia="nl-NL"/>
        </w:rPr>
        <w:t xml:space="preserve">exercise of the </w:t>
      </w:r>
      <w:r w:rsidR="00CE13E7" w:rsidRPr="002D16D8">
        <w:rPr>
          <w:rFonts w:ascii="Arial" w:eastAsia="Times New Roman" w:hAnsi="Arial" w:cs="Arial"/>
          <w:sz w:val="20"/>
          <w:szCs w:val="20"/>
          <w:lang w:val="en-GB" w:eastAsia="nl-NL"/>
        </w:rPr>
        <w:t>O</w:t>
      </w:r>
      <w:r w:rsidR="00562811" w:rsidRPr="002D16D8">
        <w:rPr>
          <w:rFonts w:ascii="Arial" w:eastAsia="Times New Roman" w:hAnsi="Arial" w:cs="Arial"/>
          <w:sz w:val="20"/>
          <w:szCs w:val="20"/>
          <w:lang w:val="en-GB" w:eastAsia="nl-NL"/>
        </w:rPr>
        <w:t>ver-</w:t>
      </w:r>
      <w:r w:rsidR="00CE13E7" w:rsidRPr="002D16D8">
        <w:rPr>
          <w:rFonts w:ascii="Arial" w:eastAsia="Times New Roman" w:hAnsi="Arial" w:cs="Arial"/>
          <w:sz w:val="20"/>
          <w:szCs w:val="20"/>
          <w:lang w:val="en-GB" w:eastAsia="nl-NL"/>
        </w:rPr>
        <w:t>A</w:t>
      </w:r>
      <w:r w:rsidR="00562811" w:rsidRPr="002D16D8">
        <w:rPr>
          <w:rFonts w:ascii="Arial" w:eastAsia="Times New Roman" w:hAnsi="Arial" w:cs="Arial"/>
          <w:sz w:val="20"/>
          <w:szCs w:val="20"/>
          <w:lang w:val="en-GB" w:eastAsia="nl-NL"/>
        </w:rPr>
        <w:t xml:space="preserve">llotment </w:t>
      </w:r>
      <w:r w:rsidR="00CE13E7" w:rsidRPr="002D16D8">
        <w:rPr>
          <w:rFonts w:ascii="Arial" w:eastAsia="Times New Roman" w:hAnsi="Arial" w:cs="Arial"/>
          <w:sz w:val="20"/>
          <w:szCs w:val="20"/>
          <w:lang w:val="en-GB" w:eastAsia="nl-NL"/>
        </w:rPr>
        <w:t xml:space="preserve">Option </w:t>
      </w:r>
      <w:r w:rsidR="00562811" w:rsidRPr="002D16D8">
        <w:rPr>
          <w:rFonts w:ascii="Arial" w:eastAsia="Times New Roman" w:hAnsi="Arial" w:cs="Arial"/>
          <w:sz w:val="20"/>
          <w:szCs w:val="20"/>
          <w:lang w:val="en-GB" w:eastAsia="nl-NL"/>
        </w:rPr>
        <w:t xml:space="preserve">increases the total </w:t>
      </w:r>
      <w:r w:rsidR="0040676C" w:rsidRPr="002D16D8">
        <w:rPr>
          <w:rFonts w:ascii="Arial" w:eastAsia="Times New Roman" w:hAnsi="Arial" w:cs="Arial"/>
          <w:sz w:val="20"/>
          <w:szCs w:val="20"/>
          <w:lang w:val="en-GB" w:eastAsia="nl-NL"/>
        </w:rPr>
        <w:t xml:space="preserve">gross proceeds of the Offer </w:t>
      </w:r>
      <w:r w:rsidR="00562811" w:rsidRPr="002D16D8">
        <w:rPr>
          <w:rFonts w:ascii="Arial" w:eastAsia="Times New Roman" w:hAnsi="Arial" w:cs="Arial"/>
          <w:sz w:val="20"/>
          <w:szCs w:val="20"/>
          <w:lang w:val="en-GB" w:eastAsia="nl-NL"/>
        </w:rPr>
        <w:t xml:space="preserve">from </w:t>
      </w:r>
      <w:r w:rsidR="0086141D" w:rsidRPr="002D16D8">
        <w:rPr>
          <w:rFonts w:ascii="Arial" w:eastAsia="Times New Roman" w:hAnsi="Arial" w:cs="Arial"/>
          <w:sz w:val="20"/>
          <w:szCs w:val="20"/>
          <w:lang w:val="en-GB" w:eastAsia="nl-NL"/>
        </w:rPr>
        <w:t xml:space="preserve">€ </w:t>
      </w:r>
      <w:r w:rsidR="007A5E69" w:rsidRPr="002D16D8">
        <w:rPr>
          <w:rFonts w:ascii="Arial" w:eastAsia="Times New Roman" w:hAnsi="Arial" w:cs="Arial"/>
          <w:sz w:val="20"/>
          <w:szCs w:val="20"/>
          <w:lang w:val="en-GB" w:eastAsia="nl-NL"/>
        </w:rPr>
        <w:t>854.2</w:t>
      </w:r>
      <w:r w:rsidRPr="002D16D8">
        <w:rPr>
          <w:rFonts w:ascii="Arial" w:eastAsia="Times New Roman" w:hAnsi="Arial" w:cs="Arial"/>
          <w:sz w:val="20"/>
          <w:szCs w:val="20"/>
          <w:lang w:val="en-GB" w:eastAsia="nl-NL"/>
        </w:rPr>
        <w:t xml:space="preserve"> </w:t>
      </w:r>
      <w:r w:rsidR="007A5E69" w:rsidRPr="002D16D8">
        <w:rPr>
          <w:rFonts w:ascii="Arial" w:eastAsia="Times New Roman" w:hAnsi="Arial" w:cs="Arial"/>
          <w:sz w:val="20"/>
          <w:szCs w:val="20"/>
          <w:lang w:val="en-GB" w:eastAsia="nl-NL"/>
        </w:rPr>
        <w:t>m</w:t>
      </w:r>
      <w:r w:rsidRPr="002D16D8">
        <w:rPr>
          <w:rFonts w:ascii="Arial" w:eastAsia="Times New Roman" w:hAnsi="Arial" w:cs="Arial"/>
          <w:sz w:val="20"/>
          <w:szCs w:val="20"/>
          <w:lang w:val="en-GB" w:eastAsia="nl-NL"/>
        </w:rPr>
        <w:t xml:space="preserve">illion to </w:t>
      </w:r>
      <w:r w:rsidR="0086141D" w:rsidRPr="002D16D8">
        <w:rPr>
          <w:rFonts w:ascii="Arial" w:eastAsia="Times New Roman" w:hAnsi="Arial" w:cs="Arial"/>
          <w:sz w:val="20"/>
          <w:szCs w:val="20"/>
          <w:lang w:val="en-GB" w:eastAsia="nl-NL"/>
        </w:rPr>
        <w:t>€</w:t>
      </w:r>
      <w:r w:rsidRPr="002D16D8">
        <w:rPr>
          <w:rFonts w:ascii="Arial" w:eastAsia="Times New Roman" w:hAnsi="Arial" w:cs="Arial"/>
          <w:sz w:val="20"/>
          <w:szCs w:val="20"/>
          <w:lang w:val="en-GB" w:eastAsia="nl-NL"/>
        </w:rPr>
        <w:t xml:space="preserve"> </w:t>
      </w:r>
      <w:r w:rsidR="007A5E69" w:rsidRPr="002D16D8">
        <w:rPr>
          <w:rFonts w:ascii="Arial" w:eastAsia="Times New Roman" w:hAnsi="Arial" w:cs="Arial"/>
          <w:sz w:val="20"/>
          <w:szCs w:val="20"/>
          <w:lang w:val="en-GB" w:eastAsia="nl-NL"/>
        </w:rPr>
        <w:t>947.9</w:t>
      </w:r>
      <w:r w:rsidRPr="002D16D8">
        <w:rPr>
          <w:rFonts w:ascii="Arial" w:eastAsia="Times New Roman" w:hAnsi="Arial" w:cs="Arial"/>
          <w:sz w:val="20"/>
          <w:szCs w:val="20"/>
          <w:lang w:val="en-GB" w:eastAsia="nl-NL"/>
        </w:rPr>
        <w:t xml:space="preserve"> </w:t>
      </w:r>
      <w:r w:rsidR="007A5E69" w:rsidRPr="002D16D8">
        <w:rPr>
          <w:rFonts w:ascii="Arial" w:eastAsia="Times New Roman" w:hAnsi="Arial" w:cs="Arial"/>
          <w:sz w:val="20"/>
          <w:szCs w:val="20"/>
          <w:lang w:val="en-GB" w:eastAsia="nl-NL"/>
        </w:rPr>
        <w:t>m</w:t>
      </w:r>
      <w:r w:rsidRPr="002D16D8">
        <w:rPr>
          <w:rFonts w:ascii="Arial" w:eastAsia="Times New Roman" w:hAnsi="Arial" w:cs="Arial"/>
          <w:sz w:val="20"/>
          <w:szCs w:val="20"/>
          <w:lang w:val="en-GB" w:eastAsia="nl-NL"/>
        </w:rPr>
        <w:t>illion.</w:t>
      </w:r>
      <w:r w:rsidR="00562811" w:rsidRPr="002D16D8">
        <w:rPr>
          <w:rFonts w:ascii="Arial" w:eastAsia="Times New Roman" w:hAnsi="Arial" w:cs="Arial"/>
          <w:sz w:val="20"/>
          <w:szCs w:val="20"/>
          <w:lang w:val="en-GB" w:eastAsia="nl-NL"/>
        </w:rPr>
        <w:t xml:space="preserve">  </w:t>
      </w:r>
      <w:r w:rsidR="00CE13E7" w:rsidRPr="002D16D8">
        <w:rPr>
          <w:rFonts w:ascii="Arial" w:eastAsia="Times New Roman" w:hAnsi="Arial" w:cs="Arial"/>
          <w:sz w:val="20"/>
          <w:szCs w:val="20"/>
          <w:lang w:val="en-GB" w:eastAsia="nl-NL"/>
        </w:rPr>
        <w:t>The Company will not receive any proceeds from the exercise of the Over-Allotment Option.</w:t>
      </w:r>
    </w:p>
    <w:p w14:paraId="7BD45F69" w14:textId="77777777" w:rsidR="00B547BB" w:rsidRPr="002D16D8" w:rsidRDefault="00B547BB" w:rsidP="0079556D">
      <w:pPr>
        <w:spacing w:line="240" w:lineRule="auto"/>
        <w:rPr>
          <w:rFonts w:ascii="Arial" w:eastAsia="Times New Roman" w:hAnsi="Arial" w:cs="Arial"/>
          <w:sz w:val="20"/>
          <w:szCs w:val="20"/>
          <w:lang w:val="en-GB" w:eastAsia="nl-NL"/>
        </w:rPr>
      </w:pPr>
      <w:r w:rsidRPr="002D16D8">
        <w:rPr>
          <w:rFonts w:ascii="Arial" w:eastAsia="Times New Roman" w:hAnsi="Arial" w:cs="Arial"/>
          <w:sz w:val="20"/>
          <w:szCs w:val="20"/>
          <w:lang w:val="en-GB" w:eastAsia="nl-NL"/>
        </w:rPr>
        <w:t xml:space="preserve">Immediately after settlement of the </w:t>
      </w:r>
      <w:r w:rsidR="007A5E69" w:rsidRPr="002D16D8">
        <w:rPr>
          <w:rFonts w:ascii="Arial" w:eastAsia="Times New Roman" w:hAnsi="Arial" w:cs="Arial"/>
          <w:sz w:val="20"/>
          <w:szCs w:val="20"/>
          <w:lang w:val="en-GB" w:eastAsia="nl-NL"/>
        </w:rPr>
        <w:t xml:space="preserve">partial </w:t>
      </w:r>
      <w:r w:rsidRPr="002D16D8">
        <w:rPr>
          <w:rFonts w:ascii="Arial" w:eastAsia="Times New Roman" w:hAnsi="Arial" w:cs="Arial"/>
          <w:sz w:val="20"/>
          <w:szCs w:val="20"/>
          <w:lang w:val="en-GB" w:eastAsia="nl-NL"/>
        </w:rPr>
        <w:t xml:space="preserve">exercise of the Over-Allotment Option, </w:t>
      </w:r>
      <w:r w:rsidR="007A5E69" w:rsidRPr="002D16D8">
        <w:rPr>
          <w:rFonts w:ascii="Arial" w:eastAsia="Times New Roman" w:hAnsi="Arial" w:cs="Arial"/>
          <w:sz w:val="20"/>
          <w:szCs w:val="20"/>
          <w:lang w:val="en-GB" w:eastAsia="nl-NL"/>
        </w:rPr>
        <w:t xml:space="preserve">the Sole Shareholder </w:t>
      </w:r>
      <w:r w:rsidR="0086141D" w:rsidRPr="002D16D8">
        <w:rPr>
          <w:rFonts w:ascii="Arial" w:eastAsia="Times New Roman" w:hAnsi="Arial" w:cs="Arial"/>
          <w:sz w:val="20"/>
          <w:szCs w:val="20"/>
          <w:lang w:val="en-GB" w:eastAsia="nl-NL"/>
        </w:rPr>
        <w:t xml:space="preserve">will continue to be the Company’s largest shareholder and </w:t>
      </w:r>
      <w:r w:rsidR="007A5E69" w:rsidRPr="002D16D8">
        <w:rPr>
          <w:rFonts w:ascii="Arial" w:eastAsia="Times New Roman" w:hAnsi="Arial" w:cs="Arial"/>
          <w:sz w:val="20"/>
          <w:szCs w:val="20"/>
          <w:lang w:val="en-GB" w:eastAsia="nl-NL"/>
        </w:rPr>
        <w:t>hold approximately 83% of the shares, with the free-float amounting to 17%.</w:t>
      </w:r>
      <w:r w:rsidRPr="002D16D8">
        <w:rPr>
          <w:rFonts w:ascii="Arial" w:eastAsia="Times New Roman" w:hAnsi="Arial" w:cs="Arial"/>
          <w:sz w:val="20"/>
          <w:szCs w:val="20"/>
          <w:lang w:val="en-GB" w:eastAsia="nl-NL"/>
        </w:rPr>
        <w:t xml:space="preserve"> </w:t>
      </w:r>
    </w:p>
    <w:p w14:paraId="1BFDFA65" w14:textId="77777777" w:rsidR="00A54FAB" w:rsidRPr="002D16D8" w:rsidRDefault="00A54FAB" w:rsidP="0041267D">
      <w:pPr>
        <w:spacing w:after="0"/>
        <w:rPr>
          <w:rFonts w:ascii="Arial" w:eastAsia="Times New Roman" w:hAnsi="Arial" w:cs="Arial"/>
          <w:b/>
          <w:bCs/>
          <w:sz w:val="20"/>
          <w:szCs w:val="20"/>
          <w:lang w:val="en-GB" w:eastAsia="nl-NL"/>
        </w:rPr>
      </w:pPr>
      <w:r w:rsidRPr="002D16D8">
        <w:rPr>
          <w:rFonts w:ascii="Arial" w:eastAsia="Times New Roman" w:hAnsi="Arial" w:cs="Arial"/>
          <w:b/>
          <w:bCs/>
          <w:sz w:val="20"/>
          <w:szCs w:val="20"/>
          <w:lang w:val="en-GB" w:eastAsia="nl-NL"/>
        </w:rPr>
        <w:t xml:space="preserve">Stabilisation transactions </w:t>
      </w:r>
    </w:p>
    <w:p w14:paraId="797BC5C3" w14:textId="77777777" w:rsidR="00A54FAB" w:rsidRPr="002D16D8" w:rsidRDefault="00DC4517" w:rsidP="0041267D">
      <w:pPr>
        <w:spacing w:after="0"/>
        <w:rPr>
          <w:rFonts w:ascii="Arial" w:eastAsia="Times New Roman" w:hAnsi="Arial" w:cs="Arial"/>
          <w:bCs/>
          <w:sz w:val="20"/>
          <w:szCs w:val="20"/>
          <w:lang w:val="en-GB" w:eastAsia="nl-NL"/>
        </w:rPr>
      </w:pPr>
      <w:r w:rsidRPr="002D16D8">
        <w:rPr>
          <w:rFonts w:ascii="Arial" w:eastAsia="Times New Roman" w:hAnsi="Arial" w:cs="Arial"/>
          <w:bCs/>
          <w:sz w:val="20"/>
          <w:szCs w:val="20"/>
          <w:lang w:val="en-GB" w:eastAsia="nl-NL"/>
        </w:rPr>
        <w:t xml:space="preserve">The Company has been informed by the Stabilisation Manager </w:t>
      </w:r>
      <w:r w:rsidR="00333ED3" w:rsidRPr="002D16D8">
        <w:rPr>
          <w:rFonts w:ascii="Arial" w:eastAsia="Times New Roman" w:hAnsi="Arial" w:cs="Arial"/>
          <w:bCs/>
          <w:sz w:val="20"/>
          <w:szCs w:val="20"/>
          <w:lang w:val="en-GB" w:eastAsia="nl-NL"/>
        </w:rPr>
        <w:t xml:space="preserve">that it has undertaken stabilisation </w:t>
      </w:r>
      <w:r w:rsidR="00493C15" w:rsidRPr="002D16D8">
        <w:rPr>
          <w:rFonts w:ascii="Arial" w:eastAsia="Times New Roman" w:hAnsi="Arial" w:cs="Arial"/>
          <w:bCs/>
          <w:sz w:val="20"/>
          <w:szCs w:val="20"/>
          <w:lang w:val="en-GB" w:eastAsia="nl-NL"/>
        </w:rPr>
        <w:t>transactions within the meaning of Article 3 sub 2(d) of the Market Abuse Regulation</w:t>
      </w:r>
      <w:r w:rsidR="00333ED3" w:rsidRPr="002D16D8">
        <w:rPr>
          <w:rFonts w:ascii="Arial" w:eastAsia="Times New Roman" w:hAnsi="Arial" w:cs="Arial"/>
          <w:bCs/>
          <w:sz w:val="20"/>
          <w:szCs w:val="20"/>
          <w:lang w:val="en-GB" w:eastAsia="nl-NL"/>
        </w:rPr>
        <w:t xml:space="preserve"> </w:t>
      </w:r>
      <w:r w:rsidR="00460E74" w:rsidRPr="002D16D8">
        <w:rPr>
          <w:rFonts w:ascii="Arial" w:eastAsia="Times New Roman" w:hAnsi="Arial" w:cs="Arial"/>
          <w:bCs/>
          <w:sz w:val="20"/>
          <w:szCs w:val="20"/>
          <w:lang w:val="en-GB" w:eastAsia="nl-NL"/>
        </w:rPr>
        <w:t xml:space="preserve">((EU) 596/2014) </w:t>
      </w:r>
      <w:r w:rsidR="00333ED3" w:rsidRPr="002D16D8">
        <w:rPr>
          <w:rFonts w:ascii="Arial" w:eastAsia="Times New Roman" w:hAnsi="Arial" w:cs="Arial"/>
          <w:bCs/>
          <w:sz w:val="20"/>
          <w:szCs w:val="20"/>
          <w:lang w:val="en-GB" w:eastAsia="nl-NL"/>
        </w:rPr>
        <w:t xml:space="preserve">in connection with the Offer. </w:t>
      </w:r>
      <w:r w:rsidR="00A54FAB" w:rsidRPr="002D16D8">
        <w:rPr>
          <w:rFonts w:ascii="Arial" w:eastAsia="Times New Roman" w:hAnsi="Arial" w:cs="Arial"/>
          <w:bCs/>
          <w:sz w:val="20"/>
          <w:szCs w:val="20"/>
          <w:lang w:val="en-GB" w:eastAsia="nl-NL"/>
        </w:rPr>
        <w:t xml:space="preserve">For each of the dates during which stabilisation transactions were carried out during the stabilisation period, the aggregate quantity and price range was as follows: </w:t>
      </w:r>
    </w:p>
    <w:p w14:paraId="1C5EB836" w14:textId="77777777" w:rsidR="005C78DD" w:rsidRDefault="005C78DD">
      <w:pPr>
        <w:rPr>
          <w:rFonts w:ascii="Arial" w:eastAsia="Times New Roman" w:hAnsi="Arial" w:cs="Arial"/>
          <w:bCs/>
          <w:sz w:val="20"/>
          <w:szCs w:val="20"/>
          <w:lang w:val="en-GB" w:eastAsia="nl-NL"/>
        </w:rPr>
      </w:pPr>
      <w:r>
        <w:rPr>
          <w:rFonts w:ascii="Arial" w:eastAsia="Times New Roman" w:hAnsi="Arial" w:cs="Arial"/>
          <w:bCs/>
          <w:sz w:val="20"/>
          <w:szCs w:val="20"/>
          <w:lang w:val="en-GB" w:eastAsia="nl-NL"/>
        </w:rPr>
        <w:br w:type="page"/>
      </w:r>
    </w:p>
    <w:p w14:paraId="78CDB885" w14:textId="77777777" w:rsidR="00333ED3" w:rsidRPr="002D16D8" w:rsidRDefault="00333ED3" w:rsidP="0041267D">
      <w:pPr>
        <w:spacing w:after="0"/>
        <w:rPr>
          <w:rFonts w:ascii="Arial" w:eastAsia="Times New Roman" w:hAnsi="Arial" w:cs="Arial"/>
          <w:bCs/>
          <w:sz w:val="20"/>
          <w:szCs w:val="20"/>
          <w:lang w:val="en-GB" w:eastAsia="nl-NL"/>
        </w:rPr>
      </w:pPr>
    </w:p>
    <w:tbl>
      <w:tblPr>
        <w:tblStyle w:val="Tabelraster"/>
        <w:tblW w:w="0" w:type="auto"/>
        <w:tblLook w:val="04A0" w:firstRow="1" w:lastRow="0" w:firstColumn="1" w:lastColumn="0" w:noHBand="0" w:noVBand="1"/>
      </w:tblPr>
      <w:tblGrid>
        <w:gridCol w:w="1218"/>
        <w:gridCol w:w="1154"/>
        <w:gridCol w:w="1903"/>
        <w:gridCol w:w="1350"/>
        <w:gridCol w:w="1355"/>
        <w:gridCol w:w="1129"/>
        <w:gridCol w:w="1627"/>
      </w:tblGrid>
      <w:tr w:rsidR="004965E9" w:rsidRPr="002D16D8" w14:paraId="3C1B50B3" w14:textId="77777777" w:rsidTr="00EF7DCD">
        <w:tc>
          <w:tcPr>
            <w:tcW w:w="1006" w:type="dxa"/>
            <w:tcBorders>
              <w:top w:val="single" w:sz="4" w:space="0" w:color="auto"/>
              <w:left w:val="single" w:sz="4" w:space="0" w:color="auto"/>
              <w:bottom w:val="single" w:sz="4" w:space="0" w:color="auto"/>
              <w:right w:val="single" w:sz="4" w:space="0" w:color="auto"/>
            </w:tcBorders>
            <w:hideMark/>
          </w:tcPr>
          <w:p w14:paraId="072CBC68" w14:textId="77777777" w:rsidR="004965E9" w:rsidRPr="002D16D8" w:rsidRDefault="004965E9" w:rsidP="00EF7DCD">
            <w:pPr>
              <w:jc w:val="center"/>
              <w:rPr>
                <w:rFonts w:ascii="Arial" w:eastAsia="Times New Roman" w:hAnsi="Arial" w:cs="Arial"/>
                <w:sz w:val="20"/>
                <w:szCs w:val="20"/>
                <w:lang w:eastAsia="nl-NL"/>
              </w:rPr>
            </w:pPr>
            <w:r w:rsidRPr="002D16D8">
              <w:rPr>
                <w:rFonts w:ascii="Arial" w:hAnsi="Arial" w:cs="Arial"/>
                <w:b/>
                <w:bCs/>
                <w:sz w:val="20"/>
                <w:szCs w:val="20"/>
              </w:rPr>
              <w:t>Date</w:t>
            </w:r>
          </w:p>
        </w:tc>
        <w:tc>
          <w:tcPr>
            <w:tcW w:w="1177" w:type="dxa"/>
            <w:tcBorders>
              <w:top w:val="single" w:sz="4" w:space="0" w:color="auto"/>
              <w:left w:val="single" w:sz="4" w:space="0" w:color="auto"/>
              <w:bottom w:val="single" w:sz="4" w:space="0" w:color="auto"/>
              <w:right w:val="single" w:sz="4" w:space="0" w:color="auto"/>
            </w:tcBorders>
            <w:hideMark/>
          </w:tcPr>
          <w:p w14:paraId="5A449F72" w14:textId="77777777" w:rsidR="004965E9" w:rsidRPr="002D16D8" w:rsidRDefault="004965E9" w:rsidP="00EF7DCD">
            <w:pPr>
              <w:jc w:val="center"/>
              <w:rPr>
                <w:rFonts w:ascii="Arial" w:eastAsia="Times New Roman" w:hAnsi="Arial" w:cs="Arial"/>
                <w:sz w:val="20"/>
                <w:szCs w:val="20"/>
                <w:lang w:eastAsia="nl-NL"/>
              </w:rPr>
            </w:pPr>
            <w:r w:rsidRPr="002D16D8">
              <w:rPr>
                <w:rFonts w:ascii="Arial" w:hAnsi="Arial" w:cs="Arial"/>
                <w:b/>
                <w:bCs/>
                <w:sz w:val="20"/>
                <w:szCs w:val="20"/>
              </w:rPr>
              <w:t>Buy/Sell</w:t>
            </w:r>
          </w:p>
        </w:tc>
        <w:tc>
          <w:tcPr>
            <w:tcW w:w="1923" w:type="dxa"/>
            <w:tcBorders>
              <w:top w:val="single" w:sz="4" w:space="0" w:color="auto"/>
              <w:left w:val="single" w:sz="4" w:space="0" w:color="auto"/>
              <w:bottom w:val="single" w:sz="4" w:space="0" w:color="auto"/>
              <w:right w:val="single" w:sz="4" w:space="0" w:color="auto"/>
            </w:tcBorders>
            <w:hideMark/>
          </w:tcPr>
          <w:p w14:paraId="15A5C510" w14:textId="77777777" w:rsidR="004965E9" w:rsidRPr="002D16D8" w:rsidRDefault="004965E9" w:rsidP="00EF7DCD">
            <w:pPr>
              <w:jc w:val="center"/>
              <w:rPr>
                <w:rFonts w:ascii="Arial" w:eastAsia="Times New Roman" w:hAnsi="Arial" w:cs="Arial"/>
                <w:sz w:val="20"/>
                <w:szCs w:val="20"/>
                <w:lang w:eastAsia="nl-NL"/>
              </w:rPr>
            </w:pPr>
            <w:r w:rsidRPr="002D16D8">
              <w:rPr>
                <w:rFonts w:ascii="Arial" w:hAnsi="Arial" w:cs="Arial"/>
                <w:b/>
                <w:bCs/>
                <w:sz w:val="20"/>
                <w:szCs w:val="20"/>
              </w:rPr>
              <w:t>Aggregate (quantity/ volume/number)</w:t>
            </w:r>
          </w:p>
        </w:tc>
        <w:tc>
          <w:tcPr>
            <w:tcW w:w="1418" w:type="dxa"/>
            <w:tcBorders>
              <w:top w:val="single" w:sz="4" w:space="0" w:color="auto"/>
              <w:left w:val="single" w:sz="4" w:space="0" w:color="auto"/>
              <w:bottom w:val="single" w:sz="4" w:space="0" w:color="auto"/>
              <w:right w:val="single" w:sz="4" w:space="0" w:color="auto"/>
            </w:tcBorders>
            <w:hideMark/>
          </w:tcPr>
          <w:p w14:paraId="1385B8D4" w14:textId="77777777" w:rsidR="004965E9" w:rsidRPr="002D16D8" w:rsidRDefault="004965E9" w:rsidP="00EF7DCD">
            <w:pPr>
              <w:jc w:val="center"/>
              <w:rPr>
                <w:rFonts w:ascii="Arial" w:eastAsia="Times New Roman" w:hAnsi="Arial" w:cs="Arial"/>
                <w:sz w:val="20"/>
                <w:szCs w:val="20"/>
                <w:lang w:eastAsia="nl-NL"/>
              </w:rPr>
            </w:pPr>
            <w:r w:rsidRPr="002D16D8">
              <w:rPr>
                <w:rFonts w:ascii="Arial" w:hAnsi="Arial" w:cs="Arial"/>
                <w:b/>
                <w:bCs/>
                <w:sz w:val="20"/>
                <w:szCs w:val="20"/>
              </w:rPr>
              <w:t>Lowest Price</w:t>
            </w:r>
          </w:p>
        </w:tc>
        <w:tc>
          <w:tcPr>
            <w:tcW w:w="1417" w:type="dxa"/>
            <w:tcBorders>
              <w:top w:val="single" w:sz="4" w:space="0" w:color="auto"/>
              <w:left w:val="single" w:sz="4" w:space="0" w:color="auto"/>
              <w:bottom w:val="single" w:sz="4" w:space="0" w:color="auto"/>
              <w:right w:val="single" w:sz="4" w:space="0" w:color="auto"/>
            </w:tcBorders>
            <w:hideMark/>
          </w:tcPr>
          <w:p w14:paraId="0C105178" w14:textId="77777777" w:rsidR="004965E9" w:rsidRPr="002D16D8" w:rsidRDefault="004965E9" w:rsidP="00EF7DCD">
            <w:pPr>
              <w:jc w:val="center"/>
              <w:rPr>
                <w:rFonts w:ascii="Arial" w:eastAsia="Times New Roman" w:hAnsi="Arial" w:cs="Arial"/>
                <w:sz w:val="20"/>
                <w:szCs w:val="20"/>
                <w:lang w:eastAsia="nl-NL"/>
              </w:rPr>
            </w:pPr>
            <w:r w:rsidRPr="002D16D8">
              <w:rPr>
                <w:rFonts w:ascii="Arial" w:hAnsi="Arial" w:cs="Arial"/>
                <w:b/>
                <w:bCs/>
                <w:sz w:val="20"/>
                <w:szCs w:val="20"/>
              </w:rPr>
              <w:t>Highest Price</w:t>
            </w:r>
          </w:p>
        </w:tc>
        <w:tc>
          <w:tcPr>
            <w:tcW w:w="1134" w:type="dxa"/>
            <w:tcBorders>
              <w:top w:val="single" w:sz="4" w:space="0" w:color="auto"/>
              <w:left w:val="single" w:sz="4" w:space="0" w:color="auto"/>
              <w:bottom w:val="single" w:sz="4" w:space="0" w:color="auto"/>
              <w:right w:val="single" w:sz="4" w:space="0" w:color="auto"/>
            </w:tcBorders>
            <w:hideMark/>
          </w:tcPr>
          <w:p w14:paraId="691221C3" w14:textId="77777777" w:rsidR="004965E9" w:rsidRPr="002D16D8" w:rsidRDefault="004965E9" w:rsidP="00EF7DCD">
            <w:pPr>
              <w:jc w:val="center"/>
              <w:rPr>
                <w:rFonts w:ascii="Arial" w:eastAsia="Times New Roman" w:hAnsi="Arial" w:cs="Arial"/>
                <w:sz w:val="20"/>
                <w:szCs w:val="20"/>
                <w:lang w:eastAsia="nl-NL"/>
              </w:rPr>
            </w:pPr>
            <w:r w:rsidRPr="002D16D8">
              <w:rPr>
                <w:rFonts w:ascii="Arial" w:hAnsi="Arial" w:cs="Arial"/>
                <w:b/>
                <w:bCs/>
                <w:sz w:val="20"/>
                <w:szCs w:val="20"/>
              </w:rPr>
              <w:t>Currency</w:t>
            </w:r>
          </w:p>
        </w:tc>
        <w:tc>
          <w:tcPr>
            <w:tcW w:w="1661" w:type="dxa"/>
            <w:tcBorders>
              <w:top w:val="single" w:sz="4" w:space="0" w:color="auto"/>
              <w:left w:val="single" w:sz="4" w:space="0" w:color="auto"/>
              <w:bottom w:val="single" w:sz="4" w:space="0" w:color="auto"/>
              <w:right w:val="single" w:sz="4" w:space="0" w:color="auto"/>
            </w:tcBorders>
            <w:hideMark/>
          </w:tcPr>
          <w:p w14:paraId="77A62661" w14:textId="77777777" w:rsidR="004965E9" w:rsidRPr="002D16D8" w:rsidRDefault="004965E9" w:rsidP="00EF7DCD">
            <w:pPr>
              <w:jc w:val="center"/>
              <w:rPr>
                <w:rFonts w:ascii="Arial" w:eastAsia="Times New Roman" w:hAnsi="Arial" w:cs="Arial"/>
                <w:sz w:val="20"/>
                <w:szCs w:val="20"/>
                <w:lang w:eastAsia="nl-NL"/>
              </w:rPr>
            </w:pPr>
            <w:r w:rsidRPr="002D16D8">
              <w:rPr>
                <w:rFonts w:ascii="Arial" w:hAnsi="Arial" w:cs="Arial"/>
                <w:b/>
                <w:bCs/>
                <w:sz w:val="20"/>
                <w:szCs w:val="20"/>
              </w:rPr>
              <w:t>Stabilisation Trading Venue</w:t>
            </w:r>
          </w:p>
        </w:tc>
      </w:tr>
      <w:tr w:rsidR="004965E9" w:rsidRPr="002D16D8" w14:paraId="7836B10D" w14:textId="77777777" w:rsidTr="00EF7DCD">
        <w:tc>
          <w:tcPr>
            <w:tcW w:w="1006" w:type="dxa"/>
            <w:tcBorders>
              <w:top w:val="single" w:sz="4" w:space="0" w:color="auto"/>
              <w:left w:val="single" w:sz="4" w:space="0" w:color="auto"/>
              <w:bottom w:val="single" w:sz="4" w:space="0" w:color="auto"/>
              <w:right w:val="single" w:sz="4" w:space="0" w:color="auto"/>
            </w:tcBorders>
          </w:tcPr>
          <w:p w14:paraId="7EF3A76F" w14:textId="77777777" w:rsidR="004965E9" w:rsidRPr="002D16D8" w:rsidRDefault="004965E9" w:rsidP="00EF7DCD">
            <w:pPr>
              <w:jc w:val="center"/>
              <w:rPr>
                <w:rFonts w:ascii="Arial" w:hAnsi="Arial" w:cs="Arial"/>
                <w:sz w:val="20"/>
                <w:szCs w:val="20"/>
              </w:rPr>
            </w:pPr>
          </w:p>
          <w:p w14:paraId="646B474E" w14:textId="77777777" w:rsidR="004965E9" w:rsidRPr="002D16D8" w:rsidRDefault="004965E9" w:rsidP="00EF7DCD">
            <w:pPr>
              <w:jc w:val="center"/>
              <w:rPr>
                <w:rFonts w:ascii="Arial" w:eastAsia="Times New Roman" w:hAnsi="Arial" w:cs="Arial"/>
                <w:sz w:val="20"/>
                <w:szCs w:val="20"/>
                <w:lang w:eastAsia="nl-NL"/>
              </w:rPr>
            </w:pPr>
            <w:r w:rsidRPr="002D16D8">
              <w:rPr>
                <w:rFonts w:ascii="Arial" w:hAnsi="Arial" w:cs="Arial"/>
                <w:sz w:val="20"/>
                <w:szCs w:val="20"/>
              </w:rPr>
              <w:t>25/03/2021</w:t>
            </w:r>
          </w:p>
        </w:tc>
        <w:tc>
          <w:tcPr>
            <w:tcW w:w="1177" w:type="dxa"/>
            <w:tcBorders>
              <w:top w:val="single" w:sz="4" w:space="0" w:color="auto"/>
              <w:left w:val="single" w:sz="4" w:space="0" w:color="auto"/>
              <w:bottom w:val="single" w:sz="4" w:space="0" w:color="auto"/>
              <w:right w:val="single" w:sz="4" w:space="0" w:color="auto"/>
            </w:tcBorders>
          </w:tcPr>
          <w:p w14:paraId="029B7074" w14:textId="77777777" w:rsidR="004965E9" w:rsidRPr="002D16D8" w:rsidRDefault="004965E9" w:rsidP="00EF7DCD">
            <w:pPr>
              <w:jc w:val="center"/>
              <w:rPr>
                <w:rFonts w:ascii="Arial" w:hAnsi="Arial" w:cs="Arial"/>
                <w:sz w:val="20"/>
                <w:szCs w:val="20"/>
              </w:rPr>
            </w:pPr>
          </w:p>
          <w:p w14:paraId="2035C1F2" w14:textId="77777777" w:rsidR="004965E9" w:rsidRPr="002D16D8" w:rsidRDefault="004965E9" w:rsidP="00EF7DCD">
            <w:pPr>
              <w:jc w:val="center"/>
              <w:rPr>
                <w:rFonts w:ascii="Arial" w:eastAsia="Times New Roman" w:hAnsi="Arial" w:cs="Arial"/>
                <w:sz w:val="20"/>
                <w:szCs w:val="20"/>
                <w:lang w:eastAsia="nl-NL"/>
              </w:rPr>
            </w:pPr>
            <w:r w:rsidRPr="002D16D8">
              <w:rPr>
                <w:rFonts w:ascii="Arial" w:hAnsi="Arial" w:cs="Arial"/>
                <w:sz w:val="20"/>
                <w:szCs w:val="20"/>
              </w:rPr>
              <w:t>Buy</w:t>
            </w:r>
          </w:p>
        </w:tc>
        <w:tc>
          <w:tcPr>
            <w:tcW w:w="1923" w:type="dxa"/>
            <w:tcBorders>
              <w:top w:val="single" w:sz="4" w:space="0" w:color="auto"/>
              <w:left w:val="single" w:sz="4" w:space="0" w:color="auto"/>
              <w:bottom w:val="single" w:sz="4" w:space="0" w:color="auto"/>
              <w:right w:val="single" w:sz="4" w:space="0" w:color="auto"/>
            </w:tcBorders>
          </w:tcPr>
          <w:p w14:paraId="495E3669" w14:textId="77777777" w:rsidR="004965E9" w:rsidRPr="002D16D8" w:rsidRDefault="004965E9" w:rsidP="00EF7DCD">
            <w:pPr>
              <w:jc w:val="center"/>
              <w:rPr>
                <w:rFonts w:ascii="Arial" w:hAnsi="Arial" w:cs="Arial"/>
                <w:sz w:val="20"/>
                <w:szCs w:val="20"/>
              </w:rPr>
            </w:pPr>
          </w:p>
          <w:p w14:paraId="3E5A2E4A" w14:textId="77777777" w:rsidR="004965E9" w:rsidRPr="002D16D8" w:rsidRDefault="004965E9" w:rsidP="00EF7DCD">
            <w:pPr>
              <w:jc w:val="center"/>
              <w:rPr>
                <w:rFonts w:ascii="Arial" w:eastAsia="Times New Roman" w:hAnsi="Arial" w:cs="Arial"/>
                <w:sz w:val="20"/>
                <w:szCs w:val="20"/>
                <w:lang w:eastAsia="nl-NL"/>
              </w:rPr>
            </w:pPr>
            <w:r w:rsidRPr="002D16D8">
              <w:rPr>
                <w:rFonts w:ascii="Arial" w:hAnsi="Arial" w:cs="Arial"/>
                <w:sz w:val="20"/>
                <w:szCs w:val="20"/>
              </w:rPr>
              <w:t>2,445,850</w:t>
            </w:r>
          </w:p>
        </w:tc>
        <w:tc>
          <w:tcPr>
            <w:tcW w:w="1418" w:type="dxa"/>
            <w:tcBorders>
              <w:top w:val="single" w:sz="4" w:space="0" w:color="auto"/>
              <w:left w:val="single" w:sz="4" w:space="0" w:color="auto"/>
              <w:bottom w:val="single" w:sz="4" w:space="0" w:color="auto"/>
              <w:right w:val="single" w:sz="4" w:space="0" w:color="auto"/>
            </w:tcBorders>
          </w:tcPr>
          <w:p w14:paraId="24AEA60D" w14:textId="77777777" w:rsidR="004965E9" w:rsidRPr="002D16D8" w:rsidRDefault="004965E9" w:rsidP="00EF7DCD">
            <w:pPr>
              <w:jc w:val="center"/>
              <w:rPr>
                <w:rFonts w:ascii="Arial" w:hAnsi="Arial" w:cs="Arial"/>
                <w:sz w:val="20"/>
                <w:szCs w:val="20"/>
              </w:rPr>
            </w:pPr>
          </w:p>
          <w:p w14:paraId="5B24FA0B" w14:textId="77777777" w:rsidR="004965E9" w:rsidRPr="002D16D8" w:rsidRDefault="004965E9" w:rsidP="00EF7DCD">
            <w:pPr>
              <w:jc w:val="center"/>
              <w:rPr>
                <w:rFonts w:ascii="Arial" w:eastAsia="Times New Roman" w:hAnsi="Arial" w:cs="Arial"/>
                <w:sz w:val="20"/>
                <w:szCs w:val="20"/>
                <w:lang w:eastAsia="nl-NL"/>
              </w:rPr>
            </w:pPr>
            <w:r w:rsidRPr="002D16D8">
              <w:rPr>
                <w:rFonts w:ascii="Arial" w:hAnsi="Arial" w:cs="Arial"/>
                <w:sz w:val="20"/>
                <w:szCs w:val="20"/>
              </w:rPr>
              <w:t>13.95</w:t>
            </w:r>
          </w:p>
        </w:tc>
        <w:tc>
          <w:tcPr>
            <w:tcW w:w="1417" w:type="dxa"/>
            <w:tcBorders>
              <w:top w:val="single" w:sz="4" w:space="0" w:color="auto"/>
              <w:left w:val="single" w:sz="4" w:space="0" w:color="auto"/>
              <w:bottom w:val="single" w:sz="4" w:space="0" w:color="auto"/>
              <w:right w:val="single" w:sz="4" w:space="0" w:color="auto"/>
            </w:tcBorders>
          </w:tcPr>
          <w:p w14:paraId="3499501D" w14:textId="77777777" w:rsidR="004965E9" w:rsidRPr="002D16D8" w:rsidRDefault="004965E9" w:rsidP="00EF7DCD">
            <w:pPr>
              <w:jc w:val="center"/>
              <w:rPr>
                <w:rFonts w:ascii="Arial" w:hAnsi="Arial" w:cs="Arial"/>
                <w:sz w:val="20"/>
                <w:szCs w:val="20"/>
              </w:rPr>
            </w:pPr>
          </w:p>
          <w:p w14:paraId="78A33363" w14:textId="77777777" w:rsidR="004965E9" w:rsidRPr="002D16D8" w:rsidRDefault="004965E9" w:rsidP="00EF7DCD">
            <w:pPr>
              <w:jc w:val="center"/>
              <w:rPr>
                <w:rFonts w:ascii="Arial" w:eastAsia="Times New Roman" w:hAnsi="Arial" w:cs="Arial"/>
                <w:sz w:val="20"/>
                <w:szCs w:val="20"/>
                <w:lang w:eastAsia="nl-NL"/>
              </w:rPr>
            </w:pPr>
            <w:r w:rsidRPr="002D16D8">
              <w:rPr>
                <w:rFonts w:ascii="Arial" w:hAnsi="Arial" w:cs="Arial"/>
                <w:sz w:val="20"/>
                <w:szCs w:val="20"/>
              </w:rPr>
              <w:t>14.00</w:t>
            </w:r>
          </w:p>
        </w:tc>
        <w:tc>
          <w:tcPr>
            <w:tcW w:w="1134" w:type="dxa"/>
            <w:tcBorders>
              <w:top w:val="single" w:sz="4" w:space="0" w:color="auto"/>
              <w:left w:val="single" w:sz="4" w:space="0" w:color="auto"/>
              <w:bottom w:val="single" w:sz="4" w:space="0" w:color="auto"/>
              <w:right w:val="single" w:sz="4" w:space="0" w:color="auto"/>
            </w:tcBorders>
          </w:tcPr>
          <w:p w14:paraId="27F7486A" w14:textId="77777777" w:rsidR="004965E9" w:rsidRPr="002D16D8" w:rsidRDefault="004965E9" w:rsidP="00EF7DCD">
            <w:pPr>
              <w:jc w:val="center"/>
              <w:rPr>
                <w:rFonts w:ascii="Arial" w:hAnsi="Arial" w:cs="Arial"/>
                <w:sz w:val="20"/>
                <w:szCs w:val="20"/>
              </w:rPr>
            </w:pPr>
          </w:p>
          <w:p w14:paraId="54A1D044" w14:textId="77777777" w:rsidR="004965E9" w:rsidRPr="002D16D8" w:rsidRDefault="004965E9" w:rsidP="00EF7DCD">
            <w:pPr>
              <w:jc w:val="center"/>
              <w:rPr>
                <w:rFonts w:ascii="Arial" w:eastAsia="Times New Roman" w:hAnsi="Arial" w:cs="Arial"/>
                <w:sz w:val="20"/>
                <w:szCs w:val="20"/>
                <w:lang w:eastAsia="nl-NL"/>
              </w:rPr>
            </w:pPr>
            <w:r w:rsidRPr="002D16D8">
              <w:rPr>
                <w:rFonts w:ascii="Arial" w:hAnsi="Arial" w:cs="Arial"/>
                <w:sz w:val="20"/>
                <w:szCs w:val="20"/>
              </w:rPr>
              <w:t>EUR</w:t>
            </w:r>
          </w:p>
        </w:tc>
        <w:tc>
          <w:tcPr>
            <w:tcW w:w="1661" w:type="dxa"/>
            <w:tcBorders>
              <w:top w:val="single" w:sz="4" w:space="0" w:color="auto"/>
              <w:left w:val="single" w:sz="4" w:space="0" w:color="auto"/>
              <w:bottom w:val="single" w:sz="4" w:space="0" w:color="auto"/>
              <w:right w:val="single" w:sz="4" w:space="0" w:color="auto"/>
            </w:tcBorders>
            <w:hideMark/>
          </w:tcPr>
          <w:p w14:paraId="5EBF9EA9" w14:textId="77777777" w:rsidR="004965E9" w:rsidRPr="002D16D8" w:rsidRDefault="004965E9" w:rsidP="00EF7DCD">
            <w:pPr>
              <w:jc w:val="center"/>
              <w:rPr>
                <w:rFonts w:ascii="Arial" w:eastAsia="Times New Roman" w:hAnsi="Arial" w:cs="Arial"/>
                <w:sz w:val="20"/>
                <w:szCs w:val="20"/>
                <w:lang w:eastAsia="nl-NL"/>
              </w:rPr>
            </w:pPr>
            <w:r w:rsidRPr="002D16D8">
              <w:rPr>
                <w:rFonts w:ascii="Arial" w:hAnsi="Arial" w:cs="Arial"/>
                <w:sz w:val="20"/>
                <w:szCs w:val="20"/>
              </w:rPr>
              <w:t>Euronext Amsterdam (XAMS)</w:t>
            </w:r>
          </w:p>
        </w:tc>
      </w:tr>
      <w:tr w:rsidR="004965E9" w:rsidRPr="002D16D8" w14:paraId="1D38B4A8" w14:textId="77777777" w:rsidTr="00EF7DCD">
        <w:tc>
          <w:tcPr>
            <w:tcW w:w="1006" w:type="dxa"/>
            <w:tcBorders>
              <w:top w:val="single" w:sz="4" w:space="0" w:color="auto"/>
              <w:left w:val="single" w:sz="4" w:space="0" w:color="auto"/>
              <w:bottom w:val="single" w:sz="4" w:space="0" w:color="auto"/>
              <w:right w:val="single" w:sz="4" w:space="0" w:color="auto"/>
            </w:tcBorders>
          </w:tcPr>
          <w:p w14:paraId="653342FF" w14:textId="77777777" w:rsidR="004965E9" w:rsidRPr="002D16D8" w:rsidRDefault="004965E9" w:rsidP="00EF7DCD">
            <w:pPr>
              <w:jc w:val="center"/>
              <w:rPr>
                <w:rFonts w:ascii="Arial" w:hAnsi="Arial" w:cs="Arial"/>
                <w:sz w:val="20"/>
                <w:szCs w:val="20"/>
              </w:rPr>
            </w:pPr>
          </w:p>
          <w:p w14:paraId="7A9E1377" w14:textId="77777777" w:rsidR="004965E9" w:rsidRPr="002D16D8" w:rsidRDefault="004965E9" w:rsidP="00EF7DCD">
            <w:pPr>
              <w:jc w:val="center"/>
              <w:rPr>
                <w:rFonts w:ascii="Arial" w:eastAsia="Times New Roman" w:hAnsi="Arial" w:cs="Arial"/>
                <w:sz w:val="20"/>
                <w:szCs w:val="20"/>
                <w:lang w:eastAsia="nl-NL"/>
              </w:rPr>
            </w:pPr>
            <w:r w:rsidRPr="002D16D8">
              <w:rPr>
                <w:rFonts w:ascii="Arial" w:hAnsi="Arial" w:cs="Arial"/>
                <w:sz w:val="20"/>
                <w:szCs w:val="20"/>
              </w:rPr>
              <w:t>26/03/2021</w:t>
            </w:r>
          </w:p>
        </w:tc>
        <w:tc>
          <w:tcPr>
            <w:tcW w:w="1177" w:type="dxa"/>
            <w:tcBorders>
              <w:top w:val="single" w:sz="4" w:space="0" w:color="auto"/>
              <w:left w:val="single" w:sz="4" w:space="0" w:color="auto"/>
              <w:bottom w:val="single" w:sz="4" w:space="0" w:color="auto"/>
              <w:right w:val="single" w:sz="4" w:space="0" w:color="auto"/>
            </w:tcBorders>
          </w:tcPr>
          <w:p w14:paraId="1D5DAC7A" w14:textId="77777777" w:rsidR="004965E9" w:rsidRPr="002D16D8" w:rsidRDefault="004965E9" w:rsidP="00EF7DCD">
            <w:pPr>
              <w:jc w:val="center"/>
              <w:rPr>
                <w:rFonts w:ascii="Arial" w:hAnsi="Arial" w:cs="Arial"/>
                <w:sz w:val="20"/>
                <w:szCs w:val="20"/>
              </w:rPr>
            </w:pPr>
          </w:p>
          <w:p w14:paraId="2DAE7BB2" w14:textId="77777777" w:rsidR="004965E9" w:rsidRPr="002D16D8" w:rsidRDefault="004965E9" w:rsidP="00EF7DCD">
            <w:pPr>
              <w:jc w:val="center"/>
              <w:rPr>
                <w:rFonts w:ascii="Arial" w:eastAsia="Times New Roman" w:hAnsi="Arial" w:cs="Arial"/>
                <w:sz w:val="20"/>
                <w:szCs w:val="20"/>
                <w:lang w:eastAsia="nl-NL"/>
              </w:rPr>
            </w:pPr>
            <w:r w:rsidRPr="002D16D8">
              <w:rPr>
                <w:rFonts w:ascii="Arial" w:hAnsi="Arial" w:cs="Arial"/>
                <w:sz w:val="20"/>
                <w:szCs w:val="20"/>
              </w:rPr>
              <w:t>Buy</w:t>
            </w:r>
          </w:p>
        </w:tc>
        <w:tc>
          <w:tcPr>
            <w:tcW w:w="1923" w:type="dxa"/>
            <w:tcBorders>
              <w:top w:val="single" w:sz="4" w:space="0" w:color="auto"/>
              <w:left w:val="single" w:sz="4" w:space="0" w:color="auto"/>
              <w:bottom w:val="single" w:sz="4" w:space="0" w:color="auto"/>
              <w:right w:val="single" w:sz="4" w:space="0" w:color="auto"/>
            </w:tcBorders>
          </w:tcPr>
          <w:p w14:paraId="19CC180F" w14:textId="77777777" w:rsidR="004965E9" w:rsidRPr="002D16D8" w:rsidRDefault="004965E9" w:rsidP="00EF7DCD">
            <w:pPr>
              <w:jc w:val="center"/>
              <w:rPr>
                <w:rFonts w:ascii="Arial" w:hAnsi="Arial" w:cs="Arial"/>
                <w:sz w:val="20"/>
                <w:szCs w:val="20"/>
              </w:rPr>
            </w:pPr>
          </w:p>
          <w:p w14:paraId="45C3BA5C" w14:textId="77777777" w:rsidR="004965E9" w:rsidRPr="002D16D8" w:rsidRDefault="004965E9" w:rsidP="00EF7DCD">
            <w:pPr>
              <w:jc w:val="center"/>
              <w:rPr>
                <w:rFonts w:ascii="Arial" w:eastAsia="Times New Roman" w:hAnsi="Arial" w:cs="Arial"/>
                <w:sz w:val="20"/>
                <w:szCs w:val="20"/>
                <w:lang w:eastAsia="nl-NL"/>
              </w:rPr>
            </w:pPr>
            <w:r w:rsidRPr="002D16D8">
              <w:rPr>
                <w:rFonts w:ascii="Arial" w:hAnsi="Arial" w:cs="Arial"/>
                <w:sz w:val="20"/>
                <w:szCs w:val="20"/>
              </w:rPr>
              <w:t>13,977</w:t>
            </w:r>
          </w:p>
        </w:tc>
        <w:tc>
          <w:tcPr>
            <w:tcW w:w="1418" w:type="dxa"/>
            <w:tcBorders>
              <w:top w:val="single" w:sz="4" w:space="0" w:color="auto"/>
              <w:left w:val="single" w:sz="4" w:space="0" w:color="auto"/>
              <w:bottom w:val="single" w:sz="4" w:space="0" w:color="auto"/>
              <w:right w:val="single" w:sz="4" w:space="0" w:color="auto"/>
            </w:tcBorders>
          </w:tcPr>
          <w:p w14:paraId="00D13D22" w14:textId="77777777" w:rsidR="004965E9" w:rsidRPr="002D16D8" w:rsidRDefault="004965E9" w:rsidP="00EF7DCD">
            <w:pPr>
              <w:jc w:val="center"/>
              <w:rPr>
                <w:rFonts w:ascii="Arial" w:hAnsi="Arial" w:cs="Arial"/>
                <w:sz w:val="20"/>
                <w:szCs w:val="20"/>
              </w:rPr>
            </w:pPr>
          </w:p>
          <w:p w14:paraId="7622EF6E" w14:textId="77777777" w:rsidR="004965E9" w:rsidRPr="002D16D8" w:rsidRDefault="004965E9" w:rsidP="00EF7DCD">
            <w:pPr>
              <w:jc w:val="center"/>
              <w:rPr>
                <w:rFonts w:ascii="Arial" w:eastAsia="Times New Roman" w:hAnsi="Arial" w:cs="Arial"/>
                <w:sz w:val="20"/>
                <w:szCs w:val="20"/>
                <w:lang w:eastAsia="nl-NL"/>
              </w:rPr>
            </w:pPr>
            <w:r w:rsidRPr="002D16D8">
              <w:rPr>
                <w:rFonts w:ascii="Arial" w:hAnsi="Arial" w:cs="Arial"/>
                <w:sz w:val="20"/>
                <w:szCs w:val="20"/>
              </w:rPr>
              <w:t>14.00</w:t>
            </w:r>
          </w:p>
        </w:tc>
        <w:tc>
          <w:tcPr>
            <w:tcW w:w="1417" w:type="dxa"/>
            <w:tcBorders>
              <w:top w:val="single" w:sz="4" w:space="0" w:color="auto"/>
              <w:left w:val="single" w:sz="4" w:space="0" w:color="auto"/>
              <w:bottom w:val="single" w:sz="4" w:space="0" w:color="auto"/>
              <w:right w:val="single" w:sz="4" w:space="0" w:color="auto"/>
            </w:tcBorders>
          </w:tcPr>
          <w:p w14:paraId="35484400" w14:textId="77777777" w:rsidR="004965E9" w:rsidRPr="002D16D8" w:rsidRDefault="004965E9" w:rsidP="00EF7DCD">
            <w:pPr>
              <w:jc w:val="center"/>
              <w:rPr>
                <w:rFonts w:ascii="Arial" w:hAnsi="Arial" w:cs="Arial"/>
                <w:sz w:val="20"/>
                <w:szCs w:val="20"/>
              </w:rPr>
            </w:pPr>
          </w:p>
          <w:p w14:paraId="30658EBD" w14:textId="77777777" w:rsidR="004965E9" w:rsidRPr="002D16D8" w:rsidRDefault="004965E9" w:rsidP="00EF7DCD">
            <w:pPr>
              <w:jc w:val="center"/>
              <w:rPr>
                <w:rFonts w:ascii="Arial" w:eastAsia="Times New Roman" w:hAnsi="Arial" w:cs="Arial"/>
                <w:sz w:val="20"/>
                <w:szCs w:val="20"/>
                <w:lang w:eastAsia="nl-NL"/>
              </w:rPr>
            </w:pPr>
            <w:r w:rsidRPr="002D16D8">
              <w:rPr>
                <w:rFonts w:ascii="Arial" w:hAnsi="Arial" w:cs="Arial"/>
                <w:sz w:val="20"/>
                <w:szCs w:val="20"/>
              </w:rPr>
              <w:t>14.00</w:t>
            </w:r>
          </w:p>
        </w:tc>
        <w:tc>
          <w:tcPr>
            <w:tcW w:w="1134" w:type="dxa"/>
            <w:tcBorders>
              <w:top w:val="single" w:sz="4" w:space="0" w:color="auto"/>
              <w:left w:val="single" w:sz="4" w:space="0" w:color="auto"/>
              <w:bottom w:val="single" w:sz="4" w:space="0" w:color="auto"/>
              <w:right w:val="single" w:sz="4" w:space="0" w:color="auto"/>
            </w:tcBorders>
          </w:tcPr>
          <w:p w14:paraId="4321C13A" w14:textId="77777777" w:rsidR="004965E9" w:rsidRPr="002D16D8" w:rsidRDefault="004965E9" w:rsidP="00EF7DCD">
            <w:pPr>
              <w:jc w:val="center"/>
              <w:rPr>
                <w:rFonts w:ascii="Arial" w:hAnsi="Arial" w:cs="Arial"/>
                <w:sz w:val="20"/>
                <w:szCs w:val="20"/>
              </w:rPr>
            </w:pPr>
          </w:p>
          <w:p w14:paraId="00FE9C60" w14:textId="77777777" w:rsidR="004965E9" w:rsidRPr="002D16D8" w:rsidRDefault="004965E9" w:rsidP="00EF7DCD">
            <w:pPr>
              <w:jc w:val="center"/>
              <w:rPr>
                <w:rFonts w:ascii="Arial" w:eastAsia="Times New Roman" w:hAnsi="Arial" w:cs="Arial"/>
                <w:sz w:val="20"/>
                <w:szCs w:val="20"/>
                <w:lang w:eastAsia="nl-NL"/>
              </w:rPr>
            </w:pPr>
            <w:r w:rsidRPr="002D16D8">
              <w:rPr>
                <w:rFonts w:ascii="Arial" w:hAnsi="Arial" w:cs="Arial"/>
                <w:sz w:val="20"/>
                <w:szCs w:val="20"/>
              </w:rPr>
              <w:t>EUR</w:t>
            </w:r>
          </w:p>
        </w:tc>
        <w:tc>
          <w:tcPr>
            <w:tcW w:w="1661" w:type="dxa"/>
            <w:tcBorders>
              <w:top w:val="single" w:sz="4" w:space="0" w:color="auto"/>
              <w:left w:val="single" w:sz="4" w:space="0" w:color="auto"/>
              <w:bottom w:val="single" w:sz="4" w:space="0" w:color="auto"/>
              <w:right w:val="single" w:sz="4" w:space="0" w:color="auto"/>
            </w:tcBorders>
            <w:hideMark/>
          </w:tcPr>
          <w:p w14:paraId="42C1BB3C" w14:textId="77777777" w:rsidR="004965E9" w:rsidRPr="002D16D8" w:rsidRDefault="004965E9" w:rsidP="00EF7DCD">
            <w:pPr>
              <w:jc w:val="center"/>
              <w:rPr>
                <w:rFonts w:ascii="Arial" w:eastAsia="Times New Roman" w:hAnsi="Arial" w:cs="Arial"/>
                <w:sz w:val="20"/>
                <w:szCs w:val="20"/>
                <w:lang w:eastAsia="nl-NL"/>
              </w:rPr>
            </w:pPr>
            <w:r w:rsidRPr="002D16D8">
              <w:rPr>
                <w:rFonts w:ascii="Arial" w:hAnsi="Arial" w:cs="Arial"/>
                <w:sz w:val="20"/>
                <w:szCs w:val="20"/>
              </w:rPr>
              <w:t>Euronext Amsterdam (XAMS)</w:t>
            </w:r>
          </w:p>
        </w:tc>
      </w:tr>
    </w:tbl>
    <w:p w14:paraId="23775764" w14:textId="77777777" w:rsidR="00A54FAB" w:rsidRPr="002D16D8" w:rsidRDefault="00DC4517" w:rsidP="0041267D">
      <w:pPr>
        <w:spacing w:after="0"/>
        <w:rPr>
          <w:rFonts w:ascii="Arial" w:eastAsia="Times New Roman" w:hAnsi="Arial" w:cs="Arial"/>
          <w:bCs/>
          <w:i/>
          <w:sz w:val="20"/>
          <w:szCs w:val="20"/>
          <w:lang w:val="en-GB" w:eastAsia="nl-NL"/>
        </w:rPr>
      </w:pPr>
      <w:r w:rsidRPr="002D16D8">
        <w:rPr>
          <w:rFonts w:ascii="Arial" w:eastAsia="Times New Roman" w:hAnsi="Arial" w:cs="Arial"/>
          <w:bCs/>
          <w:i/>
          <w:sz w:val="20"/>
          <w:szCs w:val="20"/>
          <w:lang w:val="en-GB" w:eastAsia="nl-NL"/>
        </w:rPr>
        <w:t xml:space="preserve"> </w:t>
      </w:r>
    </w:p>
    <w:p w14:paraId="3460604F" w14:textId="77777777" w:rsidR="00A54FAB" w:rsidRPr="002D16D8" w:rsidRDefault="00A54FAB" w:rsidP="0041267D">
      <w:pPr>
        <w:spacing w:after="0"/>
        <w:rPr>
          <w:rFonts w:ascii="Arial" w:eastAsia="Times New Roman" w:hAnsi="Arial" w:cs="Arial"/>
          <w:b/>
          <w:bCs/>
          <w:sz w:val="20"/>
          <w:szCs w:val="20"/>
          <w:lang w:val="en-GB" w:eastAsia="nl-NL"/>
        </w:rPr>
      </w:pPr>
    </w:p>
    <w:p w14:paraId="705B8D63" w14:textId="77777777" w:rsidR="0041267D" w:rsidRPr="002D16D8" w:rsidRDefault="0041267D" w:rsidP="0041267D">
      <w:pPr>
        <w:spacing w:after="0"/>
        <w:rPr>
          <w:rFonts w:ascii="Arial" w:eastAsia="Times New Roman" w:hAnsi="Arial" w:cs="Arial"/>
          <w:sz w:val="20"/>
          <w:szCs w:val="20"/>
          <w:lang w:val="en-GB" w:eastAsia="nl-NL"/>
        </w:rPr>
      </w:pPr>
      <w:r w:rsidRPr="002D16D8">
        <w:rPr>
          <w:rFonts w:ascii="Arial" w:eastAsia="Times New Roman" w:hAnsi="Arial" w:cs="Arial"/>
          <w:b/>
          <w:bCs/>
          <w:sz w:val="20"/>
          <w:szCs w:val="20"/>
          <w:lang w:val="en-GB" w:eastAsia="nl-NL"/>
        </w:rPr>
        <w:t>Underwriters and advisers</w:t>
      </w:r>
    </w:p>
    <w:p w14:paraId="034C153E" w14:textId="77777777" w:rsidR="0041267D" w:rsidRPr="002D16D8" w:rsidRDefault="0041267D" w:rsidP="0041267D">
      <w:pPr>
        <w:rPr>
          <w:rFonts w:ascii="Arial" w:eastAsia="Times New Roman" w:hAnsi="Arial" w:cs="Arial"/>
          <w:sz w:val="20"/>
          <w:szCs w:val="20"/>
          <w:lang w:val="en-GB" w:eastAsia="nl-NL"/>
        </w:rPr>
      </w:pPr>
      <w:proofErr w:type="spellStart"/>
      <w:r w:rsidRPr="002D16D8">
        <w:rPr>
          <w:rFonts w:ascii="Arial" w:eastAsia="Times New Roman" w:hAnsi="Arial" w:cs="Arial"/>
          <w:sz w:val="20"/>
          <w:szCs w:val="20"/>
          <w:lang w:val="en-GB" w:eastAsia="nl-NL"/>
        </w:rPr>
        <w:t>Erste</w:t>
      </w:r>
      <w:proofErr w:type="spellEnd"/>
      <w:r w:rsidRPr="002D16D8">
        <w:rPr>
          <w:rFonts w:ascii="Arial" w:eastAsia="Times New Roman" w:hAnsi="Arial" w:cs="Arial"/>
          <w:sz w:val="20"/>
          <w:szCs w:val="20"/>
          <w:lang w:val="en-GB" w:eastAsia="nl-NL"/>
        </w:rPr>
        <w:t xml:space="preserve"> Group Bank AG (“</w:t>
      </w:r>
      <w:proofErr w:type="spellStart"/>
      <w:r w:rsidRPr="002D16D8">
        <w:rPr>
          <w:rFonts w:ascii="Arial" w:eastAsia="Times New Roman" w:hAnsi="Arial" w:cs="Arial"/>
          <w:sz w:val="20"/>
          <w:szCs w:val="20"/>
          <w:lang w:val="en-GB" w:eastAsia="nl-NL"/>
        </w:rPr>
        <w:t>Erste</w:t>
      </w:r>
      <w:proofErr w:type="spellEnd"/>
      <w:r w:rsidRPr="002D16D8">
        <w:rPr>
          <w:rFonts w:ascii="Arial" w:eastAsia="Times New Roman" w:hAnsi="Arial" w:cs="Arial"/>
          <w:sz w:val="20"/>
          <w:szCs w:val="20"/>
          <w:lang w:val="en-GB" w:eastAsia="nl-NL"/>
        </w:rPr>
        <w:t xml:space="preserve"> Group”), Goldman Sachs Bank Europe SE (“Goldman Sachs”), and Morgan Stanley Europe S.E. (“Morgan Stanley”) </w:t>
      </w:r>
      <w:r w:rsidR="00CE13E7" w:rsidRPr="002D16D8">
        <w:rPr>
          <w:rFonts w:ascii="Arial" w:eastAsia="Times New Roman" w:hAnsi="Arial" w:cs="Arial"/>
          <w:sz w:val="20"/>
          <w:szCs w:val="20"/>
          <w:lang w:val="en-GB" w:eastAsia="nl-NL"/>
        </w:rPr>
        <w:t>acted</w:t>
      </w:r>
      <w:r w:rsidRPr="002D16D8">
        <w:rPr>
          <w:rFonts w:ascii="Arial" w:eastAsia="Times New Roman" w:hAnsi="Arial" w:cs="Arial"/>
          <w:sz w:val="20"/>
          <w:szCs w:val="20"/>
          <w:lang w:val="en-GB" w:eastAsia="nl-NL"/>
        </w:rPr>
        <w:t xml:space="preserve"> as joint global coordinators (in such and any other capacity, the “Joint Global Coordinators”. Van </w:t>
      </w:r>
      <w:proofErr w:type="spellStart"/>
      <w:r w:rsidRPr="002D16D8">
        <w:rPr>
          <w:rFonts w:ascii="Arial" w:eastAsia="Times New Roman" w:hAnsi="Arial" w:cs="Arial"/>
          <w:sz w:val="20"/>
          <w:szCs w:val="20"/>
          <w:lang w:val="en-GB" w:eastAsia="nl-NL"/>
        </w:rPr>
        <w:t>Lanschot</w:t>
      </w:r>
      <w:proofErr w:type="spellEnd"/>
      <w:r w:rsidRPr="002D16D8">
        <w:rPr>
          <w:rFonts w:ascii="Arial" w:eastAsia="Times New Roman" w:hAnsi="Arial" w:cs="Arial"/>
          <w:sz w:val="20"/>
          <w:szCs w:val="20"/>
          <w:lang w:val="en-GB" w:eastAsia="nl-NL"/>
        </w:rPr>
        <w:t xml:space="preserve"> Kempen Wealth Management N.V. (“Kempen &amp; Co”) and UBS AG London Branch (“UBS”) operate</w:t>
      </w:r>
      <w:r w:rsidR="00CE13E7" w:rsidRPr="002D16D8">
        <w:rPr>
          <w:rFonts w:ascii="Arial" w:eastAsia="Times New Roman" w:hAnsi="Arial" w:cs="Arial"/>
          <w:sz w:val="20"/>
          <w:szCs w:val="20"/>
          <w:lang w:val="en-GB" w:eastAsia="nl-NL"/>
        </w:rPr>
        <w:t>d</w:t>
      </w:r>
      <w:r w:rsidRPr="002D16D8">
        <w:rPr>
          <w:rFonts w:ascii="Arial" w:eastAsia="Times New Roman" w:hAnsi="Arial" w:cs="Arial"/>
          <w:sz w:val="20"/>
          <w:szCs w:val="20"/>
          <w:lang w:val="en-GB" w:eastAsia="nl-NL"/>
        </w:rPr>
        <w:t xml:space="preserve"> as joint bookrunners for the Offer, together the “Joint Bookrunners”. ING Bank N.V. (“ING”) and Raiffeisen Bank International AG (“Raiffeisen”) </w:t>
      </w:r>
      <w:r w:rsidR="00CE13E7" w:rsidRPr="002D16D8">
        <w:rPr>
          <w:rFonts w:ascii="Arial" w:eastAsia="Times New Roman" w:hAnsi="Arial" w:cs="Arial"/>
          <w:sz w:val="20"/>
          <w:szCs w:val="20"/>
          <w:lang w:val="en-GB" w:eastAsia="nl-NL"/>
        </w:rPr>
        <w:t>acted</w:t>
      </w:r>
      <w:r w:rsidRPr="002D16D8">
        <w:rPr>
          <w:rFonts w:ascii="Arial" w:eastAsia="Times New Roman" w:hAnsi="Arial" w:cs="Arial"/>
          <w:sz w:val="20"/>
          <w:szCs w:val="20"/>
          <w:lang w:val="en-GB" w:eastAsia="nl-NL"/>
        </w:rPr>
        <w:t xml:space="preserve"> as joint lead managers (together, the “Joint Lead Managers”, and together with the Joint Global Coordinators and the Joint Bookrunners, the “Underwriters”) for the Offer. </w:t>
      </w:r>
    </w:p>
    <w:p w14:paraId="18D78BD2" w14:textId="77777777" w:rsidR="0041267D" w:rsidRPr="002D16D8" w:rsidRDefault="0041267D" w:rsidP="0041267D">
      <w:pPr>
        <w:spacing w:after="0"/>
        <w:rPr>
          <w:rFonts w:ascii="Arial" w:eastAsia="Times New Roman" w:hAnsi="Arial" w:cs="Arial"/>
          <w:sz w:val="20"/>
          <w:szCs w:val="20"/>
          <w:lang w:val="en-GB" w:eastAsia="nl-NL"/>
        </w:rPr>
      </w:pPr>
      <w:r w:rsidRPr="002D16D8">
        <w:rPr>
          <w:rFonts w:ascii="Arial" w:hAnsi="Arial" w:cs="Arial"/>
          <w:sz w:val="20"/>
          <w:szCs w:val="20"/>
          <w:lang w:val="en-GB"/>
        </w:rPr>
        <w:t xml:space="preserve">Morgan Stanley </w:t>
      </w:r>
      <w:r w:rsidR="00CE13E7" w:rsidRPr="002D16D8">
        <w:rPr>
          <w:rFonts w:ascii="Arial" w:eastAsia="Times New Roman" w:hAnsi="Arial" w:cs="Arial"/>
          <w:sz w:val="20"/>
          <w:szCs w:val="20"/>
          <w:lang w:val="en-GB" w:eastAsia="nl-NL"/>
        </w:rPr>
        <w:t>acted</w:t>
      </w:r>
      <w:r w:rsidRPr="002D16D8">
        <w:rPr>
          <w:rFonts w:ascii="Arial" w:eastAsia="Times New Roman" w:hAnsi="Arial" w:cs="Arial"/>
          <w:sz w:val="20"/>
          <w:szCs w:val="20"/>
          <w:lang w:val="en-GB" w:eastAsia="nl-NL"/>
        </w:rPr>
        <w:t xml:space="preserve"> as Stabilisation Manager on behalf of the Underwriters. N.M. Rothschild &amp; Sons Limited (“Rothschild &amp; Co”) </w:t>
      </w:r>
      <w:r w:rsidR="00CE13E7" w:rsidRPr="002D16D8">
        <w:rPr>
          <w:rFonts w:ascii="Arial" w:eastAsia="Times New Roman" w:hAnsi="Arial" w:cs="Arial"/>
          <w:sz w:val="20"/>
          <w:szCs w:val="20"/>
          <w:lang w:val="en-GB" w:eastAsia="nl-NL"/>
        </w:rPr>
        <w:t>acted</w:t>
      </w:r>
      <w:r w:rsidRPr="002D16D8">
        <w:rPr>
          <w:rFonts w:ascii="Arial" w:eastAsia="Times New Roman" w:hAnsi="Arial" w:cs="Arial"/>
          <w:sz w:val="20"/>
          <w:szCs w:val="20"/>
          <w:lang w:val="en-GB" w:eastAsia="nl-NL"/>
        </w:rPr>
        <w:t xml:space="preserve"> as the financial adviser for the Offer (the “Financial Adviser”).</w:t>
      </w:r>
    </w:p>
    <w:p w14:paraId="201BB5C9" w14:textId="77777777" w:rsidR="003527F1" w:rsidRPr="002D16D8" w:rsidRDefault="003527F1" w:rsidP="003527F1">
      <w:pPr>
        <w:shd w:val="clear" w:color="auto" w:fill="FFFFFF"/>
        <w:spacing w:after="0" w:line="240" w:lineRule="auto"/>
        <w:rPr>
          <w:rFonts w:ascii="Arial" w:eastAsia="Times New Roman" w:hAnsi="Arial" w:cs="Arial"/>
          <w:sz w:val="20"/>
          <w:szCs w:val="20"/>
          <w:lang w:val="en-GB" w:eastAsia="nl-NL"/>
        </w:rPr>
      </w:pPr>
    </w:p>
    <w:p w14:paraId="621996DE" w14:textId="77777777" w:rsidR="0079556D" w:rsidRPr="002D16D8" w:rsidRDefault="0079556D" w:rsidP="0079556D">
      <w:pPr>
        <w:spacing w:line="240" w:lineRule="auto"/>
        <w:rPr>
          <w:rFonts w:ascii="Arial" w:eastAsia="Times New Roman" w:hAnsi="Arial" w:cs="Arial"/>
          <w:sz w:val="20"/>
          <w:szCs w:val="20"/>
          <w:lang w:val="en-GB" w:eastAsia="nl-NL"/>
        </w:rPr>
      </w:pPr>
      <w:r w:rsidRPr="002D16D8">
        <w:rPr>
          <w:rFonts w:ascii="Arial" w:eastAsia="Times New Roman" w:hAnsi="Arial" w:cs="Arial"/>
          <w:sz w:val="20"/>
          <w:szCs w:val="20"/>
          <w:lang w:val="en-GB" w:eastAsia="nl-NL"/>
        </w:rPr>
        <w:t>For more information about CTP and the Offer</w:t>
      </w:r>
      <w:r w:rsidR="00B13B35" w:rsidRPr="002D16D8">
        <w:rPr>
          <w:rFonts w:ascii="Arial" w:eastAsia="Times New Roman" w:hAnsi="Arial" w:cs="Arial"/>
          <w:sz w:val="20"/>
          <w:szCs w:val="20"/>
          <w:lang w:val="en-GB" w:eastAsia="nl-NL"/>
        </w:rPr>
        <w:t>,</w:t>
      </w:r>
      <w:r w:rsidRPr="002D16D8">
        <w:rPr>
          <w:rFonts w:ascii="Arial" w:eastAsia="Times New Roman" w:hAnsi="Arial" w:cs="Arial"/>
          <w:sz w:val="20"/>
          <w:szCs w:val="20"/>
          <w:lang w:val="en-GB" w:eastAsia="nl-NL"/>
        </w:rPr>
        <w:t xml:space="preserve"> reference is made to the prospectus dated 17 March 2021. The prospectus is available electronically via the CTP website</w:t>
      </w:r>
      <w:r w:rsidR="00B13B35" w:rsidRPr="002D16D8">
        <w:rPr>
          <w:rFonts w:ascii="Times New Roman" w:hAnsi="Times New Roman" w:cs="Times New Roman"/>
          <w:color w:val="000000"/>
          <w:sz w:val="18"/>
          <w:szCs w:val="18"/>
          <w:lang w:val="en-GB"/>
        </w:rPr>
        <w:t xml:space="preserve"> </w:t>
      </w:r>
      <w:r w:rsidR="00B13B35" w:rsidRPr="002D16D8">
        <w:rPr>
          <w:rFonts w:ascii="Arial" w:eastAsia="Times New Roman" w:hAnsi="Arial" w:cs="Arial"/>
          <w:sz w:val="20"/>
          <w:szCs w:val="20"/>
          <w:lang w:val="en-GB" w:eastAsia="nl-NL"/>
        </w:rPr>
        <w:t>in the section IPO Documentation: https://www.ctp.eu/investors/ipo-documentation/</w:t>
      </w:r>
      <w:r w:rsidRPr="002D16D8">
        <w:rPr>
          <w:rFonts w:ascii="Arial" w:eastAsia="Times New Roman" w:hAnsi="Arial" w:cs="Arial"/>
          <w:sz w:val="20"/>
          <w:szCs w:val="20"/>
          <w:lang w:val="en-GB" w:eastAsia="nl-NL"/>
        </w:rPr>
        <w:t>.</w:t>
      </w:r>
    </w:p>
    <w:p w14:paraId="0ABD9AFE" w14:textId="77777777" w:rsidR="0079556D" w:rsidRPr="002D16D8" w:rsidRDefault="0079556D" w:rsidP="0079556D">
      <w:pPr>
        <w:spacing w:after="0"/>
        <w:rPr>
          <w:rFonts w:ascii="Arial" w:eastAsia="Times New Roman" w:hAnsi="Arial" w:cs="Arial"/>
          <w:b/>
          <w:bCs/>
          <w:sz w:val="20"/>
          <w:szCs w:val="20"/>
          <w:lang w:val="en-GB" w:eastAsia="nl-NL"/>
        </w:rPr>
      </w:pPr>
    </w:p>
    <w:p w14:paraId="26EFBBAC" w14:textId="77777777" w:rsidR="001F2B76" w:rsidRPr="002D16D8" w:rsidRDefault="001F2B76" w:rsidP="00662726">
      <w:pPr>
        <w:pStyle w:val="Normaalweb"/>
        <w:shd w:val="clear" w:color="auto" w:fill="FFFFFF"/>
        <w:spacing w:before="0" w:beforeAutospacing="0" w:after="0" w:afterAutospacing="0"/>
        <w:rPr>
          <w:rFonts w:ascii="Arial" w:hAnsi="Arial" w:cs="Arial"/>
          <w:b/>
          <w:bCs/>
          <w:sz w:val="20"/>
          <w:szCs w:val="20"/>
          <w:lang w:val="en-GB"/>
        </w:rPr>
      </w:pPr>
    </w:p>
    <w:p w14:paraId="55FF6E34" w14:textId="77777777" w:rsidR="00053F51" w:rsidRPr="002D16D8" w:rsidRDefault="00053F51" w:rsidP="00053F51">
      <w:pPr>
        <w:spacing w:line="240" w:lineRule="auto"/>
        <w:rPr>
          <w:rFonts w:ascii="Arial" w:hAnsi="Arial"/>
          <w:b/>
          <w:bCs/>
          <w:sz w:val="20"/>
          <w:u w:val="single"/>
          <w:lang w:val="en-GB"/>
        </w:rPr>
      </w:pPr>
      <w:r w:rsidRPr="002D16D8">
        <w:rPr>
          <w:rFonts w:ascii="Arial" w:hAnsi="Arial" w:cs="Arial"/>
          <w:b/>
          <w:bCs/>
          <w:sz w:val="20"/>
          <w:szCs w:val="20"/>
          <w:u w:val="single"/>
          <w:lang w:val="en-GB"/>
        </w:rPr>
        <w:t>CONTACT DETAILS</w:t>
      </w:r>
    </w:p>
    <w:p w14:paraId="4333ADFD" w14:textId="77777777" w:rsidR="00053F51" w:rsidRPr="002D16D8" w:rsidRDefault="00053F51" w:rsidP="00053F51">
      <w:pPr>
        <w:spacing w:after="0" w:line="240" w:lineRule="auto"/>
        <w:rPr>
          <w:rFonts w:ascii="Arial" w:hAnsi="Arial" w:cs="Arial"/>
          <w:sz w:val="20"/>
          <w:szCs w:val="20"/>
          <w:lang w:val="en-GB"/>
        </w:rPr>
      </w:pPr>
      <w:r w:rsidRPr="002D16D8">
        <w:rPr>
          <w:rFonts w:ascii="Arial" w:hAnsi="Arial" w:cs="Arial"/>
          <w:sz w:val="20"/>
          <w:szCs w:val="20"/>
          <w:lang w:val="en-GB"/>
        </w:rPr>
        <w:t>CTP:</w:t>
      </w:r>
    </w:p>
    <w:p w14:paraId="30A6885F" w14:textId="77777777" w:rsidR="00053F51" w:rsidRPr="002D16D8" w:rsidRDefault="00053F51" w:rsidP="00053F51">
      <w:pPr>
        <w:spacing w:after="0" w:line="240" w:lineRule="auto"/>
        <w:rPr>
          <w:rFonts w:ascii="Arial" w:hAnsi="Arial" w:cs="Arial"/>
          <w:sz w:val="20"/>
          <w:szCs w:val="20"/>
          <w:lang w:val="en-GB"/>
        </w:rPr>
      </w:pPr>
      <w:r w:rsidRPr="002D16D8">
        <w:rPr>
          <w:rFonts w:ascii="Arial" w:hAnsi="Arial" w:cs="Arial"/>
          <w:sz w:val="20"/>
          <w:szCs w:val="20"/>
          <w:lang w:val="en-GB"/>
        </w:rPr>
        <w:t>Jan-Evert Post, Head of Funding &amp; Investor Relations</w:t>
      </w:r>
    </w:p>
    <w:p w14:paraId="7FCA6698" w14:textId="77777777" w:rsidR="00053F51" w:rsidRPr="002D16D8" w:rsidRDefault="00053F51" w:rsidP="00053F51">
      <w:pPr>
        <w:spacing w:after="0" w:line="240" w:lineRule="auto"/>
        <w:rPr>
          <w:rFonts w:ascii="Arial" w:hAnsi="Arial" w:cs="Arial"/>
          <w:sz w:val="20"/>
          <w:szCs w:val="20"/>
          <w:lang w:val="fr-FR"/>
        </w:rPr>
      </w:pPr>
      <w:r w:rsidRPr="002D16D8">
        <w:rPr>
          <w:rFonts w:ascii="Arial" w:hAnsi="Arial" w:cs="Arial"/>
          <w:sz w:val="20"/>
          <w:szCs w:val="20"/>
          <w:lang w:val="fr-FR"/>
        </w:rPr>
        <w:t xml:space="preserve">Mobile: +31 615 038 729 </w:t>
      </w:r>
    </w:p>
    <w:p w14:paraId="12CEDD5E" w14:textId="77777777" w:rsidR="00053F51" w:rsidRPr="002D16D8" w:rsidRDefault="00053F51" w:rsidP="00053F51">
      <w:pPr>
        <w:spacing w:line="240" w:lineRule="auto"/>
        <w:rPr>
          <w:rFonts w:ascii="Arial" w:hAnsi="Arial" w:cs="Arial"/>
          <w:sz w:val="20"/>
          <w:szCs w:val="20"/>
          <w:lang w:val="fr-FR"/>
        </w:rPr>
      </w:pPr>
      <w:r w:rsidRPr="002D16D8">
        <w:rPr>
          <w:rFonts w:ascii="Arial" w:hAnsi="Arial" w:cs="Arial"/>
          <w:sz w:val="20"/>
          <w:szCs w:val="20"/>
          <w:lang w:val="fr-FR"/>
        </w:rPr>
        <w:t xml:space="preserve">Email: </w:t>
      </w:r>
      <w:r w:rsidR="008850AB" w:rsidRPr="002D16D8">
        <w:rPr>
          <w:rFonts w:ascii="Arial" w:hAnsi="Arial" w:cs="Arial"/>
          <w:sz w:val="20"/>
          <w:szCs w:val="20"/>
          <w:lang w:val="fr-FR"/>
        </w:rPr>
        <w:t>jan.evert.post@ctp.eu</w:t>
      </w:r>
    </w:p>
    <w:p w14:paraId="250F1446" w14:textId="77777777" w:rsidR="00053F51" w:rsidRPr="002D16D8" w:rsidRDefault="00053F51" w:rsidP="00053F51">
      <w:pPr>
        <w:spacing w:after="0" w:line="240" w:lineRule="auto"/>
        <w:rPr>
          <w:rFonts w:ascii="Arial" w:hAnsi="Arial" w:cs="Arial"/>
          <w:sz w:val="20"/>
          <w:szCs w:val="20"/>
          <w:lang w:val="en-GB"/>
        </w:rPr>
      </w:pPr>
      <w:r w:rsidRPr="002D16D8">
        <w:rPr>
          <w:rFonts w:ascii="Arial" w:hAnsi="Arial" w:cs="Arial"/>
          <w:sz w:val="20"/>
          <w:szCs w:val="20"/>
          <w:lang w:val="en-GB"/>
        </w:rPr>
        <w:t>Dušan Benža, Group Head of Marketing</w:t>
      </w:r>
    </w:p>
    <w:p w14:paraId="4E8992F3" w14:textId="77777777" w:rsidR="00053F51" w:rsidRPr="002D16D8" w:rsidRDefault="00053F51" w:rsidP="00053F51">
      <w:pPr>
        <w:spacing w:after="0" w:line="240" w:lineRule="auto"/>
        <w:rPr>
          <w:rFonts w:ascii="Arial" w:hAnsi="Arial" w:cs="Arial"/>
          <w:sz w:val="20"/>
          <w:szCs w:val="20"/>
          <w:lang w:val="en-GB"/>
        </w:rPr>
      </w:pPr>
      <w:r w:rsidRPr="002D16D8">
        <w:rPr>
          <w:rFonts w:ascii="Arial" w:hAnsi="Arial" w:cs="Arial"/>
          <w:sz w:val="20"/>
          <w:szCs w:val="20"/>
          <w:lang w:val="en-GB"/>
        </w:rPr>
        <w:t xml:space="preserve">Mobile: +420 777 445 666 | Office: +420 777 445 666 </w:t>
      </w:r>
    </w:p>
    <w:p w14:paraId="0ED76619" w14:textId="77777777" w:rsidR="00053F51" w:rsidRPr="002D16D8" w:rsidRDefault="00053F51" w:rsidP="00053F51">
      <w:pPr>
        <w:spacing w:after="0" w:line="240" w:lineRule="auto"/>
        <w:rPr>
          <w:rFonts w:ascii="Arial" w:hAnsi="Arial" w:cs="Arial"/>
          <w:sz w:val="20"/>
          <w:szCs w:val="20"/>
          <w:lang w:val="en-GB"/>
        </w:rPr>
      </w:pPr>
      <w:r w:rsidRPr="002D16D8">
        <w:rPr>
          <w:rFonts w:ascii="Arial" w:hAnsi="Arial" w:cs="Arial"/>
          <w:sz w:val="20"/>
          <w:szCs w:val="20"/>
          <w:lang w:val="en-GB"/>
        </w:rPr>
        <w:t>Email: dusan.benza@ctp.eu</w:t>
      </w:r>
    </w:p>
    <w:p w14:paraId="78747D2F" w14:textId="77777777" w:rsidR="00053F51" w:rsidRPr="002D16D8" w:rsidRDefault="00053F51" w:rsidP="00053F51">
      <w:pPr>
        <w:spacing w:after="0" w:line="240" w:lineRule="auto"/>
        <w:rPr>
          <w:rFonts w:ascii="Arial" w:hAnsi="Arial" w:cs="Arial"/>
          <w:sz w:val="20"/>
          <w:szCs w:val="20"/>
          <w:lang w:val="en-GB"/>
        </w:rPr>
      </w:pPr>
    </w:p>
    <w:p w14:paraId="27F36571" w14:textId="77777777" w:rsidR="00053F51" w:rsidRPr="002D16D8" w:rsidRDefault="00053F51" w:rsidP="00053F51">
      <w:pPr>
        <w:spacing w:after="0" w:line="240" w:lineRule="auto"/>
        <w:rPr>
          <w:rFonts w:ascii="Arial" w:hAnsi="Arial" w:cs="Arial"/>
          <w:sz w:val="20"/>
          <w:szCs w:val="20"/>
          <w:lang w:val="en-GB"/>
        </w:rPr>
      </w:pPr>
      <w:proofErr w:type="spellStart"/>
      <w:r w:rsidRPr="002D16D8">
        <w:rPr>
          <w:rFonts w:ascii="Arial" w:hAnsi="Arial" w:cs="Arial"/>
          <w:sz w:val="20"/>
          <w:szCs w:val="20"/>
          <w:lang w:val="en-GB"/>
        </w:rPr>
        <w:t>Quadrio</w:t>
      </w:r>
      <w:proofErr w:type="spellEnd"/>
      <w:r w:rsidRPr="002D16D8">
        <w:rPr>
          <w:rFonts w:ascii="Arial" w:hAnsi="Arial" w:cs="Arial"/>
          <w:sz w:val="20"/>
          <w:szCs w:val="20"/>
          <w:lang w:val="en-GB"/>
        </w:rPr>
        <w:t xml:space="preserve"> Office | www.ctpark.eu | www.CTP.eu</w:t>
      </w:r>
    </w:p>
    <w:p w14:paraId="3F877326" w14:textId="77777777" w:rsidR="00053F51" w:rsidRPr="002D16D8" w:rsidRDefault="00053F51" w:rsidP="00053F51">
      <w:pPr>
        <w:spacing w:after="0" w:line="240" w:lineRule="auto"/>
        <w:rPr>
          <w:rFonts w:ascii="Arial" w:hAnsi="Arial" w:cs="Arial"/>
          <w:sz w:val="20"/>
          <w:szCs w:val="20"/>
          <w:lang w:val="en-GB"/>
        </w:rPr>
      </w:pPr>
      <w:proofErr w:type="spellStart"/>
      <w:r w:rsidRPr="002D16D8">
        <w:rPr>
          <w:rFonts w:ascii="Arial" w:hAnsi="Arial" w:cs="Arial"/>
          <w:sz w:val="20"/>
          <w:szCs w:val="20"/>
          <w:lang w:val="en-GB"/>
        </w:rPr>
        <w:t>Purkyňova</w:t>
      </w:r>
      <w:proofErr w:type="spellEnd"/>
      <w:r w:rsidRPr="002D16D8">
        <w:rPr>
          <w:rFonts w:ascii="Arial" w:hAnsi="Arial" w:cs="Arial"/>
          <w:sz w:val="20"/>
          <w:szCs w:val="20"/>
          <w:lang w:val="en-GB"/>
        </w:rPr>
        <w:t xml:space="preserve"> 2121/3, Praha, CZ</w:t>
      </w:r>
    </w:p>
    <w:p w14:paraId="4A593D24" w14:textId="77777777" w:rsidR="00053F51" w:rsidRPr="002D16D8" w:rsidRDefault="00053F51" w:rsidP="00053F51">
      <w:pPr>
        <w:spacing w:after="0" w:line="240" w:lineRule="auto"/>
        <w:rPr>
          <w:rFonts w:ascii="Arial" w:hAnsi="Arial" w:cs="Arial"/>
          <w:sz w:val="20"/>
          <w:szCs w:val="20"/>
          <w:lang w:val="en-GB"/>
        </w:rPr>
      </w:pPr>
    </w:p>
    <w:p w14:paraId="5C8B5ABA" w14:textId="77777777" w:rsidR="00053F51" w:rsidRPr="002D16D8" w:rsidRDefault="00053F51" w:rsidP="00053F51">
      <w:pPr>
        <w:spacing w:after="0" w:line="240" w:lineRule="auto"/>
        <w:rPr>
          <w:rFonts w:ascii="Arial" w:hAnsi="Arial" w:cs="Arial"/>
          <w:sz w:val="20"/>
          <w:szCs w:val="20"/>
          <w:lang w:val="en-GB"/>
        </w:rPr>
      </w:pPr>
      <w:r w:rsidRPr="002D16D8">
        <w:rPr>
          <w:rFonts w:ascii="Arial" w:hAnsi="Arial" w:cs="Arial"/>
          <w:sz w:val="20"/>
          <w:szCs w:val="20"/>
          <w:lang w:val="en-GB"/>
        </w:rPr>
        <w:t>PR agency: CFF Communications</w:t>
      </w:r>
    </w:p>
    <w:p w14:paraId="69248ACD" w14:textId="77777777" w:rsidR="00053F51" w:rsidRPr="00430770" w:rsidRDefault="00053F51" w:rsidP="00053F51">
      <w:pPr>
        <w:spacing w:after="0" w:line="240" w:lineRule="auto"/>
        <w:rPr>
          <w:rFonts w:ascii="Arial" w:hAnsi="Arial" w:cs="Arial"/>
          <w:sz w:val="20"/>
          <w:szCs w:val="20"/>
          <w:lang w:val="en-GB"/>
        </w:rPr>
      </w:pPr>
      <w:r w:rsidRPr="00430770">
        <w:rPr>
          <w:rFonts w:ascii="Arial" w:hAnsi="Arial" w:cs="Arial"/>
          <w:sz w:val="20"/>
          <w:szCs w:val="20"/>
          <w:lang w:val="en-GB"/>
        </w:rPr>
        <w:t>Uneke Dekkers + 31 (0)6 50 261 626 / Ruben Cardol + 31 (0)6 55 358 427</w:t>
      </w:r>
    </w:p>
    <w:p w14:paraId="39EDD6A1" w14:textId="77777777" w:rsidR="00053F51" w:rsidRPr="00430770" w:rsidRDefault="00053F51" w:rsidP="00053F51">
      <w:pPr>
        <w:spacing w:after="0" w:line="240" w:lineRule="auto"/>
        <w:rPr>
          <w:rFonts w:ascii="Arial" w:hAnsi="Arial" w:cs="Arial"/>
          <w:sz w:val="20"/>
          <w:szCs w:val="20"/>
          <w:lang w:val="en-GB"/>
        </w:rPr>
      </w:pPr>
      <w:r w:rsidRPr="00430770">
        <w:rPr>
          <w:rFonts w:ascii="Arial" w:hAnsi="Arial" w:cs="Arial"/>
          <w:sz w:val="20"/>
          <w:szCs w:val="20"/>
          <w:lang w:val="en-GB"/>
        </w:rPr>
        <w:t>Email: CTP@cffcommunications.nl</w:t>
      </w:r>
    </w:p>
    <w:p w14:paraId="744FB780" w14:textId="77777777" w:rsidR="00053F51" w:rsidRPr="00430770" w:rsidRDefault="00053F51" w:rsidP="00053F51">
      <w:pPr>
        <w:spacing w:after="0" w:line="240" w:lineRule="auto"/>
        <w:rPr>
          <w:rFonts w:ascii="Arial" w:hAnsi="Arial" w:cs="Arial"/>
          <w:sz w:val="20"/>
          <w:szCs w:val="20"/>
          <w:lang w:val="en-GB"/>
        </w:rPr>
      </w:pPr>
    </w:p>
    <w:p w14:paraId="313FA19C" w14:textId="77777777" w:rsidR="00053F51" w:rsidRPr="002D16D8" w:rsidRDefault="00053F51" w:rsidP="00053F51">
      <w:pPr>
        <w:spacing w:line="240" w:lineRule="auto"/>
        <w:rPr>
          <w:rFonts w:ascii="Arial" w:hAnsi="Arial" w:cs="Arial"/>
          <w:sz w:val="20"/>
          <w:szCs w:val="20"/>
          <w:lang w:val="en-GB"/>
        </w:rPr>
      </w:pPr>
      <w:r w:rsidRPr="002D16D8">
        <w:rPr>
          <w:rFonts w:ascii="Arial" w:hAnsi="Arial" w:cs="Arial"/>
          <w:sz w:val="20"/>
          <w:szCs w:val="20"/>
          <w:lang w:val="en-GB"/>
        </w:rPr>
        <w:t xml:space="preserve">Visit our corporate website: www.ctp.eu </w:t>
      </w:r>
      <w:r w:rsidRPr="002D16D8">
        <w:rPr>
          <w:rFonts w:ascii="Arial" w:hAnsi="Arial" w:cs="Arial"/>
          <w:sz w:val="20"/>
          <w:szCs w:val="20"/>
          <w:lang w:val="en-GB"/>
        </w:rPr>
        <w:br/>
        <w:t>For press images: Please visit the press section on our website</w:t>
      </w:r>
      <w:r w:rsidRPr="002D16D8" w:rsidDel="003E3E8F">
        <w:rPr>
          <w:rFonts w:ascii="Arial" w:hAnsi="Arial" w:cs="Arial"/>
          <w:sz w:val="20"/>
          <w:szCs w:val="20"/>
          <w:lang w:val="en-GB"/>
        </w:rPr>
        <w:t xml:space="preserve"> </w:t>
      </w:r>
      <w:r w:rsidRPr="002D16D8">
        <w:rPr>
          <w:rFonts w:ascii="Arial" w:hAnsi="Arial" w:cs="Arial"/>
          <w:sz w:val="20"/>
          <w:szCs w:val="20"/>
          <w:lang w:val="en-GB"/>
        </w:rPr>
        <w:t xml:space="preserve"> </w:t>
      </w:r>
    </w:p>
    <w:p w14:paraId="7127BE1A" w14:textId="77777777" w:rsidR="00401121" w:rsidRPr="002D16D8" w:rsidRDefault="00401121" w:rsidP="00053F51">
      <w:pPr>
        <w:spacing w:line="240" w:lineRule="auto"/>
        <w:rPr>
          <w:rFonts w:ascii="Arial" w:hAnsi="Arial" w:cs="Arial"/>
          <w:sz w:val="20"/>
          <w:szCs w:val="20"/>
          <w:lang w:val="en-GB"/>
        </w:rPr>
      </w:pPr>
    </w:p>
    <w:p w14:paraId="1CB4E2E2" w14:textId="77777777" w:rsidR="00CC352C" w:rsidRPr="002D16D8" w:rsidRDefault="00CC352C" w:rsidP="00CC352C">
      <w:pPr>
        <w:spacing w:line="240" w:lineRule="auto"/>
        <w:jc w:val="both"/>
        <w:rPr>
          <w:rFonts w:ascii="Arial" w:hAnsi="Arial" w:cs="Arial"/>
          <w:sz w:val="18"/>
          <w:szCs w:val="18"/>
          <w:lang w:val="en-GB"/>
        </w:rPr>
      </w:pPr>
      <w:r w:rsidRPr="002D16D8">
        <w:rPr>
          <w:rFonts w:ascii="Arial" w:hAnsi="Arial" w:cs="Arial"/>
          <w:sz w:val="18"/>
          <w:szCs w:val="18"/>
          <w:lang w:val="en-GB"/>
        </w:rPr>
        <w:t>DISCLAIMER</w:t>
      </w:r>
    </w:p>
    <w:p w14:paraId="6270C041" w14:textId="77777777" w:rsidR="00CC352C" w:rsidRPr="002D16D8" w:rsidRDefault="00CC352C" w:rsidP="00CC352C">
      <w:pPr>
        <w:spacing w:line="240" w:lineRule="auto"/>
        <w:jc w:val="both"/>
        <w:rPr>
          <w:rFonts w:ascii="Arial" w:hAnsi="Arial" w:cs="Arial"/>
          <w:sz w:val="18"/>
          <w:szCs w:val="18"/>
          <w:lang w:val="en-GB"/>
        </w:rPr>
      </w:pPr>
      <w:r w:rsidRPr="002D16D8">
        <w:rPr>
          <w:rFonts w:ascii="Arial" w:hAnsi="Arial" w:cs="Arial"/>
          <w:sz w:val="18"/>
          <w:szCs w:val="18"/>
          <w:lang w:val="en-GB"/>
        </w:rPr>
        <w:t xml:space="preserve">This announcement may include statements which may be deemed to be, "forward-looking statements". These forward-looking statements may be identified by the use of forward-looking terminology, including the terms "believes", "estimates", "plans", "projects", "anticipates", "expects", "intends", "targets", "may", "aims", "likely", "would", "could", "can have", "will" or "should" or, in each case, their negative or other variations or comparable terminology. Forward-looking statements may and often do differ materially from actual results. As a result, undue influence should not be placed on any forward-looking </w:t>
      </w:r>
      <w:r w:rsidRPr="002D16D8">
        <w:rPr>
          <w:rFonts w:ascii="Arial" w:hAnsi="Arial" w:cs="Arial"/>
          <w:sz w:val="18"/>
          <w:szCs w:val="18"/>
          <w:lang w:val="en-GB"/>
        </w:rPr>
        <w:lastRenderedPageBreak/>
        <w:t>statement. No statement in this announcement is intended to be nor may be construed as a profit forecast. Forward-looking statements speak only as of the date they are made.</w:t>
      </w:r>
    </w:p>
    <w:p w14:paraId="1A8C7ABF" w14:textId="77777777" w:rsidR="00CC352C" w:rsidRPr="002D16D8" w:rsidRDefault="00CC352C" w:rsidP="00CC352C">
      <w:pPr>
        <w:spacing w:line="240" w:lineRule="auto"/>
        <w:jc w:val="both"/>
        <w:rPr>
          <w:rFonts w:ascii="Arial" w:hAnsi="Arial" w:cs="Arial"/>
          <w:sz w:val="18"/>
          <w:szCs w:val="18"/>
          <w:lang w:val="en-GB"/>
        </w:rPr>
      </w:pPr>
      <w:r w:rsidRPr="002D16D8">
        <w:rPr>
          <w:rFonts w:ascii="Arial" w:hAnsi="Arial" w:cs="Arial"/>
          <w:sz w:val="18"/>
          <w:szCs w:val="18"/>
          <w:lang w:val="en-GB"/>
        </w:rPr>
        <w:t>This announcement</w:t>
      </w:r>
      <w:r w:rsidRPr="002D16D8">
        <w:rPr>
          <w:sz w:val="18"/>
          <w:szCs w:val="18"/>
          <w:lang w:val="en-GB"/>
        </w:rPr>
        <w:t xml:space="preserve"> </w:t>
      </w:r>
      <w:r w:rsidRPr="002D16D8">
        <w:rPr>
          <w:rFonts w:ascii="Arial" w:hAnsi="Arial" w:cs="Arial"/>
          <w:sz w:val="18"/>
          <w:szCs w:val="18"/>
          <w:lang w:val="en-GB"/>
        </w:rPr>
        <w:t xml:space="preserve">is not an offer to sell or a solicitation of any offer to buy any securities issued by the Company and this announcement is not being made in and copies of it may not be distributed or sent into the United States, Australia, Japan, or any other jurisdiction in which the making or distribution of the announcement would be prohibited or restricted. </w:t>
      </w:r>
    </w:p>
    <w:p w14:paraId="31AEAD75" w14:textId="77777777" w:rsidR="00CC352C" w:rsidRPr="002D16D8" w:rsidRDefault="00CC352C" w:rsidP="00CC352C">
      <w:pPr>
        <w:spacing w:line="240" w:lineRule="auto"/>
        <w:jc w:val="both"/>
        <w:rPr>
          <w:rFonts w:ascii="Arial" w:hAnsi="Arial" w:cs="Arial"/>
          <w:sz w:val="18"/>
          <w:szCs w:val="18"/>
          <w:lang w:val="en-GB"/>
        </w:rPr>
      </w:pPr>
      <w:r w:rsidRPr="002D16D8">
        <w:rPr>
          <w:rFonts w:ascii="Arial" w:hAnsi="Arial" w:cs="Arial"/>
          <w:sz w:val="18"/>
          <w:szCs w:val="18"/>
          <w:lang w:val="en-GB"/>
        </w:rPr>
        <w:t xml:space="preserve">The securities referred to herein may not be sold in the United States absent registration or an exemption from registration under the U.S. Securities Act of 1933, as amended. CTP B.V. does not intend to register any of the securities in the United States or to conduct a public offering of the securities in the United States. Accordingly, any offer or sale of the securities may be made only in a transaction exempt from the registration requirements of the U.S. Securities Act of 1933, as amended. </w:t>
      </w:r>
    </w:p>
    <w:p w14:paraId="1541205F" w14:textId="77777777" w:rsidR="00CC352C" w:rsidRPr="002D16D8" w:rsidRDefault="00CC352C" w:rsidP="00CC352C">
      <w:pPr>
        <w:spacing w:line="240" w:lineRule="auto"/>
        <w:jc w:val="both"/>
        <w:rPr>
          <w:rFonts w:ascii="Arial" w:hAnsi="Arial" w:cs="Arial"/>
          <w:sz w:val="18"/>
          <w:szCs w:val="18"/>
          <w:lang w:val="en-GB"/>
        </w:rPr>
      </w:pPr>
      <w:r w:rsidRPr="002D16D8">
        <w:rPr>
          <w:rFonts w:ascii="Arial" w:hAnsi="Arial" w:cs="Arial"/>
          <w:sz w:val="18"/>
          <w:szCs w:val="18"/>
          <w:lang w:val="en-GB"/>
        </w:rPr>
        <w:t>This communication is addressed in any member state of the European Economic Area only to those persons who are qualified investors in such member state (“Qualified Investors”) within the meaning of Regulation (EU) 2017/1129 (the “Prospectus Regulation”) and such other persons as this announcement may be addressed on legal grounds, and no person that is not a Qualified Investor may act or rely on this announcement or any of its contents.</w:t>
      </w:r>
    </w:p>
    <w:p w14:paraId="7E839F32" w14:textId="77777777" w:rsidR="00CC352C" w:rsidRPr="002D16D8" w:rsidRDefault="00CC352C" w:rsidP="00CC352C">
      <w:pPr>
        <w:spacing w:line="240" w:lineRule="auto"/>
        <w:jc w:val="both"/>
        <w:rPr>
          <w:rFonts w:ascii="Arial" w:hAnsi="Arial" w:cs="Arial"/>
          <w:sz w:val="18"/>
          <w:szCs w:val="18"/>
          <w:lang w:val="en-GB"/>
        </w:rPr>
      </w:pPr>
      <w:r w:rsidRPr="002D16D8">
        <w:rPr>
          <w:rFonts w:ascii="Arial" w:hAnsi="Arial" w:cs="Arial"/>
          <w:sz w:val="18"/>
          <w:szCs w:val="18"/>
          <w:lang w:val="en-GB"/>
        </w:rPr>
        <w:t>This document does not constitute a prospectus within the meaning of the Prospectus Regulation and does not constitute an offer to acquire any securities. Any offer to acquire the securities referred to herein will be made, and any investor should make its investment, solely on the basis of the information that is contained in the Prospectus published by the Company in connection with the admission of its Ordinary Shares to listing and trading on Euronext Amsterdam. Copies of the Prospectus may be obtained through the website of the Company, www.ctp.eu. For the avoidance of doubt, the contents of the Company’s website are not incorporated into, and do not form part of, this announcement.</w:t>
      </w:r>
    </w:p>
    <w:p w14:paraId="1A7F3455" w14:textId="77777777" w:rsidR="00CC352C" w:rsidRPr="002D16D8" w:rsidRDefault="00CC352C" w:rsidP="00CC352C">
      <w:pPr>
        <w:spacing w:line="240" w:lineRule="auto"/>
        <w:jc w:val="both"/>
        <w:rPr>
          <w:rFonts w:ascii="Arial" w:hAnsi="Arial" w:cs="Arial"/>
          <w:sz w:val="18"/>
          <w:szCs w:val="18"/>
          <w:lang w:val="en-GB"/>
        </w:rPr>
      </w:pPr>
      <w:r w:rsidRPr="002D16D8">
        <w:rPr>
          <w:rFonts w:ascii="Arial" w:hAnsi="Arial" w:cs="Arial"/>
          <w:sz w:val="18"/>
          <w:szCs w:val="18"/>
          <w:lang w:val="en-GB"/>
        </w:rPr>
        <w:t>In the United Kingdom, this announcement is only being distributed to, and is only directed at persons who are "qualified investors" (as defined in the Prospectus Regulation (EU 2017/1129) as it forms part of domestic law by virtue of the European Union (Withdrawal) Act 2018, as amended by the European Union (Withdrawal Agreement) Act 2020 (the "UK Prospectus Regulation")) and who are also (i) persons having professional experience in matters relating to investments who fall within the definition of investment professionals in Article 19(5) of the Financial Services and Markets Act 2000 (Financial Promotion) Order 2005 (the "Order"); (ii) high net worth entities falling within Article 49(2)(a) to (d) of the Order; or (iii) person to whom this announcement may otherwise lawfully be communicated or caused to be communicated (all such persons together being referred to as "relevant persons"). The securities are only available to, and any invitation, offer or agreement to subscribe, purchase or otherwise acquire such securities will be engaged in only with relevant persons. Any person in the United Kingdom who is not a relevant person should not take any action on the basis of this announcement and should not act or rely on it.</w:t>
      </w:r>
    </w:p>
    <w:p w14:paraId="1D075B66" w14:textId="77777777" w:rsidR="00CC352C" w:rsidRPr="002D16D8" w:rsidRDefault="00CC352C" w:rsidP="00CC352C">
      <w:pPr>
        <w:spacing w:line="240" w:lineRule="auto"/>
        <w:jc w:val="both"/>
        <w:rPr>
          <w:rFonts w:ascii="Arial" w:hAnsi="Arial" w:cs="Arial"/>
          <w:sz w:val="18"/>
          <w:szCs w:val="18"/>
          <w:lang w:val="en-GB"/>
        </w:rPr>
      </w:pPr>
      <w:r w:rsidRPr="002D16D8">
        <w:rPr>
          <w:rFonts w:ascii="Arial" w:hAnsi="Arial" w:cs="Arial"/>
          <w:sz w:val="18"/>
          <w:szCs w:val="18"/>
          <w:lang w:val="en-GB"/>
        </w:rPr>
        <w:t>In Canada, this announcement is only directed at persons who are accredited investors, as defined in National Instrument 45-106 Prospectus Exemptions or subsection 73.3(1) of the Securities Act (Ontario), and are also permitted clients, as defined in National Instrument 31-103 Registration Requirements, Exemptions and Ongoing Registrant Obligations.</w:t>
      </w:r>
    </w:p>
    <w:p w14:paraId="3E4A2C93" w14:textId="77777777" w:rsidR="00CC352C" w:rsidRPr="002D16D8" w:rsidRDefault="00CC352C" w:rsidP="00CC352C">
      <w:pPr>
        <w:spacing w:line="240" w:lineRule="auto"/>
        <w:jc w:val="both"/>
        <w:rPr>
          <w:rFonts w:ascii="Arial" w:hAnsi="Arial" w:cs="Arial"/>
          <w:sz w:val="18"/>
          <w:szCs w:val="18"/>
          <w:lang w:val="en-GB"/>
        </w:rPr>
      </w:pPr>
      <w:proofErr w:type="spellStart"/>
      <w:r w:rsidRPr="002D16D8">
        <w:rPr>
          <w:rFonts w:ascii="Arial" w:hAnsi="Arial" w:cs="Arial"/>
          <w:sz w:val="18"/>
          <w:szCs w:val="18"/>
          <w:lang w:val="en-GB"/>
        </w:rPr>
        <w:t>Erste</w:t>
      </w:r>
      <w:proofErr w:type="spellEnd"/>
      <w:r w:rsidRPr="002D16D8">
        <w:rPr>
          <w:rFonts w:ascii="Arial" w:hAnsi="Arial" w:cs="Arial"/>
          <w:sz w:val="18"/>
          <w:szCs w:val="18"/>
          <w:lang w:val="en-GB"/>
        </w:rPr>
        <w:t xml:space="preserve"> Group, Goldman Sachs, Morgan Stanley, Kempen &amp; Co, UBS, ING and Raiffeisen (collectively, the ''Banks'') and Rothschild &amp; Co are acting exclusively for the Company and no one else in connection with any offering of securities and will not be responsible to anyone other than the Company for providing the protections afforded to their respective customers or for providing advice in relation to any offering or any transaction or arrangement referred to herein. They will not regard any other person as their respective clients in relation to the offering and will not be responsible to anyone other than the Company for providing the protections afforded to their respective clients, nor for providing advice in relation to the offering, the </w:t>
      </w:r>
      <w:r w:rsidRPr="002D16D8">
        <w:rPr>
          <w:rFonts w:ascii="Arial" w:hAnsi="Arial"/>
          <w:sz w:val="18"/>
          <w:szCs w:val="18"/>
          <w:lang w:val="en-GB"/>
        </w:rPr>
        <w:t>contents</w:t>
      </w:r>
      <w:r w:rsidRPr="002D16D8">
        <w:rPr>
          <w:rFonts w:ascii="Arial" w:hAnsi="Arial" w:cs="Arial"/>
          <w:sz w:val="18"/>
          <w:szCs w:val="18"/>
          <w:lang w:val="en-GB"/>
        </w:rPr>
        <w:t xml:space="preserve"> of this announcement or any transaction, arrangement or other matter referred to herein</w:t>
      </w:r>
      <w:r w:rsidRPr="002D16D8">
        <w:rPr>
          <w:rFonts w:ascii="Arial" w:hAnsi="Arial"/>
          <w:sz w:val="18"/>
          <w:szCs w:val="18"/>
          <w:lang w:val="en-GB"/>
        </w:rPr>
        <w:t>.</w:t>
      </w:r>
    </w:p>
    <w:p w14:paraId="3E9CD90C" w14:textId="77777777" w:rsidR="00CC352C" w:rsidRPr="002D16D8" w:rsidRDefault="00CC352C" w:rsidP="00CC352C">
      <w:pPr>
        <w:spacing w:line="240" w:lineRule="auto"/>
        <w:jc w:val="both"/>
        <w:rPr>
          <w:rFonts w:ascii="Arial" w:hAnsi="Arial" w:cs="Arial"/>
          <w:sz w:val="18"/>
          <w:szCs w:val="18"/>
          <w:lang w:val="en-GB"/>
        </w:rPr>
      </w:pPr>
      <w:r w:rsidRPr="002D16D8">
        <w:rPr>
          <w:rFonts w:ascii="Arial" w:hAnsi="Arial" w:cs="Arial"/>
          <w:sz w:val="18"/>
          <w:szCs w:val="18"/>
          <w:lang w:val="en-GB"/>
        </w:rPr>
        <w:t>In connection with the Offer of the Shares, each of the Banks, Rothschild &amp; Co and any of their respective affiliates, may take up a portion of the Shares in the Offer as a principal position and in that capacity may retain, purchase, sell or offer to sell for their own accounts such Shares and other securities of the Company or related investments in connection with the Offer or otherwise. Accordingly, references in the Prospectus to the Shares being issued, offered, subscribed, acquired, placed or otherwise dealt in should be read as including any issue or offer to, or subscription, acquisition, placing or dealing by, each of the Banks, Rothschild &amp; Co and any of their respective affiliates acting in such capacity. In addition, certain of the Banks, Rothschild &amp; Co or their respective affiliates may enter into financing arrangements (including swaps or contracts for differences) with investors in connection with which they or their affiliates may from time to time acquire, hold or dispose of Shares. None of the Banks Rothschild &amp; Co nor any of their respective affiliates intends to disclose the extent of any such investment or transactions otherwise than in accordance with any legal or regulatory obligations to do so.</w:t>
      </w:r>
    </w:p>
    <w:p w14:paraId="223F6C71" w14:textId="77777777" w:rsidR="00CC352C" w:rsidRPr="002D16D8" w:rsidRDefault="00CC352C" w:rsidP="00CC352C">
      <w:pPr>
        <w:spacing w:line="240" w:lineRule="auto"/>
        <w:jc w:val="both"/>
        <w:rPr>
          <w:rFonts w:ascii="Arial" w:hAnsi="Arial" w:cs="Arial"/>
          <w:sz w:val="18"/>
          <w:szCs w:val="18"/>
          <w:lang w:val="en-GB"/>
        </w:rPr>
      </w:pPr>
      <w:r w:rsidRPr="002D16D8">
        <w:rPr>
          <w:rFonts w:ascii="Arial" w:hAnsi="Arial" w:cs="Arial"/>
          <w:sz w:val="18"/>
          <w:szCs w:val="18"/>
          <w:lang w:val="en-GB"/>
        </w:rPr>
        <w:t>Each of the Company, the Banks, Rothschild &amp; Co and their respective affiliates expressly disclaims any obligation or undertaking to update, review or revise any forward looking statement contained in this announcement whether as a result of new information, future developments or otherwise.</w:t>
      </w:r>
    </w:p>
    <w:p w14:paraId="762FDEAC" w14:textId="77777777" w:rsidR="00CC352C" w:rsidRPr="002D16D8" w:rsidRDefault="00CC352C" w:rsidP="00CC352C">
      <w:pPr>
        <w:spacing w:line="240" w:lineRule="auto"/>
        <w:jc w:val="both"/>
        <w:rPr>
          <w:rFonts w:ascii="Arial" w:hAnsi="Arial" w:cs="Arial"/>
          <w:sz w:val="18"/>
          <w:szCs w:val="18"/>
          <w:lang w:val="en-GB"/>
        </w:rPr>
      </w:pPr>
      <w:r w:rsidRPr="002D16D8">
        <w:rPr>
          <w:rFonts w:ascii="Arial" w:hAnsi="Arial" w:cs="Arial"/>
          <w:sz w:val="18"/>
          <w:szCs w:val="18"/>
          <w:lang w:val="en-GB"/>
        </w:rPr>
        <w:t xml:space="preserve">The contents of this announcement have been prepared by and are the sole responsibility of the Company. None of the Banks or any of their respective subsidiary undertakings, affiliates or any of their respective directors, officers, employees, advisers, agents, alliance partners or any other entity or person accepts any responsibility or liability whatsoever for, or makes any representation, warranty or undertaking, express or implied, as to the truth, accuracy, completeness or fairness of the information or opinions in this announcement (or whether any information has been omitted from the announcement) or any other information relating to the group, its subsidiaries or associated companies, whether written, oral or in a visual </w:t>
      </w:r>
      <w:r w:rsidRPr="002D16D8">
        <w:rPr>
          <w:rFonts w:ascii="Arial" w:hAnsi="Arial" w:cs="Arial"/>
          <w:sz w:val="18"/>
          <w:szCs w:val="18"/>
          <w:lang w:val="en-GB"/>
        </w:rPr>
        <w:lastRenderedPageBreak/>
        <w:t>or electronic form, and howsoever transmitted or made available or for any loss howsoever arising from any use of this announcement or its contents or otherwise arising in connection therewith. Accordingly, the Banks, Rothschild &amp; Co and their respective affiliates disclaim, to the fullest extent permitted by applicable law, all and any liability, whether arising in tort or contract or that they might otherwise be found to have in respect of this announcement and/or any such statement.</w:t>
      </w:r>
    </w:p>
    <w:p w14:paraId="257E7275" w14:textId="77777777" w:rsidR="00CC352C" w:rsidRPr="002D16D8" w:rsidRDefault="00CC352C" w:rsidP="00CC352C">
      <w:pPr>
        <w:autoSpaceDE w:val="0"/>
        <w:autoSpaceDN w:val="0"/>
        <w:adjustRightInd w:val="0"/>
        <w:spacing w:after="0" w:line="240" w:lineRule="auto"/>
        <w:jc w:val="both"/>
        <w:rPr>
          <w:rFonts w:ascii="Arial" w:hAnsi="Arial" w:cs="Arial"/>
          <w:b/>
          <w:bCs/>
          <w:color w:val="000000"/>
          <w:sz w:val="18"/>
          <w:szCs w:val="18"/>
          <w:lang w:val="en-GB"/>
        </w:rPr>
      </w:pPr>
      <w:r w:rsidRPr="002D16D8">
        <w:rPr>
          <w:rFonts w:ascii="Arial" w:hAnsi="Arial" w:cs="Arial"/>
          <w:b/>
          <w:bCs/>
          <w:color w:val="000000"/>
          <w:sz w:val="18"/>
          <w:szCs w:val="18"/>
          <w:lang w:val="en-GB"/>
        </w:rPr>
        <w:t>Information to Distributors</w:t>
      </w:r>
    </w:p>
    <w:p w14:paraId="7EF9C3A6" w14:textId="77777777" w:rsidR="00CC352C" w:rsidRPr="002D16D8" w:rsidRDefault="00CC352C" w:rsidP="00CC352C">
      <w:pPr>
        <w:autoSpaceDE w:val="0"/>
        <w:autoSpaceDN w:val="0"/>
        <w:adjustRightInd w:val="0"/>
        <w:spacing w:after="0" w:line="240" w:lineRule="auto"/>
        <w:jc w:val="both"/>
        <w:rPr>
          <w:rFonts w:ascii="Arial" w:hAnsi="Arial" w:cs="Arial"/>
          <w:sz w:val="18"/>
          <w:szCs w:val="18"/>
          <w:lang w:val="en-GB"/>
        </w:rPr>
      </w:pPr>
      <w:r w:rsidRPr="002D16D8">
        <w:rPr>
          <w:rFonts w:ascii="Arial" w:hAnsi="Arial" w:cs="Arial"/>
          <w:sz w:val="18"/>
          <w:szCs w:val="18"/>
          <w:lang w:val="en-GB"/>
        </w:rPr>
        <w:t>Solely for the purposes of the product governance requirements contained within: (a) EU Directive 2014/65/EU on markets in financial instruments, as amended (“MiFID II”); (b) articles 9 and 10 of Commission Delegated Directive (EU) 2017/593 supplementing MiFID II; (c) Chapter 3 of the FCA Handbook Product Intervention and Product Governance Sourcebook (the “UK Product Governance Requirements”; and (d) local implementing measures (together, the “Product Governance Requirements”), and disclaiming all and any liability, whether arising in tort, contract or otherwise, which any “manufacturer” (for the purposes of the Product Governance Requirements) may otherwise have with respect thereto, the Shares have been subject to a product approval process, which has determined that the Shares are: (i) compatible with an end target market of investors who meet the criteria of professional clients and eligible counterparties, each as defined in MiFID II and paragraph 3 of the FCA Handbook Conduct of Business Sourcebook (as applicable); and (ii) eligible for distribution through all permitted distribution channels (the “Target Market Assessment”). Notwithstanding the Target Market Assessment, “distributors” (for the purposes of the Product Governance Requirements) should note that: the price of the Shares may decline and investors could lose all or part of their investment; the Shares offer no guaranteed income and no capital protection; and an investment in the Shares is compatible only with investors who do not need a guaranteed income or capital protection, who (either alone or in conjunction with an appropriate financial or other adviser) are capable of evaluating the merits and risks of such an investment and who have sufficient resources to be able to bear any losses that may result therefrom. The Target Market Assessment is provided for information purposes only and is without prejudice to the requirements of any contractual, legal or regulatory selling restrictions in relation to the Offer (including the “Risk Factors” as included herein).</w:t>
      </w:r>
    </w:p>
    <w:p w14:paraId="4ED3ACA4" w14:textId="77777777" w:rsidR="00CC352C" w:rsidRPr="002D16D8" w:rsidRDefault="00CC352C" w:rsidP="00CC352C">
      <w:pPr>
        <w:autoSpaceDE w:val="0"/>
        <w:autoSpaceDN w:val="0"/>
        <w:adjustRightInd w:val="0"/>
        <w:spacing w:after="0" w:line="240" w:lineRule="auto"/>
        <w:jc w:val="both"/>
        <w:rPr>
          <w:rFonts w:ascii="Arial" w:hAnsi="Arial" w:cs="Arial"/>
          <w:sz w:val="18"/>
          <w:szCs w:val="18"/>
          <w:lang w:val="en-GB"/>
        </w:rPr>
      </w:pPr>
    </w:p>
    <w:p w14:paraId="2992FACD" w14:textId="77777777" w:rsidR="00CC352C" w:rsidRPr="00053F51" w:rsidRDefault="00CC352C" w:rsidP="00CC352C">
      <w:pPr>
        <w:jc w:val="both"/>
        <w:rPr>
          <w:rFonts w:ascii="Arial" w:eastAsia="Times New Roman" w:hAnsi="Arial" w:cs="Arial"/>
          <w:sz w:val="20"/>
          <w:szCs w:val="20"/>
          <w:lang w:val="en-GB" w:eastAsia="nl-NL"/>
        </w:rPr>
      </w:pPr>
      <w:r w:rsidRPr="002D16D8">
        <w:rPr>
          <w:rFonts w:ascii="Arial" w:hAnsi="Arial" w:cs="Arial"/>
          <w:sz w:val="18"/>
          <w:szCs w:val="18"/>
          <w:lang w:val="en-GB"/>
        </w:rPr>
        <w:t>For the avoidance of doubt, the Target Market Assessment does not constitute: (a) an assessment of suitability or appropriateness for the purposes of MiFID II or Chapter 9A or 10A respectively of the FCA Handbook Conduct of Business Sourcebook; or (b) a recommendation to any investor or group of investors to invest in, or purchase, or take any other action whatsoever with respect to the Shares. Each distributor is responsible for undertaking its own target market assessment in respect of the Shares and determining appropriate distribution channels.</w:t>
      </w:r>
    </w:p>
    <w:p w14:paraId="06AC618B" w14:textId="77777777" w:rsidR="00CC352C" w:rsidRPr="00476CFD" w:rsidRDefault="00CC352C" w:rsidP="00CC352C">
      <w:pPr>
        <w:pStyle w:val="Normaalweb"/>
        <w:shd w:val="clear" w:color="auto" w:fill="FFFFFF"/>
        <w:spacing w:before="0" w:beforeAutospacing="0" w:after="0" w:afterAutospacing="0"/>
        <w:rPr>
          <w:rFonts w:ascii="Arial" w:hAnsi="Arial" w:cs="Arial"/>
          <w:color w:val="555555"/>
          <w:sz w:val="20"/>
          <w:szCs w:val="20"/>
          <w:lang w:val="en-GB"/>
        </w:rPr>
      </w:pPr>
    </w:p>
    <w:bookmarkEnd w:id="1"/>
    <w:p w14:paraId="1E26C786" w14:textId="77777777" w:rsidR="00476CFD" w:rsidRPr="00476CFD" w:rsidRDefault="00476CFD" w:rsidP="00476CFD">
      <w:pPr>
        <w:pStyle w:val="Normaalweb"/>
        <w:shd w:val="clear" w:color="auto" w:fill="FFFFFF"/>
        <w:spacing w:before="0" w:beforeAutospacing="0" w:after="0" w:afterAutospacing="0"/>
        <w:ind w:left="720"/>
        <w:rPr>
          <w:rFonts w:ascii="Arial" w:hAnsi="Arial" w:cs="Arial"/>
          <w:color w:val="555555"/>
          <w:sz w:val="20"/>
          <w:szCs w:val="20"/>
          <w:lang w:val="en-GB"/>
        </w:rPr>
      </w:pPr>
    </w:p>
    <w:sectPr w:rsidR="00476CFD" w:rsidRPr="00476CFD" w:rsidSect="003E26CF">
      <w:headerReference w:type="even" r:id="rId8"/>
      <w:headerReference w:type="default" r:id="rId9"/>
      <w:footerReference w:type="default" r:id="rId10"/>
      <w:headerReference w:type="firs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C244B" w14:textId="77777777" w:rsidR="00787F3D" w:rsidRDefault="00787F3D" w:rsidP="00662726">
      <w:pPr>
        <w:spacing w:after="0" w:line="240" w:lineRule="auto"/>
      </w:pPr>
      <w:r>
        <w:separator/>
      </w:r>
    </w:p>
  </w:endnote>
  <w:endnote w:type="continuationSeparator" w:id="0">
    <w:p w14:paraId="3FEAEC50" w14:textId="77777777" w:rsidR="00787F3D" w:rsidRDefault="00787F3D" w:rsidP="0066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666006335"/>
      <w:docPartObj>
        <w:docPartGallery w:val="Page Numbers (Bottom of Page)"/>
        <w:docPartUnique/>
      </w:docPartObj>
    </w:sdtPr>
    <w:sdtEndPr/>
    <w:sdtContent>
      <w:p w14:paraId="17EE082D" w14:textId="77777777" w:rsidR="008850AB" w:rsidRPr="008850AB" w:rsidRDefault="008850AB">
        <w:pPr>
          <w:pStyle w:val="Voettekst"/>
          <w:jc w:val="center"/>
          <w:rPr>
            <w:sz w:val="18"/>
            <w:szCs w:val="18"/>
          </w:rPr>
        </w:pPr>
        <w:r w:rsidRPr="008850AB">
          <w:rPr>
            <w:sz w:val="18"/>
            <w:szCs w:val="18"/>
          </w:rPr>
          <w:fldChar w:fldCharType="begin"/>
        </w:r>
        <w:r w:rsidRPr="008850AB">
          <w:rPr>
            <w:sz w:val="18"/>
            <w:szCs w:val="18"/>
          </w:rPr>
          <w:instrText>PAGE   \* MERGEFORMAT</w:instrText>
        </w:r>
        <w:r w:rsidRPr="008850AB">
          <w:rPr>
            <w:sz w:val="18"/>
            <w:szCs w:val="18"/>
          </w:rPr>
          <w:fldChar w:fldCharType="separate"/>
        </w:r>
        <w:r w:rsidR="00CE13E7">
          <w:rPr>
            <w:noProof/>
            <w:sz w:val="18"/>
            <w:szCs w:val="18"/>
          </w:rPr>
          <w:t>2</w:t>
        </w:r>
        <w:r w:rsidRPr="008850AB">
          <w:rPr>
            <w:sz w:val="18"/>
            <w:szCs w:val="18"/>
          </w:rPr>
          <w:fldChar w:fldCharType="end"/>
        </w:r>
      </w:p>
    </w:sdtContent>
  </w:sdt>
  <w:p w14:paraId="21BC7267" w14:textId="77777777" w:rsidR="008850AB" w:rsidRDefault="008850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F435C" w14:textId="77777777" w:rsidR="00787F3D" w:rsidRDefault="00787F3D" w:rsidP="00662726">
      <w:pPr>
        <w:spacing w:after="0" w:line="240" w:lineRule="auto"/>
      </w:pPr>
      <w:r>
        <w:separator/>
      </w:r>
    </w:p>
  </w:footnote>
  <w:footnote w:type="continuationSeparator" w:id="0">
    <w:p w14:paraId="77BA0E57" w14:textId="77777777" w:rsidR="00787F3D" w:rsidRDefault="00787F3D" w:rsidP="0066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3A5D" w14:textId="77777777" w:rsidR="00A9151A" w:rsidRDefault="00A915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7B0E5" w14:textId="77777777" w:rsidR="00097028" w:rsidRDefault="00097028" w:rsidP="005B44F3">
    <w:pPr>
      <w:autoSpaceDE w:val="0"/>
      <w:autoSpaceDN w:val="0"/>
      <w:adjustRightInd w:val="0"/>
      <w:spacing w:after="0" w:line="180" w:lineRule="atLeast"/>
      <w:jc w:val="both"/>
      <w:rPr>
        <w:lang w:val="en-GB"/>
      </w:rPr>
    </w:pPr>
    <w:r w:rsidRPr="00535A6A">
      <w:rPr>
        <w:rFonts w:ascii="Times New Roman" w:hAnsi="Times New Roman"/>
        <w:i/>
        <w:caps/>
        <w:color w:val="000000"/>
        <w:sz w:val="18"/>
        <w:lang w:val="en-GB"/>
      </w:rPr>
      <w:t xml:space="preserve">This announcement is not being made in and copies of it may not be distributed or sent into the United States, Australia, Japan or any other jurisdiction in which the making or distribution of the announcement would be prohibited or restricted. </w:t>
    </w:r>
  </w:p>
  <w:p w14:paraId="287A2214" w14:textId="77777777" w:rsidR="00097028" w:rsidRPr="008B23AE" w:rsidRDefault="00097028" w:rsidP="008B23AE">
    <w:pPr>
      <w:autoSpaceDE w:val="0"/>
      <w:autoSpaceDN w:val="0"/>
      <w:adjustRightInd w:val="0"/>
      <w:spacing w:after="0" w:line="180" w:lineRule="atLeast"/>
      <w:jc w:val="both"/>
      <w:rPr>
        <w:rFonts w:ascii="Times New Roman" w:hAnsi="Times New Roman" w:cs="Times New Roman"/>
        <w:color w:val="000000"/>
        <w:sz w:val="18"/>
        <w:szCs w:val="18"/>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C86AE" w14:textId="77777777" w:rsidR="00A9151A" w:rsidRDefault="00A9151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E1055"/>
    <w:multiLevelType w:val="hybridMultilevel"/>
    <w:tmpl w:val="B4E401C0"/>
    <w:lvl w:ilvl="0" w:tplc="0809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EAE26D0"/>
    <w:multiLevelType w:val="hybridMultilevel"/>
    <w:tmpl w:val="42FE92C0"/>
    <w:lvl w:ilvl="0" w:tplc="08090001">
      <w:start w:val="1"/>
      <w:numFmt w:val="bullet"/>
      <w:lvlText w:val=""/>
      <w:lvlJc w:val="left"/>
      <w:pPr>
        <w:ind w:left="270" w:hanging="360"/>
      </w:pPr>
      <w:rPr>
        <w:rFonts w:ascii="Symbol" w:hAnsi="Symbol" w:hint="default"/>
      </w:rPr>
    </w:lvl>
    <w:lvl w:ilvl="1" w:tplc="08090003">
      <w:start w:val="1"/>
      <w:numFmt w:val="bullet"/>
      <w:lvlText w:val="o"/>
      <w:lvlJc w:val="left"/>
      <w:pPr>
        <w:ind w:left="990" w:hanging="360"/>
      </w:pPr>
      <w:rPr>
        <w:rFonts w:ascii="Courier New" w:hAnsi="Courier New" w:cs="Courier New" w:hint="default"/>
      </w:rPr>
    </w:lvl>
    <w:lvl w:ilvl="2" w:tplc="08090005" w:tentative="1">
      <w:start w:val="1"/>
      <w:numFmt w:val="bullet"/>
      <w:lvlText w:val=""/>
      <w:lvlJc w:val="left"/>
      <w:pPr>
        <w:ind w:left="1710" w:hanging="360"/>
      </w:pPr>
      <w:rPr>
        <w:rFonts w:ascii="Wingdings" w:hAnsi="Wingdings" w:hint="default"/>
      </w:rPr>
    </w:lvl>
    <w:lvl w:ilvl="3" w:tplc="08090001" w:tentative="1">
      <w:start w:val="1"/>
      <w:numFmt w:val="bullet"/>
      <w:lvlText w:val=""/>
      <w:lvlJc w:val="left"/>
      <w:pPr>
        <w:ind w:left="2430" w:hanging="360"/>
      </w:pPr>
      <w:rPr>
        <w:rFonts w:ascii="Symbol" w:hAnsi="Symbol" w:hint="default"/>
      </w:rPr>
    </w:lvl>
    <w:lvl w:ilvl="4" w:tplc="08090003" w:tentative="1">
      <w:start w:val="1"/>
      <w:numFmt w:val="bullet"/>
      <w:lvlText w:val="o"/>
      <w:lvlJc w:val="left"/>
      <w:pPr>
        <w:ind w:left="3150" w:hanging="360"/>
      </w:pPr>
      <w:rPr>
        <w:rFonts w:ascii="Courier New" w:hAnsi="Courier New" w:cs="Courier New" w:hint="default"/>
      </w:rPr>
    </w:lvl>
    <w:lvl w:ilvl="5" w:tplc="08090005" w:tentative="1">
      <w:start w:val="1"/>
      <w:numFmt w:val="bullet"/>
      <w:lvlText w:val=""/>
      <w:lvlJc w:val="left"/>
      <w:pPr>
        <w:ind w:left="3870" w:hanging="360"/>
      </w:pPr>
      <w:rPr>
        <w:rFonts w:ascii="Wingdings" w:hAnsi="Wingdings" w:hint="default"/>
      </w:rPr>
    </w:lvl>
    <w:lvl w:ilvl="6" w:tplc="08090001" w:tentative="1">
      <w:start w:val="1"/>
      <w:numFmt w:val="bullet"/>
      <w:lvlText w:val=""/>
      <w:lvlJc w:val="left"/>
      <w:pPr>
        <w:ind w:left="4590" w:hanging="360"/>
      </w:pPr>
      <w:rPr>
        <w:rFonts w:ascii="Symbol" w:hAnsi="Symbol" w:hint="default"/>
      </w:rPr>
    </w:lvl>
    <w:lvl w:ilvl="7" w:tplc="08090003" w:tentative="1">
      <w:start w:val="1"/>
      <w:numFmt w:val="bullet"/>
      <w:lvlText w:val="o"/>
      <w:lvlJc w:val="left"/>
      <w:pPr>
        <w:ind w:left="5310" w:hanging="360"/>
      </w:pPr>
      <w:rPr>
        <w:rFonts w:ascii="Courier New" w:hAnsi="Courier New" w:cs="Courier New" w:hint="default"/>
      </w:rPr>
    </w:lvl>
    <w:lvl w:ilvl="8" w:tplc="08090005" w:tentative="1">
      <w:start w:val="1"/>
      <w:numFmt w:val="bullet"/>
      <w:lvlText w:val=""/>
      <w:lvlJc w:val="left"/>
      <w:pPr>
        <w:ind w:left="6030" w:hanging="360"/>
      </w:pPr>
      <w:rPr>
        <w:rFonts w:ascii="Wingdings" w:hAnsi="Wingdings" w:hint="default"/>
      </w:rPr>
    </w:lvl>
  </w:abstractNum>
  <w:abstractNum w:abstractNumId="2" w15:restartNumberingAfterBreak="0">
    <w:nsid w:val="28E101BA"/>
    <w:multiLevelType w:val="hybridMultilevel"/>
    <w:tmpl w:val="F320A6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FB5102"/>
    <w:multiLevelType w:val="hybridMultilevel"/>
    <w:tmpl w:val="F8741DB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576B70D5"/>
    <w:multiLevelType w:val="hybridMultilevel"/>
    <w:tmpl w:val="DFECE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3683024"/>
    <w:multiLevelType w:val="hybridMultilevel"/>
    <w:tmpl w:val="470E3C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0"/>
  <w:activeWritingStyle w:appName="MSWord" w:lang="nl-NL"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726"/>
    <w:rsid w:val="00013899"/>
    <w:rsid w:val="00016279"/>
    <w:rsid w:val="000252DC"/>
    <w:rsid w:val="000263B1"/>
    <w:rsid w:val="00047B71"/>
    <w:rsid w:val="00052AAB"/>
    <w:rsid w:val="00053F51"/>
    <w:rsid w:val="000545A5"/>
    <w:rsid w:val="00076E66"/>
    <w:rsid w:val="000824B1"/>
    <w:rsid w:val="00084AAE"/>
    <w:rsid w:val="000865B6"/>
    <w:rsid w:val="00096C89"/>
    <w:rsid w:val="00097028"/>
    <w:rsid w:val="000E380D"/>
    <w:rsid w:val="000F32D5"/>
    <w:rsid w:val="001061E7"/>
    <w:rsid w:val="001300F7"/>
    <w:rsid w:val="001547D3"/>
    <w:rsid w:val="00161090"/>
    <w:rsid w:val="001A7663"/>
    <w:rsid w:val="001D548D"/>
    <w:rsid w:val="001E0360"/>
    <w:rsid w:val="001F1422"/>
    <w:rsid w:val="001F2B76"/>
    <w:rsid w:val="00202144"/>
    <w:rsid w:val="00213D64"/>
    <w:rsid w:val="00223A02"/>
    <w:rsid w:val="00230ABF"/>
    <w:rsid w:val="0024659E"/>
    <w:rsid w:val="00252C89"/>
    <w:rsid w:val="0026094D"/>
    <w:rsid w:val="002667B8"/>
    <w:rsid w:val="00284ABF"/>
    <w:rsid w:val="002A2023"/>
    <w:rsid w:val="002B2B32"/>
    <w:rsid w:val="002B730C"/>
    <w:rsid w:val="002C27DC"/>
    <w:rsid w:val="002C35D8"/>
    <w:rsid w:val="002D0936"/>
    <w:rsid w:val="002D16D8"/>
    <w:rsid w:val="00333ED3"/>
    <w:rsid w:val="00334AB2"/>
    <w:rsid w:val="00337B9F"/>
    <w:rsid w:val="0034162C"/>
    <w:rsid w:val="003527F1"/>
    <w:rsid w:val="003662F9"/>
    <w:rsid w:val="00367B8E"/>
    <w:rsid w:val="00386740"/>
    <w:rsid w:val="00395C9B"/>
    <w:rsid w:val="003B7F71"/>
    <w:rsid w:val="003C788A"/>
    <w:rsid w:val="003D05F0"/>
    <w:rsid w:val="003D2F0B"/>
    <w:rsid w:val="003E26CF"/>
    <w:rsid w:val="003E4704"/>
    <w:rsid w:val="003E5EC0"/>
    <w:rsid w:val="00401121"/>
    <w:rsid w:val="00402D61"/>
    <w:rsid w:val="0040676C"/>
    <w:rsid w:val="0041267D"/>
    <w:rsid w:val="004269F7"/>
    <w:rsid w:val="004277BD"/>
    <w:rsid w:val="00430770"/>
    <w:rsid w:val="00440843"/>
    <w:rsid w:val="0045017C"/>
    <w:rsid w:val="00457C2D"/>
    <w:rsid w:val="00460E74"/>
    <w:rsid w:val="004643AD"/>
    <w:rsid w:val="00474FD1"/>
    <w:rsid w:val="00476CFD"/>
    <w:rsid w:val="0048021A"/>
    <w:rsid w:val="00493C15"/>
    <w:rsid w:val="00496227"/>
    <w:rsid w:val="004965E9"/>
    <w:rsid w:val="004A6759"/>
    <w:rsid w:val="004B0C53"/>
    <w:rsid w:val="004C361E"/>
    <w:rsid w:val="004F13A3"/>
    <w:rsid w:val="004F37D7"/>
    <w:rsid w:val="00504421"/>
    <w:rsid w:val="00510B74"/>
    <w:rsid w:val="00516D30"/>
    <w:rsid w:val="00542000"/>
    <w:rsid w:val="005475AE"/>
    <w:rsid w:val="00555FB0"/>
    <w:rsid w:val="00562811"/>
    <w:rsid w:val="00584B08"/>
    <w:rsid w:val="0058789E"/>
    <w:rsid w:val="005B27A9"/>
    <w:rsid w:val="005B4256"/>
    <w:rsid w:val="005B44F3"/>
    <w:rsid w:val="005C09D0"/>
    <w:rsid w:val="005C2377"/>
    <w:rsid w:val="005C78DD"/>
    <w:rsid w:val="005E73BB"/>
    <w:rsid w:val="005F3A1C"/>
    <w:rsid w:val="005F658F"/>
    <w:rsid w:val="005F6BB9"/>
    <w:rsid w:val="00606600"/>
    <w:rsid w:val="00611FE1"/>
    <w:rsid w:val="00657FCE"/>
    <w:rsid w:val="00661B3F"/>
    <w:rsid w:val="00662726"/>
    <w:rsid w:val="00665B09"/>
    <w:rsid w:val="006669BC"/>
    <w:rsid w:val="00674A33"/>
    <w:rsid w:val="00677E51"/>
    <w:rsid w:val="00697D4C"/>
    <w:rsid w:val="006A26D4"/>
    <w:rsid w:val="006A3FF9"/>
    <w:rsid w:val="006A7575"/>
    <w:rsid w:val="006B2A11"/>
    <w:rsid w:val="006C36C9"/>
    <w:rsid w:val="00715DD2"/>
    <w:rsid w:val="00720931"/>
    <w:rsid w:val="00720AC3"/>
    <w:rsid w:val="00757285"/>
    <w:rsid w:val="00760125"/>
    <w:rsid w:val="00766D55"/>
    <w:rsid w:val="00787F3D"/>
    <w:rsid w:val="0079040E"/>
    <w:rsid w:val="0079556D"/>
    <w:rsid w:val="007A5E69"/>
    <w:rsid w:val="007B246F"/>
    <w:rsid w:val="007C240A"/>
    <w:rsid w:val="007C3D8A"/>
    <w:rsid w:val="007C4147"/>
    <w:rsid w:val="007D0436"/>
    <w:rsid w:val="007E2514"/>
    <w:rsid w:val="007E3069"/>
    <w:rsid w:val="0085714E"/>
    <w:rsid w:val="0086141D"/>
    <w:rsid w:val="00870412"/>
    <w:rsid w:val="00870A5E"/>
    <w:rsid w:val="00872093"/>
    <w:rsid w:val="0087292A"/>
    <w:rsid w:val="008834ED"/>
    <w:rsid w:val="00884F31"/>
    <w:rsid w:val="008850AB"/>
    <w:rsid w:val="008A69D1"/>
    <w:rsid w:val="008B079D"/>
    <w:rsid w:val="008B23AE"/>
    <w:rsid w:val="008B7933"/>
    <w:rsid w:val="008C2067"/>
    <w:rsid w:val="008C5A4A"/>
    <w:rsid w:val="008D0936"/>
    <w:rsid w:val="008D2CF3"/>
    <w:rsid w:val="008E35D8"/>
    <w:rsid w:val="008E3618"/>
    <w:rsid w:val="008F54F5"/>
    <w:rsid w:val="00904DCA"/>
    <w:rsid w:val="00906A01"/>
    <w:rsid w:val="00914EE5"/>
    <w:rsid w:val="00922446"/>
    <w:rsid w:val="00932945"/>
    <w:rsid w:val="00934A1F"/>
    <w:rsid w:val="00937497"/>
    <w:rsid w:val="009376E5"/>
    <w:rsid w:val="00947AE5"/>
    <w:rsid w:val="0095548C"/>
    <w:rsid w:val="0096711E"/>
    <w:rsid w:val="00973E83"/>
    <w:rsid w:val="009863EE"/>
    <w:rsid w:val="00995A73"/>
    <w:rsid w:val="00995ABA"/>
    <w:rsid w:val="009A05E2"/>
    <w:rsid w:val="009A1D46"/>
    <w:rsid w:val="009A4B4D"/>
    <w:rsid w:val="009D3490"/>
    <w:rsid w:val="009E54FF"/>
    <w:rsid w:val="009E63C2"/>
    <w:rsid w:val="009E6829"/>
    <w:rsid w:val="00A03F8D"/>
    <w:rsid w:val="00A17BD8"/>
    <w:rsid w:val="00A238B2"/>
    <w:rsid w:val="00A24FC0"/>
    <w:rsid w:val="00A313C9"/>
    <w:rsid w:val="00A3528A"/>
    <w:rsid w:val="00A54FAB"/>
    <w:rsid w:val="00A625A1"/>
    <w:rsid w:val="00A65EE4"/>
    <w:rsid w:val="00A73683"/>
    <w:rsid w:val="00A84D04"/>
    <w:rsid w:val="00A9151A"/>
    <w:rsid w:val="00AA152C"/>
    <w:rsid w:val="00AA1745"/>
    <w:rsid w:val="00AB0A0C"/>
    <w:rsid w:val="00AB3DAF"/>
    <w:rsid w:val="00AD0E26"/>
    <w:rsid w:val="00AD7A43"/>
    <w:rsid w:val="00AE7ECA"/>
    <w:rsid w:val="00AF1225"/>
    <w:rsid w:val="00AF3D5A"/>
    <w:rsid w:val="00AF731A"/>
    <w:rsid w:val="00B02BC4"/>
    <w:rsid w:val="00B02D6B"/>
    <w:rsid w:val="00B13B35"/>
    <w:rsid w:val="00B158DA"/>
    <w:rsid w:val="00B23584"/>
    <w:rsid w:val="00B23A6A"/>
    <w:rsid w:val="00B317A3"/>
    <w:rsid w:val="00B34F4E"/>
    <w:rsid w:val="00B46A07"/>
    <w:rsid w:val="00B547BB"/>
    <w:rsid w:val="00B64BFD"/>
    <w:rsid w:val="00B64DBC"/>
    <w:rsid w:val="00B76FE2"/>
    <w:rsid w:val="00BC32CE"/>
    <w:rsid w:val="00BD72ED"/>
    <w:rsid w:val="00BE2554"/>
    <w:rsid w:val="00BF2C4B"/>
    <w:rsid w:val="00C22E40"/>
    <w:rsid w:val="00C94481"/>
    <w:rsid w:val="00C96326"/>
    <w:rsid w:val="00CA72D3"/>
    <w:rsid w:val="00CB0A52"/>
    <w:rsid w:val="00CB65D7"/>
    <w:rsid w:val="00CC352C"/>
    <w:rsid w:val="00CD0564"/>
    <w:rsid w:val="00CD122A"/>
    <w:rsid w:val="00CE13E7"/>
    <w:rsid w:val="00D01111"/>
    <w:rsid w:val="00D04665"/>
    <w:rsid w:val="00D049D8"/>
    <w:rsid w:val="00D07B12"/>
    <w:rsid w:val="00D330E5"/>
    <w:rsid w:val="00D376AB"/>
    <w:rsid w:val="00D502B7"/>
    <w:rsid w:val="00D672D6"/>
    <w:rsid w:val="00D80367"/>
    <w:rsid w:val="00D851FB"/>
    <w:rsid w:val="00D95367"/>
    <w:rsid w:val="00DB1511"/>
    <w:rsid w:val="00DB1B33"/>
    <w:rsid w:val="00DB6498"/>
    <w:rsid w:val="00DC260B"/>
    <w:rsid w:val="00DC4517"/>
    <w:rsid w:val="00DD48FB"/>
    <w:rsid w:val="00DD64F1"/>
    <w:rsid w:val="00DE5BC8"/>
    <w:rsid w:val="00DF54CD"/>
    <w:rsid w:val="00E0316E"/>
    <w:rsid w:val="00E26266"/>
    <w:rsid w:val="00E411CD"/>
    <w:rsid w:val="00E4274E"/>
    <w:rsid w:val="00E45356"/>
    <w:rsid w:val="00E47D5A"/>
    <w:rsid w:val="00E504FC"/>
    <w:rsid w:val="00E548E8"/>
    <w:rsid w:val="00E9043E"/>
    <w:rsid w:val="00E94A1D"/>
    <w:rsid w:val="00EB0112"/>
    <w:rsid w:val="00EB26B2"/>
    <w:rsid w:val="00ED3219"/>
    <w:rsid w:val="00EE1990"/>
    <w:rsid w:val="00F0075B"/>
    <w:rsid w:val="00F014AE"/>
    <w:rsid w:val="00F01700"/>
    <w:rsid w:val="00F028C6"/>
    <w:rsid w:val="00F2107B"/>
    <w:rsid w:val="00F77103"/>
    <w:rsid w:val="00F835A7"/>
    <w:rsid w:val="00F87994"/>
    <w:rsid w:val="00FA0194"/>
    <w:rsid w:val="00FE2DF5"/>
    <w:rsid w:val="00FE576E"/>
    <w:rsid w:val="00FF6A2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687084"/>
  <w15:chartTrackingRefBased/>
  <w15:docId w15:val="{353D05AC-985E-4EC5-8B40-D5267AF7C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272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62726"/>
  </w:style>
  <w:style w:type="paragraph" w:styleId="Voettekst">
    <w:name w:val="footer"/>
    <w:basedOn w:val="Standaard"/>
    <w:link w:val="VoettekstChar"/>
    <w:uiPriority w:val="99"/>
    <w:unhideWhenUsed/>
    <w:rsid w:val="0066272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62726"/>
  </w:style>
  <w:style w:type="paragraph" w:styleId="Normaalweb">
    <w:name w:val="Normal (Web)"/>
    <w:basedOn w:val="Standaard"/>
    <w:uiPriority w:val="99"/>
    <w:unhideWhenUsed/>
    <w:rsid w:val="0066272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662726"/>
    <w:rPr>
      <w:b/>
      <w:bCs/>
    </w:rPr>
  </w:style>
  <w:style w:type="paragraph" w:styleId="Lijstalinea">
    <w:name w:val="List Paragraph"/>
    <w:basedOn w:val="Standaard"/>
    <w:uiPriority w:val="34"/>
    <w:qFormat/>
    <w:rsid w:val="00476CFD"/>
    <w:pPr>
      <w:ind w:left="720"/>
      <w:contextualSpacing/>
    </w:pPr>
    <w:rPr>
      <w:lang w:val="en-GB"/>
    </w:rPr>
  </w:style>
  <w:style w:type="character" w:styleId="Verwijzingopmerking">
    <w:name w:val="annotation reference"/>
    <w:basedOn w:val="Standaardalinea-lettertype"/>
    <w:uiPriority w:val="99"/>
    <w:semiHidden/>
    <w:unhideWhenUsed/>
    <w:rsid w:val="00606600"/>
    <w:rPr>
      <w:sz w:val="16"/>
      <w:szCs w:val="16"/>
    </w:rPr>
  </w:style>
  <w:style w:type="paragraph" w:styleId="Tekstopmerking">
    <w:name w:val="annotation text"/>
    <w:basedOn w:val="Standaard"/>
    <w:link w:val="TekstopmerkingChar"/>
    <w:uiPriority w:val="99"/>
    <w:semiHidden/>
    <w:unhideWhenUsed/>
    <w:rsid w:val="0060660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06600"/>
    <w:rPr>
      <w:sz w:val="20"/>
      <w:szCs w:val="20"/>
    </w:rPr>
  </w:style>
  <w:style w:type="paragraph" w:styleId="Onderwerpvanopmerking">
    <w:name w:val="annotation subject"/>
    <w:basedOn w:val="Tekstopmerking"/>
    <w:next w:val="Tekstopmerking"/>
    <w:link w:val="OnderwerpvanopmerkingChar"/>
    <w:uiPriority w:val="99"/>
    <w:semiHidden/>
    <w:unhideWhenUsed/>
    <w:rsid w:val="00606600"/>
    <w:rPr>
      <w:b/>
      <w:bCs/>
    </w:rPr>
  </w:style>
  <w:style w:type="character" w:customStyle="1" w:styleId="OnderwerpvanopmerkingChar">
    <w:name w:val="Onderwerp van opmerking Char"/>
    <w:basedOn w:val="TekstopmerkingChar"/>
    <w:link w:val="Onderwerpvanopmerking"/>
    <w:uiPriority w:val="99"/>
    <w:semiHidden/>
    <w:rsid w:val="00606600"/>
    <w:rPr>
      <w:b/>
      <w:bCs/>
      <w:sz w:val="20"/>
      <w:szCs w:val="20"/>
    </w:rPr>
  </w:style>
  <w:style w:type="table" w:styleId="Tabelraster">
    <w:name w:val="Table Grid"/>
    <w:basedOn w:val="Standaardtabel"/>
    <w:uiPriority w:val="39"/>
    <w:rsid w:val="00E411C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4A1F"/>
    <w:pPr>
      <w:autoSpaceDE w:val="0"/>
      <w:autoSpaceDN w:val="0"/>
      <w:adjustRightInd w:val="0"/>
      <w:spacing w:after="0" w:line="240" w:lineRule="auto"/>
    </w:pPr>
    <w:rPr>
      <w:rFonts w:ascii="Gill Sans MT" w:hAnsi="Gill Sans MT" w:cs="Gill Sans MT"/>
      <w:color w:val="000000"/>
      <w:sz w:val="24"/>
      <w:szCs w:val="24"/>
    </w:rPr>
  </w:style>
  <w:style w:type="character" w:styleId="Hyperlink">
    <w:name w:val="Hyperlink"/>
    <w:basedOn w:val="Standaardalinea-lettertype"/>
    <w:uiPriority w:val="99"/>
    <w:unhideWhenUsed/>
    <w:rsid w:val="00053F51"/>
    <w:rPr>
      <w:color w:val="0000FF"/>
      <w:u w:val="single"/>
    </w:rPr>
  </w:style>
  <w:style w:type="paragraph" w:styleId="Voetnoottekst">
    <w:name w:val="footnote text"/>
    <w:basedOn w:val="Standaard"/>
    <w:link w:val="VoetnoottekstChar"/>
    <w:uiPriority w:val="99"/>
    <w:unhideWhenUsed/>
    <w:qFormat/>
    <w:rsid w:val="00053F51"/>
    <w:pPr>
      <w:spacing w:after="0" w:line="240" w:lineRule="auto"/>
    </w:pPr>
    <w:rPr>
      <w:sz w:val="20"/>
      <w:szCs w:val="20"/>
    </w:rPr>
  </w:style>
  <w:style w:type="character" w:customStyle="1" w:styleId="VoetnoottekstChar">
    <w:name w:val="Voetnoottekst Char"/>
    <w:basedOn w:val="Standaardalinea-lettertype"/>
    <w:link w:val="Voetnoottekst"/>
    <w:uiPriority w:val="99"/>
    <w:rsid w:val="00053F51"/>
    <w:rPr>
      <w:sz w:val="20"/>
      <w:szCs w:val="20"/>
    </w:rPr>
  </w:style>
  <w:style w:type="character" w:styleId="Voetnootmarkering">
    <w:name w:val="footnote reference"/>
    <w:aliases w:val="Footnote Text Char1,טקסט הערות שוליים2 Char1,טקסט הערות שוליים1 Char1,תו Char1,תו תו1 Char1,תו תו Char1,???? ????? ??????2 Char1,???? ????? ??????1 Char1,?? Char1,?? ??1 תו תו Char1,?? ??1 תו Char1,?? ??1 תו תו תו תו Char1"/>
    <w:basedOn w:val="Standaardalinea-lettertype"/>
    <w:uiPriority w:val="99"/>
    <w:unhideWhenUsed/>
    <w:rsid w:val="00053F51"/>
    <w:rPr>
      <w:vertAlign w:val="superscript"/>
    </w:rPr>
  </w:style>
  <w:style w:type="character" w:customStyle="1" w:styleId="Onopgelostemelding1">
    <w:name w:val="Onopgeloste melding1"/>
    <w:basedOn w:val="Standaardalinea-lettertype"/>
    <w:uiPriority w:val="99"/>
    <w:semiHidden/>
    <w:unhideWhenUsed/>
    <w:rsid w:val="00401121"/>
    <w:rPr>
      <w:color w:val="605E5C"/>
      <w:shd w:val="clear" w:color="auto" w:fill="E1DFDD"/>
    </w:rPr>
  </w:style>
  <w:style w:type="paragraph" w:styleId="Ballontekst">
    <w:name w:val="Balloon Text"/>
    <w:basedOn w:val="Standaard"/>
    <w:link w:val="BallontekstChar"/>
    <w:uiPriority w:val="99"/>
    <w:semiHidden/>
    <w:unhideWhenUsed/>
    <w:rsid w:val="00334AB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34AB2"/>
    <w:rPr>
      <w:rFonts w:ascii="Segoe UI" w:hAnsi="Segoe UI" w:cs="Segoe UI"/>
      <w:sz w:val="18"/>
      <w:szCs w:val="18"/>
    </w:rPr>
  </w:style>
  <w:style w:type="paragraph" w:customStyle="1" w:styleId="wText">
    <w:name w:val="wText"/>
    <w:basedOn w:val="Standaard"/>
    <w:link w:val="wTextChar"/>
    <w:uiPriority w:val="2"/>
    <w:qFormat/>
    <w:rsid w:val="00DC260B"/>
    <w:pPr>
      <w:spacing w:after="180" w:line="240" w:lineRule="auto"/>
      <w:jc w:val="both"/>
    </w:pPr>
    <w:rPr>
      <w:rFonts w:ascii="Times New Roman" w:eastAsia="MS Mincho" w:hAnsi="Times New Roman" w:cs="Times New Roman"/>
      <w:lang w:val="en-GB"/>
    </w:rPr>
  </w:style>
  <w:style w:type="character" w:customStyle="1" w:styleId="wTextChar">
    <w:name w:val="wText Char"/>
    <w:basedOn w:val="Standaardalinea-lettertype"/>
    <w:link w:val="wText"/>
    <w:uiPriority w:val="2"/>
    <w:rsid w:val="00DC260B"/>
    <w:rPr>
      <w:rFonts w:ascii="Times New Roman" w:eastAsia="MS Mincho" w:hAnsi="Times New Roman" w:cs="Times New Roman"/>
      <w:lang w:val="en-GB"/>
    </w:rPr>
  </w:style>
  <w:style w:type="character" w:styleId="GevolgdeHyperlink">
    <w:name w:val="FollowedHyperlink"/>
    <w:basedOn w:val="Standaardalinea-lettertype"/>
    <w:uiPriority w:val="99"/>
    <w:semiHidden/>
    <w:unhideWhenUsed/>
    <w:rsid w:val="00D04665"/>
    <w:rPr>
      <w:color w:val="954F72" w:themeColor="followedHyperlink"/>
      <w:u w:val="single"/>
    </w:rPr>
  </w:style>
  <w:style w:type="paragraph" w:customStyle="1" w:styleId="DraftLineWC">
    <w:name w:val="DraftLineW&amp;C"/>
    <w:basedOn w:val="Standaard"/>
    <w:uiPriority w:val="99"/>
    <w:semiHidden/>
    <w:rsid w:val="0058789E"/>
    <w:pPr>
      <w:framePr w:w="5328" w:hSpace="187" w:vSpace="187" w:wrap="around" w:vAnchor="page" w:hAnchor="page" w:x="5761" w:y="721"/>
      <w:spacing w:after="0" w:line="240" w:lineRule="auto"/>
      <w:jc w:val="right"/>
    </w:pPr>
    <w:rPr>
      <w:rFonts w:ascii="Times New Roman" w:eastAsia="Times New Roman" w:hAnsi="Times New Roman" w:cs="Times New Roman"/>
      <w:sz w:val="20"/>
      <w:szCs w:val="24"/>
      <w:lang w:val="en-US"/>
    </w:rPr>
  </w:style>
  <w:style w:type="character" w:customStyle="1" w:styleId="UnresolvedMention1">
    <w:name w:val="Unresolved Mention1"/>
    <w:basedOn w:val="Standaardalinea-lettertype"/>
    <w:uiPriority w:val="99"/>
    <w:semiHidden/>
    <w:unhideWhenUsed/>
    <w:rsid w:val="00CB65D7"/>
    <w:rPr>
      <w:color w:val="605E5C"/>
      <w:shd w:val="clear" w:color="auto" w:fill="E1DFDD"/>
    </w:rPr>
  </w:style>
  <w:style w:type="character" w:customStyle="1" w:styleId="UnresolvedMention2">
    <w:name w:val="Unresolved Mention2"/>
    <w:basedOn w:val="Standaardalinea-lettertype"/>
    <w:uiPriority w:val="99"/>
    <w:semiHidden/>
    <w:unhideWhenUsed/>
    <w:rsid w:val="00861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7765">
      <w:bodyDiv w:val="1"/>
      <w:marLeft w:val="0"/>
      <w:marRight w:val="0"/>
      <w:marTop w:val="0"/>
      <w:marBottom w:val="0"/>
      <w:divBdr>
        <w:top w:val="none" w:sz="0" w:space="0" w:color="auto"/>
        <w:left w:val="none" w:sz="0" w:space="0" w:color="auto"/>
        <w:bottom w:val="none" w:sz="0" w:space="0" w:color="auto"/>
        <w:right w:val="none" w:sz="0" w:space="0" w:color="auto"/>
      </w:divBdr>
    </w:div>
    <w:div w:id="67846471">
      <w:bodyDiv w:val="1"/>
      <w:marLeft w:val="0"/>
      <w:marRight w:val="0"/>
      <w:marTop w:val="0"/>
      <w:marBottom w:val="0"/>
      <w:divBdr>
        <w:top w:val="none" w:sz="0" w:space="0" w:color="auto"/>
        <w:left w:val="none" w:sz="0" w:space="0" w:color="auto"/>
        <w:bottom w:val="none" w:sz="0" w:space="0" w:color="auto"/>
        <w:right w:val="none" w:sz="0" w:space="0" w:color="auto"/>
      </w:divBdr>
    </w:div>
    <w:div w:id="220871368">
      <w:bodyDiv w:val="1"/>
      <w:marLeft w:val="0"/>
      <w:marRight w:val="0"/>
      <w:marTop w:val="0"/>
      <w:marBottom w:val="0"/>
      <w:divBdr>
        <w:top w:val="none" w:sz="0" w:space="0" w:color="auto"/>
        <w:left w:val="none" w:sz="0" w:space="0" w:color="auto"/>
        <w:bottom w:val="none" w:sz="0" w:space="0" w:color="auto"/>
        <w:right w:val="none" w:sz="0" w:space="0" w:color="auto"/>
      </w:divBdr>
    </w:div>
    <w:div w:id="257754239">
      <w:bodyDiv w:val="1"/>
      <w:marLeft w:val="0"/>
      <w:marRight w:val="0"/>
      <w:marTop w:val="0"/>
      <w:marBottom w:val="0"/>
      <w:divBdr>
        <w:top w:val="none" w:sz="0" w:space="0" w:color="auto"/>
        <w:left w:val="none" w:sz="0" w:space="0" w:color="auto"/>
        <w:bottom w:val="none" w:sz="0" w:space="0" w:color="auto"/>
        <w:right w:val="none" w:sz="0" w:space="0" w:color="auto"/>
      </w:divBdr>
    </w:div>
    <w:div w:id="384646698">
      <w:bodyDiv w:val="1"/>
      <w:marLeft w:val="0"/>
      <w:marRight w:val="0"/>
      <w:marTop w:val="0"/>
      <w:marBottom w:val="0"/>
      <w:divBdr>
        <w:top w:val="none" w:sz="0" w:space="0" w:color="auto"/>
        <w:left w:val="none" w:sz="0" w:space="0" w:color="auto"/>
        <w:bottom w:val="none" w:sz="0" w:space="0" w:color="auto"/>
        <w:right w:val="none" w:sz="0" w:space="0" w:color="auto"/>
      </w:divBdr>
    </w:div>
    <w:div w:id="500967325">
      <w:bodyDiv w:val="1"/>
      <w:marLeft w:val="0"/>
      <w:marRight w:val="0"/>
      <w:marTop w:val="0"/>
      <w:marBottom w:val="0"/>
      <w:divBdr>
        <w:top w:val="none" w:sz="0" w:space="0" w:color="auto"/>
        <w:left w:val="none" w:sz="0" w:space="0" w:color="auto"/>
        <w:bottom w:val="none" w:sz="0" w:space="0" w:color="auto"/>
        <w:right w:val="none" w:sz="0" w:space="0" w:color="auto"/>
      </w:divBdr>
      <w:divsChild>
        <w:div w:id="1316640288">
          <w:marLeft w:val="0"/>
          <w:marRight w:val="0"/>
          <w:marTop w:val="0"/>
          <w:marBottom w:val="0"/>
          <w:divBdr>
            <w:top w:val="none" w:sz="0" w:space="0" w:color="auto"/>
            <w:left w:val="none" w:sz="0" w:space="0" w:color="auto"/>
            <w:bottom w:val="none" w:sz="0" w:space="0" w:color="auto"/>
            <w:right w:val="none" w:sz="0" w:space="0" w:color="auto"/>
          </w:divBdr>
          <w:divsChild>
            <w:div w:id="1920367493">
              <w:marLeft w:val="0"/>
              <w:marRight w:val="0"/>
              <w:marTop w:val="0"/>
              <w:marBottom w:val="0"/>
              <w:divBdr>
                <w:top w:val="none" w:sz="0" w:space="0" w:color="auto"/>
                <w:left w:val="none" w:sz="0" w:space="0" w:color="auto"/>
                <w:bottom w:val="none" w:sz="0" w:space="0" w:color="auto"/>
                <w:right w:val="none" w:sz="0" w:space="0" w:color="auto"/>
              </w:divBdr>
              <w:divsChild>
                <w:div w:id="1882785221">
                  <w:marLeft w:val="0"/>
                  <w:marRight w:val="0"/>
                  <w:marTop w:val="0"/>
                  <w:marBottom w:val="0"/>
                  <w:divBdr>
                    <w:top w:val="none" w:sz="0" w:space="0" w:color="auto"/>
                    <w:left w:val="none" w:sz="0" w:space="0" w:color="auto"/>
                    <w:bottom w:val="none" w:sz="0" w:space="0" w:color="auto"/>
                    <w:right w:val="none" w:sz="0" w:space="0" w:color="auto"/>
                  </w:divBdr>
                  <w:divsChild>
                    <w:div w:id="1638879160">
                      <w:marLeft w:val="0"/>
                      <w:marRight w:val="0"/>
                      <w:marTop w:val="0"/>
                      <w:marBottom w:val="0"/>
                      <w:divBdr>
                        <w:top w:val="none" w:sz="0" w:space="0" w:color="auto"/>
                        <w:left w:val="none" w:sz="0" w:space="0" w:color="auto"/>
                        <w:bottom w:val="none" w:sz="0" w:space="0" w:color="auto"/>
                        <w:right w:val="none" w:sz="0" w:space="0" w:color="auto"/>
                      </w:divBdr>
                      <w:divsChild>
                        <w:div w:id="1023239581">
                          <w:marLeft w:val="0"/>
                          <w:marRight w:val="0"/>
                          <w:marTop w:val="0"/>
                          <w:marBottom w:val="0"/>
                          <w:divBdr>
                            <w:top w:val="none" w:sz="0" w:space="0" w:color="auto"/>
                            <w:left w:val="none" w:sz="0" w:space="0" w:color="auto"/>
                            <w:bottom w:val="none" w:sz="0" w:space="0" w:color="auto"/>
                            <w:right w:val="none" w:sz="0" w:space="0" w:color="auto"/>
                          </w:divBdr>
                          <w:divsChild>
                            <w:div w:id="539822913">
                              <w:marLeft w:val="0"/>
                              <w:marRight w:val="0"/>
                              <w:marTop w:val="0"/>
                              <w:marBottom w:val="0"/>
                              <w:divBdr>
                                <w:top w:val="single" w:sz="2" w:space="4" w:color="auto"/>
                                <w:left w:val="single" w:sz="2" w:space="0" w:color="auto"/>
                                <w:bottom w:val="single" w:sz="2" w:space="4" w:color="auto"/>
                                <w:right w:val="single" w:sz="2" w:space="0" w:color="auto"/>
                              </w:divBdr>
                              <w:divsChild>
                                <w:div w:id="860439177">
                                  <w:marLeft w:val="0"/>
                                  <w:marRight w:val="0"/>
                                  <w:marTop w:val="0"/>
                                  <w:marBottom w:val="0"/>
                                  <w:divBdr>
                                    <w:top w:val="none" w:sz="0" w:space="0" w:color="auto"/>
                                    <w:left w:val="none" w:sz="0" w:space="0" w:color="auto"/>
                                    <w:bottom w:val="none" w:sz="0" w:space="0" w:color="auto"/>
                                    <w:right w:val="none" w:sz="0" w:space="0" w:color="auto"/>
                                  </w:divBdr>
                                  <w:divsChild>
                                    <w:div w:id="59378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881369">
      <w:bodyDiv w:val="1"/>
      <w:marLeft w:val="0"/>
      <w:marRight w:val="0"/>
      <w:marTop w:val="0"/>
      <w:marBottom w:val="0"/>
      <w:divBdr>
        <w:top w:val="none" w:sz="0" w:space="0" w:color="auto"/>
        <w:left w:val="none" w:sz="0" w:space="0" w:color="auto"/>
        <w:bottom w:val="none" w:sz="0" w:space="0" w:color="auto"/>
        <w:right w:val="none" w:sz="0" w:space="0" w:color="auto"/>
      </w:divBdr>
      <w:divsChild>
        <w:div w:id="40594080">
          <w:marLeft w:val="0"/>
          <w:marRight w:val="0"/>
          <w:marTop w:val="0"/>
          <w:marBottom w:val="0"/>
          <w:divBdr>
            <w:top w:val="none" w:sz="0" w:space="0" w:color="auto"/>
            <w:left w:val="none" w:sz="0" w:space="0" w:color="auto"/>
            <w:bottom w:val="none" w:sz="0" w:space="0" w:color="auto"/>
            <w:right w:val="none" w:sz="0" w:space="0" w:color="auto"/>
          </w:divBdr>
          <w:divsChild>
            <w:div w:id="1024139029">
              <w:marLeft w:val="0"/>
              <w:marRight w:val="0"/>
              <w:marTop w:val="0"/>
              <w:marBottom w:val="0"/>
              <w:divBdr>
                <w:top w:val="none" w:sz="0" w:space="0" w:color="auto"/>
                <w:left w:val="none" w:sz="0" w:space="0" w:color="auto"/>
                <w:bottom w:val="none" w:sz="0" w:space="0" w:color="auto"/>
                <w:right w:val="none" w:sz="0" w:space="0" w:color="auto"/>
              </w:divBdr>
            </w:div>
          </w:divsChild>
        </w:div>
        <w:div w:id="1038361407">
          <w:marLeft w:val="0"/>
          <w:marRight w:val="0"/>
          <w:marTop w:val="0"/>
          <w:marBottom w:val="0"/>
          <w:divBdr>
            <w:top w:val="none" w:sz="0" w:space="0" w:color="auto"/>
            <w:left w:val="none" w:sz="0" w:space="0" w:color="auto"/>
            <w:bottom w:val="none" w:sz="0" w:space="0" w:color="auto"/>
            <w:right w:val="none" w:sz="0" w:space="0" w:color="auto"/>
          </w:divBdr>
          <w:divsChild>
            <w:div w:id="81533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44506">
      <w:bodyDiv w:val="1"/>
      <w:marLeft w:val="0"/>
      <w:marRight w:val="0"/>
      <w:marTop w:val="0"/>
      <w:marBottom w:val="0"/>
      <w:divBdr>
        <w:top w:val="none" w:sz="0" w:space="0" w:color="auto"/>
        <w:left w:val="none" w:sz="0" w:space="0" w:color="auto"/>
        <w:bottom w:val="none" w:sz="0" w:space="0" w:color="auto"/>
        <w:right w:val="none" w:sz="0" w:space="0" w:color="auto"/>
      </w:divBdr>
    </w:div>
    <w:div w:id="1282109540">
      <w:bodyDiv w:val="1"/>
      <w:marLeft w:val="0"/>
      <w:marRight w:val="0"/>
      <w:marTop w:val="0"/>
      <w:marBottom w:val="0"/>
      <w:divBdr>
        <w:top w:val="none" w:sz="0" w:space="0" w:color="auto"/>
        <w:left w:val="none" w:sz="0" w:space="0" w:color="auto"/>
        <w:bottom w:val="none" w:sz="0" w:space="0" w:color="auto"/>
        <w:right w:val="none" w:sz="0" w:space="0" w:color="auto"/>
      </w:divBdr>
    </w:div>
    <w:div w:id="174557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64458741C28345951B7FEE21A888F6" ma:contentTypeVersion="12" ma:contentTypeDescription="Create a new document." ma:contentTypeScope="" ma:versionID="3c645d3d2dd7e343607bd23497d6dff5">
  <xsd:schema xmlns:xsd="http://www.w3.org/2001/XMLSchema" xmlns:xs="http://www.w3.org/2001/XMLSchema" xmlns:p="http://schemas.microsoft.com/office/2006/metadata/properties" xmlns:ns2="696494b0-0e37-4881-a061-9e1d39492982" xmlns:ns3="d153d025-c3b3-4129-aa92-e271ce2d9625" targetNamespace="http://schemas.microsoft.com/office/2006/metadata/properties" ma:root="true" ma:fieldsID="aa91de4334e5851e349aca31b439e38b" ns2:_="" ns3:_="">
    <xsd:import namespace="696494b0-0e37-4881-a061-9e1d39492982"/>
    <xsd:import namespace="d153d025-c3b3-4129-aa92-e271ce2d96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494b0-0e37-4881-a061-9e1d394929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53d025-c3b3-4129-aa92-e271ce2d96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3E0227-0FDD-4CC5-AEC4-C05566058AAF}"/>
</file>

<file path=customXml/itemProps2.xml><?xml version="1.0" encoding="utf-8"?>
<ds:datastoreItem xmlns:ds="http://schemas.openxmlformats.org/officeDocument/2006/customXml" ds:itemID="{A9CE163F-AFF4-4555-87E9-9E4BFD2B1B4B}"/>
</file>

<file path=customXml/itemProps3.xml><?xml version="1.0" encoding="utf-8"?>
<ds:datastoreItem xmlns:ds="http://schemas.openxmlformats.org/officeDocument/2006/customXml" ds:itemID="{16BD946A-B0A0-49B7-BA58-F5DB66CFAB66}"/>
</file>

<file path=docProps/app.xml><?xml version="1.0" encoding="utf-8"?>
<Properties xmlns="http://schemas.openxmlformats.org/officeDocument/2006/extended-properties" xmlns:vt="http://schemas.openxmlformats.org/officeDocument/2006/docPropsVTypes">
  <Template>Normal</Template>
  <TotalTime>1</TotalTime>
  <Pages>4</Pages>
  <Words>2508</Words>
  <Characters>13796</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Uneke Dekkers</dc:creator>
  <cp:keywords/>
  <cp:lastModifiedBy>Uneke Dekkers</cp:lastModifiedBy>
  <cp:revision>2</cp:revision>
  <dcterms:created xsi:type="dcterms:W3CDTF">2021-04-12T05:35:00Z</dcterms:created>
  <dcterms:modified xsi:type="dcterms:W3CDTF">2021-04-12T05:35:00Z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0x0101006264458741C28345951B7FEE21A888F6</vt:lpwstr>
  </property>
</Properties>
</file>