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F4BB" w14:textId="77777777" w:rsidR="007A755F" w:rsidRDefault="007A755F" w:rsidP="007A755F">
      <w:pPr>
        <w:rPr>
          <w:rFonts w:eastAsia="Times New Roman"/>
        </w:rPr>
      </w:pPr>
    </w:p>
    <w:p w14:paraId="702F9035" w14:textId="77777777" w:rsidR="007A755F" w:rsidRDefault="007A755F" w:rsidP="007A755F"/>
    <w:tbl>
      <w:tblPr>
        <w:tblW w:w="5000" w:type="pct"/>
        <w:shd w:val="clear" w:color="auto" w:fill="FFFFFF"/>
        <w:tblCellMar>
          <w:left w:w="0" w:type="dxa"/>
          <w:right w:w="0" w:type="dxa"/>
        </w:tblCellMar>
        <w:tblLook w:val="04A0" w:firstRow="1" w:lastRow="0" w:firstColumn="1" w:lastColumn="0" w:noHBand="0" w:noVBand="1"/>
      </w:tblPr>
      <w:tblGrid>
        <w:gridCol w:w="9026"/>
      </w:tblGrid>
      <w:tr w:rsidR="007A755F" w:rsidRPr="007A755F" w14:paraId="0C0567D8" w14:textId="77777777" w:rsidTr="007A755F">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26"/>
            </w:tblGrid>
            <w:tr w:rsidR="007A755F" w:rsidRPr="007A755F" w14:paraId="6832AE07" w14:textId="77777777">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26"/>
                  </w:tblGrid>
                  <w:tr w:rsidR="007A755F" w14:paraId="7194F94B"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7A755F" w14:paraId="4C26B06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A755F" w14:paraId="0D321479" w14:textId="77777777">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A755F" w14:paraId="2FCEDB30" w14:textId="77777777">
                                      <w:tc>
                                        <w:tcPr>
                                          <w:tcW w:w="0" w:type="auto"/>
                                          <w:hideMark/>
                                        </w:tcPr>
                                        <w:p w14:paraId="6BBC3F22" w14:textId="458CD42C" w:rsidR="007A755F" w:rsidRDefault="007A755F">
                                          <w:pPr>
                                            <w:spacing w:line="0" w:lineRule="atLeast"/>
                                            <w:rPr>
                                              <w:rFonts w:eastAsia="Times New Roman"/>
                                            </w:rPr>
                                          </w:pPr>
                                          <w:r>
                                            <w:rPr>
                                              <w:rFonts w:eastAsia="Times New Roman"/>
                                              <w:noProof/>
                                            </w:rPr>
                                            <w:drawing>
                                              <wp:inline distT="0" distB="0" distL="0" distR="0" wp14:anchorId="5D0C60EB" wp14:editId="38202DE1">
                                                <wp:extent cx="1428750" cy="971550"/>
                                                <wp:effectExtent l="0" t="0" r="0" b="0"/>
                                                <wp:docPr id="1"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inline>
                                            </w:drawing>
                                          </w:r>
                                        </w:p>
                                      </w:tc>
                                    </w:tr>
                                  </w:tbl>
                                  <w:p w14:paraId="2DBB8034" w14:textId="77777777" w:rsidR="007A755F" w:rsidRDefault="007A755F">
                                    <w:pPr>
                                      <w:rPr>
                                        <w:rFonts w:ascii="Times New Roman" w:eastAsia="Times New Roman" w:hAnsi="Times New Roman" w:cs="Times New Roman"/>
                                        <w:sz w:val="20"/>
                                        <w:szCs w:val="20"/>
                                      </w:rPr>
                                    </w:pPr>
                                  </w:p>
                                </w:tc>
                              </w:tr>
                            </w:tbl>
                            <w:p w14:paraId="554827AB" w14:textId="77777777" w:rsidR="007A755F" w:rsidRDefault="007A755F">
                              <w:pPr>
                                <w:jc w:val="center"/>
                                <w:rPr>
                                  <w:rFonts w:ascii="Times New Roman" w:eastAsia="Times New Roman" w:hAnsi="Times New Roman" w:cs="Times New Roman"/>
                                  <w:sz w:val="20"/>
                                  <w:szCs w:val="20"/>
                                </w:rPr>
                              </w:pPr>
                            </w:p>
                          </w:tc>
                        </w:tr>
                      </w:tbl>
                      <w:p w14:paraId="034B0F42" w14:textId="77777777" w:rsidR="007A755F" w:rsidRDefault="007A755F">
                        <w:pPr>
                          <w:jc w:val="center"/>
                          <w:rPr>
                            <w:rFonts w:ascii="Times New Roman" w:eastAsia="Times New Roman" w:hAnsi="Times New Roman" w:cs="Times New Roman"/>
                            <w:sz w:val="20"/>
                            <w:szCs w:val="20"/>
                          </w:rPr>
                        </w:pPr>
                      </w:p>
                    </w:tc>
                  </w:tr>
                  <w:tr w:rsidR="007A755F" w14:paraId="3F6571C1"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7A755F" w14:paraId="779C7D35" w14:textId="77777777">
                          <w:trPr>
                            <w:jc w:val="center"/>
                          </w:trPr>
                          <w:tc>
                            <w:tcPr>
                              <w:tcW w:w="4500" w:type="dxa"/>
                              <w:hideMark/>
                            </w:tcPr>
                            <w:tbl>
                              <w:tblPr>
                                <w:tblW w:w="5000" w:type="pct"/>
                                <w:jc w:val="center"/>
                                <w:tblCellMar>
                                  <w:left w:w="0" w:type="dxa"/>
                                  <w:right w:w="0" w:type="dxa"/>
                                </w:tblCellMar>
                                <w:tblLook w:val="04A0" w:firstRow="1" w:lastRow="0" w:firstColumn="1" w:lastColumn="0" w:noHBand="0" w:noVBand="1"/>
                              </w:tblPr>
                              <w:tblGrid>
                                <w:gridCol w:w="4500"/>
                              </w:tblGrid>
                              <w:tr w:rsidR="007A755F" w14:paraId="0B49B849" w14:textId="77777777">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4500"/>
                                    </w:tblGrid>
                                    <w:tr w:rsidR="007A755F" w14:paraId="7820C3FD" w14:textId="77777777">
                                      <w:tc>
                                        <w:tcPr>
                                          <w:tcW w:w="0" w:type="auto"/>
                                          <w:tcMar>
                                            <w:top w:w="150" w:type="dxa"/>
                                            <w:left w:w="150" w:type="dxa"/>
                                            <w:bottom w:w="150" w:type="dxa"/>
                                            <w:right w:w="150" w:type="dxa"/>
                                          </w:tcMar>
                                          <w:hideMark/>
                                        </w:tcPr>
                                        <w:p w14:paraId="7B2C936D" w14:textId="77777777" w:rsidR="007A755F" w:rsidRDefault="007A755F">
                                          <w:pPr>
                                            <w:pStyle w:val="Normaalweb"/>
                                            <w:spacing w:before="0" w:beforeAutospacing="0" w:after="0" w:afterAutospacing="0" w:line="210" w:lineRule="atLeast"/>
                                            <w:rPr>
                                              <w:rFonts w:ascii="Arial" w:hAnsi="Arial" w:cs="Arial"/>
                                              <w:color w:val="666666"/>
                                              <w:sz w:val="18"/>
                                              <w:szCs w:val="18"/>
                                            </w:rPr>
                                          </w:pPr>
                                          <w:r>
                                            <w:rPr>
                                              <w:rStyle w:val="Zwaar"/>
                                              <w:rFonts w:ascii="Arial" w:hAnsi="Arial" w:cs="Arial"/>
                                              <w:color w:val="666666"/>
                                              <w:sz w:val="27"/>
                                              <w:szCs w:val="27"/>
                                            </w:rPr>
                                            <w:t>Press release</w:t>
                                          </w:r>
                                        </w:p>
                                      </w:tc>
                                    </w:tr>
                                  </w:tbl>
                                  <w:p w14:paraId="1C0BC9CF" w14:textId="77777777" w:rsidR="007A755F" w:rsidRDefault="007A755F">
                                    <w:pPr>
                                      <w:rPr>
                                        <w:rFonts w:ascii="Times New Roman" w:eastAsia="Times New Roman" w:hAnsi="Times New Roman" w:cs="Times New Roman"/>
                                        <w:sz w:val="20"/>
                                        <w:szCs w:val="20"/>
                                      </w:rPr>
                                    </w:pPr>
                                  </w:p>
                                </w:tc>
                              </w:tr>
                            </w:tbl>
                            <w:p w14:paraId="262F70D5" w14:textId="77777777" w:rsidR="007A755F" w:rsidRDefault="007A755F">
                              <w:pPr>
                                <w:jc w:val="center"/>
                                <w:rPr>
                                  <w:rFonts w:ascii="Times New Roman" w:eastAsia="Times New Roman" w:hAnsi="Times New Roman" w:cs="Times New Roman"/>
                                  <w:sz w:val="20"/>
                                  <w:szCs w:val="20"/>
                                </w:rPr>
                              </w:pPr>
                            </w:p>
                          </w:tc>
                          <w:tc>
                            <w:tcPr>
                              <w:tcW w:w="4500" w:type="dxa"/>
                              <w:hideMark/>
                            </w:tcPr>
                            <w:tbl>
                              <w:tblPr>
                                <w:tblW w:w="5000" w:type="pct"/>
                                <w:jc w:val="center"/>
                                <w:tblCellMar>
                                  <w:left w:w="0" w:type="dxa"/>
                                  <w:right w:w="0" w:type="dxa"/>
                                </w:tblCellMar>
                                <w:tblLook w:val="04A0" w:firstRow="1" w:lastRow="0" w:firstColumn="1" w:lastColumn="0" w:noHBand="0" w:noVBand="1"/>
                              </w:tblPr>
                              <w:tblGrid>
                                <w:gridCol w:w="4500"/>
                              </w:tblGrid>
                              <w:tr w:rsidR="007A755F" w14:paraId="73BEC8E6" w14:textId="77777777">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4500"/>
                                    </w:tblGrid>
                                    <w:tr w:rsidR="007A755F" w14:paraId="2EED8962" w14:textId="77777777">
                                      <w:tc>
                                        <w:tcPr>
                                          <w:tcW w:w="0" w:type="auto"/>
                                          <w:tcMar>
                                            <w:top w:w="150" w:type="dxa"/>
                                            <w:left w:w="150" w:type="dxa"/>
                                            <w:bottom w:w="150" w:type="dxa"/>
                                            <w:right w:w="150" w:type="dxa"/>
                                          </w:tcMar>
                                          <w:hideMark/>
                                        </w:tcPr>
                                        <w:p w14:paraId="05086A95" w14:textId="77777777" w:rsidR="007A755F" w:rsidRDefault="007A755F">
                                          <w:pPr>
                                            <w:pStyle w:val="Normaalweb"/>
                                            <w:spacing w:before="0" w:beforeAutospacing="0" w:after="0" w:afterAutospacing="0" w:line="180" w:lineRule="atLeast"/>
                                            <w:jc w:val="right"/>
                                            <w:rPr>
                                              <w:rFonts w:ascii="Arial" w:hAnsi="Arial" w:cs="Arial"/>
                                              <w:color w:val="666666"/>
                                              <w:sz w:val="15"/>
                                              <w:szCs w:val="15"/>
                                            </w:rPr>
                                          </w:pPr>
                                          <w:r>
                                            <w:rPr>
                                              <w:rFonts w:ascii="Arial" w:hAnsi="Arial" w:cs="Arial"/>
                                              <w:color w:val="666666"/>
                                              <w:sz w:val="15"/>
                                              <w:szCs w:val="15"/>
                                            </w:rPr>
                                            <w:t xml:space="preserve">15 </w:t>
                                          </w:r>
                                          <w:proofErr w:type="spellStart"/>
                                          <w:r>
                                            <w:rPr>
                                              <w:rFonts w:ascii="Arial" w:hAnsi="Arial" w:cs="Arial"/>
                                              <w:color w:val="666666"/>
                                              <w:sz w:val="15"/>
                                              <w:szCs w:val="15"/>
                                            </w:rPr>
                                            <w:t>February</w:t>
                                          </w:r>
                                          <w:proofErr w:type="spellEnd"/>
                                          <w:r>
                                            <w:rPr>
                                              <w:rFonts w:ascii="Arial" w:hAnsi="Arial" w:cs="Arial"/>
                                              <w:color w:val="666666"/>
                                              <w:sz w:val="15"/>
                                              <w:szCs w:val="15"/>
                                            </w:rPr>
                                            <w:t xml:space="preserve"> 2022</w:t>
                                          </w:r>
                                        </w:p>
                                      </w:tc>
                                    </w:tr>
                                  </w:tbl>
                                  <w:p w14:paraId="69BC315E" w14:textId="77777777" w:rsidR="007A755F" w:rsidRDefault="007A755F">
                                    <w:pPr>
                                      <w:rPr>
                                        <w:rFonts w:ascii="Times New Roman" w:eastAsia="Times New Roman" w:hAnsi="Times New Roman" w:cs="Times New Roman"/>
                                        <w:sz w:val="20"/>
                                        <w:szCs w:val="20"/>
                                      </w:rPr>
                                    </w:pPr>
                                  </w:p>
                                </w:tc>
                              </w:tr>
                            </w:tbl>
                            <w:p w14:paraId="792E1304" w14:textId="77777777" w:rsidR="007A755F" w:rsidRDefault="007A755F">
                              <w:pPr>
                                <w:jc w:val="center"/>
                                <w:rPr>
                                  <w:rFonts w:ascii="Times New Roman" w:eastAsia="Times New Roman" w:hAnsi="Times New Roman" w:cs="Times New Roman"/>
                                  <w:sz w:val="20"/>
                                  <w:szCs w:val="20"/>
                                </w:rPr>
                              </w:pPr>
                            </w:p>
                          </w:tc>
                        </w:tr>
                      </w:tbl>
                      <w:p w14:paraId="497C44BA" w14:textId="77777777" w:rsidR="007A755F" w:rsidRDefault="007A755F">
                        <w:pPr>
                          <w:jc w:val="center"/>
                          <w:rPr>
                            <w:rFonts w:ascii="Times New Roman" w:eastAsia="Times New Roman" w:hAnsi="Times New Roman" w:cs="Times New Roman"/>
                            <w:sz w:val="20"/>
                            <w:szCs w:val="20"/>
                          </w:rPr>
                        </w:pPr>
                      </w:p>
                    </w:tc>
                  </w:tr>
                </w:tbl>
                <w:p w14:paraId="31C9DF51" w14:textId="77777777" w:rsidR="007A755F" w:rsidRDefault="007A755F">
                  <w:pPr>
                    <w:jc w:val="center"/>
                    <w:rPr>
                      <w:rFonts w:eastAsia="Times New Roman"/>
                    </w:rPr>
                  </w:pPr>
                </w:p>
                <w:tbl>
                  <w:tblPr>
                    <w:tblW w:w="5000" w:type="pct"/>
                    <w:jc w:val="center"/>
                    <w:tblCellMar>
                      <w:left w:w="0" w:type="dxa"/>
                      <w:right w:w="0" w:type="dxa"/>
                    </w:tblCellMar>
                    <w:tblLook w:val="04A0" w:firstRow="1" w:lastRow="0" w:firstColumn="1" w:lastColumn="0" w:noHBand="0" w:noVBand="1"/>
                  </w:tblPr>
                  <w:tblGrid>
                    <w:gridCol w:w="9026"/>
                  </w:tblGrid>
                  <w:tr w:rsidR="007A755F" w:rsidRPr="007A755F" w14:paraId="429B2D91"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7A755F" w:rsidRPr="007A755F" w14:paraId="0762AD20"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A755F" w:rsidRPr="007A755F" w14:paraId="1A3E99E9" w14:textId="77777777">
                                <w:trPr>
                                  <w:jc w:val="center"/>
                                </w:trPr>
                                <w:tc>
                                  <w:tcPr>
                                    <w:tcW w:w="0" w:type="auto"/>
                                    <w:tcMar>
                                      <w:top w:w="7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A755F" w:rsidRPr="007A755F" w14:paraId="2977926A" w14:textId="77777777">
                                      <w:tc>
                                        <w:tcPr>
                                          <w:tcW w:w="0" w:type="auto"/>
                                          <w:tcMar>
                                            <w:top w:w="150" w:type="dxa"/>
                                            <w:left w:w="150" w:type="dxa"/>
                                            <w:bottom w:w="150" w:type="dxa"/>
                                            <w:right w:w="150" w:type="dxa"/>
                                          </w:tcMar>
                                          <w:hideMark/>
                                        </w:tcPr>
                                        <w:p w14:paraId="2888F6FA" w14:textId="77777777" w:rsidR="007A755F" w:rsidRPr="007A755F" w:rsidRDefault="007A755F">
                                          <w:pPr>
                                            <w:pStyle w:val="Normaalweb"/>
                                            <w:spacing w:before="0" w:beforeAutospacing="0" w:after="0" w:afterAutospacing="0" w:line="210" w:lineRule="atLeast"/>
                                            <w:rPr>
                                              <w:rFonts w:ascii="Arial" w:hAnsi="Arial" w:cs="Arial"/>
                                              <w:color w:val="EA650D"/>
                                              <w:sz w:val="18"/>
                                              <w:szCs w:val="18"/>
                                              <w:lang w:val="en-US"/>
                                            </w:rPr>
                                          </w:pPr>
                                          <w:r w:rsidRPr="007A755F">
                                            <w:rPr>
                                              <w:rStyle w:val="Zwaar"/>
                                              <w:rFonts w:ascii="Arial" w:hAnsi="Arial" w:cs="Arial"/>
                                              <w:color w:val="EA650D"/>
                                              <w:sz w:val="27"/>
                                              <w:szCs w:val="27"/>
                                              <w:lang w:val="en-US"/>
                                            </w:rPr>
                                            <w:t xml:space="preserve">NN Life &amp; Pensions to acquire ABN AMRO </w:t>
                                          </w:r>
                                          <w:proofErr w:type="spellStart"/>
                                          <w:r w:rsidRPr="007A755F">
                                            <w:rPr>
                                              <w:rStyle w:val="Zwaar"/>
                                              <w:rFonts w:ascii="Arial" w:hAnsi="Arial" w:cs="Arial"/>
                                              <w:color w:val="EA650D"/>
                                              <w:sz w:val="27"/>
                                              <w:szCs w:val="27"/>
                                              <w:lang w:val="en-US"/>
                                            </w:rPr>
                                            <w:t>Verzekeringen’s</w:t>
                                          </w:r>
                                          <w:proofErr w:type="spellEnd"/>
                                          <w:r w:rsidRPr="007A755F">
                                            <w:rPr>
                                              <w:rStyle w:val="Zwaar"/>
                                              <w:rFonts w:ascii="Arial" w:hAnsi="Arial" w:cs="Arial"/>
                                              <w:color w:val="EA650D"/>
                                              <w:sz w:val="27"/>
                                              <w:szCs w:val="27"/>
                                              <w:lang w:val="en-US"/>
                                            </w:rPr>
                                            <w:t xml:space="preserve"> life insurance subsidiary</w:t>
                                          </w:r>
                                        </w:p>
                                      </w:tc>
                                    </w:tr>
                                  </w:tbl>
                                  <w:p w14:paraId="6B38ABD2" w14:textId="77777777" w:rsidR="007A755F" w:rsidRPr="007A755F" w:rsidRDefault="007A755F">
                                    <w:pPr>
                                      <w:textAlignment w:val="top"/>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9000"/>
                                    </w:tblGrid>
                                    <w:tr w:rsidR="007A755F" w:rsidRPr="007A755F" w14:paraId="4BC80569" w14:textId="77777777">
                                      <w:tc>
                                        <w:tcPr>
                                          <w:tcW w:w="0" w:type="auto"/>
                                          <w:tcMar>
                                            <w:top w:w="150" w:type="dxa"/>
                                            <w:left w:w="150" w:type="dxa"/>
                                            <w:bottom w:w="150" w:type="dxa"/>
                                            <w:right w:w="150" w:type="dxa"/>
                                          </w:tcMar>
                                          <w:hideMark/>
                                        </w:tcPr>
                                        <w:p w14:paraId="782483C8"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xml:space="preserve">NN Group, ABN AMRO Bank and their joint venture ABN AMRO </w:t>
                                          </w:r>
                                          <w:proofErr w:type="spellStart"/>
                                          <w:r w:rsidRPr="007A755F">
                                            <w:rPr>
                                              <w:rFonts w:ascii="Arial" w:hAnsi="Arial" w:cs="Arial"/>
                                              <w:color w:val="666666"/>
                                              <w:sz w:val="18"/>
                                              <w:szCs w:val="18"/>
                                              <w:lang w:val="en-US"/>
                                            </w:rPr>
                                            <w:t>Verzekeringen</w:t>
                                          </w:r>
                                          <w:proofErr w:type="spellEnd"/>
                                          <w:r w:rsidRPr="007A755F">
                                            <w:rPr>
                                              <w:rFonts w:ascii="Arial" w:hAnsi="Arial" w:cs="Arial"/>
                                              <w:color w:val="666666"/>
                                              <w:sz w:val="18"/>
                                              <w:szCs w:val="18"/>
                                              <w:lang w:val="en-US"/>
                                            </w:rPr>
                                            <w:t xml:space="preserve"> (AAV) announce today that they have reached an agreement to sell AAV’s life insurance subsidiary to Nationale-Nederlanden </w:t>
                                          </w:r>
                                          <w:proofErr w:type="spellStart"/>
                                          <w:r w:rsidRPr="007A755F">
                                            <w:rPr>
                                              <w:rFonts w:ascii="Arial" w:hAnsi="Arial" w:cs="Arial"/>
                                              <w:color w:val="666666"/>
                                              <w:sz w:val="18"/>
                                              <w:szCs w:val="18"/>
                                              <w:lang w:val="en-US"/>
                                            </w:rPr>
                                            <w:t>Levensverzekering</w:t>
                                          </w:r>
                                          <w:proofErr w:type="spellEnd"/>
                                          <w:r w:rsidRPr="007A755F">
                                            <w:rPr>
                                              <w:rFonts w:ascii="Arial" w:hAnsi="Arial" w:cs="Arial"/>
                                              <w:color w:val="666666"/>
                                              <w:sz w:val="18"/>
                                              <w:szCs w:val="18"/>
                                              <w:lang w:val="en-US"/>
                                            </w:rPr>
                                            <w:t xml:space="preserve"> </w:t>
                                          </w:r>
                                          <w:proofErr w:type="spellStart"/>
                                          <w:r w:rsidRPr="007A755F">
                                            <w:rPr>
                                              <w:rFonts w:ascii="Arial" w:hAnsi="Arial" w:cs="Arial"/>
                                              <w:color w:val="666666"/>
                                              <w:sz w:val="18"/>
                                              <w:szCs w:val="18"/>
                                              <w:lang w:val="en-US"/>
                                            </w:rPr>
                                            <w:t>Maatschappij</w:t>
                                          </w:r>
                                          <w:proofErr w:type="spellEnd"/>
                                          <w:r w:rsidRPr="007A755F">
                                            <w:rPr>
                                              <w:rFonts w:ascii="Arial" w:hAnsi="Arial" w:cs="Arial"/>
                                              <w:color w:val="666666"/>
                                              <w:sz w:val="18"/>
                                              <w:szCs w:val="18"/>
                                              <w:lang w:val="en-US"/>
                                            </w:rPr>
                                            <w:t xml:space="preserve"> N.V. (NN Life &amp; Pensions).</w:t>
                                          </w:r>
                                        </w:p>
                                        <w:p w14:paraId="2BE09076"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6112BBA2"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xml:space="preserve">AAV is a joint venture between NN Group (51%) and ABN AMRO Bank (49%) that provides insurance products and services to over one million retail and corporate customers. NN Group already consolidates the life insurance activities of AAV. ABN AMRO Bank and NN Group have agreed to extend their successful cooperation in AAV by 5 years until 2038, if certain customary performance criteria are met. Following the transaction, AAV will focus on its </w:t>
                                          </w:r>
                                          <w:proofErr w:type="spellStart"/>
                                          <w:r w:rsidRPr="007A755F">
                                            <w:rPr>
                                              <w:rFonts w:ascii="Arial" w:hAnsi="Arial" w:cs="Arial"/>
                                              <w:color w:val="666666"/>
                                              <w:sz w:val="18"/>
                                              <w:szCs w:val="18"/>
                                              <w:lang w:val="en-US"/>
                                            </w:rPr>
                                            <w:t>non-life</w:t>
                                          </w:r>
                                          <w:proofErr w:type="spellEnd"/>
                                          <w:r w:rsidRPr="007A755F">
                                            <w:rPr>
                                              <w:rFonts w:ascii="Arial" w:hAnsi="Arial" w:cs="Arial"/>
                                              <w:color w:val="666666"/>
                                              <w:sz w:val="18"/>
                                              <w:szCs w:val="18"/>
                                              <w:lang w:val="en-US"/>
                                            </w:rPr>
                                            <w:t xml:space="preserve"> insurance business and its insurance broker activities. NN Group and ABN AMRO Bank have agreed to make additional investments in the coming years to strengthen AAV’s digital capabilities and further grow its </w:t>
                                          </w:r>
                                          <w:proofErr w:type="spellStart"/>
                                          <w:r w:rsidRPr="007A755F">
                                            <w:rPr>
                                              <w:rFonts w:ascii="Arial" w:hAnsi="Arial" w:cs="Arial"/>
                                              <w:color w:val="666666"/>
                                              <w:sz w:val="18"/>
                                              <w:szCs w:val="18"/>
                                              <w:lang w:val="en-US"/>
                                            </w:rPr>
                                            <w:t>non-life</w:t>
                                          </w:r>
                                          <w:proofErr w:type="spellEnd"/>
                                          <w:r w:rsidRPr="007A755F">
                                            <w:rPr>
                                              <w:rFonts w:ascii="Arial" w:hAnsi="Arial" w:cs="Arial"/>
                                              <w:color w:val="666666"/>
                                              <w:sz w:val="18"/>
                                              <w:szCs w:val="18"/>
                                              <w:lang w:val="en-US"/>
                                            </w:rPr>
                                            <w:t xml:space="preserve"> portfolio.</w:t>
                                          </w:r>
                                        </w:p>
                                        <w:p w14:paraId="26B51B9B"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0CF0D66A"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xml:space="preserve">The life insurance subsidiary of AAV, ABN AMRO </w:t>
                                          </w:r>
                                          <w:proofErr w:type="spellStart"/>
                                          <w:r w:rsidRPr="007A755F">
                                            <w:rPr>
                                              <w:rFonts w:ascii="Arial" w:hAnsi="Arial" w:cs="Arial"/>
                                              <w:color w:val="666666"/>
                                              <w:sz w:val="18"/>
                                              <w:szCs w:val="18"/>
                                              <w:lang w:val="en-US"/>
                                            </w:rPr>
                                            <w:t>Levensverzekering</w:t>
                                          </w:r>
                                          <w:proofErr w:type="spellEnd"/>
                                          <w:r w:rsidRPr="007A755F">
                                            <w:rPr>
                                              <w:rFonts w:ascii="Arial" w:hAnsi="Arial" w:cs="Arial"/>
                                              <w:color w:val="666666"/>
                                              <w:sz w:val="18"/>
                                              <w:szCs w:val="18"/>
                                              <w:lang w:val="en-US"/>
                                            </w:rPr>
                                            <w:t xml:space="preserve"> N.V. (AAL), will be integrated into NN Life &amp; Pensions. The intended transaction will have no impact on the services and guarantees to customers. NN Life &amp; Pensions and ABN AMRO Bank intend to continue the sale of term life products via the bank’s channels.</w:t>
                                          </w:r>
                                        </w:p>
                                        <w:p w14:paraId="0E5E5077"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5341A24C"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xml:space="preserve">Leon van Riet, CEO Netherlands Life &amp; Pensions and member of the Management Board of NN Group: ‘This transaction is in line with our strategy to achieve further efficiencies by leveraging our existing closed book capabilities. We are pleased to continue our successful collaboration with ABN AMRO Bank and look forward to further supporting AAV’s growth strategy in </w:t>
                                          </w:r>
                                          <w:proofErr w:type="spellStart"/>
                                          <w:r w:rsidRPr="007A755F">
                                            <w:rPr>
                                              <w:rFonts w:ascii="Arial" w:hAnsi="Arial" w:cs="Arial"/>
                                              <w:color w:val="666666"/>
                                              <w:sz w:val="18"/>
                                              <w:szCs w:val="18"/>
                                              <w:lang w:val="en-US"/>
                                            </w:rPr>
                                            <w:t>non-life</w:t>
                                          </w:r>
                                          <w:proofErr w:type="spellEnd"/>
                                          <w:r w:rsidRPr="007A755F">
                                            <w:rPr>
                                              <w:rFonts w:ascii="Arial" w:hAnsi="Arial" w:cs="Arial"/>
                                              <w:color w:val="666666"/>
                                              <w:sz w:val="18"/>
                                              <w:szCs w:val="18"/>
                                              <w:lang w:val="en-US"/>
                                            </w:rPr>
                                            <w:t xml:space="preserve"> insurance.’</w:t>
                                          </w:r>
                                        </w:p>
                                        <w:p w14:paraId="17FC18E0"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3D5305FE"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xml:space="preserve">NN Life &amp; Pensions will acquire 100% of ABN AMRO </w:t>
                                          </w:r>
                                          <w:proofErr w:type="spellStart"/>
                                          <w:r w:rsidRPr="007A755F">
                                            <w:rPr>
                                              <w:rFonts w:ascii="Arial" w:hAnsi="Arial" w:cs="Arial"/>
                                              <w:color w:val="666666"/>
                                              <w:sz w:val="18"/>
                                              <w:szCs w:val="18"/>
                                              <w:lang w:val="en-US"/>
                                            </w:rPr>
                                            <w:t>Levensverzekering</w:t>
                                          </w:r>
                                          <w:proofErr w:type="spellEnd"/>
                                          <w:r w:rsidRPr="007A755F">
                                            <w:rPr>
                                              <w:rFonts w:ascii="Arial" w:hAnsi="Arial" w:cs="Arial"/>
                                              <w:color w:val="666666"/>
                                              <w:sz w:val="18"/>
                                              <w:szCs w:val="18"/>
                                              <w:lang w:val="en-US"/>
                                            </w:rPr>
                                            <w:t xml:space="preserve"> N.V. from AAV for a total amount of EUR 253 million. This will be financed from existing cash resources of NN Life &amp; Pensions. Following the transaction, AAV intends to distribute the proceeds from the transaction, after deduction of costs related to the transaction, to its shareholders NN Group and ABN AMRO Bank.</w:t>
                                          </w:r>
                                        </w:p>
                                        <w:p w14:paraId="3519B917"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36DE7CB3"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The transaction is expected to have a limited negative impact on NN Group's Solvency II ratio on closing, which is expected to change into a limited positive impact following the envisaged legal merger of AAL and NN Life &amp; Pensions and the application of NN Group’s Partial Internal Model. On a consolidated basis, the acquisition is expected to result in a net cash outflow from NN Group of EUR 128 million for the indirect 49% stake in AAL and an increase of its dividend capacity of approximately EUR 15 million per annum.</w:t>
                                          </w:r>
                                        </w:p>
                                        <w:p w14:paraId="1062B499"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 </w:t>
                                          </w:r>
                                        </w:p>
                                        <w:p w14:paraId="35B715B1"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Fonts w:ascii="Arial" w:hAnsi="Arial" w:cs="Arial"/>
                                              <w:color w:val="666666"/>
                                              <w:sz w:val="18"/>
                                              <w:szCs w:val="18"/>
                                              <w:lang w:val="en-US"/>
                                            </w:rPr>
                                            <w:t>The transaction is subject to regulatory approvals and is expected to close in the second half of 2022.</w:t>
                                          </w:r>
                                        </w:p>
                                      </w:tc>
                                    </w:tr>
                                  </w:tbl>
                                  <w:p w14:paraId="53846C61" w14:textId="77777777" w:rsidR="007A755F" w:rsidRPr="007A755F" w:rsidRDefault="007A755F">
                                    <w:pPr>
                                      <w:rPr>
                                        <w:rFonts w:ascii="Times New Roman" w:eastAsia="Times New Roman" w:hAnsi="Times New Roman" w:cs="Times New Roman"/>
                                        <w:sz w:val="20"/>
                                        <w:szCs w:val="20"/>
                                        <w:lang w:val="en-US"/>
                                      </w:rPr>
                                    </w:pPr>
                                  </w:p>
                                </w:tc>
                              </w:tr>
                            </w:tbl>
                            <w:p w14:paraId="6EA33CDC" w14:textId="77777777" w:rsidR="007A755F" w:rsidRPr="007A755F" w:rsidRDefault="007A755F">
                              <w:pPr>
                                <w:jc w:val="center"/>
                                <w:rPr>
                                  <w:rFonts w:ascii="Times New Roman" w:eastAsia="Times New Roman" w:hAnsi="Times New Roman" w:cs="Times New Roman"/>
                                  <w:sz w:val="20"/>
                                  <w:szCs w:val="20"/>
                                  <w:lang w:val="en-US"/>
                                </w:rPr>
                              </w:pPr>
                            </w:p>
                          </w:tc>
                        </w:tr>
                      </w:tbl>
                      <w:p w14:paraId="6F9858FF" w14:textId="77777777" w:rsidR="007A755F" w:rsidRPr="007A755F" w:rsidRDefault="007A755F">
                        <w:pPr>
                          <w:jc w:val="center"/>
                          <w:rPr>
                            <w:rFonts w:ascii="Times New Roman" w:eastAsia="Times New Roman" w:hAnsi="Times New Roman" w:cs="Times New Roman"/>
                            <w:sz w:val="20"/>
                            <w:szCs w:val="20"/>
                            <w:lang w:val="en-US"/>
                          </w:rPr>
                        </w:pPr>
                      </w:p>
                    </w:tc>
                  </w:tr>
                  <w:tr w:rsidR="007A755F" w:rsidRPr="007A755F" w14:paraId="7C40D2D9"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7A755F" w:rsidRPr="007A755F" w14:paraId="1DAF4BC7" w14:textId="77777777">
                          <w:trPr>
                            <w:jc w:val="center"/>
                          </w:trPr>
                          <w:tc>
                            <w:tcPr>
                              <w:tcW w:w="4500" w:type="dxa"/>
                              <w:hideMark/>
                            </w:tcPr>
                            <w:tbl>
                              <w:tblPr>
                                <w:tblW w:w="5000" w:type="pct"/>
                                <w:jc w:val="center"/>
                                <w:tblCellMar>
                                  <w:left w:w="0" w:type="dxa"/>
                                  <w:right w:w="0" w:type="dxa"/>
                                </w:tblCellMar>
                                <w:tblLook w:val="04A0" w:firstRow="1" w:lastRow="0" w:firstColumn="1" w:lastColumn="0" w:noHBand="0" w:noVBand="1"/>
                              </w:tblPr>
                              <w:tblGrid>
                                <w:gridCol w:w="4500"/>
                              </w:tblGrid>
                              <w:tr w:rsidR="007A755F" w14:paraId="6E2E3F8F" w14:textId="77777777">
                                <w:trPr>
                                  <w:jc w:val="center"/>
                                </w:trPr>
                                <w:tc>
                                  <w:tcPr>
                                    <w:tcW w:w="0" w:type="auto"/>
                                    <w:tcMar>
                                      <w:top w:w="7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4500"/>
                                    </w:tblGrid>
                                    <w:tr w:rsidR="007A755F" w:rsidRPr="007A755F" w14:paraId="7528605B" w14:textId="77777777">
                                      <w:tc>
                                        <w:tcPr>
                                          <w:tcW w:w="0" w:type="auto"/>
                                          <w:tcMar>
                                            <w:top w:w="150" w:type="dxa"/>
                                            <w:left w:w="150" w:type="dxa"/>
                                            <w:bottom w:w="150" w:type="dxa"/>
                                            <w:right w:w="150" w:type="dxa"/>
                                          </w:tcMar>
                                          <w:hideMark/>
                                        </w:tcPr>
                                        <w:tbl>
                                          <w:tblPr>
                                            <w:tblW w:w="5000" w:type="pct"/>
                                            <w:jc w:val="center"/>
                                            <w:tblBorders>
                                              <w:top w:val="single" w:sz="6" w:space="0" w:color="EA650D"/>
                                            </w:tblBorders>
                                            <w:tblCellMar>
                                              <w:left w:w="0" w:type="dxa"/>
                                              <w:right w:w="0" w:type="dxa"/>
                                            </w:tblCellMar>
                                            <w:tblLook w:val="04A0" w:firstRow="1" w:lastRow="0" w:firstColumn="1" w:lastColumn="0" w:noHBand="0" w:noVBand="1"/>
                                          </w:tblPr>
                                          <w:tblGrid>
                                            <w:gridCol w:w="4200"/>
                                          </w:tblGrid>
                                          <w:tr w:rsidR="007A755F" w:rsidRPr="007A755F" w14:paraId="0602C649" w14:textId="77777777">
                                            <w:trPr>
                                              <w:jc w:val="center"/>
                                            </w:trPr>
                                            <w:tc>
                                              <w:tcPr>
                                                <w:tcW w:w="0" w:type="auto"/>
                                                <w:tcBorders>
                                                  <w:top w:val="single" w:sz="6" w:space="0" w:color="EA650D"/>
                                                  <w:left w:val="nil"/>
                                                  <w:bottom w:val="nil"/>
                                                  <w:right w:val="nil"/>
                                                </w:tcBorders>
                                                <w:hideMark/>
                                              </w:tcPr>
                                              <w:p w14:paraId="562FE220" w14:textId="77777777" w:rsidR="007A755F" w:rsidRPr="007A755F" w:rsidRDefault="007A755F">
                                                <w:pPr>
                                                  <w:rPr>
                                                    <w:rFonts w:ascii="Times New Roman" w:eastAsia="Times New Roman" w:hAnsi="Times New Roman" w:cs="Times New Roman"/>
                                                    <w:sz w:val="20"/>
                                                    <w:szCs w:val="20"/>
                                                    <w:lang w:val="en-US"/>
                                                  </w:rPr>
                                                </w:pPr>
                                              </w:p>
                                            </w:tc>
                                          </w:tr>
                                        </w:tbl>
                                        <w:p w14:paraId="337D9E22" w14:textId="77777777" w:rsidR="007A755F" w:rsidRPr="007A755F" w:rsidRDefault="007A755F">
                                          <w:pPr>
                                            <w:jc w:val="center"/>
                                            <w:rPr>
                                              <w:rFonts w:ascii="Times New Roman" w:eastAsia="Times New Roman" w:hAnsi="Times New Roman" w:cs="Times New Roman"/>
                                              <w:sz w:val="20"/>
                                              <w:szCs w:val="20"/>
                                              <w:lang w:val="en-US"/>
                                            </w:rPr>
                                          </w:pPr>
                                        </w:p>
                                      </w:tc>
                                    </w:tr>
                                  </w:tbl>
                                  <w:p w14:paraId="29057361" w14:textId="77777777" w:rsidR="007A755F" w:rsidRPr="007A755F" w:rsidRDefault="007A755F">
                                    <w:pPr>
                                      <w:textAlignment w:val="top"/>
                                      <w:rPr>
                                        <w:rFonts w:eastAsia="Times New Roman"/>
                                        <w:vanish/>
                                        <w:lang w:val="en-US"/>
                                      </w:rPr>
                                    </w:pPr>
                                  </w:p>
                                  <w:tbl>
                                    <w:tblPr>
                                      <w:tblW w:w="5000" w:type="pct"/>
                                      <w:tblCellMar>
                                        <w:left w:w="0" w:type="dxa"/>
                                        <w:right w:w="0" w:type="dxa"/>
                                      </w:tblCellMar>
                                      <w:tblLook w:val="04A0" w:firstRow="1" w:lastRow="0" w:firstColumn="1" w:lastColumn="0" w:noHBand="0" w:noVBand="1"/>
                                    </w:tblPr>
                                    <w:tblGrid>
                                      <w:gridCol w:w="4500"/>
                                    </w:tblGrid>
                                    <w:tr w:rsidR="007A755F" w14:paraId="30571D3D" w14:textId="77777777">
                                      <w:tc>
                                        <w:tcPr>
                                          <w:tcW w:w="0" w:type="auto"/>
                                          <w:tcMar>
                                            <w:top w:w="0" w:type="dxa"/>
                                            <w:left w:w="150" w:type="dxa"/>
                                            <w:bottom w:w="0" w:type="dxa"/>
                                            <w:right w:w="150" w:type="dxa"/>
                                          </w:tcMar>
                                          <w:hideMark/>
                                        </w:tcPr>
                                        <w:p w14:paraId="51280E81"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Style w:val="Zwaar"/>
                                              <w:rFonts w:ascii="Arial" w:hAnsi="Arial" w:cs="Arial"/>
                                              <w:color w:val="666666"/>
                                              <w:sz w:val="17"/>
                                              <w:szCs w:val="17"/>
                                              <w:lang w:val="en-US"/>
                                            </w:rPr>
                                            <w:t>Press enquiries NN Group</w:t>
                                          </w:r>
                                        </w:p>
                                        <w:p w14:paraId="08C14288" w14:textId="77777777" w:rsidR="007A755F" w:rsidRPr="007A755F" w:rsidRDefault="007A755F">
                                          <w:pPr>
                                            <w:pStyle w:val="Normaalweb"/>
                                            <w:spacing w:before="0" w:beforeAutospacing="0" w:after="0" w:afterAutospacing="0" w:line="195" w:lineRule="atLeast"/>
                                            <w:rPr>
                                              <w:rFonts w:ascii="Arial" w:hAnsi="Arial" w:cs="Arial"/>
                                              <w:color w:val="666666"/>
                                              <w:sz w:val="17"/>
                                              <w:szCs w:val="17"/>
                                              <w:lang w:val="en-US"/>
                                            </w:rPr>
                                          </w:pPr>
                                          <w:r w:rsidRPr="007A755F">
                                            <w:rPr>
                                              <w:rFonts w:ascii="Arial" w:hAnsi="Arial" w:cs="Arial"/>
                                              <w:color w:val="666666"/>
                                              <w:sz w:val="17"/>
                                              <w:szCs w:val="17"/>
                                              <w:lang w:val="en-US"/>
                                            </w:rPr>
                                            <w:t>Media Relations</w:t>
                                          </w:r>
                                        </w:p>
                                        <w:p w14:paraId="792222CF" w14:textId="0AB5AF0E" w:rsidR="007A755F" w:rsidRDefault="007A755F">
                                          <w:pPr>
                                            <w:pStyle w:val="Normaalweb"/>
                                            <w:spacing w:before="0" w:beforeAutospacing="0" w:after="0" w:afterAutospacing="0" w:line="195" w:lineRule="atLeast"/>
                                            <w:rPr>
                                              <w:rFonts w:ascii="Arial" w:hAnsi="Arial" w:cs="Arial"/>
                                              <w:color w:val="666666"/>
                                              <w:sz w:val="17"/>
                                              <w:szCs w:val="17"/>
                                            </w:rPr>
                                          </w:pPr>
                                          <w:r>
                                            <w:rPr>
                                              <w:rFonts w:ascii="Arial" w:hAnsi="Arial" w:cs="Arial"/>
                                              <w:color w:val="666666"/>
                                              <w:sz w:val="17"/>
                                              <w:szCs w:val="17"/>
                                            </w:rPr>
                                            <w:t xml:space="preserve">+31  </w:t>
                                          </w:r>
                                          <w:r w:rsidRPr="007A755F">
                                            <w:rPr>
                                              <w:rFonts w:ascii="Arial" w:hAnsi="Arial" w:cs="Arial"/>
                                              <w:color w:val="666666"/>
                                              <w:sz w:val="17"/>
                                              <w:szCs w:val="17"/>
                                            </w:rPr>
                                            <w:t>6 53603065</w:t>
                                          </w:r>
                                        </w:p>
                                        <w:p w14:paraId="2D9E6360" w14:textId="77777777" w:rsidR="007A755F" w:rsidRDefault="007A755F">
                                          <w:pPr>
                                            <w:pStyle w:val="Normaalweb"/>
                                            <w:spacing w:before="0" w:beforeAutospacing="0" w:after="0" w:afterAutospacing="0" w:line="195" w:lineRule="atLeast"/>
                                            <w:rPr>
                                              <w:rFonts w:ascii="Arial" w:hAnsi="Arial" w:cs="Arial"/>
                                              <w:color w:val="666666"/>
                                              <w:sz w:val="17"/>
                                              <w:szCs w:val="17"/>
                                            </w:rPr>
                                          </w:pPr>
                                          <w:hyperlink r:id="rId8" w:history="1">
                                            <w:r>
                                              <w:rPr>
                                                <w:rStyle w:val="Hyperlink"/>
                                                <w:rFonts w:ascii="Arial" w:hAnsi="Arial" w:cs="Arial"/>
                                                <w:sz w:val="17"/>
                                                <w:szCs w:val="17"/>
                                              </w:rPr>
                                              <w:t>mediarelations@nn-group.com</w:t>
                                            </w:r>
                                          </w:hyperlink>
                                        </w:p>
                                      </w:tc>
                                    </w:tr>
                                  </w:tbl>
                                  <w:p w14:paraId="19096BF4" w14:textId="77777777" w:rsidR="007A755F" w:rsidRDefault="007A755F">
                                    <w:pPr>
                                      <w:textAlignment w:val="top"/>
                                      <w:rPr>
                                        <w:rFonts w:eastAsia="Times New Roman"/>
                                      </w:rPr>
                                    </w:pPr>
                                  </w:p>
                                  <w:tbl>
                                    <w:tblPr>
                                      <w:tblW w:w="5000" w:type="pct"/>
                                      <w:tblCellMar>
                                        <w:left w:w="0" w:type="dxa"/>
                                        <w:right w:w="0" w:type="dxa"/>
                                      </w:tblCellMar>
                                      <w:tblLook w:val="04A0" w:firstRow="1" w:lastRow="0" w:firstColumn="1" w:lastColumn="0" w:noHBand="0" w:noVBand="1"/>
                                    </w:tblPr>
                                    <w:tblGrid>
                                      <w:gridCol w:w="4500"/>
                                    </w:tblGrid>
                                    <w:tr w:rsidR="007A755F" w14:paraId="6D9CD17D" w14:textId="77777777">
                                      <w:tc>
                                        <w:tcPr>
                                          <w:tcW w:w="0" w:type="auto"/>
                                          <w:tcMar>
                                            <w:top w:w="150" w:type="dxa"/>
                                            <w:left w:w="150" w:type="dxa"/>
                                            <w:bottom w:w="150" w:type="dxa"/>
                                            <w:right w:w="150" w:type="dxa"/>
                                          </w:tcMar>
                                          <w:hideMark/>
                                        </w:tcPr>
                                        <w:tbl>
                                          <w:tblPr>
                                            <w:tblW w:w="5000" w:type="pct"/>
                                            <w:jc w:val="center"/>
                                            <w:tblBorders>
                                              <w:top w:val="single" w:sz="6" w:space="0" w:color="EA650D"/>
                                            </w:tblBorders>
                                            <w:tblCellMar>
                                              <w:left w:w="0" w:type="dxa"/>
                                              <w:right w:w="0" w:type="dxa"/>
                                            </w:tblCellMar>
                                            <w:tblLook w:val="04A0" w:firstRow="1" w:lastRow="0" w:firstColumn="1" w:lastColumn="0" w:noHBand="0" w:noVBand="1"/>
                                          </w:tblPr>
                                          <w:tblGrid>
                                            <w:gridCol w:w="4200"/>
                                          </w:tblGrid>
                                          <w:tr w:rsidR="007A755F" w14:paraId="3EAF3958" w14:textId="77777777">
                                            <w:trPr>
                                              <w:jc w:val="center"/>
                                            </w:trPr>
                                            <w:tc>
                                              <w:tcPr>
                                                <w:tcW w:w="0" w:type="auto"/>
                                                <w:tcBorders>
                                                  <w:top w:val="single" w:sz="6" w:space="0" w:color="EA650D"/>
                                                  <w:left w:val="nil"/>
                                                  <w:bottom w:val="nil"/>
                                                  <w:right w:val="nil"/>
                                                </w:tcBorders>
                                                <w:hideMark/>
                                              </w:tcPr>
                                              <w:p w14:paraId="197F2B5C" w14:textId="77777777" w:rsidR="007A755F" w:rsidRDefault="007A755F">
                                                <w:pPr>
                                                  <w:rPr>
                                                    <w:rFonts w:eastAsia="Times New Roman"/>
                                                  </w:rPr>
                                                </w:pPr>
                                              </w:p>
                                            </w:tc>
                                          </w:tr>
                                        </w:tbl>
                                        <w:p w14:paraId="6337C566" w14:textId="77777777" w:rsidR="007A755F" w:rsidRDefault="007A755F">
                                          <w:pPr>
                                            <w:jc w:val="center"/>
                                            <w:rPr>
                                              <w:rFonts w:ascii="Times New Roman" w:eastAsia="Times New Roman" w:hAnsi="Times New Roman" w:cs="Times New Roman"/>
                                              <w:sz w:val="20"/>
                                              <w:szCs w:val="20"/>
                                            </w:rPr>
                                          </w:pPr>
                                        </w:p>
                                      </w:tc>
                                    </w:tr>
                                  </w:tbl>
                                  <w:p w14:paraId="341D96C8" w14:textId="77777777" w:rsidR="007A755F" w:rsidRDefault="007A755F">
                                    <w:pPr>
                                      <w:rPr>
                                        <w:rFonts w:ascii="Times New Roman" w:eastAsia="Times New Roman" w:hAnsi="Times New Roman" w:cs="Times New Roman"/>
                                        <w:sz w:val="20"/>
                                        <w:szCs w:val="20"/>
                                      </w:rPr>
                                    </w:pPr>
                                  </w:p>
                                </w:tc>
                              </w:tr>
                            </w:tbl>
                            <w:p w14:paraId="7F494708" w14:textId="77777777" w:rsidR="007A755F" w:rsidRDefault="007A755F">
                              <w:pPr>
                                <w:jc w:val="center"/>
                                <w:rPr>
                                  <w:rFonts w:ascii="Times New Roman" w:eastAsia="Times New Roman" w:hAnsi="Times New Roman" w:cs="Times New Roman"/>
                                  <w:sz w:val="20"/>
                                  <w:szCs w:val="20"/>
                                </w:rPr>
                              </w:pPr>
                            </w:p>
                          </w:tc>
                          <w:tc>
                            <w:tcPr>
                              <w:tcW w:w="4500" w:type="dxa"/>
                              <w:hideMark/>
                            </w:tcPr>
                            <w:tbl>
                              <w:tblPr>
                                <w:tblW w:w="5000" w:type="pct"/>
                                <w:jc w:val="center"/>
                                <w:tblCellMar>
                                  <w:left w:w="0" w:type="dxa"/>
                                  <w:right w:w="0" w:type="dxa"/>
                                </w:tblCellMar>
                                <w:tblLook w:val="04A0" w:firstRow="1" w:lastRow="0" w:firstColumn="1" w:lastColumn="0" w:noHBand="0" w:noVBand="1"/>
                              </w:tblPr>
                              <w:tblGrid>
                                <w:gridCol w:w="4500"/>
                              </w:tblGrid>
                              <w:tr w:rsidR="007A755F" w:rsidRPr="007A755F" w14:paraId="68C8BBBE" w14:textId="77777777">
                                <w:trPr>
                                  <w:jc w:val="center"/>
                                </w:trPr>
                                <w:tc>
                                  <w:tcPr>
                                    <w:tcW w:w="0" w:type="auto"/>
                                    <w:tcMar>
                                      <w:top w:w="7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4500"/>
                                    </w:tblGrid>
                                    <w:tr w:rsidR="007A755F" w14:paraId="5AAB179D" w14:textId="77777777">
                                      <w:tc>
                                        <w:tcPr>
                                          <w:tcW w:w="0" w:type="auto"/>
                                          <w:tcMar>
                                            <w:top w:w="150" w:type="dxa"/>
                                            <w:left w:w="150" w:type="dxa"/>
                                            <w:bottom w:w="150" w:type="dxa"/>
                                            <w:right w:w="150" w:type="dxa"/>
                                          </w:tcMar>
                                          <w:hideMark/>
                                        </w:tcPr>
                                        <w:tbl>
                                          <w:tblPr>
                                            <w:tblW w:w="5000" w:type="pct"/>
                                            <w:jc w:val="center"/>
                                            <w:tblBorders>
                                              <w:top w:val="single" w:sz="6" w:space="0" w:color="EA650D"/>
                                            </w:tblBorders>
                                            <w:tblCellMar>
                                              <w:left w:w="0" w:type="dxa"/>
                                              <w:right w:w="0" w:type="dxa"/>
                                            </w:tblCellMar>
                                            <w:tblLook w:val="04A0" w:firstRow="1" w:lastRow="0" w:firstColumn="1" w:lastColumn="0" w:noHBand="0" w:noVBand="1"/>
                                          </w:tblPr>
                                          <w:tblGrid>
                                            <w:gridCol w:w="4200"/>
                                          </w:tblGrid>
                                          <w:tr w:rsidR="007A755F" w14:paraId="0F463855" w14:textId="77777777">
                                            <w:trPr>
                                              <w:jc w:val="center"/>
                                            </w:trPr>
                                            <w:tc>
                                              <w:tcPr>
                                                <w:tcW w:w="0" w:type="auto"/>
                                                <w:tcBorders>
                                                  <w:top w:val="single" w:sz="6" w:space="0" w:color="EA650D"/>
                                                  <w:left w:val="nil"/>
                                                  <w:bottom w:val="nil"/>
                                                  <w:right w:val="nil"/>
                                                </w:tcBorders>
                                                <w:hideMark/>
                                              </w:tcPr>
                                              <w:p w14:paraId="3937084D" w14:textId="77777777" w:rsidR="007A755F" w:rsidRDefault="007A755F">
                                                <w:pPr>
                                                  <w:rPr>
                                                    <w:rFonts w:ascii="Times New Roman" w:eastAsia="Times New Roman" w:hAnsi="Times New Roman" w:cs="Times New Roman"/>
                                                    <w:sz w:val="20"/>
                                                    <w:szCs w:val="20"/>
                                                  </w:rPr>
                                                </w:pPr>
                                              </w:p>
                                            </w:tc>
                                          </w:tr>
                                        </w:tbl>
                                        <w:p w14:paraId="13EBDDDD" w14:textId="77777777" w:rsidR="007A755F" w:rsidRDefault="007A755F">
                                          <w:pPr>
                                            <w:jc w:val="center"/>
                                            <w:rPr>
                                              <w:rFonts w:ascii="Times New Roman" w:eastAsia="Times New Roman" w:hAnsi="Times New Roman" w:cs="Times New Roman"/>
                                              <w:sz w:val="20"/>
                                              <w:szCs w:val="20"/>
                                            </w:rPr>
                                          </w:pPr>
                                        </w:p>
                                      </w:tc>
                                    </w:tr>
                                  </w:tbl>
                                  <w:p w14:paraId="70B5C1F1" w14:textId="77777777" w:rsidR="007A755F" w:rsidRDefault="007A755F">
                                    <w:pPr>
                                      <w:textAlignment w:val="top"/>
                                      <w:rPr>
                                        <w:rFonts w:eastAsia="Times New Roman"/>
                                        <w:vanish/>
                                      </w:rPr>
                                    </w:pPr>
                                  </w:p>
                                  <w:tbl>
                                    <w:tblPr>
                                      <w:tblW w:w="5000" w:type="pct"/>
                                      <w:tblCellMar>
                                        <w:left w:w="0" w:type="dxa"/>
                                        <w:right w:w="0" w:type="dxa"/>
                                      </w:tblCellMar>
                                      <w:tblLook w:val="04A0" w:firstRow="1" w:lastRow="0" w:firstColumn="1" w:lastColumn="0" w:noHBand="0" w:noVBand="1"/>
                                    </w:tblPr>
                                    <w:tblGrid>
                                      <w:gridCol w:w="4500"/>
                                    </w:tblGrid>
                                    <w:tr w:rsidR="007A755F" w:rsidRPr="007A755F" w14:paraId="36745F81" w14:textId="77777777">
                                      <w:tc>
                                        <w:tcPr>
                                          <w:tcW w:w="0" w:type="auto"/>
                                          <w:tcMar>
                                            <w:top w:w="0" w:type="dxa"/>
                                            <w:left w:w="150" w:type="dxa"/>
                                            <w:bottom w:w="0" w:type="dxa"/>
                                            <w:right w:w="150" w:type="dxa"/>
                                          </w:tcMar>
                                          <w:hideMark/>
                                        </w:tcPr>
                                        <w:p w14:paraId="07DE2793" w14:textId="77777777" w:rsidR="007A755F" w:rsidRPr="007A755F" w:rsidRDefault="007A755F">
                                          <w:pPr>
                                            <w:pStyle w:val="Normaalweb"/>
                                            <w:spacing w:before="0" w:beforeAutospacing="0" w:after="0" w:afterAutospacing="0" w:line="210" w:lineRule="atLeast"/>
                                            <w:rPr>
                                              <w:rFonts w:ascii="Arial" w:hAnsi="Arial" w:cs="Arial"/>
                                              <w:color w:val="666666"/>
                                              <w:sz w:val="18"/>
                                              <w:szCs w:val="18"/>
                                              <w:lang w:val="en-US"/>
                                            </w:rPr>
                                          </w:pPr>
                                          <w:r w:rsidRPr="007A755F">
                                            <w:rPr>
                                              <w:rStyle w:val="Zwaar"/>
                                              <w:rFonts w:ascii="Arial" w:hAnsi="Arial" w:cs="Arial"/>
                                              <w:color w:val="666666"/>
                                              <w:sz w:val="17"/>
                                              <w:szCs w:val="17"/>
                                              <w:lang w:val="en-US"/>
                                            </w:rPr>
                                            <w:t>Investor enquiries NN Group</w:t>
                                          </w:r>
                                        </w:p>
                                        <w:p w14:paraId="70A0F0F7" w14:textId="77777777" w:rsidR="007A755F" w:rsidRPr="007A755F" w:rsidRDefault="007A755F">
                                          <w:pPr>
                                            <w:pStyle w:val="Normaalweb"/>
                                            <w:spacing w:before="0" w:beforeAutospacing="0" w:after="0" w:afterAutospacing="0" w:line="195" w:lineRule="atLeast"/>
                                            <w:rPr>
                                              <w:rFonts w:ascii="Arial" w:hAnsi="Arial" w:cs="Arial"/>
                                              <w:color w:val="666666"/>
                                              <w:sz w:val="17"/>
                                              <w:szCs w:val="17"/>
                                              <w:lang w:val="en-US"/>
                                            </w:rPr>
                                          </w:pPr>
                                          <w:r w:rsidRPr="007A755F">
                                            <w:rPr>
                                              <w:rFonts w:ascii="Arial" w:hAnsi="Arial" w:cs="Arial"/>
                                              <w:color w:val="666666"/>
                                              <w:sz w:val="17"/>
                                              <w:szCs w:val="17"/>
                                              <w:lang w:val="en-US"/>
                                            </w:rPr>
                                            <w:t>Investor Relations</w:t>
                                          </w:r>
                                        </w:p>
                                        <w:p w14:paraId="69492745" w14:textId="77777777" w:rsidR="007A755F" w:rsidRPr="007A755F" w:rsidRDefault="007A755F">
                                          <w:pPr>
                                            <w:pStyle w:val="Normaalweb"/>
                                            <w:spacing w:before="0" w:beforeAutospacing="0" w:after="0" w:afterAutospacing="0" w:line="195" w:lineRule="atLeast"/>
                                            <w:rPr>
                                              <w:rFonts w:ascii="Arial" w:hAnsi="Arial" w:cs="Arial"/>
                                              <w:color w:val="666666"/>
                                              <w:sz w:val="17"/>
                                              <w:szCs w:val="17"/>
                                              <w:lang w:val="en-US"/>
                                            </w:rPr>
                                          </w:pPr>
                                          <w:r w:rsidRPr="007A755F">
                                            <w:rPr>
                                              <w:rFonts w:ascii="Arial" w:hAnsi="Arial" w:cs="Arial"/>
                                              <w:color w:val="666666"/>
                                              <w:sz w:val="17"/>
                                              <w:szCs w:val="17"/>
                                              <w:lang w:val="en-US"/>
                                            </w:rPr>
                                            <w:t>+31 88 670 6647</w:t>
                                          </w:r>
                                          <w:r w:rsidRPr="007A755F">
                                            <w:rPr>
                                              <w:rFonts w:ascii="Arial" w:hAnsi="Arial" w:cs="Arial"/>
                                              <w:color w:val="666666"/>
                                              <w:sz w:val="17"/>
                                              <w:szCs w:val="17"/>
                                              <w:lang w:val="en-US"/>
                                            </w:rPr>
                                            <w:br/>
                                          </w:r>
                                          <w:hyperlink r:id="rId9" w:history="1">
                                            <w:r w:rsidRPr="007A755F">
                                              <w:rPr>
                                                <w:rStyle w:val="Hyperlink"/>
                                                <w:rFonts w:ascii="Arial" w:hAnsi="Arial" w:cs="Arial"/>
                                                <w:sz w:val="17"/>
                                                <w:szCs w:val="17"/>
                                                <w:lang w:val="en-US"/>
                                              </w:rPr>
                                              <w:t>investor.relations@nn-group.com</w:t>
                                            </w:r>
                                          </w:hyperlink>
                                        </w:p>
                                      </w:tc>
                                    </w:tr>
                                  </w:tbl>
                                  <w:p w14:paraId="29809EBF" w14:textId="77777777" w:rsidR="007A755F" w:rsidRPr="007A755F" w:rsidRDefault="007A755F">
                                    <w:pPr>
                                      <w:textAlignment w:val="top"/>
                                      <w:rPr>
                                        <w:rFonts w:eastAsia="Times New Roman"/>
                                        <w:lang w:val="en-US"/>
                                      </w:rPr>
                                    </w:pPr>
                                  </w:p>
                                  <w:tbl>
                                    <w:tblPr>
                                      <w:tblW w:w="5000" w:type="pct"/>
                                      <w:tblCellMar>
                                        <w:left w:w="0" w:type="dxa"/>
                                        <w:right w:w="0" w:type="dxa"/>
                                      </w:tblCellMar>
                                      <w:tblLook w:val="04A0" w:firstRow="1" w:lastRow="0" w:firstColumn="1" w:lastColumn="0" w:noHBand="0" w:noVBand="1"/>
                                    </w:tblPr>
                                    <w:tblGrid>
                                      <w:gridCol w:w="4500"/>
                                    </w:tblGrid>
                                    <w:tr w:rsidR="007A755F" w:rsidRPr="007A755F" w14:paraId="2D6FF64C" w14:textId="77777777">
                                      <w:tc>
                                        <w:tcPr>
                                          <w:tcW w:w="0" w:type="auto"/>
                                          <w:tcMar>
                                            <w:top w:w="150" w:type="dxa"/>
                                            <w:left w:w="150" w:type="dxa"/>
                                            <w:bottom w:w="150" w:type="dxa"/>
                                            <w:right w:w="150" w:type="dxa"/>
                                          </w:tcMar>
                                          <w:hideMark/>
                                        </w:tcPr>
                                        <w:tbl>
                                          <w:tblPr>
                                            <w:tblW w:w="5000" w:type="pct"/>
                                            <w:jc w:val="center"/>
                                            <w:tblBorders>
                                              <w:top w:val="single" w:sz="6" w:space="0" w:color="EA650D"/>
                                            </w:tblBorders>
                                            <w:tblCellMar>
                                              <w:left w:w="0" w:type="dxa"/>
                                              <w:right w:w="0" w:type="dxa"/>
                                            </w:tblCellMar>
                                            <w:tblLook w:val="04A0" w:firstRow="1" w:lastRow="0" w:firstColumn="1" w:lastColumn="0" w:noHBand="0" w:noVBand="1"/>
                                          </w:tblPr>
                                          <w:tblGrid>
                                            <w:gridCol w:w="4200"/>
                                          </w:tblGrid>
                                          <w:tr w:rsidR="007A755F" w:rsidRPr="007A755F" w14:paraId="0CC750DE" w14:textId="77777777">
                                            <w:trPr>
                                              <w:jc w:val="center"/>
                                            </w:trPr>
                                            <w:tc>
                                              <w:tcPr>
                                                <w:tcW w:w="0" w:type="auto"/>
                                                <w:tcBorders>
                                                  <w:top w:val="single" w:sz="6" w:space="0" w:color="EA650D"/>
                                                  <w:left w:val="nil"/>
                                                  <w:bottom w:val="nil"/>
                                                  <w:right w:val="nil"/>
                                                </w:tcBorders>
                                                <w:hideMark/>
                                              </w:tcPr>
                                              <w:p w14:paraId="4656D8C8" w14:textId="77777777" w:rsidR="007A755F" w:rsidRPr="007A755F" w:rsidRDefault="007A755F">
                                                <w:pPr>
                                                  <w:rPr>
                                                    <w:rFonts w:eastAsia="Times New Roman"/>
                                                    <w:lang w:val="en-US"/>
                                                  </w:rPr>
                                                </w:pPr>
                                              </w:p>
                                            </w:tc>
                                          </w:tr>
                                        </w:tbl>
                                        <w:p w14:paraId="557610D1" w14:textId="77777777" w:rsidR="007A755F" w:rsidRPr="007A755F" w:rsidRDefault="007A755F">
                                          <w:pPr>
                                            <w:jc w:val="center"/>
                                            <w:rPr>
                                              <w:rFonts w:ascii="Times New Roman" w:eastAsia="Times New Roman" w:hAnsi="Times New Roman" w:cs="Times New Roman"/>
                                              <w:sz w:val="20"/>
                                              <w:szCs w:val="20"/>
                                              <w:lang w:val="en-US"/>
                                            </w:rPr>
                                          </w:pPr>
                                        </w:p>
                                      </w:tc>
                                    </w:tr>
                                  </w:tbl>
                                  <w:p w14:paraId="3B488951" w14:textId="77777777" w:rsidR="007A755F" w:rsidRPr="007A755F" w:rsidRDefault="007A755F">
                                    <w:pPr>
                                      <w:rPr>
                                        <w:rFonts w:ascii="Times New Roman" w:eastAsia="Times New Roman" w:hAnsi="Times New Roman" w:cs="Times New Roman"/>
                                        <w:sz w:val="20"/>
                                        <w:szCs w:val="20"/>
                                        <w:lang w:val="en-US"/>
                                      </w:rPr>
                                    </w:pPr>
                                  </w:p>
                                </w:tc>
                              </w:tr>
                            </w:tbl>
                            <w:p w14:paraId="77D767A0" w14:textId="77777777" w:rsidR="007A755F" w:rsidRPr="007A755F" w:rsidRDefault="007A755F">
                              <w:pPr>
                                <w:jc w:val="center"/>
                                <w:rPr>
                                  <w:rFonts w:ascii="Times New Roman" w:eastAsia="Times New Roman" w:hAnsi="Times New Roman" w:cs="Times New Roman"/>
                                  <w:sz w:val="20"/>
                                  <w:szCs w:val="20"/>
                                  <w:lang w:val="en-US"/>
                                </w:rPr>
                              </w:pPr>
                            </w:p>
                          </w:tc>
                        </w:tr>
                      </w:tbl>
                      <w:p w14:paraId="68FAE56F" w14:textId="77777777" w:rsidR="007A755F" w:rsidRPr="007A755F" w:rsidRDefault="007A755F">
                        <w:pPr>
                          <w:jc w:val="center"/>
                          <w:rPr>
                            <w:rFonts w:ascii="Times New Roman" w:eastAsia="Times New Roman" w:hAnsi="Times New Roman" w:cs="Times New Roman"/>
                            <w:sz w:val="20"/>
                            <w:szCs w:val="20"/>
                            <w:lang w:val="en-US"/>
                          </w:rPr>
                        </w:pPr>
                      </w:p>
                    </w:tc>
                  </w:tr>
                </w:tbl>
                <w:p w14:paraId="5DE5D4E1" w14:textId="77777777" w:rsidR="007A755F" w:rsidRPr="007A755F" w:rsidRDefault="007A755F">
                  <w:pPr>
                    <w:jc w:val="center"/>
                    <w:rPr>
                      <w:rFonts w:eastAsia="Times New Roman"/>
                      <w:lang w:val="en-US"/>
                    </w:rPr>
                  </w:pPr>
                </w:p>
                <w:tbl>
                  <w:tblPr>
                    <w:tblW w:w="5000" w:type="pct"/>
                    <w:jc w:val="center"/>
                    <w:tblCellMar>
                      <w:left w:w="0" w:type="dxa"/>
                      <w:right w:w="0" w:type="dxa"/>
                    </w:tblCellMar>
                    <w:tblLook w:val="04A0" w:firstRow="1" w:lastRow="0" w:firstColumn="1" w:lastColumn="0" w:noHBand="0" w:noVBand="1"/>
                  </w:tblPr>
                  <w:tblGrid>
                    <w:gridCol w:w="9026"/>
                  </w:tblGrid>
                  <w:tr w:rsidR="007A755F" w:rsidRPr="007A755F" w14:paraId="5A2AE37D"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7A755F" w:rsidRPr="007A755F" w14:paraId="4643C4E2"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A755F" w:rsidRPr="007A755F" w14:paraId="73CAE3EE" w14:textId="77777777">
                                <w:trPr>
                                  <w:jc w:val="center"/>
                                </w:trPr>
                                <w:tc>
                                  <w:tcPr>
                                    <w:tcW w:w="0" w:type="auto"/>
                                    <w:tcMar>
                                      <w:top w:w="7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A755F" w14:paraId="774BE348" w14:textId="77777777">
                                      <w:tc>
                                        <w:tcPr>
                                          <w:tcW w:w="0" w:type="auto"/>
                                          <w:tcMar>
                                            <w:top w:w="150" w:type="dxa"/>
                                            <w:left w:w="150" w:type="dxa"/>
                                            <w:bottom w:w="150" w:type="dxa"/>
                                            <w:right w:w="150" w:type="dxa"/>
                                          </w:tcMar>
                                          <w:hideMark/>
                                        </w:tcPr>
                                        <w:p w14:paraId="552493EE" w14:textId="77777777" w:rsidR="007A755F" w:rsidRDefault="007A755F">
                                          <w:pPr>
                                            <w:pStyle w:val="Normaalweb"/>
                                            <w:spacing w:before="0" w:beforeAutospacing="0" w:after="0" w:afterAutospacing="0" w:line="210" w:lineRule="atLeast"/>
                                            <w:rPr>
                                              <w:rFonts w:ascii="Arial" w:hAnsi="Arial" w:cs="Arial"/>
                                              <w:color w:val="EA650D"/>
                                              <w:sz w:val="18"/>
                                              <w:szCs w:val="18"/>
                                            </w:rPr>
                                          </w:pPr>
                                          <w:r w:rsidRPr="007A755F">
                                            <w:rPr>
                                              <w:rStyle w:val="Zwaar"/>
                                              <w:rFonts w:ascii="Arial" w:hAnsi="Arial" w:cs="Arial"/>
                                              <w:color w:val="EA650D"/>
                                              <w:sz w:val="17"/>
                                              <w:szCs w:val="17"/>
                                              <w:lang w:val="en-US"/>
                                            </w:rPr>
                                            <w:t>NN Group profile </w:t>
                                          </w:r>
                                          <w:r w:rsidRPr="007A755F">
                                            <w:rPr>
                                              <w:rFonts w:ascii="Arial" w:hAnsi="Arial" w:cs="Arial"/>
                                              <w:color w:val="EA650D"/>
                                              <w:sz w:val="18"/>
                                              <w:szCs w:val="18"/>
                                              <w:lang w:val="en-US"/>
                                            </w:rPr>
                                            <w:br/>
                                            <w:t xml:space="preserve">NN Group is an international financial services company, active in 19 countries, with a strong presence in a number of European countries and Japan. With all its employees, the Group provides retirement services, pensions, insurance, investments and banking to approximately 18 million customers. NN Group includes Nationale-Nederlanden, NN, NN Investment Partners, ABN AMRO Insurance, Movir, AZL, </w:t>
                                          </w:r>
                                          <w:proofErr w:type="spellStart"/>
                                          <w:r w:rsidRPr="007A755F">
                                            <w:rPr>
                                              <w:rFonts w:ascii="Arial" w:hAnsi="Arial" w:cs="Arial"/>
                                              <w:color w:val="EA650D"/>
                                              <w:sz w:val="18"/>
                                              <w:szCs w:val="18"/>
                                              <w:lang w:val="en-US"/>
                                            </w:rPr>
                                            <w:t>BeFrank</w:t>
                                          </w:r>
                                          <w:proofErr w:type="spellEnd"/>
                                          <w:r w:rsidRPr="007A755F">
                                            <w:rPr>
                                              <w:rFonts w:ascii="Arial" w:hAnsi="Arial" w:cs="Arial"/>
                                              <w:color w:val="EA650D"/>
                                              <w:sz w:val="18"/>
                                              <w:szCs w:val="18"/>
                                              <w:lang w:val="en-US"/>
                                            </w:rPr>
                                            <w:t xml:space="preserve"> and OHRA. </w:t>
                                          </w:r>
                                          <w:r>
                                            <w:rPr>
                                              <w:rFonts w:ascii="Arial" w:hAnsi="Arial" w:cs="Arial"/>
                                              <w:color w:val="EA650D"/>
                                              <w:sz w:val="18"/>
                                              <w:szCs w:val="18"/>
                                            </w:rPr>
                                            <w:t xml:space="preserve">NN Group is </w:t>
                                          </w:r>
                                          <w:proofErr w:type="spellStart"/>
                                          <w:r>
                                            <w:rPr>
                                              <w:rFonts w:ascii="Arial" w:hAnsi="Arial" w:cs="Arial"/>
                                              <w:color w:val="EA650D"/>
                                              <w:sz w:val="18"/>
                                              <w:szCs w:val="18"/>
                                            </w:rPr>
                                            <w:t>listed</w:t>
                                          </w:r>
                                          <w:proofErr w:type="spellEnd"/>
                                          <w:r>
                                            <w:rPr>
                                              <w:rFonts w:ascii="Arial" w:hAnsi="Arial" w:cs="Arial"/>
                                              <w:color w:val="EA650D"/>
                                              <w:sz w:val="18"/>
                                              <w:szCs w:val="18"/>
                                            </w:rPr>
                                            <w:t xml:space="preserve"> on Euronext Amsterdam (NN).</w:t>
                                          </w:r>
                                        </w:p>
                                      </w:tc>
                                    </w:tr>
                                  </w:tbl>
                                  <w:p w14:paraId="355B287C" w14:textId="77777777" w:rsidR="007A755F" w:rsidRDefault="007A755F">
                                    <w:pPr>
                                      <w:textAlignment w:val="top"/>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7A755F" w:rsidRPr="007A755F" w14:paraId="3161199C" w14:textId="77777777">
                                      <w:tc>
                                        <w:tcPr>
                                          <w:tcW w:w="0" w:type="auto"/>
                                          <w:tcMar>
                                            <w:top w:w="150" w:type="dxa"/>
                                            <w:left w:w="150" w:type="dxa"/>
                                            <w:bottom w:w="150" w:type="dxa"/>
                                            <w:right w:w="150" w:type="dxa"/>
                                          </w:tcMar>
                                          <w:hideMark/>
                                        </w:tcPr>
                                        <w:p w14:paraId="052CE31C" w14:textId="77777777" w:rsidR="007A755F" w:rsidRPr="007A755F" w:rsidRDefault="007A755F">
                                          <w:pPr>
                                            <w:pStyle w:val="Normaalweb"/>
                                            <w:spacing w:before="0" w:beforeAutospacing="0" w:after="0" w:afterAutospacing="0" w:line="165" w:lineRule="atLeast"/>
                                            <w:rPr>
                                              <w:rFonts w:ascii="Arial" w:hAnsi="Arial" w:cs="Arial"/>
                                              <w:color w:val="666666"/>
                                              <w:sz w:val="14"/>
                                              <w:szCs w:val="14"/>
                                              <w:lang w:val="en-US"/>
                                            </w:rPr>
                                          </w:pPr>
                                          <w:r w:rsidRPr="007A755F">
                                            <w:rPr>
                                              <w:rStyle w:val="Zwaar"/>
                                              <w:rFonts w:ascii="Arial" w:hAnsi="Arial" w:cs="Arial"/>
                                              <w:color w:val="666666"/>
                                              <w:sz w:val="17"/>
                                              <w:szCs w:val="17"/>
                                              <w:lang w:val="en-US"/>
                                            </w:rPr>
                                            <w:t>Important legal information</w:t>
                                          </w:r>
                                        </w:p>
                                        <w:p w14:paraId="26115648" w14:textId="77777777" w:rsidR="007A755F" w:rsidRPr="007A755F" w:rsidRDefault="007A755F">
                                          <w:pPr>
                                            <w:pStyle w:val="Normaalweb"/>
                                            <w:spacing w:before="0" w:beforeAutospacing="0" w:after="0" w:afterAutospacing="0" w:line="165" w:lineRule="atLeast"/>
                                            <w:rPr>
                                              <w:rFonts w:ascii="Arial" w:hAnsi="Arial" w:cs="Arial"/>
                                              <w:color w:val="666666"/>
                                              <w:sz w:val="14"/>
                                              <w:szCs w:val="14"/>
                                              <w:lang w:val="en-US"/>
                                            </w:rPr>
                                          </w:pPr>
                                          <w:r w:rsidRPr="007A755F">
                                            <w:rPr>
                                              <w:rFonts w:ascii="Arial" w:hAnsi="Arial" w:cs="Arial"/>
                                              <w:color w:val="666666"/>
                                              <w:sz w:val="14"/>
                                              <w:szCs w:val="14"/>
                                              <w:lang w:val="en-US"/>
                                            </w:rPr>
                                            <w:t xml:space="preserve">All figures in this document are unaudited. Small differences are possible in the tables due to rounding. 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w:t>
                                          </w:r>
                                          <w:proofErr w:type="spellStart"/>
                                          <w:r w:rsidRPr="007A755F">
                                            <w:rPr>
                                              <w:rFonts w:ascii="Arial" w:hAnsi="Arial" w:cs="Arial"/>
                                              <w:color w:val="666666"/>
                                              <w:sz w:val="14"/>
                                              <w:szCs w:val="14"/>
                                              <w:lang w:val="en-US"/>
                                            </w:rPr>
                                            <w:t>behaviour</w:t>
                                          </w:r>
                                          <w:proofErr w:type="spellEnd"/>
                                          <w:r w:rsidRPr="007A755F">
                                            <w:rPr>
                                              <w:rFonts w:ascii="Arial" w:hAnsi="Arial" w:cs="Arial"/>
                                              <w:color w:val="666666"/>
                                              <w:sz w:val="14"/>
                                              <w:szCs w:val="14"/>
                                              <w:lang w:val="en-US"/>
                                            </w:rPr>
                                            <w:t>, (12) changes in general competitive factors, (13) changes in laws and regulations and the interpretation and application thereof, (14) changes in the policies and actions of governments and/or regulatory authorities, (15) conclusions with regard to accounting assumptions and methodologies, (16) changes in ownership that could affect the future availability to NN Group of net operating loss, net capital and built-in loss carry 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 </w:t>
                                          </w:r>
                                        </w:p>
                                        <w:p w14:paraId="0227C8F9" w14:textId="77777777" w:rsidR="007A755F" w:rsidRPr="007A755F" w:rsidRDefault="007A755F">
                                          <w:pPr>
                                            <w:pStyle w:val="Normaalweb"/>
                                            <w:spacing w:before="0" w:beforeAutospacing="0" w:after="0" w:afterAutospacing="0" w:line="165" w:lineRule="atLeast"/>
                                            <w:rPr>
                                              <w:rFonts w:ascii="Arial" w:hAnsi="Arial" w:cs="Arial"/>
                                              <w:color w:val="666666"/>
                                              <w:sz w:val="14"/>
                                              <w:szCs w:val="14"/>
                                              <w:lang w:val="en-US"/>
                                            </w:rPr>
                                          </w:pPr>
                                          <w:r w:rsidRPr="007A755F">
                                            <w:rPr>
                                              <w:rFonts w:ascii="Arial" w:hAnsi="Arial" w:cs="Arial"/>
                                              <w:color w:val="666666"/>
                                              <w:sz w:val="14"/>
                                              <w:szCs w:val="14"/>
                                              <w:lang w:val="en-US"/>
                                            </w:rPr>
                                            <w:t>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4B55B081" w14:textId="77777777" w:rsidR="007A755F" w:rsidRPr="007A755F" w:rsidRDefault="007A755F">
                                          <w:pPr>
                                            <w:pStyle w:val="Normaalweb"/>
                                            <w:spacing w:before="0" w:beforeAutospacing="0" w:after="0" w:afterAutospacing="0" w:line="165" w:lineRule="atLeast"/>
                                            <w:rPr>
                                              <w:rFonts w:ascii="Arial" w:hAnsi="Arial" w:cs="Arial"/>
                                              <w:color w:val="666666"/>
                                              <w:sz w:val="14"/>
                                              <w:szCs w:val="14"/>
                                              <w:lang w:val="en-US"/>
                                            </w:rPr>
                                          </w:pPr>
                                          <w:r w:rsidRPr="007A755F">
                                            <w:rPr>
                                              <w:rFonts w:ascii="Arial" w:hAnsi="Arial" w:cs="Arial"/>
                                              <w:color w:val="666666"/>
                                              <w:sz w:val="14"/>
                                              <w:szCs w:val="14"/>
                                              <w:lang w:val="en-US"/>
                                            </w:rPr>
                                            <w:t>This document does not constitute an offer to sell, or a solicitation of an offer to buy, any securities.</w:t>
                                          </w:r>
                                        </w:p>
                                      </w:tc>
                                    </w:tr>
                                  </w:tbl>
                                  <w:p w14:paraId="752050DB" w14:textId="77777777" w:rsidR="007A755F" w:rsidRPr="007A755F" w:rsidRDefault="007A755F">
                                    <w:pPr>
                                      <w:rPr>
                                        <w:rFonts w:ascii="Times New Roman" w:eastAsia="Times New Roman" w:hAnsi="Times New Roman" w:cs="Times New Roman"/>
                                        <w:sz w:val="20"/>
                                        <w:szCs w:val="20"/>
                                        <w:lang w:val="en-US"/>
                                      </w:rPr>
                                    </w:pPr>
                                  </w:p>
                                </w:tc>
                              </w:tr>
                            </w:tbl>
                            <w:p w14:paraId="499723C3" w14:textId="77777777" w:rsidR="007A755F" w:rsidRPr="007A755F" w:rsidRDefault="007A755F">
                              <w:pPr>
                                <w:jc w:val="center"/>
                                <w:rPr>
                                  <w:rFonts w:ascii="Times New Roman" w:eastAsia="Times New Roman" w:hAnsi="Times New Roman" w:cs="Times New Roman"/>
                                  <w:sz w:val="20"/>
                                  <w:szCs w:val="20"/>
                                  <w:lang w:val="en-US"/>
                                </w:rPr>
                              </w:pPr>
                            </w:p>
                          </w:tc>
                        </w:tr>
                      </w:tbl>
                      <w:p w14:paraId="30E4F229" w14:textId="77777777" w:rsidR="007A755F" w:rsidRPr="007A755F" w:rsidRDefault="007A755F">
                        <w:pPr>
                          <w:jc w:val="center"/>
                          <w:rPr>
                            <w:rFonts w:ascii="Times New Roman" w:eastAsia="Times New Roman" w:hAnsi="Times New Roman" w:cs="Times New Roman"/>
                            <w:sz w:val="20"/>
                            <w:szCs w:val="20"/>
                            <w:lang w:val="en-US"/>
                          </w:rPr>
                        </w:pPr>
                      </w:p>
                    </w:tc>
                  </w:tr>
                  <w:tr w:rsidR="007A755F" w:rsidRPr="007A755F" w14:paraId="689F7B6B" w14:textId="77777777">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7A755F" w:rsidRPr="007A755F" w14:paraId="45A8CB93"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A755F" w:rsidRPr="007A755F" w14:paraId="46851081" w14:textId="77777777">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A755F" w:rsidRPr="007A755F" w14:paraId="785B2022" w14:textId="77777777">
                                      <w:tc>
                                        <w:tcPr>
                                          <w:tcW w:w="0" w:type="auto"/>
                                          <w:tcMar>
                                            <w:top w:w="150" w:type="dxa"/>
                                            <w:left w:w="150" w:type="dxa"/>
                                            <w:bottom w:w="150" w:type="dxa"/>
                                            <w:right w:w="150" w:type="dxa"/>
                                          </w:tcMar>
                                          <w:hideMark/>
                                        </w:tcPr>
                                        <w:p w14:paraId="3A660F06" w14:textId="51BB5857" w:rsidR="007A755F" w:rsidRPr="007A755F" w:rsidRDefault="007A755F">
                                          <w:pPr>
                                            <w:pStyle w:val="Normaalweb"/>
                                            <w:spacing w:before="0" w:beforeAutospacing="0" w:after="0" w:afterAutospacing="0" w:line="210" w:lineRule="atLeast"/>
                                            <w:jc w:val="center"/>
                                            <w:rPr>
                                              <w:rFonts w:ascii="Arial" w:hAnsi="Arial" w:cs="Arial"/>
                                              <w:color w:val="555555"/>
                                              <w:sz w:val="18"/>
                                              <w:szCs w:val="18"/>
                                              <w:lang w:val="en-US"/>
                                            </w:rPr>
                                          </w:pPr>
                                        </w:p>
                                      </w:tc>
                                    </w:tr>
                                  </w:tbl>
                                  <w:p w14:paraId="5AECB914" w14:textId="77777777" w:rsidR="007A755F" w:rsidRPr="007A755F" w:rsidRDefault="007A755F">
                                    <w:pPr>
                                      <w:rPr>
                                        <w:rFonts w:ascii="Times New Roman" w:eastAsia="Times New Roman" w:hAnsi="Times New Roman" w:cs="Times New Roman"/>
                                        <w:sz w:val="20"/>
                                        <w:szCs w:val="20"/>
                                        <w:lang w:val="en-US"/>
                                      </w:rPr>
                                    </w:pPr>
                                  </w:p>
                                </w:tc>
                              </w:tr>
                            </w:tbl>
                            <w:p w14:paraId="79D6EF57" w14:textId="77777777" w:rsidR="007A755F" w:rsidRPr="007A755F" w:rsidRDefault="007A755F">
                              <w:pPr>
                                <w:jc w:val="center"/>
                                <w:rPr>
                                  <w:rFonts w:ascii="Times New Roman" w:eastAsia="Times New Roman" w:hAnsi="Times New Roman" w:cs="Times New Roman"/>
                                  <w:sz w:val="20"/>
                                  <w:szCs w:val="20"/>
                                  <w:lang w:val="en-US"/>
                                </w:rPr>
                              </w:pPr>
                            </w:p>
                          </w:tc>
                        </w:tr>
                      </w:tbl>
                      <w:p w14:paraId="7796A0B0" w14:textId="77777777" w:rsidR="007A755F" w:rsidRPr="007A755F" w:rsidRDefault="007A755F">
                        <w:pPr>
                          <w:jc w:val="center"/>
                          <w:rPr>
                            <w:rFonts w:ascii="Times New Roman" w:eastAsia="Times New Roman" w:hAnsi="Times New Roman" w:cs="Times New Roman"/>
                            <w:sz w:val="20"/>
                            <w:szCs w:val="20"/>
                            <w:lang w:val="en-US"/>
                          </w:rPr>
                        </w:pPr>
                      </w:p>
                    </w:tc>
                  </w:tr>
                </w:tbl>
                <w:p w14:paraId="494E9EE6" w14:textId="77777777" w:rsidR="007A755F" w:rsidRPr="007A755F" w:rsidRDefault="007A755F">
                  <w:pPr>
                    <w:jc w:val="center"/>
                    <w:rPr>
                      <w:rFonts w:ascii="Times New Roman" w:eastAsia="Times New Roman" w:hAnsi="Times New Roman" w:cs="Times New Roman"/>
                      <w:sz w:val="20"/>
                      <w:szCs w:val="20"/>
                      <w:lang w:val="en-US"/>
                    </w:rPr>
                  </w:pPr>
                </w:p>
              </w:tc>
            </w:tr>
          </w:tbl>
          <w:p w14:paraId="7B4B1F87" w14:textId="77777777" w:rsidR="007A755F" w:rsidRPr="007A755F" w:rsidRDefault="007A755F">
            <w:pPr>
              <w:rPr>
                <w:rFonts w:ascii="Times New Roman" w:eastAsia="Times New Roman" w:hAnsi="Times New Roman" w:cs="Times New Roman"/>
                <w:sz w:val="20"/>
                <w:szCs w:val="20"/>
                <w:lang w:val="en-US"/>
              </w:rPr>
            </w:pPr>
          </w:p>
        </w:tc>
      </w:tr>
    </w:tbl>
    <w:p w14:paraId="06C0A456" w14:textId="77777777" w:rsidR="007A755F" w:rsidRPr="007A755F" w:rsidRDefault="007A755F">
      <w:pPr>
        <w:rPr>
          <w:lang w:val="en-US"/>
        </w:rPr>
      </w:pPr>
    </w:p>
    <w:sectPr w:rsidR="007A755F" w:rsidRPr="007A75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DDDF" w14:textId="77777777" w:rsidR="007A755F" w:rsidRDefault="007A755F" w:rsidP="007A755F">
      <w:r>
        <w:separator/>
      </w:r>
    </w:p>
  </w:endnote>
  <w:endnote w:type="continuationSeparator" w:id="0">
    <w:p w14:paraId="6AFB49C3" w14:textId="77777777" w:rsidR="007A755F" w:rsidRDefault="007A755F" w:rsidP="007A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2F39" w14:textId="77777777" w:rsidR="007A755F" w:rsidRDefault="007A755F" w:rsidP="007A755F">
      <w:r>
        <w:separator/>
      </w:r>
    </w:p>
  </w:footnote>
  <w:footnote w:type="continuationSeparator" w:id="0">
    <w:p w14:paraId="79D5E2B2" w14:textId="77777777" w:rsidR="007A755F" w:rsidRDefault="007A755F" w:rsidP="007A7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5F"/>
    <w:rsid w:val="007A7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92DC"/>
  <w15:chartTrackingRefBased/>
  <w15:docId w15:val="{AF866607-F76C-4E0A-AFB6-97AC5C76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55F"/>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A755F"/>
    <w:rPr>
      <w:color w:val="0000FF"/>
      <w:u w:val="single"/>
    </w:rPr>
  </w:style>
  <w:style w:type="paragraph" w:styleId="Normaalweb">
    <w:name w:val="Normal (Web)"/>
    <w:basedOn w:val="Standaard"/>
    <w:uiPriority w:val="99"/>
    <w:semiHidden/>
    <w:unhideWhenUsed/>
    <w:rsid w:val="007A755F"/>
    <w:pPr>
      <w:spacing w:before="100" w:beforeAutospacing="1" w:after="100" w:afterAutospacing="1"/>
    </w:pPr>
  </w:style>
  <w:style w:type="character" w:styleId="Zwaar">
    <w:name w:val="Strong"/>
    <w:basedOn w:val="Standaardalinea-lettertype"/>
    <w:uiPriority w:val="22"/>
    <w:qFormat/>
    <w:rsid w:val="007A7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arelations@nn-group.com" TargetMode="External"/><Relationship Id="rId3" Type="http://schemas.openxmlformats.org/officeDocument/2006/relationships/webSettings" Target="webSettings.xml"/><Relationship Id="rId7" Type="http://schemas.openxmlformats.org/officeDocument/2006/relationships/image" Target="https://d15k2d11r6t6rl.cloudfront.net/public/users/Integrators/a0a42ab5-3cb9-4912-84b7-3c6e47330d5c/smart-pr-982/editor_images/cbe9f5ea-cfd5-40af-b227-e47573f574c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vestor.relations@nn-group.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998</Words>
  <Characters>5493</Characters>
  <Application>Microsoft Office Word</Application>
  <DocSecurity>0</DocSecurity>
  <Lines>45</Lines>
  <Paragraphs>12</Paragraphs>
  <ScaleCrop>false</ScaleCrop>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Kuik, B.M. (Bas)</dc:creator>
  <cp:keywords/>
  <dc:description/>
  <cp:lastModifiedBy>Kuik, B.M. (Bas)</cp:lastModifiedBy>
  <cp:revision>1</cp:revision>
  <dcterms:created xsi:type="dcterms:W3CDTF">2022-02-15T06:25:00Z</dcterms:created>
  <dcterms:modified xsi:type="dcterms:W3CDTF">2022-02-15T06:26:00Z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ies>
</file>