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1A475" w14:textId="23734185" w:rsidR="002A4512" w:rsidRPr="00476085" w:rsidRDefault="00DE4EC9" w:rsidP="00080D0C">
      <w:pPr>
        <w:pStyle w:val="NormalWeb"/>
        <w:spacing w:afterLines="120" w:after="288"/>
        <w:ind w:left="851" w:right="1656"/>
        <w:jc w:val="center"/>
        <w:rPr>
          <w:rFonts w:asciiTheme="minorHAnsi" w:hAnsiTheme="minorHAnsi" w:cstheme="minorHAnsi"/>
          <w:b/>
          <w:color w:val="00679B"/>
          <w:sz w:val="32"/>
          <w:szCs w:val="32"/>
          <w:lang w:val="en-GB"/>
        </w:rPr>
      </w:pPr>
      <w:bookmarkStart w:id="0" w:name="_GoBack"/>
      <w:bookmarkEnd w:id="0"/>
      <w:r w:rsidRPr="00476085">
        <w:rPr>
          <w:rFonts w:asciiTheme="minorHAnsi" w:hAnsiTheme="minorHAnsi" w:cstheme="minorHAnsi"/>
          <w:b/>
          <w:color w:val="00679B"/>
          <w:sz w:val="32"/>
          <w:szCs w:val="32"/>
          <w:lang w:val="en-GB"/>
        </w:rPr>
        <w:t xml:space="preserve">Pharming </w:t>
      </w:r>
      <w:r w:rsidR="00080D0C">
        <w:rPr>
          <w:rFonts w:asciiTheme="minorHAnsi" w:hAnsiTheme="minorHAnsi" w:cstheme="minorHAnsi"/>
          <w:b/>
          <w:color w:val="00679B"/>
          <w:sz w:val="32"/>
          <w:szCs w:val="32"/>
          <w:lang w:val="en-GB"/>
        </w:rPr>
        <w:t xml:space="preserve">Announces Financing Plans for Closing of RUCONEST® </w:t>
      </w:r>
      <w:r w:rsidR="0033073C" w:rsidRPr="009D0DE2">
        <w:rPr>
          <w:rFonts w:asciiTheme="minorHAnsi" w:hAnsiTheme="minorHAnsi" w:cstheme="minorHAnsi"/>
          <w:b/>
          <w:color w:val="00679B"/>
          <w:sz w:val="32"/>
          <w:szCs w:val="32"/>
          <w:lang w:val="en-GB"/>
        </w:rPr>
        <w:t>North American</w:t>
      </w:r>
      <w:r w:rsidR="0033073C">
        <w:rPr>
          <w:rFonts w:asciiTheme="minorHAnsi" w:hAnsiTheme="minorHAnsi" w:cstheme="minorHAnsi"/>
          <w:b/>
          <w:color w:val="00679B"/>
          <w:sz w:val="32"/>
          <w:szCs w:val="32"/>
          <w:lang w:val="en-GB"/>
        </w:rPr>
        <w:t xml:space="preserve"> </w:t>
      </w:r>
      <w:r w:rsidR="00080D0C">
        <w:rPr>
          <w:rFonts w:asciiTheme="minorHAnsi" w:hAnsiTheme="minorHAnsi" w:cstheme="minorHAnsi"/>
          <w:b/>
          <w:color w:val="00679B"/>
          <w:sz w:val="32"/>
          <w:szCs w:val="32"/>
          <w:lang w:val="en-GB"/>
        </w:rPr>
        <w:t>Rights Acquisition</w:t>
      </w:r>
    </w:p>
    <w:p w14:paraId="20D4064E" w14:textId="461B5A1A" w:rsidR="0020472F" w:rsidRPr="00BF1472" w:rsidRDefault="0020472F" w:rsidP="00856C2D">
      <w:pPr>
        <w:spacing w:before="120"/>
        <w:rPr>
          <w:rFonts w:asciiTheme="minorHAnsi" w:hAnsiTheme="minorHAnsi" w:cstheme="minorHAnsi"/>
          <w:color w:val="59595B"/>
          <w:highlight w:val="yellow"/>
          <w:lang w:val="en-GB"/>
        </w:rPr>
      </w:pPr>
      <w:r w:rsidRPr="00476085">
        <w:rPr>
          <w:rStyle w:val="Emphasis"/>
          <w:rFonts w:asciiTheme="minorHAnsi" w:hAnsiTheme="minorHAnsi" w:cstheme="minorHAnsi"/>
          <w:bCs w:val="0"/>
          <w:color w:val="59595B"/>
          <w:szCs w:val="22"/>
          <w:shd w:val="clear" w:color="auto" w:fill="FFFFFF"/>
          <w:lang w:val="en-GB"/>
        </w:rPr>
        <w:t xml:space="preserve">Leiden, The Netherlands, </w:t>
      </w:r>
      <w:r w:rsidR="00080D0C">
        <w:rPr>
          <w:rStyle w:val="Emphasis"/>
          <w:rFonts w:asciiTheme="minorHAnsi" w:hAnsiTheme="minorHAnsi" w:cstheme="minorHAnsi"/>
          <w:bCs w:val="0"/>
          <w:color w:val="59595B"/>
          <w:szCs w:val="22"/>
          <w:shd w:val="clear" w:color="auto" w:fill="FFFFFF"/>
          <w:lang w:val="en-GB"/>
        </w:rPr>
        <w:t>21 November</w:t>
      </w:r>
      <w:r w:rsidRPr="00476085">
        <w:rPr>
          <w:rStyle w:val="Emphasis"/>
          <w:rFonts w:asciiTheme="minorHAnsi" w:hAnsiTheme="minorHAnsi" w:cstheme="minorHAnsi"/>
          <w:bCs w:val="0"/>
          <w:color w:val="59595B"/>
          <w:szCs w:val="22"/>
          <w:shd w:val="clear" w:color="auto" w:fill="FFFFFF"/>
          <w:lang w:val="en-GB"/>
        </w:rPr>
        <w:t xml:space="preserve"> 2016</w:t>
      </w:r>
      <w:r w:rsidR="006E6DC9" w:rsidRPr="00476085">
        <w:rPr>
          <w:rStyle w:val="Emphasis"/>
          <w:rFonts w:asciiTheme="minorHAnsi" w:hAnsiTheme="minorHAnsi" w:cstheme="minorHAnsi"/>
          <w:bCs w:val="0"/>
          <w:color w:val="59595B"/>
          <w:szCs w:val="22"/>
          <w:shd w:val="clear" w:color="auto" w:fill="FFFFFF"/>
          <w:lang w:val="en-GB"/>
        </w:rPr>
        <w:t>:</w:t>
      </w:r>
      <w:r w:rsidRPr="00476085">
        <w:rPr>
          <w:rStyle w:val="apple-converted-space"/>
          <w:rFonts w:asciiTheme="minorHAnsi" w:hAnsiTheme="minorHAnsi" w:cstheme="minorHAnsi"/>
          <w:color w:val="59595B"/>
          <w:szCs w:val="22"/>
          <w:shd w:val="clear" w:color="auto" w:fill="FFFFFF"/>
          <w:lang w:val="en-GB"/>
        </w:rPr>
        <w:t xml:space="preserve"> </w:t>
      </w:r>
      <w:r w:rsidRPr="00476085">
        <w:rPr>
          <w:rFonts w:asciiTheme="minorHAnsi" w:hAnsiTheme="minorHAnsi" w:cstheme="minorHAnsi"/>
          <w:color w:val="59595B"/>
          <w:lang w:val="en-GB"/>
        </w:rPr>
        <w:t xml:space="preserve">Pharming Group N.V. (“Pharming” or “the Company”) (Euronext Amsterdam: PHARM) </w:t>
      </w:r>
      <w:r w:rsidR="00080D0C">
        <w:rPr>
          <w:rFonts w:asciiTheme="minorHAnsi" w:hAnsiTheme="minorHAnsi" w:cstheme="minorHAnsi"/>
          <w:color w:val="59595B"/>
          <w:lang w:val="en-GB"/>
        </w:rPr>
        <w:t>announces its financing plans to enable the completion of the acquisition of the North American commercialization rights to RUCONEST® from Valeant Pharmaceuticals International, Inc</w:t>
      </w:r>
      <w:r w:rsidRPr="00476085">
        <w:rPr>
          <w:rFonts w:asciiTheme="minorHAnsi" w:hAnsiTheme="minorHAnsi" w:cstheme="minorHAnsi"/>
          <w:color w:val="59595B"/>
          <w:lang w:val="en-GB"/>
        </w:rPr>
        <w:t>.</w:t>
      </w:r>
      <w:r w:rsidR="00856C2D">
        <w:rPr>
          <w:rFonts w:asciiTheme="minorHAnsi" w:hAnsiTheme="minorHAnsi" w:cstheme="minorHAnsi"/>
          <w:color w:val="59595B"/>
          <w:lang w:val="en-GB"/>
        </w:rPr>
        <w:t xml:space="preserve"> </w:t>
      </w:r>
      <w:r w:rsidR="00080D0C">
        <w:rPr>
          <w:rFonts w:asciiTheme="minorHAnsi" w:hAnsiTheme="minorHAnsi" w:cstheme="minorHAnsi"/>
          <w:color w:val="59595B"/>
          <w:lang w:val="en-GB"/>
        </w:rPr>
        <w:t>(NYSE/</w:t>
      </w:r>
      <w:r w:rsidR="0026644B">
        <w:rPr>
          <w:rFonts w:asciiTheme="minorHAnsi" w:hAnsiTheme="minorHAnsi" w:cstheme="minorHAnsi"/>
          <w:color w:val="59595B"/>
          <w:lang w:val="en-GB"/>
        </w:rPr>
        <w:t>TSX</w:t>
      </w:r>
      <w:r w:rsidR="00080D0C">
        <w:rPr>
          <w:rFonts w:asciiTheme="minorHAnsi" w:hAnsiTheme="minorHAnsi" w:cstheme="minorHAnsi"/>
          <w:color w:val="59595B"/>
          <w:lang w:val="en-GB"/>
        </w:rPr>
        <w:t>: VRX)</w:t>
      </w:r>
      <w:r w:rsidR="0026644B">
        <w:rPr>
          <w:rFonts w:asciiTheme="minorHAnsi" w:hAnsiTheme="minorHAnsi" w:cstheme="minorHAnsi"/>
          <w:color w:val="59595B"/>
          <w:lang w:val="en-GB"/>
        </w:rPr>
        <w:t xml:space="preserve"> (“Valeant”)</w:t>
      </w:r>
      <w:r w:rsidR="00080D0C">
        <w:rPr>
          <w:rFonts w:asciiTheme="minorHAnsi" w:hAnsiTheme="minorHAnsi" w:cstheme="minorHAnsi"/>
          <w:color w:val="59595B"/>
          <w:lang w:val="en-GB"/>
        </w:rPr>
        <w:t>, as announced on 9 August 2016.</w:t>
      </w:r>
    </w:p>
    <w:p w14:paraId="3E00D557" w14:textId="59F05172" w:rsidR="00310E00" w:rsidRPr="001C15AE" w:rsidRDefault="00310E00" w:rsidP="001A3E9A">
      <w:pPr>
        <w:pStyle w:val="Heading1"/>
        <w:rPr>
          <w:rFonts w:asciiTheme="minorHAnsi" w:hAnsiTheme="minorHAnsi" w:cstheme="minorHAnsi"/>
          <w:b/>
          <w:color w:val="59595B"/>
          <w:sz w:val="24"/>
          <w:szCs w:val="28"/>
          <w:lang w:val="en-GB" w:eastAsia="zh-CN"/>
        </w:rPr>
      </w:pPr>
      <w:r w:rsidRPr="001C15AE">
        <w:rPr>
          <w:rFonts w:asciiTheme="minorHAnsi" w:hAnsiTheme="minorHAnsi" w:cstheme="minorHAnsi"/>
          <w:b/>
          <w:color w:val="59595B"/>
          <w:sz w:val="24"/>
          <w:szCs w:val="28"/>
          <w:lang w:val="en-GB" w:eastAsia="zh-CN"/>
        </w:rPr>
        <w:t>Highlights</w:t>
      </w:r>
    </w:p>
    <w:p w14:paraId="737177AD" w14:textId="77777777" w:rsidR="001322F2" w:rsidRPr="001C15AE" w:rsidRDefault="001322F2" w:rsidP="001322F2">
      <w:pPr>
        <w:rPr>
          <w:rFonts w:asciiTheme="minorHAnsi" w:hAnsiTheme="minorHAnsi" w:cstheme="minorHAnsi"/>
          <w:lang w:val="en-GB" w:eastAsia="zh-CN"/>
        </w:rPr>
      </w:pPr>
    </w:p>
    <w:p w14:paraId="2ED23CAD" w14:textId="264228C7" w:rsidR="00781C5B" w:rsidRDefault="00080D0C" w:rsidP="001322F2">
      <w:pPr>
        <w:pStyle w:val="ListParagraph"/>
        <w:numPr>
          <w:ilvl w:val="0"/>
          <w:numId w:val="5"/>
        </w:numPr>
        <w:spacing w:after="180"/>
        <w:ind w:left="714" w:hanging="357"/>
        <w:contextualSpacing w:val="0"/>
        <w:rPr>
          <w:rFonts w:asciiTheme="minorHAnsi" w:hAnsiTheme="minorHAnsi" w:cstheme="minorHAnsi"/>
          <w:b/>
          <w:color w:val="2683C6" w:themeColor="accent6"/>
          <w:szCs w:val="22"/>
          <w:lang w:val="en-GB"/>
        </w:rPr>
      </w:pPr>
      <w:r w:rsidRPr="00A0048D">
        <w:rPr>
          <w:rFonts w:asciiTheme="minorHAnsi" w:hAnsiTheme="minorHAnsi" w:cstheme="minorHAnsi"/>
          <w:b/>
          <w:color w:val="2683C6" w:themeColor="accent6"/>
          <w:szCs w:val="22"/>
          <w:lang w:val="en-GB"/>
        </w:rPr>
        <w:t>1 for 7 Rights Issue of 58,943,</w:t>
      </w:r>
      <w:r w:rsidR="00A8785D">
        <w:rPr>
          <w:rFonts w:asciiTheme="minorHAnsi" w:hAnsiTheme="minorHAnsi" w:cstheme="minorHAnsi"/>
          <w:b/>
          <w:color w:val="2683C6" w:themeColor="accent6"/>
          <w:szCs w:val="22"/>
          <w:lang w:val="en-GB"/>
        </w:rPr>
        <w:t>624</w:t>
      </w:r>
      <w:r w:rsidRPr="00A0048D">
        <w:rPr>
          <w:rFonts w:asciiTheme="minorHAnsi" w:hAnsiTheme="minorHAnsi" w:cstheme="minorHAnsi"/>
          <w:b/>
          <w:color w:val="2683C6" w:themeColor="accent6"/>
          <w:szCs w:val="22"/>
          <w:lang w:val="en-GB"/>
        </w:rPr>
        <w:t xml:space="preserve"> shares to raise approximately €12.</w:t>
      </w:r>
      <w:r w:rsidR="00A8785D">
        <w:rPr>
          <w:rFonts w:asciiTheme="minorHAnsi" w:hAnsiTheme="minorHAnsi" w:cstheme="minorHAnsi"/>
          <w:b/>
          <w:color w:val="2683C6" w:themeColor="accent6"/>
          <w:szCs w:val="22"/>
          <w:lang w:val="en-GB"/>
        </w:rPr>
        <w:t>1</w:t>
      </w:r>
      <w:r w:rsidRPr="00A0048D">
        <w:rPr>
          <w:rFonts w:asciiTheme="minorHAnsi" w:hAnsiTheme="minorHAnsi" w:cstheme="minorHAnsi"/>
          <w:b/>
          <w:color w:val="2683C6" w:themeColor="accent6"/>
          <w:szCs w:val="22"/>
          <w:lang w:val="en-GB"/>
        </w:rPr>
        <w:t xml:space="preserve"> million to existing shareholders</w:t>
      </w:r>
    </w:p>
    <w:p w14:paraId="5394F3B0" w14:textId="34F1EC26" w:rsidR="00705DD5" w:rsidRPr="00A0048D" w:rsidRDefault="00705DD5" w:rsidP="001322F2">
      <w:pPr>
        <w:pStyle w:val="ListParagraph"/>
        <w:numPr>
          <w:ilvl w:val="0"/>
          <w:numId w:val="5"/>
        </w:numPr>
        <w:spacing w:after="180"/>
        <w:ind w:left="714" w:hanging="357"/>
        <w:contextualSpacing w:val="0"/>
        <w:rPr>
          <w:rFonts w:asciiTheme="minorHAnsi" w:hAnsiTheme="minorHAnsi" w:cstheme="minorHAnsi"/>
          <w:b/>
          <w:color w:val="2683C6" w:themeColor="accent6"/>
          <w:szCs w:val="22"/>
          <w:lang w:val="en-GB"/>
        </w:rPr>
      </w:pPr>
      <w:r>
        <w:rPr>
          <w:rFonts w:asciiTheme="minorHAnsi" w:hAnsiTheme="minorHAnsi" w:cstheme="minorHAnsi"/>
          <w:b/>
          <w:color w:val="2683C6" w:themeColor="accent6"/>
          <w:szCs w:val="22"/>
          <w:lang w:val="en-GB"/>
        </w:rPr>
        <w:t>Board of Management to take up their full allotments under the Rights Issue</w:t>
      </w:r>
    </w:p>
    <w:p w14:paraId="7A1C0A3D" w14:textId="66D75D70" w:rsidR="00781C5B" w:rsidRPr="00A0048D" w:rsidRDefault="001F248A" w:rsidP="001322F2">
      <w:pPr>
        <w:pStyle w:val="ListParagraph"/>
        <w:numPr>
          <w:ilvl w:val="0"/>
          <w:numId w:val="5"/>
        </w:numPr>
        <w:spacing w:after="180"/>
        <w:ind w:left="714" w:hanging="357"/>
        <w:contextualSpacing w:val="0"/>
        <w:rPr>
          <w:rFonts w:asciiTheme="minorHAnsi" w:hAnsiTheme="minorHAnsi" w:cstheme="minorHAnsi"/>
          <w:b/>
          <w:color w:val="2683C6" w:themeColor="accent6"/>
          <w:szCs w:val="22"/>
          <w:lang w:val="en-GB"/>
        </w:rPr>
      </w:pPr>
      <w:r w:rsidRPr="009D0DE2">
        <w:rPr>
          <w:rFonts w:asciiTheme="minorHAnsi" w:hAnsiTheme="minorHAnsi" w:cstheme="minorHAnsi"/>
          <w:b/>
          <w:color w:val="2683C6" w:themeColor="accent6"/>
          <w:szCs w:val="22"/>
          <w:lang w:val="en-GB"/>
        </w:rPr>
        <w:t>New $40 million (€37</w:t>
      </w:r>
      <w:r w:rsidR="00080D0C" w:rsidRPr="009D0DE2">
        <w:rPr>
          <w:rFonts w:asciiTheme="minorHAnsi" w:hAnsiTheme="minorHAnsi" w:cstheme="minorHAnsi"/>
          <w:b/>
          <w:color w:val="2683C6" w:themeColor="accent6"/>
          <w:szCs w:val="22"/>
          <w:lang w:val="en-GB"/>
        </w:rPr>
        <w:t>.7 million)</w:t>
      </w:r>
      <w:r w:rsidR="00080D0C" w:rsidRPr="00A0048D">
        <w:rPr>
          <w:rFonts w:asciiTheme="minorHAnsi" w:hAnsiTheme="minorHAnsi" w:cstheme="minorHAnsi"/>
          <w:b/>
          <w:color w:val="2683C6" w:themeColor="accent6"/>
          <w:szCs w:val="22"/>
          <w:lang w:val="en-GB"/>
        </w:rPr>
        <w:t xml:space="preserve"> straight debt facility from existing lender Silicon Valley Bank and</w:t>
      </w:r>
      <w:r w:rsidR="001537FE">
        <w:rPr>
          <w:rFonts w:asciiTheme="minorHAnsi" w:hAnsiTheme="minorHAnsi" w:cstheme="minorHAnsi"/>
          <w:b/>
          <w:color w:val="2683C6" w:themeColor="accent6"/>
          <w:szCs w:val="22"/>
          <w:lang w:val="en-GB"/>
        </w:rPr>
        <w:t xml:space="preserve"> from</w:t>
      </w:r>
      <w:r w:rsidR="00080D0C" w:rsidRPr="00A0048D">
        <w:rPr>
          <w:rFonts w:asciiTheme="minorHAnsi" w:hAnsiTheme="minorHAnsi" w:cstheme="minorHAnsi"/>
          <w:b/>
          <w:color w:val="2683C6" w:themeColor="accent6"/>
          <w:szCs w:val="22"/>
          <w:lang w:val="en-GB"/>
        </w:rPr>
        <w:t xml:space="preserve"> Kreos Capital V (UK) Ltd Fund</w:t>
      </w:r>
    </w:p>
    <w:p w14:paraId="2B4A2D5D" w14:textId="28232320" w:rsidR="00781C5B" w:rsidRPr="00A0048D" w:rsidRDefault="00080D0C" w:rsidP="001322F2">
      <w:pPr>
        <w:pStyle w:val="ListParagraph"/>
        <w:numPr>
          <w:ilvl w:val="0"/>
          <w:numId w:val="5"/>
        </w:numPr>
        <w:spacing w:after="180"/>
        <w:ind w:left="714" w:hanging="357"/>
        <w:contextualSpacing w:val="0"/>
        <w:rPr>
          <w:rFonts w:asciiTheme="minorHAnsi" w:hAnsiTheme="minorHAnsi" w:cstheme="minorHAnsi"/>
          <w:b/>
          <w:color w:val="2683C6" w:themeColor="accent6"/>
          <w:szCs w:val="22"/>
          <w:lang w:val="en-GB"/>
        </w:rPr>
      </w:pPr>
      <w:r w:rsidRPr="00851367">
        <w:rPr>
          <w:rFonts w:asciiTheme="minorHAnsi" w:hAnsiTheme="minorHAnsi" w:cstheme="minorHAnsi"/>
          <w:b/>
          <w:color w:val="2683C6" w:themeColor="accent6"/>
          <w:szCs w:val="22"/>
          <w:lang w:val="en-GB"/>
        </w:rPr>
        <w:t xml:space="preserve">All remaining funding </w:t>
      </w:r>
      <w:r w:rsidR="00BB70BB" w:rsidRPr="00851367">
        <w:rPr>
          <w:rFonts w:asciiTheme="minorHAnsi" w:hAnsiTheme="minorHAnsi" w:cstheme="minorHAnsi"/>
          <w:b/>
          <w:color w:val="2683C6" w:themeColor="accent6"/>
          <w:szCs w:val="22"/>
          <w:lang w:val="en-GB"/>
        </w:rPr>
        <w:t xml:space="preserve">(€62.0 million) </w:t>
      </w:r>
      <w:r w:rsidRPr="00851367">
        <w:rPr>
          <w:rFonts w:asciiTheme="minorHAnsi" w:hAnsiTheme="minorHAnsi" w:cstheme="minorHAnsi"/>
          <w:b/>
          <w:color w:val="2683C6" w:themeColor="accent6"/>
          <w:szCs w:val="22"/>
          <w:lang w:val="en-GB"/>
        </w:rPr>
        <w:t>from</w:t>
      </w:r>
      <w:r w:rsidRPr="00A0048D">
        <w:rPr>
          <w:rFonts w:asciiTheme="minorHAnsi" w:hAnsiTheme="minorHAnsi" w:cstheme="minorHAnsi"/>
          <w:b/>
          <w:color w:val="2683C6" w:themeColor="accent6"/>
          <w:szCs w:val="22"/>
          <w:lang w:val="en-GB"/>
        </w:rPr>
        <w:t xml:space="preserve"> two new convertible bonds with conversion at premium</w:t>
      </w:r>
      <w:r w:rsidR="00705DD5">
        <w:rPr>
          <w:rFonts w:asciiTheme="minorHAnsi" w:hAnsiTheme="minorHAnsi" w:cstheme="minorHAnsi"/>
          <w:b/>
          <w:color w:val="2683C6" w:themeColor="accent6"/>
          <w:szCs w:val="22"/>
          <w:lang w:val="en-GB"/>
        </w:rPr>
        <w:t>s</w:t>
      </w:r>
      <w:r w:rsidRPr="00A0048D">
        <w:rPr>
          <w:rFonts w:asciiTheme="minorHAnsi" w:hAnsiTheme="minorHAnsi" w:cstheme="minorHAnsi"/>
          <w:b/>
          <w:color w:val="2683C6" w:themeColor="accent6"/>
          <w:szCs w:val="22"/>
          <w:lang w:val="en-GB"/>
        </w:rPr>
        <w:t xml:space="preserve"> of </w:t>
      </w:r>
      <w:r w:rsidR="00705DD5">
        <w:rPr>
          <w:rFonts w:asciiTheme="minorHAnsi" w:hAnsiTheme="minorHAnsi" w:cstheme="minorHAnsi"/>
          <w:b/>
          <w:color w:val="2683C6" w:themeColor="accent6"/>
          <w:szCs w:val="22"/>
          <w:lang w:val="en-GB"/>
        </w:rPr>
        <w:t xml:space="preserve">between </w:t>
      </w:r>
      <w:r w:rsidRPr="00A0048D">
        <w:rPr>
          <w:rFonts w:asciiTheme="minorHAnsi" w:hAnsiTheme="minorHAnsi" w:cstheme="minorHAnsi"/>
          <w:b/>
          <w:color w:val="2683C6" w:themeColor="accent6"/>
          <w:szCs w:val="22"/>
          <w:lang w:val="en-GB"/>
        </w:rPr>
        <w:t xml:space="preserve">25% </w:t>
      </w:r>
      <w:r w:rsidR="00705DD5">
        <w:rPr>
          <w:rFonts w:asciiTheme="minorHAnsi" w:hAnsiTheme="minorHAnsi" w:cstheme="minorHAnsi"/>
          <w:b/>
          <w:color w:val="2683C6" w:themeColor="accent6"/>
          <w:szCs w:val="22"/>
          <w:lang w:val="en-GB"/>
        </w:rPr>
        <w:t>and 3</w:t>
      </w:r>
      <w:r w:rsidR="00851367">
        <w:rPr>
          <w:rFonts w:asciiTheme="minorHAnsi" w:hAnsiTheme="minorHAnsi" w:cstheme="minorHAnsi"/>
          <w:b/>
          <w:color w:val="2683C6" w:themeColor="accent6"/>
          <w:szCs w:val="22"/>
          <w:lang w:val="en-GB"/>
        </w:rPr>
        <w:t>5</w:t>
      </w:r>
      <w:r w:rsidR="00705DD5">
        <w:rPr>
          <w:rFonts w:asciiTheme="minorHAnsi" w:hAnsiTheme="minorHAnsi" w:cstheme="minorHAnsi"/>
          <w:b/>
          <w:color w:val="2683C6" w:themeColor="accent6"/>
          <w:szCs w:val="22"/>
          <w:lang w:val="en-GB"/>
        </w:rPr>
        <w:t xml:space="preserve">% </w:t>
      </w:r>
      <w:r w:rsidRPr="00A0048D">
        <w:rPr>
          <w:rFonts w:asciiTheme="minorHAnsi" w:hAnsiTheme="minorHAnsi" w:cstheme="minorHAnsi"/>
          <w:b/>
          <w:color w:val="2683C6" w:themeColor="accent6"/>
          <w:szCs w:val="22"/>
          <w:lang w:val="en-GB"/>
        </w:rPr>
        <w:t xml:space="preserve">to the </w:t>
      </w:r>
      <w:r w:rsidR="009D3C75">
        <w:rPr>
          <w:rFonts w:asciiTheme="minorHAnsi" w:hAnsiTheme="minorHAnsi" w:cstheme="minorHAnsi"/>
          <w:b/>
          <w:color w:val="2683C6" w:themeColor="accent6"/>
          <w:szCs w:val="22"/>
          <w:lang w:val="en-GB"/>
        </w:rPr>
        <w:t xml:space="preserve">20 Day Volume Weighted Average </w:t>
      </w:r>
      <w:r w:rsidR="00E24AB1">
        <w:rPr>
          <w:rFonts w:asciiTheme="minorHAnsi" w:hAnsiTheme="minorHAnsi" w:cstheme="minorHAnsi"/>
          <w:b/>
          <w:color w:val="2683C6" w:themeColor="accent6"/>
          <w:szCs w:val="22"/>
          <w:lang w:val="en-GB"/>
        </w:rPr>
        <w:t>P</w:t>
      </w:r>
      <w:r w:rsidR="007C0BDB">
        <w:rPr>
          <w:rFonts w:asciiTheme="minorHAnsi" w:hAnsiTheme="minorHAnsi" w:cstheme="minorHAnsi"/>
          <w:b/>
          <w:color w:val="2683C6" w:themeColor="accent6"/>
          <w:szCs w:val="22"/>
          <w:lang w:val="en-GB"/>
        </w:rPr>
        <w:t>rice</w:t>
      </w:r>
    </w:p>
    <w:p w14:paraId="382C09AB" w14:textId="4F15FB51" w:rsidR="00BB70BB" w:rsidRPr="00851367" w:rsidRDefault="00BB70BB" w:rsidP="00BB70BB">
      <w:pPr>
        <w:pStyle w:val="ListParagraph"/>
        <w:numPr>
          <w:ilvl w:val="0"/>
          <w:numId w:val="5"/>
        </w:numPr>
        <w:spacing w:after="180"/>
        <w:ind w:left="714" w:hanging="357"/>
        <w:contextualSpacing w:val="0"/>
        <w:rPr>
          <w:rFonts w:asciiTheme="minorHAnsi" w:hAnsiTheme="minorHAnsi" w:cstheme="minorHAnsi"/>
          <w:b/>
          <w:color w:val="2683C6" w:themeColor="accent6"/>
          <w:szCs w:val="22"/>
          <w:lang w:val="en-GB"/>
        </w:rPr>
      </w:pPr>
      <w:r w:rsidRPr="00A0048D">
        <w:rPr>
          <w:rFonts w:asciiTheme="minorHAnsi" w:hAnsiTheme="minorHAnsi" w:cstheme="minorHAnsi"/>
          <w:b/>
          <w:color w:val="2683C6" w:themeColor="accent6"/>
          <w:szCs w:val="22"/>
          <w:lang w:val="en-GB"/>
        </w:rPr>
        <w:t>Total Funds to be raised in the funding arrangements</w:t>
      </w:r>
      <w:r>
        <w:rPr>
          <w:rFonts w:asciiTheme="minorHAnsi" w:hAnsiTheme="minorHAnsi" w:cstheme="minorHAnsi"/>
          <w:b/>
          <w:color w:val="2683C6" w:themeColor="accent6"/>
          <w:szCs w:val="22"/>
          <w:lang w:val="en-GB"/>
        </w:rPr>
        <w:t xml:space="preserve"> amount </w:t>
      </w:r>
      <w:r w:rsidRPr="00851367">
        <w:rPr>
          <w:rFonts w:asciiTheme="minorHAnsi" w:hAnsiTheme="minorHAnsi" w:cstheme="minorHAnsi"/>
          <w:b/>
          <w:color w:val="2683C6" w:themeColor="accent6"/>
          <w:szCs w:val="22"/>
          <w:lang w:val="en-GB"/>
        </w:rPr>
        <w:t xml:space="preserve">to </w:t>
      </w:r>
      <w:r w:rsidRPr="009D0DE2">
        <w:rPr>
          <w:rFonts w:asciiTheme="minorHAnsi" w:hAnsiTheme="minorHAnsi" w:cstheme="minorHAnsi"/>
          <w:b/>
          <w:color w:val="2683C6" w:themeColor="accent6"/>
          <w:szCs w:val="22"/>
          <w:lang w:val="en-GB"/>
        </w:rPr>
        <w:t>€111.</w:t>
      </w:r>
      <w:r w:rsidR="00FF4D36" w:rsidRPr="009D0DE2">
        <w:rPr>
          <w:rFonts w:asciiTheme="minorHAnsi" w:hAnsiTheme="minorHAnsi" w:cstheme="minorHAnsi"/>
          <w:b/>
          <w:color w:val="2683C6" w:themeColor="accent6"/>
          <w:szCs w:val="22"/>
          <w:lang w:val="en-GB"/>
        </w:rPr>
        <w:t>8</w:t>
      </w:r>
      <w:r w:rsidR="009D0DE2">
        <w:rPr>
          <w:rFonts w:asciiTheme="minorHAnsi" w:hAnsiTheme="minorHAnsi" w:cstheme="minorHAnsi"/>
          <w:b/>
          <w:color w:val="2683C6" w:themeColor="accent6"/>
          <w:szCs w:val="22"/>
          <w:lang w:val="en-GB"/>
        </w:rPr>
        <w:t xml:space="preserve"> </w:t>
      </w:r>
      <w:r w:rsidRPr="009D0DE2">
        <w:rPr>
          <w:rFonts w:asciiTheme="minorHAnsi" w:hAnsiTheme="minorHAnsi" w:cstheme="minorHAnsi"/>
          <w:b/>
          <w:color w:val="2683C6" w:themeColor="accent6"/>
          <w:szCs w:val="22"/>
          <w:lang w:val="en-GB"/>
        </w:rPr>
        <w:t>million</w:t>
      </w:r>
      <w:r w:rsidRPr="00851367">
        <w:rPr>
          <w:rFonts w:asciiTheme="minorHAnsi" w:hAnsiTheme="minorHAnsi" w:cstheme="minorHAnsi"/>
          <w:b/>
          <w:color w:val="2683C6" w:themeColor="accent6"/>
          <w:szCs w:val="22"/>
          <w:lang w:val="en-GB"/>
        </w:rPr>
        <w:t xml:space="preserve">, resulting in </w:t>
      </w:r>
      <w:r w:rsidRPr="009D0DE2">
        <w:rPr>
          <w:rFonts w:asciiTheme="minorHAnsi" w:hAnsiTheme="minorHAnsi" w:cstheme="minorHAnsi"/>
          <w:b/>
          <w:color w:val="2683C6" w:themeColor="accent6"/>
          <w:szCs w:val="22"/>
          <w:lang w:val="en-GB"/>
        </w:rPr>
        <w:t xml:space="preserve">€85 million after </w:t>
      </w:r>
      <w:r w:rsidR="00FF4D36" w:rsidRPr="009D0DE2">
        <w:rPr>
          <w:rFonts w:asciiTheme="minorHAnsi" w:hAnsiTheme="minorHAnsi" w:cstheme="minorHAnsi"/>
          <w:b/>
          <w:color w:val="2683C6" w:themeColor="accent6"/>
          <w:szCs w:val="22"/>
          <w:lang w:val="en-GB"/>
        </w:rPr>
        <w:t xml:space="preserve">transaction </w:t>
      </w:r>
      <w:r w:rsidRPr="009D0DE2">
        <w:rPr>
          <w:rFonts w:asciiTheme="minorHAnsi" w:hAnsiTheme="minorHAnsi" w:cstheme="minorHAnsi"/>
          <w:b/>
          <w:color w:val="2683C6" w:themeColor="accent6"/>
          <w:szCs w:val="22"/>
          <w:lang w:val="en-GB"/>
        </w:rPr>
        <w:t>costs</w:t>
      </w:r>
      <w:r w:rsidR="00FF4D36" w:rsidRPr="009D0DE2">
        <w:rPr>
          <w:rFonts w:asciiTheme="minorHAnsi" w:hAnsiTheme="minorHAnsi" w:cstheme="minorHAnsi"/>
          <w:b/>
          <w:color w:val="2683C6" w:themeColor="accent6"/>
          <w:szCs w:val="22"/>
          <w:lang w:val="en-GB"/>
        </w:rPr>
        <w:t>, fees</w:t>
      </w:r>
      <w:r w:rsidR="001C4259">
        <w:rPr>
          <w:rFonts w:asciiTheme="minorHAnsi" w:hAnsiTheme="minorHAnsi" w:cstheme="minorHAnsi"/>
          <w:b/>
          <w:color w:val="2683C6" w:themeColor="accent6"/>
          <w:szCs w:val="22"/>
          <w:lang w:val="en-GB"/>
        </w:rPr>
        <w:t xml:space="preserve"> and repayment </w:t>
      </w:r>
      <w:r w:rsidRPr="009D0DE2">
        <w:rPr>
          <w:rFonts w:asciiTheme="minorHAnsi" w:hAnsiTheme="minorHAnsi" w:cstheme="minorHAnsi"/>
          <w:b/>
          <w:color w:val="2683C6" w:themeColor="accent6"/>
          <w:szCs w:val="22"/>
          <w:lang w:val="en-GB"/>
        </w:rPr>
        <w:t xml:space="preserve">of </w:t>
      </w:r>
      <w:r w:rsidR="001C4259">
        <w:rPr>
          <w:rFonts w:asciiTheme="minorHAnsi" w:hAnsiTheme="minorHAnsi" w:cstheme="minorHAnsi"/>
          <w:b/>
          <w:color w:val="2683C6" w:themeColor="accent6"/>
          <w:szCs w:val="22"/>
          <w:lang w:val="en-GB"/>
        </w:rPr>
        <w:t xml:space="preserve">the </w:t>
      </w:r>
      <w:r w:rsidRPr="009D0DE2">
        <w:rPr>
          <w:rFonts w:asciiTheme="minorHAnsi" w:hAnsiTheme="minorHAnsi" w:cstheme="minorHAnsi"/>
          <w:b/>
          <w:color w:val="2683C6" w:themeColor="accent6"/>
          <w:szCs w:val="22"/>
          <w:lang w:val="en-GB"/>
        </w:rPr>
        <w:t>US$17 million existing debt</w:t>
      </w:r>
      <w:r w:rsidR="00325F8A" w:rsidRPr="00851367">
        <w:rPr>
          <w:rFonts w:asciiTheme="minorHAnsi" w:hAnsiTheme="minorHAnsi" w:cstheme="minorHAnsi"/>
          <w:b/>
          <w:color w:val="2683C6" w:themeColor="accent6"/>
          <w:szCs w:val="22"/>
          <w:lang w:val="en-GB"/>
        </w:rPr>
        <w:t xml:space="preserve"> (</w:t>
      </w:r>
      <w:r w:rsidR="00325F8A" w:rsidRPr="009D0DE2">
        <w:rPr>
          <w:rFonts w:asciiTheme="minorHAnsi" w:hAnsiTheme="minorHAnsi" w:cstheme="minorHAnsi"/>
          <w:b/>
          <w:color w:val="2683C6" w:themeColor="accent6"/>
          <w:szCs w:val="22"/>
          <w:lang w:val="en-GB"/>
        </w:rPr>
        <w:t>€</w:t>
      </w:r>
      <w:r w:rsidR="00325F8A" w:rsidRPr="00851367">
        <w:rPr>
          <w:rFonts w:asciiTheme="minorHAnsi" w:hAnsiTheme="minorHAnsi" w:cstheme="minorHAnsi"/>
          <w:b/>
          <w:color w:val="2683C6" w:themeColor="accent6"/>
          <w:szCs w:val="22"/>
          <w:lang w:val="en-GB"/>
        </w:rPr>
        <w:t>16.2 million)</w:t>
      </w:r>
    </w:p>
    <w:p w14:paraId="656DF04A" w14:textId="1957241A" w:rsidR="00BB70BB" w:rsidRPr="00A0048D" w:rsidRDefault="00FF4D36" w:rsidP="00BB70BB">
      <w:pPr>
        <w:pStyle w:val="ListParagraph"/>
        <w:numPr>
          <w:ilvl w:val="0"/>
          <w:numId w:val="5"/>
        </w:numPr>
        <w:spacing w:after="180"/>
        <w:ind w:left="714" w:hanging="357"/>
        <w:contextualSpacing w:val="0"/>
        <w:rPr>
          <w:rFonts w:asciiTheme="minorHAnsi" w:hAnsiTheme="minorHAnsi" w:cstheme="minorHAnsi"/>
          <w:b/>
          <w:color w:val="2683C6" w:themeColor="accent6"/>
          <w:szCs w:val="22"/>
          <w:lang w:val="en-GB"/>
        </w:rPr>
      </w:pPr>
      <w:r w:rsidRPr="00851367">
        <w:rPr>
          <w:rFonts w:asciiTheme="minorHAnsi" w:hAnsiTheme="minorHAnsi" w:cstheme="minorHAnsi"/>
          <w:b/>
          <w:color w:val="2683C6" w:themeColor="accent6"/>
          <w:szCs w:val="22"/>
          <w:lang w:val="en-GB"/>
        </w:rPr>
        <w:t xml:space="preserve">Net </w:t>
      </w:r>
      <w:r w:rsidR="00BB70BB" w:rsidRPr="00851367">
        <w:rPr>
          <w:rFonts w:asciiTheme="minorHAnsi" w:hAnsiTheme="minorHAnsi" w:cstheme="minorHAnsi"/>
          <w:b/>
          <w:color w:val="2683C6" w:themeColor="accent6"/>
          <w:szCs w:val="22"/>
          <w:lang w:val="en-GB"/>
        </w:rPr>
        <w:t xml:space="preserve">Funds </w:t>
      </w:r>
      <w:r w:rsidRPr="00851367">
        <w:rPr>
          <w:rFonts w:asciiTheme="minorHAnsi" w:hAnsiTheme="minorHAnsi" w:cstheme="minorHAnsi"/>
          <w:b/>
          <w:color w:val="2683C6" w:themeColor="accent6"/>
          <w:szCs w:val="22"/>
          <w:lang w:val="en-GB"/>
        </w:rPr>
        <w:t>raised (</w:t>
      </w:r>
      <w:r w:rsidRPr="009D0DE2">
        <w:rPr>
          <w:rFonts w:asciiTheme="minorHAnsi" w:hAnsiTheme="minorHAnsi" w:cstheme="minorHAnsi"/>
          <w:b/>
          <w:color w:val="2683C6" w:themeColor="accent6"/>
          <w:szCs w:val="22"/>
          <w:lang w:val="en-GB"/>
        </w:rPr>
        <w:t>€85</w:t>
      </w:r>
      <w:r w:rsidRPr="00851367">
        <w:rPr>
          <w:rFonts w:asciiTheme="minorHAnsi" w:hAnsiTheme="minorHAnsi" w:cstheme="minorHAnsi"/>
          <w:b/>
          <w:color w:val="2683C6" w:themeColor="accent6"/>
          <w:szCs w:val="22"/>
          <w:lang w:val="en-GB"/>
        </w:rPr>
        <w:t xml:space="preserve"> Million) </w:t>
      </w:r>
      <w:r w:rsidR="00BB70BB" w:rsidRPr="00851367">
        <w:rPr>
          <w:rFonts w:asciiTheme="minorHAnsi" w:hAnsiTheme="minorHAnsi" w:cstheme="minorHAnsi"/>
          <w:b/>
          <w:color w:val="2683C6" w:themeColor="accent6"/>
          <w:szCs w:val="22"/>
          <w:lang w:val="en-GB"/>
        </w:rPr>
        <w:t xml:space="preserve">are for </w:t>
      </w:r>
      <w:r w:rsidR="001C4259">
        <w:rPr>
          <w:rFonts w:asciiTheme="minorHAnsi" w:hAnsiTheme="minorHAnsi" w:cstheme="minorHAnsi"/>
          <w:b/>
          <w:color w:val="2683C6" w:themeColor="accent6"/>
          <w:szCs w:val="22"/>
          <w:lang w:val="en-GB"/>
        </w:rPr>
        <w:t xml:space="preserve">payment of </w:t>
      </w:r>
      <w:r w:rsidR="00BB70BB" w:rsidRPr="00851367">
        <w:rPr>
          <w:rFonts w:asciiTheme="minorHAnsi" w:hAnsiTheme="minorHAnsi" w:cstheme="minorHAnsi"/>
          <w:b/>
          <w:color w:val="2683C6" w:themeColor="accent6"/>
          <w:szCs w:val="22"/>
          <w:lang w:val="en-GB"/>
        </w:rPr>
        <w:t xml:space="preserve">the acquisition of the North American commercialisation rights for RUCONEST </w:t>
      </w:r>
      <w:r w:rsidRPr="00851367">
        <w:rPr>
          <w:rFonts w:asciiTheme="minorHAnsi" w:hAnsiTheme="minorHAnsi" w:cstheme="minorHAnsi"/>
          <w:b/>
          <w:color w:val="2683C6" w:themeColor="accent6"/>
          <w:szCs w:val="22"/>
          <w:lang w:val="en-GB"/>
        </w:rPr>
        <w:t xml:space="preserve">of </w:t>
      </w:r>
      <w:r w:rsidR="00527AFE" w:rsidRPr="00851367">
        <w:rPr>
          <w:rFonts w:asciiTheme="minorHAnsi" w:hAnsiTheme="minorHAnsi" w:cstheme="minorHAnsi"/>
          <w:b/>
          <w:color w:val="2683C6" w:themeColor="accent6"/>
          <w:szCs w:val="22"/>
          <w:lang w:val="en-GB"/>
        </w:rPr>
        <w:t xml:space="preserve">US$60 million </w:t>
      </w:r>
      <w:r w:rsidR="00BB70BB" w:rsidRPr="009D0DE2">
        <w:rPr>
          <w:rFonts w:asciiTheme="minorHAnsi" w:hAnsiTheme="minorHAnsi" w:cstheme="minorHAnsi"/>
          <w:b/>
          <w:color w:val="2683C6" w:themeColor="accent6"/>
          <w:szCs w:val="22"/>
          <w:lang w:val="en-GB"/>
        </w:rPr>
        <w:t>(€56.</w:t>
      </w:r>
      <w:r w:rsidRPr="009D0DE2">
        <w:rPr>
          <w:rFonts w:asciiTheme="minorHAnsi" w:hAnsiTheme="minorHAnsi" w:cstheme="minorHAnsi"/>
          <w:b/>
          <w:color w:val="2683C6" w:themeColor="accent6"/>
          <w:szCs w:val="22"/>
          <w:lang w:val="en-GB"/>
        </w:rPr>
        <w:t>7</w:t>
      </w:r>
      <w:r w:rsidR="00BB70BB" w:rsidRPr="009D0DE2">
        <w:rPr>
          <w:rFonts w:asciiTheme="minorHAnsi" w:hAnsiTheme="minorHAnsi" w:cstheme="minorHAnsi"/>
          <w:b/>
          <w:color w:val="2683C6" w:themeColor="accent6"/>
          <w:szCs w:val="22"/>
          <w:lang w:val="en-GB"/>
        </w:rPr>
        <w:t xml:space="preserve"> million) and a total of €28.</w:t>
      </w:r>
      <w:r w:rsidRPr="009D0DE2">
        <w:rPr>
          <w:rFonts w:asciiTheme="minorHAnsi" w:hAnsiTheme="minorHAnsi" w:cstheme="minorHAnsi"/>
          <w:b/>
          <w:color w:val="2683C6" w:themeColor="accent6"/>
          <w:szCs w:val="22"/>
          <w:lang w:val="en-GB"/>
        </w:rPr>
        <w:t>3</w:t>
      </w:r>
      <w:r w:rsidR="00BB70BB" w:rsidRPr="00851367">
        <w:rPr>
          <w:rFonts w:asciiTheme="minorHAnsi" w:hAnsiTheme="minorHAnsi" w:cstheme="minorHAnsi"/>
          <w:b/>
          <w:color w:val="2683C6" w:themeColor="accent6"/>
          <w:szCs w:val="22"/>
          <w:lang w:val="en-GB"/>
        </w:rPr>
        <w:t xml:space="preserve"> million for additional marketing and sales investments for  RUCONEST both in the USA and in</w:t>
      </w:r>
      <w:r w:rsidR="00BB70BB">
        <w:rPr>
          <w:rFonts w:asciiTheme="minorHAnsi" w:hAnsiTheme="minorHAnsi" w:cstheme="minorHAnsi"/>
          <w:b/>
          <w:color w:val="2683C6" w:themeColor="accent6"/>
          <w:szCs w:val="22"/>
          <w:lang w:val="en-GB"/>
        </w:rPr>
        <w:t xml:space="preserve"> the EU.</w:t>
      </w:r>
    </w:p>
    <w:p w14:paraId="23F6ADE6" w14:textId="73C08A74" w:rsidR="00080D0C" w:rsidRPr="00A0048D" w:rsidRDefault="00080D0C" w:rsidP="001322F2">
      <w:pPr>
        <w:pStyle w:val="ListParagraph"/>
        <w:numPr>
          <w:ilvl w:val="0"/>
          <w:numId w:val="5"/>
        </w:numPr>
        <w:spacing w:after="180"/>
        <w:ind w:left="714" w:hanging="357"/>
        <w:contextualSpacing w:val="0"/>
        <w:rPr>
          <w:rFonts w:asciiTheme="minorHAnsi" w:hAnsiTheme="minorHAnsi" w:cstheme="minorHAnsi"/>
          <w:b/>
          <w:color w:val="2683C6" w:themeColor="accent6"/>
          <w:szCs w:val="22"/>
          <w:lang w:val="en-GB"/>
        </w:rPr>
      </w:pPr>
      <w:r w:rsidRPr="00A0048D">
        <w:rPr>
          <w:rFonts w:asciiTheme="minorHAnsi" w:hAnsiTheme="minorHAnsi" w:cstheme="minorHAnsi"/>
          <w:b/>
          <w:color w:val="2683C6" w:themeColor="accent6"/>
          <w:szCs w:val="22"/>
          <w:lang w:val="en-GB"/>
        </w:rPr>
        <w:t xml:space="preserve">Total </w:t>
      </w:r>
      <w:r w:rsidR="001537FE">
        <w:rPr>
          <w:rFonts w:asciiTheme="minorHAnsi" w:hAnsiTheme="minorHAnsi" w:cstheme="minorHAnsi"/>
          <w:b/>
          <w:color w:val="2683C6" w:themeColor="accent6"/>
          <w:szCs w:val="22"/>
          <w:lang w:val="en-GB"/>
        </w:rPr>
        <w:t>s</w:t>
      </w:r>
      <w:r w:rsidR="001537FE" w:rsidRPr="00A0048D">
        <w:rPr>
          <w:rFonts w:asciiTheme="minorHAnsi" w:hAnsiTheme="minorHAnsi" w:cstheme="minorHAnsi"/>
          <w:b/>
          <w:color w:val="2683C6" w:themeColor="accent6"/>
          <w:szCs w:val="22"/>
          <w:lang w:val="en-GB"/>
        </w:rPr>
        <w:t xml:space="preserve">hares </w:t>
      </w:r>
      <w:r w:rsidRPr="00A0048D">
        <w:rPr>
          <w:rFonts w:asciiTheme="minorHAnsi" w:hAnsiTheme="minorHAnsi" w:cstheme="minorHAnsi"/>
          <w:b/>
          <w:color w:val="2683C6" w:themeColor="accent6"/>
          <w:szCs w:val="22"/>
          <w:lang w:val="en-GB"/>
        </w:rPr>
        <w:t xml:space="preserve">issued now </w:t>
      </w:r>
      <w:r w:rsidR="00841713" w:rsidRPr="00A0048D">
        <w:rPr>
          <w:rFonts w:asciiTheme="minorHAnsi" w:hAnsiTheme="minorHAnsi" w:cstheme="minorHAnsi"/>
          <w:b/>
          <w:color w:val="2683C6" w:themeColor="accent6"/>
          <w:szCs w:val="22"/>
          <w:lang w:val="en-GB"/>
        </w:rPr>
        <w:t xml:space="preserve">will be </w:t>
      </w:r>
      <w:r w:rsidR="00705DD5">
        <w:rPr>
          <w:rFonts w:asciiTheme="minorHAnsi" w:hAnsiTheme="minorHAnsi" w:cstheme="minorHAnsi"/>
          <w:b/>
          <w:color w:val="2683C6" w:themeColor="accent6"/>
          <w:szCs w:val="22"/>
          <w:lang w:val="en-GB"/>
        </w:rPr>
        <w:t xml:space="preserve">limited to </w:t>
      </w:r>
      <w:r w:rsidRPr="00A0048D">
        <w:rPr>
          <w:rFonts w:asciiTheme="minorHAnsi" w:hAnsiTheme="minorHAnsi" w:cstheme="minorHAnsi"/>
          <w:b/>
          <w:color w:val="2683C6" w:themeColor="accent6"/>
          <w:szCs w:val="22"/>
          <w:lang w:val="en-GB"/>
        </w:rPr>
        <w:t>58,943,750</w:t>
      </w:r>
    </w:p>
    <w:p w14:paraId="2E9F5ABA" w14:textId="69BFC8DC" w:rsidR="001A1B45" w:rsidRPr="00991147" w:rsidRDefault="00080D0C" w:rsidP="00991147">
      <w:pPr>
        <w:rPr>
          <w:rFonts w:ascii="Calibri Light" w:hAnsi="Calibri Light" w:cstheme="minorHAnsi"/>
          <w:color w:val="7F7F7F" w:themeColor="text1" w:themeTint="80"/>
          <w:lang w:val="en-GB"/>
        </w:rPr>
      </w:pPr>
      <w:r w:rsidRPr="00991147">
        <w:rPr>
          <w:rFonts w:ascii="Calibri Light" w:eastAsiaTheme="majorEastAsia" w:hAnsi="Calibri Light" w:cstheme="minorHAnsi"/>
          <w:color w:val="7F7F7F" w:themeColor="text1" w:themeTint="80"/>
          <w:szCs w:val="22"/>
          <w:lang w:val="en-GB" w:eastAsia="zh-CN"/>
        </w:rPr>
        <w:t xml:space="preserve">Pharming announces that it has agreed terms with investors for a series of financing transactions which, upon closing, will </w:t>
      </w:r>
      <w:r w:rsidR="00427262" w:rsidRPr="00851367">
        <w:rPr>
          <w:rFonts w:ascii="Calibri Light" w:eastAsiaTheme="majorEastAsia" w:hAnsi="Calibri Light" w:cstheme="minorHAnsi"/>
          <w:color w:val="7F7F7F" w:themeColor="text1" w:themeTint="80"/>
          <w:szCs w:val="22"/>
          <w:lang w:val="en-GB" w:eastAsia="zh-CN"/>
        </w:rPr>
        <w:t xml:space="preserve">raise </w:t>
      </w:r>
      <w:r w:rsidR="00427262" w:rsidRPr="009D0DE2">
        <w:rPr>
          <w:rFonts w:asciiTheme="minorHAnsi" w:hAnsiTheme="minorHAnsi" w:cstheme="minorHAnsi"/>
          <w:color w:val="7F7F7F" w:themeColor="text1" w:themeTint="80"/>
          <w:lang w:val="en-GB"/>
        </w:rPr>
        <w:t>€</w:t>
      </w:r>
      <w:r w:rsidR="0033073C" w:rsidRPr="009D0DE2">
        <w:rPr>
          <w:rFonts w:asciiTheme="minorHAnsi" w:hAnsiTheme="minorHAnsi" w:cstheme="minorHAnsi"/>
          <w:color w:val="7F7F7F" w:themeColor="text1" w:themeTint="80"/>
          <w:lang w:val="en-GB"/>
        </w:rPr>
        <w:t>111</w:t>
      </w:r>
      <w:r w:rsidR="001C4259">
        <w:rPr>
          <w:rFonts w:asciiTheme="minorHAnsi" w:hAnsiTheme="minorHAnsi" w:cstheme="minorHAnsi"/>
          <w:color w:val="7F7F7F" w:themeColor="text1" w:themeTint="80"/>
          <w:lang w:val="en-GB"/>
        </w:rPr>
        <w:t>.8</w:t>
      </w:r>
      <w:r w:rsidR="00427262" w:rsidRPr="009D0DE2">
        <w:rPr>
          <w:rFonts w:asciiTheme="minorHAnsi" w:hAnsiTheme="minorHAnsi" w:cstheme="minorHAnsi"/>
          <w:color w:val="7F7F7F" w:themeColor="text1" w:themeTint="80"/>
          <w:lang w:val="en-GB"/>
        </w:rPr>
        <w:t xml:space="preserve"> million gross, or €</w:t>
      </w:r>
      <w:r w:rsidR="001F248A" w:rsidRPr="009D0DE2">
        <w:rPr>
          <w:rFonts w:asciiTheme="minorHAnsi" w:hAnsiTheme="minorHAnsi" w:cstheme="minorHAnsi"/>
          <w:color w:val="7F7F7F" w:themeColor="text1" w:themeTint="80"/>
          <w:lang w:val="en-GB"/>
        </w:rPr>
        <w:t>85</w:t>
      </w:r>
      <w:r w:rsidR="00427262" w:rsidRPr="009D0DE2">
        <w:rPr>
          <w:rFonts w:asciiTheme="minorHAnsi" w:hAnsiTheme="minorHAnsi" w:cstheme="minorHAnsi"/>
          <w:color w:val="7F7F7F" w:themeColor="text1" w:themeTint="80"/>
          <w:lang w:val="en-GB"/>
        </w:rPr>
        <w:t xml:space="preserve"> million</w:t>
      </w:r>
      <w:r w:rsidR="00427262" w:rsidRPr="00851367">
        <w:rPr>
          <w:rFonts w:asciiTheme="minorHAnsi" w:hAnsiTheme="minorHAnsi" w:cstheme="minorHAnsi"/>
          <w:color w:val="7F7F7F" w:themeColor="text1" w:themeTint="80"/>
          <w:lang w:val="en-GB"/>
        </w:rPr>
        <w:t xml:space="preserve"> </w:t>
      </w:r>
      <w:r w:rsidR="00705DD5" w:rsidRPr="00851367">
        <w:rPr>
          <w:rFonts w:asciiTheme="minorHAnsi" w:hAnsiTheme="minorHAnsi" w:cstheme="minorHAnsi"/>
          <w:color w:val="7F7F7F" w:themeColor="text1" w:themeTint="80"/>
          <w:lang w:val="en-GB"/>
        </w:rPr>
        <w:t>after</w:t>
      </w:r>
      <w:r w:rsidR="00705DD5">
        <w:rPr>
          <w:rFonts w:asciiTheme="minorHAnsi" w:hAnsiTheme="minorHAnsi" w:cstheme="minorHAnsi"/>
          <w:color w:val="7F7F7F" w:themeColor="text1" w:themeTint="80"/>
          <w:lang w:val="en-GB"/>
        </w:rPr>
        <w:t xml:space="preserve"> payment</w:t>
      </w:r>
      <w:r w:rsidR="00427262">
        <w:rPr>
          <w:rFonts w:asciiTheme="minorHAnsi" w:hAnsiTheme="minorHAnsi" w:cstheme="minorHAnsi"/>
          <w:color w:val="7F7F7F" w:themeColor="text1" w:themeTint="80"/>
          <w:lang w:val="en-GB"/>
        </w:rPr>
        <w:t xml:space="preserve"> of </w:t>
      </w:r>
      <w:r w:rsidR="00325F8A">
        <w:rPr>
          <w:rFonts w:asciiTheme="minorHAnsi" w:hAnsiTheme="minorHAnsi" w:cstheme="minorHAnsi"/>
          <w:color w:val="7F7F7F" w:themeColor="text1" w:themeTint="80"/>
          <w:lang w:val="en-GB"/>
        </w:rPr>
        <w:t xml:space="preserve">transaction </w:t>
      </w:r>
      <w:r w:rsidR="00427262">
        <w:rPr>
          <w:rFonts w:asciiTheme="minorHAnsi" w:hAnsiTheme="minorHAnsi" w:cstheme="minorHAnsi"/>
          <w:color w:val="7F7F7F" w:themeColor="text1" w:themeTint="80"/>
          <w:lang w:val="en-GB"/>
        </w:rPr>
        <w:t>costs</w:t>
      </w:r>
      <w:r w:rsidR="00325F8A">
        <w:rPr>
          <w:rFonts w:asciiTheme="minorHAnsi" w:hAnsiTheme="minorHAnsi" w:cstheme="minorHAnsi"/>
          <w:color w:val="7F7F7F" w:themeColor="text1" w:themeTint="80"/>
          <w:lang w:val="en-GB"/>
        </w:rPr>
        <w:t>, fees</w:t>
      </w:r>
      <w:r w:rsidR="00427262">
        <w:rPr>
          <w:rFonts w:asciiTheme="minorHAnsi" w:hAnsiTheme="minorHAnsi" w:cstheme="minorHAnsi"/>
          <w:color w:val="7F7F7F" w:themeColor="text1" w:themeTint="80"/>
          <w:lang w:val="en-GB"/>
        </w:rPr>
        <w:t xml:space="preserve"> and repayment of existing debt.  This set of funding transactions will enable the Company</w:t>
      </w:r>
      <w:r w:rsidRPr="00991147">
        <w:rPr>
          <w:rFonts w:ascii="Calibri Light" w:eastAsiaTheme="majorEastAsia" w:hAnsi="Calibri Light" w:cstheme="minorHAnsi"/>
          <w:color w:val="7F7F7F" w:themeColor="text1" w:themeTint="80"/>
          <w:szCs w:val="22"/>
          <w:lang w:val="en-GB" w:eastAsia="zh-CN"/>
        </w:rPr>
        <w:t xml:space="preserve"> to meet the upfront payment and complete its acquisition of the </w:t>
      </w:r>
      <w:r w:rsidRPr="00991147">
        <w:rPr>
          <w:rFonts w:ascii="Calibri Light" w:hAnsi="Calibri Light" w:cstheme="minorHAnsi"/>
          <w:color w:val="7F7F7F" w:themeColor="text1" w:themeTint="80"/>
          <w:lang w:val="en-GB"/>
        </w:rPr>
        <w:t>North American commercialization rights to RUCONEST® from Valeant Pharmaceuticals International, Inc. (NYSE/TRX: VRX) (“Valeant”)</w:t>
      </w:r>
      <w:r w:rsidR="00427262">
        <w:rPr>
          <w:rFonts w:ascii="Calibri Light" w:hAnsi="Calibri Light" w:cstheme="minorHAnsi"/>
          <w:color w:val="7F7F7F" w:themeColor="text1" w:themeTint="80"/>
          <w:lang w:val="en-GB"/>
        </w:rPr>
        <w:t>, and to accelerate the development of sales of RUCONEST® in North America</w:t>
      </w:r>
      <w:r w:rsidRPr="00991147">
        <w:rPr>
          <w:rFonts w:ascii="Calibri Light" w:hAnsi="Calibri Light" w:cstheme="minorHAnsi"/>
          <w:color w:val="7F7F7F" w:themeColor="text1" w:themeTint="80"/>
          <w:lang w:val="en-GB"/>
        </w:rPr>
        <w:t>.</w:t>
      </w:r>
      <w:r w:rsidR="001537FE">
        <w:rPr>
          <w:rFonts w:ascii="Calibri Light" w:hAnsi="Calibri Light" w:cstheme="minorHAnsi"/>
          <w:color w:val="7F7F7F" w:themeColor="text1" w:themeTint="80"/>
          <w:lang w:val="en-GB"/>
        </w:rPr>
        <w:t xml:space="preserve">  </w:t>
      </w:r>
      <w:r w:rsidR="002A58EF">
        <w:rPr>
          <w:rFonts w:ascii="Calibri Light" w:hAnsi="Calibri Light" w:cstheme="minorHAnsi"/>
          <w:color w:val="7F7F7F" w:themeColor="text1" w:themeTint="80"/>
          <w:lang w:val="en-GB"/>
        </w:rPr>
        <w:t>This acquisition transaction will be completed as soon as sufficient of the instruments have closed to enable the Company to do so.  This is currently expected to be prior to the closing of the Rights Offer.</w:t>
      </w:r>
    </w:p>
    <w:p w14:paraId="308D6152" w14:textId="77777777" w:rsidR="00080D0C" w:rsidRPr="00991147" w:rsidRDefault="00080D0C" w:rsidP="00991147">
      <w:pPr>
        <w:rPr>
          <w:rFonts w:asciiTheme="minorHAnsi" w:hAnsiTheme="minorHAnsi" w:cstheme="minorHAnsi"/>
          <w:color w:val="7F7F7F" w:themeColor="text1" w:themeTint="80"/>
          <w:lang w:val="en-GB"/>
        </w:rPr>
      </w:pPr>
    </w:p>
    <w:p w14:paraId="10721BFA" w14:textId="500843DA" w:rsidR="00A55CDB" w:rsidRDefault="00080D0C" w:rsidP="00991147">
      <w:pPr>
        <w:rPr>
          <w:rFonts w:asciiTheme="minorHAnsi" w:hAnsiTheme="minorHAnsi" w:cstheme="minorHAnsi"/>
          <w:color w:val="7F7F7F" w:themeColor="text1" w:themeTint="80"/>
          <w:lang w:val="en-GB"/>
        </w:rPr>
      </w:pPr>
      <w:r w:rsidRPr="00991147">
        <w:rPr>
          <w:rFonts w:asciiTheme="minorHAnsi" w:hAnsiTheme="minorHAnsi" w:cstheme="minorHAnsi"/>
          <w:color w:val="7F7F7F" w:themeColor="text1" w:themeTint="80"/>
          <w:lang w:val="en-GB"/>
        </w:rPr>
        <w:t xml:space="preserve">The financing will comprise </w:t>
      </w:r>
      <w:r w:rsidR="009D0DE2">
        <w:rPr>
          <w:rFonts w:asciiTheme="minorHAnsi" w:hAnsiTheme="minorHAnsi" w:cstheme="minorHAnsi"/>
          <w:color w:val="7F7F7F" w:themeColor="text1" w:themeTint="80"/>
          <w:lang w:val="en-GB"/>
        </w:rPr>
        <w:t xml:space="preserve">of </w:t>
      </w:r>
      <w:r w:rsidRPr="00991147">
        <w:rPr>
          <w:rFonts w:asciiTheme="minorHAnsi" w:hAnsiTheme="minorHAnsi" w:cstheme="minorHAnsi"/>
          <w:color w:val="7F7F7F" w:themeColor="text1" w:themeTint="80"/>
          <w:lang w:val="en-GB"/>
        </w:rPr>
        <w:t>four elements, which are described further below</w:t>
      </w:r>
      <w:r w:rsidR="00A55CDB" w:rsidRPr="00991147">
        <w:rPr>
          <w:rFonts w:asciiTheme="minorHAnsi" w:hAnsiTheme="minorHAnsi" w:cstheme="minorHAnsi"/>
          <w:color w:val="7F7F7F" w:themeColor="text1" w:themeTint="80"/>
          <w:lang w:val="en-GB"/>
        </w:rPr>
        <w:t xml:space="preserve">.  </w:t>
      </w:r>
      <w:r w:rsidR="000E1375">
        <w:rPr>
          <w:rFonts w:asciiTheme="minorHAnsi" w:hAnsiTheme="minorHAnsi" w:cstheme="minorHAnsi"/>
          <w:color w:val="7F7F7F" w:themeColor="text1" w:themeTint="80"/>
          <w:lang w:val="en-GB"/>
        </w:rPr>
        <w:t xml:space="preserve">With the exception of the rights issue, the terms shown below are subject to final changes as the full documentation is completed.  These descriptions show the terms as currently agreed.  </w:t>
      </w:r>
      <w:r w:rsidR="00A55CDB" w:rsidRPr="00991147">
        <w:rPr>
          <w:rFonts w:asciiTheme="minorHAnsi" w:hAnsiTheme="minorHAnsi" w:cstheme="minorHAnsi"/>
          <w:color w:val="7F7F7F" w:themeColor="text1" w:themeTint="80"/>
          <w:lang w:val="en-GB"/>
        </w:rPr>
        <w:t>These elements are as follows:</w:t>
      </w:r>
    </w:p>
    <w:p w14:paraId="70EE3F57" w14:textId="77777777" w:rsidR="00F839BE" w:rsidRPr="00991147" w:rsidRDefault="00F839BE" w:rsidP="00991147">
      <w:pPr>
        <w:rPr>
          <w:rFonts w:asciiTheme="minorHAnsi" w:hAnsiTheme="minorHAnsi" w:cstheme="minorHAnsi"/>
          <w:color w:val="7F7F7F" w:themeColor="text1" w:themeTint="80"/>
          <w:lang w:val="en-GB"/>
        </w:rPr>
      </w:pPr>
    </w:p>
    <w:p w14:paraId="494D4DC2" w14:textId="3063E3F7" w:rsidR="00A55CDB" w:rsidRPr="00991147" w:rsidRDefault="00A55CDB" w:rsidP="00991147">
      <w:pPr>
        <w:pStyle w:val="ListParagraph"/>
        <w:numPr>
          <w:ilvl w:val="0"/>
          <w:numId w:val="12"/>
        </w:numPr>
        <w:ind w:left="1276" w:hanging="556"/>
        <w:rPr>
          <w:rFonts w:asciiTheme="minorHAnsi" w:eastAsiaTheme="majorEastAsia" w:hAnsiTheme="minorHAnsi" w:cstheme="minorHAnsi"/>
          <w:b/>
          <w:color w:val="7F7F7F" w:themeColor="text1" w:themeTint="80"/>
          <w:szCs w:val="22"/>
          <w:lang w:val="en-GB" w:eastAsia="zh-CN"/>
        </w:rPr>
      </w:pPr>
      <w:r w:rsidRPr="00991147">
        <w:rPr>
          <w:rFonts w:asciiTheme="minorHAnsi" w:hAnsiTheme="minorHAnsi" w:cstheme="minorHAnsi"/>
          <w:color w:val="7F7F7F" w:themeColor="text1" w:themeTint="80"/>
          <w:lang w:val="en-GB"/>
        </w:rPr>
        <w:t xml:space="preserve">A </w:t>
      </w:r>
      <w:r w:rsidRPr="00851367">
        <w:rPr>
          <w:rFonts w:asciiTheme="minorHAnsi" w:hAnsiTheme="minorHAnsi" w:cstheme="minorHAnsi"/>
          <w:color w:val="7F7F7F" w:themeColor="text1" w:themeTint="80"/>
          <w:lang w:val="en-GB"/>
        </w:rPr>
        <w:t xml:space="preserve">new </w:t>
      </w:r>
      <w:r w:rsidR="00E1260B" w:rsidRPr="009D0DE2">
        <w:rPr>
          <w:rFonts w:asciiTheme="minorHAnsi" w:hAnsiTheme="minorHAnsi" w:cstheme="minorHAnsi"/>
          <w:color w:val="7F7F7F" w:themeColor="text1" w:themeTint="80"/>
          <w:lang w:val="en-GB"/>
        </w:rPr>
        <w:t>8</w:t>
      </w:r>
      <w:r w:rsidR="00411E4D" w:rsidRPr="009D0DE2">
        <w:rPr>
          <w:rFonts w:asciiTheme="minorHAnsi" w:hAnsiTheme="minorHAnsi" w:cstheme="minorHAnsi"/>
          <w:color w:val="7F7F7F" w:themeColor="text1" w:themeTint="80"/>
          <w:lang w:val="en-GB"/>
        </w:rPr>
        <w:t xml:space="preserve">% </w:t>
      </w:r>
      <w:r w:rsidRPr="009D0DE2">
        <w:rPr>
          <w:rFonts w:asciiTheme="minorHAnsi" w:hAnsiTheme="minorHAnsi" w:cstheme="minorHAnsi"/>
          <w:color w:val="7F7F7F" w:themeColor="text1" w:themeTint="80"/>
          <w:lang w:val="en-GB"/>
        </w:rPr>
        <w:t xml:space="preserve">straight debt facility of $40 million </w:t>
      </w:r>
      <w:r w:rsidR="001F248A" w:rsidRPr="009D0DE2">
        <w:rPr>
          <w:rFonts w:asciiTheme="minorHAnsi" w:hAnsiTheme="minorHAnsi" w:cstheme="minorHAnsi"/>
          <w:color w:val="7F7F7F" w:themeColor="text1" w:themeTint="80"/>
          <w:lang w:val="en-GB"/>
        </w:rPr>
        <w:t>(€37.7 million) (or €3</w:t>
      </w:r>
      <w:r w:rsidR="00325F8A" w:rsidRPr="009D0DE2">
        <w:rPr>
          <w:rFonts w:asciiTheme="minorHAnsi" w:hAnsiTheme="minorHAnsi" w:cstheme="minorHAnsi"/>
          <w:color w:val="7F7F7F" w:themeColor="text1" w:themeTint="80"/>
          <w:lang w:val="en-GB"/>
        </w:rPr>
        <w:t>5</w:t>
      </w:r>
      <w:r w:rsidR="00DE1650" w:rsidRPr="009D0DE2">
        <w:rPr>
          <w:rFonts w:asciiTheme="minorHAnsi" w:hAnsiTheme="minorHAnsi" w:cstheme="minorHAnsi"/>
          <w:color w:val="7F7F7F" w:themeColor="text1" w:themeTint="80"/>
          <w:lang w:val="en-GB"/>
        </w:rPr>
        <w:t>.</w:t>
      </w:r>
      <w:r w:rsidR="00325F8A" w:rsidRPr="009D0DE2">
        <w:rPr>
          <w:rFonts w:asciiTheme="minorHAnsi" w:hAnsiTheme="minorHAnsi" w:cstheme="minorHAnsi"/>
          <w:color w:val="7F7F7F" w:themeColor="text1" w:themeTint="80"/>
          <w:lang w:val="en-GB"/>
        </w:rPr>
        <w:t>9</w:t>
      </w:r>
      <w:r w:rsidR="00DE1650" w:rsidRPr="009D0DE2">
        <w:rPr>
          <w:rFonts w:asciiTheme="minorHAnsi" w:hAnsiTheme="minorHAnsi" w:cstheme="minorHAnsi"/>
          <w:color w:val="7F7F7F" w:themeColor="text1" w:themeTint="80"/>
          <w:lang w:val="en-GB"/>
        </w:rPr>
        <w:t xml:space="preserve"> million net of costs</w:t>
      </w:r>
      <w:r w:rsidR="00411E4D" w:rsidRPr="009D0DE2">
        <w:rPr>
          <w:rFonts w:asciiTheme="minorHAnsi" w:hAnsiTheme="minorHAnsi" w:cstheme="minorHAnsi"/>
          <w:color w:val="7F7F7F" w:themeColor="text1" w:themeTint="80"/>
          <w:lang w:val="en-GB"/>
        </w:rPr>
        <w:t xml:space="preserve"> and liquidity retentions</w:t>
      </w:r>
      <w:r w:rsidR="00DE1650" w:rsidRPr="00851367">
        <w:rPr>
          <w:rFonts w:asciiTheme="minorHAnsi" w:hAnsiTheme="minorHAnsi" w:cstheme="minorHAnsi"/>
          <w:color w:val="7F7F7F" w:themeColor="text1" w:themeTint="80"/>
          <w:lang w:val="en-GB"/>
        </w:rPr>
        <w:t xml:space="preserve">) </w:t>
      </w:r>
      <w:r w:rsidRPr="00851367">
        <w:rPr>
          <w:rFonts w:asciiTheme="minorHAnsi" w:hAnsiTheme="minorHAnsi" w:cstheme="minorHAnsi"/>
          <w:color w:val="7F7F7F" w:themeColor="text1" w:themeTint="80"/>
          <w:lang w:val="en-GB"/>
        </w:rPr>
        <w:t xml:space="preserve">from existing lender Silicon Valley Bank and new lender </w:t>
      </w:r>
      <w:r w:rsidRPr="00851367">
        <w:rPr>
          <w:rFonts w:asciiTheme="minorHAnsi" w:hAnsiTheme="minorHAnsi" w:cstheme="minorHAnsi"/>
          <w:color w:val="7F7F7F" w:themeColor="text1" w:themeTint="80"/>
          <w:lang w:val="en-GB"/>
        </w:rPr>
        <w:lastRenderedPageBreak/>
        <w:t>Kreos Capital V (UK) Ltd.  The</w:t>
      </w:r>
      <w:r w:rsidRPr="00991147">
        <w:rPr>
          <w:rFonts w:asciiTheme="minorHAnsi" w:hAnsiTheme="minorHAnsi" w:cstheme="minorHAnsi"/>
          <w:color w:val="7F7F7F" w:themeColor="text1" w:themeTint="80"/>
          <w:lang w:val="en-GB"/>
        </w:rPr>
        <w:t xml:space="preserve"> existing facility with Silicon Valley Bank and Oxford Finance LLC will be repaid in full in accordance with its terms</w:t>
      </w:r>
      <w:r w:rsidR="00DE1650" w:rsidRPr="00991147">
        <w:rPr>
          <w:rFonts w:asciiTheme="minorHAnsi" w:hAnsiTheme="minorHAnsi" w:cstheme="minorHAnsi"/>
          <w:color w:val="7F7F7F" w:themeColor="text1" w:themeTint="80"/>
          <w:lang w:val="en-GB"/>
        </w:rPr>
        <w:t xml:space="preserve">; </w:t>
      </w:r>
    </w:p>
    <w:p w14:paraId="2B6384C3" w14:textId="77777777" w:rsidR="00DE1650" w:rsidRPr="00991147" w:rsidRDefault="00DE1650" w:rsidP="00991147">
      <w:pPr>
        <w:pStyle w:val="ListParagraph"/>
        <w:ind w:left="1276" w:hanging="556"/>
        <w:rPr>
          <w:rFonts w:asciiTheme="minorHAnsi" w:eastAsiaTheme="majorEastAsia" w:hAnsiTheme="minorHAnsi" w:cstheme="minorHAnsi"/>
          <w:b/>
          <w:color w:val="7F7F7F" w:themeColor="text1" w:themeTint="80"/>
          <w:szCs w:val="22"/>
          <w:lang w:val="en-GB" w:eastAsia="zh-CN"/>
        </w:rPr>
      </w:pPr>
    </w:p>
    <w:p w14:paraId="3ADB5E9B" w14:textId="0E3B7531" w:rsidR="00080D0C" w:rsidRPr="00991147" w:rsidRDefault="00A55CDB" w:rsidP="00991147">
      <w:pPr>
        <w:pStyle w:val="ListParagraph"/>
        <w:numPr>
          <w:ilvl w:val="0"/>
          <w:numId w:val="12"/>
        </w:numPr>
        <w:ind w:left="1276" w:hanging="556"/>
        <w:rPr>
          <w:rFonts w:asciiTheme="minorHAnsi" w:eastAsiaTheme="majorEastAsia" w:hAnsiTheme="minorHAnsi" w:cstheme="minorHAnsi"/>
          <w:b/>
          <w:color w:val="7F7F7F" w:themeColor="text1" w:themeTint="80"/>
          <w:szCs w:val="22"/>
          <w:lang w:val="en-GB" w:eastAsia="zh-CN"/>
        </w:rPr>
      </w:pPr>
      <w:r w:rsidRPr="00991147">
        <w:rPr>
          <w:rFonts w:asciiTheme="minorHAnsi" w:hAnsiTheme="minorHAnsi" w:cstheme="minorHAnsi"/>
          <w:color w:val="7F7F7F" w:themeColor="text1" w:themeTint="80"/>
          <w:lang w:val="en-GB"/>
        </w:rPr>
        <w:t xml:space="preserve">A rights issue offering existing shareholders the chance to subscribe for one new ordinary share for every seven shares they hold at the record date, expected to be 22 November 2016, </w:t>
      </w:r>
      <w:r w:rsidR="00DE1650" w:rsidRPr="00991147">
        <w:rPr>
          <w:rFonts w:asciiTheme="minorHAnsi" w:hAnsiTheme="minorHAnsi" w:cstheme="minorHAnsi"/>
          <w:color w:val="7F7F7F" w:themeColor="text1" w:themeTint="80"/>
          <w:lang w:val="en-GB"/>
        </w:rPr>
        <w:t>at a price of €0.20</w:t>
      </w:r>
      <w:r w:rsidR="00A8785D">
        <w:rPr>
          <w:rFonts w:asciiTheme="minorHAnsi" w:hAnsiTheme="minorHAnsi" w:cstheme="minorHAnsi"/>
          <w:color w:val="7F7F7F" w:themeColor="text1" w:themeTint="80"/>
          <w:lang w:val="en-GB"/>
        </w:rPr>
        <w:t>5</w:t>
      </w:r>
      <w:r w:rsidR="00DE1650" w:rsidRPr="00991147">
        <w:rPr>
          <w:rFonts w:asciiTheme="minorHAnsi" w:hAnsiTheme="minorHAnsi" w:cstheme="minorHAnsi"/>
          <w:color w:val="7F7F7F" w:themeColor="text1" w:themeTint="80"/>
          <w:lang w:val="en-GB"/>
        </w:rPr>
        <w:t xml:space="preserve"> per share</w:t>
      </w:r>
      <w:r w:rsidR="006F196B" w:rsidRPr="00991147">
        <w:rPr>
          <w:rFonts w:asciiTheme="minorHAnsi" w:hAnsiTheme="minorHAnsi" w:cstheme="minorHAnsi"/>
          <w:color w:val="7F7F7F" w:themeColor="text1" w:themeTint="80"/>
          <w:lang w:val="en-GB"/>
        </w:rPr>
        <w:t xml:space="preserve"> (the “Rights Price”)</w:t>
      </w:r>
      <w:r w:rsidR="00DE1650" w:rsidRPr="00991147">
        <w:rPr>
          <w:rFonts w:asciiTheme="minorHAnsi" w:hAnsiTheme="minorHAnsi" w:cstheme="minorHAnsi"/>
          <w:color w:val="7F7F7F" w:themeColor="text1" w:themeTint="80"/>
          <w:lang w:val="en-GB"/>
        </w:rPr>
        <w:t xml:space="preserve">, which represents a discount </w:t>
      </w:r>
      <w:r w:rsidR="006F196B" w:rsidRPr="00991147">
        <w:rPr>
          <w:rFonts w:asciiTheme="minorHAnsi" w:hAnsiTheme="minorHAnsi" w:cstheme="minorHAnsi"/>
          <w:color w:val="7F7F7F" w:themeColor="text1" w:themeTint="80"/>
          <w:lang w:val="en-GB"/>
        </w:rPr>
        <w:t xml:space="preserve">of 10% </w:t>
      </w:r>
      <w:r w:rsidR="00DE1650" w:rsidRPr="00991147">
        <w:rPr>
          <w:rFonts w:asciiTheme="minorHAnsi" w:hAnsiTheme="minorHAnsi" w:cstheme="minorHAnsi"/>
          <w:color w:val="7F7F7F" w:themeColor="text1" w:themeTint="80"/>
          <w:lang w:val="en-GB"/>
        </w:rPr>
        <w:t>to the 20-day volume-weighted average price to 18</w:t>
      </w:r>
      <w:r w:rsidR="00DE1650" w:rsidRPr="00991147">
        <w:rPr>
          <w:rFonts w:asciiTheme="minorHAnsi" w:hAnsiTheme="minorHAnsi" w:cstheme="minorHAnsi"/>
          <w:color w:val="7F7F7F" w:themeColor="text1" w:themeTint="80"/>
          <w:vertAlign w:val="superscript"/>
          <w:lang w:val="en-GB"/>
        </w:rPr>
        <w:t xml:space="preserve"> </w:t>
      </w:r>
      <w:r w:rsidR="009D0DE2">
        <w:rPr>
          <w:rFonts w:asciiTheme="minorHAnsi" w:hAnsiTheme="minorHAnsi" w:cstheme="minorHAnsi"/>
          <w:color w:val="7F7F7F" w:themeColor="text1" w:themeTint="80"/>
          <w:lang w:val="en-GB"/>
        </w:rPr>
        <w:t>November 2016;</w:t>
      </w:r>
      <w:r w:rsidR="00DE1650" w:rsidRPr="00991147">
        <w:rPr>
          <w:rFonts w:asciiTheme="minorHAnsi" w:hAnsiTheme="minorHAnsi" w:cstheme="minorHAnsi"/>
          <w:color w:val="7F7F7F" w:themeColor="text1" w:themeTint="80"/>
          <w:lang w:val="en-GB"/>
        </w:rPr>
        <w:t xml:space="preserve"> the last business day before the anticipated approval of the prospectus</w:t>
      </w:r>
      <w:r w:rsidR="006F196B" w:rsidRPr="00991147">
        <w:rPr>
          <w:rFonts w:asciiTheme="minorHAnsi" w:hAnsiTheme="minorHAnsi" w:cstheme="minorHAnsi"/>
          <w:color w:val="7F7F7F" w:themeColor="text1" w:themeTint="80"/>
          <w:lang w:val="en-GB"/>
        </w:rPr>
        <w:t xml:space="preserve">, of €0.227 (the “VWAP”). </w:t>
      </w:r>
      <w:r w:rsidR="00DE1650" w:rsidRPr="00991147">
        <w:rPr>
          <w:rFonts w:asciiTheme="minorHAnsi" w:hAnsiTheme="minorHAnsi" w:cstheme="minorHAnsi"/>
          <w:color w:val="7F7F7F" w:themeColor="text1" w:themeTint="80"/>
          <w:lang w:val="en-GB"/>
        </w:rPr>
        <w:t xml:space="preserve"> </w:t>
      </w:r>
      <w:r w:rsidR="006F196B" w:rsidRPr="00991147">
        <w:rPr>
          <w:rFonts w:asciiTheme="minorHAnsi" w:hAnsiTheme="minorHAnsi" w:cstheme="minorHAnsi"/>
          <w:color w:val="7F7F7F" w:themeColor="text1" w:themeTint="80"/>
          <w:lang w:val="en-GB"/>
        </w:rPr>
        <w:t>T</w:t>
      </w:r>
      <w:r w:rsidR="00DE1650" w:rsidRPr="00991147">
        <w:rPr>
          <w:rFonts w:asciiTheme="minorHAnsi" w:hAnsiTheme="minorHAnsi" w:cstheme="minorHAnsi"/>
          <w:color w:val="7F7F7F" w:themeColor="text1" w:themeTint="80"/>
          <w:lang w:val="en-GB"/>
        </w:rPr>
        <w:t xml:space="preserve">he Rights Issue is </w:t>
      </w:r>
      <w:r w:rsidR="006F196B" w:rsidRPr="00991147">
        <w:rPr>
          <w:rFonts w:asciiTheme="minorHAnsi" w:hAnsiTheme="minorHAnsi" w:cstheme="minorHAnsi"/>
          <w:color w:val="7F7F7F" w:themeColor="text1" w:themeTint="80"/>
          <w:lang w:val="en-GB"/>
        </w:rPr>
        <w:t>expected to</w:t>
      </w:r>
      <w:r w:rsidRPr="00991147">
        <w:rPr>
          <w:rFonts w:asciiTheme="minorHAnsi" w:hAnsiTheme="minorHAnsi" w:cstheme="minorHAnsi"/>
          <w:color w:val="7F7F7F" w:themeColor="text1" w:themeTint="80"/>
          <w:lang w:val="en-GB"/>
        </w:rPr>
        <w:t xml:space="preserve"> raise </w:t>
      </w:r>
      <w:r w:rsidR="00DE1650" w:rsidRPr="00991147">
        <w:rPr>
          <w:rFonts w:asciiTheme="minorHAnsi" w:hAnsiTheme="minorHAnsi" w:cstheme="minorHAnsi"/>
          <w:color w:val="7F7F7F" w:themeColor="text1" w:themeTint="80"/>
          <w:lang w:val="en-GB"/>
        </w:rPr>
        <w:t>approximately €12.</w:t>
      </w:r>
      <w:r w:rsidR="00A8785D">
        <w:rPr>
          <w:rFonts w:asciiTheme="minorHAnsi" w:hAnsiTheme="minorHAnsi" w:cstheme="minorHAnsi"/>
          <w:color w:val="7F7F7F" w:themeColor="text1" w:themeTint="80"/>
          <w:lang w:val="en-GB"/>
        </w:rPr>
        <w:t>1</w:t>
      </w:r>
      <w:r w:rsidR="00DE1650" w:rsidRPr="00991147">
        <w:rPr>
          <w:rFonts w:asciiTheme="minorHAnsi" w:hAnsiTheme="minorHAnsi" w:cstheme="minorHAnsi"/>
          <w:color w:val="7F7F7F" w:themeColor="text1" w:themeTint="80"/>
          <w:lang w:val="en-GB"/>
        </w:rPr>
        <w:t xml:space="preserve"> million (or €11.</w:t>
      </w:r>
      <w:r w:rsidR="00A8785D">
        <w:rPr>
          <w:rFonts w:asciiTheme="minorHAnsi" w:hAnsiTheme="minorHAnsi" w:cstheme="minorHAnsi"/>
          <w:color w:val="7F7F7F" w:themeColor="text1" w:themeTint="80"/>
          <w:lang w:val="en-GB"/>
        </w:rPr>
        <w:t>3</w:t>
      </w:r>
      <w:r w:rsidR="00DE1650" w:rsidRPr="00991147">
        <w:rPr>
          <w:rFonts w:asciiTheme="minorHAnsi" w:hAnsiTheme="minorHAnsi" w:cstheme="minorHAnsi"/>
          <w:color w:val="7F7F7F" w:themeColor="text1" w:themeTint="80"/>
          <w:lang w:val="en-GB"/>
        </w:rPr>
        <w:t xml:space="preserve"> million net of costs)</w:t>
      </w:r>
      <w:r w:rsidR="006F196B" w:rsidRPr="00991147">
        <w:rPr>
          <w:rFonts w:asciiTheme="minorHAnsi" w:hAnsiTheme="minorHAnsi" w:cstheme="minorHAnsi"/>
          <w:color w:val="7F7F7F" w:themeColor="text1" w:themeTint="80"/>
          <w:lang w:val="en-GB"/>
        </w:rPr>
        <w:t xml:space="preserve"> if all the rights are taken up.  Interest has been received from investors to support the Rights Issue by acquiring shares for which shareholders have not exercised their rights at the end of </w:t>
      </w:r>
      <w:r w:rsidR="009D0DE2">
        <w:rPr>
          <w:rFonts w:asciiTheme="minorHAnsi" w:hAnsiTheme="minorHAnsi" w:cstheme="minorHAnsi"/>
          <w:color w:val="7F7F7F" w:themeColor="text1" w:themeTint="80"/>
          <w:lang w:val="en-GB"/>
        </w:rPr>
        <w:t>the exercise period</w:t>
      </w:r>
      <w:r w:rsidR="006F196B" w:rsidRPr="00991147">
        <w:rPr>
          <w:rFonts w:asciiTheme="minorHAnsi" w:hAnsiTheme="minorHAnsi" w:cstheme="minorHAnsi"/>
          <w:color w:val="7F7F7F" w:themeColor="text1" w:themeTint="80"/>
          <w:lang w:val="en-GB"/>
        </w:rPr>
        <w:t>.</w:t>
      </w:r>
    </w:p>
    <w:p w14:paraId="02809CAD" w14:textId="77777777" w:rsidR="00DE1650" w:rsidRPr="00991147" w:rsidRDefault="00DE1650" w:rsidP="00991147">
      <w:pPr>
        <w:ind w:left="1276" w:hanging="556"/>
        <w:rPr>
          <w:rFonts w:asciiTheme="minorHAnsi" w:eastAsiaTheme="majorEastAsia" w:hAnsiTheme="minorHAnsi" w:cstheme="minorHAnsi"/>
          <w:b/>
          <w:color w:val="7F7F7F" w:themeColor="text1" w:themeTint="80"/>
          <w:szCs w:val="22"/>
          <w:lang w:val="en-GB" w:eastAsia="zh-CN"/>
        </w:rPr>
      </w:pPr>
    </w:p>
    <w:p w14:paraId="1C8B0042" w14:textId="1A0B8071" w:rsidR="006F196B" w:rsidRPr="00991147" w:rsidRDefault="006F196B" w:rsidP="00991147">
      <w:pPr>
        <w:pStyle w:val="ListParagraph"/>
        <w:numPr>
          <w:ilvl w:val="0"/>
          <w:numId w:val="12"/>
        </w:numPr>
        <w:ind w:left="1276" w:hanging="556"/>
        <w:rPr>
          <w:rFonts w:asciiTheme="minorHAnsi" w:eastAsiaTheme="majorEastAsia" w:hAnsiTheme="minorHAnsi" w:cstheme="minorHAnsi"/>
          <w:b/>
          <w:color w:val="7F7F7F" w:themeColor="text1" w:themeTint="80"/>
          <w:szCs w:val="22"/>
          <w:lang w:val="en-GB" w:eastAsia="zh-CN"/>
        </w:rPr>
      </w:pPr>
      <w:r w:rsidRPr="00991147">
        <w:rPr>
          <w:rFonts w:asciiTheme="minorHAnsi" w:hAnsiTheme="minorHAnsi" w:cstheme="minorHAnsi"/>
          <w:color w:val="7F7F7F" w:themeColor="text1" w:themeTint="80"/>
          <w:lang w:val="en-GB"/>
        </w:rPr>
        <w:t xml:space="preserve">A 5 year </w:t>
      </w:r>
      <w:r w:rsidR="00411E4D" w:rsidRPr="00991147">
        <w:rPr>
          <w:rFonts w:asciiTheme="minorHAnsi" w:hAnsiTheme="minorHAnsi" w:cstheme="minorHAnsi"/>
          <w:color w:val="7F7F7F" w:themeColor="text1" w:themeTint="80"/>
          <w:lang w:val="en-GB"/>
        </w:rPr>
        <w:t>8.</w:t>
      </w:r>
      <w:r w:rsidR="00E41C6B" w:rsidRPr="00991147">
        <w:rPr>
          <w:rFonts w:asciiTheme="minorHAnsi" w:hAnsiTheme="minorHAnsi" w:cstheme="minorHAnsi"/>
          <w:color w:val="7F7F7F" w:themeColor="text1" w:themeTint="80"/>
          <w:lang w:val="en-GB"/>
        </w:rPr>
        <w:t xml:space="preserve">5% </w:t>
      </w:r>
      <w:r w:rsidRPr="00991147">
        <w:rPr>
          <w:rFonts w:asciiTheme="minorHAnsi" w:hAnsiTheme="minorHAnsi" w:cstheme="minorHAnsi"/>
          <w:color w:val="7F7F7F" w:themeColor="text1" w:themeTint="80"/>
          <w:lang w:val="en-GB"/>
        </w:rPr>
        <w:t xml:space="preserve">redeemable convertible bond (the </w:t>
      </w:r>
      <w:r w:rsidR="00E41C6B" w:rsidRPr="00991147">
        <w:rPr>
          <w:rFonts w:asciiTheme="minorHAnsi" w:hAnsiTheme="minorHAnsi" w:cstheme="minorHAnsi"/>
          <w:color w:val="7F7F7F" w:themeColor="text1" w:themeTint="80"/>
          <w:lang w:val="en-GB"/>
        </w:rPr>
        <w:t>“</w:t>
      </w:r>
      <w:r w:rsidRPr="00991147">
        <w:rPr>
          <w:rFonts w:asciiTheme="minorHAnsi" w:hAnsiTheme="minorHAnsi" w:cstheme="minorHAnsi"/>
          <w:color w:val="7F7F7F" w:themeColor="text1" w:themeTint="80"/>
          <w:lang w:val="en-GB"/>
        </w:rPr>
        <w:t>Ordinary Bond</w:t>
      </w:r>
      <w:r w:rsidR="00E41C6B" w:rsidRPr="00991147">
        <w:rPr>
          <w:rFonts w:asciiTheme="minorHAnsi" w:hAnsiTheme="minorHAnsi" w:cstheme="minorHAnsi"/>
          <w:color w:val="7F7F7F" w:themeColor="text1" w:themeTint="80"/>
          <w:lang w:val="en-GB"/>
        </w:rPr>
        <w:t>”</w:t>
      </w:r>
      <w:r w:rsidRPr="00991147">
        <w:rPr>
          <w:rFonts w:asciiTheme="minorHAnsi" w:hAnsiTheme="minorHAnsi" w:cstheme="minorHAnsi"/>
          <w:color w:val="7F7F7F" w:themeColor="text1" w:themeTint="80"/>
          <w:lang w:val="en-GB"/>
        </w:rPr>
        <w:t>) to raise approximately €17.0 million (or €16.2 million net of costs) if all current prospective investors who have expressed firm interest take up their allocations.  The Ordinary Bond is convertible into shares at a price of €0.28</w:t>
      </w:r>
      <w:r w:rsidR="009D3C75">
        <w:rPr>
          <w:rFonts w:asciiTheme="minorHAnsi" w:hAnsiTheme="minorHAnsi" w:cstheme="minorHAnsi"/>
          <w:color w:val="7F7F7F" w:themeColor="text1" w:themeTint="80"/>
          <w:lang w:val="en-GB"/>
        </w:rPr>
        <w:t>4</w:t>
      </w:r>
      <w:r w:rsidR="00E41C6B" w:rsidRPr="00991147">
        <w:rPr>
          <w:rFonts w:asciiTheme="minorHAnsi" w:hAnsiTheme="minorHAnsi" w:cstheme="minorHAnsi"/>
          <w:color w:val="7F7F7F" w:themeColor="text1" w:themeTint="80"/>
          <w:lang w:val="en-GB"/>
        </w:rPr>
        <w:t xml:space="preserve"> (the “Conversion Price”)</w:t>
      </w:r>
      <w:r w:rsidRPr="00991147">
        <w:rPr>
          <w:rFonts w:asciiTheme="minorHAnsi" w:hAnsiTheme="minorHAnsi" w:cstheme="minorHAnsi"/>
          <w:color w:val="7F7F7F" w:themeColor="text1" w:themeTint="80"/>
          <w:lang w:val="en-GB"/>
        </w:rPr>
        <w:t>, which represents a premium of 25% to the VWAP and a premium of 38.</w:t>
      </w:r>
      <w:r w:rsidR="009D3C75">
        <w:rPr>
          <w:rFonts w:asciiTheme="minorHAnsi" w:hAnsiTheme="minorHAnsi" w:cstheme="minorHAnsi"/>
          <w:color w:val="7F7F7F" w:themeColor="text1" w:themeTint="80"/>
          <w:lang w:val="en-GB"/>
        </w:rPr>
        <w:t>5</w:t>
      </w:r>
      <w:r w:rsidRPr="00991147">
        <w:rPr>
          <w:rFonts w:asciiTheme="minorHAnsi" w:hAnsiTheme="minorHAnsi" w:cstheme="minorHAnsi"/>
          <w:color w:val="7F7F7F" w:themeColor="text1" w:themeTint="80"/>
          <w:lang w:val="en-GB"/>
        </w:rPr>
        <w:t xml:space="preserve">% </w:t>
      </w:r>
      <w:r w:rsidR="009D3C75">
        <w:rPr>
          <w:rFonts w:asciiTheme="minorHAnsi" w:hAnsiTheme="minorHAnsi" w:cstheme="minorHAnsi"/>
          <w:color w:val="7F7F7F" w:themeColor="text1" w:themeTint="80"/>
          <w:lang w:val="en-GB"/>
        </w:rPr>
        <w:t>to the Rights Price</w:t>
      </w:r>
      <w:r w:rsidRPr="00991147">
        <w:rPr>
          <w:rFonts w:asciiTheme="minorHAnsi" w:hAnsiTheme="minorHAnsi" w:cstheme="minorHAnsi"/>
          <w:color w:val="7F7F7F" w:themeColor="text1" w:themeTint="80"/>
          <w:lang w:val="en-GB"/>
        </w:rPr>
        <w:t xml:space="preserve">.  </w:t>
      </w:r>
      <w:r w:rsidR="00411E4D" w:rsidRPr="00991147">
        <w:rPr>
          <w:rFonts w:asciiTheme="minorHAnsi" w:hAnsiTheme="minorHAnsi" w:cstheme="minorHAnsi"/>
          <w:color w:val="7F7F7F" w:themeColor="text1" w:themeTint="80"/>
          <w:lang w:val="en-GB"/>
        </w:rPr>
        <w:t xml:space="preserve">Interest will be paid on the Ordinary Bond at a rate of 8.5% per annum.  </w:t>
      </w:r>
      <w:r w:rsidRPr="00991147">
        <w:rPr>
          <w:rFonts w:asciiTheme="minorHAnsi" w:hAnsiTheme="minorHAnsi" w:cstheme="minorHAnsi"/>
          <w:color w:val="7F7F7F" w:themeColor="text1" w:themeTint="80"/>
          <w:lang w:val="en-GB"/>
        </w:rPr>
        <w:t xml:space="preserve">Ordinary Bond investors will also receive warrants to subscribe for Pharming shares at a </w:t>
      </w:r>
      <w:r w:rsidR="00E41C6B" w:rsidRPr="00991147">
        <w:rPr>
          <w:rFonts w:asciiTheme="minorHAnsi" w:hAnsiTheme="minorHAnsi" w:cstheme="minorHAnsi"/>
          <w:color w:val="7F7F7F" w:themeColor="text1" w:themeTint="80"/>
          <w:lang w:val="en-GB"/>
        </w:rPr>
        <w:t xml:space="preserve">premium </w:t>
      </w:r>
      <w:r w:rsidRPr="00991147">
        <w:rPr>
          <w:rFonts w:asciiTheme="minorHAnsi" w:hAnsiTheme="minorHAnsi" w:cstheme="minorHAnsi"/>
          <w:color w:val="7F7F7F" w:themeColor="text1" w:themeTint="80"/>
          <w:lang w:val="en-GB"/>
        </w:rPr>
        <w:t>strike price equivalent to the Conversion Price.</w:t>
      </w:r>
    </w:p>
    <w:p w14:paraId="4403D4D5" w14:textId="77777777" w:rsidR="00E41C6B" w:rsidRPr="00991147" w:rsidRDefault="00E41C6B" w:rsidP="00991147">
      <w:pPr>
        <w:rPr>
          <w:rFonts w:asciiTheme="minorHAnsi" w:eastAsiaTheme="majorEastAsia" w:hAnsiTheme="minorHAnsi" w:cstheme="minorHAnsi"/>
          <w:b/>
          <w:color w:val="7F7F7F" w:themeColor="text1" w:themeTint="80"/>
          <w:szCs w:val="22"/>
          <w:lang w:val="en-GB" w:eastAsia="zh-CN"/>
        </w:rPr>
      </w:pPr>
    </w:p>
    <w:p w14:paraId="0D8BDEAE" w14:textId="464B25E6" w:rsidR="00E41C6B" w:rsidRPr="00991147" w:rsidRDefault="00E41C6B" w:rsidP="00991147">
      <w:pPr>
        <w:pStyle w:val="ListParagraph"/>
        <w:numPr>
          <w:ilvl w:val="0"/>
          <w:numId w:val="12"/>
        </w:numPr>
        <w:ind w:left="1276" w:hanging="556"/>
        <w:rPr>
          <w:rFonts w:asciiTheme="minorHAnsi" w:eastAsiaTheme="majorEastAsia" w:hAnsiTheme="minorHAnsi" w:cstheme="minorHAnsi"/>
          <w:b/>
          <w:color w:val="7F7F7F" w:themeColor="text1" w:themeTint="80"/>
          <w:szCs w:val="22"/>
          <w:lang w:val="en-GB" w:eastAsia="zh-CN"/>
        </w:rPr>
      </w:pPr>
      <w:r w:rsidRPr="00991147">
        <w:rPr>
          <w:rFonts w:asciiTheme="minorHAnsi" w:hAnsiTheme="minorHAnsi" w:cstheme="minorHAnsi"/>
          <w:color w:val="7F7F7F" w:themeColor="text1" w:themeTint="80"/>
          <w:lang w:val="en-GB"/>
        </w:rPr>
        <w:t xml:space="preserve">An 18 month zero </w:t>
      </w:r>
      <w:r w:rsidR="00705DD5">
        <w:rPr>
          <w:rFonts w:asciiTheme="minorHAnsi" w:hAnsiTheme="minorHAnsi" w:cstheme="minorHAnsi"/>
          <w:color w:val="7F7F7F" w:themeColor="text1" w:themeTint="80"/>
          <w:lang w:val="en-GB"/>
        </w:rPr>
        <w:t>interest</w:t>
      </w:r>
      <w:r w:rsidRPr="00991147">
        <w:rPr>
          <w:rFonts w:asciiTheme="minorHAnsi" w:hAnsiTheme="minorHAnsi" w:cstheme="minorHAnsi"/>
          <w:color w:val="7F7F7F" w:themeColor="text1" w:themeTint="80"/>
          <w:lang w:val="en-GB"/>
        </w:rPr>
        <w:t xml:space="preserve"> redeemable convertible bond (the “Amortizing Bond”) </w:t>
      </w:r>
      <w:r w:rsidR="000E1375">
        <w:rPr>
          <w:rFonts w:asciiTheme="minorHAnsi" w:hAnsiTheme="minorHAnsi" w:cstheme="minorHAnsi"/>
          <w:color w:val="7F7F7F" w:themeColor="text1" w:themeTint="80"/>
          <w:lang w:val="en-GB"/>
        </w:rPr>
        <w:t xml:space="preserve">expected </w:t>
      </w:r>
      <w:r w:rsidRPr="00991147">
        <w:rPr>
          <w:rFonts w:asciiTheme="minorHAnsi" w:hAnsiTheme="minorHAnsi" w:cstheme="minorHAnsi"/>
          <w:color w:val="7F7F7F" w:themeColor="text1" w:themeTint="80"/>
          <w:lang w:val="en-GB"/>
        </w:rPr>
        <w:t xml:space="preserve">to raise approximately €45.0 million (or €37.8 million net of costs) if all current prospective investors who have expressed firm interest take up their allocations.  The Company has entered into a </w:t>
      </w:r>
      <w:r w:rsidR="000D4BF6">
        <w:rPr>
          <w:rFonts w:asciiTheme="minorHAnsi" w:hAnsiTheme="minorHAnsi" w:cstheme="minorHAnsi"/>
          <w:color w:val="7F7F7F" w:themeColor="text1" w:themeTint="80"/>
          <w:lang w:val="en-GB"/>
        </w:rPr>
        <w:t xml:space="preserve">non- binding </w:t>
      </w:r>
      <w:r w:rsidRPr="00991147">
        <w:rPr>
          <w:rFonts w:asciiTheme="minorHAnsi" w:hAnsiTheme="minorHAnsi" w:cstheme="minorHAnsi"/>
          <w:color w:val="7F7F7F" w:themeColor="text1" w:themeTint="80"/>
          <w:lang w:val="en-GB"/>
        </w:rPr>
        <w:t>term sheet with a lead investor for the Amortizing Bond and has sufficient interest to complete this bond</w:t>
      </w:r>
      <w:r w:rsidR="000E1375">
        <w:rPr>
          <w:rFonts w:asciiTheme="minorHAnsi" w:hAnsiTheme="minorHAnsi" w:cstheme="minorHAnsi"/>
          <w:color w:val="7F7F7F" w:themeColor="text1" w:themeTint="80"/>
          <w:lang w:val="en-GB"/>
        </w:rPr>
        <w:t>, although the precise terms may change prior to execution</w:t>
      </w:r>
      <w:r w:rsidRPr="00991147">
        <w:rPr>
          <w:rFonts w:asciiTheme="minorHAnsi" w:hAnsiTheme="minorHAnsi" w:cstheme="minorHAnsi"/>
          <w:color w:val="7F7F7F" w:themeColor="text1" w:themeTint="80"/>
          <w:lang w:val="en-GB"/>
        </w:rPr>
        <w:t xml:space="preserve">.  The Amortizing Bond is </w:t>
      </w:r>
      <w:r w:rsidR="00E24AB1">
        <w:rPr>
          <w:rFonts w:asciiTheme="minorHAnsi" w:hAnsiTheme="minorHAnsi" w:cstheme="minorHAnsi"/>
          <w:color w:val="7F7F7F" w:themeColor="text1" w:themeTint="80"/>
          <w:lang w:val="en-GB"/>
        </w:rPr>
        <w:t xml:space="preserve">currently </w:t>
      </w:r>
      <w:r w:rsidRPr="00991147">
        <w:rPr>
          <w:rFonts w:asciiTheme="minorHAnsi" w:hAnsiTheme="minorHAnsi" w:cstheme="minorHAnsi"/>
          <w:color w:val="7F7F7F" w:themeColor="text1" w:themeTint="80"/>
          <w:lang w:val="en-GB"/>
        </w:rPr>
        <w:t>convertible into shares at a price of €0.30, which represents a premium of 3</w:t>
      </w:r>
      <w:r w:rsidR="00E24AB1">
        <w:rPr>
          <w:rFonts w:asciiTheme="minorHAnsi" w:hAnsiTheme="minorHAnsi" w:cstheme="minorHAnsi"/>
          <w:color w:val="7F7F7F" w:themeColor="text1" w:themeTint="80"/>
          <w:lang w:val="en-GB"/>
        </w:rPr>
        <w:t>2</w:t>
      </w:r>
      <w:r w:rsidRPr="00991147">
        <w:rPr>
          <w:rFonts w:asciiTheme="minorHAnsi" w:hAnsiTheme="minorHAnsi" w:cstheme="minorHAnsi"/>
          <w:color w:val="7F7F7F" w:themeColor="text1" w:themeTint="80"/>
          <w:lang w:val="en-GB"/>
        </w:rPr>
        <w:t>% to the VWAP and a premium of 4</w:t>
      </w:r>
      <w:r w:rsidR="00E24AB1">
        <w:rPr>
          <w:rFonts w:asciiTheme="minorHAnsi" w:hAnsiTheme="minorHAnsi" w:cstheme="minorHAnsi"/>
          <w:color w:val="7F7F7F" w:themeColor="text1" w:themeTint="80"/>
          <w:lang w:val="en-GB"/>
        </w:rPr>
        <w:t>6</w:t>
      </w:r>
      <w:r w:rsidRPr="00991147">
        <w:rPr>
          <w:rFonts w:asciiTheme="minorHAnsi" w:hAnsiTheme="minorHAnsi" w:cstheme="minorHAnsi"/>
          <w:color w:val="7F7F7F" w:themeColor="text1" w:themeTint="80"/>
          <w:lang w:val="en-GB"/>
        </w:rPr>
        <w:t xml:space="preserve">%  to the Rights Price.  </w:t>
      </w:r>
      <w:r w:rsidR="00C21846">
        <w:rPr>
          <w:rFonts w:asciiTheme="minorHAnsi" w:hAnsiTheme="minorHAnsi" w:cstheme="minorHAnsi"/>
          <w:color w:val="7F7F7F" w:themeColor="text1" w:themeTint="80"/>
          <w:lang w:val="en-GB"/>
        </w:rPr>
        <w:t xml:space="preserve">The Amortizing Bond will be repaid by the Company in 16 equal monthly instalments, in cash or shares at the discretion of the Company, starting after two months following closing. </w:t>
      </w:r>
      <w:r w:rsidR="00257866" w:rsidRPr="00991147">
        <w:rPr>
          <w:rFonts w:ascii="Calibri Light" w:hAnsi="Calibri Light"/>
          <w:color w:val="7F7F7F" w:themeColor="text1" w:themeTint="80"/>
          <w:kern w:val="32"/>
          <w:szCs w:val="22"/>
        </w:rPr>
        <w:t xml:space="preserve">After the initial 2 months without repayments, the first 3 instalments are due to be paid </w:t>
      </w:r>
      <w:r w:rsidR="00257866">
        <w:rPr>
          <w:rFonts w:ascii="Calibri Light" w:hAnsi="Calibri Light"/>
          <w:color w:val="7F7F7F" w:themeColor="text1" w:themeTint="80"/>
          <w:kern w:val="32"/>
          <w:szCs w:val="22"/>
        </w:rPr>
        <w:t>entirely</w:t>
      </w:r>
      <w:r w:rsidR="00257866" w:rsidRPr="00991147">
        <w:rPr>
          <w:rFonts w:ascii="Calibri Light" w:hAnsi="Calibri Light"/>
          <w:color w:val="7F7F7F" w:themeColor="text1" w:themeTint="80"/>
          <w:kern w:val="32"/>
          <w:szCs w:val="22"/>
        </w:rPr>
        <w:t xml:space="preserve"> in cash</w:t>
      </w:r>
      <w:r w:rsidR="009D0DE2">
        <w:rPr>
          <w:rFonts w:ascii="Calibri Light" w:hAnsi="Calibri Light"/>
          <w:color w:val="7F7F7F" w:themeColor="text1" w:themeTint="80"/>
          <w:kern w:val="32"/>
          <w:szCs w:val="22"/>
        </w:rPr>
        <w:t>.</w:t>
      </w:r>
      <w:r w:rsidR="00257866" w:rsidRPr="00991147">
        <w:rPr>
          <w:rFonts w:asciiTheme="minorHAnsi" w:hAnsiTheme="minorHAnsi" w:cstheme="minorHAnsi"/>
          <w:color w:val="7F7F7F" w:themeColor="text1" w:themeTint="80"/>
          <w:lang w:val="en-GB"/>
        </w:rPr>
        <w:t xml:space="preserve"> </w:t>
      </w:r>
      <w:r w:rsidRPr="00991147">
        <w:rPr>
          <w:rFonts w:asciiTheme="minorHAnsi" w:hAnsiTheme="minorHAnsi" w:cstheme="minorHAnsi"/>
          <w:color w:val="7F7F7F" w:themeColor="text1" w:themeTint="80"/>
          <w:lang w:val="en-GB"/>
        </w:rPr>
        <w:t>Amortizing Bond investors will also receive warrants to subscribe for Pharming shares at a premium strike price equivalent to the Conversion Price.</w:t>
      </w:r>
    </w:p>
    <w:p w14:paraId="67CE5EDA" w14:textId="77777777" w:rsidR="00E41C6B" w:rsidRPr="00991147" w:rsidRDefault="00E41C6B" w:rsidP="00991147">
      <w:pPr>
        <w:rPr>
          <w:rFonts w:asciiTheme="minorHAnsi" w:eastAsiaTheme="majorEastAsia" w:hAnsiTheme="minorHAnsi" w:cstheme="minorHAnsi"/>
          <w:b/>
          <w:color w:val="7F7F7F" w:themeColor="text1" w:themeTint="80"/>
          <w:szCs w:val="22"/>
          <w:lang w:val="en-GB" w:eastAsia="zh-CN"/>
        </w:rPr>
      </w:pPr>
    </w:p>
    <w:p w14:paraId="49D24123" w14:textId="4BF9C0E5" w:rsidR="00E24AB1" w:rsidRDefault="00E41C6B" w:rsidP="00991147">
      <w:pPr>
        <w:keepNext/>
        <w:widowControl w:val="0"/>
        <w:autoSpaceDE w:val="0"/>
        <w:autoSpaceDN w:val="0"/>
        <w:adjustRightInd w:val="0"/>
        <w:spacing w:after="200"/>
        <w:rPr>
          <w:rFonts w:ascii="Calibri Light" w:hAnsi="Calibri Light"/>
          <w:color w:val="7F7F7F" w:themeColor="text1" w:themeTint="80"/>
          <w:kern w:val="32"/>
          <w:szCs w:val="22"/>
        </w:rPr>
      </w:pPr>
      <w:r w:rsidRPr="00991147">
        <w:rPr>
          <w:rFonts w:ascii="Calibri Light" w:hAnsi="Calibri Light"/>
          <w:color w:val="7F7F7F" w:themeColor="text1" w:themeTint="80"/>
          <w:kern w:val="32"/>
          <w:szCs w:val="22"/>
        </w:rPr>
        <w:lastRenderedPageBreak/>
        <w:t>The overall result of the Rights Issue, the new debt facility and the Convertible Bonds</w:t>
      </w:r>
      <w:r w:rsidR="009D0DE2">
        <w:rPr>
          <w:rFonts w:ascii="Calibri Light" w:hAnsi="Calibri Light"/>
          <w:color w:val="7F7F7F" w:themeColor="text1" w:themeTint="80"/>
          <w:kern w:val="32"/>
          <w:szCs w:val="22"/>
        </w:rPr>
        <w:t>,</w:t>
      </w:r>
      <w:r w:rsidRPr="00991147">
        <w:rPr>
          <w:rFonts w:ascii="Calibri Light" w:hAnsi="Calibri Light"/>
          <w:color w:val="7F7F7F" w:themeColor="text1" w:themeTint="80"/>
          <w:kern w:val="32"/>
          <w:szCs w:val="22"/>
        </w:rPr>
        <w:t xml:space="preserve"> if the current agreed terms are finally confirmed is that the Company will issue 58,943,</w:t>
      </w:r>
      <w:r w:rsidR="00E24AB1">
        <w:rPr>
          <w:rFonts w:ascii="Calibri Light" w:hAnsi="Calibri Light"/>
          <w:color w:val="7F7F7F" w:themeColor="text1" w:themeTint="80"/>
          <w:kern w:val="32"/>
          <w:szCs w:val="22"/>
        </w:rPr>
        <w:t>624</w:t>
      </w:r>
      <w:r w:rsidRPr="00991147">
        <w:rPr>
          <w:rFonts w:ascii="Calibri Light" w:hAnsi="Calibri Light"/>
          <w:color w:val="7F7F7F" w:themeColor="text1" w:themeTint="80"/>
          <w:kern w:val="32"/>
          <w:szCs w:val="22"/>
        </w:rPr>
        <w:t xml:space="preserve"> new shares, and will reserve the rest of its authorized share capital against conversion of the Bonds and exercise of the warrants.  </w:t>
      </w:r>
    </w:p>
    <w:p w14:paraId="2C4513C1" w14:textId="2219C79D" w:rsidR="00080D0C" w:rsidRDefault="00E41C6B" w:rsidP="00991147">
      <w:pPr>
        <w:keepNext/>
        <w:widowControl w:val="0"/>
        <w:autoSpaceDE w:val="0"/>
        <w:autoSpaceDN w:val="0"/>
        <w:adjustRightInd w:val="0"/>
        <w:spacing w:after="200"/>
        <w:rPr>
          <w:rFonts w:ascii="Calibri Light" w:hAnsi="Calibri Light"/>
          <w:color w:val="7F7F7F" w:themeColor="text1" w:themeTint="80"/>
          <w:kern w:val="32"/>
          <w:szCs w:val="22"/>
        </w:rPr>
      </w:pPr>
      <w:r w:rsidRPr="00991147">
        <w:rPr>
          <w:rFonts w:ascii="Calibri Light" w:hAnsi="Calibri Light"/>
          <w:color w:val="7F7F7F" w:themeColor="text1" w:themeTint="80"/>
          <w:kern w:val="32"/>
          <w:szCs w:val="22"/>
        </w:rPr>
        <w:t xml:space="preserve">As the </w:t>
      </w:r>
      <w:r w:rsidR="00411E4D" w:rsidRPr="00991147">
        <w:rPr>
          <w:rFonts w:ascii="Calibri Light" w:hAnsi="Calibri Light"/>
          <w:color w:val="7F7F7F" w:themeColor="text1" w:themeTint="80"/>
          <w:kern w:val="32"/>
          <w:szCs w:val="22"/>
        </w:rPr>
        <w:t>balance</w:t>
      </w:r>
      <w:r w:rsidRPr="00991147">
        <w:rPr>
          <w:rFonts w:ascii="Calibri Light" w:hAnsi="Calibri Light"/>
          <w:color w:val="7F7F7F" w:themeColor="text1" w:themeTint="80"/>
          <w:kern w:val="32"/>
          <w:szCs w:val="22"/>
        </w:rPr>
        <w:t xml:space="preserve"> of the </w:t>
      </w:r>
      <w:r w:rsidR="00411E4D" w:rsidRPr="00991147">
        <w:rPr>
          <w:rFonts w:ascii="Calibri Light" w:hAnsi="Calibri Light"/>
          <w:color w:val="7F7F7F" w:themeColor="text1" w:themeTint="80"/>
          <w:kern w:val="32"/>
          <w:szCs w:val="22"/>
        </w:rPr>
        <w:t xml:space="preserve">unreserved </w:t>
      </w:r>
      <w:r w:rsidRPr="00991147">
        <w:rPr>
          <w:rFonts w:ascii="Calibri Light" w:hAnsi="Calibri Light"/>
          <w:color w:val="7F7F7F" w:themeColor="text1" w:themeTint="80"/>
          <w:kern w:val="32"/>
          <w:szCs w:val="22"/>
        </w:rPr>
        <w:t xml:space="preserve">authorized share capital is not quite sufficient to ensure delivery </w:t>
      </w:r>
      <w:r w:rsidR="00411E4D" w:rsidRPr="00991147">
        <w:rPr>
          <w:rFonts w:ascii="Calibri Light" w:hAnsi="Calibri Light"/>
          <w:color w:val="7F7F7F" w:themeColor="text1" w:themeTint="80"/>
          <w:kern w:val="32"/>
          <w:szCs w:val="22"/>
        </w:rPr>
        <w:t>in the unlikely event that</w:t>
      </w:r>
      <w:r w:rsidRPr="00991147">
        <w:rPr>
          <w:rFonts w:ascii="Calibri Light" w:hAnsi="Calibri Light"/>
          <w:color w:val="7F7F7F" w:themeColor="text1" w:themeTint="80"/>
          <w:kern w:val="32"/>
          <w:szCs w:val="22"/>
        </w:rPr>
        <w:t xml:space="preserve"> all warrants, options and convertible bonds were converted immediately following the transaction, the Board of Management have pledged all of their unissued options and warrants for the Company to use</w:t>
      </w:r>
      <w:r w:rsidR="00411E4D" w:rsidRPr="00991147">
        <w:rPr>
          <w:rFonts w:ascii="Calibri Light" w:hAnsi="Calibri Light"/>
          <w:color w:val="7F7F7F" w:themeColor="text1" w:themeTint="80"/>
          <w:kern w:val="32"/>
          <w:szCs w:val="22"/>
        </w:rPr>
        <w:t xml:space="preserve"> for such delivery</w:t>
      </w:r>
      <w:r w:rsidRPr="00991147">
        <w:rPr>
          <w:rFonts w:ascii="Calibri Light" w:hAnsi="Calibri Light"/>
          <w:color w:val="7F7F7F" w:themeColor="text1" w:themeTint="80"/>
          <w:kern w:val="32"/>
          <w:szCs w:val="22"/>
        </w:rPr>
        <w:t xml:space="preserve">.  The Board of Management will not benefit in any way from this pledge.  </w:t>
      </w:r>
    </w:p>
    <w:p w14:paraId="603995FE" w14:textId="4B6870D2" w:rsidR="00991147" w:rsidRDefault="00991147" w:rsidP="00991147">
      <w:pPr>
        <w:keepNext/>
        <w:widowControl w:val="0"/>
        <w:autoSpaceDE w:val="0"/>
        <w:autoSpaceDN w:val="0"/>
        <w:adjustRightInd w:val="0"/>
        <w:spacing w:after="200"/>
        <w:rPr>
          <w:rFonts w:ascii="Calibri Light" w:hAnsi="Calibri Light"/>
          <w:color w:val="7F7F7F" w:themeColor="text1" w:themeTint="80"/>
          <w:kern w:val="32"/>
          <w:szCs w:val="22"/>
        </w:rPr>
      </w:pPr>
      <w:r>
        <w:rPr>
          <w:rFonts w:ascii="Calibri Light" w:hAnsi="Calibri Light"/>
          <w:color w:val="7F7F7F" w:themeColor="text1" w:themeTint="80"/>
          <w:kern w:val="32"/>
          <w:szCs w:val="22"/>
        </w:rPr>
        <w:t>Sijmen de Vries, CEO of Pharming:</w:t>
      </w:r>
    </w:p>
    <w:p w14:paraId="1C3C2BC9" w14:textId="3C0A2FB8" w:rsidR="00991147" w:rsidRPr="00991147" w:rsidRDefault="00991147" w:rsidP="00991147">
      <w:pPr>
        <w:keepNext/>
        <w:widowControl w:val="0"/>
        <w:autoSpaceDE w:val="0"/>
        <w:autoSpaceDN w:val="0"/>
        <w:adjustRightInd w:val="0"/>
        <w:spacing w:after="200"/>
        <w:ind w:left="426"/>
        <w:rPr>
          <w:rFonts w:ascii="Calibri Light" w:hAnsi="Calibri Light"/>
          <w:i/>
          <w:color w:val="7F7F7F" w:themeColor="text1" w:themeTint="80"/>
          <w:kern w:val="32"/>
          <w:szCs w:val="22"/>
        </w:rPr>
      </w:pPr>
      <w:r w:rsidRPr="00991147">
        <w:rPr>
          <w:rFonts w:ascii="Calibri Light" w:hAnsi="Calibri Light"/>
          <w:i/>
          <w:color w:val="7F7F7F" w:themeColor="text1" w:themeTint="80"/>
          <w:kern w:val="32"/>
          <w:szCs w:val="22"/>
        </w:rPr>
        <w:t>“I am absolutely delighted to be able to confirm that, subject to final documentation, we have secured good terms on new financing instruments with first class investors looking to support Pharming over the long term in its new growth phase.  As promised, we are offering all new equity being issued to existing shareholders first.  I and my colleagues on the Board of Management intend to take up our entire allotment of rights to subscribe for new shares, to have a stake in what promises to be a very exciting and successful phase of growth for Pharming after we close this transformational acquisition.</w:t>
      </w:r>
      <w:r w:rsidR="007C6B09">
        <w:rPr>
          <w:rFonts w:ascii="Calibri Light" w:hAnsi="Calibri Light"/>
          <w:i/>
          <w:color w:val="7F7F7F" w:themeColor="text1" w:themeTint="80"/>
          <w:kern w:val="32"/>
          <w:szCs w:val="22"/>
        </w:rPr>
        <w:t xml:space="preserve"> </w:t>
      </w:r>
    </w:p>
    <w:p w14:paraId="7113A30F" w14:textId="16757350" w:rsidR="00080D0C" w:rsidRPr="00991147" w:rsidRDefault="00411E4D" w:rsidP="00991147">
      <w:pPr>
        <w:keepNext/>
        <w:widowControl w:val="0"/>
        <w:autoSpaceDE w:val="0"/>
        <w:autoSpaceDN w:val="0"/>
        <w:adjustRightInd w:val="0"/>
        <w:spacing w:after="200"/>
        <w:rPr>
          <w:rFonts w:ascii="Calibri Light" w:hAnsi="Calibri Light"/>
          <w:b/>
          <w:color w:val="7F7F7F" w:themeColor="text1" w:themeTint="80"/>
          <w:kern w:val="32"/>
          <w:szCs w:val="22"/>
        </w:rPr>
      </w:pPr>
      <w:r w:rsidRPr="00991147">
        <w:rPr>
          <w:rFonts w:ascii="Calibri Light" w:hAnsi="Calibri Light"/>
          <w:b/>
          <w:color w:val="7F7F7F" w:themeColor="text1" w:themeTint="80"/>
          <w:kern w:val="32"/>
          <w:szCs w:val="22"/>
        </w:rPr>
        <w:t>About the Ordinary Bonds</w:t>
      </w:r>
      <w:r w:rsidR="00080D0C" w:rsidRPr="00991147">
        <w:rPr>
          <w:rFonts w:ascii="Calibri Light" w:hAnsi="Calibri Light"/>
          <w:b/>
          <w:color w:val="7F7F7F" w:themeColor="text1" w:themeTint="80"/>
          <w:kern w:val="32"/>
          <w:szCs w:val="22"/>
        </w:rPr>
        <w:t xml:space="preserve"> </w:t>
      </w:r>
    </w:p>
    <w:p w14:paraId="19636F63" w14:textId="5651ED1D" w:rsidR="00080D0C" w:rsidRPr="00991147" w:rsidRDefault="00080D0C" w:rsidP="00991147">
      <w:pPr>
        <w:keepNext/>
        <w:widowControl w:val="0"/>
        <w:autoSpaceDE w:val="0"/>
        <w:autoSpaceDN w:val="0"/>
        <w:adjustRightInd w:val="0"/>
        <w:spacing w:after="200"/>
        <w:rPr>
          <w:rFonts w:ascii="Calibri Light" w:hAnsi="Calibri Light"/>
          <w:color w:val="7F7F7F" w:themeColor="text1" w:themeTint="80"/>
          <w:szCs w:val="22"/>
        </w:rPr>
      </w:pPr>
      <w:r w:rsidRPr="00991147">
        <w:rPr>
          <w:rFonts w:ascii="Calibri Light" w:hAnsi="Calibri Light"/>
          <w:color w:val="7F7F7F" w:themeColor="text1" w:themeTint="80"/>
          <w:kern w:val="32"/>
          <w:szCs w:val="22"/>
        </w:rPr>
        <w:t xml:space="preserve">The </w:t>
      </w:r>
      <w:r w:rsidR="00411E4D" w:rsidRPr="00991147">
        <w:rPr>
          <w:rFonts w:ascii="Calibri Light" w:hAnsi="Calibri Light"/>
          <w:color w:val="7F7F7F" w:themeColor="text1" w:themeTint="80"/>
          <w:kern w:val="32"/>
          <w:szCs w:val="22"/>
        </w:rPr>
        <w:t xml:space="preserve">draft terms for the Ordinary Bonds are as follows.  The </w:t>
      </w:r>
      <w:r w:rsidRPr="00991147">
        <w:rPr>
          <w:rFonts w:ascii="Calibri Light" w:hAnsi="Calibri Light"/>
          <w:color w:val="7F7F7F" w:themeColor="text1" w:themeTint="80"/>
          <w:kern w:val="32"/>
          <w:szCs w:val="22"/>
        </w:rPr>
        <w:t xml:space="preserve">Ordinary Bonds </w:t>
      </w:r>
      <w:r w:rsidR="00411E4D" w:rsidRPr="00991147">
        <w:rPr>
          <w:rFonts w:ascii="Calibri Light" w:hAnsi="Calibri Light"/>
          <w:color w:val="7F7F7F" w:themeColor="text1" w:themeTint="80"/>
          <w:kern w:val="32"/>
          <w:szCs w:val="22"/>
        </w:rPr>
        <w:t xml:space="preserve">will </w:t>
      </w:r>
      <w:r w:rsidRPr="00991147">
        <w:rPr>
          <w:rFonts w:ascii="Calibri Light" w:hAnsi="Calibri Light"/>
          <w:color w:val="7F7F7F" w:themeColor="text1" w:themeTint="80"/>
          <w:kern w:val="32"/>
          <w:szCs w:val="22"/>
        </w:rPr>
        <w:t xml:space="preserve">have a fixed term of 5 years unless previously converted or redeemed, and carry a fixed coupon of 8.5% per annum (payable semi-annually) and are convertible at the option of the holder during an exercise period, expected to begin shortly after issue and </w:t>
      </w:r>
      <w:r w:rsidR="00411E4D" w:rsidRPr="00991147">
        <w:rPr>
          <w:rFonts w:ascii="Calibri Light" w:hAnsi="Calibri Light"/>
          <w:color w:val="7F7F7F" w:themeColor="text1" w:themeTint="80"/>
          <w:kern w:val="32"/>
          <w:szCs w:val="22"/>
        </w:rPr>
        <w:t xml:space="preserve">to </w:t>
      </w:r>
      <w:r w:rsidRPr="00991147">
        <w:rPr>
          <w:rFonts w:ascii="Calibri Light" w:hAnsi="Calibri Light"/>
          <w:color w:val="7F7F7F" w:themeColor="text1" w:themeTint="80"/>
          <w:kern w:val="32"/>
          <w:szCs w:val="22"/>
        </w:rPr>
        <w:t xml:space="preserve">end shortly before the </w:t>
      </w:r>
      <w:r w:rsidR="00411E4D" w:rsidRPr="00991147">
        <w:rPr>
          <w:rFonts w:ascii="Calibri Light" w:hAnsi="Calibri Light"/>
          <w:color w:val="7F7F7F" w:themeColor="text1" w:themeTint="80"/>
          <w:kern w:val="32"/>
          <w:szCs w:val="22"/>
        </w:rPr>
        <w:t xml:space="preserve">5 year </w:t>
      </w:r>
      <w:r w:rsidRPr="00991147">
        <w:rPr>
          <w:rFonts w:ascii="Calibri Light" w:hAnsi="Calibri Light"/>
          <w:color w:val="7F7F7F" w:themeColor="text1" w:themeTint="80"/>
          <w:kern w:val="32"/>
          <w:szCs w:val="22"/>
        </w:rPr>
        <w:t xml:space="preserve">maturity date, into </w:t>
      </w:r>
      <w:r w:rsidR="009D3C75">
        <w:rPr>
          <w:rFonts w:ascii="Calibri Light" w:hAnsi="Calibri Light"/>
          <w:color w:val="7F7F7F" w:themeColor="text1" w:themeTint="80"/>
          <w:kern w:val="32"/>
          <w:szCs w:val="22"/>
        </w:rPr>
        <w:t>58</w:t>
      </w:r>
      <w:r w:rsidRPr="00991147">
        <w:rPr>
          <w:rFonts w:ascii="Calibri Light" w:hAnsi="Calibri Light"/>
          <w:color w:val="7F7F7F" w:themeColor="text1" w:themeTint="80"/>
          <w:kern w:val="32"/>
          <w:szCs w:val="22"/>
        </w:rPr>
        <w:t>,</w:t>
      </w:r>
      <w:r w:rsidR="009D3C75">
        <w:rPr>
          <w:rFonts w:ascii="Calibri Light" w:hAnsi="Calibri Light"/>
          <w:color w:val="7F7F7F" w:themeColor="text1" w:themeTint="80"/>
          <w:kern w:val="32"/>
          <w:szCs w:val="22"/>
        </w:rPr>
        <w:t>859</w:t>
      </w:r>
      <w:r w:rsidRPr="00991147">
        <w:rPr>
          <w:rFonts w:ascii="Calibri Light" w:hAnsi="Calibri Light"/>
          <w:color w:val="7F7F7F" w:themeColor="text1" w:themeTint="80"/>
          <w:kern w:val="32"/>
          <w:szCs w:val="22"/>
        </w:rPr>
        <w:t>,</w:t>
      </w:r>
      <w:r w:rsidR="009D3C75">
        <w:rPr>
          <w:rFonts w:ascii="Calibri Light" w:hAnsi="Calibri Light"/>
          <w:color w:val="7F7F7F" w:themeColor="text1" w:themeTint="80"/>
          <w:kern w:val="32"/>
          <w:szCs w:val="22"/>
        </w:rPr>
        <w:t>154</w:t>
      </w:r>
      <w:r w:rsidRPr="00991147">
        <w:rPr>
          <w:rFonts w:ascii="Calibri Light" w:hAnsi="Calibri Light"/>
          <w:color w:val="7F7F7F" w:themeColor="text1" w:themeTint="80"/>
          <w:kern w:val="32"/>
          <w:szCs w:val="22"/>
        </w:rPr>
        <w:t xml:space="preserve"> </w:t>
      </w:r>
      <w:r w:rsidR="00411E4D" w:rsidRPr="00991147">
        <w:rPr>
          <w:rFonts w:ascii="Calibri Light" w:hAnsi="Calibri Light"/>
          <w:color w:val="7F7F7F" w:themeColor="text1" w:themeTint="80"/>
          <w:kern w:val="32"/>
          <w:szCs w:val="22"/>
        </w:rPr>
        <w:t>s</w:t>
      </w:r>
      <w:r w:rsidRPr="00991147">
        <w:rPr>
          <w:rFonts w:ascii="Calibri Light" w:hAnsi="Calibri Light"/>
          <w:color w:val="7F7F7F" w:themeColor="text1" w:themeTint="80"/>
          <w:kern w:val="32"/>
          <w:szCs w:val="22"/>
        </w:rPr>
        <w:t>hares at a conversion price of €0.28</w:t>
      </w:r>
      <w:r w:rsidR="009D3C75">
        <w:rPr>
          <w:rFonts w:ascii="Calibri Light" w:hAnsi="Calibri Light"/>
          <w:color w:val="7F7F7F" w:themeColor="text1" w:themeTint="80"/>
          <w:kern w:val="32"/>
          <w:szCs w:val="22"/>
        </w:rPr>
        <w:t>4</w:t>
      </w:r>
      <w:r w:rsidR="00411E4D" w:rsidRPr="00991147">
        <w:rPr>
          <w:rFonts w:ascii="Calibri Light" w:hAnsi="Calibri Light"/>
          <w:color w:val="7F7F7F" w:themeColor="text1" w:themeTint="80"/>
          <w:kern w:val="32"/>
          <w:szCs w:val="22"/>
        </w:rPr>
        <w:t xml:space="preserve"> per share</w:t>
      </w:r>
      <w:r w:rsidRPr="00991147">
        <w:rPr>
          <w:rFonts w:ascii="Calibri Light" w:hAnsi="Calibri Light"/>
          <w:color w:val="7F7F7F" w:themeColor="text1" w:themeTint="80"/>
          <w:kern w:val="32"/>
          <w:szCs w:val="22"/>
        </w:rPr>
        <w:t>, i.e. a price representing a premium of 25% to the VWAP or 38.</w:t>
      </w:r>
      <w:r w:rsidR="009D3C75">
        <w:rPr>
          <w:rFonts w:ascii="Calibri Light" w:hAnsi="Calibri Light"/>
          <w:color w:val="7F7F7F" w:themeColor="text1" w:themeTint="80"/>
          <w:kern w:val="32"/>
          <w:szCs w:val="22"/>
        </w:rPr>
        <w:t>5</w:t>
      </w:r>
      <w:r w:rsidRPr="00991147">
        <w:rPr>
          <w:rFonts w:ascii="Calibri Light" w:hAnsi="Calibri Light"/>
          <w:color w:val="7F7F7F" w:themeColor="text1" w:themeTint="80"/>
          <w:kern w:val="32"/>
          <w:szCs w:val="22"/>
        </w:rPr>
        <w:t xml:space="preserve">% to the </w:t>
      </w:r>
      <w:r w:rsidR="00411E4D" w:rsidRPr="00991147">
        <w:rPr>
          <w:rFonts w:ascii="Calibri Light" w:hAnsi="Calibri Light"/>
          <w:color w:val="7F7F7F" w:themeColor="text1" w:themeTint="80"/>
          <w:kern w:val="32"/>
          <w:szCs w:val="22"/>
        </w:rPr>
        <w:t>Rights</w:t>
      </w:r>
      <w:r w:rsidRPr="00991147">
        <w:rPr>
          <w:rFonts w:ascii="Calibri Light" w:hAnsi="Calibri Light"/>
          <w:color w:val="7F7F7F" w:themeColor="text1" w:themeTint="80"/>
          <w:kern w:val="32"/>
          <w:szCs w:val="22"/>
        </w:rPr>
        <w:t xml:space="preserve"> Price. The Ordinary Bonds are redeemable at the Company’s option at par </w:t>
      </w:r>
      <w:r w:rsidR="00411E4D" w:rsidRPr="00991147">
        <w:rPr>
          <w:rFonts w:ascii="Calibri Light" w:hAnsi="Calibri Light"/>
          <w:color w:val="7F7F7F" w:themeColor="text1" w:themeTint="80"/>
          <w:kern w:val="32"/>
          <w:szCs w:val="22"/>
        </w:rPr>
        <w:t xml:space="preserve">value </w:t>
      </w:r>
      <w:r w:rsidRPr="00991147">
        <w:rPr>
          <w:rFonts w:ascii="Calibri Light" w:hAnsi="Calibri Light"/>
          <w:color w:val="7F7F7F" w:themeColor="text1" w:themeTint="80"/>
          <w:kern w:val="32"/>
          <w:szCs w:val="22"/>
        </w:rPr>
        <w:t xml:space="preserve">after 3 years, if the volume weighted average price of the </w:t>
      </w:r>
      <w:r w:rsidR="00411E4D" w:rsidRPr="00991147">
        <w:rPr>
          <w:rFonts w:ascii="Calibri Light" w:hAnsi="Calibri Light"/>
          <w:color w:val="7F7F7F" w:themeColor="text1" w:themeTint="80"/>
          <w:kern w:val="32"/>
          <w:szCs w:val="22"/>
        </w:rPr>
        <w:t>s</w:t>
      </w:r>
      <w:r w:rsidRPr="00991147">
        <w:rPr>
          <w:rFonts w:ascii="Calibri Light" w:hAnsi="Calibri Light"/>
          <w:color w:val="7F7F7F" w:themeColor="text1" w:themeTint="80"/>
          <w:kern w:val="32"/>
          <w:szCs w:val="22"/>
        </w:rPr>
        <w:t xml:space="preserve">hares </w:t>
      </w:r>
      <w:r w:rsidR="00411E4D" w:rsidRPr="00991147">
        <w:rPr>
          <w:rFonts w:ascii="Calibri Light" w:hAnsi="Calibri Light"/>
          <w:color w:val="7F7F7F" w:themeColor="text1" w:themeTint="80"/>
          <w:kern w:val="32"/>
          <w:szCs w:val="22"/>
        </w:rPr>
        <w:t xml:space="preserve">at the time </w:t>
      </w:r>
      <w:r w:rsidRPr="00991147">
        <w:rPr>
          <w:rFonts w:ascii="Calibri Light" w:hAnsi="Calibri Light"/>
          <w:color w:val="7F7F7F" w:themeColor="text1" w:themeTint="80"/>
          <w:kern w:val="32"/>
          <w:szCs w:val="22"/>
        </w:rPr>
        <w:t xml:space="preserve">is above the price which means that the Ordinary Bonds, if converted into Shares, would be worth 30% more than </w:t>
      </w:r>
      <w:r w:rsidR="00411E4D" w:rsidRPr="00991147">
        <w:rPr>
          <w:rFonts w:ascii="Calibri Light" w:hAnsi="Calibri Light"/>
          <w:color w:val="7F7F7F" w:themeColor="text1" w:themeTint="80"/>
          <w:kern w:val="32"/>
          <w:szCs w:val="22"/>
        </w:rPr>
        <w:t xml:space="preserve">their </w:t>
      </w:r>
      <w:r w:rsidRPr="00991147">
        <w:rPr>
          <w:rFonts w:ascii="Calibri Light" w:hAnsi="Calibri Light"/>
          <w:color w:val="7F7F7F" w:themeColor="text1" w:themeTint="80"/>
          <w:kern w:val="32"/>
          <w:szCs w:val="22"/>
        </w:rPr>
        <w:t>par</w:t>
      </w:r>
      <w:r w:rsidR="00411E4D" w:rsidRPr="00991147">
        <w:rPr>
          <w:rFonts w:ascii="Calibri Light" w:hAnsi="Calibri Light"/>
          <w:color w:val="7F7F7F" w:themeColor="text1" w:themeTint="80"/>
          <w:kern w:val="32"/>
          <w:szCs w:val="22"/>
        </w:rPr>
        <w:t xml:space="preserve"> value.  T</w:t>
      </w:r>
      <w:r w:rsidRPr="00991147">
        <w:rPr>
          <w:rFonts w:ascii="Calibri Light" w:hAnsi="Calibri Light"/>
          <w:color w:val="7F7F7F" w:themeColor="text1" w:themeTint="80"/>
          <w:kern w:val="32"/>
          <w:szCs w:val="22"/>
        </w:rPr>
        <w:t xml:space="preserve">he holders </w:t>
      </w:r>
      <w:r w:rsidR="00411E4D" w:rsidRPr="00991147">
        <w:rPr>
          <w:rFonts w:ascii="Calibri Light" w:hAnsi="Calibri Light"/>
          <w:color w:val="7F7F7F" w:themeColor="text1" w:themeTint="80"/>
          <w:kern w:val="32"/>
          <w:szCs w:val="22"/>
        </w:rPr>
        <w:t xml:space="preserve">may </w:t>
      </w:r>
      <w:r w:rsidRPr="00991147">
        <w:rPr>
          <w:rFonts w:ascii="Calibri Light" w:hAnsi="Calibri Light"/>
          <w:color w:val="7F7F7F" w:themeColor="text1" w:themeTint="80"/>
          <w:kern w:val="32"/>
          <w:szCs w:val="22"/>
        </w:rPr>
        <w:t xml:space="preserve">elect to </w:t>
      </w:r>
      <w:r w:rsidR="00411E4D" w:rsidRPr="00991147">
        <w:rPr>
          <w:rFonts w:ascii="Calibri Light" w:hAnsi="Calibri Light"/>
          <w:color w:val="7F7F7F" w:themeColor="text1" w:themeTint="80"/>
          <w:kern w:val="32"/>
          <w:szCs w:val="22"/>
        </w:rPr>
        <w:t>convert</w:t>
      </w:r>
      <w:r w:rsidRPr="00991147">
        <w:rPr>
          <w:rFonts w:ascii="Calibri Light" w:hAnsi="Calibri Light"/>
          <w:color w:val="7F7F7F" w:themeColor="text1" w:themeTint="80"/>
          <w:kern w:val="32"/>
          <w:szCs w:val="22"/>
        </w:rPr>
        <w:t xml:space="preserve"> their Ordinary Bonds. The holders may request redemption at par of any unredeemed or unconverted Bonds on maturity</w:t>
      </w:r>
      <w:r w:rsidR="007643A3" w:rsidRPr="00991147">
        <w:rPr>
          <w:rFonts w:ascii="Calibri Light" w:hAnsi="Calibri Light"/>
          <w:color w:val="7F7F7F" w:themeColor="text1" w:themeTint="80"/>
          <w:kern w:val="32"/>
          <w:szCs w:val="22"/>
        </w:rPr>
        <w:t xml:space="preserve"> after 5 years</w:t>
      </w:r>
      <w:r w:rsidRPr="00991147">
        <w:rPr>
          <w:rFonts w:ascii="Calibri Light" w:hAnsi="Calibri Light"/>
          <w:color w:val="7F7F7F" w:themeColor="text1" w:themeTint="80"/>
          <w:kern w:val="32"/>
          <w:szCs w:val="22"/>
        </w:rPr>
        <w:t xml:space="preserve">. The Ordinary Bonds are not guaranteed nor secured. The Ordinary Bondholders will receive </w:t>
      </w:r>
      <w:r w:rsidRPr="00991147">
        <w:rPr>
          <w:rFonts w:ascii="Calibri Light" w:hAnsi="Calibri Light"/>
          <w:color w:val="7F7F7F" w:themeColor="text1" w:themeTint="80"/>
          <w:szCs w:val="22"/>
        </w:rPr>
        <w:t>20% warrant coverage in the 2016 Warrants entitling them to subscribe for 1</w:t>
      </w:r>
      <w:r w:rsidR="009D3C75">
        <w:rPr>
          <w:rFonts w:ascii="Calibri Light" w:hAnsi="Calibri Light"/>
          <w:color w:val="7F7F7F" w:themeColor="text1" w:themeTint="80"/>
          <w:szCs w:val="22"/>
        </w:rPr>
        <w:t>1</w:t>
      </w:r>
      <w:r w:rsidRPr="00991147">
        <w:rPr>
          <w:rFonts w:ascii="Calibri Light" w:hAnsi="Calibri Light"/>
          <w:color w:val="7F7F7F" w:themeColor="text1" w:themeTint="80"/>
          <w:szCs w:val="22"/>
        </w:rPr>
        <w:t>,</w:t>
      </w:r>
      <w:r w:rsidR="009D3C75">
        <w:rPr>
          <w:rFonts w:ascii="Calibri Light" w:hAnsi="Calibri Light"/>
          <w:color w:val="7F7F7F" w:themeColor="text1" w:themeTint="80"/>
          <w:szCs w:val="22"/>
        </w:rPr>
        <w:t>971</w:t>
      </w:r>
      <w:r w:rsidRPr="00991147">
        <w:rPr>
          <w:rFonts w:ascii="Calibri Light" w:hAnsi="Calibri Light"/>
          <w:color w:val="7F7F7F" w:themeColor="text1" w:themeTint="80"/>
          <w:szCs w:val="22"/>
        </w:rPr>
        <w:t>,</w:t>
      </w:r>
      <w:r w:rsidR="009D3C75">
        <w:rPr>
          <w:rFonts w:ascii="Calibri Light" w:hAnsi="Calibri Light"/>
          <w:color w:val="7F7F7F" w:themeColor="text1" w:themeTint="80"/>
          <w:szCs w:val="22"/>
        </w:rPr>
        <w:t>831</w:t>
      </w:r>
      <w:r w:rsidRPr="00991147">
        <w:rPr>
          <w:rFonts w:ascii="Calibri Light" w:hAnsi="Calibri Light"/>
          <w:color w:val="7F7F7F" w:themeColor="text1" w:themeTint="80"/>
          <w:kern w:val="32"/>
          <w:szCs w:val="22"/>
        </w:rPr>
        <w:t xml:space="preserve"> Shares at a warrant strike price of €0.28</w:t>
      </w:r>
      <w:r w:rsidR="009D3C75">
        <w:rPr>
          <w:rFonts w:ascii="Calibri Light" w:hAnsi="Calibri Light"/>
          <w:color w:val="7F7F7F" w:themeColor="text1" w:themeTint="80"/>
          <w:kern w:val="32"/>
          <w:szCs w:val="22"/>
        </w:rPr>
        <w:t>4</w:t>
      </w:r>
      <w:r w:rsidRPr="00991147">
        <w:rPr>
          <w:rFonts w:ascii="Calibri Light" w:hAnsi="Calibri Light"/>
          <w:color w:val="7F7F7F" w:themeColor="text1" w:themeTint="80"/>
          <w:kern w:val="32"/>
          <w:szCs w:val="22"/>
        </w:rPr>
        <w:t>, i.e. a price representing a premium of 25% to the VWAP or 38.</w:t>
      </w:r>
      <w:r w:rsidR="009D3C75">
        <w:rPr>
          <w:rFonts w:ascii="Calibri Light" w:hAnsi="Calibri Light"/>
          <w:color w:val="7F7F7F" w:themeColor="text1" w:themeTint="80"/>
          <w:kern w:val="32"/>
          <w:szCs w:val="22"/>
        </w:rPr>
        <w:t>5</w:t>
      </w:r>
      <w:r w:rsidRPr="00991147">
        <w:rPr>
          <w:rFonts w:ascii="Calibri Light" w:hAnsi="Calibri Light"/>
          <w:color w:val="7F7F7F" w:themeColor="text1" w:themeTint="80"/>
          <w:kern w:val="32"/>
          <w:szCs w:val="22"/>
        </w:rPr>
        <w:t>% to the Issue Price.</w:t>
      </w:r>
    </w:p>
    <w:p w14:paraId="73239CD8" w14:textId="49B79140" w:rsidR="007643A3" w:rsidRPr="00991147" w:rsidRDefault="007643A3" w:rsidP="00991147">
      <w:pPr>
        <w:keepNext/>
        <w:widowControl w:val="0"/>
        <w:autoSpaceDE w:val="0"/>
        <w:autoSpaceDN w:val="0"/>
        <w:adjustRightInd w:val="0"/>
        <w:spacing w:after="200"/>
        <w:rPr>
          <w:rFonts w:ascii="Calibri Light" w:hAnsi="Calibri Light"/>
          <w:b/>
          <w:color w:val="7F7F7F" w:themeColor="text1" w:themeTint="80"/>
          <w:kern w:val="32"/>
          <w:szCs w:val="22"/>
        </w:rPr>
      </w:pPr>
      <w:r w:rsidRPr="00991147">
        <w:rPr>
          <w:rFonts w:ascii="Calibri Light" w:hAnsi="Calibri Light"/>
          <w:b/>
          <w:color w:val="7F7F7F" w:themeColor="text1" w:themeTint="80"/>
          <w:kern w:val="32"/>
          <w:szCs w:val="22"/>
        </w:rPr>
        <w:t xml:space="preserve">About the Amortizing Bonds </w:t>
      </w:r>
    </w:p>
    <w:p w14:paraId="28D99910" w14:textId="1AF20C3B" w:rsidR="009229CF" w:rsidRDefault="007643A3" w:rsidP="007C6B09">
      <w:pPr>
        <w:keepNext/>
        <w:widowControl w:val="0"/>
        <w:autoSpaceDE w:val="0"/>
        <w:autoSpaceDN w:val="0"/>
        <w:adjustRightInd w:val="0"/>
        <w:spacing w:after="200"/>
        <w:rPr>
          <w:rFonts w:ascii="Calibri Light" w:hAnsi="Calibri Light"/>
          <w:color w:val="7F7F7F" w:themeColor="text1" w:themeTint="80"/>
          <w:kern w:val="32"/>
          <w:szCs w:val="22"/>
        </w:rPr>
      </w:pPr>
      <w:r w:rsidRPr="00991147">
        <w:rPr>
          <w:rFonts w:ascii="Calibri Light" w:hAnsi="Calibri Light"/>
          <w:color w:val="7F7F7F" w:themeColor="text1" w:themeTint="80"/>
          <w:kern w:val="32"/>
          <w:szCs w:val="22"/>
        </w:rPr>
        <w:t xml:space="preserve">The Company has entered into a term sheet with a lead investor to take all of </w:t>
      </w:r>
      <w:r w:rsidR="00080D0C" w:rsidRPr="00991147">
        <w:rPr>
          <w:rFonts w:ascii="Calibri Light" w:hAnsi="Calibri Light"/>
          <w:color w:val="7F7F7F" w:themeColor="text1" w:themeTint="80"/>
          <w:kern w:val="32"/>
          <w:szCs w:val="22"/>
        </w:rPr>
        <w:t>The Amortizing Bonds</w:t>
      </w:r>
      <w:r w:rsidRPr="00991147">
        <w:rPr>
          <w:rFonts w:ascii="Calibri Light" w:hAnsi="Calibri Light"/>
          <w:color w:val="7F7F7F" w:themeColor="text1" w:themeTint="80"/>
          <w:kern w:val="32"/>
          <w:szCs w:val="22"/>
        </w:rPr>
        <w:t xml:space="preserve"> on the following main terms.  The Amortizing Bonds</w:t>
      </w:r>
      <w:r w:rsidR="00080D0C" w:rsidRPr="00991147">
        <w:rPr>
          <w:rFonts w:ascii="Calibri Light" w:hAnsi="Calibri Light"/>
          <w:color w:val="7F7F7F" w:themeColor="text1" w:themeTint="80"/>
          <w:kern w:val="32"/>
          <w:szCs w:val="22"/>
        </w:rPr>
        <w:t xml:space="preserve"> have a maturity of 18 months, and carry no coupon, although there is a fee payable to the holders </w:t>
      </w:r>
      <w:r w:rsidRPr="00991147">
        <w:rPr>
          <w:rFonts w:ascii="Calibri Light" w:hAnsi="Calibri Light"/>
          <w:color w:val="7F7F7F" w:themeColor="text1" w:themeTint="80"/>
          <w:kern w:val="32"/>
          <w:szCs w:val="22"/>
        </w:rPr>
        <w:t xml:space="preserve">taking up the bonds </w:t>
      </w:r>
      <w:r w:rsidR="00080D0C" w:rsidRPr="00991147">
        <w:rPr>
          <w:rFonts w:ascii="Calibri Light" w:hAnsi="Calibri Light"/>
          <w:color w:val="7F7F7F" w:themeColor="text1" w:themeTint="80"/>
          <w:kern w:val="32"/>
          <w:szCs w:val="22"/>
        </w:rPr>
        <w:t xml:space="preserve">upon closing of </w:t>
      </w:r>
      <w:r w:rsidR="00080D0C" w:rsidRPr="00991147">
        <w:rPr>
          <w:rFonts w:ascii="Calibri Light" w:hAnsi="Calibri Light"/>
          <w:color w:val="7F7F7F" w:themeColor="text1" w:themeTint="80"/>
          <w:szCs w:val="22"/>
        </w:rPr>
        <w:t>€</w:t>
      </w:r>
      <w:r w:rsidR="00080D0C" w:rsidRPr="00991147">
        <w:rPr>
          <w:rFonts w:ascii="Calibri Light" w:hAnsi="Calibri Light"/>
          <w:color w:val="7F7F7F" w:themeColor="text1" w:themeTint="80"/>
          <w:kern w:val="32"/>
          <w:szCs w:val="22"/>
        </w:rPr>
        <w:t>5.0 million</w:t>
      </w:r>
      <w:r w:rsidRPr="00991147">
        <w:rPr>
          <w:rFonts w:ascii="Calibri Light" w:hAnsi="Calibri Light"/>
          <w:color w:val="7F7F7F" w:themeColor="text1" w:themeTint="80"/>
          <w:kern w:val="32"/>
          <w:szCs w:val="22"/>
        </w:rPr>
        <w:t xml:space="preserve">.  The bonds </w:t>
      </w:r>
      <w:r w:rsidR="00080D0C" w:rsidRPr="00991147">
        <w:rPr>
          <w:rFonts w:ascii="Calibri Light" w:hAnsi="Calibri Light"/>
          <w:color w:val="7F7F7F" w:themeColor="text1" w:themeTint="80"/>
          <w:kern w:val="32"/>
          <w:szCs w:val="22"/>
        </w:rPr>
        <w:t xml:space="preserve">are convertible at the option of the holder within 18 months from issue at a conversion price of </w:t>
      </w:r>
      <w:r w:rsidR="00851367">
        <w:rPr>
          <w:rFonts w:ascii="Calibri Light" w:hAnsi="Calibri Light"/>
          <w:color w:val="7F7F7F" w:themeColor="text1" w:themeTint="80"/>
          <w:kern w:val="32"/>
          <w:szCs w:val="22"/>
        </w:rPr>
        <w:t xml:space="preserve">the lower of a premium of 35% to the 20 Day VWAP or </w:t>
      </w:r>
      <w:r w:rsidR="00080D0C" w:rsidRPr="00991147">
        <w:rPr>
          <w:rFonts w:ascii="Calibri Light" w:hAnsi="Calibri Light"/>
          <w:color w:val="7F7F7F" w:themeColor="text1" w:themeTint="80"/>
          <w:kern w:val="32"/>
          <w:szCs w:val="22"/>
        </w:rPr>
        <w:t>€0.</w:t>
      </w:r>
      <w:r w:rsidRPr="00991147">
        <w:rPr>
          <w:rFonts w:ascii="Calibri Light" w:hAnsi="Calibri Light"/>
          <w:color w:val="7F7F7F" w:themeColor="text1" w:themeTint="80"/>
          <w:kern w:val="32"/>
          <w:szCs w:val="22"/>
        </w:rPr>
        <w:t>300</w:t>
      </w:r>
      <w:r w:rsidR="00851367">
        <w:rPr>
          <w:rFonts w:ascii="Calibri Light" w:hAnsi="Calibri Light"/>
          <w:color w:val="7F7F7F" w:themeColor="text1" w:themeTint="80"/>
          <w:kern w:val="32"/>
          <w:szCs w:val="22"/>
        </w:rPr>
        <w:t xml:space="preserve"> at closing. This means today at </w:t>
      </w:r>
      <w:r w:rsidR="00851367" w:rsidRPr="00991147">
        <w:rPr>
          <w:rFonts w:ascii="Calibri Light" w:hAnsi="Calibri Light"/>
          <w:color w:val="7F7F7F" w:themeColor="text1" w:themeTint="80"/>
          <w:kern w:val="32"/>
          <w:szCs w:val="22"/>
        </w:rPr>
        <w:t>€0.300</w:t>
      </w:r>
      <w:r w:rsidR="00851367">
        <w:rPr>
          <w:rFonts w:ascii="Calibri Light" w:hAnsi="Calibri Light"/>
          <w:color w:val="7F7F7F" w:themeColor="text1" w:themeTint="80"/>
          <w:kern w:val="32"/>
          <w:szCs w:val="22"/>
        </w:rPr>
        <w:t>,</w:t>
      </w:r>
      <w:r w:rsidR="00080D0C" w:rsidRPr="00991147">
        <w:rPr>
          <w:rFonts w:ascii="Calibri Light" w:hAnsi="Calibri Light"/>
          <w:color w:val="7F7F7F" w:themeColor="text1" w:themeTint="80"/>
          <w:kern w:val="32"/>
          <w:szCs w:val="22"/>
        </w:rPr>
        <w:t xml:space="preserve">representing a premium of </w:t>
      </w:r>
      <w:r w:rsidRPr="00991147">
        <w:rPr>
          <w:rFonts w:ascii="Calibri Light" w:hAnsi="Calibri Light"/>
          <w:color w:val="7F7F7F" w:themeColor="text1" w:themeTint="80"/>
          <w:kern w:val="32"/>
          <w:szCs w:val="22"/>
        </w:rPr>
        <w:t>32</w:t>
      </w:r>
      <w:r w:rsidR="00080D0C" w:rsidRPr="00991147">
        <w:rPr>
          <w:rFonts w:ascii="Calibri Light" w:hAnsi="Calibri Light"/>
          <w:color w:val="7F7F7F" w:themeColor="text1" w:themeTint="80"/>
          <w:kern w:val="32"/>
          <w:szCs w:val="22"/>
        </w:rPr>
        <w:t xml:space="preserve">% to the VWAP or </w:t>
      </w:r>
      <w:r w:rsidRPr="00991147">
        <w:rPr>
          <w:rFonts w:ascii="Calibri Light" w:hAnsi="Calibri Light"/>
          <w:color w:val="7F7F7F" w:themeColor="text1" w:themeTint="80"/>
          <w:kern w:val="32"/>
          <w:szCs w:val="22"/>
        </w:rPr>
        <w:t>4</w:t>
      </w:r>
      <w:r w:rsidR="00851367">
        <w:rPr>
          <w:rFonts w:ascii="Calibri Light" w:hAnsi="Calibri Light"/>
          <w:color w:val="7F7F7F" w:themeColor="text1" w:themeTint="80"/>
          <w:kern w:val="32"/>
          <w:szCs w:val="22"/>
        </w:rPr>
        <w:t>6</w:t>
      </w:r>
      <w:r w:rsidRPr="00991147">
        <w:rPr>
          <w:rFonts w:ascii="Calibri Light" w:hAnsi="Calibri Light"/>
          <w:color w:val="7F7F7F" w:themeColor="text1" w:themeTint="80"/>
          <w:kern w:val="32"/>
          <w:szCs w:val="22"/>
        </w:rPr>
        <w:t>.0</w:t>
      </w:r>
      <w:r w:rsidR="00080D0C" w:rsidRPr="00991147">
        <w:rPr>
          <w:rFonts w:ascii="Calibri Light" w:hAnsi="Calibri Light"/>
          <w:color w:val="7F7F7F" w:themeColor="text1" w:themeTint="80"/>
          <w:kern w:val="32"/>
          <w:szCs w:val="22"/>
        </w:rPr>
        <w:t xml:space="preserve">% to the Issue Price. The Company will begin repaying the Amortizing Bonds after two months in 16 equal instalments, in either Shares or cash at the Company’s sole discretion, although the first three such payments will be in cash only.  Because the number of Shares </w:t>
      </w:r>
      <w:r w:rsidRPr="00991147">
        <w:rPr>
          <w:rFonts w:ascii="Calibri Light" w:hAnsi="Calibri Light"/>
          <w:color w:val="7F7F7F" w:themeColor="text1" w:themeTint="80"/>
          <w:kern w:val="32"/>
          <w:szCs w:val="22"/>
        </w:rPr>
        <w:t xml:space="preserve">calculated to be </w:t>
      </w:r>
      <w:r w:rsidR="00080D0C" w:rsidRPr="00991147">
        <w:rPr>
          <w:rFonts w:ascii="Calibri Light" w:hAnsi="Calibri Light"/>
          <w:color w:val="7F7F7F" w:themeColor="text1" w:themeTint="80"/>
          <w:kern w:val="32"/>
          <w:szCs w:val="22"/>
        </w:rPr>
        <w:t xml:space="preserve">required for any </w:t>
      </w:r>
      <w:r w:rsidRPr="00991147">
        <w:rPr>
          <w:rFonts w:ascii="Calibri Light" w:hAnsi="Calibri Light"/>
          <w:color w:val="7F7F7F" w:themeColor="text1" w:themeTint="80"/>
          <w:kern w:val="32"/>
          <w:szCs w:val="22"/>
        </w:rPr>
        <w:t xml:space="preserve">monthly </w:t>
      </w:r>
      <w:r w:rsidR="00080D0C" w:rsidRPr="00991147">
        <w:rPr>
          <w:rFonts w:ascii="Calibri Light" w:hAnsi="Calibri Light"/>
          <w:color w:val="7F7F7F" w:themeColor="text1" w:themeTint="80"/>
          <w:kern w:val="32"/>
          <w:szCs w:val="22"/>
        </w:rPr>
        <w:t xml:space="preserve">repayment </w:t>
      </w:r>
      <w:r w:rsidR="00080D0C" w:rsidRPr="00991147">
        <w:rPr>
          <w:rFonts w:ascii="Calibri Light" w:hAnsi="Calibri Light"/>
          <w:color w:val="7F7F7F" w:themeColor="text1" w:themeTint="80"/>
          <w:kern w:val="32"/>
          <w:szCs w:val="22"/>
        </w:rPr>
        <w:lastRenderedPageBreak/>
        <w:t xml:space="preserve">depends on the share price in the 20 days preceding such calculation, it is possible in some circumstances that more </w:t>
      </w:r>
      <w:r w:rsidRPr="00991147">
        <w:rPr>
          <w:rFonts w:ascii="Calibri Light" w:hAnsi="Calibri Light"/>
          <w:color w:val="7F7F7F" w:themeColor="text1" w:themeTint="80"/>
          <w:kern w:val="32"/>
          <w:szCs w:val="22"/>
        </w:rPr>
        <w:t>s</w:t>
      </w:r>
      <w:r w:rsidR="00080D0C" w:rsidRPr="00991147">
        <w:rPr>
          <w:rFonts w:ascii="Calibri Light" w:hAnsi="Calibri Light"/>
          <w:color w:val="7F7F7F" w:themeColor="text1" w:themeTint="80"/>
          <w:kern w:val="32"/>
          <w:szCs w:val="22"/>
        </w:rPr>
        <w:t xml:space="preserve">hares will be issued for such a payment than the portion of the Amortizing Bond being repaid would convert into, which would increase the dilutive effect of such repayment.  This is offset by the release of the Shares into which such portion would convert, and also by any amount of repayments which are made in cash.  The maximum total payment in cash (other than for an early repayment) is capped at 70% of the facility. </w:t>
      </w:r>
      <w:r w:rsidR="00080D0C" w:rsidRPr="00991147">
        <w:rPr>
          <w:rFonts w:ascii="Calibri Light" w:hAnsi="Calibri Light"/>
          <w:color w:val="7F7F7F" w:themeColor="text1" w:themeTint="80"/>
          <w:szCs w:val="22"/>
        </w:rPr>
        <w:t xml:space="preserve">This means that the minimum amount of the Amortizing Bonds which must be repaid in Shares is </w:t>
      </w:r>
      <w:r w:rsidR="00080D0C" w:rsidRPr="00991147">
        <w:rPr>
          <w:rFonts w:ascii="Calibri Light" w:hAnsi="Calibri Light"/>
          <w:color w:val="7F7F7F" w:themeColor="text1" w:themeTint="80"/>
          <w:kern w:val="32"/>
          <w:szCs w:val="22"/>
        </w:rPr>
        <w:t>€13.5 million</w:t>
      </w:r>
      <w:r w:rsidRPr="00991147">
        <w:rPr>
          <w:rFonts w:ascii="Calibri Light" w:hAnsi="Calibri Light"/>
          <w:color w:val="7F7F7F" w:themeColor="text1" w:themeTint="80"/>
          <w:kern w:val="32"/>
          <w:szCs w:val="22"/>
        </w:rPr>
        <w:t xml:space="preserve">, which would </w:t>
      </w:r>
      <w:r w:rsidR="00183D3D" w:rsidRPr="00991147">
        <w:rPr>
          <w:rFonts w:ascii="Calibri Light" w:hAnsi="Calibri Light"/>
          <w:color w:val="7F7F7F" w:themeColor="text1" w:themeTint="80"/>
          <w:kern w:val="32"/>
          <w:szCs w:val="22"/>
        </w:rPr>
        <w:t xml:space="preserve">mean share repayments of </w:t>
      </w:r>
      <w:r w:rsidR="00151076">
        <w:rPr>
          <w:rFonts w:ascii="Calibri Light" w:hAnsi="Calibri Light"/>
          <w:color w:val="7F7F7F" w:themeColor="text1" w:themeTint="80"/>
          <w:kern w:val="32"/>
          <w:szCs w:val="22"/>
        </w:rPr>
        <w:t>60</w:t>
      </w:r>
      <w:r w:rsidR="00183D3D" w:rsidRPr="00991147">
        <w:rPr>
          <w:rFonts w:ascii="Calibri Light" w:hAnsi="Calibri Light"/>
          <w:color w:val="7F7F7F" w:themeColor="text1" w:themeTint="80"/>
          <w:kern w:val="32"/>
          <w:szCs w:val="22"/>
        </w:rPr>
        <w:t>,</w:t>
      </w:r>
      <w:r w:rsidR="00151076">
        <w:rPr>
          <w:rFonts w:ascii="Calibri Light" w:hAnsi="Calibri Light"/>
          <w:color w:val="7F7F7F" w:themeColor="text1" w:themeTint="80"/>
          <w:kern w:val="32"/>
          <w:szCs w:val="22"/>
        </w:rPr>
        <w:t>267</w:t>
      </w:r>
      <w:r w:rsidR="00183D3D" w:rsidRPr="00991147">
        <w:rPr>
          <w:rFonts w:ascii="Calibri Light" w:hAnsi="Calibri Light"/>
          <w:color w:val="7F7F7F" w:themeColor="text1" w:themeTint="80"/>
          <w:kern w:val="32"/>
          <w:szCs w:val="22"/>
        </w:rPr>
        <w:t>,</w:t>
      </w:r>
      <w:r w:rsidR="00151076">
        <w:rPr>
          <w:rFonts w:ascii="Calibri Light" w:hAnsi="Calibri Light"/>
          <w:color w:val="7F7F7F" w:themeColor="text1" w:themeTint="80"/>
          <w:kern w:val="32"/>
          <w:szCs w:val="22"/>
        </w:rPr>
        <w:t>857</w:t>
      </w:r>
      <w:r w:rsidR="00183D3D" w:rsidRPr="00991147">
        <w:rPr>
          <w:rFonts w:ascii="Calibri Light" w:hAnsi="Calibri Light"/>
          <w:color w:val="7F7F7F" w:themeColor="text1" w:themeTint="80"/>
          <w:kern w:val="32"/>
          <w:szCs w:val="22"/>
        </w:rPr>
        <w:t xml:space="preserve"> shares</w:t>
      </w:r>
      <w:r w:rsidRPr="00991147">
        <w:rPr>
          <w:rFonts w:ascii="Calibri Light" w:hAnsi="Calibri Light"/>
          <w:color w:val="7F7F7F" w:themeColor="text1" w:themeTint="80"/>
          <w:kern w:val="32"/>
          <w:szCs w:val="22"/>
        </w:rPr>
        <w:t xml:space="preserve"> </w:t>
      </w:r>
      <w:r w:rsidR="00183D3D" w:rsidRPr="00991147">
        <w:rPr>
          <w:rFonts w:ascii="Calibri Light" w:hAnsi="Calibri Light"/>
          <w:color w:val="7F7F7F" w:themeColor="text1" w:themeTint="80"/>
          <w:kern w:val="32"/>
          <w:szCs w:val="22"/>
        </w:rPr>
        <w:t xml:space="preserve">at the theoretical ex-rights price </w:t>
      </w:r>
      <w:r w:rsidR="00E576F4" w:rsidRPr="00991147">
        <w:rPr>
          <w:rFonts w:ascii="Calibri Light" w:hAnsi="Calibri Light"/>
          <w:color w:val="7F7F7F" w:themeColor="text1" w:themeTint="80"/>
          <w:kern w:val="32"/>
          <w:szCs w:val="22"/>
        </w:rPr>
        <w:t xml:space="preserve">(“TERP”) </w:t>
      </w:r>
      <w:r w:rsidR="00183D3D" w:rsidRPr="00991147">
        <w:rPr>
          <w:rFonts w:ascii="Calibri Light" w:hAnsi="Calibri Light"/>
          <w:color w:val="7F7F7F" w:themeColor="text1" w:themeTint="80"/>
          <w:kern w:val="32"/>
          <w:szCs w:val="22"/>
        </w:rPr>
        <w:t>for a Pharming Share immediately after the Rights Issue of €0.22</w:t>
      </w:r>
      <w:r w:rsidR="00151076">
        <w:rPr>
          <w:rFonts w:ascii="Calibri Light" w:hAnsi="Calibri Light"/>
          <w:color w:val="7F7F7F" w:themeColor="text1" w:themeTint="80"/>
          <w:kern w:val="32"/>
          <w:szCs w:val="22"/>
        </w:rPr>
        <w:t>4</w:t>
      </w:r>
      <w:r w:rsidR="009229CF">
        <w:rPr>
          <w:rFonts w:ascii="Calibri Light" w:hAnsi="Calibri Light"/>
          <w:color w:val="7F7F7F" w:themeColor="text1" w:themeTint="80"/>
          <w:kern w:val="32"/>
          <w:szCs w:val="22"/>
        </w:rPr>
        <w:t xml:space="preserve">. </w:t>
      </w:r>
    </w:p>
    <w:p w14:paraId="2618127B" w14:textId="67075A10" w:rsidR="007C6B09" w:rsidRPr="00991147" w:rsidRDefault="00E576F4" w:rsidP="007C6B09">
      <w:pPr>
        <w:keepNext/>
        <w:widowControl w:val="0"/>
        <w:autoSpaceDE w:val="0"/>
        <w:autoSpaceDN w:val="0"/>
        <w:adjustRightInd w:val="0"/>
        <w:spacing w:after="200"/>
        <w:rPr>
          <w:rFonts w:ascii="Calibri Light" w:hAnsi="Calibri Light"/>
          <w:color w:val="7F7F7F" w:themeColor="text1" w:themeTint="80"/>
          <w:szCs w:val="22"/>
        </w:rPr>
      </w:pPr>
      <w:r w:rsidRPr="00991147">
        <w:rPr>
          <w:rFonts w:ascii="Calibri Light" w:hAnsi="Calibri Light"/>
          <w:color w:val="7F7F7F" w:themeColor="text1" w:themeTint="80"/>
          <w:kern w:val="32"/>
          <w:szCs w:val="22"/>
        </w:rPr>
        <w:t xml:space="preserve">This compares with full conversion of the Amortizing Bonds into shares at the </w:t>
      </w:r>
      <w:r w:rsidR="00151076" w:rsidRPr="00991147">
        <w:rPr>
          <w:rFonts w:ascii="Calibri Light" w:hAnsi="Calibri Light"/>
          <w:color w:val="7F7F7F" w:themeColor="text1" w:themeTint="80"/>
          <w:kern w:val="32"/>
          <w:szCs w:val="22"/>
        </w:rPr>
        <w:t>€</w:t>
      </w:r>
      <w:r w:rsidR="00151076">
        <w:rPr>
          <w:rFonts w:ascii="Calibri Light" w:hAnsi="Calibri Light"/>
          <w:color w:val="7F7F7F" w:themeColor="text1" w:themeTint="80"/>
          <w:kern w:val="32"/>
          <w:szCs w:val="22"/>
        </w:rPr>
        <w:t xml:space="preserve">0.300 </w:t>
      </w:r>
      <w:r w:rsidRPr="00991147">
        <w:rPr>
          <w:rFonts w:ascii="Calibri Light" w:hAnsi="Calibri Light"/>
          <w:color w:val="7F7F7F" w:themeColor="text1" w:themeTint="80"/>
          <w:kern w:val="32"/>
          <w:szCs w:val="22"/>
        </w:rPr>
        <w:t>conversion price of 150,000,000 shares.</w:t>
      </w:r>
      <w:r w:rsidR="007C6B09" w:rsidRPr="007C6B09">
        <w:rPr>
          <w:rFonts w:ascii="Calibri Light" w:hAnsi="Calibri Light"/>
          <w:color w:val="7F7F7F" w:themeColor="text1" w:themeTint="80"/>
          <w:kern w:val="32"/>
          <w:szCs w:val="22"/>
        </w:rPr>
        <w:t xml:space="preserve"> </w:t>
      </w:r>
      <w:r w:rsidR="007C6B09" w:rsidRPr="00991147">
        <w:rPr>
          <w:rFonts w:ascii="Calibri Light" w:hAnsi="Calibri Light"/>
          <w:color w:val="7F7F7F" w:themeColor="text1" w:themeTint="80"/>
          <w:kern w:val="32"/>
          <w:szCs w:val="22"/>
        </w:rPr>
        <w:t xml:space="preserve">After the initial 2 months without repayments, the first 3 instalments are due to be paid </w:t>
      </w:r>
      <w:r w:rsidR="001537FE">
        <w:rPr>
          <w:rFonts w:ascii="Calibri Light" w:hAnsi="Calibri Light"/>
          <w:color w:val="7F7F7F" w:themeColor="text1" w:themeTint="80"/>
          <w:kern w:val="32"/>
          <w:szCs w:val="22"/>
        </w:rPr>
        <w:t>entirely</w:t>
      </w:r>
      <w:r w:rsidR="007C6B09" w:rsidRPr="00991147">
        <w:rPr>
          <w:rFonts w:ascii="Calibri Light" w:hAnsi="Calibri Light"/>
          <w:color w:val="7F7F7F" w:themeColor="text1" w:themeTint="80"/>
          <w:kern w:val="32"/>
          <w:szCs w:val="22"/>
        </w:rPr>
        <w:t xml:space="preserve"> in cash. This reduces the effect of full conversion of the Amortizing Bonds from 150,000,000 Shares to 121,875,000 Shares. </w:t>
      </w:r>
    </w:p>
    <w:p w14:paraId="16B4E30A" w14:textId="77275A45" w:rsidR="00080D0C" w:rsidRPr="00991147" w:rsidRDefault="00E576F4" w:rsidP="00991147">
      <w:pPr>
        <w:keepNext/>
        <w:widowControl w:val="0"/>
        <w:autoSpaceDE w:val="0"/>
        <w:autoSpaceDN w:val="0"/>
        <w:adjustRightInd w:val="0"/>
        <w:spacing w:after="200"/>
        <w:rPr>
          <w:rFonts w:ascii="Calibri Light" w:hAnsi="Calibri Light"/>
          <w:color w:val="7F7F7F" w:themeColor="text1" w:themeTint="80"/>
          <w:szCs w:val="22"/>
        </w:rPr>
      </w:pPr>
      <w:r w:rsidRPr="00991147">
        <w:rPr>
          <w:rFonts w:ascii="Calibri Light" w:hAnsi="Calibri Light"/>
          <w:color w:val="7F7F7F" w:themeColor="text1" w:themeTint="80"/>
          <w:kern w:val="32"/>
          <w:szCs w:val="22"/>
        </w:rPr>
        <w:t xml:space="preserve"> </w:t>
      </w:r>
      <w:r w:rsidR="00080D0C" w:rsidRPr="00991147">
        <w:rPr>
          <w:rFonts w:ascii="Calibri Light" w:hAnsi="Calibri Light"/>
          <w:color w:val="7F7F7F" w:themeColor="text1" w:themeTint="80"/>
          <w:kern w:val="32"/>
          <w:szCs w:val="22"/>
        </w:rPr>
        <w:t xml:space="preserve">The Amortizing Bonds are </w:t>
      </w:r>
      <w:r w:rsidR="00C21846">
        <w:rPr>
          <w:rFonts w:ascii="Calibri Light" w:hAnsi="Calibri Light"/>
          <w:color w:val="7F7F7F" w:themeColor="text1" w:themeTint="80"/>
          <w:kern w:val="32"/>
          <w:szCs w:val="22"/>
        </w:rPr>
        <w:t xml:space="preserve">also </w:t>
      </w:r>
      <w:r w:rsidR="00080D0C" w:rsidRPr="00991147">
        <w:rPr>
          <w:rFonts w:ascii="Calibri Light" w:hAnsi="Calibri Light"/>
          <w:color w:val="7F7F7F" w:themeColor="text1" w:themeTint="80"/>
          <w:kern w:val="32"/>
          <w:szCs w:val="22"/>
        </w:rPr>
        <w:t xml:space="preserve">redeemable </w:t>
      </w:r>
      <w:r w:rsidR="00C21846">
        <w:rPr>
          <w:rFonts w:ascii="Calibri Light" w:hAnsi="Calibri Light"/>
          <w:color w:val="7F7F7F" w:themeColor="text1" w:themeTint="80"/>
          <w:kern w:val="32"/>
          <w:szCs w:val="22"/>
        </w:rPr>
        <w:t xml:space="preserve">for cash </w:t>
      </w:r>
      <w:r w:rsidR="00080D0C" w:rsidRPr="00991147">
        <w:rPr>
          <w:rFonts w:ascii="Calibri Light" w:hAnsi="Calibri Light"/>
          <w:color w:val="7F7F7F" w:themeColor="text1" w:themeTint="80"/>
          <w:kern w:val="32"/>
          <w:szCs w:val="22"/>
        </w:rPr>
        <w:t>at the Company’s option at a premium within the 18 months duration. The premium varies between 10% and 25% depending on how much of the Amortizing Bonds have already been paid in Shares. The Amortizing Bonds are not guaranteed nor secured</w:t>
      </w:r>
      <w:r w:rsidR="007C6B09">
        <w:rPr>
          <w:rFonts w:ascii="Calibri Light" w:hAnsi="Calibri Light"/>
          <w:color w:val="7F7F7F" w:themeColor="text1" w:themeTint="80"/>
          <w:kern w:val="32"/>
          <w:szCs w:val="22"/>
        </w:rPr>
        <w:t xml:space="preserve"> and rank behind both the debt and the </w:t>
      </w:r>
      <w:r w:rsidR="001537FE">
        <w:rPr>
          <w:rFonts w:ascii="Calibri Light" w:hAnsi="Calibri Light"/>
          <w:color w:val="7F7F7F" w:themeColor="text1" w:themeTint="80"/>
          <w:kern w:val="32"/>
          <w:szCs w:val="22"/>
        </w:rPr>
        <w:t>O</w:t>
      </w:r>
      <w:r w:rsidR="007C6B09">
        <w:rPr>
          <w:rFonts w:ascii="Calibri Light" w:hAnsi="Calibri Light"/>
          <w:color w:val="7F7F7F" w:themeColor="text1" w:themeTint="80"/>
          <w:kern w:val="32"/>
          <w:szCs w:val="22"/>
        </w:rPr>
        <w:t xml:space="preserve">rdinary </w:t>
      </w:r>
      <w:r w:rsidR="001537FE">
        <w:rPr>
          <w:rFonts w:ascii="Calibri Light" w:hAnsi="Calibri Light"/>
          <w:color w:val="7F7F7F" w:themeColor="text1" w:themeTint="80"/>
          <w:kern w:val="32"/>
          <w:szCs w:val="22"/>
        </w:rPr>
        <w:t>B</w:t>
      </w:r>
      <w:r w:rsidR="007C6B09">
        <w:rPr>
          <w:rFonts w:ascii="Calibri Light" w:hAnsi="Calibri Light"/>
          <w:color w:val="7F7F7F" w:themeColor="text1" w:themeTint="80"/>
          <w:kern w:val="32"/>
          <w:szCs w:val="22"/>
        </w:rPr>
        <w:t>onds</w:t>
      </w:r>
      <w:r w:rsidR="00080D0C" w:rsidRPr="00991147">
        <w:rPr>
          <w:rFonts w:ascii="Calibri Light" w:hAnsi="Calibri Light"/>
          <w:color w:val="7F7F7F" w:themeColor="text1" w:themeTint="80"/>
          <w:kern w:val="32"/>
          <w:szCs w:val="22"/>
        </w:rPr>
        <w:t xml:space="preserve">. The Amortizing Bondholders will receive </w:t>
      </w:r>
      <w:r w:rsidR="00080D0C" w:rsidRPr="00991147">
        <w:rPr>
          <w:rFonts w:ascii="Calibri Light" w:hAnsi="Calibri Light"/>
          <w:color w:val="7F7F7F" w:themeColor="text1" w:themeTint="80"/>
          <w:szCs w:val="22"/>
        </w:rPr>
        <w:t>40% warrant coverage in the 2016 Warrants entitling them to subscribe for</w:t>
      </w:r>
      <w:r w:rsidR="00080D0C" w:rsidRPr="00991147">
        <w:rPr>
          <w:rFonts w:ascii="Calibri Light" w:hAnsi="Calibri Light"/>
          <w:color w:val="7F7F7F" w:themeColor="text1" w:themeTint="80"/>
          <w:kern w:val="32"/>
          <w:szCs w:val="22"/>
        </w:rPr>
        <w:t xml:space="preserve"> </w:t>
      </w:r>
      <w:r w:rsidR="00080D0C" w:rsidRPr="00991147">
        <w:rPr>
          <w:rFonts w:ascii="Calibri Light" w:hAnsi="Calibri Light"/>
          <w:color w:val="7F7F7F" w:themeColor="text1" w:themeTint="80"/>
          <w:szCs w:val="22"/>
        </w:rPr>
        <w:t>63,</w:t>
      </w:r>
      <w:r w:rsidR="00151076">
        <w:rPr>
          <w:rFonts w:ascii="Calibri Light" w:hAnsi="Calibri Light"/>
          <w:color w:val="7F7F7F" w:themeColor="text1" w:themeTint="80"/>
          <w:szCs w:val="22"/>
        </w:rPr>
        <w:t>380</w:t>
      </w:r>
      <w:r w:rsidR="00080D0C" w:rsidRPr="00991147">
        <w:rPr>
          <w:rFonts w:ascii="Calibri Light" w:hAnsi="Calibri Light"/>
          <w:color w:val="7F7F7F" w:themeColor="text1" w:themeTint="80"/>
          <w:szCs w:val="22"/>
        </w:rPr>
        <w:t>,2</w:t>
      </w:r>
      <w:r w:rsidR="00151076">
        <w:rPr>
          <w:rFonts w:ascii="Calibri Light" w:hAnsi="Calibri Light"/>
          <w:color w:val="7F7F7F" w:themeColor="text1" w:themeTint="80"/>
          <w:szCs w:val="22"/>
        </w:rPr>
        <w:t>82</w:t>
      </w:r>
      <w:r w:rsidR="00080D0C" w:rsidRPr="00991147">
        <w:rPr>
          <w:rFonts w:ascii="Calibri Light" w:hAnsi="Calibri Light"/>
          <w:color w:val="7F7F7F" w:themeColor="text1" w:themeTint="80"/>
          <w:kern w:val="32"/>
          <w:szCs w:val="22"/>
        </w:rPr>
        <w:t xml:space="preserve"> Shares at a warrant strike price of €0.28</w:t>
      </w:r>
      <w:r w:rsidR="00151076">
        <w:rPr>
          <w:rFonts w:ascii="Calibri Light" w:hAnsi="Calibri Light"/>
          <w:color w:val="7F7F7F" w:themeColor="text1" w:themeTint="80"/>
          <w:kern w:val="32"/>
          <w:szCs w:val="22"/>
        </w:rPr>
        <w:t>4</w:t>
      </w:r>
      <w:r w:rsidR="00080D0C" w:rsidRPr="00991147">
        <w:rPr>
          <w:rFonts w:ascii="Calibri Light" w:hAnsi="Calibri Light"/>
          <w:color w:val="7F7F7F" w:themeColor="text1" w:themeTint="80"/>
          <w:kern w:val="32"/>
          <w:szCs w:val="22"/>
        </w:rPr>
        <w:t>, i.e. a price representing a premium of 25% to the VWAP or 38.</w:t>
      </w:r>
      <w:r w:rsidR="00151076">
        <w:rPr>
          <w:rFonts w:ascii="Calibri Light" w:hAnsi="Calibri Light"/>
          <w:color w:val="7F7F7F" w:themeColor="text1" w:themeTint="80"/>
          <w:kern w:val="32"/>
          <w:szCs w:val="22"/>
        </w:rPr>
        <w:t>5</w:t>
      </w:r>
      <w:r w:rsidR="00080D0C" w:rsidRPr="00991147">
        <w:rPr>
          <w:rFonts w:ascii="Calibri Light" w:hAnsi="Calibri Light"/>
          <w:color w:val="7F7F7F" w:themeColor="text1" w:themeTint="80"/>
          <w:kern w:val="32"/>
          <w:szCs w:val="22"/>
        </w:rPr>
        <w:t>% to the Issue Price</w:t>
      </w:r>
      <w:r w:rsidR="00080D0C" w:rsidRPr="00991147">
        <w:rPr>
          <w:rFonts w:ascii="Calibri Light" w:hAnsi="Calibri Light"/>
          <w:color w:val="7F7F7F" w:themeColor="text1" w:themeTint="80"/>
          <w:szCs w:val="22"/>
        </w:rPr>
        <w:t xml:space="preserve">. </w:t>
      </w:r>
    </w:p>
    <w:p w14:paraId="2980EED0" w14:textId="567641E1" w:rsidR="00991147" w:rsidRPr="00991147" w:rsidRDefault="00991147" w:rsidP="00991147">
      <w:pPr>
        <w:keepNext/>
        <w:widowControl w:val="0"/>
        <w:autoSpaceDE w:val="0"/>
        <w:autoSpaceDN w:val="0"/>
        <w:adjustRightInd w:val="0"/>
        <w:spacing w:after="200"/>
        <w:rPr>
          <w:rFonts w:ascii="Calibri Light" w:hAnsi="Calibri Light"/>
          <w:b/>
          <w:color w:val="7F7F7F" w:themeColor="text1" w:themeTint="80"/>
          <w:kern w:val="32"/>
          <w:szCs w:val="22"/>
        </w:rPr>
      </w:pPr>
      <w:r w:rsidRPr="00991147">
        <w:rPr>
          <w:rFonts w:ascii="Calibri Light" w:hAnsi="Calibri Light"/>
          <w:b/>
          <w:color w:val="7F7F7F" w:themeColor="text1" w:themeTint="80"/>
          <w:kern w:val="32"/>
          <w:szCs w:val="22"/>
        </w:rPr>
        <w:t xml:space="preserve">About the new debt facility </w:t>
      </w:r>
    </w:p>
    <w:p w14:paraId="6A704B06" w14:textId="1C35AFC6" w:rsidR="00991147" w:rsidRPr="00991147" w:rsidRDefault="00080D0C" w:rsidP="00991147">
      <w:pPr>
        <w:pStyle w:val="Para15"/>
        <w:spacing w:line="240" w:lineRule="auto"/>
        <w:ind w:firstLine="0"/>
        <w:rPr>
          <w:rFonts w:ascii="Calibri Light" w:hAnsi="Calibri Light"/>
          <w:color w:val="7F7F7F" w:themeColor="text1" w:themeTint="80"/>
          <w:sz w:val="22"/>
          <w:lang w:val="en-GB"/>
        </w:rPr>
      </w:pPr>
      <w:r w:rsidRPr="00991147">
        <w:rPr>
          <w:rFonts w:ascii="Calibri Light" w:hAnsi="Calibri Light"/>
          <w:color w:val="7F7F7F" w:themeColor="text1" w:themeTint="80"/>
          <w:kern w:val="32"/>
          <w:sz w:val="22"/>
          <w:lang w:val="en-GB"/>
        </w:rPr>
        <w:t xml:space="preserve">The </w:t>
      </w:r>
      <w:r w:rsidR="00991147" w:rsidRPr="00991147">
        <w:rPr>
          <w:rFonts w:ascii="Calibri Light" w:hAnsi="Calibri Light"/>
          <w:color w:val="7F7F7F" w:themeColor="text1" w:themeTint="80"/>
          <w:kern w:val="32"/>
          <w:sz w:val="22"/>
          <w:lang w:val="en-GB"/>
        </w:rPr>
        <w:t>n</w:t>
      </w:r>
      <w:r w:rsidRPr="00991147">
        <w:rPr>
          <w:rFonts w:ascii="Calibri Light" w:hAnsi="Calibri Light"/>
          <w:color w:val="7F7F7F" w:themeColor="text1" w:themeTint="80"/>
          <w:kern w:val="32"/>
          <w:sz w:val="22"/>
          <w:lang w:val="en-GB"/>
        </w:rPr>
        <w:t xml:space="preserve">ew </w:t>
      </w:r>
      <w:r w:rsidR="00991147" w:rsidRPr="00991147">
        <w:rPr>
          <w:rFonts w:ascii="Calibri Light" w:hAnsi="Calibri Light"/>
          <w:color w:val="7F7F7F" w:themeColor="text1" w:themeTint="80"/>
          <w:kern w:val="32"/>
          <w:sz w:val="22"/>
          <w:lang w:val="en-GB"/>
        </w:rPr>
        <w:t>d</w:t>
      </w:r>
      <w:r w:rsidRPr="00991147">
        <w:rPr>
          <w:rFonts w:ascii="Calibri Light" w:hAnsi="Calibri Light"/>
          <w:color w:val="7F7F7F" w:themeColor="text1" w:themeTint="80"/>
          <w:kern w:val="32"/>
          <w:sz w:val="22"/>
          <w:lang w:val="en-GB"/>
        </w:rPr>
        <w:t xml:space="preserve">ebt </w:t>
      </w:r>
      <w:r w:rsidR="00991147" w:rsidRPr="00991147">
        <w:rPr>
          <w:rFonts w:ascii="Calibri Light" w:hAnsi="Calibri Light"/>
          <w:color w:val="7F7F7F" w:themeColor="text1" w:themeTint="80"/>
          <w:kern w:val="32"/>
          <w:sz w:val="22"/>
          <w:lang w:val="en-GB"/>
        </w:rPr>
        <w:t>f</w:t>
      </w:r>
      <w:r w:rsidRPr="00991147">
        <w:rPr>
          <w:rFonts w:ascii="Calibri Light" w:hAnsi="Calibri Light"/>
          <w:color w:val="7F7F7F" w:themeColor="text1" w:themeTint="80"/>
          <w:kern w:val="32"/>
          <w:sz w:val="22"/>
          <w:lang w:val="en-GB"/>
        </w:rPr>
        <w:t xml:space="preserve">acility is expected to be granted by Kreos Capital </w:t>
      </w:r>
      <w:r w:rsidRPr="00991147">
        <w:rPr>
          <w:rFonts w:ascii="Calibri Light" w:eastAsia="Times New Roman" w:hAnsi="Calibri Light" w:cs="Arial"/>
          <w:color w:val="7F7F7F" w:themeColor="text1" w:themeTint="80"/>
          <w:kern w:val="32"/>
          <w:sz w:val="22"/>
          <w:lang w:val="en-GB" w:eastAsia="x-none"/>
        </w:rPr>
        <w:t>V (UK) Ltd Fund</w:t>
      </w:r>
      <w:r w:rsidRPr="00991147">
        <w:rPr>
          <w:rFonts w:ascii="Calibri Light" w:hAnsi="Calibri Light"/>
          <w:color w:val="7F7F7F" w:themeColor="text1" w:themeTint="80"/>
          <w:kern w:val="32"/>
          <w:sz w:val="22"/>
          <w:lang w:val="en-GB"/>
        </w:rPr>
        <w:t xml:space="preserve"> and Silicon Valley Bank (the </w:t>
      </w:r>
      <w:r w:rsidR="00991147" w:rsidRPr="00991147">
        <w:rPr>
          <w:rFonts w:ascii="Calibri Light" w:hAnsi="Calibri Light"/>
          <w:color w:val="7F7F7F" w:themeColor="text1" w:themeTint="80"/>
          <w:kern w:val="32"/>
          <w:sz w:val="22"/>
          <w:lang w:val="en-GB"/>
        </w:rPr>
        <w:t>New Lenders</w:t>
      </w:r>
      <w:r w:rsidRPr="00991147">
        <w:rPr>
          <w:rFonts w:ascii="Calibri Light" w:hAnsi="Calibri Light"/>
          <w:color w:val="7F7F7F" w:themeColor="text1" w:themeTint="80"/>
          <w:kern w:val="32"/>
          <w:sz w:val="22"/>
          <w:lang w:val="en-GB"/>
        </w:rPr>
        <w:t xml:space="preserve">), with whom the Company has entered into a term sheet on very similar general terms to those of the Loans. Under the terms and conditions of the </w:t>
      </w:r>
      <w:r w:rsidR="00991147" w:rsidRPr="00991147">
        <w:rPr>
          <w:rFonts w:ascii="Calibri Light" w:hAnsi="Calibri Light"/>
          <w:color w:val="7F7F7F" w:themeColor="text1" w:themeTint="80"/>
          <w:kern w:val="32"/>
          <w:sz w:val="22"/>
          <w:lang w:val="en-GB"/>
        </w:rPr>
        <w:t>n</w:t>
      </w:r>
      <w:r w:rsidRPr="00991147">
        <w:rPr>
          <w:rFonts w:ascii="Calibri Light" w:hAnsi="Calibri Light"/>
          <w:color w:val="7F7F7F" w:themeColor="text1" w:themeTint="80"/>
          <w:kern w:val="32"/>
          <w:sz w:val="22"/>
          <w:lang w:val="en-GB"/>
        </w:rPr>
        <w:t xml:space="preserve">ew </w:t>
      </w:r>
      <w:r w:rsidR="00991147" w:rsidRPr="00991147">
        <w:rPr>
          <w:rFonts w:ascii="Calibri Light" w:hAnsi="Calibri Light"/>
          <w:color w:val="7F7F7F" w:themeColor="text1" w:themeTint="80"/>
          <w:kern w:val="32"/>
          <w:sz w:val="22"/>
          <w:lang w:val="en-GB"/>
        </w:rPr>
        <w:t>d</w:t>
      </w:r>
      <w:r w:rsidRPr="00991147">
        <w:rPr>
          <w:rFonts w:ascii="Calibri Light" w:hAnsi="Calibri Light"/>
          <w:color w:val="7F7F7F" w:themeColor="text1" w:themeTint="80"/>
          <w:kern w:val="32"/>
          <w:sz w:val="22"/>
          <w:lang w:val="en-GB"/>
        </w:rPr>
        <w:t xml:space="preserve">ebt </w:t>
      </w:r>
      <w:r w:rsidR="00991147" w:rsidRPr="00991147">
        <w:rPr>
          <w:rFonts w:ascii="Calibri Light" w:hAnsi="Calibri Light"/>
          <w:color w:val="7F7F7F" w:themeColor="text1" w:themeTint="80"/>
          <w:kern w:val="32"/>
          <w:sz w:val="22"/>
          <w:lang w:val="en-GB"/>
        </w:rPr>
        <w:t>f</w:t>
      </w:r>
      <w:r w:rsidRPr="00991147">
        <w:rPr>
          <w:rFonts w:ascii="Calibri Light" w:hAnsi="Calibri Light"/>
          <w:color w:val="7F7F7F" w:themeColor="text1" w:themeTint="80"/>
          <w:kern w:val="32"/>
          <w:sz w:val="22"/>
          <w:lang w:val="en-GB"/>
        </w:rPr>
        <w:t xml:space="preserve">acility, the New Lenders will provide </w:t>
      </w:r>
      <w:r w:rsidR="00236A44">
        <w:rPr>
          <w:rFonts w:ascii="Calibri Light" w:hAnsi="Calibri Light"/>
          <w:color w:val="7F7F7F" w:themeColor="text1" w:themeTint="80"/>
          <w:kern w:val="32"/>
          <w:sz w:val="22"/>
          <w:lang w:val="en-GB"/>
        </w:rPr>
        <w:t xml:space="preserve">US$40 million </w:t>
      </w:r>
      <w:r w:rsidR="00236A44" w:rsidRPr="009D0DE2">
        <w:rPr>
          <w:rFonts w:ascii="Calibri Light" w:hAnsi="Calibri Light"/>
          <w:color w:val="7F7F7F" w:themeColor="text1" w:themeTint="80"/>
          <w:kern w:val="32"/>
          <w:sz w:val="22"/>
          <w:lang w:val="en-GB"/>
        </w:rPr>
        <w:t>(approximately €37</w:t>
      </w:r>
      <w:r w:rsidRPr="009D0DE2">
        <w:rPr>
          <w:rFonts w:ascii="Calibri Light" w:hAnsi="Calibri Light"/>
          <w:color w:val="7F7F7F" w:themeColor="text1" w:themeTint="80"/>
          <w:kern w:val="32"/>
          <w:sz w:val="22"/>
          <w:lang w:val="en-GB"/>
        </w:rPr>
        <w:t>.7 million</w:t>
      </w:r>
      <w:r w:rsidRPr="00151076">
        <w:rPr>
          <w:rFonts w:ascii="Calibri Light" w:hAnsi="Calibri Light"/>
          <w:color w:val="7F7F7F" w:themeColor="text1" w:themeTint="80"/>
          <w:kern w:val="32"/>
          <w:sz w:val="22"/>
          <w:lang w:val="en-GB"/>
        </w:rPr>
        <w:t>)</w:t>
      </w:r>
      <w:r w:rsidRPr="00991147">
        <w:rPr>
          <w:rFonts w:ascii="Calibri Light" w:hAnsi="Calibri Light"/>
          <w:color w:val="7F7F7F" w:themeColor="text1" w:themeTint="80"/>
          <w:kern w:val="32"/>
          <w:sz w:val="22"/>
          <w:lang w:val="en-GB"/>
        </w:rPr>
        <w:t xml:space="preserve"> secured senior debt funding </w:t>
      </w:r>
      <w:r w:rsidRPr="00991147">
        <w:rPr>
          <w:rFonts w:ascii="Calibri Light" w:hAnsi="Calibri Light"/>
          <w:color w:val="7F7F7F" w:themeColor="text1" w:themeTint="80"/>
          <w:sz w:val="22"/>
          <w:lang w:val="en-GB"/>
        </w:rPr>
        <w:t xml:space="preserve">repayable over 42 months </w:t>
      </w:r>
      <w:r w:rsidRPr="00991147">
        <w:rPr>
          <w:rFonts w:ascii="Calibri Light" w:hAnsi="Calibri Light"/>
          <w:color w:val="7F7F7F" w:themeColor="text1" w:themeTint="80"/>
          <w:kern w:val="32"/>
          <w:sz w:val="22"/>
          <w:lang w:val="en-GB"/>
        </w:rPr>
        <w:t xml:space="preserve">with a </w:t>
      </w:r>
      <w:r w:rsidR="009229CF">
        <w:rPr>
          <w:rFonts w:ascii="Calibri Light" w:hAnsi="Calibri Light"/>
          <w:color w:val="7F7F7F" w:themeColor="text1" w:themeTint="80"/>
          <w:kern w:val="32"/>
          <w:sz w:val="22"/>
          <w:lang w:val="en-GB"/>
        </w:rPr>
        <w:t>8%</w:t>
      </w:r>
      <w:r w:rsidRPr="00991147">
        <w:rPr>
          <w:rFonts w:ascii="Calibri Light" w:hAnsi="Calibri Light"/>
          <w:color w:val="7F7F7F" w:themeColor="text1" w:themeTint="80"/>
          <w:kern w:val="32"/>
          <w:sz w:val="22"/>
          <w:lang w:val="en-GB"/>
        </w:rPr>
        <w:t xml:space="preserve"> fixed interest per annum. During the initial 12 months of the facility only interest will be payable, followed by monthly repayments of the outstanding principal amount on a 30 month straight amortisation basis. As further consideration for the </w:t>
      </w:r>
      <w:r w:rsidR="00991147" w:rsidRPr="00991147">
        <w:rPr>
          <w:rFonts w:ascii="Calibri Light" w:hAnsi="Calibri Light"/>
          <w:color w:val="7F7F7F" w:themeColor="text1" w:themeTint="80"/>
          <w:kern w:val="32"/>
          <w:sz w:val="22"/>
          <w:lang w:val="en-GB"/>
        </w:rPr>
        <w:t>n</w:t>
      </w:r>
      <w:r w:rsidRPr="00991147">
        <w:rPr>
          <w:rFonts w:ascii="Calibri Light" w:hAnsi="Calibri Light"/>
          <w:color w:val="7F7F7F" w:themeColor="text1" w:themeTint="80"/>
          <w:kern w:val="32"/>
          <w:sz w:val="22"/>
          <w:lang w:val="en-GB"/>
        </w:rPr>
        <w:t xml:space="preserve">ew </w:t>
      </w:r>
      <w:r w:rsidR="00991147" w:rsidRPr="00991147">
        <w:rPr>
          <w:rFonts w:ascii="Calibri Light" w:hAnsi="Calibri Light"/>
          <w:color w:val="7F7F7F" w:themeColor="text1" w:themeTint="80"/>
          <w:kern w:val="32"/>
          <w:sz w:val="22"/>
          <w:lang w:val="en-GB"/>
        </w:rPr>
        <w:t>d</w:t>
      </w:r>
      <w:r w:rsidRPr="00991147">
        <w:rPr>
          <w:rFonts w:ascii="Calibri Light" w:hAnsi="Calibri Light"/>
          <w:color w:val="7F7F7F" w:themeColor="text1" w:themeTint="80"/>
          <w:kern w:val="32"/>
          <w:sz w:val="22"/>
          <w:lang w:val="en-GB"/>
        </w:rPr>
        <w:t xml:space="preserve">ebt </w:t>
      </w:r>
      <w:r w:rsidR="00991147" w:rsidRPr="00991147">
        <w:rPr>
          <w:rFonts w:ascii="Calibri Light" w:hAnsi="Calibri Light"/>
          <w:color w:val="7F7F7F" w:themeColor="text1" w:themeTint="80"/>
          <w:kern w:val="32"/>
          <w:sz w:val="22"/>
          <w:lang w:val="en-GB"/>
        </w:rPr>
        <w:t>f</w:t>
      </w:r>
      <w:r w:rsidRPr="00991147">
        <w:rPr>
          <w:rFonts w:ascii="Calibri Light" w:hAnsi="Calibri Light"/>
          <w:color w:val="7F7F7F" w:themeColor="text1" w:themeTint="80"/>
          <w:kern w:val="32"/>
          <w:sz w:val="22"/>
          <w:lang w:val="en-GB"/>
        </w:rPr>
        <w:t xml:space="preserve">acility, the New Lenders </w:t>
      </w:r>
      <w:r w:rsidRPr="00991147">
        <w:rPr>
          <w:rFonts w:ascii="Calibri Light" w:eastAsia="Times New Roman" w:hAnsi="Calibri Light" w:cs="Arial"/>
          <w:color w:val="7F7F7F" w:themeColor="text1" w:themeTint="80"/>
          <w:kern w:val="32"/>
          <w:sz w:val="22"/>
          <w:lang w:val="en-GB" w:eastAsia="x-none"/>
        </w:rPr>
        <w:t xml:space="preserve">or their associate companies </w:t>
      </w:r>
      <w:r w:rsidRPr="00991147">
        <w:rPr>
          <w:rFonts w:ascii="Calibri Light" w:hAnsi="Calibri Light"/>
          <w:color w:val="7F7F7F" w:themeColor="text1" w:themeTint="80"/>
          <w:kern w:val="32"/>
          <w:sz w:val="22"/>
          <w:lang w:val="en-GB"/>
        </w:rPr>
        <w:t xml:space="preserve">will receive 10% warrant coverage (i.e. warrants to </w:t>
      </w:r>
      <w:r w:rsidRPr="009D0DE2">
        <w:rPr>
          <w:rFonts w:ascii="Calibri Light" w:hAnsi="Calibri Light"/>
          <w:color w:val="7F7F7F" w:themeColor="text1" w:themeTint="80"/>
          <w:kern w:val="32"/>
          <w:sz w:val="22"/>
          <w:lang w:val="en-GB"/>
        </w:rPr>
        <w:t>acquire 12</w:t>
      </w:r>
      <w:r w:rsidR="00991147" w:rsidRPr="009D0DE2">
        <w:rPr>
          <w:rFonts w:ascii="Calibri Light" w:hAnsi="Calibri Light"/>
          <w:color w:val="7F7F7F" w:themeColor="text1" w:themeTint="80"/>
          <w:kern w:val="32"/>
          <w:sz w:val="22"/>
          <w:lang w:val="en-GB"/>
        </w:rPr>
        <w:t>,</w:t>
      </w:r>
      <w:r w:rsidRPr="009D0DE2">
        <w:rPr>
          <w:rFonts w:ascii="Calibri Light" w:hAnsi="Calibri Light"/>
          <w:color w:val="7F7F7F" w:themeColor="text1" w:themeTint="80"/>
          <w:kern w:val="32"/>
          <w:sz w:val="22"/>
          <w:lang w:val="en-GB"/>
        </w:rPr>
        <w:t>9</w:t>
      </w:r>
      <w:r w:rsidR="00151076">
        <w:rPr>
          <w:rFonts w:ascii="Calibri Light" w:hAnsi="Calibri Light"/>
          <w:color w:val="7F7F7F" w:themeColor="text1" w:themeTint="80"/>
          <w:kern w:val="32"/>
          <w:sz w:val="22"/>
          <w:lang w:val="en-GB"/>
        </w:rPr>
        <w:t>33</w:t>
      </w:r>
      <w:r w:rsidRPr="009D0DE2">
        <w:rPr>
          <w:rFonts w:ascii="Calibri Light" w:hAnsi="Calibri Light"/>
          <w:color w:val="7F7F7F" w:themeColor="text1" w:themeTint="80"/>
          <w:kern w:val="32"/>
          <w:sz w:val="22"/>
          <w:lang w:val="en-GB"/>
        </w:rPr>
        <w:t>,</w:t>
      </w:r>
      <w:r w:rsidR="00151076">
        <w:rPr>
          <w:rFonts w:ascii="Calibri Light" w:hAnsi="Calibri Light"/>
          <w:color w:val="7F7F7F" w:themeColor="text1" w:themeTint="80"/>
          <w:kern w:val="32"/>
          <w:sz w:val="22"/>
          <w:lang w:val="en-GB"/>
        </w:rPr>
        <w:t>431</w:t>
      </w:r>
      <w:r w:rsidRPr="009D0DE2">
        <w:rPr>
          <w:rFonts w:ascii="Calibri Light" w:hAnsi="Calibri Light"/>
          <w:color w:val="7F7F7F" w:themeColor="text1" w:themeTint="80"/>
          <w:kern w:val="32"/>
          <w:sz w:val="22"/>
          <w:lang w:val="en-GB"/>
        </w:rPr>
        <w:t xml:space="preserve"> Shares at a conversion price of €0.28</w:t>
      </w:r>
      <w:r w:rsidR="00151076">
        <w:rPr>
          <w:rFonts w:ascii="Calibri Light" w:hAnsi="Calibri Light"/>
          <w:color w:val="7F7F7F" w:themeColor="text1" w:themeTint="80"/>
          <w:kern w:val="32"/>
          <w:sz w:val="22"/>
          <w:lang w:val="en-GB"/>
        </w:rPr>
        <w:t>4</w:t>
      </w:r>
      <w:r w:rsidRPr="00991147">
        <w:rPr>
          <w:rFonts w:ascii="Calibri Light" w:hAnsi="Calibri Light"/>
          <w:color w:val="7F7F7F" w:themeColor="text1" w:themeTint="80"/>
          <w:kern w:val="32"/>
          <w:sz w:val="22"/>
          <w:lang w:val="en-GB"/>
        </w:rPr>
        <w:t>, i.e. a price representing a premium of 25% to the VWAP or 38.</w:t>
      </w:r>
      <w:r w:rsidR="00151076">
        <w:rPr>
          <w:rFonts w:ascii="Calibri Light" w:hAnsi="Calibri Light"/>
          <w:color w:val="7F7F7F" w:themeColor="text1" w:themeTint="80"/>
          <w:kern w:val="32"/>
          <w:sz w:val="22"/>
          <w:lang w:val="en-GB"/>
        </w:rPr>
        <w:t>5</w:t>
      </w:r>
      <w:r w:rsidRPr="00991147">
        <w:rPr>
          <w:rFonts w:ascii="Calibri Light" w:hAnsi="Calibri Light"/>
          <w:color w:val="7F7F7F" w:themeColor="text1" w:themeTint="80"/>
          <w:kern w:val="32"/>
          <w:sz w:val="22"/>
          <w:lang w:val="en-GB"/>
        </w:rPr>
        <w:t xml:space="preserve">% to the Issue Price) and a final payment on maturity (due June 2020) of 9% of the </w:t>
      </w:r>
      <w:r w:rsidRPr="00991147">
        <w:rPr>
          <w:rFonts w:ascii="Calibri Light" w:hAnsi="Calibri Light"/>
          <w:color w:val="7F7F7F" w:themeColor="text1" w:themeTint="80"/>
          <w:sz w:val="22"/>
          <w:lang w:val="en-GB"/>
        </w:rPr>
        <w:t xml:space="preserve">principal sum. </w:t>
      </w:r>
    </w:p>
    <w:p w14:paraId="3476A158" w14:textId="70FB1CB0" w:rsidR="00080D0C" w:rsidRPr="00991147" w:rsidRDefault="00080D0C" w:rsidP="00991147">
      <w:pPr>
        <w:pStyle w:val="Para15"/>
        <w:spacing w:line="240" w:lineRule="auto"/>
        <w:ind w:firstLine="0"/>
        <w:rPr>
          <w:rFonts w:ascii="Calibri Light" w:hAnsi="Calibri Light"/>
          <w:color w:val="7F7F7F" w:themeColor="text1" w:themeTint="80"/>
          <w:sz w:val="22"/>
          <w:lang w:val="en-GB"/>
        </w:rPr>
      </w:pPr>
      <w:r w:rsidRPr="00991147">
        <w:rPr>
          <w:rFonts w:ascii="Calibri Light" w:hAnsi="Calibri Light"/>
          <w:color w:val="7F7F7F" w:themeColor="text1" w:themeTint="80"/>
          <w:sz w:val="22"/>
          <w:lang w:val="en-GB"/>
        </w:rPr>
        <w:t>The New Lenders will receive a first priority ranking debenture (or the equivalent) and/or other first ranking security over all assets, including intellectual property of the Group. Closing of the New Debt Facility is conditional on a minimum raise of €40 million in equity and convertible debt, satisfactory outcome of due diligence inquiry by the New Lenders, no breach of representations and warranties by Pharming and execution of all required documentation by the parties.</w:t>
      </w:r>
    </w:p>
    <w:p w14:paraId="461874FA" w14:textId="204A0B0C" w:rsidR="00080D0C" w:rsidRPr="00991147" w:rsidRDefault="00080D0C" w:rsidP="00991147">
      <w:pPr>
        <w:pStyle w:val="Para15"/>
        <w:spacing w:line="240" w:lineRule="auto"/>
        <w:ind w:firstLine="0"/>
        <w:rPr>
          <w:rFonts w:ascii="Calibri Light" w:hAnsi="Calibri Light"/>
          <w:color w:val="7F7F7F" w:themeColor="text1" w:themeTint="80"/>
          <w:sz w:val="22"/>
          <w:lang w:val="en-GB"/>
        </w:rPr>
      </w:pPr>
      <w:r w:rsidRPr="00991147">
        <w:rPr>
          <w:rFonts w:ascii="Calibri Light" w:hAnsi="Calibri Light"/>
          <w:color w:val="7F7F7F" w:themeColor="text1" w:themeTint="80"/>
          <w:sz w:val="22"/>
          <w:lang w:val="en-GB"/>
        </w:rPr>
        <w:t xml:space="preserve">The New Lenders, the Ordinary Bond holders and the Amortizing Bond holders will all receive warrants on identical terms (the 2016 Warrants). The 2016 Warrants will be exercisable for a period of five years as of the </w:t>
      </w:r>
      <w:r w:rsidR="00991147" w:rsidRPr="00991147">
        <w:rPr>
          <w:rFonts w:ascii="Calibri Light" w:hAnsi="Calibri Light"/>
          <w:color w:val="7F7F7F" w:themeColor="text1" w:themeTint="80"/>
          <w:sz w:val="22"/>
          <w:lang w:val="en-GB"/>
        </w:rPr>
        <w:t>s</w:t>
      </w:r>
      <w:r w:rsidRPr="00991147">
        <w:rPr>
          <w:rFonts w:ascii="Calibri Light" w:hAnsi="Calibri Light"/>
          <w:color w:val="7F7F7F" w:themeColor="text1" w:themeTint="80"/>
          <w:sz w:val="22"/>
          <w:lang w:val="en-GB"/>
        </w:rPr>
        <w:t xml:space="preserve">ettlement </w:t>
      </w:r>
      <w:r w:rsidR="00991147" w:rsidRPr="00991147">
        <w:rPr>
          <w:rFonts w:ascii="Calibri Light" w:hAnsi="Calibri Light"/>
          <w:color w:val="7F7F7F" w:themeColor="text1" w:themeTint="80"/>
          <w:sz w:val="22"/>
          <w:lang w:val="en-GB"/>
        </w:rPr>
        <w:t>d</w:t>
      </w:r>
      <w:r w:rsidRPr="00991147">
        <w:rPr>
          <w:rFonts w:ascii="Calibri Light" w:hAnsi="Calibri Light"/>
          <w:color w:val="7F7F7F" w:themeColor="text1" w:themeTint="80"/>
          <w:sz w:val="22"/>
          <w:lang w:val="en-GB"/>
        </w:rPr>
        <w:t xml:space="preserve">ate </w:t>
      </w:r>
      <w:r w:rsidR="00991147" w:rsidRPr="00991147">
        <w:rPr>
          <w:rFonts w:ascii="Calibri Light" w:hAnsi="Calibri Light"/>
          <w:color w:val="7F7F7F" w:themeColor="text1" w:themeTint="80"/>
          <w:sz w:val="22"/>
          <w:lang w:val="en-GB"/>
        </w:rPr>
        <w:t xml:space="preserve">of the Rights Issue </w:t>
      </w:r>
      <w:r w:rsidRPr="00991147">
        <w:rPr>
          <w:rFonts w:ascii="Calibri Light" w:hAnsi="Calibri Light"/>
          <w:color w:val="7F7F7F" w:themeColor="text1" w:themeTint="80"/>
          <w:sz w:val="22"/>
          <w:lang w:val="en-GB"/>
        </w:rPr>
        <w:t>at an exercise price of €0.28</w:t>
      </w:r>
      <w:r w:rsidR="00151076">
        <w:rPr>
          <w:rFonts w:ascii="Calibri Light" w:hAnsi="Calibri Light"/>
          <w:color w:val="7F7F7F" w:themeColor="text1" w:themeTint="80"/>
          <w:sz w:val="22"/>
          <w:lang w:val="en-GB"/>
        </w:rPr>
        <w:t>4</w:t>
      </w:r>
      <w:r w:rsidRPr="00991147">
        <w:rPr>
          <w:rFonts w:ascii="Calibri Light" w:hAnsi="Calibri Light"/>
          <w:color w:val="7F7F7F" w:themeColor="text1" w:themeTint="80"/>
          <w:sz w:val="22"/>
          <w:lang w:val="en-GB"/>
        </w:rPr>
        <w:t>, equal to a premium of 25.0% above the VWAP, or 38.</w:t>
      </w:r>
      <w:r w:rsidR="00151076">
        <w:rPr>
          <w:rFonts w:ascii="Calibri Light" w:hAnsi="Calibri Light"/>
          <w:color w:val="7F7F7F" w:themeColor="text1" w:themeTint="80"/>
          <w:sz w:val="22"/>
          <w:lang w:val="en-GB"/>
        </w:rPr>
        <w:t>5</w:t>
      </w:r>
      <w:r w:rsidRPr="00991147">
        <w:rPr>
          <w:rFonts w:ascii="Calibri Light" w:hAnsi="Calibri Light"/>
          <w:color w:val="7F7F7F" w:themeColor="text1" w:themeTint="80"/>
          <w:sz w:val="22"/>
          <w:lang w:val="en-GB"/>
        </w:rPr>
        <w:t xml:space="preserve">% over the </w:t>
      </w:r>
      <w:r w:rsidR="00991147" w:rsidRPr="00991147">
        <w:rPr>
          <w:rFonts w:ascii="Calibri Light" w:hAnsi="Calibri Light"/>
          <w:color w:val="7F7F7F" w:themeColor="text1" w:themeTint="80"/>
          <w:sz w:val="22"/>
          <w:lang w:val="en-GB"/>
        </w:rPr>
        <w:t>Rights</w:t>
      </w:r>
      <w:r w:rsidRPr="00991147">
        <w:rPr>
          <w:rFonts w:ascii="Calibri Light" w:hAnsi="Calibri Light"/>
          <w:color w:val="7F7F7F" w:themeColor="text1" w:themeTint="80"/>
          <w:sz w:val="22"/>
          <w:lang w:val="en-GB"/>
        </w:rPr>
        <w:t xml:space="preserve"> Price. The exercise price of the 2016 </w:t>
      </w:r>
      <w:r w:rsidRPr="00991147">
        <w:rPr>
          <w:rFonts w:ascii="Calibri Light" w:hAnsi="Calibri Light"/>
          <w:color w:val="7F7F7F" w:themeColor="text1" w:themeTint="80"/>
          <w:sz w:val="22"/>
          <w:lang w:val="en-GB"/>
        </w:rPr>
        <w:lastRenderedPageBreak/>
        <w:t>Warrants will be adjusted in case of an issue altering the terms and conditions of the Shares, such as subdivision or amalgamation of Shares, to reflect the value of the original warrant immediately prior to such event.</w:t>
      </w:r>
    </w:p>
    <w:p w14:paraId="4CFF98BD" w14:textId="77777777" w:rsidR="00841713" w:rsidRDefault="00841713" w:rsidP="00991147">
      <w:pPr>
        <w:jc w:val="left"/>
        <w:rPr>
          <w:rFonts w:asciiTheme="minorHAnsi" w:hAnsiTheme="minorHAnsi" w:cstheme="minorHAnsi"/>
          <w:b/>
          <w:color w:val="7F7F7F" w:themeColor="text1" w:themeTint="80"/>
          <w:sz w:val="24"/>
          <w:szCs w:val="28"/>
          <w:highlight w:val="yellow"/>
          <w:lang w:val="en-GB" w:eastAsia="zh-CN"/>
        </w:rPr>
      </w:pPr>
    </w:p>
    <w:p w14:paraId="049370CB" w14:textId="05F5935C" w:rsidR="00841713" w:rsidRPr="00991147" w:rsidRDefault="00841713" w:rsidP="00841713">
      <w:pPr>
        <w:keepNext/>
        <w:widowControl w:val="0"/>
        <w:autoSpaceDE w:val="0"/>
        <w:autoSpaceDN w:val="0"/>
        <w:adjustRightInd w:val="0"/>
        <w:spacing w:after="200"/>
        <w:rPr>
          <w:rFonts w:ascii="Calibri Light" w:hAnsi="Calibri Light"/>
          <w:b/>
          <w:color w:val="7F7F7F" w:themeColor="text1" w:themeTint="80"/>
          <w:kern w:val="32"/>
          <w:szCs w:val="22"/>
        </w:rPr>
      </w:pPr>
      <w:r w:rsidRPr="00991147">
        <w:rPr>
          <w:rFonts w:ascii="Calibri Light" w:hAnsi="Calibri Light"/>
          <w:b/>
          <w:color w:val="7F7F7F" w:themeColor="text1" w:themeTint="80"/>
          <w:kern w:val="32"/>
          <w:szCs w:val="22"/>
        </w:rPr>
        <w:t xml:space="preserve">About the </w:t>
      </w:r>
      <w:r>
        <w:rPr>
          <w:rFonts w:ascii="Calibri Light" w:hAnsi="Calibri Light"/>
          <w:b/>
          <w:color w:val="7F7F7F" w:themeColor="text1" w:themeTint="80"/>
          <w:kern w:val="32"/>
          <w:szCs w:val="22"/>
        </w:rPr>
        <w:t>Prospectus</w:t>
      </w:r>
      <w:r w:rsidRPr="00991147">
        <w:rPr>
          <w:rFonts w:ascii="Calibri Light" w:hAnsi="Calibri Light"/>
          <w:b/>
          <w:color w:val="7F7F7F" w:themeColor="text1" w:themeTint="80"/>
          <w:kern w:val="32"/>
          <w:szCs w:val="22"/>
        </w:rPr>
        <w:t xml:space="preserve"> </w:t>
      </w:r>
    </w:p>
    <w:p w14:paraId="7FEEE7D0" w14:textId="77777777" w:rsidR="00841713" w:rsidRDefault="00841713" w:rsidP="00841713">
      <w:pPr>
        <w:jc w:val="left"/>
        <w:rPr>
          <w:rFonts w:ascii="Calibri Light" w:hAnsi="Calibri Light"/>
          <w:color w:val="7F7F7F" w:themeColor="text1" w:themeTint="80"/>
          <w:kern w:val="32"/>
          <w:szCs w:val="22"/>
        </w:rPr>
      </w:pPr>
      <w:r>
        <w:rPr>
          <w:rFonts w:ascii="Calibri Light" w:hAnsi="Calibri Light"/>
          <w:color w:val="7F7F7F" w:themeColor="text1" w:themeTint="80"/>
          <w:kern w:val="32"/>
          <w:szCs w:val="22"/>
        </w:rPr>
        <w:t xml:space="preserve">A full prospectus for the Rights Offer, including additional information on all the instruments as well </w:t>
      </w:r>
      <w:r w:rsidRPr="00841713">
        <w:rPr>
          <w:rFonts w:ascii="Calibri Light" w:hAnsi="Calibri Light"/>
          <w:color w:val="7F7F7F" w:themeColor="text1" w:themeTint="80"/>
          <w:kern w:val="32"/>
          <w:szCs w:val="22"/>
        </w:rPr>
        <w:t xml:space="preserve">as information regarding the risks relating to the Company, the Offer and the business, will be issued following approval by </w:t>
      </w:r>
      <w:r w:rsidRPr="00841713">
        <w:rPr>
          <w:rFonts w:ascii="Calibri Light" w:hAnsi="Calibri Light"/>
          <w:color w:val="7F7F7F" w:themeColor="text1" w:themeTint="80"/>
          <w:szCs w:val="22"/>
        </w:rPr>
        <w:t>the Netherlands Authority for the Financial Markets (</w:t>
      </w:r>
      <w:r w:rsidRPr="00841713">
        <w:rPr>
          <w:rFonts w:ascii="Calibri Light" w:hAnsi="Calibri Light"/>
          <w:i/>
          <w:color w:val="7F7F7F" w:themeColor="text1" w:themeTint="80"/>
          <w:szCs w:val="22"/>
        </w:rPr>
        <w:t>Stichting Autoriteit Financiële Markten</w:t>
      </w:r>
      <w:r w:rsidRPr="00841713">
        <w:rPr>
          <w:rFonts w:ascii="Calibri Light" w:hAnsi="Calibri Light"/>
          <w:color w:val="7F7F7F" w:themeColor="text1" w:themeTint="80"/>
          <w:szCs w:val="22"/>
        </w:rPr>
        <w:t>, the AFM)</w:t>
      </w:r>
      <w:r>
        <w:rPr>
          <w:rFonts w:ascii="Calibri Light" w:hAnsi="Calibri Light"/>
          <w:color w:val="7F7F7F" w:themeColor="text1" w:themeTint="80"/>
          <w:szCs w:val="22"/>
        </w:rPr>
        <w:t>.</w:t>
      </w:r>
      <w:r w:rsidRPr="00841713">
        <w:rPr>
          <w:rFonts w:ascii="Calibri Light" w:hAnsi="Calibri Light"/>
          <w:color w:val="7F7F7F" w:themeColor="text1" w:themeTint="80"/>
          <w:kern w:val="32"/>
          <w:szCs w:val="22"/>
        </w:rPr>
        <w:t xml:space="preserve">  </w:t>
      </w:r>
      <w:r>
        <w:rPr>
          <w:rFonts w:ascii="Calibri Light" w:hAnsi="Calibri Light"/>
          <w:color w:val="7F7F7F" w:themeColor="text1" w:themeTint="80"/>
          <w:kern w:val="32"/>
          <w:szCs w:val="22"/>
        </w:rPr>
        <w:t>Subject to that approval, the Company has provisionally established the following timetable for the Rights Issue:</w:t>
      </w:r>
    </w:p>
    <w:p w14:paraId="32DEC429" w14:textId="77777777" w:rsidR="00841713" w:rsidRPr="00841713" w:rsidRDefault="00841713" w:rsidP="00841713">
      <w:pPr>
        <w:widowControl w:val="0"/>
        <w:autoSpaceDE w:val="0"/>
        <w:autoSpaceDN w:val="0"/>
        <w:adjustRightInd w:val="0"/>
        <w:rPr>
          <w:rFonts w:ascii="Calibri Light" w:hAnsi="Calibri Light"/>
          <w:color w:val="595B5B"/>
          <w:sz w:val="20"/>
        </w:rPr>
      </w:pPr>
      <w:r w:rsidRPr="00841713">
        <w:rPr>
          <w:rFonts w:ascii="Calibri Light" w:hAnsi="Calibri Light"/>
          <w:color w:val="595B5B"/>
          <w:sz w:val="20"/>
        </w:rPr>
        <w:t>________________________________________________________________________________________</w:t>
      </w:r>
    </w:p>
    <w:p w14:paraId="27182A91" w14:textId="77777777" w:rsidR="00841713" w:rsidRPr="00841713" w:rsidRDefault="00841713" w:rsidP="00841713">
      <w:pPr>
        <w:widowControl w:val="0"/>
        <w:tabs>
          <w:tab w:val="left" w:pos="4820"/>
        </w:tabs>
        <w:autoSpaceDE w:val="0"/>
        <w:autoSpaceDN w:val="0"/>
        <w:adjustRightInd w:val="0"/>
        <w:spacing w:after="120"/>
        <w:ind w:left="4820" w:hanging="4820"/>
        <w:rPr>
          <w:rFonts w:ascii="Calibri Light" w:hAnsi="Calibri Light"/>
          <w:color w:val="595B5B"/>
          <w:sz w:val="20"/>
        </w:rPr>
      </w:pPr>
      <w:r w:rsidRPr="00841713">
        <w:rPr>
          <w:rFonts w:ascii="Calibri Light" w:hAnsi="Calibri Light"/>
          <w:color w:val="595B5B"/>
          <w:sz w:val="20"/>
        </w:rPr>
        <w:t xml:space="preserve">Record Date </w:t>
      </w:r>
      <w:r w:rsidRPr="00841713">
        <w:rPr>
          <w:rFonts w:ascii="Calibri Light" w:hAnsi="Calibri Light"/>
          <w:color w:val="595B5B"/>
          <w:sz w:val="20"/>
        </w:rPr>
        <w:tab/>
        <w:t>Immediately after the close of trading on Euronext Amsterdam at 17:40 CET on 22 November 2016</w:t>
      </w:r>
      <w:r w:rsidRPr="00841713">
        <w:rPr>
          <w:rFonts w:ascii="MS Mincho" w:eastAsia="MS Mincho" w:hAnsi="MS Mincho" w:cs="MS Mincho"/>
          <w:color w:val="595B5B"/>
          <w:sz w:val="20"/>
        </w:rPr>
        <w:t> </w:t>
      </w:r>
    </w:p>
    <w:p w14:paraId="6525D610" w14:textId="77777777" w:rsidR="00841713" w:rsidRPr="00841713" w:rsidRDefault="00841713" w:rsidP="00841713">
      <w:pPr>
        <w:widowControl w:val="0"/>
        <w:tabs>
          <w:tab w:val="left" w:pos="4820"/>
        </w:tabs>
        <w:autoSpaceDE w:val="0"/>
        <w:autoSpaceDN w:val="0"/>
        <w:adjustRightInd w:val="0"/>
        <w:spacing w:after="120"/>
        <w:ind w:left="4820" w:hanging="4820"/>
        <w:rPr>
          <w:rFonts w:ascii="Calibri Light" w:hAnsi="Calibri Light"/>
          <w:color w:val="595B5B"/>
          <w:sz w:val="20"/>
        </w:rPr>
      </w:pPr>
      <w:r w:rsidRPr="00841713">
        <w:rPr>
          <w:rFonts w:ascii="Calibri Light" w:hAnsi="Calibri Light"/>
          <w:color w:val="595B5B"/>
          <w:sz w:val="20"/>
        </w:rPr>
        <w:t>Ex-Rights trading in the Shares commences</w:t>
      </w:r>
      <w:r w:rsidRPr="00841713">
        <w:rPr>
          <w:rFonts w:ascii="Calibri Light" w:hAnsi="Calibri Light"/>
          <w:color w:val="595B5B"/>
          <w:sz w:val="20"/>
        </w:rPr>
        <w:tab/>
        <w:t>09:00 CET on 23 November 2016</w:t>
      </w:r>
    </w:p>
    <w:p w14:paraId="77921866" w14:textId="77777777" w:rsidR="00841713" w:rsidRPr="00841713" w:rsidRDefault="00841713" w:rsidP="00841713">
      <w:pPr>
        <w:widowControl w:val="0"/>
        <w:tabs>
          <w:tab w:val="left" w:pos="4820"/>
        </w:tabs>
        <w:autoSpaceDE w:val="0"/>
        <w:autoSpaceDN w:val="0"/>
        <w:adjustRightInd w:val="0"/>
        <w:spacing w:after="120"/>
        <w:ind w:left="4820" w:hanging="4820"/>
        <w:rPr>
          <w:rFonts w:ascii="Calibri Light" w:hAnsi="Calibri Light"/>
          <w:color w:val="595B5B"/>
          <w:sz w:val="20"/>
          <w:lang w:val="fr-FR"/>
        </w:rPr>
      </w:pPr>
      <w:r w:rsidRPr="00841713">
        <w:rPr>
          <w:rFonts w:ascii="Calibri Light" w:hAnsi="Calibri Light"/>
          <w:color w:val="595B5B"/>
          <w:sz w:val="20"/>
          <w:lang w:val="fr-FR"/>
        </w:rPr>
        <w:t>Exercise Period commences</w:t>
      </w:r>
      <w:r w:rsidRPr="00841713">
        <w:rPr>
          <w:rFonts w:ascii="MS Mincho" w:eastAsia="MS Mincho" w:hAnsi="MS Mincho" w:cs="MS Mincho"/>
          <w:color w:val="595B5B"/>
          <w:sz w:val="20"/>
          <w:lang w:val="fr-FR"/>
        </w:rPr>
        <w:t> </w:t>
      </w:r>
      <w:r w:rsidRPr="00841713">
        <w:rPr>
          <w:rFonts w:ascii="Calibri Light" w:hAnsi="Calibri Light"/>
          <w:color w:val="595B5B"/>
          <w:sz w:val="20"/>
          <w:lang w:val="fr-FR"/>
        </w:rPr>
        <w:tab/>
        <w:t>09:00 CET on 23 November 2016</w:t>
      </w:r>
    </w:p>
    <w:p w14:paraId="3ABEF32C" w14:textId="77777777" w:rsidR="00841713" w:rsidRPr="00841713" w:rsidRDefault="00841713" w:rsidP="00841713">
      <w:pPr>
        <w:widowControl w:val="0"/>
        <w:tabs>
          <w:tab w:val="left" w:pos="4820"/>
        </w:tabs>
        <w:autoSpaceDE w:val="0"/>
        <w:autoSpaceDN w:val="0"/>
        <w:adjustRightInd w:val="0"/>
        <w:spacing w:after="120"/>
        <w:ind w:left="4820" w:hanging="4820"/>
        <w:rPr>
          <w:rFonts w:ascii="Calibri Light" w:hAnsi="Calibri Light"/>
          <w:color w:val="595B5B"/>
          <w:sz w:val="20"/>
        </w:rPr>
      </w:pPr>
      <w:r w:rsidRPr="00841713">
        <w:rPr>
          <w:rFonts w:ascii="Calibri Light" w:hAnsi="Calibri Light"/>
          <w:color w:val="595B5B"/>
          <w:sz w:val="20"/>
        </w:rPr>
        <w:t>Trading in the Rights commences</w:t>
      </w:r>
      <w:r w:rsidRPr="00841713">
        <w:rPr>
          <w:rFonts w:ascii="Calibri Light" w:hAnsi="Calibri Light"/>
          <w:color w:val="595B5B"/>
          <w:sz w:val="20"/>
        </w:rPr>
        <w:tab/>
        <w:t>09:00 CET on 23 November 2016</w:t>
      </w:r>
    </w:p>
    <w:p w14:paraId="4A83AB09" w14:textId="77777777" w:rsidR="00841713" w:rsidRPr="00841713" w:rsidRDefault="00841713" w:rsidP="00841713">
      <w:pPr>
        <w:widowControl w:val="0"/>
        <w:tabs>
          <w:tab w:val="left" w:pos="4820"/>
        </w:tabs>
        <w:autoSpaceDE w:val="0"/>
        <w:autoSpaceDN w:val="0"/>
        <w:adjustRightInd w:val="0"/>
        <w:spacing w:after="120"/>
        <w:ind w:left="4820" w:hanging="4820"/>
        <w:rPr>
          <w:rFonts w:ascii="Calibri Light" w:hAnsi="Calibri Light"/>
          <w:color w:val="595B5B"/>
          <w:sz w:val="20"/>
        </w:rPr>
      </w:pPr>
      <w:r w:rsidRPr="00841713">
        <w:rPr>
          <w:rFonts w:ascii="Calibri Light" w:hAnsi="Calibri Light"/>
          <w:color w:val="595B5B"/>
          <w:sz w:val="20"/>
        </w:rPr>
        <w:t>Trading in the Rights ceases</w:t>
      </w:r>
      <w:r w:rsidRPr="00841713">
        <w:rPr>
          <w:rFonts w:ascii="Calibri Light" w:hAnsi="Calibri Light"/>
          <w:color w:val="595B5B"/>
          <w:sz w:val="20"/>
        </w:rPr>
        <w:tab/>
        <w:t>17:40 CET on 29 November 2016</w:t>
      </w:r>
    </w:p>
    <w:p w14:paraId="3845601F" w14:textId="77777777" w:rsidR="00841713" w:rsidRPr="00841713" w:rsidRDefault="00841713" w:rsidP="00841713">
      <w:pPr>
        <w:widowControl w:val="0"/>
        <w:tabs>
          <w:tab w:val="left" w:pos="4820"/>
        </w:tabs>
        <w:autoSpaceDE w:val="0"/>
        <w:autoSpaceDN w:val="0"/>
        <w:adjustRightInd w:val="0"/>
        <w:spacing w:after="120"/>
        <w:ind w:left="4820" w:hanging="4820"/>
        <w:rPr>
          <w:rFonts w:ascii="Calibri Light" w:hAnsi="Calibri Light"/>
          <w:color w:val="595B5B"/>
          <w:sz w:val="20"/>
          <w:lang w:val="fr-FR"/>
        </w:rPr>
      </w:pPr>
      <w:r w:rsidRPr="00841713">
        <w:rPr>
          <w:rFonts w:ascii="Calibri Light" w:hAnsi="Calibri Light"/>
          <w:color w:val="595B5B"/>
          <w:sz w:val="20"/>
          <w:lang w:val="fr-FR"/>
        </w:rPr>
        <w:t>Exercise Period ends</w:t>
      </w:r>
      <w:r w:rsidRPr="00841713">
        <w:rPr>
          <w:rFonts w:ascii="Calibri Light" w:hAnsi="Calibri Light"/>
          <w:color w:val="595B5B"/>
          <w:sz w:val="20"/>
          <w:lang w:val="fr-FR"/>
        </w:rPr>
        <w:tab/>
        <w:t>17:40 CET on 30 November 2016</w:t>
      </w:r>
    </w:p>
    <w:p w14:paraId="588555A9" w14:textId="1A70E16C" w:rsidR="00841713" w:rsidRPr="00841713" w:rsidRDefault="00841713" w:rsidP="00841713">
      <w:pPr>
        <w:widowControl w:val="0"/>
        <w:tabs>
          <w:tab w:val="left" w:pos="4820"/>
        </w:tabs>
        <w:autoSpaceDE w:val="0"/>
        <w:autoSpaceDN w:val="0"/>
        <w:adjustRightInd w:val="0"/>
        <w:spacing w:after="120"/>
        <w:ind w:left="4820" w:hanging="4820"/>
        <w:rPr>
          <w:rFonts w:ascii="Calibri Light" w:hAnsi="Calibri Light"/>
          <w:color w:val="595B5B"/>
          <w:sz w:val="20"/>
        </w:rPr>
      </w:pPr>
      <w:r w:rsidRPr="00841713">
        <w:rPr>
          <w:rFonts w:ascii="Calibri Light" w:hAnsi="Calibri Light"/>
          <w:color w:val="595B5B"/>
          <w:sz w:val="20"/>
        </w:rPr>
        <w:t>Allotment of New Shares</w:t>
      </w:r>
      <w:r w:rsidRPr="00841713">
        <w:rPr>
          <w:rFonts w:ascii="MS Mincho" w:eastAsia="MS Mincho" w:hAnsi="MS Mincho" w:cs="MS Mincho"/>
          <w:color w:val="595B5B"/>
          <w:sz w:val="20"/>
        </w:rPr>
        <w:t> </w:t>
      </w:r>
      <w:r w:rsidRPr="00841713">
        <w:rPr>
          <w:rFonts w:ascii="Calibri Light" w:hAnsi="Calibri Light"/>
          <w:color w:val="595B5B"/>
          <w:sz w:val="20"/>
        </w:rPr>
        <w:tab/>
        <w:t>Expecte</w:t>
      </w:r>
      <w:r w:rsidRPr="00841713">
        <w:rPr>
          <w:rFonts w:ascii="Calibri Light" w:hAnsi="Calibri Light"/>
          <w:sz w:val="20"/>
        </w:rPr>
        <w:t xml:space="preserve">d </w:t>
      </w:r>
      <w:r w:rsidRPr="00841713">
        <w:rPr>
          <w:rFonts w:ascii="Calibri Light" w:hAnsi="Calibri Light"/>
          <w:color w:val="595B5B"/>
          <w:sz w:val="20"/>
        </w:rPr>
        <w:t>on 2 December 2016</w:t>
      </w:r>
    </w:p>
    <w:p w14:paraId="0E340A6A" w14:textId="77849EBC" w:rsidR="00841713" w:rsidRPr="00841713" w:rsidRDefault="00841713" w:rsidP="00841713">
      <w:pPr>
        <w:widowControl w:val="0"/>
        <w:tabs>
          <w:tab w:val="left" w:pos="4820"/>
        </w:tabs>
        <w:autoSpaceDE w:val="0"/>
        <w:autoSpaceDN w:val="0"/>
        <w:adjustRightInd w:val="0"/>
        <w:ind w:left="4820" w:hanging="4820"/>
        <w:rPr>
          <w:rFonts w:ascii="Calibri Light" w:hAnsi="Calibri Light"/>
          <w:color w:val="595B5B"/>
          <w:sz w:val="20"/>
        </w:rPr>
      </w:pPr>
      <w:r w:rsidRPr="00841713">
        <w:rPr>
          <w:rFonts w:ascii="Calibri Light" w:hAnsi="Calibri Light"/>
          <w:color w:val="595B5B"/>
          <w:sz w:val="20"/>
        </w:rPr>
        <w:t>Issue of, payment for and delivery of,</w:t>
      </w:r>
      <w:r w:rsidRPr="00841713">
        <w:rPr>
          <w:rFonts w:ascii="Calibri Light" w:hAnsi="Calibri Light"/>
          <w:color w:val="595B5B"/>
          <w:sz w:val="20"/>
        </w:rPr>
        <w:tab/>
        <w:t>Expected on 6 December 2016</w:t>
      </w:r>
    </w:p>
    <w:p w14:paraId="7D804C10" w14:textId="77777777" w:rsidR="00841713" w:rsidRPr="00841713" w:rsidRDefault="00841713" w:rsidP="00841713">
      <w:pPr>
        <w:widowControl w:val="0"/>
        <w:tabs>
          <w:tab w:val="left" w:pos="4820"/>
        </w:tabs>
        <w:autoSpaceDE w:val="0"/>
        <w:autoSpaceDN w:val="0"/>
        <w:adjustRightInd w:val="0"/>
        <w:ind w:left="4820" w:hanging="4820"/>
        <w:rPr>
          <w:rFonts w:ascii="Calibri Light" w:hAnsi="Calibri Light"/>
          <w:color w:val="595B5B"/>
          <w:sz w:val="20"/>
        </w:rPr>
      </w:pPr>
      <w:r w:rsidRPr="00841713">
        <w:rPr>
          <w:rFonts w:ascii="Calibri Light" w:hAnsi="Calibri Light"/>
          <w:color w:val="595B5B"/>
          <w:sz w:val="20"/>
        </w:rPr>
        <w:t>the New Shares (including the Rump Shares)</w:t>
      </w:r>
    </w:p>
    <w:p w14:paraId="3DF2ED8F" w14:textId="77777777" w:rsidR="00841713" w:rsidRDefault="00841713" w:rsidP="00841713">
      <w:pPr>
        <w:widowControl w:val="0"/>
        <w:tabs>
          <w:tab w:val="left" w:pos="4820"/>
        </w:tabs>
        <w:autoSpaceDE w:val="0"/>
        <w:autoSpaceDN w:val="0"/>
        <w:adjustRightInd w:val="0"/>
        <w:ind w:left="4820" w:hanging="4820"/>
        <w:rPr>
          <w:rFonts w:ascii="Calibri Light" w:hAnsi="Calibri Light"/>
          <w:color w:val="595B5B"/>
          <w:sz w:val="20"/>
        </w:rPr>
      </w:pPr>
      <w:r w:rsidRPr="00841713">
        <w:rPr>
          <w:rFonts w:ascii="Calibri Light" w:hAnsi="Calibri Light"/>
          <w:color w:val="595B5B"/>
          <w:sz w:val="20"/>
        </w:rPr>
        <w:t xml:space="preserve">(Settlement Date) and start of trading in the New Shares </w:t>
      </w:r>
    </w:p>
    <w:p w14:paraId="12241297" w14:textId="77777777" w:rsidR="002D5855" w:rsidRDefault="002D5855" w:rsidP="00841713">
      <w:pPr>
        <w:widowControl w:val="0"/>
        <w:tabs>
          <w:tab w:val="left" w:pos="4820"/>
        </w:tabs>
        <w:autoSpaceDE w:val="0"/>
        <w:autoSpaceDN w:val="0"/>
        <w:adjustRightInd w:val="0"/>
        <w:ind w:left="4820" w:hanging="4820"/>
        <w:rPr>
          <w:rFonts w:ascii="Calibri Light" w:hAnsi="Calibri Light"/>
          <w:color w:val="595B5B"/>
          <w:sz w:val="20"/>
        </w:rPr>
      </w:pPr>
    </w:p>
    <w:p w14:paraId="06AC4A65" w14:textId="6B2CE3EF" w:rsidR="002D5855" w:rsidRDefault="002D5855" w:rsidP="002D5855">
      <w:pPr>
        <w:jc w:val="left"/>
        <w:rPr>
          <w:rFonts w:ascii="Calibri Light" w:hAnsi="Calibri Light"/>
          <w:color w:val="7F7F7F" w:themeColor="text1" w:themeTint="80"/>
          <w:kern w:val="32"/>
          <w:szCs w:val="22"/>
        </w:rPr>
      </w:pPr>
      <w:r>
        <w:rPr>
          <w:rFonts w:ascii="Calibri Light" w:hAnsi="Calibri Light"/>
          <w:color w:val="7F7F7F" w:themeColor="text1" w:themeTint="80"/>
          <w:kern w:val="32"/>
          <w:szCs w:val="22"/>
        </w:rPr>
        <w:t>The prospectus contains a new detailed pro forma in accordance with the rules of the Prospectus Directive, and this is based on a more detailed version of the Company’s Q3 Condensed Consolidated Financial Statements prepared under IAS 34 for the purposes of reference information.   This form of the Q3 report has been published today on Pharming’s website under Public Reports within the Shareholder section of Information.</w:t>
      </w:r>
    </w:p>
    <w:p w14:paraId="34314315" w14:textId="77777777" w:rsidR="002D5855" w:rsidRDefault="002D5855" w:rsidP="002D5855">
      <w:pPr>
        <w:jc w:val="left"/>
        <w:rPr>
          <w:rFonts w:ascii="Calibri Light" w:hAnsi="Calibri Light"/>
          <w:color w:val="7F7F7F" w:themeColor="text1" w:themeTint="80"/>
          <w:kern w:val="32"/>
          <w:szCs w:val="22"/>
        </w:rPr>
      </w:pPr>
    </w:p>
    <w:p w14:paraId="60E74ED3" w14:textId="59FF54C7" w:rsidR="002D5855" w:rsidRDefault="002D5855" w:rsidP="002D5855">
      <w:pPr>
        <w:jc w:val="left"/>
        <w:rPr>
          <w:rFonts w:ascii="Calibri Light" w:hAnsi="Calibri Light"/>
          <w:color w:val="7F7F7F" w:themeColor="text1" w:themeTint="80"/>
          <w:kern w:val="32"/>
          <w:szCs w:val="22"/>
        </w:rPr>
      </w:pPr>
      <w:r>
        <w:rPr>
          <w:rFonts w:ascii="Calibri Light" w:hAnsi="Calibri Light"/>
          <w:color w:val="7F7F7F" w:themeColor="text1" w:themeTint="80"/>
          <w:kern w:val="32"/>
          <w:szCs w:val="22"/>
        </w:rPr>
        <w:t>The pro forma shows an adjusted view of the transaction as a hypothetical situation similar (but not identical) to the pro forma information presented in each of Pharming’s announcement of the transaction on 9 August 2016 and last two financial reports on 3 October 2016 (8 month report to 31 August 2016) and 27 October 2016 (Q3 Report 2016).  The differences mainly relate to the change of accounting approach from an asset transaction to a business combination, plus changes related to more accurate cost information and the financial structure on the basis of the latest terms.</w:t>
      </w:r>
    </w:p>
    <w:p w14:paraId="0CE9F6C3" w14:textId="77777777" w:rsidR="002D5855" w:rsidRPr="00841713" w:rsidRDefault="002D5855" w:rsidP="00841713">
      <w:pPr>
        <w:widowControl w:val="0"/>
        <w:tabs>
          <w:tab w:val="left" w:pos="4820"/>
        </w:tabs>
        <w:autoSpaceDE w:val="0"/>
        <w:autoSpaceDN w:val="0"/>
        <w:adjustRightInd w:val="0"/>
        <w:ind w:left="4820" w:hanging="4820"/>
        <w:rPr>
          <w:rFonts w:ascii="Calibri Light" w:hAnsi="Calibri Light"/>
          <w:color w:val="595B5B"/>
          <w:sz w:val="20"/>
        </w:rPr>
      </w:pPr>
    </w:p>
    <w:p w14:paraId="3905782E" w14:textId="0B400A7B" w:rsidR="00D83387" w:rsidRPr="00991147" w:rsidRDefault="00D83387" w:rsidP="00841713">
      <w:pPr>
        <w:jc w:val="left"/>
        <w:rPr>
          <w:rFonts w:asciiTheme="minorHAnsi" w:eastAsiaTheme="majorEastAsia" w:hAnsiTheme="minorHAnsi" w:cstheme="minorHAnsi"/>
          <w:b/>
          <w:color w:val="7F7F7F" w:themeColor="text1" w:themeTint="80"/>
          <w:sz w:val="24"/>
          <w:szCs w:val="28"/>
          <w:highlight w:val="yellow"/>
          <w:lang w:val="en-GB" w:eastAsia="zh-CN"/>
        </w:rPr>
      </w:pPr>
      <w:r w:rsidRPr="00991147">
        <w:rPr>
          <w:rFonts w:asciiTheme="minorHAnsi" w:hAnsiTheme="minorHAnsi" w:cstheme="minorHAnsi"/>
          <w:b/>
          <w:color w:val="7F7F7F" w:themeColor="text1" w:themeTint="80"/>
          <w:sz w:val="24"/>
          <w:szCs w:val="28"/>
          <w:highlight w:val="yellow"/>
          <w:lang w:val="en-GB" w:eastAsia="zh-CN"/>
        </w:rPr>
        <w:br w:type="page"/>
      </w:r>
    </w:p>
    <w:p w14:paraId="161C7164" w14:textId="77777777" w:rsidR="00080D0C" w:rsidRPr="00991147" w:rsidRDefault="00080D0C" w:rsidP="00991147">
      <w:pPr>
        <w:jc w:val="left"/>
        <w:rPr>
          <w:rFonts w:asciiTheme="minorHAnsi" w:eastAsiaTheme="majorEastAsia" w:hAnsiTheme="minorHAnsi" w:cstheme="minorHAnsi"/>
          <w:bCs/>
          <w:color w:val="7F7F7F" w:themeColor="text1" w:themeTint="80"/>
          <w:sz w:val="24"/>
          <w:szCs w:val="28"/>
          <w:lang w:val="en-GB" w:eastAsia="zh-CN"/>
        </w:rPr>
      </w:pPr>
      <w:r w:rsidRPr="00991147">
        <w:rPr>
          <w:rFonts w:asciiTheme="minorHAnsi" w:eastAsiaTheme="majorEastAsia" w:hAnsiTheme="minorHAnsi" w:cstheme="minorHAnsi"/>
          <w:b/>
          <w:color w:val="7F7F7F" w:themeColor="text1" w:themeTint="80"/>
          <w:sz w:val="24"/>
          <w:szCs w:val="28"/>
          <w:lang w:val="en-GB" w:eastAsia="zh-CN"/>
        </w:rPr>
        <w:lastRenderedPageBreak/>
        <w:t>About Pharming Group N.V.</w:t>
      </w:r>
    </w:p>
    <w:p w14:paraId="5C36C45F" w14:textId="77777777" w:rsidR="00080D0C" w:rsidRPr="00991147" w:rsidRDefault="00080D0C" w:rsidP="00991147">
      <w:pPr>
        <w:rPr>
          <w:rStyle w:val="Strong"/>
          <w:rFonts w:asciiTheme="minorHAnsi" w:hAnsiTheme="minorHAnsi" w:cstheme="minorHAnsi"/>
          <w:color w:val="7F7F7F" w:themeColor="text1" w:themeTint="80"/>
          <w:szCs w:val="22"/>
          <w:highlight w:val="yellow"/>
          <w:shd w:val="clear" w:color="auto" w:fill="FFFFFF"/>
          <w:lang w:val="en-GB"/>
        </w:rPr>
      </w:pPr>
    </w:p>
    <w:p w14:paraId="3C184F72" w14:textId="77777777" w:rsidR="00080D0C" w:rsidRPr="00991147" w:rsidRDefault="00080D0C" w:rsidP="00991147">
      <w:pPr>
        <w:spacing w:after="120"/>
        <w:rPr>
          <w:rFonts w:asciiTheme="minorHAnsi" w:eastAsia="MS Mincho" w:hAnsiTheme="minorHAnsi" w:cstheme="minorHAnsi"/>
          <w:color w:val="7F7F7F" w:themeColor="text1" w:themeTint="80"/>
          <w:szCs w:val="22"/>
          <w:lang w:val="en-GB"/>
        </w:rPr>
      </w:pPr>
      <w:r w:rsidRPr="00991147">
        <w:rPr>
          <w:rFonts w:asciiTheme="minorHAnsi" w:eastAsia="MS Mincho" w:hAnsiTheme="minorHAnsi" w:cstheme="minorHAnsi"/>
          <w:color w:val="7F7F7F" w:themeColor="text1" w:themeTint="80"/>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and rest of the world. The product is available on a named-patient basis in other territories where it has not yet obtained marketing authorization.</w:t>
      </w:r>
    </w:p>
    <w:p w14:paraId="0BACA794" w14:textId="77777777" w:rsidR="00080D0C" w:rsidRPr="00991147" w:rsidRDefault="00080D0C" w:rsidP="00991147">
      <w:pPr>
        <w:spacing w:after="120"/>
        <w:rPr>
          <w:rFonts w:asciiTheme="minorHAnsi" w:eastAsia="MS Mincho" w:hAnsiTheme="minorHAnsi" w:cstheme="minorHAnsi"/>
          <w:color w:val="7F7F7F" w:themeColor="text1" w:themeTint="80"/>
          <w:szCs w:val="22"/>
          <w:lang w:val="en-GB"/>
        </w:rPr>
      </w:pPr>
      <w:r w:rsidRPr="00991147">
        <w:rPr>
          <w:rFonts w:asciiTheme="minorHAnsi" w:eastAsia="MS Mincho" w:hAnsiTheme="minorHAnsi" w:cstheme="minorHAnsi"/>
          <w:color w:val="7F7F7F" w:themeColor="text1" w:themeTint="80"/>
          <w:szCs w:val="22"/>
          <w:lang w:val="en-GB"/>
        </w:rPr>
        <w:t xml:space="preserve">RUCONEST® is commercialized by Pharming in </w:t>
      </w:r>
      <w:r w:rsidRPr="00991147">
        <w:rPr>
          <w:rFonts w:asciiTheme="minorHAnsi" w:hAnsiTheme="minorHAnsi" w:cstheme="minorHAnsi"/>
          <w:color w:val="7F7F7F" w:themeColor="text1" w:themeTint="80"/>
          <w:szCs w:val="21"/>
          <w:lang w:val="en-GB"/>
        </w:rPr>
        <w:t>Algeria, Andorra, Austria, Bahrain, Belgium, France, Germany, Ireland, Jordan, Kuwait, Lebanon, Luxembourg, Morocco, Netherlands, Oman, Portugal, Qatar, Syria, Spain, Switzerland, Tunisia, United Arab Emirates, United Kingdom and Yemen.</w:t>
      </w:r>
      <w:r w:rsidRPr="00991147">
        <w:rPr>
          <w:rFonts w:asciiTheme="minorHAnsi" w:eastAsia="MS Mincho" w:hAnsiTheme="minorHAnsi" w:cstheme="minorHAnsi"/>
          <w:color w:val="7F7F7F" w:themeColor="text1" w:themeTint="80"/>
          <w:szCs w:val="22"/>
          <w:lang w:val="en-GB"/>
        </w:rPr>
        <w:t xml:space="preserve"> </w:t>
      </w:r>
    </w:p>
    <w:p w14:paraId="79A5801A" w14:textId="77777777" w:rsidR="00080D0C" w:rsidRPr="00991147" w:rsidRDefault="00080D0C" w:rsidP="00991147">
      <w:pPr>
        <w:spacing w:after="120"/>
        <w:rPr>
          <w:rFonts w:asciiTheme="minorHAnsi" w:eastAsia="MS Mincho" w:hAnsiTheme="minorHAnsi" w:cstheme="minorHAnsi"/>
          <w:color w:val="7F7F7F" w:themeColor="text1" w:themeTint="80"/>
          <w:szCs w:val="22"/>
          <w:lang w:val="en-GB"/>
        </w:rPr>
      </w:pPr>
      <w:r w:rsidRPr="00991147">
        <w:rPr>
          <w:rFonts w:asciiTheme="minorHAnsi" w:eastAsia="MS Mincho" w:hAnsiTheme="minorHAnsi" w:cstheme="minorHAnsi"/>
          <w:color w:val="7F7F7F" w:themeColor="text1" w:themeTint="80"/>
          <w:szCs w:val="22"/>
          <w:lang w:val="en-GB"/>
        </w:rPr>
        <w:t>RUCONEST® is distributed by Swedish Orphan Biovitrum AB (publ) (SS: SOBI) in the other EU countries, and in Azerbaijan, Belarus, Georgia, Iceland, Kazakhstan, Liechtenstein, Norway, Russia, Serbia, and Ukraine.</w:t>
      </w:r>
    </w:p>
    <w:p w14:paraId="5D304D25" w14:textId="77777777" w:rsidR="00080D0C" w:rsidRPr="00991147" w:rsidRDefault="00080D0C" w:rsidP="00991147">
      <w:pPr>
        <w:spacing w:after="120"/>
        <w:rPr>
          <w:rFonts w:asciiTheme="minorHAnsi" w:eastAsia="MS Mincho" w:hAnsiTheme="minorHAnsi" w:cstheme="minorHAnsi"/>
          <w:color w:val="7F7F7F" w:themeColor="text1" w:themeTint="80"/>
          <w:szCs w:val="21"/>
          <w:lang w:val="en-GB"/>
        </w:rPr>
      </w:pPr>
      <w:r w:rsidRPr="00991147">
        <w:rPr>
          <w:rFonts w:asciiTheme="minorHAnsi" w:eastAsia="MS Mincho" w:hAnsiTheme="minorHAnsi" w:cstheme="minorHAnsi"/>
          <w:color w:val="7F7F7F" w:themeColor="text1" w:themeTint="80"/>
          <w:szCs w:val="22"/>
          <w:lang w:val="en-GB"/>
        </w:rPr>
        <w:t xml:space="preserve">RUCONEST® is distributed </w:t>
      </w:r>
      <w:r w:rsidRPr="00991147">
        <w:rPr>
          <w:rFonts w:asciiTheme="minorHAnsi" w:eastAsia="MS Mincho" w:hAnsiTheme="minorHAnsi" w:cstheme="minorHAnsi"/>
          <w:color w:val="7F7F7F" w:themeColor="text1" w:themeTint="80"/>
          <w:szCs w:val="21"/>
          <w:lang w:val="en-GB"/>
        </w:rPr>
        <w:t>in the United States</w:t>
      </w:r>
      <w:r w:rsidRPr="00991147">
        <w:rPr>
          <w:rFonts w:asciiTheme="minorHAnsi" w:eastAsia="MS Mincho" w:hAnsiTheme="minorHAnsi" w:cstheme="minorHAnsi"/>
          <w:color w:val="7F7F7F" w:themeColor="text1" w:themeTint="80"/>
          <w:szCs w:val="22"/>
          <w:lang w:val="en-GB"/>
        </w:rPr>
        <w:t xml:space="preserve"> by a subsidiary of </w:t>
      </w:r>
      <w:r w:rsidRPr="00991147">
        <w:rPr>
          <w:rFonts w:asciiTheme="minorHAnsi" w:eastAsia="MS Mincho" w:hAnsiTheme="minorHAnsi" w:cstheme="minorHAnsi"/>
          <w:color w:val="7F7F7F" w:themeColor="text1" w:themeTint="80"/>
          <w:szCs w:val="21"/>
          <w:lang w:val="en-GB"/>
        </w:rPr>
        <w:t>Valeant Pharmaceuticals International, Inc. (NYSE: VRX/TSX: VRX), following Valeant’s acquisition of Salix Pharmaceuticals, Ltd.</w:t>
      </w:r>
    </w:p>
    <w:p w14:paraId="210C6D45" w14:textId="77777777" w:rsidR="00080D0C" w:rsidRPr="00991147" w:rsidRDefault="00080D0C" w:rsidP="00991147">
      <w:pPr>
        <w:spacing w:after="120"/>
        <w:rPr>
          <w:rFonts w:asciiTheme="minorHAnsi" w:eastAsia="MS Mincho" w:hAnsiTheme="minorHAnsi" w:cstheme="minorHAnsi"/>
          <w:color w:val="7F7F7F" w:themeColor="text1" w:themeTint="80"/>
          <w:szCs w:val="22"/>
          <w:lang w:val="en-GB"/>
        </w:rPr>
      </w:pPr>
      <w:r w:rsidRPr="00991147">
        <w:rPr>
          <w:rFonts w:asciiTheme="minorHAnsi" w:eastAsia="MS Mincho" w:hAnsiTheme="minorHAnsi" w:cstheme="minorHAnsi"/>
          <w:color w:val="7F7F7F" w:themeColor="text1" w:themeTint="80"/>
          <w:szCs w:val="22"/>
          <w:lang w:val="en-GB"/>
        </w:rPr>
        <w:t>RUCONEST® is distributed in Argentina, Colombia, Costa Rica, the Dominican Republic, Panama and Venezuela by Cytobioteck, in South Korea by HyupJin Corporation and in Israel by Megapharm.</w:t>
      </w:r>
    </w:p>
    <w:p w14:paraId="74C8A7F6" w14:textId="77777777" w:rsidR="00080D0C" w:rsidRPr="00991147" w:rsidRDefault="00080D0C" w:rsidP="00991147">
      <w:pPr>
        <w:spacing w:after="120"/>
        <w:rPr>
          <w:rFonts w:asciiTheme="minorHAnsi" w:eastAsia="MS Mincho" w:hAnsiTheme="minorHAnsi" w:cstheme="minorHAnsi"/>
          <w:color w:val="7F7F7F" w:themeColor="text1" w:themeTint="80"/>
          <w:szCs w:val="22"/>
          <w:lang w:val="en-GB"/>
        </w:rPr>
      </w:pPr>
      <w:r w:rsidRPr="00991147">
        <w:rPr>
          <w:rFonts w:asciiTheme="minorHAnsi" w:eastAsia="MS Mincho" w:hAnsiTheme="minorHAnsi" w:cstheme="minorHAnsi"/>
          <w:color w:val="7F7F7F" w:themeColor="text1" w:themeTint="80"/>
          <w:szCs w:val="22"/>
          <w:lang w:val="en-GB"/>
        </w:rPr>
        <w:t>RUCONEST® is also being investigated in a Phase II clinical trial for the treatment of HAE in young children (2-13 years of age) and evaluated for various additional follow-on indications.</w:t>
      </w:r>
    </w:p>
    <w:p w14:paraId="50E07589" w14:textId="77777777" w:rsidR="00080D0C" w:rsidRPr="00991147" w:rsidRDefault="00080D0C" w:rsidP="00991147">
      <w:pPr>
        <w:spacing w:after="120"/>
        <w:rPr>
          <w:rFonts w:asciiTheme="minorHAnsi" w:eastAsia="MS Mincho" w:hAnsiTheme="minorHAnsi" w:cstheme="minorHAnsi"/>
          <w:color w:val="7F7F7F" w:themeColor="text1" w:themeTint="80"/>
          <w:szCs w:val="22"/>
          <w:lang w:val="en-GB"/>
        </w:rPr>
      </w:pPr>
      <w:r w:rsidRPr="00991147">
        <w:rPr>
          <w:rFonts w:asciiTheme="minorHAnsi" w:eastAsia="MS Mincho" w:hAnsiTheme="minorHAnsi" w:cstheme="minorHAnsi"/>
          <w:color w:val="7F7F7F" w:themeColor="text1" w:themeTint="80"/>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Pompé and Fabry’s diseases are being optimized at present, with additional programs not involving ERT also being explored at an early stage at present. </w:t>
      </w:r>
    </w:p>
    <w:p w14:paraId="4E09FBA2" w14:textId="77777777" w:rsidR="00080D0C" w:rsidRPr="00991147" w:rsidRDefault="00080D0C" w:rsidP="00991147">
      <w:pPr>
        <w:spacing w:after="120"/>
        <w:rPr>
          <w:rFonts w:asciiTheme="minorHAnsi" w:eastAsia="MS Mincho" w:hAnsiTheme="minorHAnsi" w:cstheme="minorHAnsi"/>
          <w:color w:val="7F7F7F" w:themeColor="text1" w:themeTint="80"/>
          <w:szCs w:val="22"/>
          <w:lang w:val="en-GB"/>
        </w:rPr>
      </w:pPr>
      <w:r w:rsidRPr="00991147">
        <w:rPr>
          <w:rFonts w:asciiTheme="minorHAnsi" w:eastAsia="MS Mincho" w:hAnsiTheme="minorHAnsi" w:cstheme="minorHAnsi"/>
          <w:color w:val="7F7F7F" w:themeColor="text1" w:themeTint="80"/>
          <w:szCs w:val="22"/>
          <w:lang w:val="en-GB"/>
        </w:rPr>
        <w:t>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SIPI and are funded by SIPI. Clinical development will be shared between the partners with each partner taking the costs for their territories under the partnership.</w:t>
      </w:r>
    </w:p>
    <w:p w14:paraId="70076125" w14:textId="77777777" w:rsidR="00080D0C" w:rsidRPr="00991147" w:rsidRDefault="00080D0C" w:rsidP="00991147">
      <w:pPr>
        <w:spacing w:after="120"/>
        <w:rPr>
          <w:rFonts w:asciiTheme="minorHAnsi" w:eastAsia="MS Mincho" w:hAnsiTheme="minorHAnsi" w:cstheme="minorHAnsi"/>
          <w:color w:val="7F7F7F" w:themeColor="text1" w:themeTint="80"/>
          <w:szCs w:val="22"/>
          <w:lang w:val="en-GB"/>
        </w:rPr>
      </w:pPr>
      <w:r w:rsidRPr="00991147">
        <w:rPr>
          <w:rFonts w:asciiTheme="minorHAnsi" w:eastAsia="MS Mincho" w:hAnsiTheme="minorHAnsi" w:cstheme="minorHAnsi"/>
          <w:color w:val="7F7F7F" w:themeColor="text1" w:themeTint="80"/>
          <w:szCs w:val="22"/>
          <w:lang w:val="en-GB"/>
        </w:rPr>
        <w:t>Pharming has declared that the Netherlands is its “Home Member State” pursuant to the amended article 5:25a paragraph 2 of the Dutch Financial Supervision Act.</w:t>
      </w:r>
    </w:p>
    <w:p w14:paraId="6626CCD6" w14:textId="77777777" w:rsidR="00080D0C" w:rsidRPr="00476085" w:rsidRDefault="00080D0C" w:rsidP="00991147">
      <w:pPr>
        <w:spacing w:after="120"/>
        <w:rPr>
          <w:rFonts w:asciiTheme="minorHAnsi" w:eastAsia="MS Mincho" w:hAnsiTheme="minorHAnsi" w:cstheme="minorHAnsi"/>
          <w:color w:val="59595B"/>
          <w:szCs w:val="22"/>
          <w:lang w:val="en-GB"/>
        </w:rPr>
      </w:pPr>
      <w:r w:rsidRPr="00991147">
        <w:rPr>
          <w:rFonts w:asciiTheme="minorHAnsi" w:eastAsia="MS Mincho" w:hAnsiTheme="minorHAnsi" w:cstheme="minorHAnsi"/>
          <w:color w:val="7F7F7F" w:themeColor="text1" w:themeTint="80"/>
          <w:szCs w:val="22"/>
          <w:lang w:val="en-GB"/>
        </w:rPr>
        <w:t>Additional information is available on the Pharming website:</w:t>
      </w:r>
      <w:r w:rsidRPr="00476085">
        <w:rPr>
          <w:rFonts w:asciiTheme="minorHAnsi" w:eastAsia="MS Mincho" w:hAnsiTheme="minorHAnsi" w:cstheme="minorHAnsi"/>
          <w:color w:val="59595B"/>
          <w:szCs w:val="22"/>
          <w:lang w:val="en-GB"/>
        </w:rPr>
        <w:t xml:space="preserve"> </w:t>
      </w:r>
      <w:hyperlink r:id="rId9" w:history="1">
        <w:r w:rsidRPr="00476085">
          <w:rPr>
            <w:rFonts w:asciiTheme="minorHAnsi" w:eastAsia="MS Mincho" w:hAnsiTheme="minorHAnsi" w:cstheme="minorHAnsi"/>
            <w:b/>
            <w:color w:val="00679B"/>
            <w:szCs w:val="22"/>
            <w:u w:val="single"/>
            <w:lang w:val="en-GB"/>
          </w:rPr>
          <w:t>www.pharming.com</w:t>
        </w:r>
      </w:hyperlink>
      <w:r w:rsidRPr="00476085">
        <w:rPr>
          <w:rFonts w:asciiTheme="minorHAnsi" w:eastAsia="MS Mincho" w:hAnsiTheme="minorHAnsi" w:cstheme="minorHAnsi"/>
          <w:color w:val="00679B"/>
          <w:szCs w:val="22"/>
          <w:lang w:val="en-GB"/>
        </w:rPr>
        <w:t xml:space="preserve"> </w:t>
      </w:r>
    </w:p>
    <w:p w14:paraId="798D2C71" w14:textId="77777777" w:rsidR="00080D0C" w:rsidRPr="00476085" w:rsidRDefault="00080D0C" w:rsidP="00080D0C">
      <w:pPr>
        <w:spacing w:line="276" w:lineRule="auto"/>
        <w:jc w:val="left"/>
        <w:rPr>
          <w:rFonts w:asciiTheme="minorHAnsi" w:eastAsia="MS Mincho" w:hAnsiTheme="minorHAnsi" w:cstheme="minorHAnsi"/>
          <w:color w:val="808080"/>
          <w:szCs w:val="22"/>
          <w:lang w:val="en-GB"/>
        </w:rPr>
      </w:pPr>
    </w:p>
    <w:p w14:paraId="5C09B4B5" w14:textId="77777777" w:rsidR="0061462C" w:rsidRDefault="0061462C" w:rsidP="0061462C">
      <w:pPr>
        <w:spacing w:line="276" w:lineRule="auto"/>
        <w:jc w:val="left"/>
        <w:rPr>
          <w:rFonts w:asciiTheme="minorHAnsi" w:eastAsiaTheme="majorEastAsia" w:hAnsiTheme="minorHAnsi" w:cstheme="minorHAnsi"/>
          <w:b/>
          <w:color w:val="59595B"/>
          <w:sz w:val="24"/>
          <w:szCs w:val="28"/>
          <w:lang w:val="en-GB" w:eastAsia="zh-CN"/>
        </w:rPr>
      </w:pPr>
      <w:r w:rsidRPr="00476085">
        <w:rPr>
          <w:rFonts w:asciiTheme="minorHAnsi" w:eastAsiaTheme="majorEastAsia" w:hAnsiTheme="minorHAnsi" w:cstheme="minorHAnsi"/>
          <w:b/>
          <w:color w:val="59595B"/>
          <w:sz w:val="24"/>
          <w:szCs w:val="28"/>
          <w:lang w:val="en-GB" w:eastAsia="zh-CN"/>
        </w:rPr>
        <w:t>Forward-looking Statements</w:t>
      </w:r>
    </w:p>
    <w:p w14:paraId="7B667066" w14:textId="77777777" w:rsidR="0061462C" w:rsidRPr="00476085" w:rsidRDefault="0061462C" w:rsidP="0061462C">
      <w:pPr>
        <w:spacing w:line="276" w:lineRule="auto"/>
        <w:jc w:val="left"/>
        <w:rPr>
          <w:rFonts w:asciiTheme="minorHAnsi" w:eastAsiaTheme="majorEastAsia" w:hAnsiTheme="minorHAnsi" w:cstheme="minorHAnsi"/>
          <w:b/>
          <w:color w:val="59595B"/>
          <w:sz w:val="24"/>
          <w:szCs w:val="28"/>
          <w:lang w:val="en-GB" w:eastAsia="zh-CN"/>
        </w:rPr>
      </w:pPr>
    </w:p>
    <w:p w14:paraId="23F2E16F" w14:textId="77777777" w:rsidR="0061462C" w:rsidRPr="00016E20" w:rsidRDefault="0061462C" w:rsidP="0061462C">
      <w:pPr>
        <w:spacing w:after="120" w:line="276" w:lineRule="auto"/>
        <w:rPr>
          <w:rFonts w:asciiTheme="minorHAnsi" w:eastAsia="SimSun" w:hAnsiTheme="minorHAnsi" w:cs="Arial"/>
          <w:i/>
          <w:color w:val="59595B"/>
          <w:sz w:val="20"/>
          <w:szCs w:val="20"/>
          <w:lang w:eastAsia="zh-CN"/>
        </w:rPr>
      </w:pPr>
      <w:r w:rsidRPr="00016E20">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37BF13DA" w14:textId="77777777" w:rsidR="0061462C" w:rsidRPr="00016E20" w:rsidRDefault="0061462C" w:rsidP="0061462C">
      <w:pPr>
        <w:spacing w:after="120" w:line="276" w:lineRule="auto"/>
        <w:rPr>
          <w:rFonts w:asciiTheme="minorHAnsi" w:eastAsia="SimSun" w:hAnsiTheme="minorHAnsi" w:cs="Arial"/>
          <w:i/>
          <w:color w:val="59595B"/>
          <w:sz w:val="20"/>
          <w:szCs w:val="20"/>
          <w:lang w:eastAsia="zh-CN"/>
        </w:rPr>
      </w:pPr>
      <w:r w:rsidRPr="00016E20">
        <w:rPr>
          <w:rFonts w:asciiTheme="minorHAnsi" w:eastAsia="SimSun" w:hAnsiTheme="minorHAnsi" w:cs="Arial"/>
          <w:i/>
          <w:color w:val="59595B"/>
          <w:sz w:val="20"/>
          <w:szCs w:val="20"/>
          <w:lang w:eastAsia="zh-CN"/>
        </w:rPr>
        <w:lastRenderedPageBreak/>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38695256" w14:textId="77777777" w:rsidR="0061462C" w:rsidRDefault="0061462C" w:rsidP="0061462C">
      <w:pPr>
        <w:spacing w:after="120" w:line="276" w:lineRule="auto"/>
        <w:rPr>
          <w:rFonts w:asciiTheme="minorHAnsi" w:eastAsia="SimSun" w:hAnsiTheme="minorHAnsi" w:cs="Arial"/>
          <w:i/>
          <w:color w:val="59595B"/>
          <w:sz w:val="20"/>
          <w:szCs w:val="20"/>
          <w:lang w:eastAsia="zh-CN"/>
        </w:rPr>
      </w:pPr>
      <w:r w:rsidRPr="00016E20">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B88734D" w14:textId="77777777" w:rsidR="0061462C" w:rsidRDefault="0061462C" w:rsidP="0061462C">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cs="60vul,Italic"/>
          <w:i/>
          <w:iCs/>
          <w:sz w:val="20"/>
          <w:szCs w:val="20"/>
          <w:lang w:val="en-GB"/>
        </w:rPr>
        <w:t>The distribution of this announcement i</w:t>
      </w:r>
      <w:r>
        <w:rPr>
          <w:rFonts w:asciiTheme="majorHAnsi" w:hAnsiTheme="majorHAnsi" w:cs="60vul,Italic"/>
          <w:i/>
          <w:iCs/>
          <w:sz w:val="20"/>
          <w:szCs w:val="20"/>
          <w:lang w:val="en-GB"/>
        </w:rPr>
        <w:t xml:space="preserve">n jurisdictions other than the Netherlands </w:t>
      </w:r>
      <w:r w:rsidRPr="00016E20">
        <w:rPr>
          <w:rFonts w:asciiTheme="majorHAnsi" w:hAnsiTheme="majorHAnsi" w:cs="60vul,Italic"/>
          <w:i/>
          <w:iCs/>
          <w:sz w:val="20"/>
          <w:szCs w:val="20"/>
          <w:lang w:val="en-GB"/>
        </w:rPr>
        <w:t>may be affected by the laws of relevant jurisdictions. Therefore any persons who are subject to the laws of a</w:t>
      </w:r>
      <w:r>
        <w:rPr>
          <w:rFonts w:asciiTheme="majorHAnsi" w:hAnsiTheme="majorHAnsi" w:cs="60vul,Italic"/>
          <w:i/>
          <w:iCs/>
          <w:sz w:val="20"/>
          <w:szCs w:val="20"/>
          <w:lang w:val="en-GB"/>
        </w:rPr>
        <w:t xml:space="preserve">ny jurisdiction other than the Netherlands </w:t>
      </w:r>
      <w:r w:rsidRPr="00016E20">
        <w:rPr>
          <w:rFonts w:asciiTheme="majorHAnsi" w:hAnsiTheme="majorHAnsi" w:cs="60vul,Italic"/>
          <w:i/>
          <w:iCs/>
          <w:sz w:val="20"/>
          <w:szCs w:val="20"/>
          <w:lang w:val="en-GB"/>
        </w:rPr>
        <w:t>will need to inform themselves about, and observe any applicable requirements.</w:t>
      </w:r>
      <w:r w:rsidRPr="00016E20">
        <w:rPr>
          <w:rFonts w:asciiTheme="minorHAnsi" w:eastAsia="SimSun" w:hAnsiTheme="minorHAnsi" w:cs="Arial"/>
          <w:i/>
          <w:color w:val="59595B"/>
          <w:sz w:val="20"/>
          <w:szCs w:val="20"/>
          <w:lang w:eastAsia="zh-CN"/>
        </w:rPr>
        <w:t xml:space="preserve"> </w:t>
      </w:r>
      <w:r w:rsidRPr="00566430">
        <w:rPr>
          <w:rFonts w:asciiTheme="minorHAnsi" w:eastAsia="SimSun" w:hAnsiTheme="minorHAnsi" w:cs="Arial"/>
          <w:i/>
          <w:color w:val="59595B"/>
          <w:sz w:val="20"/>
          <w:szCs w:val="20"/>
          <w:lang w:eastAsia="zh-CN"/>
        </w:rPr>
        <w:t xml:space="preserve">Investors will need to base their investment decision on the prospectus and particularly the risk factors as described in the prospectus that </w:t>
      </w:r>
      <w:r>
        <w:rPr>
          <w:rFonts w:asciiTheme="minorHAnsi" w:eastAsia="SimSun" w:hAnsiTheme="minorHAnsi" w:cs="Arial"/>
          <w:i/>
          <w:color w:val="59595B"/>
          <w:sz w:val="20"/>
          <w:szCs w:val="20"/>
          <w:lang w:eastAsia="zh-CN"/>
        </w:rPr>
        <w:t xml:space="preserve">the Company will </w:t>
      </w:r>
      <w:r w:rsidRPr="00566430">
        <w:rPr>
          <w:rFonts w:asciiTheme="minorHAnsi" w:eastAsia="SimSun" w:hAnsiTheme="minorHAnsi" w:cs="Arial"/>
          <w:i/>
          <w:color w:val="59595B"/>
          <w:sz w:val="20"/>
          <w:szCs w:val="20"/>
          <w:lang w:eastAsia="zh-CN"/>
        </w:rPr>
        <w:t xml:space="preserve">publish </w:t>
      </w:r>
      <w:r>
        <w:rPr>
          <w:rFonts w:asciiTheme="minorHAnsi" w:eastAsia="SimSun" w:hAnsiTheme="minorHAnsi" w:cs="Arial"/>
          <w:i/>
          <w:color w:val="59595B"/>
          <w:sz w:val="20"/>
          <w:szCs w:val="20"/>
          <w:lang w:eastAsia="zh-CN"/>
        </w:rPr>
        <w:t>in connection with the rights issue.</w:t>
      </w:r>
      <w:r w:rsidRPr="009104AF">
        <w:rPr>
          <w:rFonts w:asciiTheme="minorHAnsi" w:eastAsia="SimSun" w:hAnsiTheme="minorHAnsi" w:cs="Arial"/>
          <w:i/>
          <w:color w:val="59595B"/>
          <w:sz w:val="20"/>
          <w:szCs w:val="20"/>
          <w:lang w:eastAsia="zh-CN"/>
        </w:rPr>
        <w:t xml:space="preserve"> When made generally available, copies of the prospectus may be obtained at no cost from the Company or through the website of the Company, subject to certain regulatory restrictions.</w:t>
      </w:r>
    </w:p>
    <w:p w14:paraId="7CBC2470" w14:textId="77777777" w:rsidR="0061462C" w:rsidRDefault="0061462C" w:rsidP="0061462C">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cs="60vul,Italic"/>
          <w:i/>
          <w:iCs/>
          <w:sz w:val="20"/>
          <w:szCs w:val="20"/>
          <w:lang w:val="en-GB"/>
        </w:rPr>
        <w:t>This announcement is for information purposes only and shall not constitute an offer to buy, sell, issue or subscribe for, or the solicitation of an offer to buy, sell, issue, or subscribe for, any securities in the Company or any other entity. Any such offer pursuant to the proposed rights issue will be made solely by means of a prospectus to be published in due course and any supplement or amendment thereto and any acquisition of securities in the Company should be made solely on the basis of the information contained in such prospectus.</w:t>
      </w:r>
    </w:p>
    <w:p w14:paraId="58CEEA3A" w14:textId="77777777" w:rsidR="0061462C" w:rsidRDefault="0061462C" w:rsidP="0061462C">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i/>
          <w:sz w:val="20"/>
          <w:szCs w:val="20"/>
        </w:rPr>
        <w:t>Neither this announcement nor any copy of it may be taken or transmitted, published or distributed, directly or indirectly, in whole or in part, in, into or from the United States of America (including its territories and possessions, any state of the United States of America (the “United States” or the “US”)), Australia, Canada, Japan or the Republic of South Africa or transmitted, distributed to, or sent by, any national or resident or citizen of any such countries or any other jurisdiction where to do so would constitute a violation of the relevant securities laws of such jurisdiction (each a “Restricted Jurisdiction”). Any failure to comply with this restriction may constitute a violation of United States, Australian, Canadian,  Japanese or South African securities laws.</w:t>
      </w:r>
    </w:p>
    <w:p w14:paraId="14FC918F" w14:textId="77777777" w:rsidR="0061462C" w:rsidRDefault="0061462C" w:rsidP="0061462C">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i/>
          <w:sz w:val="20"/>
          <w:szCs w:val="20"/>
        </w:rPr>
        <w:t xml:space="preserve">The securities mentioned in this announcement have not been, and will not be, registered under the US Securities Act of 1933 (as amended) (the “US Securities Act”), and may not be offered or sold in the United States except pursuant to an exemption from, or in a transaction not subject to, the registration requirements of the Securities Act.  No public offer of the shares is being made in the United States and the information contained herein does not constitute an offering of securities for sale in the United States.  </w:t>
      </w:r>
    </w:p>
    <w:p w14:paraId="3868D04D" w14:textId="77777777" w:rsidR="0061462C" w:rsidRPr="00016E20" w:rsidRDefault="0061462C" w:rsidP="0061462C">
      <w:pPr>
        <w:spacing w:after="120" w:line="276" w:lineRule="auto"/>
        <w:rPr>
          <w:rFonts w:asciiTheme="minorHAnsi" w:eastAsia="SimSun" w:hAnsiTheme="minorHAnsi" w:cs="Arial"/>
          <w:i/>
          <w:color w:val="59595B"/>
          <w:sz w:val="20"/>
          <w:szCs w:val="20"/>
          <w:lang w:eastAsia="zh-CN"/>
        </w:rPr>
      </w:pPr>
      <w:r w:rsidRPr="00016E20">
        <w:rPr>
          <w:rFonts w:asciiTheme="majorHAnsi" w:hAnsiTheme="majorHAnsi"/>
          <w:i/>
          <w:sz w:val="20"/>
          <w:szCs w:val="20"/>
        </w:rPr>
        <w:t xml:space="preserve">This announcement is directed only at persons whose ordinary activities involve them in acquiring, holding, managing and disposing of investments (as principal or agent) for the purposes of their business and who have professional experience in matters relating to investments and are: (i) if in a member state of the European Economic Area, qualified investors within the meaning of article 2(1)(e) of the Prospectus Directive (“Qualified Investors”); or (ii) if in the United Kingdom, Qualified Investors and fall within: (a) article 19(5) (investment professionals) of the Financial Services and Markets Act 2000 (Financial Promotion) Order 2005, as amended (the “Order”); or (b) article 49(2)(a) to (d) (high net worth companies, unincorporated associations, etc.) of the Order (all such persons together being referred to as “Relevant Persons”). The term “Prospectus Directive” means </w:t>
      </w:r>
      <w:r w:rsidRPr="00016E20">
        <w:rPr>
          <w:rFonts w:asciiTheme="majorHAnsi" w:hAnsiTheme="majorHAnsi"/>
          <w:i/>
          <w:sz w:val="20"/>
          <w:szCs w:val="20"/>
        </w:rPr>
        <w:lastRenderedPageBreak/>
        <w:t xml:space="preserve">Directive 2003/71/EC as amended and includes any relevant implementing measures in each member state of the European Economic Area. </w:t>
      </w:r>
    </w:p>
    <w:p w14:paraId="280BDA0A" w14:textId="77777777" w:rsidR="0061462C" w:rsidRDefault="0061462C" w:rsidP="0061462C">
      <w:pPr>
        <w:rPr>
          <w:rFonts w:ascii="Calibri Light" w:hAnsi="Calibri Light"/>
          <w:i/>
          <w:color w:val="595B5B"/>
          <w:szCs w:val="22"/>
        </w:rPr>
      </w:pPr>
    </w:p>
    <w:p w14:paraId="69B870B8" w14:textId="77777777" w:rsidR="0061462C" w:rsidRDefault="0061462C" w:rsidP="0061462C">
      <w:pPr>
        <w:spacing w:line="276" w:lineRule="auto"/>
        <w:jc w:val="left"/>
        <w:rPr>
          <w:rFonts w:ascii="Calibri Light" w:hAnsi="Calibri Light"/>
          <w:b/>
          <w:bCs/>
          <w:color w:val="595B5B"/>
        </w:rPr>
      </w:pPr>
      <w:r w:rsidRPr="00C76BCA">
        <w:rPr>
          <w:rFonts w:ascii="Calibri Light" w:hAnsi="Calibri Light"/>
          <w:b/>
          <w:bCs/>
          <w:color w:val="595B5B"/>
        </w:rPr>
        <w:t>Contacts:</w:t>
      </w:r>
    </w:p>
    <w:p w14:paraId="63C940CC" w14:textId="77777777" w:rsidR="0061462C" w:rsidRPr="00C76BCA" w:rsidRDefault="0061462C" w:rsidP="0061462C">
      <w:pPr>
        <w:spacing w:line="276" w:lineRule="auto"/>
        <w:jc w:val="left"/>
        <w:rPr>
          <w:rFonts w:ascii="Calibri Light" w:hAnsi="Calibri Light"/>
          <w:b/>
          <w:bCs/>
          <w:color w:val="595B5B"/>
        </w:rPr>
      </w:pPr>
    </w:p>
    <w:p w14:paraId="3AC7B8E9" w14:textId="77777777" w:rsidR="0061462C" w:rsidRPr="00C76BCA" w:rsidRDefault="0061462C" w:rsidP="0061462C">
      <w:pPr>
        <w:spacing w:line="276" w:lineRule="auto"/>
        <w:jc w:val="left"/>
        <w:rPr>
          <w:rFonts w:ascii="Calibri Light" w:hAnsi="Calibri Light"/>
          <w:color w:val="595B5B"/>
        </w:rPr>
      </w:pPr>
      <w:r w:rsidRPr="00C76BCA">
        <w:rPr>
          <w:rFonts w:ascii="Calibri Light" w:hAnsi="Calibri Light"/>
          <w:b/>
          <w:bCs/>
          <w:color w:val="595B5B"/>
        </w:rPr>
        <w:t>Pharming Group N.V.</w:t>
      </w:r>
    </w:p>
    <w:p w14:paraId="1B0DA494" w14:textId="77777777" w:rsidR="0061462C" w:rsidRDefault="0061462C" w:rsidP="0061462C">
      <w:pPr>
        <w:spacing w:line="276" w:lineRule="auto"/>
        <w:rPr>
          <w:rFonts w:ascii="Calibri Light" w:hAnsi="Calibri Light"/>
          <w:color w:val="595B5B"/>
          <w:lang w:val="nl-NL"/>
        </w:rPr>
      </w:pPr>
      <w:r>
        <w:rPr>
          <w:rFonts w:ascii="Calibri Light" w:hAnsi="Calibri Light"/>
          <w:color w:val="595B5B"/>
          <w:lang w:val="nl-NL"/>
        </w:rPr>
        <w:t>Sijmen de Vries, CEO,</w:t>
      </w:r>
      <w:r w:rsidRPr="00C76BCA">
        <w:rPr>
          <w:rFonts w:ascii="Calibri Light" w:hAnsi="Calibri Light"/>
          <w:color w:val="595B5B"/>
          <w:lang w:val="nl-NL"/>
        </w:rPr>
        <w:t xml:space="preserve"> T</w:t>
      </w:r>
      <w:r>
        <w:rPr>
          <w:rFonts w:ascii="Calibri Light" w:hAnsi="Calibri Light"/>
          <w:color w:val="595B5B"/>
          <w:lang w:val="nl-NL"/>
        </w:rPr>
        <w:t>el</w:t>
      </w:r>
      <w:r w:rsidRPr="00C76BCA">
        <w:rPr>
          <w:rFonts w:ascii="Calibri Light" w:hAnsi="Calibri Light"/>
          <w:color w:val="595B5B"/>
          <w:lang w:val="nl-NL"/>
        </w:rPr>
        <w:t>: +31 71 524 7400</w:t>
      </w:r>
    </w:p>
    <w:p w14:paraId="756F84C0" w14:textId="77777777" w:rsidR="0061462C" w:rsidRPr="001F3F3F" w:rsidRDefault="0061462C" w:rsidP="0061462C">
      <w:pPr>
        <w:spacing w:line="276" w:lineRule="auto"/>
        <w:rPr>
          <w:rFonts w:ascii="Calibri Light" w:hAnsi="Calibri Light"/>
          <w:color w:val="595B5B"/>
        </w:rPr>
      </w:pPr>
      <w:r w:rsidRPr="001F3F3F">
        <w:rPr>
          <w:rFonts w:ascii="Calibri Light" w:hAnsi="Calibri Light"/>
          <w:color w:val="595B5B"/>
        </w:rPr>
        <w:t>Robin Wright, CFO, Tel: +31 71 524 7400</w:t>
      </w:r>
    </w:p>
    <w:p w14:paraId="5244A26D" w14:textId="77777777" w:rsidR="0061462C" w:rsidRPr="001F3F3F" w:rsidRDefault="0061462C" w:rsidP="0061462C">
      <w:pPr>
        <w:spacing w:line="276" w:lineRule="auto"/>
        <w:rPr>
          <w:rFonts w:ascii="Calibri Light" w:hAnsi="Calibri Light"/>
          <w:color w:val="595B5B"/>
        </w:rPr>
      </w:pPr>
    </w:p>
    <w:p w14:paraId="2E17FFFF" w14:textId="77777777" w:rsidR="0061462C" w:rsidRPr="00C76BCA" w:rsidRDefault="0061462C" w:rsidP="0061462C">
      <w:pPr>
        <w:spacing w:line="276" w:lineRule="auto"/>
        <w:rPr>
          <w:rFonts w:ascii="Calibri Light" w:eastAsia="SimSun" w:hAnsi="Calibri Light" w:cs="Arial"/>
          <w:b/>
          <w:color w:val="595B5B"/>
          <w:lang w:eastAsia="zh-CN"/>
        </w:rPr>
      </w:pPr>
      <w:r w:rsidRPr="00C76BCA">
        <w:rPr>
          <w:rFonts w:ascii="Calibri Light" w:eastAsia="SimSun" w:hAnsi="Calibri Light" w:cs="Arial"/>
          <w:b/>
          <w:color w:val="595B5B"/>
          <w:lang w:eastAsia="zh-CN"/>
        </w:rPr>
        <w:t>FTI Consulting:</w:t>
      </w:r>
    </w:p>
    <w:p w14:paraId="69C4AFA7" w14:textId="77777777" w:rsidR="0061462C" w:rsidRPr="00C76BCA" w:rsidRDefault="0061462C" w:rsidP="0061462C">
      <w:pPr>
        <w:spacing w:line="276" w:lineRule="auto"/>
        <w:rPr>
          <w:rFonts w:ascii="Calibri Light" w:hAnsi="Calibri Light"/>
          <w:color w:val="595B5B"/>
        </w:rPr>
      </w:pPr>
      <w:r w:rsidRPr="00C76BCA">
        <w:rPr>
          <w:rFonts w:ascii="Calibri Light" w:eastAsia="SimSun" w:hAnsi="Calibri Light" w:cs="Arial"/>
          <w:color w:val="595B5B"/>
          <w:lang w:eastAsia="zh-CN"/>
        </w:rPr>
        <w:t>Julia Phillips/ Victoria Foster Mitchell, T</w:t>
      </w:r>
      <w:r>
        <w:rPr>
          <w:rFonts w:ascii="Calibri Light" w:eastAsia="SimSun" w:hAnsi="Calibri Light" w:cs="Arial"/>
          <w:color w:val="595B5B"/>
          <w:lang w:eastAsia="zh-CN"/>
        </w:rPr>
        <w:t>el</w:t>
      </w:r>
      <w:r w:rsidRPr="00C76BCA">
        <w:rPr>
          <w:rFonts w:ascii="Calibri Light" w:eastAsia="SimSun" w:hAnsi="Calibri Light" w:cs="Arial"/>
          <w:color w:val="595B5B"/>
          <w:lang w:eastAsia="zh-CN"/>
        </w:rPr>
        <w:t xml:space="preserve">: +44 </w:t>
      </w:r>
      <w:r w:rsidRPr="00C76BCA">
        <w:rPr>
          <w:rFonts w:ascii="Calibri Light" w:hAnsi="Calibri Light"/>
          <w:color w:val="595B5B"/>
        </w:rPr>
        <w:t>203 727 1136</w:t>
      </w:r>
    </w:p>
    <w:p w14:paraId="39938797" w14:textId="77777777" w:rsidR="0061462C" w:rsidRDefault="0061462C" w:rsidP="0061462C">
      <w:pPr>
        <w:spacing w:line="276" w:lineRule="auto"/>
        <w:jc w:val="left"/>
        <w:rPr>
          <w:rFonts w:asciiTheme="minorHAnsi" w:eastAsia="MS Mincho" w:hAnsiTheme="minorHAnsi" w:cstheme="minorHAnsi"/>
          <w:color w:val="808080"/>
          <w:szCs w:val="22"/>
          <w:lang w:val="en-GB"/>
        </w:rPr>
      </w:pPr>
    </w:p>
    <w:p w14:paraId="6BC5713D" w14:textId="77777777" w:rsidR="0061462C" w:rsidRPr="00D53B88" w:rsidRDefault="0061462C" w:rsidP="0061462C">
      <w:pPr>
        <w:spacing w:line="276" w:lineRule="auto"/>
        <w:jc w:val="left"/>
        <w:rPr>
          <w:rFonts w:asciiTheme="minorHAnsi" w:eastAsia="MS Mincho" w:hAnsiTheme="minorHAnsi" w:cstheme="minorHAnsi"/>
          <w:b/>
          <w:color w:val="595B5B"/>
          <w:szCs w:val="22"/>
          <w:lang w:val="en-GB"/>
        </w:rPr>
      </w:pPr>
      <w:r w:rsidRPr="00D53B88">
        <w:rPr>
          <w:rFonts w:asciiTheme="minorHAnsi" w:eastAsia="MS Mincho" w:hAnsiTheme="minorHAnsi" w:cstheme="minorHAnsi"/>
          <w:b/>
          <w:color w:val="595B5B"/>
          <w:szCs w:val="22"/>
          <w:lang w:val="en-GB"/>
        </w:rPr>
        <w:t>Lifespring</w:t>
      </w:r>
      <w:r>
        <w:rPr>
          <w:rFonts w:asciiTheme="minorHAnsi" w:eastAsia="MS Mincho" w:hAnsiTheme="minorHAnsi" w:cstheme="minorHAnsi"/>
          <w:b/>
          <w:color w:val="595B5B"/>
          <w:szCs w:val="22"/>
          <w:lang w:val="en-GB"/>
        </w:rPr>
        <w:t xml:space="preserve"> Life Sciences Communication</w:t>
      </w:r>
    </w:p>
    <w:p w14:paraId="109612A5" w14:textId="77777777" w:rsidR="0061462C" w:rsidRPr="00D53B88" w:rsidRDefault="0061462C" w:rsidP="0061462C">
      <w:pPr>
        <w:spacing w:line="276" w:lineRule="auto"/>
        <w:jc w:val="left"/>
        <w:rPr>
          <w:rFonts w:asciiTheme="minorHAnsi" w:eastAsia="MS Mincho" w:hAnsiTheme="minorHAnsi" w:cstheme="minorHAnsi"/>
          <w:color w:val="595B5B"/>
          <w:szCs w:val="22"/>
          <w:lang w:val="en-GB"/>
        </w:rPr>
      </w:pPr>
      <w:r w:rsidRPr="00D53B88">
        <w:rPr>
          <w:rFonts w:asciiTheme="minorHAnsi" w:eastAsia="MS Mincho" w:hAnsiTheme="minorHAnsi" w:cstheme="minorHAnsi"/>
          <w:color w:val="595B5B"/>
          <w:szCs w:val="22"/>
          <w:lang w:val="en-GB"/>
        </w:rPr>
        <w:t>Leon Melens</w:t>
      </w:r>
      <w:r>
        <w:rPr>
          <w:rFonts w:asciiTheme="minorHAnsi" w:eastAsia="MS Mincho" w:hAnsiTheme="minorHAnsi" w:cstheme="minorHAnsi"/>
          <w:color w:val="595B5B"/>
          <w:szCs w:val="22"/>
          <w:lang w:val="en-GB"/>
        </w:rPr>
        <w:t xml:space="preserve">, Tel: </w:t>
      </w:r>
      <w:r w:rsidRPr="00D53B88">
        <w:rPr>
          <w:rFonts w:ascii="Calibri Light" w:eastAsia="MS Mincho" w:hAnsi="Calibri Light" w:cstheme="minorHAnsi"/>
          <w:color w:val="595B5B"/>
          <w:szCs w:val="22"/>
          <w:lang w:val="en-GB"/>
        </w:rPr>
        <w:t>+</w:t>
      </w:r>
      <w:r>
        <w:rPr>
          <w:rFonts w:ascii="Calibri Light" w:hAnsi="Calibri Light" w:cs="Arial"/>
          <w:color w:val="595B5B"/>
          <w:szCs w:val="22"/>
        </w:rPr>
        <w:t>31 20</w:t>
      </w:r>
      <w:r w:rsidRPr="00D53B88">
        <w:rPr>
          <w:rFonts w:ascii="Calibri Light" w:hAnsi="Calibri Light" w:cs="Arial"/>
          <w:color w:val="595B5B"/>
          <w:szCs w:val="22"/>
        </w:rPr>
        <w:t xml:space="preserve"> 705 95 90</w:t>
      </w:r>
    </w:p>
    <w:p w14:paraId="6B69FD22" w14:textId="7E54020B" w:rsidR="00594B66" w:rsidRPr="00476085" w:rsidRDefault="00594B66" w:rsidP="00080D0C">
      <w:pPr>
        <w:pStyle w:val="Heading1"/>
        <w:spacing w:after="240"/>
        <w:rPr>
          <w:rFonts w:asciiTheme="minorHAnsi" w:hAnsiTheme="minorHAnsi" w:cstheme="minorHAnsi"/>
          <w:b/>
          <w:color w:val="59595B"/>
          <w:sz w:val="24"/>
          <w:szCs w:val="28"/>
          <w:lang w:val="en-GB" w:eastAsia="zh-CN"/>
        </w:rPr>
      </w:pPr>
    </w:p>
    <w:sectPr w:rsidR="00594B66" w:rsidRPr="00476085" w:rsidSect="000700EB">
      <w:headerReference w:type="default" r:id="rId10"/>
      <w:footerReference w:type="default" r:id="rId11"/>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06D0C" w14:textId="77777777" w:rsidR="00646693" w:rsidRDefault="00646693">
      <w:r>
        <w:separator/>
      </w:r>
    </w:p>
  </w:endnote>
  <w:endnote w:type="continuationSeparator" w:id="0">
    <w:p w14:paraId="3E4786E4" w14:textId="77777777" w:rsidR="00646693" w:rsidRDefault="00646693">
      <w:r>
        <w:continuationSeparator/>
      </w:r>
    </w:p>
  </w:endnote>
  <w:endnote w:type="continuationNotice" w:id="1">
    <w:p w14:paraId="25112E79" w14:textId="77777777" w:rsidR="00646693" w:rsidRDefault="00646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60vul,Italic">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1E0FA13E" w14:textId="4C0C4FF2" w:rsidR="00E01454" w:rsidRPr="008C2FCA" w:rsidRDefault="00E01454">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D31465">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4F82DC3D" w14:textId="77777777" w:rsidR="00E01454" w:rsidRDefault="00E01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36C41" w14:textId="77777777" w:rsidR="00646693" w:rsidRDefault="00646693">
      <w:r>
        <w:separator/>
      </w:r>
    </w:p>
  </w:footnote>
  <w:footnote w:type="continuationSeparator" w:id="0">
    <w:p w14:paraId="105B8F2D" w14:textId="77777777" w:rsidR="00646693" w:rsidRDefault="00646693">
      <w:r>
        <w:continuationSeparator/>
      </w:r>
    </w:p>
  </w:footnote>
  <w:footnote w:type="continuationNotice" w:id="1">
    <w:p w14:paraId="77502F1D" w14:textId="77777777" w:rsidR="00646693" w:rsidRDefault="006466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0428" w14:textId="5ED6A6BA" w:rsidR="00E01454" w:rsidRDefault="0061462C" w:rsidP="009D0DE2">
    <w:pPr>
      <w:rPr>
        <w:rStyle w:val="Strong"/>
        <w:rFonts w:ascii="Georgia" w:hAnsi="Georgia" w:cs="Arial"/>
        <w:szCs w:val="22"/>
      </w:rPr>
    </w:pPr>
    <w:r w:rsidRPr="00A9157E">
      <w:rPr>
        <w:rStyle w:val="Strong"/>
        <w:rFonts w:ascii="Georgia" w:hAnsi="Georgia" w:cs="Arial"/>
        <w:szCs w:val="22"/>
      </w:rPr>
      <w:t>THIS PRESS RELEASE AND THE INFORMATION CONTAINED HEREIN, IS RESTRICTED AND IS NOT FOR RELEASE, DISTRIBUTION OR PUBLICATION IN WHOLE OR IN PART , DIRECTLY OR INDIRECTLY, IN OR INTO THE UNITED STATES, AUSTRALIA, CANADA, JAPAN OR SOUTH AFRICA OR ANY OTHER JURISDICTION IN WHICH THE SAME WOULD BE UNLAWFUL. PLEASE SEE THE IMPORTANT NOTICE AT THE END OF THIS PRESS RELEASE.</w:t>
    </w:r>
  </w:p>
  <w:p w14:paraId="6BC70981" w14:textId="77777777" w:rsidR="0061462C" w:rsidRDefault="0061462C" w:rsidP="009D0DE2">
    <w:pPr>
      <w:rPr>
        <w:rStyle w:val="Strong"/>
        <w:rFonts w:ascii="Georgia" w:hAnsi="Georgia" w:cs="Arial"/>
        <w:szCs w:val="22"/>
      </w:rPr>
    </w:pPr>
  </w:p>
  <w:p w14:paraId="4DC49532" w14:textId="77777777" w:rsidR="0061462C" w:rsidRPr="009D0DE2" w:rsidRDefault="0061462C" w:rsidP="009D0DE2">
    <w:pPr>
      <w:rPr>
        <w:rFonts w:ascii="Georgia" w:hAnsi="Georgia" w:cs="Arial"/>
        <w:b/>
        <w:bCs/>
        <w:color w:val="747474"/>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8A3"/>
    <w:multiLevelType w:val="hybridMultilevel"/>
    <w:tmpl w:val="E910C1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7222C1"/>
    <w:multiLevelType w:val="hybridMultilevel"/>
    <w:tmpl w:val="132E17AC"/>
    <w:lvl w:ilvl="0" w:tplc="A2AC26F4">
      <w:start w:val="1"/>
      <w:numFmt w:val="lowerRoman"/>
      <w:lvlText w:val="(%1)"/>
      <w:lvlJc w:val="left"/>
      <w:pPr>
        <w:ind w:left="1080" w:hanging="360"/>
      </w:pPr>
      <w:rPr>
        <w:rFonts w:hint="default"/>
        <w:b w:val="0"/>
        <w:color w:val="59595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6DAE71F6"/>
    <w:multiLevelType w:val="hybridMultilevel"/>
    <w:tmpl w:val="08F62E22"/>
    <w:lvl w:ilvl="0" w:tplc="B1269ACC">
      <w:start w:val="1"/>
      <w:numFmt w:val="upperLetter"/>
      <w:lvlText w:val="I%1)"/>
      <w:lvlJc w:val="left"/>
      <w:pPr>
        <w:ind w:left="1080" w:hanging="360"/>
      </w:pPr>
      <w:rPr>
        <w:rFonts w:eastAsia="Times New Roman" w:hint="default"/>
        <w:b w:val="0"/>
        <w:color w:val="59595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130DD2"/>
    <w:multiLevelType w:val="hybridMultilevel"/>
    <w:tmpl w:val="A544D334"/>
    <w:lvl w:ilvl="0" w:tplc="A2AC26F4">
      <w:start w:val="1"/>
      <w:numFmt w:val="lowerRoman"/>
      <w:lvlText w:val="(%1)"/>
      <w:lvlJc w:val="left"/>
      <w:pPr>
        <w:ind w:left="1080" w:hanging="360"/>
      </w:pPr>
      <w:rPr>
        <w:rFonts w:hint="default"/>
        <w:b w:val="0"/>
        <w:color w:val="59595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6"/>
  </w:num>
  <w:num w:numId="5">
    <w:abstractNumId w:val="10"/>
  </w:num>
  <w:num w:numId="6">
    <w:abstractNumId w:val="2"/>
  </w:num>
  <w:num w:numId="7">
    <w:abstractNumId w:val="0"/>
  </w:num>
  <w:num w:numId="8">
    <w:abstractNumId w:val="1"/>
  </w:num>
  <w:num w:numId="9">
    <w:abstractNumId w:val="11"/>
  </w:num>
  <w:num w:numId="10">
    <w:abstractNumId w:val="8"/>
  </w:num>
  <w:num w:numId="11">
    <w:abstractNumId w:val="9"/>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506"/>
    <w:rsid w:val="00020BA3"/>
    <w:rsid w:val="00020C90"/>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115D"/>
    <w:rsid w:val="000513BE"/>
    <w:rsid w:val="000515E9"/>
    <w:rsid w:val="00051A48"/>
    <w:rsid w:val="00051BCB"/>
    <w:rsid w:val="00051E47"/>
    <w:rsid w:val="000526E7"/>
    <w:rsid w:val="00053A56"/>
    <w:rsid w:val="00053B25"/>
    <w:rsid w:val="00053B5B"/>
    <w:rsid w:val="00054C86"/>
    <w:rsid w:val="00055598"/>
    <w:rsid w:val="00056155"/>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5251"/>
    <w:rsid w:val="0007530B"/>
    <w:rsid w:val="00075E86"/>
    <w:rsid w:val="00076F36"/>
    <w:rsid w:val="000772D1"/>
    <w:rsid w:val="00080580"/>
    <w:rsid w:val="00080D0C"/>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30B5"/>
    <w:rsid w:val="00094AB6"/>
    <w:rsid w:val="00094C60"/>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4BF6"/>
    <w:rsid w:val="000D53B2"/>
    <w:rsid w:val="000D5917"/>
    <w:rsid w:val="000D6436"/>
    <w:rsid w:val="000D776B"/>
    <w:rsid w:val="000D7980"/>
    <w:rsid w:val="000E1375"/>
    <w:rsid w:val="000E1A1C"/>
    <w:rsid w:val="000E21D2"/>
    <w:rsid w:val="000E29F0"/>
    <w:rsid w:val="000E2D14"/>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DFA"/>
    <w:rsid w:val="00117E4A"/>
    <w:rsid w:val="00120958"/>
    <w:rsid w:val="0012141C"/>
    <w:rsid w:val="001216AD"/>
    <w:rsid w:val="00121F19"/>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32F9"/>
    <w:rsid w:val="001344B1"/>
    <w:rsid w:val="001345C2"/>
    <w:rsid w:val="00135B0C"/>
    <w:rsid w:val="00136601"/>
    <w:rsid w:val="00136F4D"/>
    <w:rsid w:val="00140194"/>
    <w:rsid w:val="0014244F"/>
    <w:rsid w:val="00142B2A"/>
    <w:rsid w:val="00144021"/>
    <w:rsid w:val="001445EE"/>
    <w:rsid w:val="00144783"/>
    <w:rsid w:val="001461AA"/>
    <w:rsid w:val="00147884"/>
    <w:rsid w:val="00147925"/>
    <w:rsid w:val="001479E7"/>
    <w:rsid w:val="00150010"/>
    <w:rsid w:val="0015042C"/>
    <w:rsid w:val="00151076"/>
    <w:rsid w:val="00151355"/>
    <w:rsid w:val="00151F2D"/>
    <w:rsid w:val="001520CE"/>
    <w:rsid w:val="00152840"/>
    <w:rsid w:val="00152978"/>
    <w:rsid w:val="001537FE"/>
    <w:rsid w:val="00153EBE"/>
    <w:rsid w:val="0015505C"/>
    <w:rsid w:val="001553DF"/>
    <w:rsid w:val="00155886"/>
    <w:rsid w:val="00155924"/>
    <w:rsid w:val="00155BB2"/>
    <w:rsid w:val="00156B94"/>
    <w:rsid w:val="00160523"/>
    <w:rsid w:val="0016097A"/>
    <w:rsid w:val="00160E88"/>
    <w:rsid w:val="00161016"/>
    <w:rsid w:val="00161537"/>
    <w:rsid w:val="001617AF"/>
    <w:rsid w:val="00161DF3"/>
    <w:rsid w:val="00162678"/>
    <w:rsid w:val="00162799"/>
    <w:rsid w:val="00164F12"/>
    <w:rsid w:val="00165069"/>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3D3D"/>
    <w:rsid w:val="00184018"/>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53E2"/>
    <w:rsid w:val="001965C7"/>
    <w:rsid w:val="00196879"/>
    <w:rsid w:val="001969A3"/>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8A9"/>
    <w:rsid w:val="001C38DB"/>
    <w:rsid w:val="001C4259"/>
    <w:rsid w:val="001C4FF0"/>
    <w:rsid w:val="001C50DD"/>
    <w:rsid w:val="001C5132"/>
    <w:rsid w:val="001C52C7"/>
    <w:rsid w:val="001C605C"/>
    <w:rsid w:val="001C6120"/>
    <w:rsid w:val="001C6266"/>
    <w:rsid w:val="001C6B99"/>
    <w:rsid w:val="001C6E5C"/>
    <w:rsid w:val="001C7A75"/>
    <w:rsid w:val="001D0468"/>
    <w:rsid w:val="001D0717"/>
    <w:rsid w:val="001D0A4F"/>
    <w:rsid w:val="001D2637"/>
    <w:rsid w:val="001D279D"/>
    <w:rsid w:val="001D2F07"/>
    <w:rsid w:val="001D30D2"/>
    <w:rsid w:val="001D4287"/>
    <w:rsid w:val="001D4754"/>
    <w:rsid w:val="001D4CE4"/>
    <w:rsid w:val="001D4F3E"/>
    <w:rsid w:val="001D518E"/>
    <w:rsid w:val="001D5953"/>
    <w:rsid w:val="001D5BBC"/>
    <w:rsid w:val="001D6A1B"/>
    <w:rsid w:val="001D7B36"/>
    <w:rsid w:val="001D7DCB"/>
    <w:rsid w:val="001E0185"/>
    <w:rsid w:val="001E0B8C"/>
    <w:rsid w:val="001E152B"/>
    <w:rsid w:val="001E1D65"/>
    <w:rsid w:val="001E2D21"/>
    <w:rsid w:val="001E2E41"/>
    <w:rsid w:val="001E2F41"/>
    <w:rsid w:val="001E327A"/>
    <w:rsid w:val="001E32D8"/>
    <w:rsid w:val="001E3B4F"/>
    <w:rsid w:val="001E3FB6"/>
    <w:rsid w:val="001E440F"/>
    <w:rsid w:val="001E4AC9"/>
    <w:rsid w:val="001E4E89"/>
    <w:rsid w:val="001E4F73"/>
    <w:rsid w:val="001E56E4"/>
    <w:rsid w:val="001E7712"/>
    <w:rsid w:val="001F0411"/>
    <w:rsid w:val="001F12E7"/>
    <w:rsid w:val="001F154C"/>
    <w:rsid w:val="001F18E5"/>
    <w:rsid w:val="001F1B78"/>
    <w:rsid w:val="001F1E19"/>
    <w:rsid w:val="001F248A"/>
    <w:rsid w:val="001F31B2"/>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440D"/>
    <w:rsid w:val="00214D70"/>
    <w:rsid w:val="002158F9"/>
    <w:rsid w:val="00215B13"/>
    <w:rsid w:val="00215B2D"/>
    <w:rsid w:val="0021648D"/>
    <w:rsid w:val="002166DF"/>
    <w:rsid w:val="00216A53"/>
    <w:rsid w:val="002205B8"/>
    <w:rsid w:val="0022152D"/>
    <w:rsid w:val="0022292A"/>
    <w:rsid w:val="00222997"/>
    <w:rsid w:val="00222AAE"/>
    <w:rsid w:val="00222AC7"/>
    <w:rsid w:val="0022360E"/>
    <w:rsid w:val="00223C89"/>
    <w:rsid w:val="00223D2C"/>
    <w:rsid w:val="002246E6"/>
    <w:rsid w:val="00224986"/>
    <w:rsid w:val="00224B96"/>
    <w:rsid w:val="00225B8C"/>
    <w:rsid w:val="002261A4"/>
    <w:rsid w:val="00226207"/>
    <w:rsid w:val="002267CF"/>
    <w:rsid w:val="00227E53"/>
    <w:rsid w:val="0023045A"/>
    <w:rsid w:val="0023093A"/>
    <w:rsid w:val="00230E17"/>
    <w:rsid w:val="00230F64"/>
    <w:rsid w:val="002310EE"/>
    <w:rsid w:val="0023116B"/>
    <w:rsid w:val="00231A16"/>
    <w:rsid w:val="002342FC"/>
    <w:rsid w:val="00234307"/>
    <w:rsid w:val="002343BB"/>
    <w:rsid w:val="00234E4C"/>
    <w:rsid w:val="00235634"/>
    <w:rsid w:val="00235BFB"/>
    <w:rsid w:val="00235C01"/>
    <w:rsid w:val="00235C4C"/>
    <w:rsid w:val="00235DF5"/>
    <w:rsid w:val="00236A44"/>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518"/>
    <w:rsid w:val="00253E5D"/>
    <w:rsid w:val="0025524C"/>
    <w:rsid w:val="00257866"/>
    <w:rsid w:val="00257CDA"/>
    <w:rsid w:val="0026030D"/>
    <w:rsid w:val="00260DBE"/>
    <w:rsid w:val="002610DB"/>
    <w:rsid w:val="00262ACF"/>
    <w:rsid w:val="00264E38"/>
    <w:rsid w:val="00264E55"/>
    <w:rsid w:val="00265302"/>
    <w:rsid w:val="00265D23"/>
    <w:rsid w:val="002660DE"/>
    <w:rsid w:val="0026644B"/>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2C7"/>
    <w:rsid w:val="002A4512"/>
    <w:rsid w:val="002A50D8"/>
    <w:rsid w:val="002A5645"/>
    <w:rsid w:val="002A58EF"/>
    <w:rsid w:val="002A5950"/>
    <w:rsid w:val="002A5DA3"/>
    <w:rsid w:val="002A6D33"/>
    <w:rsid w:val="002A707A"/>
    <w:rsid w:val="002A78ED"/>
    <w:rsid w:val="002B06ED"/>
    <w:rsid w:val="002B0F3F"/>
    <w:rsid w:val="002B11D4"/>
    <w:rsid w:val="002B1530"/>
    <w:rsid w:val="002B187A"/>
    <w:rsid w:val="002B1E73"/>
    <w:rsid w:val="002B1E80"/>
    <w:rsid w:val="002B25D2"/>
    <w:rsid w:val="002B2DBE"/>
    <w:rsid w:val="002B4F0D"/>
    <w:rsid w:val="002B7448"/>
    <w:rsid w:val="002B7C98"/>
    <w:rsid w:val="002C0FC0"/>
    <w:rsid w:val="002C1DDA"/>
    <w:rsid w:val="002C23BA"/>
    <w:rsid w:val="002C3BCE"/>
    <w:rsid w:val="002C3D70"/>
    <w:rsid w:val="002C4180"/>
    <w:rsid w:val="002C44A1"/>
    <w:rsid w:val="002C4695"/>
    <w:rsid w:val="002C5BC6"/>
    <w:rsid w:val="002C5DAB"/>
    <w:rsid w:val="002C7464"/>
    <w:rsid w:val="002C7E1C"/>
    <w:rsid w:val="002D1FF6"/>
    <w:rsid w:val="002D20E4"/>
    <w:rsid w:val="002D24C8"/>
    <w:rsid w:val="002D24F6"/>
    <w:rsid w:val="002D2994"/>
    <w:rsid w:val="002D2A58"/>
    <w:rsid w:val="002D31E9"/>
    <w:rsid w:val="002D32DE"/>
    <w:rsid w:val="002D398E"/>
    <w:rsid w:val="002D3A0A"/>
    <w:rsid w:val="002D3B32"/>
    <w:rsid w:val="002D3CA5"/>
    <w:rsid w:val="002D4CBF"/>
    <w:rsid w:val="002D532E"/>
    <w:rsid w:val="002D5779"/>
    <w:rsid w:val="002D5855"/>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3B8"/>
    <w:rsid w:val="003015A5"/>
    <w:rsid w:val="003015A6"/>
    <w:rsid w:val="00302D26"/>
    <w:rsid w:val="003032B9"/>
    <w:rsid w:val="00303F22"/>
    <w:rsid w:val="00305F4D"/>
    <w:rsid w:val="00306B60"/>
    <w:rsid w:val="00306F02"/>
    <w:rsid w:val="00307B90"/>
    <w:rsid w:val="00310789"/>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1274"/>
    <w:rsid w:val="00321289"/>
    <w:rsid w:val="00321B9B"/>
    <w:rsid w:val="00321D35"/>
    <w:rsid w:val="00322801"/>
    <w:rsid w:val="003229AD"/>
    <w:rsid w:val="00322DF3"/>
    <w:rsid w:val="00323108"/>
    <w:rsid w:val="00324ABE"/>
    <w:rsid w:val="00324E9B"/>
    <w:rsid w:val="00325F8A"/>
    <w:rsid w:val="003262C7"/>
    <w:rsid w:val="00326E9F"/>
    <w:rsid w:val="00327787"/>
    <w:rsid w:val="00327991"/>
    <w:rsid w:val="00327BCB"/>
    <w:rsid w:val="0033073C"/>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9F"/>
    <w:rsid w:val="003531EE"/>
    <w:rsid w:val="00355F4E"/>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796E"/>
    <w:rsid w:val="0039094D"/>
    <w:rsid w:val="0039172F"/>
    <w:rsid w:val="00391E5C"/>
    <w:rsid w:val="00391E73"/>
    <w:rsid w:val="0039416E"/>
    <w:rsid w:val="0039436A"/>
    <w:rsid w:val="00394499"/>
    <w:rsid w:val="00395D30"/>
    <w:rsid w:val="0039633B"/>
    <w:rsid w:val="00396B67"/>
    <w:rsid w:val="00397857"/>
    <w:rsid w:val="003A00CF"/>
    <w:rsid w:val="003A02A6"/>
    <w:rsid w:val="003A0616"/>
    <w:rsid w:val="003A1B35"/>
    <w:rsid w:val="003A1E67"/>
    <w:rsid w:val="003A2970"/>
    <w:rsid w:val="003A2A86"/>
    <w:rsid w:val="003A2C6E"/>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7418"/>
    <w:rsid w:val="003B7FFD"/>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342"/>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1EF"/>
    <w:rsid w:val="003F77F4"/>
    <w:rsid w:val="003F78DA"/>
    <w:rsid w:val="0040025A"/>
    <w:rsid w:val="00400E34"/>
    <w:rsid w:val="00400E94"/>
    <w:rsid w:val="0040276D"/>
    <w:rsid w:val="004037B9"/>
    <w:rsid w:val="004038DD"/>
    <w:rsid w:val="00403D57"/>
    <w:rsid w:val="00405110"/>
    <w:rsid w:val="0040736B"/>
    <w:rsid w:val="0040764F"/>
    <w:rsid w:val="00410799"/>
    <w:rsid w:val="00410ACC"/>
    <w:rsid w:val="00410C00"/>
    <w:rsid w:val="00410C2B"/>
    <w:rsid w:val="00411919"/>
    <w:rsid w:val="004119A4"/>
    <w:rsid w:val="00411DFA"/>
    <w:rsid w:val="00411E4D"/>
    <w:rsid w:val="00412F11"/>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BDE"/>
    <w:rsid w:val="00425F20"/>
    <w:rsid w:val="004261BF"/>
    <w:rsid w:val="00427262"/>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89E"/>
    <w:rsid w:val="00442981"/>
    <w:rsid w:val="00442E05"/>
    <w:rsid w:val="00442E08"/>
    <w:rsid w:val="004433E5"/>
    <w:rsid w:val="0044372A"/>
    <w:rsid w:val="00443E94"/>
    <w:rsid w:val="00443FF5"/>
    <w:rsid w:val="0044444E"/>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AFC"/>
    <w:rsid w:val="00483FC3"/>
    <w:rsid w:val="004861DB"/>
    <w:rsid w:val="004864C1"/>
    <w:rsid w:val="00486544"/>
    <w:rsid w:val="00487382"/>
    <w:rsid w:val="00487BE8"/>
    <w:rsid w:val="004902E4"/>
    <w:rsid w:val="0049081B"/>
    <w:rsid w:val="00491AFB"/>
    <w:rsid w:val="00491F32"/>
    <w:rsid w:val="00492AE5"/>
    <w:rsid w:val="00492F6B"/>
    <w:rsid w:val="004934C7"/>
    <w:rsid w:val="00493933"/>
    <w:rsid w:val="00493CDC"/>
    <w:rsid w:val="00493D09"/>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DB5"/>
    <w:rsid w:val="004B0F04"/>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518"/>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3BE4"/>
    <w:rsid w:val="005246CA"/>
    <w:rsid w:val="00524B9A"/>
    <w:rsid w:val="00524E0B"/>
    <w:rsid w:val="005263F5"/>
    <w:rsid w:val="00526D32"/>
    <w:rsid w:val="00527A75"/>
    <w:rsid w:val="00527AFE"/>
    <w:rsid w:val="00527C3A"/>
    <w:rsid w:val="00527DD6"/>
    <w:rsid w:val="00530041"/>
    <w:rsid w:val="005303AD"/>
    <w:rsid w:val="00530D3A"/>
    <w:rsid w:val="005312C3"/>
    <w:rsid w:val="00531D5D"/>
    <w:rsid w:val="005320A6"/>
    <w:rsid w:val="0053274B"/>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22D4"/>
    <w:rsid w:val="00542374"/>
    <w:rsid w:val="0054286D"/>
    <w:rsid w:val="00542F3F"/>
    <w:rsid w:val="00543D94"/>
    <w:rsid w:val="0054483D"/>
    <w:rsid w:val="00544F83"/>
    <w:rsid w:val="0054586F"/>
    <w:rsid w:val="00545BBB"/>
    <w:rsid w:val="00546453"/>
    <w:rsid w:val="005465A9"/>
    <w:rsid w:val="00546D2C"/>
    <w:rsid w:val="00547251"/>
    <w:rsid w:val="00547ACA"/>
    <w:rsid w:val="00547ED0"/>
    <w:rsid w:val="005502FB"/>
    <w:rsid w:val="00550503"/>
    <w:rsid w:val="00550962"/>
    <w:rsid w:val="0055097B"/>
    <w:rsid w:val="00550F62"/>
    <w:rsid w:val="00552361"/>
    <w:rsid w:val="00552509"/>
    <w:rsid w:val="0055285C"/>
    <w:rsid w:val="00552FAC"/>
    <w:rsid w:val="00553AB6"/>
    <w:rsid w:val="00553F2F"/>
    <w:rsid w:val="005540C9"/>
    <w:rsid w:val="00554B21"/>
    <w:rsid w:val="00555079"/>
    <w:rsid w:val="00555B26"/>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78"/>
    <w:rsid w:val="00581EF7"/>
    <w:rsid w:val="00582A96"/>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EF"/>
    <w:rsid w:val="00594B66"/>
    <w:rsid w:val="00594BEF"/>
    <w:rsid w:val="00595D63"/>
    <w:rsid w:val="005965F3"/>
    <w:rsid w:val="00596819"/>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B7C7F"/>
    <w:rsid w:val="005B7DC1"/>
    <w:rsid w:val="005C04B7"/>
    <w:rsid w:val="005C1C93"/>
    <w:rsid w:val="005C37F8"/>
    <w:rsid w:val="005C3AE7"/>
    <w:rsid w:val="005C3DC7"/>
    <w:rsid w:val="005C489D"/>
    <w:rsid w:val="005C54ED"/>
    <w:rsid w:val="005C58D8"/>
    <w:rsid w:val="005C5D57"/>
    <w:rsid w:val="005D0F57"/>
    <w:rsid w:val="005D0FE6"/>
    <w:rsid w:val="005D3804"/>
    <w:rsid w:val="005D3877"/>
    <w:rsid w:val="005D3C54"/>
    <w:rsid w:val="005D4FBC"/>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61A"/>
    <w:rsid w:val="005F1840"/>
    <w:rsid w:val="005F1B2B"/>
    <w:rsid w:val="005F1E9B"/>
    <w:rsid w:val="005F2404"/>
    <w:rsid w:val="005F27A2"/>
    <w:rsid w:val="005F32B9"/>
    <w:rsid w:val="005F33DE"/>
    <w:rsid w:val="005F4607"/>
    <w:rsid w:val="005F4AD6"/>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12F6"/>
    <w:rsid w:val="006114AC"/>
    <w:rsid w:val="00611923"/>
    <w:rsid w:val="0061219D"/>
    <w:rsid w:val="006131DC"/>
    <w:rsid w:val="00613209"/>
    <w:rsid w:val="00613356"/>
    <w:rsid w:val="0061351B"/>
    <w:rsid w:val="00613F55"/>
    <w:rsid w:val="00614136"/>
    <w:rsid w:val="0061426E"/>
    <w:rsid w:val="0061462C"/>
    <w:rsid w:val="00614F24"/>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64A3"/>
    <w:rsid w:val="006465B1"/>
    <w:rsid w:val="00646693"/>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58F2"/>
    <w:rsid w:val="0066628A"/>
    <w:rsid w:val="00666588"/>
    <w:rsid w:val="00666E5C"/>
    <w:rsid w:val="00666F5C"/>
    <w:rsid w:val="006674CD"/>
    <w:rsid w:val="00667B2C"/>
    <w:rsid w:val="00667BBB"/>
    <w:rsid w:val="00667F9F"/>
    <w:rsid w:val="00670B9E"/>
    <w:rsid w:val="00670FA6"/>
    <w:rsid w:val="00671ACC"/>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92034"/>
    <w:rsid w:val="0069205A"/>
    <w:rsid w:val="006922D4"/>
    <w:rsid w:val="006932E3"/>
    <w:rsid w:val="00694634"/>
    <w:rsid w:val="00695BB4"/>
    <w:rsid w:val="00695C46"/>
    <w:rsid w:val="00695DEC"/>
    <w:rsid w:val="0069691E"/>
    <w:rsid w:val="00696A11"/>
    <w:rsid w:val="0069751E"/>
    <w:rsid w:val="006977C4"/>
    <w:rsid w:val="006978B4"/>
    <w:rsid w:val="006A0148"/>
    <w:rsid w:val="006A0486"/>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67AC"/>
    <w:rsid w:val="006C7333"/>
    <w:rsid w:val="006C7BF6"/>
    <w:rsid w:val="006D029C"/>
    <w:rsid w:val="006D0520"/>
    <w:rsid w:val="006D08D6"/>
    <w:rsid w:val="006D0E50"/>
    <w:rsid w:val="006D1288"/>
    <w:rsid w:val="006D2356"/>
    <w:rsid w:val="006D28A5"/>
    <w:rsid w:val="006D3425"/>
    <w:rsid w:val="006D4343"/>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96B"/>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5DD5"/>
    <w:rsid w:val="00706CCB"/>
    <w:rsid w:val="0070758E"/>
    <w:rsid w:val="00707651"/>
    <w:rsid w:val="00707BAB"/>
    <w:rsid w:val="00710422"/>
    <w:rsid w:val="00710559"/>
    <w:rsid w:val="007116C6"/>
    <w:rsid w:val="00711817"/>
    <w:rsid w:val="00712EA1"/>
    <w:rsid w:val="00713E8A"/>
    <w:rsid w:val="00713F5C"/>
    <w:rsid w:val="00714BB4"/>
    <w:rsid w:val="00714C10"/>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B29"/>
    <w:rsid w:val="00744D40"/>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CFB"/>
    <w:rsid w:val="00755825"/>
    <w:rsid w:val="007558AB"/>
    <w:rsid w:val="00757A79"/>
    <w:rsid w:val="00760741"/>
    <w:rsid w:val="007607C1"/>
    <w:rsid w:val="00762007"/>
    <w:rsid w:val="007634AA"/>
    <w:rsid w:val="007643A3"/>
    <w:rsid w:val="00764B04"/>
    <w:rsid w:val="00765D7A"/>
    <w:rsid w:val="00766086"/>
    <w:rsid w:val="007667AB"/>
    <w:rsid w:val="00766BD4"/>
    <w:rsid w:val="00766D9A"/>
    <w:rsid w:val="00767342"/>
    <w:rsid w:val="00767362"/>
    <w:rsid w:val="00767D7E"/>
    <w:rsid w:val="00770374"/>
    <w:rsid w:val="0077050D"/>
    <w:rsid w:val="00770782"/>
    <w:rsid w:val="00770CBD"/>
    <w:rsid w:val="00772E8D"/>
    <w:rsid w:val="00773CFE"/>
    <w:rsid w:val="00774BC1"/>
    <w:rsid w:val="00774E72"/>
    <w:rsid w:val="007761C8"/>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435"/>
    <w:rsid w:val="007A661F"/>
    <w:rsid w:val="007B16C2"/>
    <w:rsid w:val="007B1D1C"/>
    <w:rsid w:val="007B22EE"/>
    <w:rsid w:val="007B26E6"/>
    <w:rsid w:val="007B376C"/>
    <w:rsid w:val="007B429C"/>
    <w:rsid w:val="007B66D2"/>
    <w:rsid w:val="007B7042"/>
    <w:rsid w:val="007B74FE"/>
    <w:rsid w:val="007B7CF9"/>
    <w:rsid w:val="007C03F5"/>
    <w:rsid w:val="007C0BDB"/>
    <w:rsid w:val="007C1A47"/>
    <w:rsid w:val="007C1CE9"/>
    <w:rsid w:val="007C3361"/>
    <w:rsid w:val="007C34F7"/>
    <w:rsid w:val="007C3AAE"/>
    <w:rsid w:val="007C4509"/>
    <w:rsid w:val="007C52E3"/>
    <w:rsid w:val="007C5A12"/>
    <w:rsid w:val="007C5D86"/>
    <w:rsid w:val="007C661D"/>
    <w:rsid w:val="007C6B09"/>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D7DF5"/>
    <w:rsid w:val="007E0EE9"/>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4191"/>
    <w:rsid w:val="008358D1"/>
    <w:rsid w:val="00835B7A"/>
    <w:rsid w:val="00835D84"/>
    <w:rsid w:val="00836C94"/>
    <w:rsid w:val="00840E30"/>
    <w:rsid w:val="00841713"/>
    <w:rsid w:val="00842C72"/>
    <w:rsid w:val="00843379"/>
    <w:rsid w:val="00843EDD"/>
    <w:rsid w:val="008440E0"/>
    <w:rsid w:val="00844C83"/>
    <w:rsid w:val="00845041"/>
    <w:rsid w:val="00845255"/>
    <w:rsid w:val="00846193"/>
    <w:rsid w:val="008466DB"/>
    <w:rsid w:val="00846870"/>
    <w:rsid w:val="00847963"/>
    <w:rsid w:val="00847D63"/>
    <w:rsid w:val="00847F09"/>
    <w:rsid w:val="00851367"/>
    <w:rsid w:val="008516BF"/>
    <w:rsid w:val="00851BAC"/>
    <w:rsid w:val="0085261F"/>
    <w:rsid w:val="00852B20"/>
    <w:rsid w:val="00852D1D"/>
    <w:rsid w:val="00853E94"/>
    <w:rsid w:val="00854D9D"/>
    <w:rsid w:val="0085553B"/>
    <w:rsid w:val="00855E6E"/>
    <w:rsid w:val="0085628F"/>
    <w:rsid w:val="008569B2"/>
    <w:rsid w:val="00856C2D"/>
    <w:rsid w:val="00856FFF"/>
    <w:rsid w:val="008573CC"/>
    <w:rsid w:val="008611DC"/>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B4E"/>
    <w:rsid w:val="008D0D37"/>
    <w:rsid w:val="008D1482"/>
    <w:rsid w:val="008D153C"/>
    <w:rsid w:val="008D1806"/>
    <w:rsid w:val="008D1B44"/>
    <w:rsid w:val="008D1BB9"/>
    <w:rsid w:val="008D2D82"/>
    <w:rsid w:val="008D4AE4"/>
    <w:rsid w:val="008D4F9F"/>
    <w:rsid w:val="008D55C0"/>
    <w:rsid w:val="008D58C7"/>
    <w:rsid w:val="008D6B89"/>
    <w:rsid w:val="008D6E33"/>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4736"/>
    <w:rsid w:val="008F5164"/>
    <w:rsid w:val="008F5702"/>
    <w:rsid w:val="008F57BA"/>
    <w:rsid w:val="008F59C8"/>
    <w:rsid w:val="008F6117"/>
    <w:rsid w:val="008F6491"/>
    <w:rsid w:val="008F6895"/>
    <w:rsid w:val="008F6F43"/>
    <w:rsid w:val="008F711A"/>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29CF"/>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D9"/>
    <w:rsid w:val="00942F76"/>
    <w:rsid w:val="00943460"/>
    <w:rsid w:val="00943535"/>
    <w:rsid w:val="00943F19"/>
    <w:rsid w:val="009445EB"/>
    <w:rsid w:val="00944909"/>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81A"/>
    <w:rsid w:val="00971CB7"/>
    <w:rsid w:val="00971DFD"/>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44F"/>
    <w:rsid w:val="009857CC"/>
    <w:rsid w:val="00986126"/>
    <w:rsid w:val="009875AD"/>
    <w:rsid w:val="00987655"/>
    <w:rsid w:val="00987A88"/>
    <w:rsid w:val="0099018B"/>
    <w:rsid w:val="00990447"/>
    <w:rsid w:val="00990E0B"/>
    <w:rsid w:val="00991147"/>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B3E"/>
    <w:rsid w:val="009B0948"/>
    <w:rsid w:val="009B1D34"/>
    <w:rsid w:val="009B2BB1"/>
    <w:rsid w:val="009B2E22"/>
    <w:rsid w:val="009B347F"/>
    <w:rsid w:val="009B39DD"/>
    <w:rsid w:val="009B4C75"/>
    <w:rsid w:val="009B4E58"/>
    <w:rsid w:val="009B5BFD"/>
    <w:rsid w:val="009B5F4C"/>
    <w:rsid w:val="009B77F0"/>
    <w:rsid w:val="009B7853"/>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0DE2"/>
    <w:rsid w:val="009D1126"/>
    <w:rsid w:val="009D1ADE"/>
    <w:rsid w:val="009D1C39"/>
    <w:rsid w:val="009D2798"/>
    <w:rsid w:val="009D2ECA"/>
    <w:rsid w:val="009D3C75"/>
    <w:rsid w:val="009D4425"/>
    <w:rsid w:val="009D4892"/>
    <w:rsid w:val="009D4B61"/>
    <w:rsid w:val="009D4BE7"/>
    <w:rsid w:val="009D64EC"/>
    <w:rsid w:val="009D73EE"/>
    <w:rsid w:val="009E0604"/>
    <w:rsid w:val="009E18AA"/>
    <w:rsid w:val="009E1B6A"/>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9F74B2"/>
    <w:rsid w:val="00A0014C"/>
    <w:rsid w:val="00A0048D"/>
    <w:rsid w:val="00A00739"/>
    <w:rsid w:val="00A00F79"/>
    <w:rsid w:val="00A0107E"/>
    <w:rsid w:val="00A01BDC"/>
    <w:rsid w:val="00A0304F"/>
    <w:rsid w:val="00A03125"/>
    <w:rsid w:val="00A0352D"/>
    <w:rsid w:val="00A03CB2"/>
    <w:rsid w:val="00A06587"/>
    <w:rsid w:val="00A066B6"/>
    <w:rsid w:val="00A072A0"/>
    <w:rsid w:val="00A0756B"/>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317"/>
    <w:rsid w:val="00A32563"/>
    <w:rsid w:val="00A32EEF"/>
    <w:rsid w:val="00A33729"/>
    <w:rsid w:val="00A34041"/>
    <w:rsid w:val="00A341D0"/>
    <w:rsid w:val="00A34F0B"/>
    <w:rsid w:val="00A36A73"/>
    <w:rsid w:val="00A414A0"/>
    <w:rsid w:val="00A41D73"/>
    <w:rsid w:val="00A4237A"/>
    <w:rsid w:val="00A4270F"/>
    <w:rsid w:val="00A429BB"/>
    <w:rsid w:val="00A42BFB"/>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C04"/>
    <w:rsid w:val="00A54D3A"/>
    <w:rsid w:val="00A5597F"/>
    <w:rsid w:val="00A55CDB"/>
    <w:rsid w:val="00A55F88"/>
    <w:rsid w:val="00A5654F"/>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21FA"/>
    <w:rsid w:val="00A72CE8"/>
    <w:rsid w:val="00A72F90"/>
    <w:rsid w:val="00A7369A"/>
    <w:rsid w:val="00A737CB"/>
    <w:rsid w:val="00A73F78"/>
    <w:rsid w:val="00A74BC8"/>
    <w:rsid w:val="00A74ED1"/>
    <w:rsid w:val="00A75A3F"/>
    <w:rsid w:val="00A76729"/>
    <w:rsid w:val="00A77615"/>
    <w:rsid w:val="00A80250"/>
    <w:rsid w:val="00A81842"/>
    <w:rsid w:val="00A81DA2"/>
    <w:rsid w:val="00A82FEF"/>
    <w:rsid w:val="00A831BF"/>
    <w:rsid w:val="00A8324F"/>
    <w:rsid w:val="00A83739"/>
    <w:rsid w:val="00A83EB8"/>
    <w:rsid w:val="00A842D5"/>
    <w:rsid w:val="00A84AF7"/>
    <w:rsid w:val="00A85376"/>
    <w:rsid w:val="00A85A46"/>
    <w:rsid w:val="00A86001"/>
    <w:rsid w:val="00A86476"/>
    <w:rsid w:val="00A86557"/>
    <w:rsid w:val="00A865D2"/>
    <w:rsid w:val="00A867D1"/>
    <w:rsid w:val="00A87681"/>
    <w:rsid w:val="00A8785D"/>
    <w:rsid w:val="00A878CE"/>
    <w:rsid w:val="00A87F01"/>
    <w:rsid w:val="00A90617"/>
    <w:rsid w:val="00A90D45"/>
    <w:rsid w:val="00A90FB3"/>
    <w:rsid w:val="00A9140A"/>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F35"/>
    <w:rsid w:val="00AC26F4"/>
    <w:rsid w:val="00AC2F80"/>
    <w:rsid w:val="00AC41BA"/>
    <w:rsid w:val="00AC4956"/>
    <w:rsid w:val="00AC51C5"/>
    <w:rsid w:val="00AC51D9"/>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2CB2"/>
    <w:rsid w:val="00B33E45"/>
    <w:rsid w:val="00B345BE"/>
    <w:rsid w:val="00B34A00"/>
    <w:rsid w:val="00B35CAB"/>
    <w:rsid w:val="00B361F5"/>
    <w:rsid w:val="00B36632"/>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D85"/>
    <w:rsid w:val="00B51619"/>
    <w:rsid w:val="00B53836"/>
    <w:rsid w:val="00B5425F"/>
    <w:rsid w:val="00B544F1"/>
    <w:rsid w:val="00B55075"/>
    <w:rsid w:val="00B55A4C"/>
    <w:rsid w:val="00B5637B"/>
    <w:rsid w:val="00B56E21"/>
    <w:rsid w:val="00B606C7"/>
    <w:rsid w:val="00B61091"/>
    <w:rsid w:val="00B6342C"/>
    <w:rsid w:val="00B63EDF"/>
    <w:rsid w:val="00B65CEE"/>
    <w:rsid w:val="00B65DC1"/>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0BB"/>
    <w:rsid w:val="00BB7BA8"/>
    <w:rsid w:val="00BC0498"/>
    <w:rsid w:val="00BC094F"/>
    <w:rsid w:val="00BC3B00"/>
    <w:rsid w:val="00BC3B09"/>
    <w:rsid w:val="00BC3E1B"/>
    <w:rsid w:val="00BC4957"/>
    <w:rsid w:val="00BC5536"/>
    <w:rsid w:val="00BC78DF"/>
    <w:rsid w:val="00BD017C"/>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222A"/>
    <w:rsid w:val="00BF2B66"/>
    <w:rsid w:val="00BF2D7C"/>
    <w:rsid w:val="00BF2E39"/>
    <w:rsid w:val="00BF3531"/>
    <w:rsid w:val="00BF3740"/>
    <w:rsid w:val="00BF4E29"/>
    <w:rsid w:val="00BF57DC"/>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915"/>
    <w:rsid w:val="00C06C31"/>
    <w:rsid w:val="00C07046"/>
    <w:rsid w:val="00C070B1"/>
    <w:rsid w:val="00C07408"/>
    <w:rsid w:val="00C07CED"/>
    <w:rsid w:val="00C10E43"/>
    <w:rsid w:val="00C117FA"/>
    <w:rsid w:val="00C1213F"/>
    <w:rsid w:val="00C121D8"/>
    <w:rsid w:val="00C124D9"/>
    <w:rsid w:val="00C139FB"/>
    <w:rsid w:val="00C14A25"/>
    <w:rsid w:val="00C14D62"/>
    <w:rsid w:val="00C1550C"/>
    <w:rsid w:val="00C15BFF"/>
    <w:rsid w:val="00C15CBC"/>
    <w:rsid w:val="00C15E0C"/>
    <w:rsid w:val="00C16638"/>
    <w:rsid w:val="00C1666E"/>
    <w:rsid w:val="00C17657"/>
    <w:rsid w:val="00C21818"/>
    <w:rsid w:val="00C21846"/>
    <w:rsid w:val="00C223DA"/>
    <w:rsid w:val="00C227E5"/>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52A7"/>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C5B"/>
    <w:rsid w:val="00C770C9"/>
    <w:rsid w:val="00C77153"/>
    <w:rsid w:val="00C77293"/>
    <w:rsid w:val="00C81350"/>
    <w:rsid w:val="00C81767"/>
    <w:rsid w:val="00C826E2"/>
    <w:rsid w:val="00C82C8D"/>
    <w:rsid w:val="00C82E5F"/>
    <w:rsid w:val="00C8339F"/>
    <w:rsid w:val="00C83445"/>
    <w:rsid w:val="00C85D14"/>
    <w:rsid w:val="00C85D9F"/>
    <w:rsid w:val="00C86201"/>
    <w:rsid w:val="00C875A9"/>
    <w:rsid w:val="00C87E0E"/>
    <w:rsid w:val="00C90299"/>
    <w:rsid w:val="00C90378"/>
    <w:rsid w:val="00C9061E"/>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6022"/>
    <w:rsid w:val="00CE6153"/>
    <w:rsid w:val="00CE6520"/>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5A1"/>
    <w:rsid w:val="00D01CE3"/>
    <w:rsid w:val="00D0266B"/>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1465"/>
    <w:rsid w:val="00D32298"/>
    <w:rsid w:val="00D322E3"/>
    <w:rsid w:val="00D329C7"/>
    <w:rsid w:val="00D32BE0"/>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B0"/>
    <w:rsid w:val="00D4231D"/>
    <w:rsid w:val="00D429BC"/>
    <w:rsid w:val="00D42C21"/>
    <w:rsid w:val="00D43CC2"/>
    <w:rsid w:val="00D44766"/>
    <w:rsid w:val="00D44F97"/>
    <w:rsid w:val="00D45756"/>
    <w:rsid w:val="00D45CEA"/>
    <w:rsid w:val="00D46A5D"/>
    <w:rsid w:val="00D47243"/>
    <w:rsid w:val="00D50089"/>
    <w:rsid w:val="00D51195"/>
    <w:rsid w:val="00D5182F"/>
    <w:rsid w:val="00D519E7"/>
    <w:rsid w:val="00D560FA"/>
    <w:rsid w:val="00D5738F"/>
    <w:rsid w:val="00D574C6"/>
    <w:rsid w:val="00D601A6"/>
    <w:rsid w:val="00D6022E"/>
    <w:rsid w:val="00D614E0"/>
    <w:rsid w:val="00D61B6E"/>
    <w:rsid w:val="00D623D5"/>
    <w:rsid w:val="00D634BA"/>
    <w:rsid w:val="00D63907"/>
    <w:rsid w:val="00D639D5"/>
    <w:rsid w:val="00D654C9"/>
    <w:rsid w:val="00D65535"/>
    <w:rsid w:val="00D65E98"/>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1444"/>
    <w:rsid w:val="00D82060"/>
    <w:rsid w:val="00D82081"/>
    <w:rsid w:val="00D822C7"/>
    <w:rsid w:val="00D826A7"/>
    <w:rsid w:val="00D82B31"/>
    <w:rsid w:val="00D82F10"/>
    <w:rsid w:val="00D831F2"/>
    <w:rsid w:val="00D83387"/>
    <w:rsid w:val="00D83E2C"/>
    <w:rsid w:val="00D85B60"/>
    <w:rsid w:val="00D8751D"/>
    <w:rsid w:val="00D90C72"/>
    <w:rsid w:val="00D91DE3"/>
    <w:rsid w:val="00D92270"/>
    <w:rsid w:val="00D925C2"/>
    <w:rsid w:val="00D93276"/>
    <w:rsid w:val="00D93B24"/>
    <w:rsid w:val="00D93B7C"/>
    <w:rsid w:val="00D946E2"/>
    <w:rsid w:val="00D959D1"/>
    <w:rsid w:val="00D965A0"/>
    <w:rsid w:val="00D965C3"/>
    <w:rsid w:val="00D977BB"/>
    <w:rsid w:val="00DA12E2"/>
    <w:rsid w:val="00DA16C1"/>
    <w:rsid w:val="00DA1E8E"/>
    <w:rsid w:val="00DA32F2"/>
    <w:rsid w:val="00DA4B28"/>
    <w:rsid w:val="00DA592B"/>
    <w:rsid w:val="00DA6277"/>
    <w:rsid w:val="00DA68B0"/>
    <w:rsid w:val="00DB0147"/>
    <w:rsid w:val="00DB0FDF"/>
    <w:rsid w:val="00DB1138"/>
    <w:rsid w:val="00DB11F3"/>
    <w:rsid w:val="00DB236E"/>
    <w:rsid w:val="00DB3D5C"/>
    <w:rsid w:val="00DB3EBA"/>
    <w:rsid w:val="00DB3F3C"/>
    <w:rsid w:val="00DB4127"/>
    <w:rsid w:val="00DB4A3B"/>
    <w:rsid w:val="00DB4BCA"/>
    <w:rsid w:val="00DB7843"/>
    <w:rsid w:val="00DB7DE0"/>
    <w:rsid w:val="00DC02C2"/>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650"/>
    <w:rsid w:val="00DE1DC8"/>
    <w:rsid w:val="00DE249D"/>
    <w:rsid w:val="00DE4EC9"/>
    <w:rsid w:val="00DE5E1B"/>
    <w:rsid w:val="00DE647E"/>
    <w:rsid w:val="00DE68D1"/>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D4F"/>
    <w:rsid w:val="00DF7499"/>
    <w:rsid w:val="00DF7951"/>
    <w:rsid w:val="00E00207"/>
    <w:rsid w:val="00E0021A"/>
    <w:rsid w:val="00E006A8"/>
    <w:rsid w:val="00E01454"/>
    <w:rsid w:val="00E018B7"/>
    <w:rsid w:val="00E029C7"/>
    <w:rsid w:val="00E02EAB"/>
    <w:rsid w:val="00E04646"/>
    <w:rsid w:val="00E04BD1"/>
    <w:rsid w:val="00E04CCA"/>
    <w:rsid w:val="00E06E05"/>
    <w:rsid w:val="00E07419"/>
    <w:rsid w:val="00E10FD9"/>
    <w:rsid w:val="00E11643"/>
    <w:rsid w:val="00E118AF"/>
    <w:rsid w:val="00E1260B"/>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4AB1"/>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1C6B"/>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6F4"/>
    <w:rsid w:val="00E57828"/>
    <w:rsid w:val="00E6056B"/>
    <w:rsid w:val="00E61120"/>
    <w:rsid w:val="00E619DB"/>
    <w:rsid w:val="00E625F8"/>
    <w:rsid w:val="00E6377C"/>
    <w:rsid w:val="00E64084"/>
    <w:rsid w:val="00E640CB"/>
    <w:rsid w:val="00E64385"/>
    <w:rsid w:val="00E64F9D"/>
    <w:rsid w:val="00E65721"/>
    <w:rsid w:val="00E66EA0"/>
    <w:rsid w:val="00E67221"/>
    <w:rsid w:val="00E700B1"/>
    <w:rsid w:val="00E701A3"/>
    <w:rsid w:val="00E7048F"/>
    <w:rsid w:val="00E70823"/>
    <w:rsid w:val="00E71DD9"/>
    <w:rsid w:val="00E721FF"/>
    <w:rsid w:val="00E72983"/>
    <w:rsid w:val="00E73EE7"/>
    <w:rsid w:val="00E74268"/>
    <w:rsid w:val="00E747AC"/>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FC2"/>
    <w:rsid w:val="00EC1234"/>
    <w:rsid w:val="00EC265D"/>
    <w:rsid w:val="00EC28B0"/>
    <w:rsid w:val="00EC2D32"/>
    <w:rsid w:val="00EC30B1"/>
    <w:rsid w:val="00EC35AF"/>
    <w:rsid w:val="00EC4257"/>
    <w:rsid w:val="00EC51E2"/>
    <w:rsid w:val="00EC5521"/>
    <w:rsid w:val="00ED0BB0"/>
    <w:rsid w:val="00ED19CC"/>
    <w:rsid w:val="00ED2394"/>
    <w:rsid w:val="00ED2727"/>
    <w:rsid w:val="00ED3731"/>
    <w:rsid w:val="00ED5367"/>
    <w:rsid w:val="00ED53D1"/>
    <w:rsid w:val="00ED7193"/>
    <w:rsid w:val="00ED768E"/>
    <w:rsid w:val="00EE0021"/>
    <w:rsid w:val="00EE0E72"/>
    <w:rsid w:val="00EE2609"/>
    <w:rsid w:val="00EE30FF"/>
    <w:rsid w:val="00EE3517"/>
    <w:rsid w:val="00EE38E2"/>
    <w:rsid w:val="00EE413C"/>
    <w:rsid w:val="00EE49FE"/>
    <w:rsid w:val="00EE5497"/>
    <w:rsid w:val="00EE6E0E"/>
    <w:rsid w:val="00EE78D2"/>
    <w:rsid w:val="00EE7E99"/>
    <w:rsid w:val="00EF0649"/>
    <w:rsid w:val="00EF525D"/>
    <w:rsid w:val="00EF52D7"/>
    <w:rsid w:val="00EF6221"/>
    <w:rsid w:val="00F00B6B"/>
    <w:rsid w:val="00F01178"/>
    <w:rsid w:val="00F02A31"/>
    <w:rsid w:val="00F02FB5"/>
    <w:rsid w:val="00F04C2E"/>
    <w:rsid w:val="00F04D14"/>
    <w:rsid w:val="00F055F2"/>
    <w:rsid w:val="00F06D29"/>
    <w:rsid w:val="00F06E47"/>
    <w:rsid w:val="00F06EA4"/>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5241"/>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39BE"/>
    <w:rsid w:val="00F846B0"/>
    <w:rsid w:val="00F856CC"/>
    <w:rsid w:val="00F87618"/>
    <w:rsid w:val="00F87B25"/>
    <w:rsid w:val="00F90F06"/>
    <w:rsid w:val="00F91286"/>
    <w:rsid w:val="00F921CE"/>
    <w:rsid w:val="00F928BA"/>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352B"/>
    <w:rsid w:val="00FB379B"/>
    <w:rsid w:val="00FB4001"/>
    <w:rsid w:val="00FB4472"/>
    <w:rsid w:val="00FB5686"/>
    <w:rsid w:val="00FB5754"/>
    <w:rsid w:val="00FB5B18"/>
    <w:rsid w:val="00FB638C"/>
    <w:rsid w:val="00FB65AB"/>
    <w:rsid w:val="00FB75E7"/>
    <w:rsid w:val="00FB7880"/>
    <w:rsid w:val="00FB7CBE"/>
    <w:rsid w:val="00FB7F2E"/>
    <w:rsid w:val="00FC3848"/>
    <w:rsid w:val="00FC3FED"/>
    <w:rsid w:val="00FC5A51"/>
    <w:rsid w:val="00FC5FDF"/>
    <w:rsid w:val="00FC634F"/>
    <w:rsid w:val="00FC7A48"/>
    <w:rsid w:val="00FC7CC8"/>
    <w:rsid w:val="00FD126E"/>
    <w:rsid w:val="00FD1B83"/>
    <w:rsid w:val="00FD1C88"/>
    <w:rsid w:val="00FD1E57"/>
    <w:rsid w:val="00FD22DA"/>
    <w:rsid w:val="00FD2EEB"/>
    <w:rsid w:val="00FD3140"/>
    <w:rsid w:val="00FD31E5"/>
    <w:rsid w:val="00FD352D"/>
    <w:rsid w:val="00FD3719"/>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36"/>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D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link w:val="Para15Char"/>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character" w:customStyle="1" w:styleId="Para15Char">
    <w:name w:val="Para .15 Char"/>
    <w:link w:val="Para15"/>
    <w:rsid w:val="00080D0C"/>
    <w:rPr>
      <w:rFonts w:ascii="Arial" w:eastAsia="Calibri" w:hAnsi="Arial"/>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link w:val="Para15Char"/>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character" w:customStyle="1" w:styleId="Para15Char">
    <w:name w:val="Para .15 Char"/>
    <w:link w:val="Para15"/>
    <w:rsid w:val="00080D0C"/>
    <w:rPr>
      <w:rFonts w:ascii="Arial" w:eastAsia="Calibri" w:hAnsi="Arial"/>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harming.com" TargetMode="External"/></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2D218-536C-4C06-A491-6CC29B6D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3442</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Consolidated Balance Sheet</vt:lpstr>
    </vt:vector>
  </TitlesOfParts>
  <Company>Pharming</Company>
  <LinksUpToDate>false</LinksUpToDate>
  <CharactersWithSpaces>23016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Citrix Admin</cp:lastModifiedBy>
  <cp:revision>2</cp:revision>
  <cp:lastPrinted>2016-10-14T15:43:00Z</cp:lastPrinted>
  <dcterms:created xsi:type="dcterms:W3CDTF">2016-11-21T05:37:00Z</dcterms:created>
  <dcterms:modified xsi:type="dcterms:W3CDTF">2016-11-21T05:37:00Z</dcterms:modified>
</cp:coreProperties>
</file>