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52268" w14:textId="7A074FE2" w:rsidR="005365CE" w:rsidRPr="00A96D90" w:rsidRDefault="005365CE" w:rsidP="005365CE">
      <w:pPr>
        <w:pStyle w:val="NormalWeb"/>
        <w:spacing w:afterLines="120" w:after="288"/>
        <w:jc w:val="center"/>
        <w:rPr>
          <w:rFonts w:asciiTheme="minorHAnsi" w:hAnsiTheme="minorHAnsi"/>
          <w:b/>
          <w:color w:val="00679B"/>
          <w:sz w:val="32"/>
          <w:szCs w:val="32"/>
          <w:lang w:val="en-GB"/>
        </w:rPr>
      </w:pPr>
      <w:bookmarkStart w:id="0" w:name="_GoBack"/>
      <w:bookmarkEnd w:id="0"/>
      <w:r w:rsidRPr="00A96D90">
        <w:rPr>
          <w:rFonts w:asciiTheme="minorHAnsi" w:hAnsiTheme="minorHAnsi"/>
          <w:b/>
          <w:color w:val="00679B"/>
          <w:sz w:val="32"/>
          <w:szCs w:val="32"/>
          <w:lang w:val="en-GB"/>
        </w:rPr>
        <w:t xml:space="preserve">Pharming Reports on Financial Results </w:t>
      </w:r>
      <w:r w:rsidRPr="00A96D90">
        <w:rPr>
          <w:rFonts w:asciiTheme="minorHAnsi" w:hAnsiTheme="minorHAnsi"/>
          <w:b/>
          <w:color w:val="00679B"/>
          <w:sz w:val="32"/>
          <w:szCs w:val="32"/>
          <w:lang w:val="en-GB"/>
        </w:rPr>
        <w:br/>
        <w:t>for the First Half of 2017</w:t>
      </w:r>
    </w:p>
    <w:p w14:paraId="3B4DE8AD" w14:textId="541F4E60" w:rsidR="001200BD" w:rsidRPr="00A96D90" w:rsidRDefault="005365CE" w:rsidP="00D30CC9">
      <w:pPr>
        <w:spacing w:line="276" w:lineRule="auto"/>
        <w:ind w:left="1276" w:right="1656"/>
        <w:jc w:val="center"/>
        <w:rPr>
          <w:rFonts w:ascii="Calibri Light" w:hAnsi="Calibri Light" w:cs="Calibri Light"/>
          <w:b/>
          <w:color w:val="00679B"/>
          <w:lang w:val="en-GB"/>
        </w:rPr>
      </w:pPr>
      <w:r w:rsidRPr="00A96D90">
        <w:rPr>
          <w:rFonts w:ascii="Calibri Light" w:hAnsi="Calibri Light" w:cs="Calibri Light"/>
          <w:b/>
          <w:color w:val="00679B"/>
          <w:lang w:val="en-GB"/>
        </w:rPr>
        <w:t xml:space="preserve">Record revenue from product sales up </w:t>
      </w:r>
      <w:r w:rsidR="005006E1" w:rsidRPr="00A96D90">
        <w:rPr>
          <w:rFonts w:ascii="Calibri Light" w:hAnsi="Calibri Light" w:cs="Calibri Light"/>
          <w:b/>
          <w:color w:val="00679B"/>
          <w:lang w:val="en-GB"/>
        </w:rPr>
        <w:t>617</w:t>
      </w:r>
      <w:r w:rsidRPr="00A96D90">
        <w:rPr>
          <w:rFonts w:ascii="Calibri Light" w:hAnsi="Calibri Light" w:cs="Calibri Light"/>
          <w:b/>
          <w:color w:val="00679B"/>
          <w:lang w:val="en-GB"/>
        </w:rPr>
        <w:t>%</w:t>
      </w:r>
      <w:r w:rsidR="00775951" w:rsidRPr="00A96D90">
        <w:rPr>
          <w:rFonts w:ascii="Calibri Light" w:hAnsi="Calibri Light" w:cs="Calibri Light"/>
          <w:b/>
          <w:color w:val="00679B"/>
          <w:lang w:val="en-GB"/>
        </w:rPr>
        <w:t xml:space="preserve"> on 2016</w:t>
      </w:r>
      <w:r w:rsidR="00D30CC9" w:rsidRPr="00A96D90">
        <w:rPr>
          <w:rFonts w:ascii="Calibri Light" w:hAnsi="Calibri Light" w:cs="Calibri Light"/>
          <w:b/>
          <w:color w:val="00679B"/>
          <w:lang w:val="en-GB"/>
        </w:rPr>
        <w:t xml:space="preserve"> marks </w:t>
      </w:r>
      <w:r w:rsidR="00775951" w:rsidRPr="00A96D90">
        <w:rPr>
          <w:rFonts w:ascii="Calibri Light" w:hAnsi="Calibri Light" w:cs="Calibri Light"/>
          <w:b/>
          <w:color w:val="00679B"/>
          <w:lang w:val="en-GB"/>
        </w:rPr>
        <w:t xml:space="preserve">Pharming’s first </w:t>
      </w:r>
      <w:r w:rsidRPr="00A96D90">
        <w:rPr>
          <w:rFonts w:ascii="Calibri Light" w:hAnsi="Calibri Light" w:cs="Calibri Light"/>
          <w:b/>
          <w:color w:val="00679B"/>
          <w:lang w:val="en-GB"/>
        </w:rPr>
        <w:t xml:space="preserve">half year </w:t>
      </w:r>
      <w:r w:rsidR="00775951" w:rsidRPr="00A96D90">
        <w:rPr>
          <w:rFonts w:ascii="Calibri Light" w:hAnsi="Calibri Light" w:cs="Calibri Light"/>
          <w:b/>
          <w:color w:val="00679B"/>
          <w:lang w:val="en-GB"/>
        </w:rPr>
        <w:t xml:space="preserve">of </w:t>
      </w:r>
      <w:r w:rsidRPr="00A96D90">
        <w:rPr>
          <w:rFonts w:ascii="Calibri Light" w:hAnsi="Calibri Light" w:cs="Calibri Light"/>
          <w:b/>
          <w:color w:val="00679B"/>
          <w:lang w:val="en-GB"/>
        </w:rPr>
        <w:t xml:space="preserve">operational profitability </w:t>
      </w:r>
    </w:p>
    <w:p w14:paraId="7008AE92" w14:textId="5A084930" w:rsidR="005365CE" w:rsidRPr="00A96D90" w:rsidRDefault="005365CE" w:rsidP="005365CE">
      <w:pPr>
        <w:spacing w:line="276" w:lineRule="auto"/>
        <w:jc w:val="center"/>
        <w:rPr>
          <w:rFonts w:ascii="Calibri Light" w:hAnsi="Calibri Light" w:cs="Calibri Light"/>
          <w:b/>
          <w:color w:val="00679B"/>
          <w:lang w:val="en-GB"/>
        </w:rPr>
      </w:pPr>
      <w:r w:rsidRPr="00A96D90">
        <w:rPr>
          <w:rFonts w:ascii="Calibri Light" w:hAnsi="Calibri Light" w:cs="Calibri Light"/>
          <w:b/>
          <w:color w:val="00679B"/>
          <w:lang w:val="en-GB"/>
        </w:rPr>
        <w:t>Invest</w:t>
      </w:r>
      <w:r w:rsidR="00D30CC9" w:rsidRPr="00A96D90">
        <w:rPr>
          <w:rFonts w:ascii="Calibri Light" w:hAnsi="Calibri Light" w:cs="Calibri Light"/>
          <w:b/>
          <w:color w:val="00679B"/>
          <w:lang w:val="en-GB"/>
        </w:rPr>
        <w:t>ment</w:t>
      </w:r>
      <w:r w:rsidRPr="00A96D90">
        <w:rPr>
          <w:rFonts w:ascii="Calibri Light" w:hAnsi="Calibri Light" w:cs="Calibri Light"/>
          <w:b/>
          <w:color w:val="00679B"/>
          <w:lang w:val="en-GB"/>
        </w:rPr>
        <w:t xml:space="preserve"> in commercial infrastructure to drive long-term sales growth</w:t>
      </w:r>
    </w:p>
    <w:p w14:paraId="181E0137" w14:textId="77777777" w:rsidR="005365CE" w:rsidRPr="00A96D90" w:rsidRDefault="005365CE" w:rsidP="005365CE">
      <w:pPr>
        <w:spacing w:before="120"/>
        <w:rPr>
          <w:rFonts w:ascii="Calibri Light" w:hAnsi="Calibri Light"/>
          <w:color w:val="59595B"/>
          <w:lang w:val="en-GB"/>
        </w:rPr>
      </w:pPr>
      <w:r w:rsidRPr="00A96D90">
        <w:rPr>
          <w:rStyle w:val="Emphasis"/>
          <w:rFonts w:ascii="Calibri Light" w:hAnsi="Calibri Light"/>
          <w:bCs w:val="0"/>
          <w:i/>
          <w:color w:val="00679B"/>
          <w:szCs w:val="22"/>
          <w:shd w:val="clear" w:color="auto" w:fill="FFFFFF"/>
          <w:lang w:val="en-GB"/>
        </w:rPr>
        <w:t>Leiden, The Netherlands</w:t>
      </w:r>
      <w:r w:rsidRPr="00A96D90">
        <w:rPr>
          <w:rStyle w:val="Emphasis"/>
          <w:rFonts w:ascii="Calibri Light" w:hAnsi="Calibri Light"/>
          <w:bCs w:val="0"/>
          <w:color w:val="00679B"/>
          <w:szCs w:val="22"/>
          <w:shd w:val="clear" w:color="auto" w:fill="FFFFFF"/>
          <w:lang w:val="en-GB"/>
        </w:rPr>
        <w:t>, 27 July 2017:</w:t>
      </w:r>
      <w:r w:rsidRPr="00A96D90">
        <w:rPr>
          <w:rStyle w:val="apple-converted-space"/>
          <w:rFonts w:ascii="Calibri Light" w:hAnsi="Calibri Light"/>
          <w:color w:val="00679B"/>
          <w:szCs w:val="22"/>
          <w:shd w:val="clear" w:color="auto" w:fill="FFFFFF"/>
          <w:lang w:val="en-GB"/>
        </w:rPr>
        <w:t xml:space="preserve"> </w:t>
      </w:r>
      <w:r w:rsidRPr="00A96D90">
        <w:rPr>
          <w:rFonts w:ascii="Calibri Light" w:hAnsi="Calibri Light"/>
          <w:color w:val="59595B"/>
          <w:lang w:val="en-GB"/>
        </w:rPr>
        <w:t>Pharming Group N.V. (“Pharming” or “the Company”) (Euronext Amsterdam: PHARM) presents its (unaudited) financial report for the six months ended 30 June 2017.</w:t>
      </w:r>
    </w:p>
    <w:p w14:paraId="52215D4B" w14:textId="7E9AFC25" w:rsidR="005365CE" w:rsidRPr="00A96D90" w:rsidRDefault="005365CE" w:rsidP="005365CE">
      <w:pPr>
        <w:spacing w:before="120"/>
        <w:rPr>
          <w:rFonts w:ascii="Calibri Light" w:hAnsi="Calibri Light"/>
          <w:color w:val="59595B"/>
          <w:lang w:val="en-GB"/>
        </w:rPr>
      </w:pPr>
      <w:r w:rsidRPr="00A96D90">
        <w:rPr>
          <w:rFonts w:ascii="Calibri Light" w:hAnsi="Calibri Light"/>
          <w:color w:val="59595B"/>
          <w:lang w:val="en-GB"/>
        </w:rPr>
        <w:t>The Company will hold a conference call at 13:00 CEDT/ 07:00 EDT today</w:t>
      </w:r>
      <w:r w:rsidR="00775951" w:rsidRPr="00A96D90">
        <w:rPr>
          <w:rFonts w:ascii="Calibri Light" w:hAnsi="Calibri Light"/>
          <w:color w:val="59595B"/>
          <w:lang w:val="en-GB"/>
        </w:rPr>
        <w:t>:</w:t>
      </w:r>
      <w:r w:rsidRPr="00A96D90">
        <w:rPr>
          <w:rFonts w:ascii="Calibri Light" w:hAnsi="Calibri Light"/>
          <w:color w:val="59595B"/>
          <w:lang w:val="en-GB"/>
        </w:rPr>
        <w:t xml:space="preserve"> dial-in details can be found on page 7</w:t>
      </w:r>
      <w:r w:rsidR="00D30CC9" w:rsidRPr="00A96D90">
        <w:rPr>
          <w:rFonts w:ascii="Calibri Light" w:hAnsi="Calibri Light"/>
          <w:color w:val="59595B"/>
          <w:lang w:val="en-GB"/>
        </w:rPr>
        <w:t>.</w:t>
      </w:r>
      <w:r w:rsidRPr="00A96D90">
        <w:rPr>
          <w:rFonts w:ascii="Calibri Light" w:hAnsi="Calibri Light"/>
          <w:color w:val="59595B"/>
          <w:lang w:val="en-GB"/>
        </w:rPr>
        <w:t xml:space="preserve"> </w:t>
      </w:r>
    </w:p>
    <w:p w14:paraId="6504D691" w14:textId="38587F22" w:rsidR="005365CE" w:rsidRPr="00A96D90" w:rsidRDefault="00552A0D" w:rsidP="005365CE">
      <w:pPr>
        <w:pStyle w:val="Heading1"/>
        <w:rPr>
          <w:rFonts w:ascii="Calibri Light" w:hAnsi="Calibri Light"/>
          <w:b/>
          <w:color w:val="00679B"/>
          <w:sz w:val="24"/>
          <w:szCs w:val="28"/>
          <w:lang w:val="en-GB" w:eastAsia="zh-CN"/>
        </w:rPr>
      </w:pPr>
      <w:r w:rsidRPr="00A96D90">
        <w:rPr>
          <w:rFonts w:ascii="Calibri Light" w:hAnsi="Calibri Light"/>
          <w:b/>
          <w:color w:val="00679B"/>
          <w:sz w:val="24"/>
          <w:szCs w:val="28"/>
          <w:lang w:val="en-GB" w:eastAsia="zh-CN"/>
        </w:rPr>
        <w:t>Operational Highlights</w:t>
      </w:r>
    </w:p>
    <w:p w14:paraId="36120DA0" w14:textId="77777777" w:rsidR="001B0F98" w:rsidRPr="00A96D90" w:rsidRDefault="001B0F98" w:rsidP="001B0F98">
      <w:pPr>
        <w:rPr>
          <w:lang w:val="en-GB" w:eastAsia="zh-CN"/>
        </w:rPr>
      </w:pPr>
    </w:p>
    <w:p w14:paraId="05A86E18" w14:textId="77777777" w:rsidR="005365CE" w:rsidRPr="00A96D90" w:rsidRDefault="005365CE" w:rsidP="00552A0D">
      <w:pPr>
        <w:pStyle w:val="ListParagraph"/>
        <w:numPr>
          <w:ilvl w:val="0"/>
          <w:numId w:val="7"/>
        </w:numPr>
        <w:spacing w:line="276" w:lineRule="auto"/>
        <w:contextualSpacing w:val="0"/>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Accelerated the delivery of operating profitability as a result of strategic decision to reacquire commercial rights to RUCONEST® in North America </w:t>
      </w:r>
    </w:p>
    <w:p w14:paraId="29943409" w14:textId="77777777" w:rsidR="005365CE" w:rsidRPr="00A96D90" w:rsidRDefault="005365CE" w:rsidP="00552A0D">
      <w:pPr>
        <w:pStyle w:val="ListParagraph"/>
        <w:numPr>
          <w:ilvl w:val="0"/>
          <w:numId w:val="7"/>
        </w:numPr>
        <w:rPr>
          <w:rFonts w:ascii="Calibri Light" w:eastAsia="Calibri" w:hAnsi="Calibri Light"/>
          <w:color w:val="59595B"/>
          <w:szCs w:val="22"/>
          <w:lang w:val="en-GB"/>
        </w:rPr>
      </w:pPr>
      <w:r w:rsidRPr="00A96D90">
        <w:rPr>
          <w:rFonts w:ascii="Calibri Light" w:eastAsia="Calibri" w:hAnsi="Calibri Light"/>
          <w:color w:val="59595B"/>
          <w:szCs w:val="22"/>
          <w:lang w:val="en-GB"/>
        </w:rPr>
        <w:t>Positive EMA amendment to the marketing authorization in Europe to allow self-administration of RUCONEST® for HAE attacks with a new custom-designed RUCONEST® Administration Kit</w:t>
      </w:r>
    </w:p>
    <w:p w14:paraId="5C3C631C" w14:textId="77777777" w:rsidR="00C058F1" w:rsidRPr="00A96D90" w:rsidRDefault="00946A04" w:rsidP="00C058F1">
      <w:pPr>
        <w:pStyle w:val="ListParagraph"/>
        <w:numPr>
          <w:ilvl w:val="0"/>
          <w:numId w:val="7"/>
        </w:numPr>
        <w:spacing w:line="276" w:lineRule="auto"/>
        <w:contextualSpacing w:val="0"/>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Integration of the Ruconest North America business acquired from Valeant Pharmaceuticals International, inc. in December 2016 into Pharming is on track, with full transition of services from Valeant completed </w:t>
      </w:r>
    </w:p>
    <w:p w14:paraId="636D42CB" w14:textId="5B656765" w:rsidR="005365CE" w:rsidRPr="00A96D90" w:rsidRDefault="005365CE" w:rsidP="00552A0D">
      <w:pPr>
        <w:pStyle w:val="ListParagraph"/>
        <w:numPr>
          <w:ilvl w:val="0"/>
          <w:numId w:val="7"/>
        </w:numPr>
        <w:rPr>
          <w:rFonts w:ascii="Calibri Light" w:eastAsia="Calibri" w:hAnsi="Calibri Light"/>
          <w:color w:val="59595B"/>
          <w:szCs w:val="22"/>
          <w:lang w:val="en-GB"/>
        </w:rPr>
      </w:pPr>
      <w:r w:rsidRPr="00A96D90">
        <w:rPr>
          <w:rFonts w:ascii="Calibri Light" w:eastAsia="Calibri" w:hAnsi="Calibri Light"/>
          <w:color w:val="59595B"/>
          <w:szCs w:val="22"/>
          <w:lang w:val="en-GB"/>
        </w:rPr>
        <w:t>Completed investment in expanding US commercialization team</w:t>
      </w:r>
    </w:p>
    <w:p w14:paraId="71A86040" w14:textId="6BAF992B" w:rsidR="005365CE" w:rsidRPr="00A96D90" w:rsidRDefault="005365CE" w:rsidP="00552A0D">
      <w:pPr>
        <w:pStyle w:val="ListParagraph"/>
        <w:numPr>
          <w:ilvl w:val="0"/>
          <w:numId w:val="7"/>
        </w:numPr>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Successfully refinanced </w:t>
      </w:r>
      <w:r w:rsidR="00E25BDF" w:rsidRPr="00A96D90">
        <w:rPr>
          <w:rFonts w:ascii="Calibri Light" w:eastAsia="Calibri" w:hAnsi="Calibri Light"/>
          <w:color w:val="59595B"/>
          <w:szCs w:val="22"/>
          <w:lang w:val="en-GB"/>
        </w:rPr>
        <w:t>c</w:t>
      </w:r>
      <w:r w:rsidRPr="00A96D90">
        <w:rPr>
          <w:rFonts w:ascii="Calibri Light" w:eastAsia="Calibri" w:hAnsi="Calibri Light"/>
          <w:color w:val="59595B"/>
          <w:szCs w:val="22"/>
          <w:lang w:val="en-GB"/>
        </w:rPr>
        <w:t xml:space="preserve">ompany debt on more </w:t>
      </w:r>
      <w:r w:rsidR="00A96D90" w:rsidRPr="00A96D90">
        <w:rPr>
          <w:rFonts w:ascii="Calibri Light" w:eastAsia="Calibri" w:hAnsi="Calibri Light"/>
          <w:color w:val="59595B"/>
          <w:szCs w:val="22"/>
          <w:lang w:val="en-GB"/>
        </w:rPr>
        <w:t>favourable</w:t>
      </w:r>
      <w:r w:rsidRPr="00A96D90">
        <w:rPr>
          <w:rFonts w:ascii="Calibri Light" w:eastAsia="Calibri" w:hAnsi="Calibri Light"/>
          <w:color w:val="59595B"/>
          <w:szCs w:val="22"/>
          <w:lang w:val="en-GB"/>
        </w:rPr>
        <w:t xml:space="preserve"> commercial terms </w:t>
      </w:r>
      <w:r w:rsidR="00775951" w:rsidRPr="00A96D90">
        <w:rPr>
          <w:rFonts w:ascii="Calibri Light" w:eastAsia="Calibri" w:hAnsi="Calibri Light"/>
          <w:color w:val="59595B"/>
          <w:szCs w:val="22"/>
          <w:lang w:val="en-GB"/>
        </w:rPr>
        <w:t>in order to recover dilutive share capital and release</w:t>
      </w:r>
      <w:r w:rsidRPr="00A96D90">
        <w:rPr>
          <w:rFonts w:ascii="Calibri Light" w:eastAsia="Calibri" w:hAnsi="Calibri Light"/>
          <w:color w:val="59595B"/>
          <w:szCs w:val="22"/>
          <w:lang w:val="en-GB"/>
        </w:rPr>
        <w:t xml:space="preserve"> short and medium term cash to</w:t>
      </w:r>
      <w:r w:rsidR="00775951" w:rsidRPr="00A96D90">
        <w:rPr>
          <w:rFonts w:ascii="Calibri Light" w:eastAsia="Calibri" w:hAnsi="Calibri Light"/>
          <w:color w:val="59595B"/>
          <w:szCs w:val="22"/>
          <w:lang w:val="en-GB"/>
        </w:rPr>
        <w:t xml:space="preserve"> </w:t>
      </w:r>
      <w:r w:rsidRPr="00A96D90">
        <w:rPr>
          <w:rFonts w:ascii="Calibri Light" w:eastAsia="Calibri" w:hAnsi="Calibri Light"/>
          <w:color w:val="59595B"/>
          <w:szCs w:val="22"/>
          <w:lang w:val="en-GB"/>
        </w:rPr>
        <w:t>invest in accelerating commercialization</w:t>
      </w:r>
      <w:r w:rsidR="0040539E">
        <w:rPr>
          <w:rFonts w:ascii="Calibri Light" w:eastAsia="Calibri" w:hAnsi="Calibri Light"/>
          <w:color w:val="59595B"/>
          <w:szCs w:val="22"/>
          <w:lang w:val="en-GB"/>
        </w:rPr>
        <w:t xml:space="preserve"> </w:t>
      </w:r>
    </w:p>
    <w:p w14:paraId="638176C7" w14:textId="189D0A16" w:rsidR="005365CE" w:rsidRPr="00A96D90" w:rsidRDefault="00552A0D" w:rsidP="005365CE">
      <w:pPr>
        <w:pStyle w:val="Heading1"/>
        <w:rPr>
          <w:rFonts w:ascii="Calibri Light" w:hAnsi="Calibri Light"/>
          <w:b/>
          <w:sz w:val="24"/>
          <w:szCs w:val="28"/>
          <w:lang w:val="en-GB" w:eastAsia="zh-CN"/>
        </w:rPr>
      </w:pPr>
      <w:r w:rsidRPr="00A96D90">
        <w:rPr>
          <w:rFonts w:ascii="Calibri Light" w:hAnsi="Calibri Light"/>
          <w:b/>
          <w:sz w:val="24"/>
          <w:szCs w:val="28"/>
          <w:lang w:val="en-GB" w:eastAsia="zh-CN"/>
        </w:rPr>
        <w:t>Financial Highlights</w:t>
      </w:r>
    </w:p>
    <w:p w14:paraId="5B98B58C" w14:textId="77777777" w:rsidR="001B0F98" w:rsidRPr="00A96D90" w:rsidRDefault="001B0F98" w:rsidP="001B0F98">
      <w:pPr>
        <w:rPr>
          <w:lang w:val="en-GB" w:eastAsia="zh-CN"/>
        </w:rPr>
      </w:pPr>
    </w:p>
    <w:p w14:paraId="78B69020" w14:textId="08E10B09" w:rsidR="005365CE" w:rsidRPr="00A96D90" w:rsidRDefault="005365CE" w:rsidP="00552A0D">
      <w:pPr>
        <w:pStyle w:val="ListParagraph"/>
        <w:numPr>
          <w:ilvl w:val="0"/>
          <w:numId w:val="8"/>
        </w:numPr>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Revenues from product sales for the half year increased by </w:t>
      </w:r>
      <w:r w:rsidR="00C05185" w:rsidRPr="00A96D90">
        <w:rPr>
          <w:rFonts w:ascii="Calibri Light" w:eastAsia="Calibri" w:hAnsi="Calibri Light"/>
          <w:color w:val="59595B"/>
          <w:szCs w:val="22"/>
          <w:lang w:val="en-GB"/>
        </w:rPr>
        <w:t>617</w:t>
      </w:r>
      <w:r w:rsidRPr="00A96D90">
        <w:rPr>
          <w:rFonts w:ascii="Calibri Light" w:eastAsia="Calibri" w:hAnsi="Calibri Light"/>
          <w:color w:val="59595B"/>
          <w:szCs w:val="22"/>
          <w:lang w:val="en-GB"/>
        </w:rPr>
        <w:t xml:space="preserve">% to €30.1 million (HY 2016: €4.2 million), </w:t>
      </w:r>
      <w:r w:rsidRPr="00A96D90">
        <w:rPr>
          <w:rFonts w:ascii="Calibri Light" w:hAnsi="Calibri Light" w:cs="Calibri Light"/>
          <w:color w:val="59595B"/>
          <w:lang w:val="en-GB"/>
        </w:rPr>
        <w:t xml:space="preserve">as a result of the combined effect of receiving all of the revenue from US product sales </w:t>
      </w:r>
      <w:r w:rsidR="00775951" w:rsidRPr="00A96D90">
        <w:rPr>
          <w:rFonts w:ascii="Calibri Light" w:hAnsi="Calibri Light" w:cs="Calibri Light"/>
          <w:color w:val="59595B"/>
          <w:lang w:val="en-GB"/>
        </w:rPr>
        <w:t>(</w:t>
      </w:r>
      <w:r w:rsidRPr="00A96D90">
        <w:rPr>
          <w:rFonts w:ascii="Calibri Light" w:hAnsi="Calibri Light" w:cs="Calibri Light"/>
          <w:color w:val="59595B"/>
          <w:lang w:val="en-GB"/>
        </w:rPr>
        <w:t>instead of the previous 30% supply share of net sales</w:t>
      </w:r>
      <w:r w:rsidR="00775951" w:rsidRPr="00A96D90">
        <w:rPr>
          <w:rFonts w:ascii="Calibri Light" w:hAnsi="Calibri Light" w:cs="Calibri Light"/>
          <w:color w:val="59595B"/>
          <w:lang w:val="en-GB"/>
        </w:rPr>
        <w:t xml:space="preserve">) and increasing patient numbers and </w:t>
      </w:r>
      <w:r w:rsidR="00E25BDF" w:rsidRPr="00A96D90">
        <w:rPr>
          <w:rFonts w:ascii="Calibri Light" w:hAnsi="Calibri Light" w:cs="Calibri Light"/>
          <w:color w:val="59595B"/>
          <w:lang w:val="en-GB"/>
        </w:rPr>
        <w:t>product</w:t>
      </w:r>
      <w:r w:rsidR="00775951" w:rsidRPr="00A96D90">
        <w:rPr>
          <w:rFonts w:ascii="Calibri Light" w:hAnsi="Calibri Light" w:cs="Calibri Light"/>
          <w:color w:val="59595B"/>
          <w:lang w:val="en-GB"/>
        </w:rPr>
        <w:t xml:space="preserve"> sales</w:t>
      </w:r>
    </w:p>
    <w:p w14:paraId="0EC401AE" w14:textId="6787361D" w:rsidR="005365CE" w:rsidRPr="00A96D90" w:rsidRDefault="005365CE" w:rsidP="00552A0D">
      <w:pPr>
        <w:pStyle w:val="ListParagraph"/>
        <w:numPr>
          <w:ilvl w:val="0"/>
          <w:numId w:val="8"/>
        </w:numPr>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Total revenues increased by </w:t>
      </w:r>
      <w:r w:rsidR="00C05185" w:rsidRPr="00A96D90">
        <w:rPr>
          <w:rFonts w:ascii="Calibri Light" w:eastAsia="Calibri" w:hAnsi="Calibri Light"/>
          <w:color w:val="59595B"/>
          <w:szCs w:val="22"/>
          <w:lang w:val="en-GB"/>
        </w:rPr>
        <w:t>477</w:t>
      </w:r>
      <w:r w:rsidRPr="00A96D90">
        <w:rPr>
          <w:rFonts w:ascii="Calibri Light" w:eastAsia="Calibri" w:hAnsi="Calibri Light"/>
          <w:color w:val="59595B"/>
          <w:szCs w:val="22"/>
          <w:lang w:val="en-GB"/>
        </w:rPr>
        <w:t xml:space="preserve">% to €30.6 million (including €0.5 million of license revenue) from €5.3 million (including €1.1 million in license revenue) </w:t>
      </w:r>
      <w:r w:rsidR="00775951" w:rsidRPr="00A96D90">
        <w:rPr>
          <w:rFonts w:ascii="Calibri Light" w:eastAsia="Calibri" w:hAnsi="Calibri Light"/>
          <w:color w:val="59595B"/>
          <w:szCs w:val="22"/>
          <w:lang w:val="en-GB"/>
        </w:rPr>
        <w:t>in HY 2016</w:t>
      </w:r>
    </w:p>
    <w:p w14:paraId="108132FA" w14:textId="77777777" w:rsidR="005365CE" w:rsidRPr="00A96D90" w:rsidRDefault="005365CE" w:rsidP="00552A0D">
      <w:pPr>
        <w:pStyle w:val="ListParagraph"/>
        <w:numPr>
          <w:ilvl w:val="0"/>
          <w:numId w:val="8"/>
        </w:numPr>
        <w:rPr>
          <w:rFonts w:ascii="Calibri Light" w:eastAsia="Calibri" w:hAnsi="Calibri Light"/>
          <w:color w:val="59595B"/>
          <w:szCs w:val="22"/>
          <w:lang w:val="en-GB"/>
        </w:rPr>
      </w:pPr>
      <w:r w:rsidRPr="00A96D90">
        <w:rPr>
          <w:rFonts w:ascii="Calibri Light" w:eastAsia="Calibri" w:hAnsi="Calibri Light"/>
          <w:color w:val="59595B"/>
          <w:szCs w:val="22"/>
          <w:lang w:val="en-GB"/>
        </w:rPr>
        <w:t>Operating results improved to a profit of €4.2 million from a loss of €6.2 million in HY 2016, despite a considerable increase in commercialization activities, especially in the US</w:t>
      </w:r>
    </w:p>
    <w:p w14:paraId="478D4E3A" w14:textId="3602AA7E" w:rsidR="005365CE" w:rsidRPr="00A96D90" w:rsidRDefault="005365CE" w:rsidP="00552A0D">
      <w:pPr>
        <w:pStyle w:val="ListParagraph"/>
        <w:numPr>
          <w:ilvl w:val="0"/>
          <w:numId w:val="8"/>
        </w:numPr>
        <w:rPr>
          <w:rFonts w:ascii="Calibri Light" w:eastAsia="Calibri" w:hAnsi="Calibri Light"/>
          <w:color w:val="59595B"/>
          <w:szCs w:val="22"/>
          <w:lang w:val="en-GB"/>
        </w:rPr>
      </w:pPr>
      <w:r w:rsidRPr="00A96D90">
        <w:rPr>
          <w:rFonts w:ascii="Calibri Light" w:eastAsia="Calibri" w:hAnsi="Calibri Light"/>
          <w:color w:val="59595B"/>
          <w:szCs w:val="22"/>
          <w:lang w:val="en-GB"/>
        </w:rPr>
        <w:t>The net result was a loss of €</w:t>
      </w:r>
      <w:r w:rsidR="00C05185" w:rsidRPr="00A96D90">
        <w:rPr>
          <w:rFonts w:ascii="Calibri Light" w:eastAsia="Calibri" w:hAnsi="Calibri Light"/>
          <w:color w:val="59595B"/>
          <w:szCs w:val="22"/>
          <w:lang w:val="en-GB"/>
        </w:rPr>
        <w:t>30.2</w:t>
      </w:r>
      <w:r w:rsidRPr="00A96D90">
        <w:rPr>
          <w:rFonts w:ascii="Calibri Light" w:eastAsia="Calibri" w:hAnsi="Calibri Light"/>
          <w:color w:val="59595B"/>
          <w:szCs w:val="22"/>
          <w:lang w:val="en-GB"/>
        </w:rPr>
        <w:t xml:space="preserve"> million (HY 2016: loss of €6.7 million), mainly as a result of non-cash financing expenses required to be shown under IFRS associated with the </w:t>
      </w:r>
      <w:r w:rsidR="00C05185" w:rsidRPr="00A96D90">
        <w:rPr>
          <w:rFonts w:ascii="Calibri Light" w:eastAsia="Calibri" w:hAnsi="Calibri Light"/>
          <w:color w:val="59595B"/>
          <w:szCs w:val="22"/>
          <w:lang w:val="en-GB"/>
        </w:rPr>
        <w:t xml:space="preserve">extinction of the </w:t>
      </w:r>
      <w:r w:rsidRPr="00A96D90">
        <w:rPr>
          <w:rFonts w:ascii="Calibri Light" w:eastAsia="Calibri" w:hAnsi="Calibri Light"/>
          <w:color w:val="59595B"/>
          <w:szCs w:val="22"/>
          <w:lang w:val="en-GB"/>
        </w:rPr>
        <w:t>Amortising Convertible Bonds 2017/2018</w:t>
      </w:r>
      <w:r w:rsidR="00C058F1" w:rsidRPr="00A96D90">
        <w:rPr>
          <w:rFonts w:ascii="Calibri Light" w:eastAsia="Calibri" w:hAnsi="Calibri Light"/>
          <w:color w:val="59595B"/>
          <w:szCs w:val="22"/>
          <w:lang w:val="en-GB"/>
        </w:rPr>
        <w:t xml:space="preserve"> and replacement of the previous</w:t>
      </w:r>
      <w:r w:rsidR="00C05185" w:rsidRPr="00A96D90">
        <w:rPr>
          <w:rFonts w:ascii="Calibri Light" w:eastAsia="Calibri" w:hAnsi="Calibri Light"/>
          <w:color w:val="59595B"/>
          <w:szCs w:val="22"/>
          <w:lang w:val="en-GB"/>
        </w:rPr>
        <w:t xml:space="preserve"> debt facility</w:t>
      </w:r>
    </w:p>
    <w:p w14:paraId="12FEE3C2" w14:textId="4D0D5E6D" w:rsidR="005365CE" w:rsidRPr="00A96D90" w:rsidRDefault="005365CE" w:rsidP="00552A0D">
      <w:pPr>
        <w:pStyle w:val="ListParagraph"/>
        <w:numPr>
          <w:ilvl w:val="0"/>
          <w:numId w:val="8"/>
        </w:numPr>
        <w:rPr>
          <w:rFonts w:ascii="Calibri Light" w:eastAsia="Calibri" w:hAnsi="Calibri Light"/>
          <w:color w:val="59595B"/>
          <w:szCs w:val="22"/>
          <w:lang w:val="en-GB"/>
        </w:rPr>
      </w:pPr>
      <w:r w:rsidRPr="00A96D90">
        <w:rPr>
          <w:rFonts w:ascii="Calibri Light" w:eastAsia="Calibri" w:hAnsi="Calibri Light"/>
          <w:color w:val="59595B"/>
          <w:szCs w:val="22"/>
          <w:lang w:val="en-GB"/>
        </w:rPr>
        <w:t xml:space="preserve">The </w:t>
      </w:r>
      <w:r w:rsidR="00E25BDF" w:rsidRPr="00A96D90">
        <w:rPr>
          <w:rFonts w:ascii="Calibri Light" w:eastAsia="Calibri" w:hAnsi="Calibri Light"/>
          <w:color w:val="59595B"/>
          <w:szCs w:val="22"/>
          <w:lang w:val="en-GB"/>
        </w:rPr>
        <w:t>c</w:t>
      </w:r>
      <w:r w:rsidRPr="00A96D90">
        <w:rPr>
          <w:rFonts w:ascii="Calibri Light" w:eastAsia="Calibri" w:hAnsi="Calibri Light"/>
          <w:color w:val="59595B"/>
          <w:szCs w:val="22"/>
          <w:lang w:val="en-GB"/>
        </w:rPr>
        <w:t>ompany’s cash position decreased from €32.1 million at year-end 2016 to €25.2 million at 30 June 2017 (</w:t>
      </w:r>
      <w:r w:rsidR="00A068BF" w:rsidRPr="00A96D90">
        <w:rPr>
          <w:rFonts w:ascii="Calibri Light" w:eastAsia="Calibri" w:hAnsi="Calibri Light"/>
          <w:color w:val="59595B"/>
          <w:szCs w:val="22"/>
          <w:lang w:val="en-GB"/>
        </w:rPr>
        <w:t xml:space="preserve">up from </w:t>
      </w:r>
      <w:r w:rsidRPr="00A96D90">
        <w:rPr>
          <w:rFonts w:ascii="Calibri Light" w:eastAsia="Calibri" w:hAnsi="Calibri Light"/>
          <w:color w:val="59595B"/>
          <w:szCs w:val="22"/>
          <w:lang w:val="en-GB"/>
        </w:rPr>
        <w:t>€21.7 million at 30 June 2016), largely due to</w:t>
      </w:r>
      <w:r w:rsidR="009C3E6C">
        <w:rPr>
          <w:rFonts w:ascii="Calibri Light" w:eastAsia="Calibri" w:hAnsi="Calibri Light"/>
          <w:color w:val="59595B"/>
          <w:szCs w:val="22"/>
          <w:lang w:val="en-GB"/>
        </w:rPr>
        <w:t xml:space="preserve"> late payments by debtors of revenues relating to US sales.</w:t>
      </w:r>
      <w:r w:rsidRPr="00A96D90">
        <w:rPr>
          <w:rFonts w:ascii="Calibri Light" w:eastAsia="Calibri" w:hAnsi="Calibri Light"/>
          <w:color w:val="59595B"/>
          <w:szCs w:val="22"/>
          <w:lang w:val="en-GB"/>
        </w:rPr>
        <w:t xml:space="preserve"> </w:t>
      </w:r>
    </w:p>
    <w:p w14:paraId="6902A583" w14:textId="2BDCE764" w:rsidR="00C058F1" w:rsidRPr="00A96D90" w:rsidRDefault="00C058F1" w:rsidP="00C058F1">
      <w:pPr>
        <w:ind w:left="360"/>
        <w:rPr>
          <w:rFonts w:ascii="Calibri Light" w:eastAsia="Calibri" w:hAnsi="Calibri Light"/>
          <w:color w:val="59595B"/>
          <w:szCs w:val="22"/>
          <w:lang w:val="en-GB"/>
        </w:rPr>
      </w:pPr>
    </w:p>
    <w:p w14:paraId="29D229AE" w14:textId="604B026B" w:rsidR="00C058F1" w:rsidRPr="0010121D" w:rsidRDefault="00C058F1" w:rsidP="00C058F1">
      <w:pPr>
        <w:ind w:left="360"/>
        <w:rPr>
          <w:rFonts w:ascii="Calibri Light" w:eastAsia="Calibri" w:hAnsi="Calibri Light"/>
          <w:color w:val="59595B"/>
          <w:szCs w:val="22"/>
          <w:lang w:val="nl-NL"/>
        </w:rPr>
      </w:pPr>
      <w:r w:rsidRPr="0010121D">
        <w:rPr>
          <w:rFonts w:ascii="Calibri Light" w:eastAsia="Calibri" w:hAnsi="Calibri Light"/>
          <w:color w:val="59595B"/>
          <w:szCs w:val="22"/>
          <w:lang w:val="nl-NL"/>
        </w:rPr>
        <w:t xml:space="preserve">Sijmen de Vries, CEO, said: </w:t>
      </w:r>
    </w:p>
    <w:p w14:paraId="54A5B002" w14:textId="1B850834" w:rsidR="00C058F1" w:rsidRPr="00A96D90" w:rsidRDefault="00C058F1" w:rsidP="00C058F1">
      <w:pPr>
        <w:ind w:left="360"/>
        <w:rPr>
          <w:rFonts w:ascii="Calibri Light" w:eastAsia="Calibri" w:hAnsi="Calibri Light"/>
          <w:i/>
          <w:color w:val="59595B"/>
          <w:szCs w:val="22"/>
          <w:lang w:val="en-GB"/>
        </w:rPr>
      </w:pPr>
      <w:r w:rsidRPr="00A96D90">
        <w:rPr>
          <w:rFonts w:ascii="Calibri Light" w:eastAsia="Calibri" w:hAnsi="Calibri Light"/>
          <w:i/>
          <w:color w:val="59595B"/>
          <w:szCs w:val="22"/>
          <w:lang w:val="en-GB"/>
        </w:rPr>
        <w:t>“We are delighted</w:t>
      </w:r>
      <w:r w:rsidR="001466DD">
        <w:rPr>
          <w:rFonts w:ascii="Calibri Light" w:eastAsia="Calibri" w:hAnsi="Calibri Light"/>
          <w:i/>
          <w:color w:val="59595B"/>
          <w:szCs w:val="22"/>
          <w:lang w:val="en-GB"/>
        </w:rPr>
        <w:t xml:space="preserve"> with a second quarter of profitable operation</w:t>
      </w:r>
      <w:r w:rsidR="00D23DFA">
        <w:rPr>
          <w:rFonts w:ascii="Calibri Light" w:eastAsia="Calibri" w:hAnsi="Calibri Light"/>
          <w:i/>
          <w:color w:val="59595B"/>
          <w:szCs w:val="22"/>
          <w:lang w:val="en-GB"/>
        </w:rPr>
        <w:t>s</w:t>
      </w:r>
      <w:r w:rsidRPr="00A96D90">
        <w:rPr>
          <w:rFonts w:ascii="Calibri Light" w:eastAsia="Calibri" w:hAnsi="Calibri Light"/>
          <w:i/>
          <w:color w:val="59595B"/>
          <w:szCs w:val="22"/>
          <w:lang w:val="en-GB"/>
        </w:rPr>
        <w:t xml:space="preserve">, even after increased costs as we finish our integration and infrastructure investments. Now that our capital position is properly </w:t>
      </w:r>
      <w:r w:rsidRPr="00A96D90">
        <w:rPr>
          <w:rFonts w:ascii="Calibri Light" w:eastAsia="Calibri" w:hAnsi="Calibri Light"/>
          <w:i/>
          <w:color w:val="59595B"/>
          <w:szCs w:val="22"/>
          <w:lang w:val="en-GB"/>
        </w:rPr>
        <w:lastRenderedPageBreak/>
        <w:t>secured following the refinancing in May/July 2017, we can look forward to more stable growth as the big one-off accounting costs have been taken in this quarter.”</w:t>
      </w:r>
    </w:p>
    <w:p w14:paraId="2549E0AA" w14:textId="122E0628" w:rsidR="005365CE" w:rsidRPr="00A96D90" w:rsidRDefault="00552A0D" w:rsidP="005365CE">
      <w:pPr>
        <w:pStyle w:val="Heading1"/>
        <w:spacing w:after="240"/>
        <w:rPr>
          <w:rFonts w:ascii="Calibri Light" w:hAnsi="Calibri Light"/>
          <w:b/>
          <w:color w:val="00679B"/>
          <w:sz w:val="24"/>
          <w:szCs w:val="28"/>
          <w:lang w:val="en-GB" w:eastAsia="zh-CN"/>
        </w:rPr>
      </w:pPr>
      <w:r w:rsidRPr="00A96D90">
        <w:rPr>
          <w:rFonts w:ascii="Calibri Light" w:hAnsi="Calibri Light"/>
          <w:b/>
          <w:color w:val="00679B"/>
          <w:sz w:val="24"/>
          <w:szCs w:val="28"/>
          <w:lang w:val="en-GB" w:eastAsia="zh-CN"/>
        </w:rPr>
        <w:t>Chief Executive Officer’s Comment</w:t>
      </w:r>
    </w:p>
    <w:p w14:paraId="28F17570" w14:textId="062752CB" w:rsidR="0078799F" w:rsidRPr="00A96D90" w:rsidRDefault="005365CE" w:rsidP="00A068BF">
      <w:pPr>
        <w:rPr>
          <w:rFonts w:ascii="Calibri Light" w:hAnsi="Calibri Light"/>
          <w:color w:val="59595B"/>
          <w:lang w:val="en-GB"/>
        </w:rPr>
      </w:pPr>
      <w:r w:rsidRPr="00A96D90">
        <w:rPr>
          <w:rFonts w:ascii="Calibri Light" w:hAnsi="Calibri Light"/>
          <w:color w:val="59595B"/>
          <w:lang w:val="en-GB"/>
        </w:rPr>
        <w:t>Our strategic decision to re</w:t>
      </w:r>
      <w:r w:rsidR="00A068BF" w:rsidRPr="00A96D90">
        <w:rPr>
          <w:rFonts w:ascii="Calibri Light" w:hAnsi="Calibri Light"/>
          <w:color w:val="59595B"/>
          <w:lang w:val="en-GB"/>
        </w:rPr>
        <w:t>-</w:t>
      </w:r>
      <w:r w:rsidRPr="00A96D90">
        <w:rPr>
          <w:rFonts w:ascii="Calibri Light" w:hAnsi="Calibri Light"/>
          <w:color w:val="59595B"/>
          <w:lang w:val="en-GB"/>
        </w:rPr>
        <w:t>a</w:t>
      </w:r>
      <w:r w:rsidR="00A068BF" w:rsidRPr="00A96D90">
        <w:rPr>
          <w:rFonts w:ascii="Calibri Light" w:hAnsi="Calibri Light"/>
          <w:color w:val="59595B"/>
          <w:lang w:val="en-GB"/>
        </w:rPr>
        <w:t>c</w:t>
      </w:r>
      <w:r w:rsidRPr="00A96D90">
        <w:rPr>
          <w:rFonts w:ascii="Calibri Light" w:hAnsi="Calibri Light"/>
          <w:color w:val="59595B"/>
          <w:lang w:val="en-GB"/>
        </w:rPr>
        <w:t>quire the commercial right</w:t>
      </w:r>
      <w:r w:rsidR="00A068BF" w:rsidRPr="00A96D90">
        <w:rPr>
          <w:rFonts w:ascii="Calibri Light" w:hAnsi="Calibri Light"/>
          <w:color w:val="59595B"/>
          <w:lang w:val="en-GB"/>
        </w:rPr>
        <w:t>s</w:t>
      </w:r>
      <w:r w:rsidRPr="00A96D90">
        <w:rPr>
          <w:rFonts w:ascii="Calibri Light" w:hAnsi="Calibri Light"/>
          <w:color w:val="59595B"/>
          <w:lang w:val="en-GB"/>
        </w:rPr>
        <w:t xml:space="preserve"> to sell RUCONEST</w:t>
      </w:r>
      <w:r w:rsidRPr="00A96D90">
        <w:rPr>
          <w:rFonts w:ascii="Calibri Light" w:eastAsia="Calibri" w:hAnsi="Calibri Light"/>
          <w:color w:val="59595B"/>
          <w:szCs w:val="22"/>
          <w:lang w:val="en-GB"/>
        </w:rPr>
        <w:t>®</w:t>
      </w:r>
      <w:r w:rsidRPr="00A96D90">
        <w:rPr>
          <w:rFonts w:ascii="Calibri Light" w:hAnsi="Calibri Light"/>
          <w:color w:val="59595B"/>
          <w:lang w:val="en-GB"/>
        </w:rPr>
        <w:t xml:space="preserve"> in North America has significantly increased revenue and profit generation for the first half of the year compared to </w:t>
      </w:r>
      <w:r w:rsidR="00A068BF" w:rsidRPr="00A96D90">
        <w:rPr>
          <w:rFonts w:ascii="Calibri Light" w:hAnsi="Calibri Light"/>
          <w:color w:val="59595B"/>
          <w:lang w:val="en-GB"/>
        </w:rPr>
        <w:t>the first half of 2016</w:t>
      </w:r>
      <w:r w:rsidRPr="00A96D90">
        <w:rPr>
          <w:rFonts w:ascii="Calibri Light" w:hAnsi="Calibri Light"/>
          <w:color w:val="59595B"/>
          <w:lang w:val="en-GB"/>
        </w:rPr>
        <w:t xml:space="preserve">. </w:t>
      </w:r>
    </w:p>
    <w:p w14:paraId="4C3CD644" w14:textId="77777777" w:rsidR="00AD7529" w:rsidRPr="00A96D90" w:rsidRDefault="00AD7529" w:rsidP="00A068BF">
      <w:pPr>
        <w:rPr>
          <w:rFonts w:ascii="Calibri Light" w:hAnsi="Calibri Light"/>
          <w:color w:val="59595B"/>
          <w:lang w:val="en-GB"/>
        </w:rPr>
      </w:pPr>
    </w:p>
    <w:p w14:paraId="0FA94A14" w14:textId="77471E9C" w:rsidR="00AD7529" w:rsidRPr="00A96D90" w:rsidRDefault="005365CE" w:rsidP="00A068BF">
      <w:pPr>
        <w:rPr>
          <w:rFonts w:ascii="Calibri Light" w:hAnsi="Calibri Light"/>
          <w:color w:val="59595B"/>
          <w:lang w:val="en-GB"/>
        </w:rPr>
      </w:pPr>
      <w:r w:rsidRPr="00A96D90">
        <w:rPr>
          <w:rFonts w:ascii="Calibri Light" w:hAnsi="Calibri Light"/>
          <w:color w:val="59595B"/>
          <w:lang w:val="en-GB"/>
        </w:rPr>
        <w:t>Product s</w:t>
      </w:r>
      <w:r w:rsidRPr="00A96D90">
        <w:rPr>
          <w:rFonts w:ascii="Calibri Light" w:eastAsia="Calibri" w:hAnsi="Calibri Light"/>
          <w:color w:val="59595B"/>
          <w:szCs w:val="22"/>
          <w:lang w:val="en-GB"/>
        </w:rPr>
        <w:t xml:space="preserve">ales for the half year increased by </w:t>
      </w:r>
      <w:r w:rsidR="00C05185" w:rsidRPr="00A96D90">
        <w:rPr>
          <w:rFonts w:ascii="Calibri Light" w:eastAsia="Calibri" w:hAnsi="Calibri Light"/>
          <w:color w:val="59595B"/>
          <w:szCs w:val="22"/>
          <w:lang w:val="en-GB"/>
        </w:rPr>
        <w:t>617</w:t>
      </w:r>
      <w:r w:rsidRPr="00A96D90">
        <w:rPr>
          <w:rFonts w:ascii="Calibri Light" w:eastAsia="Calibri" w:hAnsi="Calibri Light"/>
          <w:color w:val="59595B"/>
          <w:szCs w:val="22"/>
          <w:lang w:val="en-GB"/>
        </w:rPr>
        <w:t>% to €30.1 million (HY 2016: €4.2 million).</w:t>
      </w:r>
      <w:r w:rsidR="0040539E">
        <w:rPr>
          <w:rFonts w:ascii="Calibri Light" w:eastAsia="Calibri" w:hAnsi="Calibri Light"/>
          <w:color w:val="59595B"/>
          <w:szCs w:val="22"/>
          <w:lang w:val="en-GB"/>
        </w:rPr>
        <w:t xml:space="preserve"> </w:t>
      </w:r>
      <w:r w:rsidRPr="00A96D90">
        <w:rPr>
          <w:rFonts w:ascii="Calibri Light" w:hAnsi="Calibri Light"/>
          <w:color w:val="59595B"/>
          <w:lang w:val="en-GB"/>
        </w:rPr>
        <w:t>The positive sales momentum in the US continued in Q2, following higher than expected sales in Q1, with net sales of $15.3 million in Q2 ($15.5 million in Q1)</w:t>
      </w:r>
      <w:r w:rsidR="00134E79" w:rsidRPr="00A96D90">
        <w:rPr>
          <w:rFonts w:ascii="Calibri Light" w:hAnsi="Calibri Light"/>
          <w:color w:val="59595B"/>
          <w:lang w:val="en-GB"/>
        </w:rPr>
        <w:t xml:space="preserve"> despite stock level adjustments</w:t>
      </w:r>
      <w:r w:rsidRPr="00A96D90">
        <w:rPr>
          <w:rFonts w:ascii="Calibri Light" w:hAnsi="Calibri Light"/>
          <w:color w:val="59595B"/>
          <w:lang w:val="en-GB"/>
        </w:rPr>
        <w:t xml:space="preserve">. </w:t>
      </w:r>
    </w:p>
    <w:p w14:paraId="40605F82" w14:textId="77777777" w:rsidR="00AD7529" w:rsidRPr="00A96D90" w:rsidRDefault="00AD7529" w:rsidP="00A068BF">
      <w:pPr>
        <w:rPr>
          <w:rFonts w:ascii="Calibri Light" w:hAnsi="Calibri Light"/>
          <w:color w:val="59595B"/>
          <w:lang w:val="en-GB"/>
        </w:rPr>
      </w:pPr>
    </w:p>
    <w:p w14:paraId="54F4D8F3" w14:textId="77777777" w:rsidR="00AD7529" w:rsidRPr="00A96D90" w:rsidRDefault="005365CE" w:rsidP="00A068BF">
      <w:pPr>
        <w:rPr>
          <w:rFonts w:ascii="Calibri Light" w:hAnsi="Calibri Light"/>
          <w:color w:val="59595B"/>
          <w:lang w:val="en-GB"/>
        </w:rPr>
      </w:pPr>
      <w:r w:rsidRPr="00A96D90">
        <w:rPr>
          <w:rFonts w:ascii="Calibri Light" w:hAnsi="Calibri Light"/>
          <w:color w:val="59595B"/>
          <w:lang w:val="en-GB"/>
        </w:rPr>
        <w:t xml:space="preserve">Combined with ongoing growth in the number of US patients entering our full patient care plan, RUCONEST® SOLUTIONS, and new European patients starting RUCONEST® therapy with our recently introduced EU home use kit, we expect sales to increase in H2. </w:t>
      </w:r>
    </w:p>
    <w:p w14:paraId="6F063710" w14:textId="77777777" w:rsidR="00AD7529" w:rsidRPr="00A96D90" w:rsidRDefault="00AD7529" w:rsidP="00A068BF">
      <w:pPr>
        <w:rPr>
          <w:rFonts w:ascii="Calibri Light" w:hAnsi="Calibri Light"/>
          <w:color w:val="59595B"/>
          <w:lang w:val="en-GB"/>
        </w:rPr>
      </w:pPr>
    </w:p>
    <w:p w14:paraId="1E3C8FDC" w14:textId="6637A16A" w:rsidR="005365CE" w:rsidRPr="00A96D90" w:rsidRDefault="005365CE" w:rsidP="00A068BF">
      <w:pPr>
        <w:rPr>
          <w:rFonts w:ascii="Calibri Light" w:hAnsi="Calibri Light"/>
          <w:color w:val="59595B"/>
          <w:lang w:val="en-GB"/>
        </w:rPr>
      </w:pPr>
      <w:r w:rsidRPr="00A96D90">
        <w:rPr>
          <w:rFonts w:ascii="Calibri Light" w:hAnsi="Calibri Light"/>
          <w:color w:val="59595B"/>
          <w:lang w:val="en-GB"/>
        </w:rPr>
        <w:t>Our strategy of increasing market access in the US with our sales, market access, nursing and patient management teams, and in the EU with continued expansion of our direct commercialization efforts, is driving the growth in new patients using RUCONEST®.</w:t>
      </w:r>
      <w:r w:rsidR="0040539E">
        <w:rPr>
          <w:rFonts w:ascii="Calibri Light" w:hAnsi="Calibri Light"/>
          <w:color w:val="59595B"/>
          <w:lang w:val="en-GB"/>
        </w:rPr>
        <w:t xml:space="preserve"> </w:t>
      </w:r>
      <w:r w:rsidRPr="00A96D90">
        <w:rPr>
          <w:rFonts w:ascii="Calibri Light" w:hAnsi="Calibri Light"/>
          <w:color w:val="59595B"/>
          <w:lang w:val="en-GB"/>
        </w:rPr>
        <w:t>As previously announced, marketing costs have increased as a direct result of hiring additional US personnel and start-up investments in marketing activities.</w:t>
      </w:r>
    </w:p>
    <w:p w14:paraId="1467A3F2" w14:textId="77777777" w:rsidR="005365CE" w:rsidRPr="00A96D90" w:rsidRDefault="005365CE" w:rsidP="00A068BF">
      <w:pPr>
        <w:pStyle w:val="NoSpacing"/>
        <w:rPr>
          <w:rFonts w:ascii="Calibri Light" w:hAnsi="Calibri Light"/>
          <w:color w:val="59595B"/>
          <w:lang w:val="en-GB"/>
        </w:rPr>
      </w:pPr>
    </w:p>
    <w:p w14:paraId="67093728" w14:textId="2F0D6E30" w:rsidR="005365CE" w:rsidRPr="00A96D90" w:rsidRDefault="005365CE" w:rsidP="00A068BF">
      <w:pPr>
        <w:pStyle w:val="NoSpacing"/>
        <w:spacing w:after="240"/>
        <w:jc w:val="both"/>
        <w:rPr>
          <w:rFonts w:ascii="Calibri Light" w:hAnsi="Calibri Light"/>
          <w:color w:val="59595B"/>
          <w:lang w:val="en-GB"/>
        </w:rPr>
      </w:pPr>
      <w:r w:rsidRPr="00A96D90">
        <w:rPr>
          <w:rFonts w:ascii="Calibri Light" w:hAnsi="Calibri Light"/>
          <w:color w:val="59595B"/>
          <w:lang w:val="en-GB"/>
        </w:rPr>
        <w:t>U</w:t>
      </w:r>
      <w:r w:rsidR="005F76A6" w:rsidRPr="00A96D90">
        <w:rPr>
          <w:rFonts w:ascii="Calibri Light" w:hAnsi="Calibri Light"/>
          <w:color w:val="59595B"/>
          <w:lang w:val="en-GB"/>
        </w:rPr>
        <w:t>nderlying sales volumes somewhat</w:t>
      </w:r>
      <w:r w:rsidRPr="00A96D90">
        <w:rPr>
          <w:rFonts w:ascii="Calibri Light" w:hAnsi="Calibri Light"/>
          <w:color w:val="59595B"/>
          <w:lang w:val="en-GB"/>
        </w:rPr>
        <w:t xml:space="preserve"> increased in Q2</w:t>
      </w:r>
      <w:r w:rsidR="00AD7529" w:rsidRPr="00A96D90">
        <w:rPr>
          <w:rFonts w:ascii="Calibri Light" w:hAnsi="Calibri Light"/>
          <w:color w:val="59595B"/>
          <w:lang w:val="en-GB"/>
        </w:rPr>
        <w:t>.</w:t>
      </w:r>
      <w:r w:rsidR="00A068BF" w:rsidRPr="00A96D90">
        <w:rPr>
          <w:rFonts w:ascii="Calibri Light" w:hAnsi="Calibri Light"/>
          <w:color w:val="59595B"/>
          <w:lang w:val="en-GB"/>
        </w:rPr>
        <w:t xml:space="preserve"> On a reported basis, however</w:t>
      </w:r>
      <w:r w:rsidR="00AD7529" w:rsidRPr="00A96D90">
        <w:rPr>
          <w:rFonts w:ascii="Calibri Light" w:hAnsi="Calibri Light"/>
          <w:color w:val="59595B"/>
          <w:lang w:val="en-GB"/>
        </w:rPr>
        <w:t>,</w:t>
      </w:r>
      <w:r w:rsidRPr="00A96D90">
        <w:rPr>
          <w:rFonts w:ascii="Calibri Light" w:hAnsi="Calibri Light"/>
          <w:color w:val="59595B"/>
          <w:lang w:val="en-GB"/>
        </w:rPr>
        <w:t xml:space="preserve"> Q2 </w:t>
      </w:r>
      <w:r w:rsidR="003F3657" w:rsidRPr="00A96D90">
        <w:rPr>
          <w:rFonts w:ascii="Calibri Light" w:hAnsi="Calibri Light"/>
          <w:color w:val="59595B"/>
          <w:lang w:val="en-GB"/>
        </w:rPr>
        <w:t>sales</w:t>
      </w:r>
      <w:r w:rsidRPr="00A96D90">
        <w:rPr>
          <w:rFonts w:ascii="Calibri Light" w:hAnsi="Calibri Light"/>
          <w:color w:val="59595B"/>
          <w:lang w:val="en-GB"/>
        </w:rPr>
        <w:t xml:space="preserve"> were </w:t>
      </w:r>
      <w:r w:rsidR="005F76A6" w:rsidRPr="00A96D90">
        <w:rPr>
          <w:rFonts w:ascii="Calibri Light" w:hAnsi="Calibri Light"/>
          <w:color w:val="59595B"/>
          <w:lang w:val="en-GB"/>
        </w:rPr>
        <w:t>slightly</w:t>
      </w:r>
      <w:r w:rsidR="00A068BF" w:rsidRPr="00A96D90">
        <w:rPr>
          <w:rFonts w:ascii="Calibri Light" w:hAnsi="Calibri Light"/>
          <w:color w:val="59595B"/>
          <w:lang w:val="en-GB"/>
        </w:rPr>
        <w:t xml:space="preserve"> reduced </w:t>
      </w:r>
      <w:r w:rsidRPr="00A96D90">
        <w:rPr>
          <w:rFonts w:ascii="Calibri Light" w:hAnsi="Calibri Light"/>
          <w:color w:val="59595B"/>
          <w:lang w:val="en-GB"/>
        </w:rPr>
        <w:t>to €</w:t>
      </w:r>
      <w:r w:rsidR="0029587E" w:rsidRPr="00A96D90">
        <w:rPr>
          <w:rFonts w:ascii="Calibri Light" w:hAnsi="Calibri Light"/>
          <w:color w:val="59595B"/>
          <w:lang w:val="en-GB"/>
        </w:rPr>
        <w:t>14.9</w:t>
      </w:r>
      <w:r w:rsidRPr="00A96D90">
        <w:rPr>
          <w:rFonts w:ascii="Calibri Light" w:hAnsi="Calibri Light"/>
          <w:color w:val="59595B"/>
          <w:lang w:val="en-GB"/>
        </w:rPr>
        <w:t xml:space="preserve"> million</w:t>
      </w:r>
      <w:r w:rsidR="008621D3" w:rsidRPr="00A96D90">
        <w:rPr>
          <w:rFonts w:ascii="Calibri Light" w:hAnsi="Calibri Light"/>
          <w:color w:val="59595B"/>
          <w:lang w:val="en-GB"/>
        </w:rPr>
        <w:t>,</w:t>
      </w:r>
      <w:r w:rsidRPr="00A96D90">
        <w:rPr>
          <w:rFonts w:ascii="Calibri Light" w:hAnsi="Calibri Light"/>
          <w:color w:val="59595B"/>
          <w:lang w:val="en-GB"/>
        </w:rPr>
        <w:t xml:space="preserve"> </w:t>
      </w:r>
      <w:r w:rsidR="00A068BF" w:rsidRPr="00A96D90">
        <w:rPr>
          <w:rFonts w:ascii="Calibri Light" w:hAnsi="Calibri Light"/>
          <w:color w:val="59595B"/>
          <w:lang w:val="en-GB"/>
        </w:rPr>
        <w:t>from</w:t>
      </w:r>
      <w:r w:rsidRPr="00A96D90">
        <w:rPr>
          <w:rFonts w:ascii="Calibri Light" w:hAnsi="Calibri Light"/>
          <w:color w:val="59595B"/>
          <w:lang w:val="en-GB"/>
        </w:rPr>
        <w:t xml:space="preserve"> €</w:t>
      </w:r>
      <w:r w:rsidR="003F3657" w:rsidRPr="00A96D90">
        <w:rPr>
          <w:rFonts w:ascii="Calibri Light" w:hAnsi="Calibri Light"/>
          <w:color w:val="59595B"/>
          <w:lang w:val="en-GB"/>
        </w:rPr>
        <w:t>15.2</w:t>
      </w:r>
      <w:r w:rsidRPr="00A96D90">
        <w:rPr>
          <w:rFonts w:ascii="Calibri Light" w:hAnsi="Calibri Light"/>
          <w:color w:val="59595B"/>
          <w:lang w:val="en-GB"/>
        </w:rPr>
        <w:t xml:space="preserve"> million in Q1, reflecting</w:t>
      </w:r>
      <w:r w:rsidR="00AD7529" w:rsidRPr="00A96D90">
        <w:rPr>
          <w:rFonts w:ascii="Calibri Light" w:hAnsi="Calibri Light"/>
          <w:color w:val="59595B"/>
          <w:lang w:val="en-GB"/>
        </w:rPr>
        <w:t xml:space="preserve"> </w:t>
      </w:r>
      <w:r w:rsidR="00A068BF" w:rsidRPr="00A96D90">
        <w:rPr>
          <w:rFonts w:ascii="Calibri Light" w:hAnsi="Calibri Light"/>
          <w:color w:val="59595B"/>
          <w:lang w:val="en-GB"/>
        </w:rPr>
        <w:t>the</w:t>
      </w:r>
      <w:r w:rsidRPr="00A96D90">
        <w:rPr>
          <w:rFonts w:ascii="Calibri Light" w:hAnsi="Calibri Light"/>
          <w:color w:val="59595B"/>
          <w:lang w:val="en-GB"/>
        </w:rPr>
        <w:t xml:space="preserve"> adverse movement in exchange rates (the dollar weakened against the euro</w:t>
      </w:r>
      <w:r w:rsidRPr="00A96D90">
        <w:rPr>
          <w:rFonts w:ascii="Calibri Light" w:hAnsi="Calibri Light" w:cs="Calibri Light"/>
          <w:color w:val="59595B"/>
          <w:lang w:val="en-GB"/>
        </w:rPr>
        <w:t>).</w:t>
      </w:r>
      <w:r w:rsidR="005F76A6" w:rsidRPr="00A96D90">
        <w:rPr>
          <w:rFonts w:ascii="Calibri Light" w:hAnsi="Calibri Light"/>
          <w:color w:val="59595B"/>
          <w:lang w:val="en-GB"/>
        </w:rPr>
        <w:t xml:space="preserve"> This was offset</w:t>
      </w:r>
      <w:r w:rsidRPr="00A96D90">
        <w:rPr>
          <w:rFonts w:ascii="Calibri Light" w:hAnsi="Calibri Light"/>
          <w:color w:val="59595B"/>
          <w:lang w:val="en-GB"/>
        </w:rPr>
        <w:t xml:space="preserve"> by a better performance in </w:t>
      </w:r>
      <w:r w:rsidR="00C05185" w:rsidRPr="00A96D90">
        <w:rPr>
          <w:rFonts w:ascii="Calibri Light" w:hAnsi="Calibri Light"/>
          <w:color w:val="59595B"/>
          <w:lang w:val="en-GB"/>
        </w:rPr>
        <w:t xml:space="preserve">the EU and </w:t>
      </w:r>
      <w:r w:rsidRPr="00A96D90">
        <w:rPr>
          <w:rFonts w:ascii="Calibri Light" w:hAnsi="Calibri Light"/>
          <w:color w:val="59595B"/>
          <w:lang w:val="en-GB"/>
        </w:rPr>
        <w:t>the Rest of the World (RoW) sales, which were up from €0.7 million in Q1 to €0.9 million in Q2.</w:t>
      </w:r>
      <w:r w:rsidR="0040539E">
        <w:rPr>
          <w:rFonts w:ascii="Calibri Light" w:hAnsi="Calibri Light"/>
          <w:color w:val="59595B"/>
          <w:lang w:val="en-GB"/>
        </w:rPr>
        <w:t xml:space="preserve"> </w:t>
      </w:r>
    </w:p>
    <w:p w14:paraId="6795D4DE" w14:textId="59584BBD" w:rsidR="005365CE" w:rsidRPr="00A96D90" w:rsidRDefault="005365CE" w:rsidP="00A068BF">
      <w:pPr>
        <w:pStyle w:val="NoSpacing"/>
        <w:spacing w:after="240"/>
        <w:jc w:val="both"/>
        <w:rPr>
          <w:rFonts w:ascii="Calibri Light" w:hAnsi="Calibri Light" w:cs="Helvetica"/>
          <w:color w:val="59595B"/>
          <w:szCs w:val="21"/>
          <w:lang w:val="en-GB"/>
        </w:rPr>
      </w:pPr>
      <w:r w:rsidRPr="00A96D90">
        <w:rPr>
          <w:rFonts w:ascii="Calibri Light" w:hAnsi="Calibri Light"/>
          <w:color w:val="59595B"/>
          <w:lang w:val="en-GB"/>
        </w:rPr>
        <w:t xml:space="preserve">Gross profits reduced in line with the reduction in sales expressed in </w:t>
      </w:r>
      <w:r w:rsidRPr="00A96D90">
        <w:rPr>
          <w:rFonts w:ascii="Calibri Light" w:hAnsi="Calibri Light" w:cs="Calibri Light"/>
          <w:color w:val="59595B"/>
          <w:lang w:val="en-GB"/>
        </w:rPr>
        <w:t>euros</w:t>
      </w:r>
      <w:r w:rsidRPr="00A96D90">
        <w:rPr>
          <w:rFonts w:ascii="Calibri Light" w:hAnsi="Calibri Light"/>
          <w:color w:val="59595B"/>
          <w:lang w:val="en-GB"/>
        </w:rPr>
        <w:t xml:space="preserve"> from </w:t>
      </w:r>
      <w:r w:rsidRPr="00A96D90">
        <w:rPr>
          <w:rFonts w:ascii="Calibri Light" w:hAnsi="Calibri Light" w:cs="Helvetica"/>
          <w:color w:val="59595B"/>
          <w:szCs w:val="21"/>
          <w:lang w:val="en-GB"/>
        </w:rPr>
        <w:t>€13.8 million in Q1 to €1</w:t>
      </w:r>
      <w:r w:rsidR="00C05185" w:rsidRPr="00A96D90">
        <w:rPr>
          <w:rFonts w:ascii="Calibri Light" w:hAnsi="Calibri Light" w:cs="Helvetica"/>
          <w:color w:val="59595B"/>
          <w:szCs w:val="21"/>
          <w:lang w:val="en-GB"/>
        </w:rPr>
        <w:t>3</w:t>
      </w:r>
      <w:r w:rsidRPr="00A96D90">
        <w:rPr>
          <w:rFonts w:ascii="Calibri Light" w:hAnsi="Calibri Light" w:cs="Helvetica"/>
          <w:color w:val="59595B"/>
          <w:szCs w:val="21"/>
          <w:lang w:val="en-GB"/>
        </w:rPr>
        <w:t>.2</w:t>
      </w:r>
      <w:r w:rsidR="00A068BF" w:rsidRPr="00A96D90">
        <w:rPr>
          <w:rFonts w:ascii="Calibri Light" w:hAnsi="Calibri Light" w:cs="Helvetica"/>
          <w:color w:val="59595B"/>
          <w:szCs w:val="21"/>
          <w:lang w:val="en-GB"/>
        </w:rPr>
        <w:t xml:space="preserve"> </w:t>
      </w:r>
      <w:r w:rsidRPr="00A96D90">
        <w:rPr>
          <w:rFonts w:ascii="Calibri Light" w:hAnsi="Calibri Light" w:cs="Helvetica"/>
          <w:color w:val="59595B"/>
          <w:szCs w:val="21"/>
          <w:lang w:val="en-GB"/>
        </w:rPr>
        <w:t>m</w:t>
      </w:r>
      <w:r w:rsidR="00A068BF" w:rsidRPr="00A96D90">
        <w:rPr>
          <w:rFonts w:ascii="Calibri Light" w:hAnsi="Calibri Light" w:cs="Helvetica"/>
          <w:color w:val="59595B"/>
          <w:szCs w:val="21"/>
          <w:lang w:val="en-GB"/>
        </w:rPr>
        <w:t>illion</w:t>
      </w:r>
      <w:r w:rsidRPr="00A96D90">
        <w:rPr>
          <w:rFonts w:ascii="Calibri Light" w:hAnsi="Calibri Light" w:cs="Helvetica"/>
          <w:color w:val="59595B"/>
          <w:szCs w:val="21"/>
          <w:lang w:val="en-GB"/>
        </w:rPr>
        <w:t xml:space="preserve"> in Q2</w:t>
      </w:r>
      <w:r w:rsidRPr="00A96D90">
        <w:rPr>
          <w:rFonts w:ascii="Calibri Light" w:hAnsi="Calibri Light"/>
          <w:color w:val="59595B"/>
          <w:lang w:val="en-GB"/>
        </w:rPr>
        <w:t xml:space="preserve">, </w:t>
      </w:r>
      <w:r w:rsidR="00134E79" w:rsidRPr="00A96D90">
        <w:rPr>
          <w:rFonts w:ascii="Calibri Light" w:hAnsi="Calibri Light"/>
          <w:color w:val="59595B"/>
          <w:lang w:val="en-GB"/>
        </w:rPr>
        <w:t xml:space="preserve">also </w:t>
      </w:r>
      <w:r w:rsidRPr="00A96D90">
        <w:rPr>
          <w:rFonts w:ascii="Calibri Light" w:hAnsi="Calibri Light"/>
          <w:color w:val="59595B"/>
          <w:lang w:val="en-GB"/>
        </w:rPr>
        <w:t>reflecting slightly higher costs of goods and the higher mix of lower-margin RoW sales.</w:t>
      </w:r>
      <w:r w:rsidR="0040539E">
        <w:rPr>
          <w:rFonts w:ascii="Calibri Light" w:hAnsi="Calibri Light"/>
          <w:color w:val="59595B"/>
          <w:lang w:val="en-GB"/>
        </w:rPr>
        <w:t xml:space="preserve"> </w:t>
      </w:r>
      <w:r w:rsidRPr="00A96D90">
        <w:rPr>
          <w:rFonts w:ascii="Calibri Light" w:hAnsi="Calibri Light" w:cs="Helvetica"/>
          <w:color w:val="59595B"/>
          <w:szCs w:val="21"/>
          <w:lang w:val="en-GB"/>
        </w:rPr>
        <w:t>We remain focused on increasing efficiency and controlling costs.</w:t>
      </w:r>
    </w:p>
    <w:p w14:paraId="7A143298" w14:textId="2A5B2F79" w:rsidR="005365CE" w:rsidRPr="00A96D90" w:rsidRDefault="005365CE" w:rsidP="00A068BF">
      <w:pPr>
        <w:pStyle w:val="NoSpacing"/>
        <w:spacing w:after="240"/>
        <w:jc w:val="both"/>
        <w:rPr>
          <w:rFonts w:ascii="Calibri Light" w:hAnsi="Calibri Light" w:cs="Helvetica"/>
          <w:color w:val="59595B"/>
          <w:szCs w:val="21"/>
          <w:lang w:val="en-GB"/>
        </w:rPr>
      </w:pPr>
      <w:r w:rsidRPr="00A96D90">
        <w:rPr>
          <w:rFonts w:ascii="Calibri Light" w:hAnsi="Calibri Light" w:cs="Helvetica"/>
          <w:color w:val="59595B"/>
          <w:szCs w:val="21"/>
          <w:lang w:val="en-GB"/>
        </w:rPr>
        <w:t>Operating profit for the first half of the year was €4.2 million, of which €3.9 million was recorded in Q1.</w:t>
      </w:r>
      <w:r w:rsidR="00AD7529" w:rsidRPr="00A96D90">
        <w:rPr>
          <w:rFonts w:ascii="Calibri Light" w:hAnsi="Calibri Light" w:cs="Helvetica"/>
          <w:color w:val="59595B"/>
          <w:szCs w:val="21"/>
          <w:lang w:val="en-GB"/>
        </w:rPr>
        <w:t xml:space="preserve"> </w:t>
      </w:r>
      <w:r w:rsidRPr="00A96D90">
        <w:rPr>
          <w:rFonts w:ascii="Calibri Light" w:hAnsi="Calibri Light" w:cs="Helvetica"/>
          <w:color w:val="59595B"/>
          <w:szCs w:val="21"/>
          <w:lang w:val="en-GB"/>
        </w:rPr>
        <w:t xml:space="preserve">As previously guided, we have invested in </w:t>
      </w:r>
      <w:r w:rsidRPr="00A96D90">
        <w:rPr>
          <w:rFonts w:ascii="Calibri Light" w:hAnsi="Calibri Light"/>
          <w:color w:val="59595B"/>
          <w:lang w:val="en-GB"/>
        </w:rPr>
        <w:t>expanding the US sales and marketing team</w:t>
      </w:r>
      <w:r w:rsidR="00A068BF" w:rsidRPr="00A96D90">
        <w:rPr>
          <w:rFonts w:ascii="Calibri Light" w:hAnsi="Calibri Light"/>
          <w:color w:val="59595B"/>
          <w:lang w:val="en-GB"/>
        </w:rPr>
        <w:t xml:space="preserve"> and making </w:t>
      </w:r>
      <w:r w:rsidR="00134E79" w:rsidRPr="00A96D90">
        <w:rPr>
          <w:rFonts w:ascii="Calibri Light" w:hAnsi="Calibri Light"/>
          <w:color w:val="59595B"/>
          <w:lang w:val="en-GB"/>
        </w:rPr>
        <w:t xml:space="preserve">further </w:t>
      </w:r>
      <w:r w:rsidR="00A068BF" w:rsidRPr="00A96D90">
        <w:rPr>
          <w:rFonts w:ascii="Calibri Light" w:hAnsi="Calibri Light"/>
          <w:color w:val="59595B"/>
          <w:lang w:val="en-GB"/>
        </w:rPr>
        <w:t xml:space="preserve">significant investments in </w:t>
      </w:r>
      <w:r w:rsidR="00E25BDF" w:rsidRPr="00A96D90">
        <w:rPr>
          <w:rFonts w:ascii="Calibri Light" w:hAnsi="Calibri Light"/>
          <w:color w:val="59595B"/>
          <w:lang w:val="en-GB"/>
        </w:rPr>
        <w:t xml:space="preserve">our </w:t>
      </w:r>
      <w:r w:rsidR="00A068BF" w:rsidRPr="00A96D90">
        <w:rPr>
          <w:rFonts w:ascii="Calibri Light" w:hAnsi="Calibri Light"/>
          <w:color w:val="59595B"/>
          <w:lang w:val="en-GB"/>
        </w:rPr>
        <w:t>market presence especially in the USA</w:t>
      </w:r>
      <w:r w:rsidRPr="00A96D90">
        <w:rPr>
          <w:rFonts w:ascii="Calibri Light" w:hAnsi="Calibri Light"/>
          <w:color w:val="59595B"/>
          <w:lang w:val="en-GB"/>
        </w:rPr>
        <w:t xml:space="preserve">, </w:t>
      </w:r>
      <w:r w:rsidR="00A068BF" w:rsidRPr="00A96D90">
        <w:rPr>
          <w:rFonts w:ascii="Calibri Light" w:hAnsi="Calibri Light"/>
          <w:color w:val="59595B"/>
          <w:lang w:val="en-GB"/>
        </w:rPr>
        <w:t xml:space="preserve">the costs of </w:t>
      </w:r>
      <w:r w:rsidRPr="00A96D90">
        <w:rPr>
          <w:rFonts w:ascii="Calibri Light" w:hAnsi="Calibri Light"/>
          <w:color w:val="59595B"/>
          <w:lang w:val="en-GB"/>
        </w:rPr>
        <w:t xml:space="preserve">which </w:t>
      </w:r>
      <w:r w:rsidR="00A068BF" w:rsidRPr="00A96D90">
        <w:rPr>
          <w:rFonts w:ascii="Calibri Light" w:hAnsi="Calibri Light"/>
          <w:color w:val="59595B"/>
          <w:lang w:val="en-GB"/>
        </w:rPr>
        <w:t xml:space="preserve">are </w:t>
      </w:r>
      <w:r w:rsidRPr="00A96D90">
        <w:rPr>
          <w:rFonts w:ascii="Calibri Light" w:hAnsi="Calibri Light"/>
          <w:color w:val="59595B"/>
          <w:lang w:val="en-GB"/>
        </w:rPr>
        <w:t xml:space="preserve">reflected in </w:t>
      </w:r>
      <w:r w:rsidR="00A068BF" w:rsidRPr="00A96D90">
        <w:rPr>
          <w:rFonts w:ascii="Calibri Light" w:hAnsi="Calibri Light"/>
          <w:color w:val="59595B"/>
          <w:lang w:val="en-GB"/>
        </w:rPr>
        <w:t>a lower</w:t>
      </w:r>
      <w:r w:rsidRPr="00A96D90">
        <w:rPr>
          <w:rFonts w:ascii="Calibri Light" w:hAnsi="Calibri Light"/>
          <w:color w:val="59595B"/>
          <w:lang w:val="en-GB"/>
        </w:rPr>
        <w:t xml:space="preserve"> </w:t>
      </w:r>
      <w:r w:rsidR="00A068BF" w:rsidRPr="00A96D90">
        <w:rPr>
          <w:rFonts w:ascii="Calibri Light" w:hAnsi="Calibri Light"/>
          <w:color w:val="59595B"/>
          <w:lang w:val="en-GB"/>
        </w:rPr>
        <w:t xml:space="preserve">operating </w:t>
      </w:r>
      <w:r w:rsidRPr="00A96D90">
        <w:rPr>
          <w:rFonts w:ascii="Calibri Light" w:hAnsi="Calibri Light"/>
          <w:color w:val="59595B"/>
          <w:lang w:val="en-GB"/>
        </w:rPr>
        <w:t>profit for Q2.</w:t>
      </w:r>
      <w:r w:rsidR="0040539E">
        <w:rPr>
          <w:rFonts w:ascii="Calibri Light" w:hAnsi="Calibri Light"/>
          <w:color w:val="59595B"/>
          <w:lang w:val="en-GB"/>
        </w:rPr>
        <w:t xml:space="preserve"> </w:t>
      </w:r>
      <w:r w:rsidRPr="00A96D90">
        <w:rPr>
          <w:rFonts w:ascii="Calibri Light" w:hAnsi="Calibri Light"/>
          <w:color w:val="59595B"/>
          <w:lang w:val="en-GB"/>
        </w:rPr>
        <w:t>We expect to see the benefits of this investment in subsequent periods.</w:t>
      </w:r>
      <w:r w:rsidR="0040539E">
        <w:rPr>
          <w:rFonts w:ascii="Calibri Light" w:hAnsi="Calibri Light"/>
          <w:color w:val="59595B"/>
          <w:lang w:val="en-GB"/>
        </w:rPr>
        <w:t xml:space="preserve"> </w:t>
      </w:r>
    </w:p>
    <w:p w14:paraId="73E5EB46" w14:textId="3278A511" w:rsidR="005365CE" w:rsidRPr="00A96D90" w:rsidRDefault="005365CE" w:rsidP="00A068BF">
      <w:pPr>
        <w:autoSpaceDE w:val="0"/>
        <w:autoSpaceDN w:val="0"/>
        <w:adjustRightInd w:val="0"/>
        <w:spacing w:after="120"/>
        <w:rPr>
          <w:rFonts w:ascii="Calibri" w:hAnsi="Calibri" w:cs="Calibri"/>
          <w:color w:val="59595B"/>
          <w:szCs w:val="18"/>
          <w:lang w:val="en-GB"/>
        </w:rPr>
      </w:pPr>
      <w:r w:rsidRPr="00A96D90">
        <w:rPr>
          <w:rFonts w:ascii="Calibri Light" w:hAnsi="Calibri Light" w:cs="Calibri Light"/>
          <w:color w:val="59595B"/>
          <w:szCs w:val="18"/>
          <w:lang w:val="en-GB"/>
        </w:rPr>
        <w:t>In March, the European Commission</w:t>
      </w:r>
      <w:r w:rsidRPr="00A96D90">
        <w:rPr>
          <w:rFonts w:ascii="Calibri" w:hAnsi="Calibri" w:cs="Calibri"/>
          <w:color w:val="59595B"/>
          <w:szCs w:val="18"/>
          <w:lang w:val="en-GB"/>
        </w:rPr>
        <w:t xml:space="preserve"> </w:t>
      </w:r>
      <w:r w:rsidRPr="00A96D90">
        <w:rPr>
          <w:rFonts w:ascii="Calibri Light" w:hAnsi="Calibri Light" w:cs="Arial"/>
          <w:color w:val="59595B"/>
          <w:lang w:val="en-GB" w:eastAsia="en-GB"/>
        </w:rPr>
        <w:t>adopted the Commission Implementing Decision to amend the marketing authorisation for RUCONEST® to include self-administration using the RUCONEST® Administration Kit.</w:t>
      </w:r>
      <w:r w:rsidR="0040539E">
        <w:rPr>
          <w:rFonts w:ascii="Calibri Light" w:hAnsi="Calibri Light" w:cs="Arial"/>
          <w:color w:val="59595B"/>
          <w:lang w:val="en-GB" w:eastAsia="en-GB"/>
        </w:rPr>
        <w:t xml:space="preserve"> </w:t>
      </w:r>
      <w:r w:rsidRPr="00A96D90">
        <w:rPr>
          <w:rFonts w:ascii="Calibri Light" w:hAnsi="Calibri Light" w:cs="Arial"/>
          <w:color w:val="59595B"/>
          <w:lang w:val="en-GB" w:eastAsia="en-GB"/>
        </w:rPr>
        <w:t>This decision allows for self-administration of RUCONEST® for acute hereditary angioedema (HAE) attacks by adolescents and adults with a new custom-designed RUCONEST® Administration Kit in the comfort and privacy of their own homes or at any other place they choose, without the necessity of a healthcare professional (HCP) being present.</w:t>
      </w:r>
      <w:r w:rsidR="0040539E">
        <w:rPr>
          <w:rFonts w:ascii="Calibri Light" w:hAnsi="Calibri Light" w:cs="Arial"/>
          <w:color w:val="59595B"/>
          <w:lang w:val="en-GB" w:eastAsia="en-GB"/>
        </w:rPr>
        <w:t xml:space="preserve"> </w:t>
      </w:r>
      <w:r w:rsidRPr="00A96D90">
        <w:rPr>
          <w:rFonts w:ascii="Calibri Light" w:hAnsi="Calibri Light" w:cs="Arial"/>
          <w:color w:val="59595B"/>
          <w:lang w:val="en-GB" w:eastAsia="en-GB"/>
        </w:rPr>
        <w:t>The Administration Kit is now available for use in various EU markets, following approval of the Educational Materials by the local authorities in those markets.</w:t>
      </w:r>
    </w:p>
    <w:p w14:paraId="567FD896" w14:textId="2D30059D" w:rsidR="005365CE" w:rsidRPr="00A96D90" w:rsidRDefault="005365CE" w:rsidP="00A068BF">
      <w:pPr>
        <w:pStyle w:val="NoSpacing"/>
        <w:jc w:val="both"/>
        <w:rPr>
          <w:rFonts w:ascii="Calibri Light" w:hAnsi="Calibri Light"/>
          <w:color w:val="59595B"/>
          <w:lang w:val="en-GB"/>
        </w:rPr>
      </w:pPr>
      <w:r w:rsidRPr="00A96D90">
        <w:rPr>
          <w:rFonts w:ascii="Calibri Light" w:hAnsi="Calibri Light"/>
          <w:color w:val="59595B"/>
          <w:lang w:val="en-GB"/>
        </w:rPr>
        <w:t xml:space="preserve">In May, we announced a major refinancing of most of the financial instruments taken out in order to complete the acquisition of the commercialization rights to RUCONEST® from Valeant Pharmaceuticals </w:t>
      </w:r>
      <w:r w:rsidRPr="00A96D90">
        <w:rPr>
          <w:rFonts w:ascii="Calibri Light" w:hAnsi="Calibri Light" w:cs="Arial"/>
          <w:color w:val="59595B"/>
          <w:lang w:val="en-GB"/>
        </w:rPr>
        <w:t>International, Inc. (“Valeant”) (NYSE/TSX: VRX).</w:t>
      </w:r>
      <w:r w:rsidR="0040539E">
        <w:rPr>
          <w:rFonts w:ascii="Calibri Light" w:hAnsi="Calibri Light" w:cs="Arial"/>
          <w:color w:val="59595B"/>
          <w:lang w:val="en-GB"/>
        </w:rPr>
        <w:t xml:space="preserve"> </w:t>
      </w:r>
      <w:r w:rsidRPr="00A96D90">
        <w:rPr>
          <w:rFonts w:ascii="Calibri Light" w:hAnsi="Calibri Light" w:cs="Arial"/>
          <w:color w:val="59595B"/>
          <w:lang w:val="en-GB"/>
        </w:rPr>
        <w:t xml:space="preserve">Pharming completed a new US$100 </w:t>
      </w:r>
      <w:r w:rsidRPr="00A96D90">
        <w:rPr>
          <w:rFonts w:ascii="Calibri Light" w:hAnsi="Calibri Light" w:cs="Arial"/>
          <w:color w:val="59595B"/>
          <w:lang w:val="en-GB"/>
        </w:rPr>
        <w:lastRenderedPageBreak/>
        <w:t>million finance agreement with Orbimed Advisors. The new facility has been used to redeem the Amortizing Convertible Bonds due 2017/2018 and to refinance the Company’s senior debt facility with Silicon Valley Bank and Kreos Capital, together with the as</w:t>
      </w:r>
      <w:r w:rsidR="00177426" w:rsidRPr="00A96D90">
        <w:rPr>
          <w:rFonts w:ascii="Calibri Light" w:hAnsi="Calibri Light" w:cs="Arial"/>
          <w:color w:val="59595B"/>
          <w:lang w:val="en-GB"/>
        </w:rPr>
        <w:t>sociated prepayment fees,</w:t>
      </w:r>
      <w:r w:rsidRPr="00A96D90">
        <w:rPr>
          <w:rFonts w:ascii="Calibri Light" w:hAnsi="Calibri Light" w:cs="Arial"/>
          <w:color w:val="59595B"/>
          <w:lang w:val="en-GB"/>
        </w:rPr>
        <w:t xml:space="preserve"> legal</w:t>
      </w:r>
      <w:r w:rsidR="00177426" w:rsidRPr="00A96D90">
        <w:rPr>
          <w:rFonts w:ascii="Calibri Light" w:hAnsi="Calibri Light" w:cs="Arial"/>
          <w:color w:val="59595B"/>
          <w:lang w:val="en-GB"/>
        </w:rPr>
        <w:t xml:space="preserve"> fees</w:t>
      </w:r>
      <w:r w:rsidRPr="00A96D90">
        <w:rPr>
          <w:rFonts w:ascii="Calibri Light" w:hAnsi="Calibri Light" w:cs="Arial"/>
          <w:color w:val="59595B"/>
          <w:lang w:val="en-GB"/>
        </w:rPr>
        <w:t xml:space="preserve"> and other costs of the transaction. The loan, initially structured as a bridge facility, was replaced last week by a full loan agreement with a maturity date of July 2021 under the same terms and conditions.</w:t>
      </w:r>
      <w:r w:rsidR="0040539E">
        <w:rPr>
          <w:rFonts w:ascii="Calibri Light" w:hAnsi="Calibri Light"/>
          <w:color w:val="59595B"/>
          <w:lang w:val="en-GB"/>
        </w:rPr>
        <w:t xml:space="preserve"> </w:t>
      </w:r>
      <w:r w:rsidRPr="00A96D90">
        <w:rPr>
          <w:rFonts w:ascii="Calibri Light" w:hAnsi="Calibri Light"/>
          <w:color w:val="59595B"/>
          <w:lang w:val="en-GB"/>
        </w:rPr>
        <w:t>This refinance enabled the company to recover 115 million shares, which had been set aside to meet conversions of the Amortizing Convertible Bonds, thereby removing the risk of 24% dilution from conversion of these Bonds from existing shareholders.</w:t>
      </w:r>
      <w:r w:rsidR="0040539E">
        <w:rPr>
          <w:rFonts w:ascii="Calibri Light" w:hAnsi="Calibri Light"/>
          <w:color w:val="59595B"/>
          <w:lang w:val="en-GB"/>
        </w:rPr>
        <w:t xml:space="preserve"> </w:t>
      </w:r>
      <w:r w:rsidRPr="00A96D90">
        <w:rPr>
          <w:rFonts w:ascii="Calibri Light" w:hAnsi="Calibri Light"/>
          <w:color w:val="59595B"/>
          <w:lang w:val="en-GB"/>
        </w:rPr>
        <w:t xml:space="preserve">At the same time, we were able to lower the cash cost of the debt overall and to reduce </w:t>
      </w:r>
      <w:r w:rsidR="00134E79" w:rsidRPr="00A96D90">
        <w:rPr>
          <w:rFonts w:ascii="Calibri Light" w:hAnsi="Calibri Light"/>
          <w:color w:val="59595B"/>
          <w:lang w:val="en-GB"/>
        </w:rPr>
        <w:t xml:space="preserve">significantly </w:t>
      </w:r>
      <w:r w:rsidRPr="00A96D90">
        <w:rPr>
          <w:rFonts w:ascii="Calibri Light" w:hAnsi="Calibri Light"/>
          <w:color w:val="59595B"/>
          <w:lang w:val="en-GB"/>
        </w:rPr>
        <w:t xml:space="preserve">the non-cash accounting effects of the Amortizing Bonds, which amounted to almost €8 million in Q1 2017 alone. </w:t>
      </w:r>
    </w:p>
    <w:p w14:paraId="01A4CB96" w14:textId="77777777" w:rsidR="005365CE" w:rsidRPr="00A96D90" w:rsidRDefault="005365CE" w:rsidP="00A068BF">
      <w:pPr>
        <w:pStyle w:val="NoSpacing"/>
        <w:jc w:val="both"/>
        <w:rPr>
          <w:rFonts w:ascii="Calibri Light" w:hAnsi="Calibri Light"/>
          <w:color w:val="59595B"/>
          <w:lang w:val="en-GB"/>
        </w:rPr>
      </w:pPr>
    </w:p>
    <w:p w14:paraId="2A22EBD8" w14:textId="22F443ED" w:rsidR="005365CE" w:rsidRPr="00A96D90" w:rsidRDefault="005365CE" w:rsidP="00A068BF">
      <w:pPr>
        <w:pStyle w:val="NoSpacing"/>
        <w:spacing w:after="240"/>
        <w:jc w:val="both"/>
        <w:rPr>
          <w:rFonts w:ascii="Calibri Light" w:hAnsi="Calibri Light" w:cs="Helvetica"/>
          <w:color w:val="59595B"/>
          <w:szCs w:val="21"/>
          <w:lang w:val="en-GB"/>
        </w:rPr>
      </w:pPr>
      <w:r w:rsidRPr="00A96D90">
        <w:rPr>
          <w:rFonts w:ascii="Calibri Light" w:hAnsi="Calibri Light" w:cs="Helvetica"/>
          <w:color w:val="59595B"/>
          <w:szCs w:val="21"/>
          <w:lang w:val="en-GB"/>
        </w:rPr>
        <w:t>As expected, net profit was impacted by the one-off legal, accounting and other professional services costs resulting from the refinancing in May</w:t>
      </w:r>
      <w:r w:rsidR="00E25BDF" w:rsidRPr="00A96D90">
        <w:rPr>
          <w:rFonts w:ascii="Calibri Light" w:hAnsi="Calibri Light" w:cs="Helvetica"/>
          <w:color w:val="59595B"/>
          <w:szCs w:val="21"/>
          <w:lang w:val="en-GB"/>
        </w:rPr>
        <w:t>,</w:t>
      </w:r>
      <w:r w:rsidRPr="00A96D90">
        <w:rPr>
          <w:rFonts w:ascii="Calibri Light" w:hAnsi="Calibri Light" w:cs="Helvetica"/>
          <w:color w:val="59595B"/>
          <w:szCs w:val="21"/>
          <w:lang w:val="en-GB"/>
        </w:rPr>
        <w:t xml:space="preserve"> </w:t>
      </w:r>
      <w:r w:rsidR="001200BD" w:rsidRPr="00A96D90">
        <w:rPr>
          <w:rFonts w:ascii="Calibri Light" w:hAnsi="Calibri Light" w:cs="Helvetica"/>
          <w:color w:val="59595B"/>
          <w:szCs w:val="21"/>
          <w:lang w:val="en-GB"/>
        </w:rPr>
        <w:t xml:space="preserve">which </w:t>
      </w:r>
      <w:r w:rsidRPr="00A96D90">
        <w:rPr>
          <w:rFonts w:ascii="Calibri Light" w:hAnsi="Calibri Light" w:cs="Helvetica"/>
          <w:color w:val="59595B"/>
          <w:szCs w:val="21"/>
          <w:lang w:val="en-GB"/>
        </w:rPr>
        <w:t>amounted to €</w:t>
      </w:r>
      <w:r w:rsidR="00BF2F3E" w:rsidRPr="00A96D90">
        <w:rPr>
          <w:rFonts w:ascii="Calibri Light" w:hAnsi="Calibri Light" w:cs="Helvetica"/>
          <w:color w:val="59595B"/>
          <w:szCs w:val="21"/>
          <w:lang w:val="en-GB"/>
        </w:rPr>
        <w:t>16.1</w:t>
      </w:r>
      <w:r w:rsidRPr="00A96D90">
        <w:rPr>
          <w:rFonts w:ascii="Calibri Light" w:hAnsi="Calibri Light" w:cs="Helvetica"/>
          <w:color w:val="59595B"/>
          <w:szCs w:val="21"/>
          <w:lang w:val="en-GB"/>
        </w:rPr>
        <w:t xml:space="preserve"> million before </w:t>
      </w:r>
      <w:r w:rsidR="00A068BF" w:rsidRPr="00A96D90">
        <w:rPr>
          <w:rFonts w:ascii="Calibri Light" w:hAnsi="Calibri Light"/>
          <w:color w:val="59595B"/>
          <w:lang w:val="en-GB"/>
        </w:rPr>
        <w:t>non-cash financing expenses required to be shown under IFRS associated with the extinction of the Amortising Convertible Bonds 2017/2018 and replacement of the old debt facility.</w:t>
      </w:r>
    </w:p>
    <w:p w14:paraId="18BE99B6" w14:textId="7C36F2FD" w:rsidR="005365CE" w:rsidRPr="00A96D90" w:rsidRDefault="005365CE" w:rsidP="00A068BF">
      <w:pPr>
        <w:pStyle w:val="NoSpacing"/>
        <w:jc w:val="both"/>
        <w:rPr>
          <w:rFonts w:ascii="Calibri Light" w:hAnsi="Calibri Light"/>
          <w:color w:val="59595B"/>
          <w:lang w:val="en-GB"/>
        </w:rPr>
      </w:pPr>
      <w:r w:rsidRPr="00A96D90">
        <w:rPr>
          <w:rFonts w:ascii="Calibri Light" w:hAnsi="Calibri Light"/>
          <w:color w:val="59595B"/>
          <w:lang w:val="en-GB"/>
        </w:rPr>
        <w:t>Based on the increased momentum in sales volumes, underlying improving trends in identifying and diagnosing patients, combined with better patient care and management practices, and a focus on specialty pharmacy customers, we expect to further increase sales.</w:t>
      </w:r>
      <w:r w:rsidR="0040539E">
        <w:rPr>
          <w:rFonts w:ascii="Calibri Light" w:hAnsi="Calibri Light"/>
          <w:color w:val="59595B"/>
          <w:lang w:val="en-GB"/>
        </w:rPr>
        <w:t xml:space="preserve"> </w:t>
      </w:r>
      <w:r w:rsidRPr="00A96D90">
        <w:rPr>
          <w:rFonts w:ascii="Calibri Light" w:hAnsi="Calibri Light"/>
          <w:color w:val="59595B"/>
          <w:lang w:val="en-GB"/>
        </w:rPr>
        <w:t>We will continue to control costs and investments to improve profitability and drive sustainable long-term growth.</w:t>
      </w:r>
      <w:r w:rsidR="0040539E">
        <w:rPr>
          <w:rFonts w:ascii="Calibri Light" w:hAnsi="Calibri Light"/>
          <w:color w:val="59595B"/>
          <w:lang w:val="en-GB"/>
        </w:rPr>
        <w:t xml:space="preserve"> </w:t>
      </w:r>
      <w:r w:rsidRPr="00A96D90">
        <w:rPr>
          <w:rFonts w:ascii="Calibri Light" w:hAnsi="Calibri Light"/>
          <w:color w:val="59595B"/>
          <w:lang w:val="en-GB"/>
        </w:rPr>
        <w:t>We continue to expect additional positive operating results for the remainder of the year. No further financial guidance is provided</w:t>
      </w:r>
      <w:r w:rsidR="00CD6573" w:rsidRPr="00A96D90">
        <w:rPr>
          <w:rFonts w:ascii="Calibri Light" w:hAnsi="Calibri Light"/>
          <w:color w:val="59595B"/>
          <w:lang w:val="en-GB"/>
        </w:rPr>
        <w:t>.</w:t>
      </w:r>
      <w:r w:rsidR="0040539E">
        <w:rPr>
          <w:rFonts w:ascii="Calibri Light" w:hAnsi="Calibri Light"/>
          <w:color w:val="59595B"/>
          <w:lang w:val="en-GB"/>
        </w:rPr>
        <w:t xml:space="preserve"> </w:t>
      </w:r>
    </w:p>
    <w:p w14:paraId="631B8ABB" w14:textId="77777777" w:rsidR="005365CE" w:rsidRPr="00A96D90" w:rsidRDefault="005365CE" w:rsidP="005365CE">
      <w:pPr>
        <w:pStyle w:val="NoSpacing"/>
        <w:ind w:right="144"/>
        <w:rPr>
          <w:rFonts w:ascii="Calibri Light" w:hAnsi="Calibri Light"/>
          <w:color w:val="59595B"/>
          <w:lang w:val="en-GB"/>
        </w:rPr>
      </w:pPr>
    </w:p>
    <w:p w14:paraId="32A6258D" w14:textId="77777777" w:rsidR="005365CE" w:rsidRPr="00A96D90" w:rsidRDefault="005365CE" w:rsidP="005365CE">
      <w:pPr>
        <w:pStyle w:val="NoSpacing"/>
        <w:ind w:right="144"/>
        <w:rPr>
          <w:rFonts w:ascii="Calibri Light" w:hAnsi="Calibri Light" w:cs="Helvetica"/>
          <w:color w:val="59595B"/>
          <w:lang w:val="en-GB"/>
        </w:rPr>
      </w:pPr>
      <w:r w:rsidRPr="00A96D90">
        <w:rPr>
          <w:rFonts w:ascii="Calibri Light" w:hAnsi="Calibri Light" w:cs="Helvetica"/>
          <w:color w:val="59595B"/>
          <w:lang w:val="en-GB"/>
        </w:rPr>
        <w:t>Sijmen de Vries</w:t>
      </w:r>
    </w:p>
    <w:p w14:paraId="2AFB6CE3" w14:textId="77777777" w:rsidR="005365CE" w:rsidRPr="00A96D90" w:rsidRDefault="005365CE" w:rsidP="005365CE">
      <w:pPr>
        <w:pStyle w:val="NoSpacing"/>
        <w:ind w:right="144"/>
        <w:rPr>
          <w:rFonts w:ascii="Calibri Light" w:hAnsi="Calibri Light" w:cs="Helvetica"/>
          <w:i/>
          <w:color w:val="59595B"/>
          <w:lang w:val="en-GB"/>
        </w:rPr>
      </w:pPr>
      <w:r w:rsidRPr="00A96D90">
        <w:rPr>
          <w:rFonts w:ascii="Calibri Light" w:hAnsi="Calibri Light" w:cs="Helvetica"/>
          <w:i/>
          <w:color w:val="59595B"/>
          <w:lang w:val="en-GB"/>
        </w:rPr>
        <w:t xml:space="preserve">Chief Executive Officer </w:t>
      </w:r>
    </w:p>
    <w:p w14:paraId="0A8D1211" w14:textId="77777777" w:rsidR="005365CE" w:rsidRPr="00A96D90" w:rsidRDefault="005365CE" w:rsidP="005365CE">
      <w:pPr>
        <w:rPr>
          <w:rFonts w:ascii="Calibri" w:eastAsia="SimSun" w:hAnsi="Calibri" w:cs="Arial"/>
          <w:color w:val="808080" w:themeColor="background1" w:themeShade="80"/>
          <w:szCs w:val="22"/>
          <w:lang w:val="en-GB" w:eastAsia="zh-CN"/>
        </w:rPr>
      </w:pPr>
    </w:p>
    <w:p w14:paraId="5E292520" w14:textId="336E7953" w:rsidR="001B0F98" w:rsidRPr="00A96D90" w:rsidRDefault="001B0F98" w:rsidP="005365CE">
      <w:pPr>
        <w:autoSpaceDE w:val="0"/>
        <w:autoSpaceDN w:val="0"/>
        <w:adjustRightInd w:val="0"/>
        <w:spacing w:after="120"/>
        <w:jc w:val="left"/>
        <w:rPr>
          <w:rFonts w:ascii="Calibri" w:hAnsi="Calibri" w:cs="Calibri"/>
          <w:color w:val="808080" w:themeColor="background1" w:themeShade="80"/>
          <w:szCs w:val="18"/>
          <w:lang w:val="en-GB"/>
        </w:rPr>
      </w:pPr>
    </w:p>
    <w:p w14:paraId="32FB38D2" w14:textId="7950D83D" w:rsidR="005365CE" w:rsidRPr="00A96D90" w:rsidRDefault="001B0F98" w:rsidP="005365CE">
      <w:pPr>
        <w:rPr>
          <w:rFonts w:ascii="Calibri Light" w:eastAsia="SimSun" w:hAnsi="Calibri Light" w:cs="Calibri Light"/>
          <w:b/>
          <w:color w:val="00679B"/>
          <w:sz w:val="24"/>
          <w:szCs w:val="22"/>
          <w:lang w:val="en-GB" w:eastAsia="zh-CN"/>
        </w:rPr>
      </w:pPr>
      <w:r w:rsidRPr="00A96D90">
        <w:rPr>
          <w:rFonts w:ascii="Calibri Light" w:eastAsia="SimSun" w:hAnsi="Calibri Light" w:cs="Calibri Light"/>
          <w:b/>
          <w:color w:val="00679B"/>
          <w:sz w:val="24"/>
          <w:szCs w:val="22"/>
          <w:lang w:val="en-GB" w:eastAsia="zh-CN"/>
        </w:rPr>
        <w:t>Financial Summary</w:t>
      </w:r>
    </w:p>
    <w:p w14:paraId="2D849C97" w14:textId="77777777" w:rsidR="001B0F98" w:rsidRPr="00A96D90" w:rsidRDefault="001B0F98" w:rsidP="005365CE">
      <w:pPr>
        <w:rPr>
          <w:rFonts w:ascii="Calibri Light" w:eastAsia="SimSun" w:hAnsi="Calibri Light" w:cs="Calibri Light"/>
          <w:b/>
          <w:color w:val="00679B"/>
          <w:sz w:val="24"/>
          <w:szCs w:val="22"/>
          <w:lang w:val="en-GB" w:eastAsia="zh-CN"/>
        </w:rPr>
      </w:pPr>
    </w:p>
    <w:tbl>
      <w:tblPr>
        <w:tblW w:w="8264" w:type="dxa"/>
        <w:tblInd w:w="360" w:type="dxa"/>
        <w:tblBorders>
          <w:top w:val="single" w:sz="4" w:space="0" w:color="808080" w:themeColor="background1" w:themeShade="80"/>
          <w:lef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391"/>
        <w:gridCol w:w="1257"/>
        <w:gridCol w:w="1294"/>
        <w:gridCol w:w="1322"/>
      </w:tblGrid>
      <w:tr w:rsidR="001B0F98" w:rsidRPr="00A96D90" w14:paraId="75AD2F12" w14:textId="77777777" w:rsidTr="001B0F98">
        <w:trPr>
          <w:trHeight w:val="295"/>
        </w:trPr>
        <w:tc>
          <w:tcPr>
            <w:tcW w:w="4391" w:type="dxa"/>
          </w:tcPr>
          <w:p w14:paraId="489568DF" w14:textId="4C5DA43D" w:rsidR="005365CE" w:rsidRPr="00A96D90" w:rsidRDefault="005365CE" w:rsidP="005365CE">
            <w:pPr>
              <w:rPr>
                <w:rFonts w:asciiTheme="minorHAnsi" w:eastAsia="SimSun" w:hAnsiTheme="minorHAnsi" w:cstheme="minorHAnsi"/>
                <w:b/>
                <w:color w:val="276E8B" w:themeColor="accent1" w:themeShade="BF"/>
                <w:szCs w:val="22"/>
                <w:lang w:val="en-GB" w:eastAsia="zh-CN"/>
              </w:rPr>
            </w:pPr>
            <w:r w:rsidRPr="00A96D90">
              <w:rPr>
                <w:rFonts w:asciiTheme="minorHAnsi" w:eastAsia="SimSun" w:hAnsiTheme="minorHAnsi" w:cstheme="minorHAnsi"/>
                <w:b/>
                <w:color w:val="00679B"/>
                <w:sz w:val="20"/>
                <w:szCs w:val="22"/>
                <w:lang w:val="en-GB" w:eastAsia="zh-CN"/>
              </w:rPr>
              <w:t>Amounts in €m, except per share data</w:t>
            </w:r>
          </w:p>
        </w:tc>
        <w:tc>
          <w:tcPr>
            <w:tcW w:w="1257" w:type="dxa"/>
            <w:shd w:val="clear" w:color="auto" w:fill="F2F2F2" w:themeFill="background1" w:themeFillShade="F2"/>
          </w:tcPr>
          <w:p w14:paraId="3E2D61B8" w14:textId="49AEC20C" w:rsidR="005365CE" w:rsidRPr="00A96D90" w:rsidRDefault="005365CE" w:rsidP="001B0F98">
            <w:pPr>
              <w:jc w:val="right"/>
              <w:rPr>
                <w:rFonts w:asciiTheme="minorHAnsi" w:eastAsia="SimSun" w:hAnsiTheme="minorHAnsi" w:cstheme="minorHAnsi"/>
                <w:b/>
                <w:i/>
                <w:color w:val="00679B"/>
                <w:szCs w:val="22"/>
                <w:lang w:val="en-GB" w:eastAsia="zh-CN"/>
              </w:rPr>
            </w:pPr>
            <w:r w:rsidRPr="00A96D90">
              <w:rPr>
                <w:rFonts w:asciiTheme="minorHAnsi" w:eastAsia="SimSun" w:hAnsiTheme="minorHAnsi" w:cstheme="minorHAnsi"/>
                <w:b/>
                <w:i/>
                <w:color w:val="00679B"/>
                <w:szCs w:val="22"/>
                <w:lang w:val="en-GB" w:eastAsia="zh-CN"/>
              </w:rPr>
              <w:t>HY 2017</w:t>
            </w:r>
          </w:p>
        </w:tc>
        <w:tc>
          <w:tcPr>
            <w:tcW w:w="1294" w:type="dxa"/>
          </w:tcPr>
          <w:p w14:paraId="28BAE028" w14:textId="76BE0B15" w:rsidR="005365CE" w:rsidRPr="00A96D90" w:rsidRDefault="005365CE" w:rsidP="001B0F98">
            <w:pPr>
              <w:jc w:val="right"/>
              <w:rPr>
                <w:rFonts w:asciiTheme="minorHAnsi" w:eastAsia="SimSun" w:hAnsiTheme="minorHAnsi" w:cstheme="minorHAnsi"/>
                <w:b/>
                <w:i/>
                <w:color w:val="00679B"/>
                <w:szCs w:val="22"/>
                <w:lang w:val="en-GB" w:eastAsia="zh-CN"/>
              </w:rPr>
            </w:pPr>
            <w:r w:rsidRPr="00A96D90">
              <w:rPr>
                <w:rFonts w:asciiTheme="minorHAnsi" w:eastAsia="SimSun" w:hAnsiTheme="minorHAnsi" w:cstheme="minorHAnsi"/>
                <w:b/>
                <w:i/>
                <w:color w:val="00679B"/>
                <w:szCs w:val="22"/>
                <w:lang w:val="en-GB" w:eastAsia="zh-CN"/>
              </w:rPr>
              <w:t>HY 2016</w:t>
            </w:r>
          </w:p>
        </w:tc>
        <w:tc>
          <w:tcPr>
            <w:tcW w:w="1322" w:type="dxa"/>
            <w:shd w:val="clear" w:color="auto" w:fill="F2F2F2" w:themeFill="background1" w:themeFillShade="F2"/>
          </w:tcPr>
          <w:p w14:paraId="4A889AF3" w14:textId="3C2A036C" w:rsidR="005365CE" w:rsidRPr="00A96D90" w:rsidRDefault="005365CE" w:rsidP="001B0F98">
            <w:pPr>
              <w:jc w:val="right"/>
              <w:rPr>
                <w:rFonts w:asciiTheme="minorHAnsi" w:eastAsia="SimSun" w:hAnsiTheme="minorHAnsi" w:cstheme="minorHAnsi"/>
                <w:b/>
                <w:i/>
                <w:color w:val="00679B"/>
                <w:szCs w:val="22"/>
                <w:lang w:val="en-GB" w:eastAsia="zh-CN"/>
              </w:rPr>
            </w:pPr>
            <w:r w:rsidRPr="00A96D90">
              <w:rPr>
                <w:rFonts w:asciiTheme="minorHAnsi" w:eastAsia="SimSun" w:hAnsiTheme="minorHAnsi" w:cstheme="minorHAnsi"/>
                <w:b/>
                <w:i/>
                <w:color w:val="00679B"/>
                <w:szCs w:val="22"/>
                <w:lang w:val="en-GB" w:eastAsia="zh-CN"/>
              </w:rPr>
              <w:t>%</w:t>
            </w:r>
            <w:r w:rsidR="001B0F98" w:rsidRPr="00A96D90">
              <w:rPr>
                <w:rFonts w:asciiTheme="minorHAnsi" w:eastAsia="SimSun" w:hAnsiTheme="minorHAnsi" w:cstheme="minorHAnsi"/>
                <w:b/>
                <w:i/>
                <w:color w:val="00679B"/>
                <w:szCs w:val="22"/>
                <w:lang w:val="en-GB" w:eastAsia="zh-CN"/>
              </w:rPr>
              <w:t xml:space="preserve"> </w:t>
            </w:r>
            <w:r w:rsidR="001B0F98" w:rsidRPr="00A96D90">
              <w:rPr>
                <w:rFonts w:asciiTheme="minorHAnsi" w:eastAsia="SimSun" w:hAnsiTheme="minorHAnsi" w:cstheme="minorHAnsi"/>
                <w:b/>
                <w:i/>
                <w:color w:val="00679B"/>
                <w:sz w:val="20"/>
                <w:szCs w:val="22"/>
                <w:lang w:val="en-GB" w:eastAsia="zh-CN"/>
              </w:rPr>
              <w:t>Chan</w:t>
            </w:r>
            <w:r w:rsidRPr="00A96D90">
              <w:rPr>
                <w:rFonts w:asciiTheme="minorHAnsi" w:eastAsia="SimSun" w:hAnsiTheme="minorHAnsi" w:cstheme="minorHAnsi"/>
                <w:b/>
                <w:i/>
                <w:color w:val="00679B"/>
                <w:sz w:val="20"/>
                <w:szCs w:val="22"/>
                <w:lang w:val="en-GB" w:eastAsia="zh-CN"/>
              </w:rPr>
              <w:t>ge</w:t>
            </w:r>
          </w:p>
        </w:tc>
      </w:tr>
      <w:tr w:rsidR="005365CE" w:rsidRPr="00A96D90" w14:paraId="4AEC6BA1" w14:textId="77777777" w:rsidTr="001B0F98">
        <w:trPr>
          <w:trHeight w:val="1166"/>
        </w:trPr>
        <w:tc>
          <w:tcPr>
            <w:tcW w:w="4391" w:type="dxa"/>
          </w:tcPr>
          <w:p w14:paraId="0FF3BABB" w14:textId="77777777" w:rsidR="005365CE" w:rsidRPr="00A96D90" w:rsidRDefault="005365CE" w:rsidP="005365CE">
            <w:pPr>
              <w:rPr>
                <w:rFonts w:asciiTheme="minorHAnsi" w:eastAsia="SimSun" w:hAnsiTheme="minorHAnsi" w:cstheme="minorHAnsi"/>
                <w:i/>
                <w:color w:val="59595B"/>
                <w:szCs w:val="22"/>
                <w:lang w:val="en-GB" w:eastAsia="zh-CN"/>
              </w:rPr>
            </w:pPr>
            <w:r w:rsidRPr="00A96D90">
              <w:rPr>
                <w:rFonts w:asciiTheme="minorHAnsi" w:eastAsia="SimSun" w:hAnsiTheme="minorHAnsi" w:cstheme="minorHAnsi"/>
                <w:i/>
                <w:color w:val="59595B"/>
                <w:szCs w:val="22"/>
                <w:lang w:val="en-GB" w:eastAsia="zh-CN"/>
              </w:rPr>
              <w:t>Income Statement</w:t>
            </w:r>
          </w:p>
          <w:p w14:paraId="144F4EB6"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Product sales</w:t>
            </w:r>
          </w:p>
          <w:p w14:paraId="418B4720"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 xml:space="preserve">License fees </w:t>
            </w:r>
          </w:p>
          <w:p w14:paraId="17347A82"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Revenue</w:t>
            </w:r>
          </w:p>
          <w:p w14:paraId="534C8592" w14:textId="77777777" w:rsidR="005365CE" w:rsidRPr="00A96D90" w:rsidRDefault="005365CE" w:rsidP="005365CE">
            <w:pPr>
              <w:rPr>
                <w:rFonts w:asciiTheme="minorHAnsi" w:eastAsia="SimSun" w:hAnsiTheme="minorHAnsi" w:cstheme="minorHAnsi"/>
                <w:b/>
                <w:color w:val="59595B"/>
                <w:szCs w:val="22"/>
                <w:lang w:val="en-GB" w:eastAsia="zh-CN"/>
              </w:rPr>
            </w:pPr>
          </w:p>
          <w:p w14:paraId="39AD22A8"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Gross Profit</w:t>
            </w:r>
          </w:p>
          <w:p w14:paraId="42176118" w14:textId="77777777" w:rsidR="005365CE" w:rsidRPr="00A96D90" w:rsidRDefault="005365CE" w:rsidP="005365CE">
            <w:pPr>
              <w:rPr>
                <w:rFonts w:asciiTheme="minorHAnsi" w:eastAsia="SimSun" w:hAnsiTheme="minorHAnsi" w:cstheme="minorHAnsi"/>
                <w:b/>
                <w:color w:val="59595B"/>
                <w:szCs w:val="22"/>
                <w:lang w:val="en-GB" w:eastAsia="zh-CN"/>
              </w:rPr>
            </w:pPr>
          </w:p>
          <w:p w14:paraId="15F4BC4C"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Costs</w:t>
            </w:r>
          </w:p>
          <w:p w14:paraId="68E87CA2" w14:textId="77777777" w:rsidR="005365CE" w:rsidRPr="00A96D90" w:rsidRDefault="005365CE" w:rsidP="005365CE">
            <w:pPr>
              <w:rPr>
                <w:rFonts w:asciiTheme="minorHAnsi" w:eastAsia="SimSun" w:hAnsiTheme="minorHAnsi" w:cstheme="minorHAnsi"/>
                <w:b/>
                <w:color w:val="59595B"/>
                <w:szCs w:val="22"/>
                <w:lang w:val="en-GB" w:eastAsia="zh-CN"/>
              </w:rPr>
            </w:pPr>
          </w:p>
          <w:p w14:paraId="3A024891"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Operating Result</w:t>
            </w:r>
          </w:p>
        </w:tc>
        <w:tc>
          <w:tcPr>
            <w:tcW w:w="1257" w:type="dxa"/>
            <w:shd w:val="clear" w:color="auto" w:fill="F2F2F2" w:themeFill="background1" w:themeFillShade="F2"/>
          </w:tcPr>
          <w:p w14:paraId="04A6A3DE"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07E9302D"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30.1</w:t>
            </w:r>
          </w:p>
          <w:p w14:paraId="17E9EE7D" w14:textId="77777777" w:rsidR="005365CE" w:rsidRPr="00A96D90" w:rsidRDefault="005365CE" w:rsidP="005365CE">
            <w:pPr>
              <w:jc w:val="right"/>
              <w:rPr>
                <w:rFonts w:asciiTheme="minorHAnsi" w:eastAsia="SimSun" w:hAnsiTheme="minorHAnsi" w:cstheme="minorHAnsi"/>
                <w:color w:val="808080" w:themeColor="background1" w:themeShade="80"/>
                <w:szCs w:val="22"/>
                <w:u w:val="single"/>
                <w:lang w:val="en-GB" w:eastAsia="zh-CN"/>
              </w:rPr>
            </w:pPr>
            <w:r w:rsidRPr="00A96D90">
              <w:rPr>
                <w:rFonts w:asciiTheme="minorHAnsi" w:eastAsia="SimSun" w:hAnsiTheme="minorHAnsi" w:cstheme="minorHAnsi"/>
                <w:color w:val="808080" w:themeColor="background1" w:themeShade="80"/>
                <w:szCs w:val="22"/>
                <w:u w:val="single"/>
                <w:lang w:val="en-GB" w:eastAsia="zh-CN"/>
              </w:rPr>
              <w:t>0.5</w:t>
            </w:r>
          </w:p>
          <w:p w14:paraId="046EF779"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30.6</w:t>
            </w:r>
          </w:p>
          <w:p w14:paraId="30188A11"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38756EFD"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27.0</w:t>
            </w:r>
          </w:p>
          <w:p w14:paraId="0C2FBE53"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1EA52489" w14:textId="77868564"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22.</w:t>
            </w:r>
            <w:r w:rsidR="00BF2F3E" w:rsidRPr="00A96D90">
              <w:rPr>
                <w:rFonts w:asciiTheme="minorHAnsi" w:eastAsia="SimSun" w:hAnsiTheme="minorHAnsi" w:cstheme="minorHAnsi"/>
                <w:color w:val="808080" w:themeColor="background1" w:themeShade="80"/>
                <w:szCs w:val="22"/>
                <w:lang w:val="en-GB" w:eastAsia="zh-CN"/>
              </w:rPr>
              <w:t>9</w:t>
            </w:r>
          </w:p>
          <w:p w14:paraId="40775FF4"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3EA8F8B8"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4.2</w:t>
            </w:r>
          </w:p>
        </w:tc>
        <w:tc>
          <w:tcPr>
            <w:tcW w:w="1294" w:type="dxa"/>
          </w:tcPr>
          <w:p w14:paraId="735A85F4"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72D1DD0B"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4.2</w:t>
            </w:r>
          </w:p>
          <w:p w14:paraId="7819F57D" w14:textId="77777777" w:rsidR="005365CE" w:rsidRPr="00A96D90" w:rsidRDefault="005365CE" w:rsidP="005365CE">
            <w:pPr>
              <w:jc w:val="right"/>
              <w:rPr>
                <w:rFonts w:asciiTheme="minorHAnsi" w:eastAsia="SimSun" w:hAnsiTheme="minorHAnsi" w:cstheme="minorHAnsi"/>
                <w:color w:val="808080" w:themeColor="background1" w:themeShade="80"/>
                <w:szCs w:val="22"/>
                <w:u w:val="single"/>
                <w:lang w:val="en-GB" w:eastAsia="zh-CN"/>
              </w:rPr>
            </w:pPr>
            <w:r w:rsidRPr="00A96D90">
              <w:rPr>
                <w:rFonts w:asciiTheme="minorHAnsi" w:eastAsia="SimSun" w:hAnsiTheme="minorHAnsi" w:cstheme="minorHAnsi"/>
                <w:color w:val="808080" w:themeColor="background1" w:themeShade="80"/>
                <w:szCs w:val="22"/>
                <w:u w:val="single"/>
                <w:lang w:val="en-GB" w:eastAsia="zh-CN"/>
              </w:rPr>
              <w:t>1.1</w:t>
            </w:r>
          </w:p>
          <w:p w14:paraId="16EBBE6A"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5.3</w:t>
            </w:r>
          </w:p>
          <w:p w14:paraId="6CF4A1AD"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7FEB5A63"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3.3</w:t>
            </w:r>
          </w:p>
          <w:p w14:paraId="02F78194"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6C32B6BF"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9.7</w:t>
            </w:r>
          </w:p>
          <w:p w14:paraId="7099AF21"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52E06B90"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(6.2)</w:t>
            </w:r>
          </w:p>
        </w:tc>
        <w:tc>
          <w:tcPr>
            <w:tcW w:w="1322" w:type="dxa"/>
            <w:shd w:val="clear" w:color="auto" w:fill="F2F2F2" w:themeFill="background1" w:themeFillShade="F2"/>
          </w:tcPr>
          <w:p w14:paraId="068B66C8" w14:textId="7777777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p>
          <w:p w14:paraId="2CF2B69D" w14:textId="7EB85594"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617</w:t>
            </w:r>
            <w:r w:rsidR="005365CE" w:rsidRPr="00A96D90">
              <w:rPr>
                <w:rFonts w:asciiTheme="minorHAnsi" w:eastAsia="SimSun" w:hAnsiTheme="minorHAnsi" w:cstheme="minorHAnsi"/>
                <w:i/>
                <w:color w:val="808080" w:themeColor="background1" w:themeShade="80"/>
                <w:szCs w:val="22"/>
                <w:lang w:val="en-GB" w:eastAsia="zh-CN"/>
              </w:rPr>
              <w:t>%</w:t>
            </w:r>
          </w:p>
          <w:p w14:paraId="76546219" w14:textId="00B8173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w:t>
            </w:r>
            <w:r w:rsidR="00C05185" w:rsidRPr="00A96D90">
              <w:rPr>
                <w:rFonts w:asciiTheme="minorHAnsi" w:eastAsia="SimSun" w:hAnsiTheme="minorHAnsi" w:cstheme="minorHAnsi"/>
                <w:i/>
                <w:color w:val="808080" w:themeColor="background1" w:themeShade="80"/>
                <w:szCs w:val="22"/>
                <w:lang w:val="en-GB" w:eastAsia="zh-CN"/>
              </w:rPr>
              <w:t>55</w:t>
            </w:r>
            <w:r w:rsidRPr="00A96D90">
              <w:rPr>
                <w:rFonts w:asciiTheme="minorHAnsi" w:eastAsia="SimSun" w:hAnsiTheme="minorHAnsi" w:cstheme="minorHAnsi"/>
                <w:i/>
                <w:color w:val="808080" w:themeColor="background1" w:themeShade="80"/>
                <w:szCs w:val="22"/>
                <w:lang w:val="en-GB" w:eastAsia="zh-CN"/>
              </w:rPr>
              <w:t>%)</w:t>
            </w:r>
          </w:p>
          <w:p w14:paraId="1E445AB6" w14:textId="315F439E"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477</w:t>
            </w:r>
            <w:r w:rsidR="005365CE" w:rsidRPr="00A96D90">
              <w:rPr>
                <w:rFonts w:asciiTheme="minorHAnsi" w:eastAsia="SimSun" w:hAnsiTheme="minorHAnsi" w:cstheme="minorHAnsi"/>
                <w:i/>
                <w:color w:val="808080" w:themeColor="background1" w:themeShade="80"/>
                <w:szCs w:val="22"/>
                <w:lang w:val="en-GB" w:eastAsia="zh-CN"/>
              </w:rPr>
              <w:t>%</w:t>
            </w:r>
          </w:p>
          <w:p w14:paraId="3F58B4E2" w14:textId="7777777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p>
          <w:p w14:paraId="492027DB" w14:textId="2EB1C570"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718</w:t>
            </w:r>
            <w:r w:rsidR="005365CE" w:rsidRPr="00A96D90">
              <w:rPr>
                <w:rFonts w:asciiTheme="minorHAnsi" w:eastAsia="SimSun" w:hAnsiTheme="minorHAnsi" w:cstheme="minorHAnsi"/>
                <w:i/>
                <w:color w:val="808080" w:themeColor="background1" w:themeShade="80"/>
                <w:szCs w:val="22"/>
                <w:lang w:val="en-GB" w:eastAsia="zh-CN"/>
              </w:rPr>
              <w:t>%</w:t>
            </w:r>
          </w:p>
          <w:p w14:paraId="71A5C9A8" w14:textId="7777777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p>
          <w:p w14:paraId="00362EB7" w14:textId="74F03223"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136</w:t>
            </w:r>
            <w:r w:rsidR="005365CE" w:rsidRPr="00A96D90">
              <w:rPr>
                <w:rFonts w:asciiTheme="minorHAnsi" w:eastAsia="SimSun" w:hAnsiTheme="minorHAnsi" w:cstheme="minorHAnsi"/>
                <w:i/>
                <w:color w:val="808080" w:themeColor="background1" w:themeShade="80"/>
                <w:szCs w:val="22"/>
                <w:lang w:val="en-GB" w:eastAsia="zh-CN"/>
              </w:rPr>
              <w:t>%</w:t>
            </w:r>
          </w:p>
          <w:p w14:paraId="39AADF8C" w14:textId="7777777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p>
          <w:p w14:paraId="6B4ED91F" w14:textId="3DC0661C"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168</w:t>
            </w:r>
            <w:r w:rsidR="005365CE" w:rsidRPr="00A96D90">
              <w:rPr>
                <w:rFonts w:asciiTheme="minorHAnsi" w:eastAsia="SimSun" w:hAnsiTheme="minorHAnsi" w:cstheme="minorHAnsi"/>
                <w:i/>
                <w:color w:val="808080" w:themeColor="background1" w:themeShade="80"/>
                <w:szCs w:val="22"/>
                <w:lang w:val="en-GB" w:eastAsia="zh-CN"/>
              </w:rPr>
              <w:t>%</w:t>
            </w:r>
          </w:p>
        </w:tc>
      </w:tr>
      <w:tr w:rsidR="005365CE" w:rsidRPr="00A96D90" w14:paraId="31483730" w14:textId="77777777" w:rsidTr="001B0F98">
        <w:trPr>
          <w:trHeight w:val="591"/>
        </w:trPr>
        <w:tc>
          <w:tcPr>
            <w:tcW w:w="4391" w:type="dxa"/>
          </w:tcPr>
          <w:p w14:paraId="6AE9D295" w14:textId="77777777" w:rsidR="005365CE" w:rsidRPr="00A96D90" w:rsidRDefault="005365CE" w:rsidP="005365CE">
            <w:pPr>
              <w:rPr>
                <w:rFonts w:asciiTheme="minorHAnsi" w:eastAsia="SimSun" w:hAnsiTheme="minorHAnsi" w:cstheme="minorHAnsi"/>
                <w:i/>
                <w:color w:val="59595B"/>
                <w:szCs w:val="22"/>
                <w:lang w:val="en-GB" w:eastAsia="zh-CN"/>
              </w:rPr>
            </w:pPr>
            <w:r w:rsidRPr="00A96D90">
              <w:rPr>
                <w:rFonts w:asciiTheme="minorHAnsi" w:eastAsia="SimSun" w:hAnsiTheme="minorHAnsi" w:cstheme="minorHAnsi"/>
                <w:i/>
                <w:color w:val="59595B"/>
                <w:szCs w:val="22"/>
                <w:lang w:val="en-GB" w:eastAsia="zh-CN"/>
              </w:rPr>
              <w:t>Balance Sheet</w:t>
            </w:r>
          </w:p>
          <w:p w14:paraId="274088D4"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Cash &amp; marketable securities</w:t>
            </w:r>
          </w:p>
        </w:tc>
        <w:tc>
          <w:tcPr>
            <w:tcW w:w="1257" w:type="dxa"/>
            <w:shd w:val="clear" w:color="auto" w:fill="F2F2F2" w:themeFill="background1" w:themeFillShade="F2"/>
          </w:tcPr>
          <w:p w14:paraId="71CDF9AA"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05EFE7FF" w14:textId="191A05EF" w:rsidR="005365CE" w:rsidRPr="00A96D90" w:rsidRDefault="00BF2F3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25.2</w:t>
            </w:r>
          </w:p>
        </w:tc>
        <w:tc>
          <w:tcPr>
            <w:tcW w:w="1294" w:type="dxa"/>
          </w:tcPr>
          <w:p w14:paraId="5FA3D137"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2A9E11EF"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21.7</w:t>
            </w:r>
          </w:p>
        </w:tc>
        <w:tc>
          <w:tcPr>
            <w:tcW w:w="1322" w:type="dxa"/>
            <w:shd w:val="clear" w:color="auto" w:fill="F2F2F2" w:themeFill="background1" w:themeFillShade="F2"/>
          </w:tcPr>
          <w:p w14:paraId="0D22C755" w14:textId="77777777" w:rsidR="005365CE" w:rsidRPr="00A96D90" w:rsidRDefault="005365CE" w:rsidP="005365CE">
            <w:pPr>
              <w:jc w:val="right"/>
              <w:rPr>
                <w:rFonts w:asciiTheme="minorHAnsi" w:eastAsia="SimSun" w:hAnsiTheme="minorHAnsi" w:cstheme="minorHAnsi"/>
                <w:i/>
                <w:color w:val="808080" w:themeColor="background1" w:themeShade="80"/>
                <w:szCs w:val="22"/>
                <w:lang w:val="en-GB" w:eastAsia="zh-CN"/>
              </w:rPr>
            </w:pPr>
          </w:p>
          <w:p w14:paraId="0A45C2A0" w14:textId="1662596D" w:rsidR="005365CE" w:rsidRPr="00A96D90" w:rsidRDefault="00C05185" w:rsidP="005365CE">
            <w:pPr>
              <w:jc w:val="right"/>
              <w:rPr>
                <w:rFonts w:asciiTheme="minorHAnsi" w:eastAsia="SimSun" w:hAnsiTheme="minorHAnsi" w:cstheme="minorHAnsi"/>
                <w:i/>
                <w:color w:val="808080" w:themeColor="background1" w:themeShade="80"/>
                <w:szCs w:val="22"/>
                <w:lang w:val="en-GB" w:eastAsia="zh-CN"/>
              </w:rPr>
            </w:pPr>
            <w:r w:rsidRPr="00A96D90">
              <w:rPr>
                <w:rFonts w:asciiTheme="minorHAnsi" w:eastAsia="SimSun" w:hAnsiTheme="minorHAnsi" w:cstheme="minorHAnsi"/>
                <w:i/>
                <w:color w:val="808080" w:themeColor="background1" w:themeShade="80"/>
                <w:szCs w:val="22"/>
                <w:lang w:val="en-GB" w:eastAsia="zh-CN"/>
              </w:rPr>
              <w:t>16</w:t>
            </w:r>
            <w:r w:rsidR="005365CE" w:rsidRPr="00A96D90">
              <w:rPr>
                <w:rFonts w:asciiTheme="minorHAnsi" w:eastAsia="SimSun" w:hAnsiTheme="minorHAnsi" w:cstheme="minorHAnsi"/>
                <w:i/>
                <w:color w:val="808080" w:themeColor="background1" w:themeShade="80"/>
                <w:szCs w:val="22"/>
                <w:lang w:val="en-GB" w:eastAsia="zh-CN"/>
              </w:rPr>
              <w:t>%</w:t>
            </w:r>
          </w:p>
        </w:tc>
      </w:tr>
      <w:tr w:rsidR="005365CE" w:rsidRPr="00A96D90" w14:paraId="60672601" w14:textId="77777777" w:rsidTr="001B0F98">
        <w:trPr>
          <w:trHeight w:val="591"/>
        </w:trPr>
        <w:tc>
          <w:tcPr>
            <w:tcW w:w="4391" w:type="dxa"/>
          </w:tcPr>
          <w:p w14:paraId="3A79F5B8" w14:textId="77777777" w:rsidR="005365CE" w:rsidRPr="00A96D90" w:rsidRDefault="005365CE" w:rsidP="005365CE">
            <w:pPr>
              <w:rPr>
                <w:rFonts w:asciiTheme="minorHAnsi" w:eastAsia="SimSun" w:hAnsiTheme="minorHAnsi" w:cstheme="minorHAnsi"/>
                <w:i/>
                <w:color w:val="59595B"/>
                <w:szCs w:val="22"/>
                <w:lang w:val="en-GB" w:eastAsia="zh-CN"/>
              </w:rPr>
            </w:pPr>
            <w:r w:rsidRPr="00A96D90">
              <w:rPr>
                <w:rFonts w:asciiTheme="minorHAnsi" w:eastAsia="SimSun" w:hAnsiTheme="minorHAnsi" w:cstheme="minorHAnsi"/>
                <w:i/>
                <w:color w:val="59595B"/>
                <w:szCs w:val="22"/>
                <w:lang w:val="en-GB" w:eastAsia="zh-CN"/>
              </w:rPr>
              <w:t>Share Information</w:t>
            </w:r>
          </w:p>
          <w:p w14:paraId="73D4600B" w14:textId="77777777" w:rsidR="005365CE" w:rsidRPr="00A96D90" w:rsidRDefault="005365CE" w:rsidP="005365CE">
            <w:pPr>
              <w:rPr>
                <w:rFonts w:asciiTheme="minorHAnsi" w:eastAsia="SimSun" w:hAnsiTheme="minorHAnsi" w:cstheme="minorHAnsi"/>
                <w:b/>
                <w:color w:val="59595B"/>
                <w:szCs w:val="22"/>
                <w:lang w:val="en-GB" w:eastAsia="zh-CN"/>
              </w:rPr>
            </w:pPr>
            <w:r w:rsidRPr="00A96D90">
              <w:rPr>
                <w:rFonts w:asciiTheme="minorHAnsi" w:eastAsia="SimSun" w:hAnsiTheme="minorHAnsi" w:cstheme="minorHAnsi"/>
                <w:b/>
                <w:color w:val="59595B"/>
                <w:szCs w:val="22"/>
                <w:lang w:val="en-GB" w:eastAsia="zh-CN"/>
              </w:rPr>
              <w:t xml:space="preserve">Earnings per share </w:t>
            </w:r>
          </w:p>
        </w:tc>
        <w:tc>
          <w:tcPr>
            <w:tcW w:w="1257" w:type="dxa"/>
            <w:shd w:val="clear" w:color="auto" w:fill="F2F2F2" w:themeFill="background1" w:themeFillShade="F2"/>
          </w:tcPr>
          <w:p w14:paraId="35757BC9"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771A962C" w14:textId="6F6A3C54"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(0.0</w:t>
            </w:r>
            <w:r w:rsidR="00131CCB" w:rsidRPr="00A96D90">
              <w:rPr>
                <w:rFonts w:asciiTheme="minorHAnsi" w:eastAsia="SimSun" w:hAnsiTheme="minorHAnsi" w:cstheme="minorHAnsi"/>
                <w:color w:val="808080" w:themeColor="background1" w:themeShade="80"/>
                <w:szCs w:val="22"/>
                <w:lang w:val="en-GB" w:eastAsia="zh-CN"/>
              </w:rPr>
              <w:t>63</w:t>
            </w:r>
            <w:r w:rsidRPr="00A96D90">
              <w:rPr>
                <w:rFonts w:asciiTheme="minorHAnsi" w:eastAsia="SimSun" w:hAnsiTheme="minorHAnsi" w:cstheme="minorHAnsi"/>
                <w:color w:val="808080" w:themeColor="background1" w:themeShade="80"/>
                <w:szCs w:val="22"/>
                <w:lang w:val="en-GB" w:eastAsia="zh-CN"/>
              </w:rPr>
              <w:t>)</w:t>
            </w:r>
          </w:p>
        </w:tc>
        <w:tc>
          <w:tcPr>
            <w:tcW w:w="1294" w:type="dxa"/>
          </w:tcPr>
          <w:p w14:paraId="5200131D"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p w14:paraId="67EA268F"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r w:rsidRPr="00A96D90">
              <w:rPr>
                <w:rFonts w:asciiTheme="minorHAnsi" w:eastAsia="SimSun" w:hAnsiTheme="minorHAnsi" w:cstheme="minorHAnsi"/>
                <w:color w:val="808080" w:themeColor="background1" w:themeShade="80"/>
                <w:szCs w:val="22"/>
                <w:lang w:val="en-GB" w:eastAsia="zh-CN"/>
              </w:rPr>
              <w:t>(0.016)</w:t>
            </w:r>
          </w:p>
        </w:tc>
        <w:tc>
          <w:tcPr>
            <w:tcW w:w="1322" w:type="dxa"/>
            <w:shd w:val="clear" w:color="auto" w:fill="F2F2F2" w:themeFill="background1" w:themeFillShade="F2"/>
          </w:tcPr>
          <w:p w14:paraId="1CD632CA" w14:textId="77777777" w:rsidR="005365CE" w:rsidRPr="00A96D90" w:rsidRDefault="005365CE" w:rsidP="005365CE">
            <w:pPr>
              <w:jc w:val="right"/>
              <w:rPr>
                <w:rFonts w:asciiTheme="minorHAnsi" w:eastAsia="SimSun" w:hAnsiTheme="minorHAnsi" w:cstheme="minorHAnsi"/>
                <w:color w:val="808080" w:themeColor="background1" w:themeShade="80"/>
                <w:szCs w:val="22"/>
                <w:lang w:val="en-GB" w:eastAsia="zh-CN"/>
              </w:rPr>
            </w:pPr>
          </w:p>
        </w:tc>
      </w:tr>
    </w:tbl>
    <w:p w14:paraId="7029DE29" w14:textId="77777777" w:rsidR="005365CE" w:rsidRPr="00A96D90" w:rsidRDefault="005365CE" w:rsidP="005365CE">
      <w:pPr>
        <w:rPr>
          <w:rFonts w:ascii="Calibri" w:eastAsia="SimSun" w:hAnsi="Calibri" w:cs="Arial"/>
          <w:b/>
          <w:color w:val="276E8B" w:themeColor="accent1" w:themeShade="BF"/>
          <w:szCs w:val="22"/>
          <w:highlight w:val="yellow"/>
          <w:lang w:val="en-GB" w:eastAsia="zh-CN"/>
        </w:rPr>
      </w:pPr>
    </w:p>
    <w:p w14:paraId="6145F27D" w14:textId="4E0CAD8C"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Revenues</w:t>
      </w:r>
    </w:p>
    <w:p w14:paraId="53747DAD" w14:textId="563A2C6A" w:rsidR="005365CE" w:rsidRPr="00A96D90" w:rsidRDefault="005365CE" w:rsidP="00A03BA5">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 xml:space="preserve">Revenues from product sales reduced </w:t>
      </w:r>
      <w:r w:rsidR="001200BD" w:rsidRPr="00A96D90">
        <w:rPr>
          <w:rFonts w:ascii="Calibri Light" w:hAnsi="Calibri Light" w:cs="Calibri Light"/>
          <w:color w:val="59595B"/>
          <w:lang w:val="en-GB"/>
        </w:rPr>
        <w:t xml:space="preserve">slightly </w:t>
      </w:r>
      <w:r w:rsidRPr="00A96D90">
        <w:rPr>
          <w:rFonts w:ascii="Calibri Light" w:hAnsi="Calibri Light" w:cs="Calibri Light"/>
          <w:color w:val="59595B"/>
          <w:lang w:val="en-GB"/>
        </w:rPr>
        <w:t xml:space="preserve">from €15.2 million in Q1 to €14.9 million in Q2, </w:t>
      </w:r>
      <w:r w:rsidR="001200BD" w:rsidRPr="00A96D90">
        <w:rPr>
          <w:rFonts w:ascii="Calibri Light" w:hAnsi="Calibri Light" w:cs="Calibri Light"/>
          <w:color w:val="59595B"/>
          <w:lang w:val="en-GB"/>
        </w:rPr>
        <w:t>(</w:t>
      </w:r>
      <w:r w:rsidRPr="00A96D90">
        <w:rPr>
          <w:rFonts w:ascii="Calibri Light" w:hAnsi="Calibri Light" w:cs="Calibri Light"/>
          <w:color w:val="59595B"/>
          <w:lang w:val="en-GB"/>
        </w:rPr>
        <w:t xml:space="preserve">although overall sales increased to €30.1 million in </w:t>
      </w:r>
      <w:r w:rsidR="00F23751" w:rsidRPr="00A96D90">
        <w:rPr>
          <w:rFonts w:ascii="Calibri Light" w:hAnsi="Calibri Light" w:cs="Calibri Light"/>
          <w:color w:val="59595B"/>
          <w:lang w:val="en-GB"/>
        </w:rPr>
        <w:t>Q2</w:t>
      </w:r>
      <w:r w:rsidRPr="00A96D90">
        <w:rPr>
          <w:rFonts w:ascii="Calibri Light" w:hAnsi="Calibri Light" w:cs="Calibri Light"/>
          <w:color w:val="59595B"/>
          <w:lang w:val="en-GB"/>
        </w:rPr>
        <w:t xml:space="preserve"> 2017 from €4.2 million in 2016</w:t>
      </w:r>
      <w:r w:rsidR="001200BD" w:rsidRPr="00A96D90">
        <w:rPr>
          <w:rFonts w:ascii="Calibri Light" w:hAnsi="Calibri Light" w:cs="Calibri Light"/>
          <w:color w:val="59595B"/>
          <w:lang w:val="en-GB"/>
        </w:rPr>
        <w:t>)</w:t>
      </w:r>
      <w:r w:rsidRPr="00A96D90">
        <w:rPr>
          <w:rFonts w:ascii="Calibri Light" w:hAnsi="Calibri Light" w:cs="Calibri Light"/>
          <w:color w:val="59595B"/>
          <w:lang w:val="en-GB"/>
        </w:rPr>
        <w:t xml:space="preserve">, as a result </w:t>
      </w:r>
      <w:r w:rsidRPr="00A96D90">
        <w:rPr>
          <w:rFonts w:ascii="Calibri Light" w:hAnsi="Calibri Light" w:cs="Calibri Light"/>
          <w:color w:val="59595B"/>
          <w:lang w:val="en-GB"/>
        </w:rPr>
        <w:lastRenderedPageBreak/>
        <w:t xml:space="preserve">of </w:t>
      </w:r>
      <w:r w:rsidR="001200BD" w:rsidRPr="00A96D90">
        <w:rPr>
          <w:rFonts w:ascii="Calibri Light" w:hAnsi="Calibri Light" w:cs="Calibri Light"/>
          <w:color w:val="59595B"/>
          <w:lang w:val="en-GB"/>
        </w:rPr>
        <w:t>stock level adjustments</w:t>
      </w:r>
      <w:r w:rsidR="00E3390A" w:rsidRPr="00A96D90">
        <w:rPr>
          <w:rFonts w:ascii="Calibri Light" w:hAnsi="Calibri Light" w:cs="Calibri Light"/>
          <w:color w:val="59595B"/>
          <w:lang w:val="en-GB"/>
        </w:rPr>
        <w:t>.</w:t>
      </w:r>
      <w:r w:rsidR="0040539E">
        <w:rPr>
          <w:rFonts w:ascii="Calibri Light" w:hAnsi="Calibri Light" w:cs="Calibri Light"/>
          <w:color w:val="59595B"/>
          <w:lang w:val="en-GB"/>
        </w:rPr>
        <w:t xml:space="preserve"> </w:t>
      </w:r>
      <w:r w:rsidR="005F76A6" w:rsidRPr="00A96D90">
        <w:rPr>
          <w:rFonts w:ascii="Calibri Light" w:hAnsi="Calibri Light" w:cs="Calibri Light"/>
          <w:color w:val="59595B"/>
          <w:lang w:val="en-GB"/>
        </w:rPr>
        <w:t>Part</w:t>
      </w:r>
      <w:r w:rsidR="00134E79" w:rsidRPr="00A96D90">
        <w:rPr>
          <w:rFonts w:ascii="Calibri Light" w:hAnsi="Calibri Light" w:cs="Calibri Light"/>
          <w:color w:val="59595B"/>
          <w:lang w:val="en-GB"/>
        </w:rPr>
        <w:t xml:space="preserve"> of </w:t>
      </w:r>
      <w:r w:rsidR="00E3390A" w:rsidRPr="00A96D90">
        <w:rPr>
          <w:rFonts w:ascii="Calibri Light" w:hAnsi="Calibri Light" w:cs="Calibri Light"/>
          <w:color w:val="59595B"/>
          <w:lang w:val="en-GB"/>
        </w:rPr>
        <w:t>the reason for the hig</w:t>
      </w:r>
      <w:r w:rsidR="00134E79" w:rsidRPr="00A96D90">
        <w:rPr>
          <w:rFonts w:ascii="Calibri Light" w:hAnsi="Calibri Light" w:cs="Calibri Light"/>
          <w:color w:val="59595B"/>
          <w:lang w:val="en-GB"/>
        </w:rPr>
        <w:t>h</w:t>
      </w:r>
      <w:r w:rsidR="00E3390A" w:rsidRPr="00A96D90">
        <w:rPr>
          <w:rFonts w:ascii="Calibri Light" w:hAnsi="Calibri Light" w:cs="Calibri Light"/>
          <w:color w:val="59595B"/>
          <w:lang w:val="en-GB"/>
        </w:rPr>
        <w:t xml:space="preserve">er than expected sales in Q1 was </w:t>
      </w:r>
      <w:r w:rsidR="00134E79" w:rsidRPr="00A96D90">
        <w:rPr>
          <w:rFonts w:ascii="Calibri Light" w:hAnsi="Calibri Light" w:cs="Calibri Light"/>
          <w:color w:val="59595B"/>
          <w:lang w:val="en-GB"/>
        </w:rPr>
        <w:t>that some specialty pharmacies ordered precautionary replacement supplies</w:t>
      </w:r>
      <w:r w:rsidR="001200BD" w:rsidRPr="00A96D90">
        <w:rPr>
          <w:rFonts w:ascii="Calibri Light" w:hAnsi="Calibri Light" w:cs="Calibri Light"/>
          <w:color w:val="59595B"/>
          <w:lang w:val="en-GB"/>
        </w:rPr>
        <w:t xml:space="preserve"> after the </w:t>
      </w:r>
      <w:r w:rsidR="00CA205C" w:rsidRPr="00A96D90">
        <w:rPr>
          <w:rFonts w:ascii="Calibri Light" w:hAnsi="Calibri Light" w:cs="Calibri Light"/>
          <w:color w:val="59595B"/>
          <w:lang w:val="en-GB"/>
        </w:rPr>
        <w:t xml:space="preserve">stock-out of a </w:t>
      </w:r>
      <w:r w:rsidR="00134E79" w:rsidRPr="00A96D90">
        <w:rPr>
          <w:rFonts w:ascii="Calibri Light" w:hAnsi="Calibri Light" w:cs="Calibri Light"/>
          <w:color w:val="59595B"/>
          <w:lang w:val="en-GB"/>
        </w:rPr>
        <w:t>rival</w:t>
      </w:r>
      <w:r w:rsidR="00CA205C" w:rsidRPr="00A96D90">
        <w:rPr>
          <w:rFonts w:ascii="Calibri Light" w:hAnsi="Calibri Light" w:cs="Calibri Light"/>
          <w:color w:val="59595B"/>
          <w:lang w:val="en-GB"/>
        </w:rPr>
        <w:t xml:space="preserve"> product</w:t>
      </w:r>
      <w:r w:rsidRPr="00A96D90">
        <w:rPr>
          <w:rFonts w:ascii="Calibri Light" w:hAnsi="Calibri Light" w:cs="Calibri Light"/>
          <w:color w:val="59595B"/>
          <w:lang w:val="en-GB"/>
        </w:rPr>
        <w:t>. Underlying patient numbers continue to increase steadily, which we anticipate will be further enhanced as the effects of the new sales and marketing teams become more visible later in the year</w:t>
      </w:r>
      <w:r w:rsidR="00134E79" w:rsidRPr="00A96D90">
        <w:rPr>
          <w:rFonts w:ascii="Calibri Light" w:hAnsi="Calibri Light" w:cs="Calibri Light"/>
          <w:color w:val="59595B"/>
          <w:lang w:val="en-GB"/>
        </w:rPr>
        <w:t>, and the benefits of these increasin</w:t>
      </w:r>
      <w:r w:rsidR="005D27D6" w:rsidRPr="00A96D90">
        <w:rPr>
          <w:rFonts w:ascii="Calibri Light" w:hAnsi="Calibri Light" w:cs="Calibri Light"/>
          <w:color w:val="59595B"/>
          <w:lang w:val="en-GB"/>
        </w:rPr>
        <w:t>g patient numbers should also b</w:t>
      </w:r>
      <w:r w:rsidR="00134E79" w:rsidRPr="00A96D90">
        <w:rPr>
          <w:rFonts w:ascii="Calibri Light" w:hAnsi="Calibri Light" w:cs="Calibri Light"/>
          <w:color w:val="59595B"/>
          <w:lang w:val="en-GB"/>
        </w:rPr>
        <w:t>e seen then</w:t>
      </w:r>
      <w:r w:rsidRPr="00A96D90">
        <w:rPr>
          <w:rFonts w:ascii="Calibri Light" w:hAnsi="Calibri Light" w:cs="Calibri Light"/>
          <w:color w:val="59595B"/>
          <w:lang w:val="en-GB"/>
        </w:rPr>
        <w:t>. Direct sales in the EU improved to €0.3 million in Q2 from €0.1 million in Q1.</w:t>
      </w:r>
      <w:r w:rsidR="0040539E">
        <w:rPr>
          <w:rFonts w:ascii="Calibri Light" w:hAnsi="Calibri Light" w:cs="Calibri Light"/>
          <w:color w:val="59595B"/>
          <w:lang w:val="en-GB"/>
        </w:rPr>
        <w:t xml:space="preserve"> </w:t>
      </w:r>
    </w:p>
    <w:p w14:paraId="37062EA3" w14:textId="619ED2BD"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Other license fee income amounted to €0.3 million in Q2, which was in line with Q1. This license fee income reflects the release of accrued deferred license fees following receipt of €21.0 million upfront and milestone payments in 2010 and 2013 from SOBI, Salix and CSIPI. </w:t>
      </w:r>
    </w:p>
    <w:p w14:paraId="0338066D" w14:textId="686D0633"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Gross profit</w:t>
      </w:r>
    </w:p>
    <w:p w14:paraId="5FDE08FE" w14:textId="3F5795B6" w:rsidR="003F3657" w:rsidRPr="00A96D90" w:rsidRDefault="005365CE" w:rsidP="00A03BA5">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Gross profit decreased from €13.8 million Q1 to €</w:t>
      </w:r>
      <w:r w:rsidR="00BF2F3E" w:rsidRPr="00A96D90">
        <w:rPr>
          <w:rFonts w:ascii="Calibri Light" w:hAnsi="Calibri Light" w:cs="Calibri Light"/>
          <w:color w:val="59595B"/>
          <w:lang w:val="en-GB"/>
        </w:rPr>
        <w:t>13.2</w:t>
      </w:r>
      <w:r w:rsidRPr="00A96D90">
        <w:rPr>
          <w:rFonts w:ascii="Calibri Light" w:hAnsi="Calibri Light" w:cs="Calibri Light"/>
          <w:color w:val="59595B"/>
          <w:lang w:val="en-GB"/>
        </w:rPr>
        <w:t xml:space="preserve"> million in Q2, reflecting the exchange differences and the slightly greater proportion of lower margin RoW sales. </w:t>
      </w:r>
    </w:p>
    <w:p w14:paraId="175B2398" w14:textId="2A7FF79C" w:rsidR="005365CE" w:rsidRPr="00A96D90" w:rsidRDefault="005365CE" w:rsidP="001B0F98">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Direct</w:t>
      </w:r>
      <w:r w:rsidR="00177426" w:rsidRPr="00A96D90">
        <w:rPr>
          <w:rFonts w:ascii="Calibri Light" w:hAnsi="Calibri Light" w:cs="Calibri Light"/>
          <w:color w:val="59595B"/>
          <w:lang w:val="en-GB"/>
        </w:rPr>
        <w:t xml:space="preserve"> commercialis</w:t>
      </w:r>
      <w:r w:rsidRPr="00A96D90">
        <w:rPr>
          <w:rFonts w:ascii="Calibri Light" w:hAnsi="Calibri Light" w:cs="Calibri Light"/>
          <w:color w:val="59595B"/>
          <w:lang w:val="en-GB"/>
        </w:rPr>
        <w:t>ation by Pharming in Western Europe increased by over 150% between the first and second quarters and sales to our EU partner, SOBI, also showed a slight increase in the first half year of 2017. Gross profit was up from €</w:t>
      </w:r>
      <w:r w:rsidR="00BF2F3E" w:rsidRPr="00A96D90">
        <w:rPr>
          <w:rFonts w:ascii="Calibri Light" w:hAnsi="Calibri Light" w:cs="Calibri Light"/>
          <w:color w:val="59595B"/>
          <w:lang w:val="en-GB"/>
        </w:rPr>
        <w:t>3.3</w:t>
      </w:r>
      <w:r w:rsidRPr="00A96D90">
        <w:rPr>
          <w:rFonts w:ascii="Calibri Light" w:hAnsi="Calibri Light" w:cs="Calibri Light"/>
          <w:color w:val="59595B"/>
          <w:lang w:val="en-GB"/>
        </w:rPr>
        <w:t xml:space="preserve"> million in the first half of 2016 to €</w:t>
      </w:r>
      <w:r w:rsidR="00BF2F3E" w:rsidRPr="00A96D90">
        <w:rPr>
          <w:rFonts w:ascii="Calibri Light" w:hAnsi="Calibri Light" w:cs="Calibri Light"/>
          <w:color w:val="59595B"/>
          <w:lang w:val="en-GB"/>
        </w:rPr>
        <w:t>27.0</w:t>
      </w:r>
      <w:r w:rsidRPr="00A96D90">
        <w:rPr>
          <w:rFonts w:ascii="Calibri Light" w:hAnsi="Calibri Light" w:cs="Calibri Light"/>
          <w:color w:val="59595B"/>
          <w:lang w:val="en-GB"/>
        </w:rPr>
        <w:t xml:space="preserve"> million in the first half of 2017.</w:t>
      </w:r>
    </w:p>
    <w:p w14:paraId="1E714734" w14:textId="5535551A"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Operating Costs</w:t>
      </w:r>
    </w:p>
    <w:p w14:paraId="7AC55D38" w14:textId="36AE710F" w:rsidR="005365CE" w:rsidRPr="00A96D90" w:rsidRDefault="005365CE" w:rsidP="001B0F98">
      <w:pPr>
        <w:pStyle w:val="NoSpacing"/>
        <w:spacing w:after="120"/>
        <w:ind w:right="142"/>
        <w:jc w:val="both"/>
        <w:rPr>
          <w:rFonts w:ascii="Calibri Light" w:hAnsi="Calibri Light" w:cs="Calibri Light"/>
          <w:color w:val="59595B"/>
          <w:lang w:val="en-GB"/>
        </w:rPr>
      </w:pPr>
      <w:r w:rsidRPr="00A96D90">
        <w:rPr>
          <w:rFonts w:ascii="Calibri Light" w:hAnsi="Calibri Light" w:cs="Calibri Light"/>
          <w:color w:val="59595B"/>
          <w:lang w:val="en-GB"/>
        </w:rPr>
        <w:t>Operating costs increased to €22.</w:t>
      </w:r>
      <w:r w:rsidR="00BF2F3E" w:rsidRPr="00A96D90">
        <w:rPr>
          <w:rFonts w:ascii="Calibri Light" w:hAnsi="Calibri Light" w:cs="Calibri Light"/>
          <w:color w:val="59595B"/>
          <w:lang w:val="en-GB"/>
        </w:rPr>
        <w:t>9</w:t>
      </w:r>
      <w:r w:rsidRPr="00A96D90">
        <w:rPr>
          <w:rFonts w:ascii="Calibri Light" w:hAnsi="Calibri Light" w:cs="Calibri Light"/>
          <w:color w:val="59595B"/>
          <w:lang w:val="en-GB"/>
        </w:rPr>
        <w:t xml:space="preserve"> million in the first half year of 2017 from €9.7 million in the same period of 2016. Research and development (R&amp;D) costs and General and Administrative costs remained flat across the second quarter, whilst marketing and sales costs increased as expected from €3.9 million in the first quarter of 2017 to €</w:t>
      </w:r>
      <w:r w:rsidR="00662218" w:rsidRPr="00A96D90">
        <w:rPr>
          <w:rFonts w:ascii="Calibri Light" w:hAnsi="Calibri Light" w:cs="Calibri Light"/>
          <w:color w:val="59595B"/>
          <w:lang w:val="en-GB"/>
        </w:rPr>
        <w:t>7.2</w:t>
      </w:r>
      <w:r w:rsidRPr="00A96D90">
        <w:rPr>
          <w:rFonts w:ascii="Calibri Light" w:hAnsi="Calibri Light" w:cs="Calibri Light"/>
          <w:color w:val="59595B"/>
          <w:lang w:val="en-GB"/>
        </w:rPr>
        <w:t xml:space="preserve"> million in the second quarter.</w:t>
      </w:r>
      <w:r w:rsidR="0040539E">
        <w:rPr>
          <w:rFonts w:ascii="Calibri Light" w:hAnsi="Calibri Light" w:cs="Calibri Light"/>
          <w:color w:val="59595B"/>
          <w:lang w:val="en-GB"/>
        </w:rPr>
        <w:t xml:space="preserve"> </w:t>
      </w:r>
      <w:r w:rsidRPr="00A96D90">
        <w:rPr>
          <w:rFonts w:ascii="Calibri Light" w:hAnsi="Calibri Light" w:cs="Calibri Light"/>
          <w:color w:val="59595B"/>
          <w:lang w:val="en-GB"/>
        </w:rPr>
        <w:t xml:space="preserve">These costs are </w:t>
      </w:r>
      <w:r w:rsidR="003E1DD5" w:rsidRPr="00A96D90">
        <w:rPr>
          <w:rFonts w:ascii="Calibri Light" w:hAnsi="Calibri Light" w:cs="Calibri Light"/>
          <w:color w:val="59595B"/>
          <w:lang w:val="en-GB"/>
        </w:rPr>
        <w:t>due to</w:t>
      </w:r>
      <w:r w:rsidRPr="00A96D90">
        <w:rPr>
          <w:rFonts w:ascii="Calibri Light" w:hAnsi="Calibri Light" w:cs="Calibri Light"/>
          <w:color w:val="59595B"/>
          <w:lang w:val="en-GB"/>
        </w:rPr>
        <w:t xml:space="preserve"> increased direct commerciali</w:t>
      </w:r>
      <w:r w:rsidR="00177426" w:rsidRPr="00A96D90">
        <w:rPr>
          <w:rFonts w:ascii="Calibri Light" w:hAnsi="Calibri Light" w:cs="Calibri Light"/>
          <w:color w:val="59595B"/>
          <w:lang w:val="en-GB"/>
        </w:rPr>
        <w:t>s</w:t>
      </w:r>
      <w:r w:rsidRPr="00A96D90">
        <w:rPr>
          <w:rFonts w:ascii="Calibri Light" w:hAnsi="Calibri Light" w:cs="Calibri Light"/>
          <w:color w:val="59595B"/>
          <w:lang w:val="en-GB"/>
        </w:rPr>
        <w:t xml:space="preserve">ation activities by Pharming in the US </w:t>
      </w:r>
      <w:r w:rsidR="00384931" w:rsidRPr="00A96D90">
        <w:rPr>
          <w:rFonts w:ascii="Calibri Light" w:hAnsi="Calibri Light" w:cs="Calibri Light"/>
          <w:color w:val="59595B"/>
          <w:lang w:val="en-GB"/>
        </w:rPr>
        <w:t>and</w:t>
      </w:r>
      <w:r w:rsidRPr="00A96D90">
        <w:rPr>
          <w:rFonts w:ascii="Calibri Light" w:hAnsi="Calibri Light" w:cs="Calibri Light"/>
          <w:color w:val="59595B"/>
          <w:lang w:val="en-GB"/>
        </w:rPr>
        <w:t xml:space="preserve"> in Western Europe.</w:t>
      </w:r>
    </w:p>
    <w:p w14:paraId="00962A8E"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Operating Result</w:t>
      </w:r>
    </w:p>
    <w:p w14:paraId="37829A6C" w14:textId="6D2990A3" w:rsidR="001B0F98"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As a result of the combination of the reduction in gross profit and the increase of operating costs due to increased investment in sales and marketing activities, the operating profit in the first half increased </w:t>
      </w:r>
      <w:r w:rsidR="003E1DD5" w:rsidRPr="00A96D90">
        <w:rPr>
          <w:rFonts w:ascii="Calibri Light" w:hAnsi="Calibri Light" w:cs="Calibri Light"/>
          <w:color w:val="59595B"/>
          <w:lang w:val="en-GB"/>
        </w:rPr>
        <w:t xml:space="preserve">slightly </w:t>
      </w:r>
      <w:r w:rsidRPr="00A96D90">
        <w:rPr>
          <w:rFonts w:ascii="Calibri Light" w:hAnsi="Calibri Light" w:cs="Calibri Light"/>
          <w:color w:val="59595B"/>
          <w:lang w:val="en-GB"/>
        </w:rPr>
        <w:t xml:space="preserve">from €3.9 million in the first quarter to €4.2 million overall for the half year. </w:t>
      </w:r>
    </w:p>
    <w:p w14:paraId="19E89F94" w14:textId="47A9A1DD" w:rsidR="00C54797"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Financial Income and Expenses</w:t>
      </w:r>
    </w:p>
    <w:p w14:paraId="4BCA9047" w14:textId="6334DA6F" w:rsidR="0035377D" w:rsidRPr="00A96D90" w:rsidRDefault="005365CE" w:rsidP="00A068BF">
      <w:pPr>
        <w:pStyle w:val="NoSpacing"/>
        <w:spacing w:after="240"/>
        <w:ind w:right="144"/>
        <w:jc w:val="both"/>
        <w:rPr>
          <w:rFonts w:ascii="Calibri Light" w:hAnsi="Calibri Light" w:cs="Calibri Light"/>
          <w:b/>
          <w:color w:val="00679B"/>
          <w:sz w:val="24"/>
          <w:lang w:val="en-GB"/>
        </w:rPr>
      </w:pPr>
      <w:r w:rsidRPr="00A96D90">
        <w:rPr>
          <w:rFonts w:ascii="Calibri Light" w:hAnsi="Calibri Light" w:cs="Calibri Light"/>
          <w:color w:val="59595B"/>
          <w:lang w:val="en-GB"/>
        </w:rPr>
        <w:t>The net loss on financial income and expenses was €</w:t>
      </w:r>
      <w:r w:rsidR="003F3657" w:rsidRPr="00A96D90">
        <w:rPr>
          <w:rFonts w:ascii="Calibri Light" w:hAnsi="Calibri Light" w:cs="Calibri Light"/>
          <w:color w:val="59595B"/>
          <w:lang w:val="en-GB"/>
        </w:rPr>
        <w:t>34.5</w:t>
      </w:r>
      <w:r w:rsidR="00705875" w:rsidRPr="00A96D90">
        <w:rPr>
          <w:rFonts w:ascii="Calibri Light" w:hAnsi="Calibri Light" w:cs="Calibri Light"/>
          <w:color w:val="59595B"/>
          <w:lang w:val="en-GB"/>
        </w:rPr>
        <w:t xml:space="preserve"> </w:t>
      </w:r>
      <w:r w:rsidRPr="00A96D90">
        <w:rPr>
          <w:rFonts w:ascii="Calibri Light" w:hAnsi="Calibri Light" w:cs="Calibri Light"/>
          <w:color w:val="59595B"/>
          <w:lang w:val="en-GB"/>
        </w:rPr>
        <w:t>million</w:t>
      </w:r>
      <w:r w:rsidR="00531C1C" w:rsidRPr="00A96D90">
        <w:rPr>
          <w:rFonts w:ascii="Calibri Light" w:hAnsi="Calibri Light" w:cs="Calibri Light"/>
          <w:color w:val="59595B"/>
          <w:lang w:val="en-GB"/>
        </w:rPr>
        <w:t xml:space="preserve"> (2016: loss of €0.5 million)</w:t>
      </w:r>
      <w:r w:rsidRPr="00A96D90">
        <w:rPr>
          <w:rFonts w:ascii="Calibri Light" w:hAnsi="Calibri Light" w:cs="Calibri Light"/>
          <w:color w:val="59595B"/>
          <w:lang w:val="en-GB"/>
        </w:rPr>
        <w:t xml:space="preserve">. </w:t>
      </w:r>
      <w:r w:rsidR="00531C1C" w:rsidRPr="00A96D90">
        <w:rPr>
          <w:rFonts w:ascii="Calibri Light" w:hAnsi="Calibri Light" w:cs="Calibri Light"/>
          <w:color w:val="59595B"/>
          <w:lang w:val="en-GB"/>
        </w:rPr>
        <w:t xml:space="preserve">The loss is </w:t>
      </w:r>
      <w:r w:rsidR="003E1DD5" w:rsidRPr="00A96D90">
        <w:rPr>
          <w:rFonts w:ascii="Calibri Light" w:hAnsi="Calibri Light" w:cs="Calibri Light"/>
          <w:color w:val="59595B"/>
          <w:lang w:val="en-GB"/>
        </w:rPr>
        <w:t xml:space="preserve">almost entirely </w:t>
      </w:r>
      <w:r w:rsidR="00531C1C" w:rsidRPr="00A96D90">
        <w:rPr>
          <w:rFonts w:ascii="Calibri Light" w:hAnsi="Calibri Light" w:cs="Calibri Light"/>
          <w:color w:val="59595B"/>
          <w:lang w:val="en-GB"/>
        </w:rPr>
        <w:t>the result of the refinancing</w:t>
      </w:r>
      <w:r w:rsidR="003E1DD5" w:rsidRPr="00A96D90">
        <w:rPr>
          <w:rFonts w:ascii="Calibri Light" w:hAnsi="Calibri Light" w:cs="Calibri Light"/>
          <w:color w:val="59595B"/>
          <w:lang w:val="en-GB"/>
        </w:rPr>
        <w:t>, and is largely composed of non-cash elements</w:t>
      </w:r>
      <w:r w:rsidR="002C3C56" w:rsidRPr="00A96D90">
        <w:rPr>
          <w:rFonts w:ascii="Calibri Light" w:hAnsi="Calibri Light" w:cs="Calibri Light"/>
          <w:color w:val="59595B"/>
          <w:lang w:val="en-GB"/>
        </w:rPr>
        <w:t xml:space="preserve">. The one-off (amortised) costs of the </w:t>
      </w:r>
      <w:r w:rsidR="003E1DD5" w:rsidRPr="00A96D90">
        <w:rPr>
          <w:rFonts w:ascii="Calibri Light" w:hAnsi="Calibri Light" w:cs="Calibri Light"/>
          <w:color w:val="59595B"/>
          <w:lang w:val="en-GB"/>
        </w:rPr>
        <w:t xml:space="preserve">extinguished </w:t>
      </w:r>
      <w:r w:rsidR="002C3C56" w:rsidRPr="00A96D90">
        <w:rPr>
          <w:rFonts w:ascii="Calibri Light" w:hAnsi="Calibri Light" w:cs="Calibri Light"/>
          <w:color w:val="59595B"/>
          <w:lang w:val="en-GB"/>
        </w:rPr>
        <w:t>financial instruments were €23.8 million</w:t>
      </w:r>
      <w:r w:rsidR="003E1DD5" w:rsidRPr="00A96D90">
        <w:rPr>
          <w:rFonts w:ascii="Calibri Light" w:hAnsi="Calibri Light" w:cs="Calibri Light"/>
          <w:color w:val="59595B"/>
          <w:lang w:val="en-GB"/>
        </w:rPr>
        <w:t>,</w:t>
      </w:r>
      <w:r w:rsidR="002C3C56" w:rsidRPr="00A96D90">
        <w:rPr>
          <w:rFonts w:ascii="Calibri Light" w:hAnsi="Calibri Light" w:cs="Calibri Light"/>
          <w:color w:val="59595B"/>
          <w:lang w:val="en-GB"/>
        </w:rPr>
        <w:t xml:space="preserve"> of which €16.1 million</w:t>
      </w:r>
      <w:r w:rsidR="005D27D6" w:rsidRPr="00A96D90">
        <w:rPr>
          <w:rFonts w:ascii="Calibri Light" w:hAnsi="Calibri Light" w:cs="Calibri Light"/>
          <w:color w:val="59595B"/>
          <w:lang w:val="en-GB"/>
        </w:rPr>
        <w:t xml:space="preserve"> was in cash</w:t>
      </w:r>
      <w:r w:rsidR="002C3C56" w:rsidRPr="00A96D90">
        <w:rPr>
          <w:rFonts w:ascii="Calibri Light" w:hAnsi="Calibri Light" w:cs="Calibri Light"/>
          <w:color w:val="59595B"/>
          <w:lang w:val="en-GB"/>
        </w:rPr>
        <w:t xml:space="preserve"> </w:t>
      </w:r>
      <w:r w:rsidR="005D27D6" w:rsidRPr="00A96D90">
        <w:rPr>
          <w:rFonts w:ascii="Calibri Light" w:hAnsi="Calibri Light" w:cs="Calibri Light"/>
          <w:color w:val="59595B"/>
          <w:lang w:val="en-GB"/>
        </w:rPr>
        <w:t xml:space="preserve">and </w:t>
      </w:r>
      <w:r w:rsidR="002C3C56" w:rsidRPr="00A96D90">
        <w:rPr>
          <w:rFonts w:ascii="Calibri Light" w:hAnsi="Calibri Light" w:cs="Calibri Light"/>
          <w:color w:val="59595B"/>
          <w:lang w:val="en-GB"/>
        </w:rPr>
        <w:t xml:space="preserve">paid out of the proceeds </w:t>
      </w:r>
      <w:r w:rsidR="005D27D6" w:rsidRPr="00A96D90">
        <w:rPr>
          <w:rFonts w:ascii="Calibri Light" w:hAnsi="Calibri Light" w:cs="Calibri Light"/>
          <w:color w:val="59595B"/>
          <w:lang w:val="en-GB"/>
        </w:rPr>
        <w:t xml:space="preserve">of </w:t>
      </w:r>
      <w:r w:rsidR="002C3C56" w:rsidRPr="00A96D90">
        <w:rPr>
          <w:rFonts w:ascii="Calibri Light" w:hAnsi="Calibri Light" w:cs="Calibri Light"/>
          <w:color w:val="59595B"/>
          <w:lang w:val="en-GB"/>
        </w:rPr>
        <w:t xml:space="preserve">the new loan </w:t>
      </w:r>
      <w:r w:rsidR="005D27D6" w:rsidRPr="00A96D90">
        <w:rPr>
          <w:rFonts w:ascii="Calibri Light" w:hAnsi="Calibri Light" w:cs="Calibri Light"/>
          <w:color w:val="59595B"/>
          <w:lang w:val="en-GB"/>
        </w:rPr>
        <w:t>facility</w:t>
      </w:r>
      <w:r w:rsidR="00CC73D2" w:rsidRPr="00A96D90">
        <w:rPr>
          <w:rFonts w:ascii="Calibri Light" w:hAnsi="Calibri Light" w:cs="Calibri Light"/>
          <w:color w:val="59595B"/>
          <w:lang w:val="en-GB"/>
        </w:rPr>
        <w:t xml:space="preserve">, </w:t>
      </w:r>
      <w:r w:rsidR="009A0B7F" w:rsidRPr="00A96D90">
        <w:rPr>
          <w:rFonts w:ascii="Calibri Light" w:hAnsi="Calibri Light" w:cs="Calibri Light"/>
          <w:color w:val="59595B"/>
          <w:lang w:val="en-GB"/>
        </w:rPr>
        <w:t>with</w:t>
      </w:r>
      <w:r w:rsidR="00CC73D2" w:rsidRPr="00A96D90">
        <w:rPr>
          <w:rFonts w:ascii="Calibri Light" w:hAnsi="Calibri Light" w:cs="Calibri Light"/>
          <w:color w:val="59595B"/>
          <w:lang w:val="en-GB"/>
        </w:rPr>
        <w:t xml:space="preserve"> €7.7 million</w:t>
      </w:r>
      <w:r w:rsidR="009A0B7F" w:rsidRPr="00A96D90">
        <w:rPr>
          <w:rFonts w:ascii="Calibri Light" w:hAnsi="Calibri Light" w:cs="Calibri Light"/>
          <w:color w:val="59595B"/>
          <w:lang w:val="en-GB"/>
        </w:rPr>
        <w:t xml:space="preserve"> in non-cash adjustments</w:t>
      </w:r>
      <w:r w:rsidR="002C3C56" w:rsidRPr="00A96D90">
        <w:rPr>
          <w:rFonts w:ascii="Calibri Light" w:hAnsi="Calibri Light" w:cs="Calibri Light"/>
          <w:color w:val="59595B"/>
          <w:lang w:val="en-GB"/>
        </w:rPr>
        <w:t xml:space="preserve">. The </w:t>
      </w:r>
      <w:r w:rsidR="005D27D6" w:rsidRPr="00A96D90">
        <w:rPr>
          <w:rFonts w:ascii="Calibri Light" w:hAnsi="Calibri Light" w:cs="Calibri Light"/>
          <w:color w:val="59595B"/>
          <w:lang w:val="en-GB"/>
        </w:rPr>
        <w:t xml:space="preserve">regular </w:t>
      </w:r>
      <w:r w:rsidR="002C3C56" w:rsidRPr="00A96D90">
        <w:rPr>
          <w:rFonts w:ascii="Calibri Light" w:hAnsi="Calibri Light" w:cs="Calibri Light"/>
          <w:color w:val="59595B"/>
          <w:lang w:val="en-GB"/>
        </w:rPr>
        <w:t xml:space="preserve">costs </w:t>
      </w:r>
      <w:r w:rsidR="005D27D6" w:rsidRPr="00A96D90">
        <w:rPr>
          <w:rFonts w:ascii="Calibri Light" w:hAnsi="Calibri Light" w:cs="Calibri Light"/>
          <w:color w:val="59595B"/>
          <w:lang w:val="en-GB"/>
        </w:rPr>
        <w:t xml:space="preserve">of repayments and effective interest under IFRS and </w:t>
      </w:r>
      <w:r w:rsidR="002C3C56" w:rsidRPr="00A96D90">
        <w:rPr>
          <w:rFonts w:ascii="Calibri Light" w:hAnsi="Calibri Light" w:cs="Calibri Light"/>
          <w:color w:val="59595B"/>
          <w:lang w:val="en-GB"/>
        </w:rPr>
        <w:t>were €12.2 million</w:t>
      </w:r>
      <w:r w:rsidR="005D27D6" w:rsidRPr="00A96D90">
        <w:rPr>
          <w:rFonts w:ascii="Calibri Light" w:hAnsi="Calibri Light" w:cs="Calibri Light"/>
          <w:color w:val="59595B"/>
          <w:lang w:val="en-GB"/>
        </w:rPr>
        <w:t>,</w:t>
      </w:r>
      <w:r w:rsidR="002C3C56" w:rsidRPr="00A96D90">
        <w:rPr>
          <w:rFonts w:ascii="Calibri Light" w:hAnsi="Calibri Light" w:cs="Calibri Light"/>
          <w:color w:val="59595B"/>
          <w:lang w:val="en-GB"/>
        </w:rPr>
        <w:t xml:space="preserve"> of which cash </w:t>
      </w:r>
      <w:r w:rsidR="005D27D6" w:rsidRPr="00A96D90">
        <w:rPr>
          <w:rFonts w:ascii="Calibri Light" w:hAnsi="Calibri Light" w:cs="Calibri Light"/>
          <w:color w:val="59595B"/>
          <w:lang w:val="en-GB"/>
        </w:rPr>
        <w:t xml:space="preserve">items were </w:t>
      </w:r>
      <w:r w:rsidR="0035377D" w:rsidRPr="00A96D90">
        <w:rPr>
          <w:rFonts w:ascii="Calibri Light" w:hAnsi="Calibri Light" w:cs="Calibri Light"/>
          <w:color w:val="59595B"/>
          <w:lang w:val="en-GB"/>
        </w:rPr>
        <w:t>€</w:t>
      </w:r>
      <w:r w:rsidR="005D27D6" w:rsidRPr="00A96D90">
        <w:rPr>
          <w:rFonts w:ascii="Calibri Light" w:hAnsi="Calibri Light" w:cs="Calibri Light"/>
          <w:color w:val="59595B"/>
          <w:lang w:val="en-GB"/>
        </w:rPr>
        <w:t>1.9</w:t>
      </w:r>
      <w:r w:rsidR="0035377D" w:rsidRPr="00A96D90">
        <w:rPr>
          <w:rFonts w:ascii="Calibri Light" w:hAnsi="Calibri Light" w:cs="Calibri Light"/>
          <w:color w:val="59595B"/>
          <w:lang w:val="en-GB"/>
        </w:rPr>
        <w:t xml:space="preserve"> million</w:t>
      </w:r>
      <w:r w:rsidR="00CC73D2" w:rsidRPr="00A96D90">
        <w:rPr>
          <w:rFonts w:ascii="Calibri Light" w:hAnsi="Calibri Light" w:cs="Calibri Light"/>
          <w:color w:val="59595B"/>
          <w:lang w:val="en-GB"/>
        </w:rPr>
        <w:t xml:space="preserve"> and non-cash </w:t>
      </w:r>
      <w:r w:rsidR="005D27D6" w:rsidRPr="00A96D90">
        <w:rPr>
          <w:rFonts w:ascii="Calibri Light" w:hAnsi="Calibri Light" w:cs="Calibri Light"/>
          <w:color w:val="59595B"/>
          <w:lang w:val="en-GB"/>
        </w:rPr>
        <w:t xml:space="preserve">items amounted to </w:t>
      </w:r>
      <w:r w:rsidR="00CC73D2" w:rsidRPr="00A96D90">
        <w:rPr>
          <w:rFonts w:ascii="Calibri Light" w:hAnsi="Calibri Light" w:cs="Calibri Light"/>
          <w:color w:val="59595B"/>
          <w:lang w:val="en-GB"/>
        </w:rPr>
        <w:t>€</w:t>
      </w:r>
      <w:r w:rsidR="005D27D6" w:rsidRPr="00A96D90">
        <w:rPr>
          <w:rFonts w:ascii="Calibri Light" w:hAnsi="Calibri Light" w:cs="Calibri Light"/>
          <w:color w:val="59595B"/>
          <w:lang w:val="en-GB"/>
        </w:rPr>
        <w:t>10.3</w:t>
      </w:r>
      <w:r w:rsidR="00CC73D2" w:rsidRPr="00A96D90">
        <w:rPr>
          <w:rFonts w:ascii="Calibri Light" w:hAnsi="Calibri Light" w:cs="Calibri Light"/>
          <w:color w:val="59595B"/>
          <w:lang w:val="en-GB"/>
        </w:rPr>
        <w:t xml:space="preserve"> million.</w:t>
      </w:r>
      <w:r w:rsidR="0040539E">
        <w:rPr>
          <w:rFonts w:ascii="Calibri Light" w:hAnsi="Calibri Light" w:cs="Calibri Light"/>
          <w:color w:val="59595B"/>
          <w:lang w:val="en-GB"/>
        </w:rPr>
        <w:t xml:space="preserve"> </w:t>
      </w:r>
      <w:r w:rsidR="0035377D" w:rsidRPr="00A96D90">
        <w:rPr>
          <w:rFonts w:ascii="Calibri Light" w:hAnsi="Calibri Light" w:cs="Calibri Light"/>
          <w:color w:val="59595B"/>
          <w:lang w:val="en-GB"/>
        </w:rPr>
        <w:t xml:space="preserve">The revaluation on the warrants </w:t>
      </w:r>
      <w:r w:rsidR="00CC73D2" w:rsidRPr="00A96D90">
        <w:rPr>
          <w:rFonts w:ascii="Calibri Light" w:hAnsi="Calibri Light" w:cs="Calibri Light"/>
          <w:color w:val="59595B"/>
          <w:lang w:val="en-GB"/>
        </w:rPr>
        <w:t>resulted in</w:t>
      </w:r>
      <w:r w:rsidR="0035377D" w:rsidRPr="00A96D90">
        <w:rPr>
          <w:rFonts w:ascii="Calibri Light" w:hAnsi="Calibri Light" w:cs="Calibri Light"/>
          <w:color w:val="59595B"/>
          <w:lang w:val="en-GB"/>
        </w:rPr>
        <w:t xml:space="preserve"> a loss of €1.2 million in the first half year (2016: gain of €0.5 million) mainly due to the </w:t>
      </w:r>
      <w:r w:rsidR="005D27D6" w:rsidRPr="00A96D90">
        <w:rPr>
          <w:rFonts w:ascii="Calibri Light" w:hAnsi="Calibri Light" w:cs="Calibri Light"/>
          <w:color w:val="59595B"/>
          <w:lang w:val="en-GB"/>
        </w:rPr>
        <w:t xml:space="preserve">effect of the </w:t>
      </w:r>
      <w:r w:rsidR="0035377D" w:rsidRPr="00A96D90">
        <w:rPr>
          <w:rFonts w:ascii="Calibri Light" w:hAnsi="Calibri Light" w:cs="Calibri Light"/>
          <w:color w:val="59595B"/>
          <w:lang w:val="en-GB"/>
        </w:rPr>
        <w:t xml:space="preserve">increase </w:t>
      </w:r>
      <w:r w:rsidR="00E25BDF" w:rsidRPr="00A96D90">
        <w:rPr>
          <w:rFonts w:ascii="Calibri Light" w:hAnsi="Calibri Light" w:cs="Calibri Light"/>
          <w:color w:val="59595B"/>
          <w:lang w:val="en-GB"/>
        </w:rPr>
        <w:t xml:space="preserve">in </w:t>
      </w:r>
      <w:r w:rsidR="0035377D" w:rsidRPr="00A96D90">
        <w:rPr>
          <w:rFonts w:ascii="Calibri Light" w:hAnsi="Calibri Light" w:cs="Calibri Light"/>
          <w:color w:val="59595B"/>
          <w:lang w:val="en-GB"/>
        </w:rPr>
        <w:t>the share price</w:t>
      </w:r>
      <w:r w:rsidR="005D27D6" w:rsidRPr="00A96D90">
        <w:rPr>
          <w:rFonts w:ascii="Calibri Light" w:hAnsi="Calibri Light" w:cs="Calibri Light"/>
          <w:color w:val="59595B"/>
          <w:lang w:val="en-GB"/>
        </w:rPr>
        <w:t xml:space="preserve"> on early warrant series</w:t>
      </w:r>
      <w:r w:rsidR="0035377D" w:rsidRPr="00A96D90">
        <w:rPr>
          <w:rFonts w:ascii="Calibri Light" w:hAnsi="Calibri Light" w:cs="Calibri Light"/>
          <w:color w:val="59595B"/>
          <w:lang w:val="en-GB"/>
        </w:rPr>
        <w:t>.</w:t>
      </w:r>
      <w:r w:rsidR="0040539E">
        <w:rPr>
          <w:rFonts w:ascii="Calibri Light" w:hAnsi="Calibri Light" w:cs="Calibri Light"/>
          <w:color w:val="59595B"/>
          <w:lang w:val="en-GB"/>
        </w:rPr>
        <w:t xml:space="preserve"> </w:t>
      </w:r>
      <w:r w:rsidR="0035377D" w:rsidRPr="00A96D90">
        <w:rPr>
          <w:rFonts w:ascii="Calibri Light" w:hAnsi="Calibri Light" w:cs="Calibri Light"/>
          <w:color w:val="59595B"/>
          <w:lang w:val="en-GB"/>
        </w:rPr>
        <w:t xml:space="preserve">The foreign currency </w:t>
      </w:r>
      <w:r w:rsidR="008F382A" w:rsidRPr="00A96D90">
        <w:rPr>
          <w:rFonts w:ascii="Calibri Light" w:hAnsi="Calibri Light" w:cs="Calibri Light"/>
          <w:color w:val="59595B"/>
          <w:lang w:val="en-GB"/>
        </w:rPr>
        <w:t xml:space="preserve">exchange </w:t>
      </w:r>
      <w:r w:rsidR="0035377D" w:rsidRPr="00A96D90">
        <w:rPr>
          <w:rFonts w:ascii="Calibri Light" w:hAnsi="Calibri Light" w:cs="Calibri Light"/>
          <w:color w:val="59595B"/>
          <w:lang w:val="en-GB"/>
        </w:rPr>
        <w:t>result</w:t>
      </w:r>
      <w:r w:rsidR="00CC73D2" w:rsidRPr="00A96D90">
        <w:rPr>
          <w:rFonts w:ascii="Calibri Light" w:hAnsi="Calibri Light" w:cs="Calibri Light"/>
          <w:color w:val="59595B"/>
          <w:lang w:val="en-GB"/>
        </w:rPr>
        <w:t xml:space="preserve">, from revaluation of bank accounts and debt </w:t>
      </w:r>
      <w:r w:rsidR="008F382A" w:rsidRPr="00A96D90">
        <w:rPr>
          <w:rFonts w:ascii="Calibri Light" w:hAnsi="Calibri Light" w:cs="Calibri Light"/>
          <w:color w:val="59595B"/>
          <w:lang w:val="en-GB"/>
        </w:rPr>
        <w:t>de</w:t>
      </w:r>
      <w:r w:rsidR="00CC73D2" w:rsidRPr="00A96D90">
        <w:rPr>
          <w:rFonts w:ascii="Calibri Light" w:hAnsi="Calibri Light" w:cs="Calibri Light"/>
          <w:color w:val="59595B"/>
          <w:lang w:val="en-GB"/>
        </w:rPr>
        <w:t xml:space="preserve">nominated in foreign currency, was a gain of €2.7 million (2016: €nil). </w:t>
      </w:r>
    </w:p>
    <w:p w14:paraId="1AA6B797" w14:textId="4DABFA73"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Net Result</w:t>
      </w:r>
    </w:p>
    <w:p w14:paraId="08DDD0F2" w14:textId="628275F0"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As a result of the above items, the accounting net loss increased from €5.7 million in the first quarter of </w:t>
      </w:r>
      <w:r w:rsidR="00F23751" w:rsidRPr="00A96D90">
        <w:rPr>
          <w:rFonts w:ascii="Calibri Light" w:hAnsi="Calibri Light" w:cs="Calibri Light"/>
          <w:color w:val="59595B"/>
          <w:lang w:val="en-GB"/>
        </w:rPr>
        <w:t>2016</w:t>
      </w:r>
      <w:r w:rsidRPr="00A96D90">
        <w:rPr>
          <w:rFonts w:ascii="Calibri Light" w:hAnsi="Calibri Light" w:cs="Calibri Light"/>
          <w:color w:val="59595B"/>
          <w:lang w:val="en-GB"/>
        </w:rPr>
        <w:t xml:space="preserve"> to €</w:t>
      </w:r>
      <w:r w:rsidR="003F3657" w:rsidRPr="00A96D90">
        <w:rPr>
          <w:rFonts w:ascii="Calibri Light" w:hAnsi="Calibri Light" w:cs="Calibri Light"/>
          <w:color w:val="59595B"/>
          <w:lang w:val="en-GB"/>
        </w:rPr>
        <w:t>30.2</w:t>
      </w:r>
      <w:r w:rsidRPr="00A96D90">
        <w:rPr>
          <w:rFonts w:ascii="Calibri Light" w:hAnsi="Calibri Light" w:cs="Calibri Light"/>
          <w:color w:val="59595B"/>
          <w:lang w:val="en-GB"/>
        </w:rPr>
        <w:t xml:space="preserve"> million in the first half of 2017. The increase of the net loss was related to the financial expenses associated with the refinance, and was entirely covered by the loan taken out in that refinance, so that </w:t>
      </w:r>
      <w:r w:rsidR="00705875" w:rsidRPr="00A96D90">
        <w:rPr>
          <w:rFonts w:ascii="Calibri Light" w:hAnsi="Calibri Light" w:cs="Calibri Light"/>
          <w:color w:val="59595B"/>
          <w:lang w:val="en-GB"/>
        </w:rPr>
        <w:t xml:space="preserve">operational </w:t>
      </w:r>
      <w:r w:rsidRPr="00A96D90">
        <w:rPr>
          <w:rFonts w:ascii="Calibri Light" w:hAnsi="Calibri Light" w:cs="Calibri Light"/>
          <w:color w:val="59595B"/>
          <w:lang w:val="en-GB"/>
        </w:rPr>
        <w:t xml:space="preserve">cash was essentially unaffected. </w:t>
      </w:r>
    </w:p>
    <w:p w14:paraId="40A58EC5"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Cash and Cash Equivalents</w:t>
      </w:r>
    </w:p>
    <w:p w14:paraId="2A62FC43" w14:textId="5395A5E9"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The total cash and cash equivalent position (including restricted cash) decreased by €</w:t>
      </w:r>
      <w:r w:rsidR="00705875" w:rsidRPr="00A96D90">
        <w:rPr>
          <w:rFonts w:ascii="Calibri Light" w:hAnsi="Calibri Light" w:cs="Calibri Light"/>
          <w:color w:val="59595B"/>
          <w:lang w:val="en-GB"/>
        </w:rPr>
        <w:t>6.9</w:t>
      </w:r>
      <w:r w:rsidRPr="00A96D90">
        <w:rPr>
          <w:rFonts w:ascii="Calibri Light" w:hAnsi="Calibri Light" w:cs="Calibri Light"/>
          <w:color w:val="59595B"/>
          <w:lang w:val="en-GB"/>
        </w:rPr>
        <w:t xml:space="preserve"> million from €</w:t>
      </w:r>
      <w:r w:rsidR="00705875" w:rsidRPr="00A96D90">
        <w:rPr>
          <w:rFonts w:ascii="Calibri Light" w:hAnsi="Calibri Light" w:cs="Calibri Light"/>
          <w:color w:val="59595B"/>
          <w:lang w:val="en-GB"/>
        </w:rPr>
        <w:t>32.1</w:t>
      </w:r>
      <w:r w:rsidRPr="00A96D90">
        <w:rPr>
          <w:rFonts w:ascii="Calibri Light" w:hAnsi="Calibri Light" w:cs="Calibri Light"/>
          <w:color w:val="59595B"/>
          <w:lang w:val="en-GB"/>
        </w:rPr>
        <w:t xml:space="preserve"> million at year-end 2016 to €25.</w:t>
      </w:r>
      <w:r w:rsidR="00705875" w:rsidRPr="00A96D90">
        <w:rPr>
          <w:rFonts w:ascii="Calibri Light" w:hAnsi="Calibri Light" w:cs="Calibri Light"/>
          <w:color w:val="59595B"/>
          <w:lang w:val="en-GB"/>
        </w:rPr>
        <w:t>2</w:t>
      </w:r>
      <w:r w:rsidRPr="00A96D90">
        <w:rPr>
          <w:rFonts w:ascii="Calibri Light" w:hAnsi="Calibri Light" w:cs="Calibri Light"/>
          <w:color w:val="59595B"/>
          <w:lang w:val="en-GB"/>
        </w:rPr>
        <w:t xml:space="preserve"> million at the end of June 2017. The decrease in cash </w:t>
      </w:r>
      <w:r w:rsidRPr="00A96D90">
        <w:rPr>
          <w:rFonts w:ascii="Calibri Light" w:hAnsi="Calibri Light" w:cs="Calibri Light"/>
          <w:color w:val="59595B"/>
          <w:lang w:val="en-GB"/>
        </w:rPr>
        <w:lastRenderedPageBreak/>
        <w:t xml:space="preserve">is </w:t>
      </w:r>
      <w:r w:rsidR="008F382A" w:rsidRPr="00A96D90">
        <w:rPr>
          <w:rFonts w:ascii="Calibri Light" w:hAnsi="Calibri Light" w:cs="Calibri Light"/>
          <w:color w:val="59595B"/>
          <w:lang w:val="en-GB"/>
        </w:rPr>
        <w:t xml:space="preserve">temporary and was </w:t>
      </w:r>
      <w:r w:rsidRPr="00A96D90">
        <w:rPr>
          <w:rFonts w:ascii="Calibri Light" w:hAnsi="Calibri Light" w:cs="Calibri Light"/>
          <w:color w:val="59595B"/>
          <w:lang w:val="en-GB"/>
        </w:rPr>
        <w:t xml:space="preserve">due to late payment by debtors of revenues relating to US sales. From Q3 onwards, all US distribution will be directly managed by Pharming and cash receipts from sales are expected to </w:t>
      </w:r>
      <w:r w:rsidR="008F382A" w:rsidRPr="00A96D90">
        <w:rPr>
          <w:rFonts w:ascii="Calibri Light" w:hAnsi="Calibri Light" w:cs="Calibri Light"/>
          <w:color w:val="59595B"/>
          <w:lang w:val="en-GB"/>
        </w:rPr>
        <w:t xml:space="preserve">be better timed </w:t>
      </w:r>
      <w:r w:rsidRPr="00A96D90">
        <w:rPr>
          <w:rFonts w:ascii="Calibri Light" w:hAnsi="Calibri Light" w:cs="Calibri Light"/>
          <w:color w:val="59595B"/>
          <w:lang w:val="en-GB"/>
        </w:rPr>
        <w:t>as result.</w:t>
      </w:r>
    </w:p>
    <w:p w14:paraId="32746CA9" w14:textId="453A7606"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Equity</w:t>
      </w:r>
    </w:p>
    <w:p w14:paraId="7A31CACD" w14:textId="55FC8323" w:rsidR="008F382A" w:rsidRPr="00A96D90" w:rsidRDefault="005365CE" w:rsidP="00A068BF">
      <w:pPr>
        <w:pStyle w:val="NoSpacing"/>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The </w:t>
      </w:r>
      <w:r w:rsidR="00E25BDF" w:rsidRPr="00A96D90">
        <w:rPr>
          <w:rFonts w:ascii="Calibri Light" w:hAnsi="Calibri Light" w:cs="Calibri Light"/>
          <w:color w:val="59595B"/>
          <w:lang w:val="en-GB"/>
        </w:rPr>
        <w:t>c</w:t>
      </w:r>
      <w:r w:rsidRPr="00A96D90">
        <w:rPr>
          <w:rFonts w:ascii="Calibri Light" w:hAnsi="Calibri Light" w:cs="Calibri Light"/>
          <w:color w:val="59595B"/>
          <w:lang w:val="en-GB"/>
        </w:rPr>
        <w:t>ompany’s equity position amounted to €</w:t>
      </w:r>
      <w:r w:rsidR="00705875" w:rsidRPr="00A96D90">
        <w:rPr>
          <w:rFonts w:ascii="Calibri Light" w:hAnsi="Calibri Light" w:cs="Calibri Light"/>
          <w:color w:val="59595B"/>
          <w:lang w:val="en-GB"/>
        </w:rPr>
        <w:t>6.</w:t>
      </w:r>
      <w:r w:rsidR="00E033A9" w:rsidRPr="00A96D90">
        <w:rPr>
          <w:rFonts w:ascii="Calibri Light" w:hAnsi="Calibri Light" w:cs="Calibri Light"/>
          <w:color w:val="59595B"/>
          <w:lang w:val="en-GB"/>
        </w:rPr>
        <w:t>8</w:t>
      </w:r>
      <w:r w:rsidRPr="00A96D90">
        <w:rPr>
          <w:rFonts w:ascii="Calibri Light" w:hAnsi="Calibri Light" w:cs="Calibri Light"/>
          <w:color w:val="59595B"/>
          <w:lang w:val="en-GB"/>
        </w:rPr>
        <w:t xml:space="preserve"> million at the end of June 2017 (31 December 2016: €</w:t>
      </w:r>
      <w:r w:rsidR="00705875" w:rsidRPr="00A96D90">
        <w:rPr>
          <w:rFonts w:ascii="Calibri Light" w:hAnsi="Calibri Light" w:cs="Calibri Light"/>
          <w:color w:val="59595B"/>
          <w:lang w:val="en-GB"/>
        </w:rPr>
        <w:t>27.5</w:t>
      </w:r>
      <w:r w:rsidRPr="00A96D90">
        <w:rPr>
          <w:rFonts w:ascii="Calibri Light" w:hAnsi="Calibri Light" w:cs="Calibri Light"/>
          <w:color w:val="59595B"/>
          <w:lang w:val="en-GB"/>
        </w:rPr>
        <w:t xml:space="preserve"> million), </w:t>
      </w:r>
      <w:r w:rsidR="009C3E6C">
        <w:rPr>
          <w:rFonts w:ascii="Calibri Light" w:hAnsi="Calibri Light" w:cs="Calibri Light"/>
          <w:color w:val="59595B"/>
          <w:lang w:val="en-GB"/>
        </w:rPr>
        <w:t>with the reduction</w:t>
      </w:r>
      <w:r w:rsidRPr="00A96D90">
        <w:rPr>
          <w:rFonts w:ascii="Calibri Light" w:hAnsi="Calibri Light" w:cs="Calibri Light"/>
          <w:color w:val="59595B"/>
          <w:lang w:val="en-GB"/>
        </w:rPr>
        <w:t xml:space="preserve"> due to </w:t>
      </w:r>
      <w:r w:rsidR="009C7CCC" w:rsidRPr="00A96D90">
        <w:rPr>
          <w:rFonts w:ascii="Calibri Light" w:hAnsi="Calibri Light" w:cs="Calibri Light"/>
          <w:color w:val="59595B"/>
          <w:lang w:val="en-GB"/>
        </w:rPr>
        <w:t xml:space="preserve">one-off </w:t>
      </w:r>
      <w:r w:rsidR="008F382A" w:rsidRPr="00A96D90">
        <w:rPr>
          <w:rFonts w:ascii="Calibri Light" w:hAnsi="Calibri Light" w:cs="Calibri Light"/>
          <w:color w:val="59595B"/>
          <w:lang w:val="en-GB"/>
        </w:rPr>
        <w:t xml:space="preserve">mainly </w:t>
      </w:r>
      <w:r w:rsidR="009C7CCC" w:rsidRPr="00A96D90">
        <w:rPr>
          <w:rFonts w:ascii="Calibri Light" w:hAnsi="Calibri Light" w:cs="Calibri Light"/>
          <w:color w:val="59595B"/>
          <w:lang w:val="en-GB"/>
        </w:rPr>
        <w:t xml:space="preserve">non-cash </w:t>
      </w:r>
      <w:r w:rsidR="005F76A6" w:rsidRPr="00A96D90">
        <w:rPr>
          <w:rFonts w:ascii="Calibri Light" w:hAnsi="Calibri Light" w:cs="Calibri Light"/>
          <w:color w:val="59595B"/>
          <w:lang w:val="en-GB"/>
        </w:rPr>
        <w:t xml:space="preserve">financing expenses leading to a </w:t>
      </w:r>
      <w:r w:rsidRPr="00A96D90">
        <w:rPr>
          <w:rFonts w:ascii="Calibri Light" w:hAnsi="Calibri Light" w:cs="Calibri Light"/>
          <w:color w:val="59595B"/>
          <w:lang w:val="en-GB"/>
        </w:rPr>
        <w:t>net loss</w:t>
      </w:r>
      <w:r w:rsidR="009C7CCC" w:rsidRPr="00A96D90">
        <w:rPr>
          <w:rFonts w:ascii="Calibri Light" w:hAnsi="Calibri Light" w:cs="Calibri Light"/>
          <w:color w:val="59595B"/>
          <w:lang w:val="en-GB"/>
        </w:rPr>
        <w:t>.</w:t>
      </w:r>
    </w:p>
    <w:p w14:paraId="37794C76" w14:textId="7994975D" w:rsidR="005365CE" w:rsidRPr="00A96D90" w:rsidRDefault="008F382A" w:rsidP="00A068BF">
      <w:pPr>
        <w:pStyle w:val="NoSpacing"/>
        <w:ind w:right="144"/>
        <w:jc w:val="both"/>
        <w:rPr>
          <w:rFonts w:ascii="Calibri Light" w:hAnsi="Calibri Light" w:cs="Calibri Light"/>
          <w:color w:val="59595B"/>
          <w:lang w:val="en-GB"/>
        </w:rPr>
      </w:pPr>
      <w:r w:rsidRPr="00A96D90">
        <w:rPr>
          <w:rFonts w:ascii="Calibri Light" w:hAnsi="Calibri Light" w:cs="Calibri Light"/>
          <w:color w:val="59595B"/>
          <w:lang w:val="en-GB"/>
        </w:rPr>
        <w:t>Since the reporting date,</w:t>
      </w:r>
      <w:r w:rsidR="00E25BDF" w:rsidRPr="00A96D90">
        <w:rPr>
          <w:rFonts w:ascii="Calibri Light" w:hAnsi="Calibri Light" w:cs="Calibri Light"/>
          <w:color w:val="59595B"/>
          <w:lang w:val="en-GB"/>
        </w:rPr>
        <w:t xml:space="preserve"> the c</w:t>
      </w:r>
      <w:r w:rsidRPr="00A96D90">
        <w:rPr>
          <w:rFonts w:ascii="Calibri Light" w:hAnsi="Calibri Light" w:cs="Calibri Light"/>
          <w:color w:val="59595B"/>
          <w:lang w:val="en-GB"/>
        </w:rPr>
        <w:t>ompany has issued a total of 21,692,213</w:t>
      </w:r>
      <w:r w:rsidR="00D30CC9" w:rsidRPr="00A96D90">
        <w:rPr>
          <w:rFonts w:ascii="Calibri Light" w:hAnsi="Calibri Light" w:cs="Calibri Light"/>
          <w:color w:val="59595B"/>
          <w:lang w:val="en-GB"/>
        </w:rPr>
        <w:t xml:space="preserve"> shares in connection with a number of</w:t>
      </w:r>
      <w:r w:rsidRPr="00A96D90">
        <w:rPr>
          <w:rFonts w:ascii="Calibri Light" w:hAnsi="Calibri Light" w:cs="Calibri Light"/>
          <w:color w:val="59595B"/>
          <w:lang w:val="en-GB"/>
        </w:rPr>
        <w:t xml:space="preserve"> exercise</w:t>
      </w:r>
      <w:r w:rsidR="00D30CC9" w:rsidRPr="00A96D90">
        <w:rPr>
          <w:rFonts w:ascii="Calibri Light" w:hAnsi="Calibri Light" w:cs="Calibri Light"/>
          <w:color w:val="59595B"/>
          <w:lang w:val="en-GB"/>
        </w:rPr>
        <w:t>s</w:t>
      </w:r>
      <w:r w:rsidRPr="00A96D90">
        <w:rPr>
          <w:rFonts w:ascii="Calibri Light" w:hAnsi="Calibri Light" w:cs="Calibri Light"/>
          <w:color w:val="59595B"/>
          <w:lang w:val="en-GB"/>
        </w:rPr>
        <w:t xml:space="preserve"> of warrants. The exercise</w:t>
      </w:r>
      <w:r w:rsidR="00D30CC9" w:rsidRPr="00A96D90">
        <w:rPr>
          <w:rFonts w:ascii="Calibri Light" w:hAnsi="Calibri Light" w:cs="Calibri Light"/>
          <w:color w:val="59595B"/>
          <w:lang w:val="en-GB"/>
        </w:rPr>
        <w:t>s</w:t>
      </w:r>
      <w:r w:rsidRPr="00A96D90">
        <w:rPr>
          <w:rFonts w:ascii="Calibri Light" w:hAnsi="Calibri Light" w:cs="Calibri Light"/>
          <w:color w:val="59595B"/>
          <w:lang w:val="en-GB"/>
        </w:rPr>
        <w:t xml:space="preserve"> resulted in </w:t>
      </w:r>
      <w:r w:rsidR="00D30CC9" w:rsidRPr="00A96D90">
        <w:rPr>
          <w:rFonts w:ascii="Calibri Light" w:hAnsi="Calibri Light" w:cs="Calibri Light"/>
          <w:color w:val="59595B"/>
          <w:lang w:val="en-GB"/>
        </w:rPr>
        <w:t>total cash</w:t>
      </w:r>
      <w:r w:rsidRPr="00A96D90">
        <w:rPr>
          <w:rFonts w:ascii="Calibri Light" w:hAnsi="Calibri Light" w:cs="Calibri Light"/>
          <w:color w:val="59595B"/>
          <w:lang w:val="en-GB"/>
        </w:rPr>
        <w:t xml:space="preserve"> receipt</w:t>
      </w:r>
      <w:r w:rsidR="00D30CC9" w:rsidRPr="00A96D90">
        <w:rPr>
          <w:rFonts w:ascii="Calibri Light" w:hAnsi="Calibri Light" w:cs="Calibri Light"/>
          <w:color w:val="59595B"/>
          <w:lang w:val="en-GB"/>
        </w:rPr>
        <w:t>s</w:t>
      </w:r>
      <w:r w:rsidRPr="00A96D90">
        <w:rPr>
          <w:rFonts w:ascii="Calibri Light" w:hAnsi="Calibri Light" w:cs="Calibri Light"/>
          <w:color w:val="59595B"/>
          <w:lang w:val="en-GB"/>
        </w:rPr>
        <w:t xml:space="preserve"> of €5.6 </w:t>
      </w:r>
      <w:r w:rsidR="00D30CC9" w:rsidRPr="00A96D90">
        <w:rPr>
          <w:rFonts w:ascii="Calibri Light" w:hAnsi="Calibri Light" w:cs="Calibri Light"/>
          <w:color w:val="59595B"/>
          <w:lang w:val="en-GB"/>
        </w:rPr>
        <w:t>million with an additional</w:t>
      </w:r>
      <w:r w:rsidRPr="00A96D90">
        <w:rPr>
          <w:rFonts w:ascii="Calibri Light" w:hAnsi="Calibri Light" w:cs="Calibri Light"/>
          <w:color w:val="59595B"/>
          <w:lang w:val="en-GB"/>
        </w:rPr>
        <w:t xml:space="preserve"> </w:t>
      </w:r>
      <w:r w:rsidR="00D30CC9" w:rsidRPr="00A96D90">
        <w:rPr>
          <w:rFonts w:ascii="Calibri Light" w:hAnsi="Calibri Light" w:cs="Calibri Light"/>
          <w:color w:val="59595B"/>
          <w:lang w:val="en-GB"/>
        </w:rPr>
        <w:t xml:space="preserve">exercise of </w:t>
      </w:r>
      <w:r w:rsidRPr="00A96D90">
        <w:rPr>
          <w:rFonts w:ascii="Calibri Light" w:hAnsi="Calibri Light" w:cs="Calibri Light"/>
          <w:color w:val="59595B"/>
          <w:lang w:val="en-GB"/>
        </w:rPr>
        <w:t>€1.6 million</w:t>
      </w:r>
      <w:r w:rsidR="00D30CC9" w:rsidRPr="00A96D90">
        <w:rPr>
          <w:rFonts w:ascii="Calibri Light" w:hAnsi="Calibri Light" w:cs="Calibri Light"/>
          <w:color w:val="59595B"/>
          <w:lang w:val="en-GB"/>
        </w:rPr>
        <w:t xml:space="preserve"> worth of warrants exercised cashlessly,</w:t>
      </w:r>
      <w:r w:rsidRPr="00A96D90">
        <w:rPr>
          <w:rFonts w:ascii="Calibri Light" w:hAnsi="Calibri Light" w:cs="Calibri Light"/>
          <w:color w:val="59595B"/>
          <w:lang w:val="en-GB"/>
        </w:rPr>
        <w:t xml:space="preserve"> </w:t>
      </w:r>
      <w:r w:rsidR="00D30CC9" w:rsidRPr="00A96D90">
        <w:rPr>
          <w:rFonts w:ascii="Calibri Light" w:hAnsi="Calibri Light" w:cs="Calibri Light"/>
          <w:color w:val="59595B"/>
          <w:lang w:val="en-GB"/>
        </w:rPr>
        <w:t>resulting in</w:t>
      </w:r>
      <w:r w:rsidRPr="00A96D90">
        <w:rPr>
          <w:rFonts w:ascii="Calibri Light" w:hAnsi="Calibri Light" w:cs="Calibri Light"/>
          <w:color w:val="59595B"/>
          <w:lang w:val="en-GB"/>
        </w:rPr>
        <w:t xml:space="preserve"> 3,509,929 shares </w:t>
      </w:r>
      <w:r w:rsidR="00D30CC9" w:rsidRPr="00A96D90">
        <w:rPr>
          <w:rFonts w:ascii="Calibri Light" w:hAnsi="Calibri Light" w:cs="Calibri Light"/>
          <w:color w:val="59595B"/>
          <w:lang w:val="en-GB"/>
        </w:rPr>
        <w:t>saved relative to the number of shares in the exercised warrants</w:t>
      </w:r>
      <w:r w:rsidRPr="00A96D90">
        <w:rPr>
          <w:rFonts w:ascii="Calibri Light" w:hAnsi="Calibri Light" w:cs="Calibri Light"/>
          <w:color w:val="59595B"/>
          <w:lang w:val="en-GB"/>
        </w:rPr>
        <w:t>.</w:t>
      </w:r>
      <w:r w:rsidR="005365CE" w:rsidRPr="00A96D90">
        <w:rPr>
          <w:rFonts w:ascii="Calibri Light" w:hAnsi="Calibri Light" w:cs="Calibri Light"/>
          <w:color w:val="59595B"/>
          <w:lang w:val="en-GB"/>
        </w:rPr>
        <w:t xml:space="preserve"> </w:t>
      </w:r>
    </w:p>
    <w:p w14:paraId="43772621" w14:textId="74E982E8" w:rsidR="005365CE" w:rsidRPr="00A96D90" w:rsidRDefault="005365CE" w:rsidP="00A068BF">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The number of </w:t>
      </w:r>
      <w:r w:rsidR="00A03BA5" w:rsidRPr="00A96D90">
        <w:rPr>
          <w:rFonts w:ascii="Calibri Light" w:hAnsi="Calibri Light" w:cs="Calibri Light"/>
          <w:color w:val="59595B"/>
          <w:lang w:val="en-GB"/>
        </w:rPr>
        <w:t xml:space="preserve">issued </w:t>
      </w:r>
      <w:r w:rsidRPr="00A96D90">
        <w:rPr>
          <w:rFonts w:ascii="Calibri Light" w:hAnsi="Calibri Light" w:cs="Calibri Light"/>
          <w:color w:val="59595B"/>
          <w:lang w:val="en-GB"/>
        </w:rPr>
        <w:t xml:space="preserve">shares </w:t>
      </w:r>
      <w:r w:rsidR="00A03BA5" w:rsidRPr="00A96D90">
        <w:rPr>
          <w:rFonts w:ascii="Calibri Light" w:hAnsi="Calibri Light" w:cs="Calibri Light"/>
          <w:color w:val="59595B"/>
          <w:lang w:val="en-GB"/>
        </w:rPr>
        <w:t>as at 26 July 2017</w:t>
      </w:r>
      <w:r w:rsidRPr="00A96D90">
        <w:rPr>
          <w:rFonts w:ascii="Calibri Light" w:hAnsi="Calibri Light" w:cs="Calibri Light"/>
          <w:color w:val="59595B"/>
          <w:lang w:val="en-GB"/>
        </w:rPr>
        <w:t xml:space="preserve"> </w:t>
      </w:r>
      <w:r w:rsidR="003F3657" w:rsidRPr="00A96D90">
        <w:rPr>
          <w:rFonts w:ascii="Calibri Light" w:hAnsi="Calibri Light" w:cs="Calibri Light"/>
          <w:color w:val="59595B"/>
          <w:lang w:val="en-GB"/>
        </w:rPr>
        <w:t>is</w:t>
      </w:r>
      <w:r w:rsidRPr="00A96D90">
        <w:rPr>
          <w:rFonts w:ascii="Calibri Light" w:hAnsi="Calibri Light" w:cs="Calibri Light"/>
          <w:color w:val="59595B"/>
          <w:lang w:val="en-GB"/>
        </w:rPr>
        <w:t xml:space="preserve"> </w:t>
      </w:r>
      <w:r w:rsidR="00E033A9" w:rsidRPr="00A96D90">
        <w:rPr>
          <w:rFonts w:ascii="Calibri Light" w:hAnsi="Calibri Light" w:cs="Calibri Light"/>
          <w:color w:val="59595B"/>
          <w:lang w:val="en-GB"/>
        </w:rPr>
        <w:t>505,620,758</w:t>
      </w:r>
      <w:r w:rsidRPr="00A96D90">
        <w:rPr>
          <w:rFonts w:ascii="Calibri Light" w:hAnsi="Calibri Light" w:cs="Calibri Light"/>
          <w:color w:val="59595B"/>
          <w:lang w:val="en-GB"/>
        </w:rPr>
        <w:t>.</w:t>
      </w:r>
    </w:p>
    <w:p w14:paraId="4CFEA2F8" w14:textId="77777777" w:rsidR="005365CE" w:rsidRPr="00A96D90" w:rsidRDefault="005365CE" w:rsidP="00C5479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Performance of Pharming Shares</w:t>
      </w:r>
    </w:p>
    <w:p w14:paraId="5FBEDBE8" w14:textId="34DC0094" w:rsidR="005365CE" w:rsidRPr="00A96D90" w:rsidRDefault="005365CE" w:rsidP="00A068BF">
      <w:pPr>
        <w:pStyle w:val="AL"/>
        <w:spacing w:after="240"/>
        <w:jc w:val="both"/>
        <w:rPr>
          <w:rFonts w:ascii="Calibri Light" w:eastAsia="Calibri" w:hAnsi="Calibri Light" w:cs="Calibri Light"/>
          <w:bCs w:val="0"/>
          <w:color w:val="59595B"/>
        </w:rPr>
      </w:pPr>
      <w:r w:rsidRPr="00A96D90">
        <w:rPr>
          <w:rFonts w:ascii="Calibri Light" w:eastAsia="Calibri" w:hAnsi="Calibri Light" w:cs="Calibri Light"/>
          <w:bCs w:val="0"/>
          <w:color w:val="59595B"/>
        </w:rPr>
        <w:t>During the first half year, the Pharming stock price fluctuated around an average price of €0.29 per share. The half year-end price was €0.31 (30JUN2016: €0.19), with a high of €0.366 in January and a low of €0.21 in the same month.</w:t>
      </w:r>
      <w:r w:rsidR="0040539E">
        <w:rPr>
          <w:rFonts w:ascii="Calibri Light" w:eastAsia="Calibri" w:hAnsi="Calibri Light" w:cs="Calibri Light"/>
          <w:bCs w:val="0"/>
          <w:color w:val="59595B"/>
        </w:rPr>
        <w:t xml:space="preserve"> </w:t>
      </w:r>
      <w:r w:rsidRPr="00A96D90">
        <w:rPr>
          <w:rFonts w:ascii="Calibri Light" w:eastAsia="Calibri" w:hAnsi="Calibri Light" w:cs="Calibri Light"/>
          <w:bCs w:val="0"/>
          <w:color w:val="59595B"/>
        </w:rPr>
        <w:t>Since the end of the period, the price has increased</w:t>
      </w:r>
      <w:r w:rsidR="00A03BA5" w:rsidRPr="00A96D90">
        <w:rPr>
          <w:rFonts w:ascii="Calibri Light" w:eastAsia="Calibri" w:hAnsi="Calibri Light" w:cs="Calibri Light"/>
          <w:bCs w:val="0"/>
          <w:color w:val="59595B"/>
        </w:rPr>
        <w:t xml:space="preserve"> further</w:t>
      </w:r>
      <w:r w:rsidR="00AD7529" w:rsidRPr="00A96D90">
        <w:rPr>
          <w:rFonts w:ascii="Calibri Light" w:eastAsia="Calibri" w:hAnsi="Calibri Light" w:cs="Calibri Light"/>
          <w:bCs w:val="0"/>
          <w:color w:val="59595B"/>
        </w:rPr>
        <w:t>.</w:t>
      </w:r>
      <w:r w:rsidR="0040539E">
        <w:rPr>
          <w:rFonts w:ascii="Calibri Light" w:eastAsia="Calibri" w:hAnsi="Calibri Light" w:cs="Calibri Light"/>
          <w:bCs w:val="0"/>
          <w:color w:val="59595B"/>
        </w:rPr>
        <w:t xml:space="preserve"> </w:t>
      </w:r>
    </w:p>
    <w:p w14:paraId="38074EFD" w14:textId="46AEC547" w:rsidR="005365CE" w:rsidRPr="00A96D90" w:rsidRDefault="00C54797" w:rsidP="00C54797">
      <w:pPr>
        <w:pStyle w:val="NoSpacing"/>
        <w:spacing w:before="120"/>
        <w:ind w:right="142"/>
        <w:jc w:val="both"/>
        <w:rPr>
          <w:rFonts w:ascii="Calibri Light" w:hAnsi="Calibri Light" w:cs="Calibri Light"/>
          <w:b/>
          <w:color w:val="00679B"/>
          <w:sz w:val="24"/>
          <w:lang w:val="en-GB"/>
        </w:rPr>
      </w:pPr>
      <w:r w:rsidRPr="00A96D90">
        <w:rPr>
          <w:rFonts w:ascii="Calibri Light" w:hAnsi="Calibri Light" w:cs="Calibri Light"/>
          <w:b/>
          <w:color w:val="00679B"/>
          <w:sz w:val="24"/>
          <w:lang w:val="en-GB"/>
        </w:rPr>
        <w:t>Outlook</w:t>
      </w:r>
    </w:p>
    <w:p w14:paraId="0B6E157B" w14:textId="77777777" w:rsidR="005365CE" w:rsidRPr="00A96D90" w:rsidRDefault="005365CE" w:rsidP="00B953D2">
      <w:pPr>
        <w:rPr>
          <w:rFonts w:asciiTheme="minorHAnsi" w:hAnsiTheme="minorHAnsi" w:cstheme="minorHAnsi"/>
          <w:b/>
          <w:color w:val="276E8B" w:themeColor="accent1" w:themeShade="BF"/>
          <w:lang w:val="en-GB"/>
        </w:rPr>
      </w:pPr>
    </w:p>
    <w:p w14:paraId="193AD3CC" w14:textId="547FB435" w:rsidR="005365CE" w:rsidRPr="00A96D90" w:rsidRDefault="005365CE" w:rsidP="00827F75">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For the remainder of 2017, the </w:t>
      </w:r>
      <w:r w:rsidR="00E25BDF" w:rsidRPr="00A96D90">
        <w:rPr>
          <w:rFonts w:asciiTheme="minorHAnsi" w:hAnsiTheme="minorHAnsi" w:cstheme="minorHAnsi"/>
          <w:color w:val="59595B"/>
          <w:szCs w:val="22"/>
          <w:lang w:val="en-GB"/>
        </w:rPr>
        <w:t>c</w:t>
      </w:r>
      <w:r w:rsidRPr="00A96D90">
        <w:rPr>
          <w:rFonts w:asciiTheme="minorHAnsi" w:hAnsiTheme="minorHAnsi" w:cstheme="minorHAnsi"/>
          <w:color w:val="59595B"/>
          <w:szCs w:val="22"/>
          <w:lang w:val="en-GB"/>
        </w:rPr>
        <w:t xml:space="preserve">ompany expects: </w:t>
      </w:r>
    </w:p>
    <w:p w14:paraId="00DBF0DC" w14:textId="77777777" w:rsidR="005365CE" w:rsidRPr="00A96D90" w:rsidRDefault="005365CE" w:rsidP="00827F75">
      <w:pPr>
        <w:autoSpaceDE w:val="0"/>
        <w:autoSpaceDN w:val="0"/>
        <w:adjustRightInd w:val="0"/>
        <w:rPr>
          <w:rFonts w:asciiTheme="minorHAnsi" w:hAnsiTheme="minorHAnsi" w:cstheme="minorHAnsi"/>
          <w:color w:val="59595B"/>
          <w:sz w:val="20"/>
          <w:szCs w:val="22"/>
          <w:lang w:val="en-GB"/>
        </w:rPr>
      </w:pPr>
    </w:p>
    <w:p w14:paraId="10B3E0CC" w14:textId="15B7E197" w:rsidR="005365CE" w:rsidRPr="00A96D90" w:rsidRDefault="005365CE"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 xml:space="preserve">Increasing sales and </w:t>
      </w:r>
      <w:r w:rsidR="00AD7529" w:rsidRPr="00A96D90">
        <w:rPr>
          <w:rFonts w:asciiTheme="minorHAnsi" w:hAnsiTheme="minorHAnsi" w:cstheme="minorHAnsi"/>
          <w:color w:val="59595B"/>
          <w:lang w:val="en-GB"/>
        </w:rPr>
        <w:t>continued positive operating results</w:t>
      </w:r>
      <w:r w:rsidR="0040539E">
        <w:rPr>
          <w:rFonts w:asciiTheme="minorHAnsi" w:hAnsiTheme="minorHAnsi" w:cstheme="minorHAnsi"/>
          <w:color w:val="59595B"/>
          <w:lang w:val="en-GB"/>
        </w:rPr>
        <w:t xml:space="preserve"> </w:t>
      </w:r>
    </w:p>
    <w:p w14:paraId="5FC3A06A" w14:textId="38C0F010" w:rsidR="005365CE" w:rsidRPr="00A96D90" w:rsidRDefault="005365CE"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Investment in the production of RUCONEST® in order to ensure continuity of supply</w:t>
      </w:r>
      <w:r w:rsidR="00AD7529" w:rsidRPr="00A96D90">
        <w:rPr>
          <w:rFonts w:asciiTheme="minorHAnsi" w:hAnsiTheme="minorHAnsi" w:cstheme="minorHAnsi"/>
          <w:color w:val="59595B"/>
          <w:lang w:val="en-GB"/>
        </w:rPr>
        <w:t>.</w:t>
      </w:r>
    </w:p>
    <w:p w14:paraId="6EEDF196" w14:textId="6C8F79A7" w:rsidR="005365CE" w:rsidRPr="00A96D90" w:rsidRDefault="005365CE"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 xml:space="preserve">Assessment of the clinical trial results for RUCONEST® in prophylaxis of HAE </w:t>
      </w:r>
      <w:r w:rsidR="009C7CCC" w:rsidRPr="00A96D90">
        <w:rPr>
          <w:rFonts w:asciiTheme="minorHAnsi" w:hAnsiTheme="minorHAnsi" w:cstheme="minorHAnsi"/>
          <w:color w:val="59595B"/>
          <w:lang w:val="en-GB"/>
        </w:rPr>
        <w:t xml:space="preserve">by </w:t>
      </w:r>
      <w:r w:rsidR="00384931" w:rsidRPr="00A96D90">
        <w:rPr>
          <w:rFonts w:asciiTheme="minorHAnsi" w:hAnsiTheme="minorHAnsi" w:cstheme="minorHAnsi"/>
          <w:color w:val="59595B"/>
          <w:lang w:val="en-GB"/>
        </w:rPr>
        <w:t>the US</w:t>
      </w:r>
      <w:r w:rsidRPr="00A96D90">
        <w:rPr>
          <w:rFonts w:asciiTheme="minorHAnsi" w:hAnsiTheme="minorHAnsi" w:cstheme="minorHAnsi"/>
          <w:color w:val="59595B"/>
          <w:lang w:val="en-GB"/>
        </w:rPr>
        <w:t xml:space="preserve"> FDA and the development </w:t>
      </w:r>
      <w:r w:rsidR="009C7CCC" w:rsidRPr="00A96D90">
        <w:rPr>
          <w:rFonts w:asciiTheme="minorHAnsi" w:hAnsiTheme="minorHAnsi" w:cstheme="minorHAnsi"/>
          <w:color w:val="59595B"/>
          <w:lang w:val="en-GB"/>
        </w:rPr>
        <w:t xml:space="preserve">of </w:t>
      </w:r>
      <w:r w:rsidRPr="00A96D90">
        <w:rPr>
          <w:rFonts w:asciiTheme="minorHAnsi" w:hAnsiTheme="minorHAnsi" w:cstheme="minorHAnsi"/>
          <w:color w:val="59595B"/>
          <w:lang w:val="en-GB"/>
        </w:rPr>
        <w:t>other versions of RUCONEST®</w:t>
      </w:r>
    </w:p>
    <w:p w14:paraId="4CA6F7B1" w14:textId="423144F9" w:rsidR="005365CE" w:rsidRPr="00A96D90" w:rsidRDefault="005365CE"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 xml:space="preserve">Increasing marketing activity where this can be profitable for Pharming, in addition to our current territories of Austria, </w:t>
      </w:r>
      <w:r w:rsidR="00AD7529" w:rsidRPr="00A96D90">
        <w:rPr>
          <w:rFonts w:asciiTheme="minorHAnsi" w:hAnsiTheme="minorHAnsi" w:cstheme="minorHAnsi"/>
          <w:color w:val="59595B"/>
          <w:lang w:val="en-GB"/>
        </w:rPr>
        <w:t xml:space="preserve">France, </w:t>
      </w:r>
      <w:r w:rsidRPr="00A96D90">
        <w:rPr>
          <w:rFonts w:asciiTheme="minorHAnsi" w:hAnsiTheme="minorHAnsi" w:cstheme="minorHAnsi"/>
          <w:color w:val="59595B"/>
          <w:lang w:val="en-GB"/>
        </w:rPr>
        <w:t>Germany</w:t>
      </w:r>
      <w:r w:rsidR="00AD7529" w:rsidRPr="00A96D90">
        <w:rPr>
          <w:rFonts w:asciiTheme="minorHAnsi" w:hAnsiTheme="minorHAnsi" w:cstheme="minorHAnsi"/>
          <w:color w:val="59595B"/>
          <w:lang w:val="en-GB"/>
        </w:rPr>
        <w:t>, United Kingdom</w:t>
      </w:r>
      <w:r w:rsidRPr="00A96D90">
        <w:rPr>
          <w:rFonts w:asciiTheme="minorHAnsi" w:hAnsiTheme="minorHAnsi" w:cstheme="minorHAnsi"/>
          <w:color w:val="59595B"/>
          <w:lang w:val="en-GB"/>
        </w:rPr>
        <w:t xml:space="preserve"> and</w:t>
      </w:r>
      <w:r w:rsidR="00E25BDF" w:rsidRPr="00A96D90">
        <w:rPr>
          <w:rFonts w:asciiTheme="minorHAnsi" w:hAnsiTheme="minorHAnsi" w:cstheme="minorHAnsi"/>
          <w:color w:val="59595B"/>
          <w:lang w:val="en-GB"/>
        </w:rPr>
        <w:t xml:space="preserve"> </w:t>
      </w:r>
      <w:r w:rsidRPr="00A96D90">
        <w:rPr>
          <w:rFonts w:asciiTheme="minorHAnsi" w:hAnsiTheme="minorHAnsi" w:cstheme="minorHAnsi"/>
          <w:color w:val="59595B"/>
          <w:lang w:val="en-GB"/>
        </w:rPr>
        <w:t xml:space="preserve">the Netherlands. </w:t>
      </w:r>
    </w:p>
    <w:p w14:paraId="3C7917C5" w14:textId="62E814A9" w:rsidR="005365CE" w:rsidRPr="00A96D90" w:rsidRDefault="005365CE"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We will continue to support all our marketing partners everywher</w:t>
      </w:r>
      <w:r w:rsidR="004F35DB" w:rsidRPr="00A96D90">
        <w:rPr>
          <w:rFonts w:asciiTheme="minorHAnsi" w:hAnsiTheme="minorHAnsi" w:cstheme="minorHAnsi"/>
          <w:color w:val="59595B"/>
          <w:lang w:val="en-GB"/>
        </w:rPr>
        <w:t>e in order to enable the maximis</w:t>
      </w:r>
      <w:r w:rsidRPr="00A96D90">
        <w:rPr>
          <w:rFonts w:asciiTheme="minorHAnsi" w:hAnsiTheme="minorHAnsi" w:cstheme="minorHAnsi"/>
          <w:color w:val="59595B"/>
          <w:lang w:val="en-GB"/>
        </w:rPr>
        <w:t xml:space="preserve">ation of the sales and distribution potential of RUCONEST® for patients in all territories, as we continue to believe that RUCONEST® represents </w:t>
      </w:r>
      <w:r w:rsidR="00AD7529" w:rsidRPr="00A96D90">
        <w:rPr>
          <w:rFonts w:asciiTheme="minorHAnsi" w:hAnsiTheme="minorHAnsi" w:cstheme="minorHAnsi"/>
          <w:color w:val="59595B"/>
          <w:lang w:val="en-GB"/>
        </w:rPr>
        <w:t xml:space="preserve">a </w:t>
      </w:r>
      <w:r w:rsidRPr="00A96D90">
        <w:rPr>
          <w:rFonts w:asciiTheme="minorHAnsi" w:hAnsiTheme="minorHAnsi" w:cstheme="minorHAnsi"/>
          <w:color w:val="59595B"/>
          <w:lang w:val="en-GB"/>
        </w:rPr>
        <w:t>fast,</w:t>
      </w:r>
      <w:r w:rsidR="00AD7529" w:rsidRPr="00A96D90">
        <w:rPr>
          <w:rFonts w:asciiTheme="minorHAnsi" w:hAnsiTheme="minorHAnsi" w:cstheme="minorHAnsi"/>
          <w:color w:val="59595B"/>
          <w:lang w:val="en-GB"/>
        </w:rPr>
        <w:t xml:space="preserve"> </w:t>
      </w:r>
      <w:r w:rsidRPr="00A96D90">
        <w:rPr>
          <w:rFonts w:asciiTheme="minorHAnsi" w:hAnsiTheme="minorHAnsi" w:cstheme="minorHAnsi"/>
          <w:color w:val="59595B"/>
          <w:lang w:val="en-GB"/>
        </w:rPr>
        <w:t xml:space="preserve">effective, reliable and safe therapy option </w:t>
      </w:r>
      <w:r w:rsidR="00E25BDF" w:rsidRPr="00A96D90">
        <w:rPr>
          <w:rFonts w:asciiTheme="minorHAnsi" w:hAnsiTheme="minorHAnsi" w:cstheme="minorHAnsi"/>
          <w:color w:val="59595B"/>
          <w:lang w:val="en-GB"/>
        </w:rPr>
        <w:t>for</w:t>
      </w:r>
      <w:r w:rsidR="005F76A6" w:rsidRPr="00A96D90">
        <w:rPr>
          <w:rFonts w:asciiTheme="minorHAnsi" w:hAnsiTheme="minorHAnsi" w:cstheme="minorHAnsi"/>
          <w:color w:val="59595B"/>
          <w:lang w:val="en-GB"/>
        </w:rPr>
        <w:t xml:space="preserve"> HAE patients</w:t>
      </w:r>
    </w:p>
    <w:p w14:paraId="5B86BA52" w14:textId="7A5F0F24" w:rsidR="005F76A6" w:rsidRPr="00A96D90" w:rsidRDefault="005F76A6" w:rsidP="00C54797">
      <w:pPr>
        <w:pStyle w:val="NoSpacing"/>
        <w:numPr>
          <w:ilvl w:val="0"/>
          <w:numId w:val="9"/>
        </w:numPr>
        <w:spacing w:after="120"/>
        <w:ind w:right="142"/>
        <w:jc w:val="both"/>
        <w:rPr>
          <w:rFonts w:asciiTheme="minorHAnsi" w:hAnsiTheme="minorHAnsi" w:cstheme="minorHAnsi"/>
          <w:color w:val="59595B"/>
          <w:lang w:val="en-GB"/>
        </w:rPr>
      </w:pPr>
      <w:r w:rsidRPr="00A96D90">
        <w:rPr>
          <w:rFonts w:asciiTheme="minorHAnsi" w:hAnsiTheme="minorHAnsi" w:cstheme="minorHAnsi"/>
          <w:color w:val="59595B"/>
          <w:lang w:val="en-GB"/>
        </w:rPr>
        <w:t>We will also continue to invest in new pipeline programs in Pompe Disease and Fabry Disease.</w:t>
      </w:r>
    </w:p>
    <w:p w14:paraId="0C91AB93" w14:textId="77777777" w:rsidR="005365CE" w:rsidRPr="00A96D90" w:rsidRDefault="005365CE" w:rsidP="00A068BF">
      <w:pPr>
        <w:autoSpaceDE w:val="0"/>
        <w:autoSpaceDN w:val="0"/>
        <w:adjustRightInd w:val="0"/>
        <w:rPr>
          <w:rFonts w:asciiTheme="minorHAnsi" w:hAnsiTheme="minorHAnsi" w:cstheme="minorHAnsi"/>
          <w:color w:val="59595B"/>
          <w:sz w:val="18"/>
          <w:szCs w:val="22"/>
          <w:lang w:val="en-GB"/>
        </w:rPr>
      </w:pPr>
    </w:p>
    <w:p w14:paraId="4B6FD30F" w14:textId="77777777" w:rsidR="005365CE" w:rsidRPr="00A96D90" w:rsidRDefault="005365CE" w:rsidP="00B953D2">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No further financial guidance for 2017 is provided. </w:t>
      </w:r>
    </w:p>
    <w:p w14:paraId="1C00CA2E" w14:textId="77777777" w:rsidR="005365CE" w:rsidRPr="00A96D90" w:rsidRDefault="005365CE" w:rsidP="005365CE">
      <w:pPr>
        <w:autoSpaceDE w:val="0"/>
        <w:autoSpaceDN w:val="0"/>
        <w:adjustRightInd w:val="0"/>
        <w:rPr>
          <w:rStyle w:val="Strong"/>
          <w:rFonts w:ascii="Calibri" w:hAnsi="Calibri"/>
          <w:color w:val="808080" w:themeColor="background1" w:themeShade="80"/>
          <w:szCs w:val="22"/>
          <w:shd w:val="clear" w:color="auto" w:fill="FFFFFF"/>
          <w:lang w:val="en-GB"/>
        </w:rPr>
      </w:pPr>
    </w:p>
    <w:p w14:paraId="6559177B" w14:textId="77777777" w:rsidR="005365CE" w:rsidRPr="00A96D90" w:rsidRDefault="005365CE" w:rsidP="005365CE">
      <w:pPr>
        <w:jc w:val="left"/>
        <w:rPr>
          <w:rStyle w:val="Strong"/>
          <w:rFonts w:asciiTheme="majorHAnsi" w:hAnsiTheme="majorHAnsi" w:cstheme="majorHAnsi"/>
          <w:color w:val="00679B"/>
          <w:sz w:val="24"/>
          <w:szCs w:val="22"/>
          <w:shd w:val="clear" w:color="auto" w:fill="FFFFFF"/>
          <w:lang w:val="en-GB"/>
        </w:rPr>
      </w:pPr>
      <w:r w:rsidRPr="00A96D90">
        <w:rPr>
          <w:rStyle w:val="Strong"/>
          <w:rFonts w:asciiTheme="majorHAnsi" w:hAnsiTheme="majorHAnsi" w:cstheme="majorHAnsi"/>
          <w:color w:val="00679B"/>
          <w:sz w:val="24"/>
          <w:szCs w:val="22"/>
          <w:shd w:val="clear" w:color="auto" w:fill="FFFFFF"/>
          <w:lang w:val="en-GB"/>
        </w:rPr>
        <w:t>The Board of Management</w:t>
      </w:r>
    </w:p>
    <w:p w14:paraId="25E6C28B" w14:textId="77777777" w:rsidR="005365CE" w:rsidRPr="00A96D90" w:rsidRDefault="005365CE" w:rsidP="005365CE">
      <w:pPr>
        <w:jc w:val="left"/>
        <w:rPr>
          <w:rStyle w:val="Strong"/>
          <w:rFonts w:ascii="Calibri" w:hAnsi="Calibri"/>
          <w:sz w:val="18"/>
          <w:szCs w:val="22"/>
          <w:shd w:val="clear" w:color="auto" w:fill="FFFFFF"/>
          <w:lang w:val="en-GB"/>
        </w:rPr>
      </w:pPr>
    </w:p>
    <w:p w14:paraId="20C227D0"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Sijmen de Vries, CEO</w:t>
      </w:r>
    </w:p>
    <w:p w14:paraId="537E1DD2"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Bruno Giannetti, COO</w:t>
      </w:r>
    </w:p>
    <w:p w14:paraId="284AD12A" w14:textId="77777777" w:rsidR="005365CE" w:rsidRPr="00A96D90" w:rsidRDefault="005365CE" w:rsidP="005365CE">
      <w:pPr>
        <w:jc w:val="left"/>
        <w:rPr>
          <w:rStyle w:val="Strong"/>
          <w:rFonts w:ascii="Calibri Light" w:hAnsi="Calibri Light" w:cs="Calibri Light"/>
          <w:b w:val="0"/>
          <w:color w:val="59595B"/>
          <w:szCs w:val="22"/>
          <w:shd w:val="clear" w:color="auto" w:fill="FFFFFF"/>
          <w:lang w:val="en-GB"/>
        </w:rPr>
      </w:pPr>
      <w:r w:rsidRPr="00A96D90">
        <w:rPr>
          <w:rStyle w:val="Strong"/>
          <w:rFonts w:ascii="Calibri Light" w:hAnsi="Calibri Light" w:cs="Calibri Light"/>
          <w:b w:val="0"/>
          <w:color w:val="59595B"/>
          <w:szCs w:val="22"/>
          <w:shd w:val="clear" w:color="auto" w:fill="FFFFFF"/>
          <w:lang w:val="en-GB"/>
        </w:rPr>
        <w:t>Robin Wright, CFO</w:t>
      </w:r>
    </w:p>
    <w:p w14:paraId="594703DC" w14:textId="77777777" w:rsidR="005365CE" w:rsidRPr="00A96D90" w:rsidRDefault="005365CE" w:rsidP="005365CE">
      <w:pPr>
        <w:jc w:val="left"/>
        <w:rPr>
          <w:rStyle w:val="Strong"/>
          <w:rFonts w:ascii="Calibri Light" w:hAnsi="Calibri Light" w:cs="Calibri Light"/>
          <w:color w:val="276E8B" w:themeColor="accent1" w:themeShade="BF"/>
          <w:szCs w:val="22"/>
          <w:shd w:val="clear" w:color="auto" w:fill="FFFFFF"/>
          <w:lang w:val="en-GB"/>
        </w:rPr>
      </w:pPr>
      <w:r w:rsidRPr="00A96D90">
        <w:rPr>
          <w:rStyle w:val="Strong"/>
          <w:rFonts w:ascii="Calibri Light" w:hAnsi="Calibri Light" w:cs="Calibri Light"/>
          <w:color w:val="276E8B" w:themeColor="accent1" w:themeShade="BF"/>
          <w:szCs w:val="22"/>
          <w:shd w:val="clear" w:color="auto" w:fill="FFFFFF"/>
          <w:lang w:val="en-GB"/>
        </w:rPr>
        <w:br w:type="page"/>
      </w:r>
    </w:p>
    <w:p w14:paraId="12FD4F2B" w14:textId="4FEAE502" w:rsidR="00B7657F" w:rsidRPr="00A96D90" w:rsidRDefault="00595468" w:rsidP="00B7657F">
      <w:pPr>
        <w:jc w:val="left"/>
        <w:rPr>
          <w:rStyle w:val="Strong"/>
          <w:rFonts w:ascii="Calibri Light" w:hAnsi="Calibri Light" w:cs="Calibri Light"/>
          <w:color w:val="00679B"/>
          <w:sz w:val="24"/>
          <w:szCs w:val="22"/>
          <w:shd w:val="clear" w:color="auto" w:fill="FFFFFF"/>
          <w:lang w:val="en-GB"/>
        </w:rPr>
      </w:pPr>
      <w:r w:rsidRPr="00A96D90">
        <w:rPr>
          <w:rStyle w:val="Strong"/>
          <w:rFonts w:ascii="Calibri Light" w:hAnsi="Calibri Light" w:cs="Calibri Light"/>
          <w:color w:val="00679B"/>
          <w:sz w:val="24"/>
          <w:szCs w:val="22"/>
          <w:shd w:val="clear" w:color="auto" w:fill="FFFFFF"/>
          <w:lang w:val="en-GB"/>
        </w:rPr>
        <w:lastRenderedPageBreak/>
        <w:t>About Pharming Group N.V.</w:t>
      </w:r>
    </w:p>
    <w:p w14:paraId="1AD2D04F" w14:textId="77777777" w:rsidR="00B7657F" w:rsidRPr="00A96D90" w:rsidRDefault="00B7657F" w:rsidP="00B7657F">
      <w:pPr>
        <w:jc w:val="left"/>
        <w:rPr>
          <w:rStyle w:val="Strong"/>
          <w:rFonts w:ascii="Calibri" w:hAnsi="Calibri"/>
          <w:szCs w:val="22"/>
          <w:highlight w:val="yellow"/>
          <w:shd w:val="clear" w:color="auto" w:fill="FFFFFF"/>
          <w:lang w:val="en-GB"/>
        </w:rPr>
      </w:pPr>
    </w:p>
    <w:p w14:paraId="3547FC8C" w14:textId="3471B19E"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 Israel and South Korea. The product is available on a named-patient basis in other territories where it has not yet obtained marketing authorization.</w:t>
      </w:r>
    </w:p>
    <w:p w14:paraId="08B7C7E1"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18E859A1" w14:textId="696C5F8A"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RUCONEST® is commercialized by Pharming in Algeria, Andorra, Austria, Bahrain, Belgium, France, Germany, Ireland, Jordan, Kuwait, Lebanon, Luxembourg, Morocco, the Netherlands, Oman, Portugal, Qatar, Syria, Spain, Switzerland, Tunisia, the United Arab Emirates, the United Kingdom, the United States of America and Yemen. </w:t>
      </w:r>
    </w:p>
    <w:p w14:paraId="7D9A274B"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25B051A4" w14:textId="61B8C900"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RUCONEST® is distributed by Swedish Orphan Biovitrum AB (publ) (SS: SOBI) in the other EU countries, and in Azerbaijan, Belarus, Georgia, Iceland, Kazakhstan, Liechtenstein, Norway, Russia, Serbia and Ukraine.</w:t>
      </w:r>
      <w:r w:rsidR="0040539E">
        <w:rPr>
          <w:rFonts w:asciiTheme="minorHAnsi" w:hAnsiTheme="minorHAnsi" w:cstheme="minorHAnsi"/>
          <w:color w:val="59595B"/>
          <w:szCs w:val="22"/>
          <w:lang w:val="en-GB"/>
        </w:rPr>
        <w:t xml:space="preserve"> </w:t>
      </w:r>
      <w:r w:rsidRPr="00A96D90">
        <w:rPr>
          <w:rFonts w:asciiTheme="minorHAnsi" w:hAnsiTheme="minorHAnsi" w:cstheme="minorHAnsi"/>
          <w:color w:val="59595B"/>
          <w:szCs w:val="22"/>
          <w:lang w:val="en-GB"/>
        </w:rPr>
        <w:t>RUCONEST® is distributed in Argentina, Colombia, Costa Rica, the Dominican Republic, Panama, and Venezuela by Cytobioteck, in South Korea by HyupJin Corporation and in Israel by Megapharm.</w:t>
      </w:r>
    </w:p>
    <w:p w14:paraId="40B49165"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7838BEB1" w14:textId="0B555070"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RUCONEST® is also being investigated in a Phase II clinical trial for the treatment of HAE in young children (2-13 years of age) and evaluated for various additional follow-on indications.</w:t>
      </w:r>
    </w:p>
    <w:p w14:paraId="62FBA03E"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33F87C65" w14:textId="3767943A"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Pharming’s technology platform includes a unique, GMP-compliant, validated process for the production of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 with additional programs not involving ERT also being explored at an early stage at present. </w:t>
      </w:r>
    </w:p>
    <w:p w14:paraId="1BAE3FC7"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5EC8FE57" w14:textId="5EB13992"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Pharming has a </w:t>
      </w:r>
      <w:r w:rsidR="00384931" w:rsidRPr="00A96D90">
        <w:rPr>
          <w:rFonts w:asciiTheme="minorHAnsi" w:hAnsiTheme="minorHAnsi" w:cstheme="minorHAnsi"/>
          <w:color w:val="59595B"/>
          <w:szCs w:val="22"/>
          <w:lang w:val="en-GB"/>
        </w:rPr>
        <w:t>long-term</w:t>
      </w:r>
      <w:r w:rsidRPr="00A96D90">
        <w:rPr>
          <w:rFonts w:asciiTheme="minorHAnsi" w:hAnsiTheme="minorHAnsi" w:cstheme="minorHAnsi"/>
          <w:color w:val="59595B"/>
          <w:szCs w:val="22"/>
          <w:lang w:val="en-GB"/>
        </w:rPr>
        <w:t xml:space="preserve">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5D2B569B"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5FD22CAA" w14:textId="02C5A386" w:rsidR="00F15BC3" w:rsidRPr="00A96D90" w:rsidRDefault="00F15BC3" w:rsidP="002B21CA">
      <w:pPr>
        <w:autoSpaceDE w:val="0"/>
        <w:autoSpaceDN w:val="0"/>
        <w:adjustRightInd w:val="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Pharming has declared that the Netherlands is its “Home Member State” pursuant to the amended article 5:25a paragraph 2 of the Dutch Financial Supervision Act.</w:t>
      </w:r>
    </w:p>
    <w:p w14:paraId="731F0DC3" w14:textId="77777777" w:rsidR="002B21CA" w:rsidRPr="00A96D90" w:rsidRDefault="002B21CA" w:rsidP="002B21CA">
      <w:pPr>
        <w:autoSpaceDE w:val="0"/>
        <w:autoSpaceDN w:val="0"/>
        <w:adjustRightInd w:val="0"/>
        <w:rPr>
          <w:rFonts w:asciiTheme="minorHAnsi" w:hAnsiTheme="minorHAnsi" w:cstheme="minorHAnsi"/>
          <w:color w:val="59595B"/>
          <w:szCs w:val="22"/>
          <w:lang w:val="en-GB"/>
        </w:rPr>
      </w:pPr>
    </w:p>
    <w:p w14:paraId="1D086687" w14:textId="77777777" w:rsidR="00F15BC3" w:rsidRPr="00A96D90" w:rsidRDefault="00F15BC3" w:rsidP="002B21CA">
      <w:pPr>
        <w:autoSpaceDE w:val="0"/>
        <w:autoSpaceDN w:val="0"/>
        <w:adjustRightInd w:val="0"/>
        <w:rPr>
          <w:rFonts w:asciiTheme="minorHAnsi" w:eastAsia="MS Mincho" w:hAnsiTheme="minorHAnsi" w:cstheme="minorHAnsi"/>
          <w:b/>
          <w:color w:val="59595B"/>
          <w:szCs w:val="22"/>
          <w:u w:val="single"/>
          <w:lang w:val="en-GB"/>
        </w:rPr>
      </w:pPr>
      <w:r w:rsidRPr="00A96D90">
        <w:rPr>
          <w:rFonts w:asciiTheme="minorHAnsi" w:hAnsiTheme="minorHAnsi" w:cstheme="minorHAnsi"/>
          <w:color w:val="59595B"/>
          <w:szCs w:val="22"/>
          <w:lang w:val="en-GB"/>
        </w:rPr>
        <w:t>Additional information is available on the Pharming website:</w:t>
      </w:r>
      <w:r w:rsidRPr="00A96D90">
        <w:rPr>
          <w:rFonts w:asciiTheme="minorHAnsi" w:eastAsia="MS Mincho" w:hAnsiTheme="minorHAnsi" w:cstheme="minorHAnsi"/>
          <w:color w:val="59595B"/>
          <w:szCs w:val="22"/>
          <w:lang w:val="en-GB"/>
        </w:rPr>
        <w:t xml:space="preserve"> </w:t>
      </w:r>
      <w:hyperlink r:id="rId9" w:history="1">
        <w:r w:rsidRPr="00A96D90">
          <w:rPr>
            <w:rStyle w:val="Hyperlink"/>
            <w:rFonts w:asciiTheme="majorHAnsi" w:eastAsia="MS Mincho" w:hAnsiTheme="majorHAnsi" w:cstheme="majorHAnsi"/>
            <w:b/>
            <w:color w:val="00679B"/>
            <w:szCs w:val="22"/>
            <w:lang w:val="en-GB"/>
          </w:rPr>
          <w:t>www.pharming.com</w:t>
        </w:r>
      </w:hyperlink>
    </w:p>
    <w:p w14:paraId="55E110B5" w14:textId="77777777" w:rsidR="00B7657F" w:rsidRPr="00A96D90" w:rsidRDefault="00B7657F" w:rsidP="00B7657F">
      <w:pPr>
        <w:pStyle w:val="AL"/>
        <w:rPr>
          <w:rFonts w:ascii="Calibri" w:hAnsi="Calibri"/>
          <w:b/>
          <w:color w:val="003366"/>
          <w:highlight w:val="yellow"/>
        </w:rPr>
      </w:pPr>
    </w:p>
    <w:p w14:paraId="364AE0D2" w14:textId="77777777" w:rsidR="00B7657F" w:rsidRPr="00A96D90" w:rsidRDefault="00B7657F" w:rsidP="00B7657F">
      <w:pPr>
        <w:jc w:val="left"/>
        <w:rPr>
          <w:rFonts w:ascii="Calibri" w:hAnsi="Calibri" w:cs="Arial"/>
          <w:b/>
          <w:bCs/>
          <w:color w:val="276E8B" w:themeColor="accent1" w:themeShade="BF"/>
          <w:szCs w:val="22"/>
          <w:lang w:val="en-GB"/>
        </w:rPr>
      </w:pPr>
      <w:r w:rsidRPr="00A96D90">
        <w:rPr>
          <w:rFonts w:ascii="Calibri" w:hAnsi="Calibri"/>
          <w:b/>
          <w:color w:val="276E8B" w:themeColor="accent1" w:themeShade="BF"/>
          <w:lang w:val="en-GB"/>
        </w:rPr>
        <w:br w:type="page"/>
      </w:r>
    </w:p>
    <w:p w14:paraId="331B5F94" w14:textId="3884A418" w:rsidR="00B7657F" w:rsidRPr="00A96D90" w:rsidRDefault="002B21CA" w:rsidP="00627A7F">
      <w:pPr>
        <w:rPr>
          <w:rFonts w:ascii="Calibri" w:eastAsia="SimSun" w:hAnsi="Calibri" w:cs="Arial"/>
          <w:szCs w:val="22"/>
          <w:highlight w:val="yellow"/>
          <w:lang w:val="en-GB" w:eastAsia="zh-CN"/>
        </w:rPr>
      </w:pPr>
      <w:r w:rsidRPr="00A96D90">
        <w:rPr>
          <w:rFonts w:ascii="Calibri" w:hAnsi="Calibri"/>
          <w:b/>
          <w:noProof/>
          <w:color w:val="59595B"/>
          <w:sz w:val="20"/>
          <w:lang w:val="en-GB" w:eastAsia="en-GB"/>
        </w:rPr>
        <w:lastRenderedPageBreak/>
        <mc:AlternateContent>
          <mc:Choice Requires="wps">
            <w:drawing>
              <wp:anchor distT="45720" distB="45720" distL="114300" distR="114300" simplePos="0" relativeHeight="251659264" behindDoc="0" locked="0" layoutInCell="1" allowOverlap="1" wp14:anchorId="68DA663B" wp14:editId="1D90D694">
                <wp:simplePos x="0" y="0"/>
                <wp:positionH relativeFrom="margin">
                  <wp:posOffset>-66675</wp:posOffset>
                </wp:positionH>
                <wp:positionV relativeFrom="page">
                  <wp:posOffset>1448435</wp:posOffset>
                </wp:positionV>
                <wp:extent cx="5705475" cy="2314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314575"/>
                        </a:xfrm>
                        <a:prstGeom prst="rect">
                          <a:avLst/>
                        </a:prstGeom>
                        <a:noFill/>
                        <a:ln w="12700">
                          <a:solidFill>
                            <a:schemeClr val="bg1">
                              <a:lumMod val="95000"/>
                            </a:schemeClr>
                          </a:solidFill>
                          <a:miter lim="800000"/>
                          <a:headEnd/>
                          <a:tailEnd/>
                        </a:ln>
                      </wps:spPr>
                      <wps:txbx>
                        <w:txbxContent>
                          <w:p w14:paraId="540C8BF8" w14:textId="77777777" w:rsidR="00013F40" w:rsidRPr="00922677" w:rsidRDefault="00013F40" w:rsidP="002B21CA">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0062948C" w14:textId="77777777" w:rsidR="00013F40" w:rsidRPr="00922677" w:rsidRDefault="00013F40" w:rsidP="002B21CA">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60E95E1A" w14:textId="77777777" w:rsidR="00013F40" w:rsidRPr="00922677" w:rsidRDefault="00013F40" w:rsidP="002B21CA">
                            <w:pPr>
                              <w:spacing w:after="120"/>
                              <w:jc w:val="left"/>
                              <w:rPr>
                                <w:rFonts w:asciiTheme="minorHAnsi" w:eastAsia="SimSun" w:hAnsiTheme="minorHAnsi" w:cs="Arial"/>
                                <w:i/>
                                <w:color w:val="59595B"/>
                                <w:sz w:val="20"/>
                                <w:szCs w:val="20"/>
                                <w:highlight w:val="yellow"/>
                                <w:lang w:eastAsia="zh-CN"/>
                              </w:rPr>
                            </w:pPr>
                            <w:r w:rsidRPr="00922677">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3CC01D5" w14:textId="77777777" w:rsidR="00013F40" w:rsidRDefault="00013F40" w:rsidP="002B21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shapetype w14:anchorId="68DA663B" id="_x0000_t202" coordsize="21600,21600" o:spt="202" path="m,l,21600r21600,l21600,xe">
                <v:stroke joinstyle="miter"/>
                <v:path gradientshapeok="t" o:connecttype="rect"/>
              </v:shapetype>
              <v:shape id="Text Box 2" o:spid="_x0000_s1026" type="#_x0000_t202" style="position:absolute;left:0;text-align:left;margin-left:-5.25pt;margin-top:114.05pt;width:449.25pt;height:1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" filled="f" strokecolor="#f2f2f2 [3052]" strokeweight="1pt">
                <v:textbox>
                  <w:txbxContent>
                    <w:p w14:paraId="540C8BF8" w14:textId="77777777" w:rsidR="00013F40" w:rsidRPr="00922677" w:rsidRDefault="00013F40" w:rsidP="002B21CA">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0062948C" w14:textId="77777777" w:rsidR="00013F40" w:rsidRPr="00922677" w:rsidRDefault="00013F40" w:rsidP="002B21CA">
                      <w:pPr>
                        <w:spacing w:after="120"/>
                        <w:jc w:val="left"/>
                        <w:rPr>
                          <w:rFonts w:asciiTheme="minorHAnsi" w:eastAsia="SimSun" w:hAnsiTheme="minorHAnsi" w:cs="Arial"/>
                          <w:i/>
                          <w:color w:val="59595B"/>
                          <w:sz w:val="20"/>
                          <w:szCs w:val="20"/>
                          <w:lang w:eastAsia="zh-CN"/>
                        </w:rPr>
                      </w:pPr>
                      <w:r w:rsidRPr="00922677">
                        <w:rPr>
                          <w:rFonts w:asciiTheme="minorHAnsi" w:eastAsia="SimSun" w:hAnsiTheme="minorHAnsi" w:cs="Arial"/>
                          <w:i/>
                          <w:color w:val="59595B"/>
                          <w:sz w:val="20"/>
                          <w:szCs w:val="20"/>
                          <w:lang w:eastAsia="zh-CN"/>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60E95E1A" w14:textId="77777777" w:rsidR="00013F40" w:rsidRPr="00922677" w:rsidRDefault="00013F40" w:rsidP="002B21CA">
                      <w:pPr>
                        <w:spacing w:after="120"/>
                        <w:jc w:val="left"/>
                        <w:rPr>
                          <w:rFonts w:asciiTheme="minorHAnsi" w:eastAsia="SimSun" w:hAnsiTheme="minorHAnsi" w:cs="Arial"/>
                          <w:i/>
                          <w:color w:val="59595B"/>
                          <w:sz w:val="20"/>
                          <w:szCs w:val="20"/>
                          <w:highlight w:val="yellow"/>
                          <w:lang w:eastAsia="zh-CN"/>
                        </w:rPr>
                      </w:pPr>
                      <w:r w:rsidRPr="00922677">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73CC01D5" w14:textId="77777777" w:rsidR="00013F40" w:rsidRDefault="00013F40" w:rsidP="002B21CA"/>
                  </w:txbxContent>
                </v:textbox>
                <w10:wrap type="square" anchorx="margin" anchory="page"/>
              </v:shape>
            </w:pict>
          </mc:Fallback>
        </mc:AlternateContent>
      </w:r>
      <w:r w:rsidRPr="00A96D90">
        <w:rPr>
          <w:rFonts w:asciiTheme="minorHAnsi" w:eastAsiaTheme="majorEastAsia" w:hAnsiTheme="minorHAnsi" w:cstheme="majorBidi"/>
          <w:b/>
          <w:color w:val="59595B"/>
          <w:szCs w:val="28"/>
          <w:lang w:val="en-GB" w:eastAsia="zh-CN"/>
        </w:rPr>
        <w:t>Forward-looking Statements</w:t>
      </w:r>
    </w:p>
    <w:p w14:paraId="3535E59E" w14:textId="77777777" w:rsidR="002B21CA" w:rsidRPr="00A96D90" w:rsidRDefault="002B21CA" w:rsidP="002B21CA">
      <w:pPr>
        <w:jc w:val="left"/>
        <w:rPr>
          <w:rFonts w:asciiTheme="minorHAnsi" w:hAnsiTheme="minorHAnsi"/>
          <w:color w:val="59595B"/>
          <w:lang w:val="en-GB"/>
        </w:rPr>
      </w:pPr>
      <w:r w:rsidRPr="00A96D90">
        <w:rPr>
          <w:rFonts w:asciiTheme="minorHAnsi" w:eastAsiaTheme="majorEastAsia" w:hAnsiTheme="minorHAnsi" w:cstheme="majorBidi"/>
          <w:b/>
          <w:color w:val="59595B"/>
          <w:szCs w:val="28"/>
          <w:lang w:val="en-GB" w:eastAsia="zh-CN"/>
        </w:rPr>
        <w:t>Contact</w:t>
      </w:r>
      <w:r w:rsidRPr="00A96D90">
        <w:rPr>
          <w:rFonts w:ascii="Calibri" w:hAnsi="Calibri"/>
          <w:color w:val="59595B"/>
          <w:lang w:val="en-GB"/>
        </w:rPr>
        <w:br/>
      </w:r>
      <w:r w:rsidRPr="00A96D90">
        <w:rPr>
          <w:rFonts w:asciiTheme="minorHAnsi" w:hAnsiTheme="minorHAnsi"/>
          <w:color w:val="59595B"/>
          <w:lang w:val="en-GB"/>
        </w:rPr>
        <w:t>Sijmen de Vries, CEO: T: +31 71 524 7400</w:t>
      </w:r>
    </w:p>
    <w:p w14:paraId="6FB6B516" w14:textId="7D12F2E1" w:rsidR="002B21CA" w:rsidRPr="00A96D90" w:rsidRDefault="002B21CA" w:rsidP="002B21CA">
      <w:pPr>
        <w:jc w:val="left"/>
        <w:rPr>
          <w:rFonts w:asciiTheme="minorHAnsi" w:hAnsiTheme="minorHAnsi"/>
          <w:color w:val="59595B"/>
          <w:lang w:val="en-GB"/>
        </w:rPr>
      </w:pPr>
      <w:r w:rsidRPr="00A96D90">
        <w:rPr>
          <w:rFonts w:asciiTheme="minorHAnsi" w:hAnsiTheme="minorHAnsi"/>
          <w:color w:val="59595B"/>
          <w:lang w:val="en-GB"/>
        </w:rPr>
        <w:t xml:space="preserve">Robin Wright, </w:t>
      </w:r>
      <w:r w:rsidR="00384931" w:rsidRPr="00A96D90">
        <w:rPr>
          <w:rFonts w:asciiTheme="minorHAnsi" w:hAnsiTheme="minorHAnsi"/>
          <w:color w:val="59595B"/>
          <w:lang w:val="en-GB"/>
        </w:rPr>
        <w:t>CFO:</w:t>
      </w:r>
      <w:r w:rsidRPr="00A96D90">
        <w:rPr>
          <w:rFonts w:asciiTheme="minorHAnsi" w:hAnsiTheme="minorHAnsi"/>
          <w:color w:val="59595B"/>
          <w:lang w:val="en-GB"/>
        </w:rPr>
        <w:t xml:space="preserve"> T: +31 71 524 7432</w:t>
      </w:r>
    </w:p>
    <w:p w14:paraId="4F4E1343" w14:textId="77777777" w:rsidR="002B21CA" w:rsidRPr="00A96D90" w:rsidRDefault="002B21CA" w:rsidP="002B21CA">
      <w:pPr>
        <w:rPr>
          <w:rFonts w:asciiTheme="minorHAnsi" w:hAnsiTheme="minorHAnsi"/>
          <w:color w:val="59595B"/>
          <w:lang w:val="en-GB"/>
        </w:rPr>
      </w:pPr>
    </w:p>
    <w:p w14:paraId="0145DE5D" w14:textId="77777777" w:rsidR="002B21CA" w:rsidRPr="00A96D90" w:rsidRDefault="002B21CA" w:rsidP="002B21CA">
      <w:pPr>
        <w:rPr>
          <w:rFonts w:asciiTheme="minorHAnsi" w:eastAsia="SimSun" w:hAnsiTheme="minorHAnsi" w:cs="Arial"/>
          <w:i/>
          <w:color w:val="59595B"/>
          <w:lang w:val="en-GB" w:eastAsia="zh-CN"/>
        </w:rPr>
      </w:pPr>
      <w:r w:rsidRPr="00A96D90">
        <w:rPr>
          <w:rFonts w:asciiTheme="minorHAnsi" w:eastAsia="SimSun" w:hAnsiTheme="minorHAnsi" w:cs="Arial"/>
          <w:i/>
          <w:color w:val="59595B"/>
          <w:lang w:val="en-GB" w:eastAsia="zh-CN"/>
        </w:rPr>
        <w:t>FTI Consulting</w:t>
      </w:r>
    </w:p>
    <w:p w14:paraId="70705446" w14:textId="77777777" w:rsidR="002B21CA" w:rsidRPr="00A96D90" w:rsidRDefault="002B21CA" w:rsidP="002B21CA">
      <w:pPr>
        <w:rPr>
          <w:rFonts w:asciiTheme="minorHAnsi" w:hAnsiTheme="minorHAnsi"/>
          <w:color w:val="59595B"/>
          <w:lang w:val="en-GB"/>
        </w:rPr>
      </w:pPr>
      <w:r w:rsidRPr="00A96D90">
        <w:rPr>
          <w:rFonts w:asciiTheme="minorHAnsi" w:eastAsia="SimSun" w:hAnsiTheme="minorHAnsi" w:cs="Arial"/>
          <w:color w:val="59595B"/>
          <w:lang w:val="en-GB" w:eastAsia="zh-CN"/>
        </w:rPr>
        <w:t xml:space="preserve">Julia Phillips/ Victoria Foster Mitchell, T: +44 </w:t>
      </w:r>
      <w:r w:rsidRPr="00A96D90">
        <w:rPr>
          <w:rFonts w:asciiTheme="minorHAnsi" w:hAnsiTheme="minorHAnsi"/>
          <w:color w:val="59595B"/>
          <w:lang w:val="en-GB"/>
        </w:rPr>
        <w:t>203 727 1136</w:t>
      </w:r>
    </w:p>
    <w:p w14:paraId="7148F7E5" w14:textId="77777777" w:rsidR="00F15BC3" w:rsidRPr="00A96D90" w:rsidRDefault="00F15BC3" w:rsidP="00B7657F">
      <w:pPr>
        <w:rPr>
          <w:rFonts w:ascii="Calibri" w:hAnsi="Calibri"/>
          <w:color w:val="59595B"/>
          <w:lang w:val="en-GB"/>
        </w:rPr>
      </w:pPr>
    </w:p>
    <w:p w14:paraId="4692243A" w14:textId="3AA71506" w:rsidR="00F15BC3" w:rsidRPr="00A96D90" w:rsidRDefault="00384931" w:rsidP="00F15BC3">
      <w:pPr>
        <w:spacing w:line="276" w:lineRule="auto"/>
        <w:jc w:val="left"/>
        <w:rPr>
          <w:rFonts w:asciiTheme="minorHAnsi" w:eastAsia="MS Mincho" w:hAnsiTheme="minorHAnsi" w:cstheme="minorHAnsi"/>
          <w:i/>
          <w:color w:val="59595B"/>
          <w:szCs w:val="22"/>
          <w:lang w:val="en-GB"/>
        </w:rPr>
      </w:pPr>
      <w:r w:rsidRPr="00A96D90">
        <w:rPr>
          <w:rFonts w:asciiTheme="minorHAnsi" w:eastAsia="MS Mincho" w:hAnsiTheme="minorHAnsi" w:cstheme="minorHAnsi"/>
          <w:i/>
          <w:color w:val="59595B"/>
          <w:szCs w:val="22"/>
          <w:lang w:val="en-GB"/>
        </w:rPr>
        <w:t>LifeSpring</w:t>
      </w:r>
      <w:r w:rsidR="00F15BC3" w:rsidRPr="00A96D90">
        <w:rPr>
          <w:rFonts w:asciiTheme="minorHAnsi" w:eastAsia="MS Mincho" w:hAnsiTheme="minorHAnsi" w:cstheme="minorHAnsi"/>
          <w:i/>
          <w:color w:val="59595B"/>
          <w:szCs w:val="22"/>
          <w:lang w:val="en-GB"/>
        </w:rPr>
        <w:t xml:space="preserve"> Life Sciences Communication, Amsterdam, The Netherlands</w:t>
      </w:r>
    </w:p>
    <w:p w14:paraId="6F84A38D" w14:textId="77777777" w:rsidR="00F15BC3" w:rsidRPr="00A96D90" w:rsidRDefault="00F15BC3" w:rsidP="00F15BC3">
      <w:pPr>
        <w:autoSpaceDE w:val="0"/>
        <w:autoSpaceDN w:val="0"/>
        <w:adjustRightInd w:val="0"/>
        <w:rPr>
          <w:rFonts w:ascii="Calibri Light" w:hAnsi="Calibri Light" w:cs="Calibri Light"/>
          <w:b/>
          <w:bCs/>
          <w:color w:val="59595B"/>
          <w:szCs w:val="22"/>
          <w:lang w:val="en-GB"/>
        </w:rPr>
      </w:pPr>
      <w:r w:rsidRPr="00A96D90">
        <w:rPr>
          <w:rFonts w:asciiTheme="minorHAnsi" w:eastAsia="MS Mincho" w:hAnsiTheme="minorHAnsi" w:cstheme="minorHAnsi"/>
          <w:color w:val="59595B"/>
          <w:lang w:val="en-GB"/>
        </w:rPr>
        <w:t xml:space="preserve">Leon Melens, Tel: </w:t>
      </w:r>
      <w:r w:rsidRPr="00A96D90">
        <w:rPr>
          <w:rFonts w:ascii="Calibri Light" w:eastAsia="MS Mincho" w:hAnsi="Calibri Light" w:cstheme="minorHAnsi"/>
          <w:color w:val="59595B"/>
          <w:lang w:val="en-GB"/>
        </w:rPr>
        <w:t>+</w:t>
      </w:r>
      <w:r w:rsidRPr="00A96D90">
        <w:rPr>
          <w:rFonts w:ascii="Calibri Light" w:hAnsi="Calibri Light" w:cs="Arial"/>
          <w:color w:val="59595B"/>
          <w:lang w:val="en-GB"/>
        </w:rPr>
        <w:t>31 6 53 81 64 27</w:t>
      </w:r>
    </w:p>
    <w:p w14:paraId="175B061A" w14:textId="77777777" w:rsidR="00F15BC3" w:rsidRPr="00A96D90" w:rsidRDefault="00F15BC3" w:rsidP="00B7657F">
      <w:pPr>
        <w:rPr>
          <w:rFonts w:ascii="Calibri" w:hAnsi="Calibri"/>
          <w:color w:val="808080" w:themeColor="background1" w:themeShade="80"/>
          <w:lang w:val="en-GB"/>
        </w:rPr>
      </w:pPr>
    </w:p>
    <w:p w14:paraId="29211B47" w14:textId="77777777" w:rsidR="00B7657F" w:rsidRPr="00A96D90" w:rsidRDefault="00B7657F" w:rsidP="00B7657F">
      <w:pPr>
        <w:rPr>
          <w:rFonts w:ascii="Calibri" w:hAnsi="Calibri"/>
          <w:color w:val="808080" w:themeColor="background1" w:themeShade="80"/>
          <w:lang w:val="en-GB"/>
        </w:rPr>
      </w:pPr>
    </w:p>
    <w:p w14:paraId="0ECA4AF2" w14:textId="77777777" w:rsidR="00E25BDF" w:rsidRPr="00A96D90" w:rsidRDefault="00E25BDF" w:rsidP="00E25BDF">
      <w:pPr>
        <w:autoSpaceDE w:val="0"/>
        <w:autoSpaceDN w:val="0"/>
        <w:adjustRightInd w:val="0"/>
        <w:jc w:val="left"/>
        <w:rPr>
          <w:rFonts w:asciiTheme="minorHAnsi" w:hAnsiTheme="minorHAnsi" w:cstheme="minorHAnsi"/>
          <w:color w:val="00679B"/>
          <w:sz w:val="24"/>
          <w:szCs w:val="22"/>
          <w:lang w:val="en-GB"/>
        </w:rPr>
      </w:pPr>
      <w:r w:rsidRPr="00A96D90">
        <w:rPr>
          <w:rFonts w:asciiTheme="minorHAnsi" w:hAnsiTheme="minorHAnsi" w:cstheme="minorHAnsi"/>
          <w:b/>
          <w:bCs/>
          <w:color w:val="00679B"/>
          <w:sz w:val="24"/>
          <w:szCs w:val="22"/>
          <w:lang w:val="en-GB"/>
        </w:rPr>
        <w:t xml:space="preserve">Conference call information </w:t>
      </w:r>
    </w:p>
    <w:p w14:paraId="01A9CD2E" w14:textId="70CE0C78"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Today, Chief Executive Officer, Sijmen de Vries, and Chief Financial Officer, Robin Wright, will discuss the half year 2017 financial results </w:t>
      </w:r>
      <w:r w:rsidR="00A9299A" w:rsidRPr="00A96D90">
        <w:rPr>
          <w:rFonts w:asciiTheme="minorHAnsi" w:hAnsiTheme="minorHAnsi" w:cstheme="minorHAnsi"/>
          <w:color w:val="59595B"/>
          <w:szCs w:val="22"/>
          <w:lang w:val="en-GB"/>
        </w:rPr>
        <w:t xml:space="preserve">with investors </w:t>
      </w:r>
      <w:r w:rsidRPr="00A96D90">
        <w:rPr>
          <w:rFonts w:asciiTheme="minorHAnsi" w:hAnsiTheme="minorHAnsi" w:cstheme="minorHAnsi"/>
          <w:color w:val="59595B"/>
          <w:szCs w:val="22"/>
          <w:lang w:val="en-GB"/>
        </w:rPr>
        <w:t xml:space="preserve">in a conference call at 13:00 CET. To participate, please call one of the following numbers 10 minutes prior to the call: </w:t>
      </w:r>
    </w:p>
    <w:p w14:paraId="6A311814" w14:textId="77777777"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p>
    <w:p w14:paraId="7875A436" w14:textId="77777777"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From the Netherlands: +31(0)20 709 5189</w:t>
      </w:r>
    </w:p>
    <w:p w14:paraId="542994F7" w14:textId="77777777"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 xml:space="preserve">From the UK: +44 (0)33 3300 0804 </w:t>
      </w:r>
    </w:p>
    <w:p w14:paraId="5A44B08E" w14:textId="77777777"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From Belgium: +32 (0)2 403 5814</w:t>
      </w:r>
    </w:p>
    <w:p w14:paraId="183615D9" w14:textId="77777777" w:rsidR="00E25BDF" w:rsidRPr="00A96D90"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From France: +33 (0)1 70 75 07 11</w:t>
      </w:r>
    </w:p>
    <w:p w14:paraId="4EB31C01" w14:textId="5A5F44AD" w:rsidR="00E25BDF" w:rsidRDefault="00E25BDF" w:rsidP="00E25BDF">
      <w:pPr>
        <w:autoSpaceDE w:val="0"/>
        <w:autoSpaceDN w:val="0"/>
        <w:adjustRightInd w:val="0"/>
        <w:jc w:val="left"/>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From Switzerland: +41 (0)22 580 9034</w:t>
      </w:r>
    </w:p>
    <w:p w14:paraId="13DA9344" w14:textId="59456F2E" w:rsidR="0090520B" w:rsidRPr="00A96D90" w:rsidRDefault="0090520B" w:rsidP="00E25BDF">
      <w:pPr>
        <w:autoSpaceDE w:val="0"/>
        <w:autoSpaceDN w:val="0"/>
        <w:adjustRightInd w:val="0"/>
        <w:jc w:val="left"/>
        <w:rPr>
          <w:rFonts w:asciiTheme="minorHAnsi" w:hAnsiTheme="minorHAnsi" w:cstheme="minorHAnsi"/>
          <w:color w:val="59595B"/>
          <w:szCs w:val="22"/>
          <w:lang w:val="en-GB"/>
        </w:rPr>
      </w:pPr>
      <w:r>
        <w:rPr>
          <w:rFonts w:asciiTheme="minorHAnsi" w:hAnsiTheme="minorHAnsi" w:cstheme="minorHAnsi"/>
          <w:color w:val="59595B"/>
          <w:szCs w:val="22"/>
          <w:lang w:val="en-GB"/>
        </w:rPr>
        <w:t xml:space="preserve">From the USA: toll: </w:t>
      </w:r>
      <w:r w:rsidRPr="0090520B">
        <w:rPr>
          <w:rFonts w:asciiTheme="minorHAnsi" w:hAnsiTheme="minorHAnsi" w:cstheme="minorHAnsi"/>
          <w:color w:val="59595B"/>
          <w:szCs w:val="22"/>
          <w:lang w:val="en-GB"/>
        </w:rPr>
        <w:t>+1 6319131422</w:t>
      </w:r>
      <w:r>
        <w:rPr>
          <w:rFonts w:asciiTheme="minorHAnsi" w:hAnsiTheme="minorHAnsi" w:cstheme="minorHAnsi"/>
          <w:color w:val="59595B"/>
          <w:szCs w:val="22"/>
          <w:lang w:val="en-GB"/>
        </w:rPr>
        <w:t xml:space="preserve"> / toll free: </w:t>
      </w:r>
      <w:r w:rsidRPr="0090520B">
        <w:rPr>
          <w:rFonts w:asciiTheme="minorHAnsi" w:hAnsiTheme="minorHAnsi" w:cstheme="minorHAnsi"/>
          <w:color w:val="59595B"/>
          <w:szCs w:val="22"/>
          <w:lang w:val="en-GB"/>
        </w:rPr>
        <w:t>+1 855 85 70686</w:t>
      </w:r>
    </w:p>
    <w:p w14:paraId="7CF3C0D0" w14:textId="77777777" w:rsidR="00B7657F" w:rsidRPr="00A96D90" w:rsidRDefault="00B7657F" w:rsidP="00B7657F">
      <w:pPr>
        <w:rPr>
          <w:rFonts w:asciiTheme="minorHAnsi" w:hAnsiTheme="minorHAnsi" w:cstheme="minorHAnsi"/>
          <w:b/>
          <w:bCs/>
          <w:color w:val="59595B"/>
          <w:szCs w:val="22"/>
          <w:lang w:val="en-GB"/>
        </w:rPr>
      </w:pPr>
    </w:p>
    <w:p w14:paraId="0269C6FA" w14:textId="77777777" w:rsidR="00A9299A" w:rsidRPr="00A96D90" w:rsidRDefault="00A9299A" w:rsidP="00A9299A">
      <w:pPr>
        <w:jc w:val="left"/>
        <w:rPr>
          <w:rFonts w:asciiTheme="minorHAnsi" w:hAnsiTheme="minorHAnsi" w:cstheme="minorHAnsi"/>
          <w:bCs/>
          <w:color w:val="auto"/>
          <w:szCs w:val="22"/>
          <w:lang w:val="en-GB"/>
        </w:rPr>
      </w:pPr>
      <w:r w:rsidRPr="00A96D90">
        <w:rPr>
          <w:rFonts w:asciiTheme="minorHAnsi" w:hAnsiTheme="minorHAnsi" w:cstheme="minorHAnsi"/>
          <w:b/>
          <w:bCs/>
          <w:color w:val="59595B"/>
          <w:szCs w:val="22"/>
          <w:lang w:val="en-GB"/>
        </w:rPr>
        <w:t>For further international dial in numbers:</w:t>
      </w:r>
      <w:r w:rsidRPr="00A96D90">
        <w:rPr>
          <w:rFonts w:asciiTheme="minorHAnsi" w:hAnsiTheme="minorHAnsi" w:cstheme="minorHAnsi"/>
          <w:b/>
          <w:bCs/>
          <w:color w:val="auto"/>
          <w:szCs w:val="22"/>
          <w:lang w:val="en-GB"/>
        </w:rPr>
        <w:t xml:space="preserve"> </w:t>
      </w:r>
      <w:hyperlink r:id="rId10" w:history="1">
        <w:r w:rsidRPr="00A96D90">
          <w:rPr>
            <w:rStyle w:val="Hyperlink"/>
            <w:rFonts w:asciiTheme="minorHAnsi" w:hAnsiTheme="minorHAnsi" w:cstheme="minorHAnsi"/>
            <w:bCs/>
            <w:szCs w:val="22"/>
            <w:lang w:val="en-GB"/>
          </w:rPr>
          <w:t>http://events.arkadin.com/ev/docs/NE_W2_TF_Events_International_Access_List.pdf</w:t>
        </w:r>
      </w:hyperlink>
      <w:r w:rsidRPr="00A96D90">
        <w:rPr>
          <w:rFonts w:asciiTheme="minorHAnsi" w:hAnsiTheme="minorHAnsi" w:cstheme="minorHAnsi"/>
          <w:bCs/>
          <w:color w:val="auto"/>
          <w:szCs w:val="22"/>
          <w:lang w:val="en-GB"/>
        </w:rPr>
        <w:t xml:space="preserve"> </w:t>
      </w:r>
    </w:p>
    <w:p w14:paraId="2F03136D" w14:textId="77777777" w:rsidR="00A9299A" w:rsidRPr="00A96D90" w:rsidRDefault="00A9299A" w:rsidP="00A9299A">
      <w:pPr>
        <w:rPr>
          <w:rFonts w:asciiTheme="minorHAnsi" w:hAnsiTheme="minorHAnsi" w:cstheme="minorHAnsi"/>
          <w:b/>
          <w:bCs/>
          <w:color w:val="59595B"/>
          <w:szCs w:val="22"/>
          <w:lang w:val="en-GB"/>
        </w:rPr>
      </w:pPr>
    </w:p>
    <w:p w14:paraId="240D15B1" w14:textId="77777777" w:rsidR="00A9299A" w:rsidRPr="00A96D90" w:rsidRDefault="00A9299A" w:rsidP="00A9299A">
      <w:pPr>
        <w:rPr>
          <w:rFonts w:asciiTheme="minorHAnsi" w:hAnsiTheme="minorHAnsi" w:cstheme="minorHAnsi"/>
          <w:color w:val="59595B"/>
          <w:szCs w:val="22"/>
          <w:lang w:val="en-GB"/>
        </w:rPr>
      </w:pPr>
      <w:r w:rsidRPr="00A96D90">
        <w:rPr>
          <w:rFonts w:asciiTheme="minorHAnsi" w:hAnsiTheme="minorHAnsi" w:cstheme="minorHAnsi"/>
          <w:b/>
          <w:bCs/>
          <w:color w:val="59595B"/>
          <w:szCs w:val="22"/>
          <w:lang w:val="en-GB"/>
        </w:rPr>
        <w:t xml:space="preserve">Conference Call PIN: </w:t>
      </w:r>
      <w:r w:rsidRPr="00A96D90">
        <w:rPr>
          <w:rFonts w:asciiTheme="minorHAnsi" w:hAnsiTheme="minorHAnsi" w:cstheme="minorHAnsi"/>
          <w:bCs/>
          <w:color w:val="59595B"/>
          <w:szCs w:val="22"/>
          <w:lang w:val="en-GB"/>
        </w:rPr>
        <w:t>73525858#</w:t>
      </w:r>
    </w:p>
    <w:p w14:paraId="2505F0A8" w14:textId="77777777" w:rsidR="00A9299A" w:rsidRPr="00A96D90" w:rsidRDefault="00A9299A" w:rsidP="00A9299A">
      <w:pPr>
        <w:autoSpaceDE w:val="0"/>
        <w:autoSpaceDN w:val="0"/>
        <w:adjustRightInd w:val="0"/>
        <w:rPr>
          <w:rFonts w:asciiTheme="minorHAnsi" w:hAnsiTheme="minorHAnsi" w:cstheme="minorHAnsi"/>
          <w:b/>
          <w:bCs/>
          <w:color w:val="59595B"/>
          <w:szCs w:val="22"/>
          <w:lang w:val="en-GB"/>
        </w:rPr>
      </w:pPr>
    </w:p>
    <w:p w14:paraId="6FEE3033" w14:textId="2F3C44D9" w:rsidR="00A9299A" w:rsidRPr="00A96D90" w:rsidRDefault="00A9299A" w:rsidP="00A9299A">
      <w:pPr>
        <w:jc w:val="left"/>
        <w:rPr>
          <w:rFonts w:asciiTheme="minorHAnsi" w:eastAsiaTheme="majorEastAsia" w:hAnsiTheme="minorHAnsi" w:cstheme="minorHAnsi"/>
          <w:color w:val="auto"/>
          <w:szCs w:val="22"/>
          <w:lang w:val="en-GB" w:eastAsia="zh-CN"/>
        </w:rPr>
      </w:pPr>
      <w:r w:rsidRPr="00A96D90">
        <w:rPr>
          <w:rFonts w:asciiTheme="minorHAnsi" w:eastAsiaTheme="majorEastAsia" w:hAnsiTheme="minorHAnsi" w:cstheme="minorHAnsi"/>
          <w:b/>
          <w:color w:val="59595B"/>
          <w:szCs w:val="22"/>
          <w:lang w:val="en-GB" w:eastAsia="zh-CN"/>
        </w:rPr>
        <w:t>Slides can be found at:</w:t>
      </w:r>
      <w:r w:rsidRPr="00A96D90">
        <w:rPr>
          <w:rFonts w:asciiTheme="minorHAnsi" w:eastAsiaTheme="majorEastAsia" w:hAnsiTheme="minorHAnsi" w:cstheme="minorHAnsi"/>
          <w:b/>
          <w:color w:val="auto"/>
          <w:szCs w:val="22"/>
          <w:lang w:val="en-GB" w:eastAsia="zh-CN"/>
        </w:rPr>
        <w:t xml:space="preserve"> </w:t>
      </w:r>
      <w:hyperlink r:id="rId11" w:history="1">
        <w:r w:rsidRPr="00A96D90">
          <w:rPr>
            <w:rStyle w:val="Hyperlink"/>
            <w:rFonts w:asciiTheme="minorHAnsi" w:eastAsiaTheme="majorEastAsia" w:hAnsiTheme="minorHAnsi" w:cstheme="minorHAnsi"/>
            <w:szCs w:val="22"/>
            <w:lang w:val="en-GB" w:eastAsia="zh-CN"/>
          </w:rPr>
          <w:t>https://arkadin-event.webex.com/arkadin-event/onstage/g.php?MTID=ec313beab11666c48f575fea6a991433f</w:t>
        </w:r>
      </w:hyperlink>
      <w:r w:rsidR="0040539E">
        <w:rPr>
          <w:rFonts w:asciiTheme="minorHAnsi" w:eastAsiaTheme="majorEastAsia" w:hAnsiTheme="minorHAnsi" w:cstheme="minorHAnsi"/>
          <w:color w:val="auto"/>
          <w:szCs w:val="22"/>
          <w:lang w:val="en-GB" w:eastAsia="zh-CN"/>
        </w:rPr>
        <w:t xml:space="preserve"> </w:t>
      </w:r>
    </w:p>
    <w:p w14:paraId="1FBC0632" w14:textId="77777777" w:rsidR="00A9299A" w:rsidRPr="00A96D90" w:rsidRDefault="00A9299A" w:rsidP="00A9299A">
      <w:pPr>
        <w:jc w:val="left"/>
        <w:rPr>
          <w:rFonts w:asciiTheme="minorHAnsi" w:eastAsiaTheme="majorEastAsia" w:hAnsiTheme="minorHAnsi" w:cstheme="minorHAnsi"/>
          <w:b/>
          <w:color w:val="auto"/>
          <w:szCs w:val="22"/>
          <w:lang w:val="en-GB" w:eastAsia="zh-CN"/>
        </w:rPr>
      </w:pPr>
    </w:p>
    <w:p w14:paraId="0B4674C6" w14:textId="77777777" w:rsidR="00A9299A" w:rsidRPr="00A96D90" w:rsidRDefault="00A9299A" w:rsidP="00A9299A">
      <w:pPr>
        <w:jc w:val="left"/>
        <w:rPr>
          <w:rFonts w:asciiTheme="minorHAnsi" w:eastAsiaTheme="majorEastAsia" w:hAnsiTheme="minorHAnsi" w:cstheme="minorHAnsi"/>
          <w:b/>
          <w:color w:val="59595B"/>
          <w:szCs w:val="22"/>
          <w:lang w:val="en-GB" w:eastAsia="zh-CN"/>
        </w:rPr>
      </w:pPr>
      <w:r w:rsidRPr="00A96D90">
        <w:rPr>
          <w:rFonts w:asciiTheme="minorHAnsi" w:eastAsiaTheme="majorEastAsia" w:hAnsiTheme="minorHAnsi" w:cstheme="minorHAnsi"/>
          <w:b/>
          <w:color w:val="59595B"/>
          <w:szCs w:val="22"/>
          <w:lang w:val="en-GB" w:eastAsia="zh-CN"/>
        </w:rPr>
        <w:t xml:space="preserve">Presentation Password: </w:t>
      </w:r>
      <w:r w:rsidRPr="00A96D90">
        <w:rPr>
          <w:rFonts w:asciiTheme="minorHAnsi" w:eastAsiaTheme="majorEastAsia" w:hAnsiTheme="minorHAnsi" w:cstheme="minorHAnsi"/>
          <w:color w:val="59595B"/>
          <w:szCs w:val="22"/>
          <w:lang w:val="en-GB" w:eastAsia="zh-CN"/>
        </w:rPr>
        <w:t>301196457</w:t>
      </w:r>
    </w:p>
    <w:p w14:paraId="56B9E6F8" w14:textId="77777777" w:rsidR="00B7657F" w:rsidRPr="00A96D90" w:rsidRDefault="00B7657F" w:rsidP="00B7657F">
      <w:pPr>
        <w:autoSpaceDE w:val="0"/>
        <w:autoSpaceDN w:val="0"/>
        <w:adjustRightInd w:val="0"/>
        <w:rPr>
          <w:rFonts w:asciiTheme="minorHAnsi" w:hAnsiTheme="minorHAnsi" w:cstheme="minorHAnsi"/>
          <w:b/>
          <w:bCs/>
          <w:szCs w:val="22"/>
          <w:lang w:val="en-GB"/>
        </w:rPr>
      </w:pPr>
    </w:p>
    <w:p w14:paraId="0A9D1452" w14:textId="77777777" w:rsidR="00475506" w:rsidRPr="00A96D90" w:rsidRDefault="00475506" w:rsidP="00E64F9D">
      <w:pPr>
        <w:rPr>
          <w:rFonts w:asciiTheme="minorHAnsi" w:eastAsiaTheme="majorEastAsia" w:hAnsiTheme="minorHAnsi" w:cstheme="majorBidi"/>
          <w:b/>
          <w:color w:val="59595B"/>
          <w:sz w:val="24"/>
          <w:szCs w:val="28"/>
          <w:lang w:val="en-GB" w:eastAsia="zh-CN"/>
        </w:rPr>
      </w:pPr>
    </w:p>
    <w:p w14:paraId="2A6A72B6" w14:textId="77777777" w:rsidR="00475506" w:rsidRPr="00A96D90" w:rsidRDefault="00475506" w:rsidP="00E64F9D">
      <w:pPr>
        <w:rPr>
          <w:rFonts w:asciiTheme="minorHAnsi" w:eastAsiaTheme="majorEastAsia" w:hAnsiTheme="minorHAnsi" w:cstheme="majorBidi"/>
          <w:b/>
          <w:color w:val="59595B"/>
          <w:sz w:val="24"/>
          <w:szCs w:val="28"/>
          <w:lang w:val="en-GB" w:eastAsia="zh-CN"/>
        </w:rPr>
      </w:pPr>
    </w:p>
    <w:p w14:paraId="3E6FF73D" w14:textId="68BCB4A1" w:rsidR="00E64F9D" w:rsidRPr="00A96D90" w:rsidRDefault="00922677" w:rsidP="00E64F9D">
      <w:pPr>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t>Pharming Group N.V.</w:t>
      </w:r>
    </w:p>
    <w:p w14:paraId="686CAA03" w14:textId="77777777" w:rsidR="00E64F9D" w:rsidRPr="00A96D90" w:rsidRDefault="00E64F9D" w:rsidP="00E64F9D">
      <w:pPr>
        <w:rPr>
          <w:rFonts w:ascii="Calibri" w:hAnsi="Calibri" w:cstheme="minorHAnsi"/>
          <w:b/>
          <w:color w:val="7E7B99" w:themeColor="text2" w:themeTint="99"/>
          <w:szCs w:val="22"/>
          <w:lang w:val="en-GB"/>
        </w:rPr>
      </w:pPr>
    </w:p>
    <w:p w14:paraId="2BC3208A" w14:textId="0BA34C6C" w:rsidR="00E64F9D" w:rsidRPr="00A96D90" w:rsidRDefault="00922677" w:rsidP="00922677">
      <w:pPr>
        <w:rPr>
          <w:rFonts w:asciiTheme="minorHAnsi" w:hAnsiTheme="minorHAnsi"/>
          <w:color w:val="00679B"/>
          <w:sz w:val="24"/>
          <w:lang w:val="en-GB"/>
        </w:rPr>
      </w:pPr>
      <w:r w:rsidRPr="00A96D90">
        <w:rPr>
          <w:rFonts w:asciiTheme="minorHAnsi" w:hAnsiTheme="minorHAnsi"/>
          <w:color w:val="00679B"/>
          <w:sz w:val="24"/>
          <w:lang w:val="en-GB"/>
        </w:rPr>
        <w:t>Consolidated Interim Financial Statements (Unaudited)</w:t>
      </w:r>
    </w:p>
    <w:p w14:paraId="77C413BD" w14:textId="6A2AFF00" w:rsidR="00E64F9D" w:rsidRPr="00A96D90" w:rsidRDefault="00E64F9D" w:rsidP="00922677">
      <w:pPr>
        <w:rPr>
          <w:rFonts w:asciiTheme="minorHAnsi" w:hAnsiTheme="minorHAnsi"/>
          <w:color w:val="00679B"/>
          <w:sz w:val="24"/>
          <w:lang w:val="en-GB"/>
        </w:rPr>
      </w:pPr>
      <w:r w:rsidRPr="00A96D90">
        <w:rPr>
          <w:rFonts w:asciiTheme="minorHAnsi" w:hAnsiTheme="minorHAnsi"/>
          <w:color w:val="00679B"/>
          <w:sz w:val="24"/>
          <w:lang w:val="en-GB"/>
        </w:rPr>
        <w:t xml:space="preserve">For </w:t>
      </w:r>
      <w:r w:rsidR="00922677" w:rsidRPr="00A96D90">
        <w:rPr>
          <w:rFonts w:asciiTheme="minorHAnsi" w:hAnsiTheme="minorHAnsi"/>
          <w:color w:val="00679B"/>
          <w:sz w:val="24"/>
          <w:lang w:val="en-GB"/>
        </w:rPr>
        <w:t xml:space="preserve">the first </w:t>
      </w:r>
      <w:r w:rsidR="001B32EE" w:rsidRPr="00A96D90">
        <w:rPr>
          <w:rFonts w:asciiTheme="minorHAnsi" w:hAnsiTheme="minorHAnsi"/>
          <w:color w:val="00679B"/>
          <w:sz w:val="24"/>
          <w:lang w:val="en-GB"/>
        </w:rPr>
        <w:t>six months</w:t>
      </w:r>
      <w:r w:rsidR="00922677" w:rsidRPr="00A96D90">
        <w:rPr>
          <w:rFonts w:asciiTheme="minorHAnsi" w:hAnsiTheme="minorHAnsi"/>
          <w:color w:val="00679B"/>
          <w:sz w:val="24"/>
          <w:lang w:val="en-GB"/>
        </w:rPr>
        <w:t xml:space="preserve"> ended 30 J</w:t>
      </w:r>
      <w:r w:rsidR="00AD7E4E" w:rsidRPr="00A96D90">
        <w:rPr>
          <w:rFonts w:asciiTheme="minorHAnsi" w:hAnsiTheme="minorHAnsi"/>
          <w:color w:val="00679B"/>
          <w:sz w:val="24"/>
          <w:lang w:val="en-GB"/>
        </w:rPr>
        <w:t>une 2017</w:t>
      </w:r>
    </w:p>
    <w:p w14:paraId="3836300C" w14:textId="77777777" w:rsidR="00E64F9D" w:rsidRPr="00A96D90" w:rsidRDefault="00E64F9D" w:rsidP="00E64F9D">
      <w:pPr>
        <w:rPr>
          <w:rFonts w:ascii="Calibri" w:hAnsi="Calibri" w:cstheme="minorHAnsi"/>
          <w:color w:val="276E8B" w:themeColor="accent1" w:themeShade="BF"/>
          <w:szCs w:val="22"/>
          <w:lang w:val="en-GB"/>
        </w:rPr>
      </w:pPr>
    </w:p>
    <w:p w14:paraId="11DE15E7"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income</w:t>
      </w:r>
    </w:p>
    <w:p w14:paraId="298AFA5B"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comprehensive income</w:t>
      </w:r>
    </w:p>
    <w:p w14:paraId="1EEF95DC"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balance sheet</w:t>
      </w:r>
    </w:p>
    <w:p w14:paraId="1CB8A29C"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cash flows</w:t>
      </w:r>
    </w:p>
    <w:p w14:paraId="10B92B4F"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Consolidated statement of changes in equity</w:t>
      </w:r>
    </w:p>
    <w:p w14:paraId="064A4A9B" w14:textId="77777777" w:rsidR="00E64F9D" w:rsidRPr="00A96D90" w:rsidRDefault="00E64F9D" w:rsidP="00922677">
      <w:pPr>
        <w:spacing w:after="120"/>
        <w:ind w:left="1080" w:hanging="540"/>
        <w:rPr>
          <w:rFonts w:asciiTheme="minorHAnsi" w:hAnsiTheme="minorHAnsi" w:cstheme="minorHAnsi"/>
          <w:color w:val="59595B"/>
          <w:szCs w:val="22"/>
          <w:lang w:val="en-GB"/>
        </w:rPr>
      </w:pPr>
      <w:r w:rsidRPr="00A96D90">
        <w:rPr>
          <w:rFonts w:asciiTheme="minorHAnsi" w:hAnsiTheme="minorHAnsi" w:cstheme="minorHAnsi"/>
          <w:color w:val="59595B"/>
          <w:szCs w:val="22"/>
          <w:lang w:val="en-GB"/>
        </w:rPr>
        <w:t>Notes to the consolidated interim financial statements</w:t>
      </w:r>
    </w:p>
    <w:p w14:paraId="49F1F3FC" w14:textId="09DB7B6B" w:rsidR="00E64F9D" w:rsidRPr="00A96D90" w:rsidRDefault="00E64F9D" w:rsidP="00922677">
      <w:pPr>
        <w:rPr>
          <w:rFonts w:ascii="Calibri" w:hAnsi="Calibri" w:cstheme="minorHAnsi"/>
          <w:szCs w:val="22"/>
          <w:lang w:val="en-GB"/>
        </w:rPr>
      </w:pPr>
    </w:p>
    <w:p w14:paraId="6229F877" w14:textId="77777777" w:rsidR="00E64F9D" w:rsidRPr="00A96D90" w:rsidRDefault="00E64F9D" w:rsidP="00E64F9D">
      <w:pPr>
        <w:ind w:left="540" w:hanging="540"/>
        <w:rPr>
          <w:rFonts w:ascii="Calibri" w:hAnsi="Calibri" w:cstheme="minorHAnsi"/>
          <w:b/>
          <w:szCs w:val="22"/>
          <w:lang w:val="en-GB"/>
        </w:rPr>
      </w:pPr>
      <w:r w:rsidRPr="00A96D90">
        <w:rPr>
          <w:rFonts w:ascii="Calibri" w:hAnsi="Calibri" w:cstheme="minorHAnsi"/>
          <w:b/>
          <w:szCs w:val="22"/>
          <w:lang w:val="en-GB"/>
        </w:rPr>
        <w:br w:type="page"/>
      </w:r>
    </w:p>
    <w:p w14:paraId="7F2DD8F9" w14:textId="2C3FFD1F" w:rsidR="00E64F9D" w:rsidRPr="00A96D90" w:rsidRDefault="00731B77" w:rsidP="00E64F9D">
      <w:pPr>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p>
    <w:p w14:paraId="1CE9D04E" w14:textId="26BB2450" w:rsidR="00E64F9D" w:rsidRPr="00A96D90" w:rsidRDefault="00E64F9D" w:rsidP="00E64F9D">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1B32EE" w:rsidRPr="00A96D90">
        <w:rPr>
          <w:rFonts w:asciiTheme="minorHAnsi" w:hAnsiTheme="minorHAnsi"/>
          <w:color w:val="00679B"/>
          <w:sz w:val="24"/>
          <w:lang w:val="en-GB"/>
        </w:rPr>
        <w:t>six months</w:t>
      </w:r>
      <w:r w:rsidRPr="00A96D90">
        <w:rPr>
          <w:rFonts w:asciiTheme="minorHAnsi" w:hAnsiTheme="minorHAnsi"/>
          <w:color w:val="00679B"/>
          <w:sz w:val="24"/>
          <w:lang w:val="en-GB"/>
        </w:rPr>
        <w:t xml:space="preserve"> ended 30 June</w:t>
      </w:r>
    </w:p>
    <w:p w14:paraId="50E8FFF3" w14:textId="77777777" w:rsidR="00E64F9D" w:rsidRPr="00A96D90" w:rsidRDefault="00E64F9D" w:rsidP="00E64F9D">
      <w:pPr>
        <w:rPr>
          <w:rFonts w:ascii="Calibri" w:hAnsi="Calibri" w:cstheme="minorHAnsi"/>
          <w:b/>
          <w:color w:val="276E8B" w:themeColor="accent1" w:themeShade="BF"/>
          <w:szCs w:val="22"/>
          <w:lang w:val="en-GB"/>
        </w:rPr>
      </w:pPr>
    </w:p>
    <w:tbl>
      <w:tblPr>
        <w:tblW w:w="8995"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130"/>
        <w:gridCol w:w="718"/>
        <w:gridCol w:w="1596"/>
        <w:gridCol w:w="1551"/>
      </w:tblGrid>
      <w:tr w:rsidR="00731B77" w:rsidRPr="00A96D90" w14:paraId="1834CB04" w14:textId="77777777" w:rsidTr="00F833F8">
        <w:trPr>
          <w:trHeight w:val="144"/>
          <w:jc w:val="center"/>
        </w:trPr>
        <w:tc>
          <w:tcPr>
            <w:tcW w:w="5130" w:type="dxa"/>
            <w:tcBorders>
              <w:bottom w:val="single" w:sz="4" w:space="0" w:color="BFBFBF" w:themeColor="background1" w:themeShade="BF"/>
            </w:tcBorders>
            <w:shd w:val="clear" w:color="auto" w:fill="auto"/>
            <w:tcMar>
              <w:top w:w="28" w:type="dxa"/>
            </w:tcMar>
          </w:tcPr>
          <w:p w14:paraId="15AFEF49" w14:textId="77777777" w:rsidR="00E64F9D" w:rsidRPr="00A96D90" w:rsidRDefault="00E64F9D" w:rsidP="003426AC">
            <w:pPr>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Amounts in €’000, except per share data</w:t>
            </w:r>
          </w:p>
        </w:tc>
        <w:tc>
          <w:tcPr>
            <w:tcW w:w="718" w:type="dxa"/>
            <w:tcBorders>
              <w:bottom w:val="single" w:sz="4" w:space="0" w:color="BFBFBF" w:themeColor="background1" w:themeShade="BF"/>
            </w:tcBorders>
            <w:shd w:val="clear" w:color="auto" w:fill="auto"/>
            <w:tcMar>
              <w:top w:w="28" w:type="dxa"/>
            </w:tcMar>
          </w:tcPr>
          <w:p w14:paraId="197B8D7A" w14:textId="77777777" w:rsidR="00E64F9D" w:rsidRPr="00A96D90" w:rsidRDefault="00E64F9D" w:rsidP="003426AC">
            <w:pPr>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Notes</w:t>
            </w:r>
          </w:p>
        </w:tc>
        <w:tc>
          <w:tcPr>
            <w:tcW w:w="1596" w:type="dxa"/>
            <w:tcBorders>
              <w:bottom w:val="single" w:sz="4" w:space="0" w:color="BFBFBF" w:themeColor="background1" w:themeShade="BF"/>
            </w:tcBorders>
            <w:shd w:val="clear" w:color="auto" w:fill="F2F2F2" w:themeFill="background1" w:themeFillShade="F2"/>
            <w:tcMar>
              <w:top w:w="28" w:type="dxa"/>
            </w:tcMar>
          </w:tcPr>
          <w:p w14:paraId="7C645549" w14:textId="39F6EA8D" w:rsidR="00E64F9D" w:rsidRPr="00A96D90" w:rsidRDefault="00E64F9D" w:rsidP="0049736D">
            <w:pPr>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HY</w:t>
            </w:r>
            <w:r w:rsidR="0049736D" w:rsidRPr="00A96D90">
              <w:rPr>
                <w:rFonts w:asciiTheme="minorHAnsi" w:hAnsiTheme="minorHAnsi" w:cstheme="minorHAnsi"/>
                <w:b/>
                <w:color w:val="00679B"/>
                <w:sz w:val="20"/>
                <w:szCs w:val="20"/>
                <w:lang w:val="en-GB"/>
              </w:rPr>
              <w:t xml:space="preserve"> </w:t>
            </w:r>
            <w:r w:rsidRPr="00A96D90">
              <w:rPr>
                <w:rFonts w:asciiTheme="minorHAnsi" w:hAnsiTheme="minorHAnsi" w:cstheme="minorHAnsi"/>
                <w:b/>
                <w:color w:val="00679B"/>
                <w:sz w:val="20"/>
                <w:szCs w:val="20"/>
                <w:lang w:val="en-GB"/>
              </w:rPr>
              <w:t>201</w:t>
            </w:r>
            <w:r w:rsidR="00F1683A" w:rsidRPr="00A96D90">
              <w:rPr>
                <w:rFonts w:asciiTheme="minorHAnsi" w:hAnsiTheme="minorHAnsi" w:cstheme="minorHAnsi"/>
                <w:b/>
                <w:color w:val="00679B"/>
                <w:sz w:val="20"/>
                <w:szCs w:val="20"/>
                <w:lang w:val="en-GB"/>
              </w:rPr>
              <w:t>7</w:t>
            </w:r>
          </w:p>
        </w:tc>
        <w:tc>
          <w:tcPr>
            <w:tcW w:w="1551" w:type="dxa"/>
            <w:tcBorders>
              <w:bottom w:val="single" w:sz="4" w:space="0" w:color="BFBFBF" w:themeColor="background1" w:themeShade="BF"/>
            </w:tcBorders>
            <w:shd w:val="clear" w:color="auto" w:fill="auto"/>
            <w:tcMar>
              <w:top w:w="28" w:type="dxa"/>
            </w:tcMar>
          </w:tcPr>
          <w:p w14:paraId="26DD7095" w14:textId="30B08D89" w:rsidR="00E64F9D" w:rsidRPr="00A96D90" w:rsidRDefault="00E64F9D" w:rsidP="0049736D">
            <w:pPr>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HY</w:t>
            </w:r>
            <w:r w:rsidR="0049736D" w:rsidRPr="00A96D90">
              <w:rPr>
                <w:rFonts w:asciiTheme="minorHAnsi" w:hAnsiTheme="minorHAnsi" w:cstheme="minorHAnsi"/>
                <w:b/>
                <w:color w:val="00679B"/>
                <w:sz w:val="20"/>
                <w:szCs w:val="20"/>
                <w:lang w:val="en-GB"/>
              </w:rPr>
              <w:t xml:space="preserve"> </w:t>
            </w:r>
            <w:r w:rsidRPr="00A96D90">
              <w:rPr>
                <w:rFonts w:asciiTheme="minorHAnsi" w:hAnsiTheme="minorHAnsi" w:cstheme="minorHAnsi"/>
                <w:b/>
                <w:color w:val="00679B"/>
                <w:sz w:val="20"/>
                <w:szCs w:val="20"/>
                <w:lang w:val="en-GB"/>
              </w:rPr>
              <w:t>201</w:t>
            </w:r>
            <w:r w:rsidR="00A90BD3" w:rsidRPr="00A96D90">
              <w:rPr>
                <w:rFonts w:asciiTheme="minorHAnsi" w:hAnsiTheme="minorHAnsi" w:cstheme="minorHAnsi"/>
                <w:b/>
                <w:color w:val="00679B"/>
                <w:sz w:val="20"/>
                <w:szCs w:val="20"/>
                <w:lang w:val="en-GB"/>
              </w:rPr>
              <w:t>6</w:t>
            </w:r>
          </w:p>
        </w:tc>
      </w:tr>
      <w:tr w:rsidR="00E64F9D" w:rsidRPr="00A96D90" w14:paraId="62CF746B" w14:textId="77777777" w:rsidTr="00F833F8">
        <w:trPr>
          <w:trHeight w:val="144"/>
          <w:jc w:val="center"/>
        </w:trPr>
        <w:tc>
          <w:tcPr>
            <w:tcW w:w="5130" w:type="dxa"/>
            <w:tcBorders>
              <w:top w:val="single" w:sz="4" w:space="0" w:color="BFBFBF" w:themeColor="background1" w:themeShade="BF"/>
              <w:left w:val="single" w:sz="4" w:space="0" w:color="BFBFBF" w:themeColor="background1" w:themeShade="BF"/>
              <w:bottom w:val="nil"/>
            </w:tcBorders>
            <w:tcMar>
              <w:top w:w="28" w:type="dxa"/>
            </w:tcMar>
          </w:tcPr>
          <w:p w14:paraId="3C5D057C" w14:textId="77777777" w:rsidR="00E64F9D" w:rsidRPr="00A96D90" w:rsidRDefault="00E64F9D" w:rsidP="003426AC">
            <w:pPr>
              <w:rPr>
                <w:rFonts w:asciiTheme="minorHAnsi" w:hAnsiTheme="minorHAnsi" w:cstheme="minorHAnsi"/>
                <w:color w:val="59595B"/>
                <w:sz w:val="20"/>
                <w:szCs w:val="20"/>
                <w:lang w:val="en-GB"/>
              </w:rPr>
            </w:pPr>
          </w:p>
        </w:tc>
        <w:tc>
          <w:tcPr>
            <w:tcW w:w="718" w:type="dxa"/>
            <w:tcBorders>
              <w:top w:val="single" w:sz="4" w:space="0" w:color="BFBFBF" w:themeColor="background1" w:themeShade="BF"/>
              <w:bottom w:val="nil"/>
            </w:tcBorders>
            <w:tcMar>
              <w:top w:w="28" w:type="dxa"/>
            </w:tcMar>
          </w:tcPr>
          <w:p w14:paraId="57A84641"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6D9C0E24"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top w:val="single" w:sz="4" w:space="0" w:color="BFBFBF" w:themeColor="background1" w:themeShade="BF"/>
              <w:bottom w:val="nil"/>
              <w:right w:val="nil"/>
            </w:tcBorders>
            <w:tcMar>
              <w:top w:w="28" w:type="dxa"/>
            </w:tcMar>
          </w:tcPr>
          <w:p w14:paraId="16D775D0"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5F524CD0" w14:textId="77777777" w:rsidTr="00F833F8">
        <w:trPr>
          <w:trHeight w:val="144"/>
          <w:jc w:val="center"/>
        </w:trPr>
        <w:tc>
          <w:tcPr>
            <w:tcW w:w="5130" w:type="dxa"/>
            <w:tcBorders>
              <w:top w:val="nil"/>
              <w:left w:val="single" w:sz="4" w:space="0" w:color="BFBFBF" w:themeColor="background1" w:themeShade="BF"/>
              <w:bottom w:val="nil"/>
            </w:tcBorders>
            <w:tcMar>
              <w:top w:w="28" w:type="dxa"/>
            </w:tcMar>
          </w:tcPr>
          <w:p w14:paraId="4BB20E21"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Product sales</w:t>
            </w:r>
          </w:p>
        </w:tc>
        <w:tc>
          <w:tcPr>
            <w:tcW w:w="718" w:type="dxa"/>
            <w:tcBorders>
              <w:top w:val="nil"/>
              <w:bottom w:val="nil"/>
            </w:tcBorders>
            <w:tcMar>
              <w:top w:w="28" w:type="dxa"/>
            </w:tcMar>
          </w:tcPr>
          <w:p w14:paraId="08D4D8FD"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nil"/>
            </w:tcBorders>
            <w:shd w:val="clear" w:color="auto" w:fill="F2F2F2" w:themeFill="background1" w:themeFillShade="F2"/>
            <w:tcMar>
              <w:top w:w="28" w:type="dxa"/>
            </w:tcMar>
          </w:tcPr>
          <w:p w14:paraId="689522F2" w14:textId="5FC87996" w:rsidR="00E64F9D" w:rsidRPr="00A96D90" w:rsidRDefault="00F1683A" w:rsidP="003426AC">
            <w:pPr>
              <w:jc w:val="right"/>
              <w:rPr>
                <w:rFonts w:asciiTheme="minorHAnsi" w:hAnsiTheme="minorHAnsi" w:cstheme="minorHAnsi"/>
                <w:color w:val="59595B"/>
                <w:sz w:val="20"/>
                <w:szCs w:val="20"/>
                <w:lang w:val="en-GB"/>
              </w:rPr>
            </w:pPr>
            <w:r w:rsidRPr="00A96D90">
              <w:rPr>
                <w:rFonts w:asciiTheme="minorHAnsi" w:hAnsiTheme="minorHAnsi" w:cs="Arial"/>
                <w:color w:val="59595B"/>
                <w:sz w:val="20"/>
                <w:szCs w:val="20"/>
                <w:lang w:val="en-GB"/>
              </w:rPr>
              <w:t>30,109</w:t>
            </w:r>
          </w:p>
        </w:tc>
        <w:tc>
          <w:tcPr>
            <w:tcW w:w="1551" w:type="dxa"/>
            <w:tcBorders>
              <w:top w:val="nil"/>
              <w:bottom w:val="nil"/>
              <w:right w:val="nil"/>
            </w:tcBorders>
            <w:tcMar>
              <w:top w:w="28" w:type="dxa"/>
            </w:tcMar>
          </w:tcPr>
          <w:p w14:paraId="3C6A913B" w14:textId="0C0955CD"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4,1</w:t>
            </w:r>
            <w:r w:rsidR="00A90BD3" w:rsidRPr="00A96D90">
              <w:rPr>
                <w:rFonts w:asciiTheme="minorHAnsi" w:hAnsiTheme="minorHAnsi" w:cstheme="minorHAnsi"/>
                <w:color w:val="59595B"/>
                <w:sz w:val="20"/>
                <w:szCs w:val="20"/>
                <w:lang w:val="en-GB"/>
              </w:rPr>
              <w:t>70</w:t>
            </w:r>
          </w:p>
        </w:tc>
      </w:tr>
      <w:tr w:rsidR="00B55A4C" w:rsidRPr="00A96D90" w14:paraId="0E59BE9D" w14:textId="77777777" w:rsidTr="00F833F8">
        <w:trPr>
          <w:trHeight w:val="144"/>
          <w:jc w:val="center"/>
        </w:trPr>
        <w:tc>
          <w:tcPr>
            <w:tcW w:w="5130" w:type="dxa"/>
            <w:tcBorders>
              <w:top w:val="nil"/>
              <w:left w:val="single" w:sz="4" w:space="0" w:color="BFBFBF" w:themeColor="background1" w:themeShade="BF"/>
              <w:bottom w:val="single" w:sz="4" w:space="0" w:color="BFBFBF" w:themeColor="background1" w:themeShade="BF"/>
            </w:tcBorders>
            <w:tcMar>
              <w:top w:w="28" w:type="dxa"/>
            </w:tcMar>
          </w:tcPr>
          <w:p w14:paraId="7359B33B" w14:textId="107C9D1A" w:rsidR="00E64F9D" w:rsidRPr="00A96D90" w:rsidRDefault="001B32EE" w:rsidP="001B32EE">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Release of deferred l</w:t>
            </w:r>
            <w:r w:rsidR="00E64F9D" w:rsidRPr="00A96D90">
              <w:rPr>
                <w:rFonts w:asciiTheme="minorHAnsi" w:hAnsiTheme="minorHAnsi" w:cstheme="minorHAnsi"/>
                <w:color w:val="59595B"/>
                <w:sz w:val="20"/>
                <w:szCs w:val="20"/>
                <w:lang w:val="en-GB"/>
              </w:rPr>
              <w:t>icense fee income</w:t>
            </w:r>
          </w:p>
        </w:tc>
        <w:tc>
          <w:tcPr>
            <w:tcW w:w="718" w:type="dxa"/>
            <w:tcBorders>
              <w:top w:val="nil"/>
              <w:bottom w:val="single" w:sz="4" w:space="0" w:color="BFBFBF" w:themeColor="background1" w:themeShade="BF"/>
            </w:tcBorders>
            <w:tcMar>
              <w:top w:w="28" w:type="dxa"/>
            </w:tcMar>
          </w:tcPr>
          <w:p w14:paraId="533DDF4F"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07ACC3BA" w14:textId="644C6F10" w:rsidR="00E64F9D" w:rsidRPr="00A96D90" w:rsidRDefault="00F1683A" w:rsidP="003426AC">
            <w:pPr>
              <w:jc w:val="right"/>
              <w:rPr>
                <w:rFonts w:asciiTheme="minorHAnsi" w:hAnsiTheme="minorHAnsi" w:cstheme="minorHAnsi"/>
                <w:color w:val="59595B"/>
                <w:sz w:val="20"/>
                <w:szCs w:val="20"/>
                <w:lang w:val="en-GB"/>
              </w:rPr>
            </w:pPr>
            <w:r w:rsidRPr="00A96D90">
              <w:rPr>
                <w:rFonts w:asciiTheme="minorHAnsi" w:hAnsiTheme="minorHAnsi" w:cs="Arial"/>
                <w:color w:val="59595B"/>
                <w:sz w:val="20"/>
                <w:szCs w:val="20"/>
                <w:lang w:val="en-GB"/>
              </w:rPr>
              <w:t>536</w:t>
            </w:r>
          </w:p>
        </w:tc>
        <w:tc>
          <w:tcPr>
            <w:tcW w:w="1551" w:type="dxa"/>
            <w:tcBorders>
              <w:top w:val="nil"/>
              <w:bottom w:val="single" w:sz="4" w:space="0" w:color="BFBFBF" w:themeColor="background1" w:themeShade="BF"/>
              <w:right w:val="nil"/>
            </w:tcBorders>
            <w:tcMar>
              <w:top w:w="28" w:type="dxa"/>
            </w:tcMar>
          </w:tcPr>
          <w:p w14:paraId="09DD6AE0" w14:textId="77777777"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1,104</w:t>
            </w:r>
          </w:p>
        </w:tc>
      </w:tr>
      <w:tr w:rsidR="00B55A4C" w:rsidRPr="00A96D90" w14:paraId="7ABC6530" w14:textId="77777777" w:rsidTr="00F833F8">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23F23918"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Revenues</w:t>
            </w:r>
          </w:p>
        </w:tc>
        <w:tc>
          <w:tcPr>
            <w:tcW w:w="718" w:type="dxa"/>
            <w:tcBorders>
              <w:top w:val="single" w:sz="4" w:space="0" w:color="BFBFBF" w:themeColor="background1" w:themeShade="BF"/>
              <w:bottom w:val="single" w:sz="4" w:space="0" w:color="BFBFBF" w:themeColor="background1" w:themeShade="BF"/>
            </w:tcBorders>
            <w:tcMar>
              <w:top w:w="28" w:type="dxa"/>
            </w:tcMar>
          </w:tcPr>
          <w:p w14:paraId="1E852011" w14:textId="7777777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6</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742BF78D" w14:textId="1E7717B4" w:rsidR="00E64F9D" w:rsidRPr="00A96D90" w:rsidRDefault="00F1683A" w:rsidP="003426AC">
            <w:pPr>
              <w:jc w:val="right"/>
              <w:rPr>
                <w:rFonts w:asciiTheme="minorHAnsi" w:hAnsiTheme="minorHAnsi" w:cstheme="minorHAnsi"/>
                <w:b/>
                <w:color w:val="59595B"/>
                <w:sz w:val="20"/>
                <w:szCs w:val="20"/>
                <w:lang w:val="en-GB"/>
              </w:rPr>
            </w:pPr>
            <w:r w:rsidRPr="00A96D90">
              <w:rPr>
                <w:rFonts w:asciiTheme="minorHAnsi" w:hAnsiTheme="minorHAnsi" w:cs="Arial"/>
                <w:b/>
                <w:color w:val="59595B"/>
                <w:sz w:val="20"/>
                <w:szCs w:val="20"/>
                <w:lang w:val="en-GB"/>
              </w:rPr>
              <w:t>30,645</w:t>
            </w:r>
          </w:p>
        </w:tc>
        <w:tc>
          <w:tcPr>
            <w:tcW w:w="1551" w:type="dxa"/>
            <w:tcBorders>
              <w:top w:val="single" w:sz="4" w:space="0" w:color="BFBFBF" w:themeColor="background1" w:themeShade="BF"/>
              <w:bottom w:val="single" w:sz="4" w:space="0" w:color="BFBFBF" w:themeColor="background1" w:themeShade="BF"/>
            </w:tcBorders>
            <w:tcMar>
              <w:top w:w="28" w:type="dxa"/>
            </w:tcMar>
          </w:tcPr>
          <w:p w14:paraId="55C4D215" w14:textId="7E38CBF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5,2</w:t>
            </w:r>
            <w:r w:rsidR="00A90BD3" w:rsidRPr="00A96D90">
              <w:rPr>
                <w:rFonts w:asciiTheme="minorHAnsi" w:hAnsiTheme="minorHAnsi" w:cstheme="minorHAnsi"/>
                <w:b/>
                <w:color w:val="59595B"/>
                <w:sz w:val="20"/>
                <w:szCs w:val="20"/>
                <w:lang w:val="en-GB"/>
              </w:rPr>
              <w:t>74</w:t>
            </w:r>
          </w:p>
        </w:tc>
      </w:tr>
      <w:tr w:rsidR="00B55A4C" w:rsidRPr="00A96D90" w14:paraId="4EFCCC7B" w14:textId="77777777" w:rsidTr="00F833F8">
        <w:trPr>
          <w:trHeight w:val="144"/>
          <w:jc w:val="center"/>
        </w:trPr>
        <w:tc>
          <w:tcPr>
            <w:tcW w:w="5130" w:type="dxa"/>
            <w:tcBorders>
              <w:bottom w:val="nil"/>
            </w:tcBorders>
            <w:tcMar>
              <w:top w:w="28" w:type="dxa"/>
            </w:tcMar>
          </w:tcPr>
          <w:p w14:paraId="2882E26B" w14:textId="77777777" w:rsidR="00E64F9D" w:rsidRPr="00A96D90" w:rsidRDefault="00E64F9D" w:rsidP="003426AC">
            <w:pPr>
              <w:rPr>
                <w:rFonts w:asciiTheme="minorHAnsi" w:hAnsiTheme="minorHAnsi" w:cstheme="minorHAnsi"/>
                <w:b/>
                <w:color w:val="59595B"/>
                <w:sz w:val="20"/>
                <w:szCs w:val="20"/>
                <w:lang w:val="en-GB"/>
              </w:rPr>
            </w:pPr>
          </w:p>
        </w:tc>
        <w:tc>
          <w:tcPr>
            <w:tcW w:w="718" w:type="dxa"/>
            <w:tcBorders>
              <w:bottom w:val="nil"/>
            </w:tcBorders>
            <w:tcMar>
              <w:top w:w="28" w:type="dxa"/>
            </w:tcMar>
          </w:tcPr>
          <w:p w14:paraId="4034DFA3"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477455F8"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5512D832"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7D13D932" w14:textId="77777777" w:rsidTr="00F833F8">
        <w:trPr>
          <w:trHeight w:val="144"/>
          <w:jc w:val="center"/>
        </w:trPr>
        <w:tc>
          <w:tcPr>
            <w:tcW w:w="5130" w:type="dxa"/>
            <w:tcBorders>
              <w:top w:val="nil"/>
              <w:bottom w:val="nil"/>
            </w:tcBorders>
            <w:tcMar>
              <w:top w:w="28" w:type="dxa"/>
            </w:tcMar>
          </w:tcPr>
          <w:p w14:paraId="533D6E1D"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Costs of product sales</w:t>
            </w:r>
          </w:p>
        </w:tc>
        <w:tc>
          <w:tcPr>
            <w:tcW w:w="718" w:type="dxa"/>
            <w:tcBorders>
              <w:top w:val="nil"/>
              <w:bottom w:val="nil"/>
            </w:tcBorders>
            <w:tcMar>
              <w:top w:w="28" w:type="dxa"/>
            </w:tcMar>
          </w:tcPr>
          <w:p w14:paraId="76B629CB"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nil"/>
            </w:tcBorders>
            <w:shd w:val="clear" w:color="auto" w:fill="F2F2F2" w:themeFill="background1" w:themeFillShade="F2"/>
            <w:tcMar>
              <w:top w:w="28" w:type="dxa"/>
            </w:tcMar>
          </w:tcPr>
          <w:p w14:paraId="456E5A17" w14:textId="4EC33E38"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Arial"/>
                <w:color w:val="59595B"/>
                <w:sz w:val="20"/>
                <w:szCs w:val="20"/>
                <w:lang w:val="en-GB"/>
              </w:rPr>
              <w:t>(</w:t>
            </w:r>
            <w:r w:rsidR="00F1683A" w:rsidRPr="00A96D90">
              <w:rPr>
                <w:rFonts w:asciiTheme="minorHAnsi" w:hAnsiTheme="minorHAnsi" w:cs="Arial"/>
                <w:color w:val="59595B"/>
                <w:sz w:val="20"/>
                <w:szCs w:val="20"/>
                <w:lang w:val="en-GB"/>
              </w:rPr>
              <w:t>3,745</w:t>
            </w:r>
            <w:r w:rsidRPr="00A96D90">
              <w:rPr>
                <w:rFonts w:asciiTheme="minorHAnsi" w:hAnsiTheme="minorHAnsi" w:cs="Arial"/>
                <w:color w:val="59595B"/>
                <w:sz w:val="20"/>
                <w:szCs w:val="20"/>
                <w:lang w:val="en-GB"/>
              </w:rPr>
              <w:t>)</w:t>
            </w:r>
          </w:p>
        </w:tc>
        <w:tc>
          <w:tcPr>
            <w:tcW w:w="1551" w:type="dxa"/>
            <w:tcBorders>
              <w:top w:val="nil"/>
              <w:bottom w:val="nil"/>
            </w:tcBorders>
            <w:tcMar>
              <w:top w:w="28" w:type="dxa"/>
            </w:tcMar>
          </w:tcPr>
          <w:p w14:paraId="3582FC3F" w14:textId="265F2FEF"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A90BD3" w:rsidRPr="00A96D90">
              <w:rPr>
                <w:rFonts w:asciiTheme="minorHAnsi" w:hAnsiTheme="minorHAnsi" w:cstheme="minorHAnsi"/>
                <w:color w:val="59595B"/>
                <w:sz w:val="20"/>
                <w:szCs w:val="20"/>
                <w:lang w:val="en-GB"/>
              </w:rPr>
              <w:t>1,795</w:t>
            </w:r>
            <w:r w:rsidRPr="00A96D90">
              <w:rPr>
                <w:rFonts w:asciiTheme="minorHAnsi" w:hAnsiTheme="minorHAnsi" w:cstheme="minorHAnsi"/>
                <w:color w:val="59595B"/>
                <w:sz w:val="20"/>
                <w:szCs w:val="20"/>
                <w:lang w:val="en-GB"/>
              </w:rPr>
              <w:t>)</w:t>
            </w:r>
          </w:p>
        </w:tc>
      </w:tr>
      <w:tr w:rsidR="00B55A4C" w:rsidRPr="00A96D90" w14:paraId="2D97B135" w14:textId="77777777" w:rsidTr="00F833F8">
        <w:trPr>
          <w:trHeight w:val="144"/>
          <w:jc w:val="center"/>
        </w:trPr>
        <w:tc>
          <w:tcPr>
            <w:tcW w:w="5130" w:type="dxa"/>
            <w:tcBorders>
              <w:top w:val="nil"/>
              <w:bottom w:val="single" w:sz="4" w:space="0" w:color="BFBFBF" w:themeColor="background1" w:themeShade="BF"/>
            </w:tcBorders>
            <w:tcMar>
              <w:top w:w="28" w:type="dxa"/>
            </w:tcMar>
          </w:tcPr>
          <w:p w14:paraId="7D804AF9"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Inventory impairments</w:t>
            </w:r>
          </w:p>
        </w:tc>
        <w:tc>
          <w:tcPr>
            <w:tcW w:w="718" w:type="dxa"/>
            <w:tcBorders>
              <w:top w:val="nil"/>
              <w:bottom w:val="single" w:sz="4" w:space="0" w:color="BFBFBF" w:themeColor="background1" w:themeShade="BF"/>
            </w:tcBorders>
            <w:tcMar>
              <w:top w:w="28" w:type="dxa"/>
            </w:tcMar>
          </w:tcPr>
          <w:p w14:paraId="3DC91D61"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778F3DE" w14:textId="677B3EC9" w:rsidR="00E64F9D" w:rsidRPr="00A96D90" w:rsidRDefault="00F1683A"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88</w:t>
            </w:r>
            <w:r w:rsidR="00E64F9D" w:rsidRPr="00A96D90">
              <w:rPr>
                <w:rFonts w:asciiTheme="minorHAnsi" w:hAnsiTheme="minorHAnsi" w:cstheme="minorHAnsi"/>
                <w:color w:val="59595B"/>
                <w:sz w:val="20"/>
                <w:szCs w:val="20"/>
                <w:lang w:val="en-GB"/>
              </w:rPr>
              <w:t xml:space="preserve"> </w:t>
            </w:r>
          </w:p>
        </w:tc>
        <w:tc>
          <w:tcPr>
            <w:tcW w:w="1551" w:type="dxa"/>
            <w:tcBorders>
              <w:top w:val="nil"/>
              <w:bottom w:val="single" w:sz="4" w:space="0" w:color="BFBFBF" w:themeColor="background1" w:themeShade="BF"/>
            </w:tcBorders>
            <w:tcMar>
              <w:top w:w="28" w:type="dxa"/>
            </w:tcMar>
          </w:tcPr>
          <w:p w14:paraId="26307F7D" w14:textId="061589DC" w:rsidR="00E64F9D" w:rsidRPr="00A96D90" w:rsidRDefault="00987D35"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E64F9D" w:rsidRPr="00A96D90">
              <w:rPr>
                <w:rFonts w:asciiTheme="minorHAnsi" w:hAnsiTheme="minorHAnsi" w:cstheme="minorHAnsi"/>
                <w:color w:val="59595B"/>
                <w:sz w:val="20"/>
                <w:szCs w:val="20"/>
                <w:lang w:val="en-GB"/>
              </w:rPr>
              <w:t>20</w:t>
            </w:r>
            <w:r w:rsidR="00A90BD3" w:rsidRPr="00A96D90">
              <w:rPr>
                <w:rFonts w:asciiTheme="minorHAnsi" w:hAnsiTheme="minorHAnsi" w:cstheme="minorHAnsi"/>
                <w:color w:val="59595B"/>
                <w:sz w:val="20"/>
                <w:szCs w:val="20"/>
                <w:lang w:val="en-GB"/>
              </w:rPr>
              <w:t>9</w:t>
            </w:r>
            <w:r w:rsidRPr="00A96D90">
              <w:rPr>
                <w:rFonts w:asciiTheme="minorHAnsi" w:hAnsiTheme="minorHAnsi" w:cstheme="minorHAnsi"/>
                <w:color w:val="59595B"/>
                <w:sz w:val="20"/>
                <w:szCs w:val="20"/>
                <w:lang w:val="en-GB"/>
              </w:rPr>
              <w:t>)</w:t>
            </w:r>
          </w:p>
        </w:tc>
      </w:tr>
      <w:tr w:rsidR="00B55A4C" w:rsidRPr="00A96D90" w14:paraId="6413F70C" w14:textId="77777777" w:rsidTr="00F833F8">
        <w:trPr>
          <w:trHeight w:val="144"/>
          <w:jc w:val="center"/>
        </w:trPr>
        <w:tc>
          <w:tcPr>
            <w:tcW w:w="5130" w:type="dxa"/>
            <w:tcBorders>
              <w:top w:val="single" w:sz="4" w:space="0" w:color="BFBFBF" w:themeColor="background1" w:themeShade="BF"/>
              <w:bottom w:val="single" w:sz="4" w:space="0" w:color="BFBFBF" w:themeColor="background1" w:themeShade="BF"/>
            </w:tcBorders>
            <w:tcMar>
              <w:top w:w="28" w:type="dxa"/>
            </w:tcMar>
          </w:tcPr>
          <w:p w14:paraId="2F760D14"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Costs of sales</w:t>
            </w:r>
          </w:p>
        </w:tc>
        <w:tc>
          <w:tcPr>
            <w:tcW w:w="718" w:type="dxa"/>
            <w:tcBorders>
              <w:top w:val="single" w:sz="4" w:space="0" w:color="BFBFBF" w:themeColor="background1" w:themeShade="BF"/>
              <w:bottom w:val="single" w:sz="4" w:space="0" w:color="BFBFBF" w:themeColor="background1" w:themeShade="BF"/>
            </w:tcBorders>
            <w:tcMar>
              <w:top w:w="28" w:type="dxa"/>
            </w:tcMar>
          </w:tcPr>
          <w:p w14:paraId="5EE09566" w14:textId="7777777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7</w:t>
            </w:r>
          </w:p>
        </w:tc>
        <w:tc>
          <w:tcPr>
            <w:tcW w:w="1596"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68D061CA" w14:textId="67849AD9"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F1683A" w:rsidRPr="00A96D90">
              <w:rPr>
                <w:rFonts w:asciiTheme="minorHAnsi" w:hAnsiTheme="minorHAnsi" w:cstheme="minorHAnsi"/>
                <w:b/>
                <w:color w:val="59595B"/>
                <w:sz w:val="20"/>
                <w:szCs w:val="20"/>
                <w:lang w:val="en-GB"/>
              </w:rPr>
              <w:t>3,657</w:t>
            </w:r>
            <w:r w:rsidRPr="00A96D90">
              <w:rPr>
                <w:rFonts w:asciiTheme="minorHAnsi" w:hAnsiTheme="minorHAnsi" w:cstheme="minorHAnsi"/>
                <w:b/>
                <w:color w:val="59595B"/>
                <w:sz w:val="20"/>
                <w:szCs w:val="20"/>
                <w:lang w:val="en-GB"/>
              </w:rPr>
              <w:t>)</w:t>
            </w:r>
          </w:p>
        </w:tc>
        <w:tc>
          <w:tcPr>
            <w:tcW w:w="1551" w:type="dxa"/>
            <w:tcBorders>
              <w:top w:val="single" w:sz="4" w:space="0" w:color="BFBFBF" w:themeColor="background1" w:themeShade="BF"/>
              <w:bottom w:val="single" w:sz="4" w:space="0" w:color="BFBFBF" w:themeColor="background1" w:themeShade="BF"/>
            </w:tcBorders>
            <w:tcMar>
              <w:top w:w="28" w:type="dxa"/>
            </w:tcMar>
          </w:tcPr>
          <w:p w14:paraId="1D446644" w14:textId="1A96A380" w:rsidR="00E64F9D" w:rsidRPr="00A96D90" w:rsidRDefault="00A90BD3"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(2,004</w:t>
            </w:r>
            <w:r w:rsidR="00E64F9D" w:rsidRPr="00A96D90">
              <w:rPr>
                <w:rFonts w:asciiTheme="minorHAnsi" w:hAnsiTheme="minorHAnsi" w:cstheme="minorHAnsi"/>
                <w:b/>
                <w:color w:val="59595B"/>
                <w:sz w:val="20"/>
                <w:szCs w:val="20"/>
                <w:lang w:val="en-GB"/>
              </w:rPr>
              <w:t>)</w:t>
            </w:r>
          </w:p>
        </w:tc>
      </w:tr>
      <w:tr w:rsidR="00B55A4C" w:rsidRPr="00A96D90" w14:paraId="3174C271" w14:textId="77777777" w:rsidTr="00F833F8">
        <w:trPr>
          <w:trHeight w:val="144"/>
          <w:jc w:val="center"/>
        </w:trPr>
        <w:tc>
          <w:tcPr>
            <w:tcW w:w="5130" w:type="dxa"/>
            <w:tcBorders>
              <w:bottom w:val="single" w:sz="4" w:space="0" w:color="BFBFBF" w:themeColor="background1" w:themeShade="BF"/>
            </w:tcBorders>
            <w:tcMar>
              <w:top w:w="28" w:type="dxa"/>
            </w:tcMar>
          </w:tcPr>
          <w:p w14:paraId="6CF977F9" w14:textId="77777777" w:rsidR="00E64F9D" w:rsidRPr="00A96D90" w:rsidRDefault="00E64F9D" w:rsidP="003426AC">
            <w:pPr>
              <w:rPr>
                <w:rFonts w:asciiTheme="minorHAnsi" w:hAnsiTheme="minorHAnsi" w:cstheme="minorHAnsi"/>
                <w:b/>
                <w:color w:val="59595B"/>
                <w:sz w:val="20"/>
                <w:szCs w:val="20"/>
                <w:lang w:val="en-GB"/>
              </w:rPr>
            </w:pPr>
          </w:p>
        </w:tc>
        <w:tc>
          <w:tcPr>
            <w:tcW w:w="718" w:type="dxa"/>
            <w:tcBorders>
              <w:bottom w:val="single" w:sz="4" w:space="0" w:color="BFBFBF" w:themeColor="background1" w:themeShade="BF"/>
            </w:tcBorders>
            <w:tcMar>
              <w:top w:w="28" w:type="dxa"/>
            </w:tcMar>
          </w:tcPr>
          <w:p w14:paraId="397C8BE3"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7A0F43D3"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36A9F6FB"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1FF8C2C4" w14:textId="77777777" w:rsidTr="00F833F8">
        <w:trPr>
          <w:trHeight w:val="144"/>
          <w:jc w:val="center"/>
        </w:trPr>
        <w:tc>
          <w:tcPr>
            <w:tcW w:w="5130" w:type="dxa"/>
            <w:tcBorders>
              <w:top w:val="single" w:sz="4" w:space="0" w:color="BFBFBF" w:themeColor="background1" w:themeShade="BF"/>
            </w:tcBorders>
            <w:tcMar>
              <w:top w:w="28" w:type="dxa"/>
            </w:tcMar>
          </w:tcPr>
          <w:p w14:paraId="675438EC"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Gross profit</w:t>
            </w:r>
          </w:p>
        </w:tc>
        <w:tc>
          <w:tcPr>
            <w:tcW w:w="718" w:type="dxa"/>
            <w:tcBorders>
              <w:top w:val="single" w:sz="4" w:space="0" w:color="BFBFBF" w:themeColor="background1" w:themeShade="BF"/>
            </w:tcBorders>
            <w:tcMar>
              <w:top w:w="28" w:type="dxa"/>
            </w:tcMar>
          </w:tcPr>
          <w:p w14:paraId="2518A7B4"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3DE6626F" w14:textId="6C0BDEA0" w:rsidR="00E64F9D" w:rsidRPr="00A96D90" w:rsidRDefault="00F1683A"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26,988</w:t>
            </w:r>
          </w:p>
        </w:tc>
        <w:tc>
          <w:tcPr>
            <w:tcW w:w="1551" w:type="dxa"/>
            <w:tcBorders>
              <w:top w:val="single" w:sz="4" w:space="0" w:color="BFBFBF" w:themeColor="background1" w:themeShade="BF"/>
            </w:tcBorders>
            <w:tcMar>
              <w:top w:w="28" w:type="dxa"/>
            </w:tcMar>
          </w:tcPr>
          <w:p w14:paraId="4A5AFF16" w14:textId="4FA484EC" w:rsidR="00E64F9D" w:rsidRPr="00A96D90" w:rsidRDefault="00A90BD3"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3,270</w:t>
            </w:r>
          </w:p>
        </w:tc>
      </w:tr>
      <w:tr w:rsidR="00B55A4C" w:rsidRPr="00A96D90" w14:paraId="579522C6" w14:textId="77777777" w:rsidTr="00F833F8">
        <w:trPr>
          <w:trHeight w:val="144"/>
          <w:jc w:val="center"/>
        </w:trPr>
        <w:tc>
          <w:tcPr>
            <w:tcW w:w="5130" w:type="dxa"/>
            <w:tcMar>
              <w:top w:w="28" w:type="dxa"/>
            </w:tcMar>
          </w:tcPr>
          <w:p w14:paraId="25548F87" w14:textId="77777777" w:rsidR="00E64F9D" w:rsidRPr="00A96D90" w:rsidRDefault="00E64F9D" w:rsidP="003426AC">
            <w:pPr>
              <w:rPr>
                <w:rFonts w:asciiTheme="minorHAnsi" w:hAnsiTheme="minorHAnsi" w:cstheme="minorHAnsi"/>
                <w:b/>
                <w:color w:val="59595B"/>
                <w:sz w:val="20"/>
                <w:szCs w:val="20"/>
                <w:lang w:val="en-GB"/>
              </w:rPr>
            </w:pPr>
          </w:p>
        </w:tc>
        <w:tc>
          <w:tcPr>
            <w:tcW w:w="718" w:type="dxa"/>
            <w:tcMar>
              <w:top w:w="28" w:type="dxa"/>
            </w:tcMar>
          </w:tcPr>
          <w:p w14:paraId="3812FBF8"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4B592F56"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Mar>
              <w:top w:w="28" w:type="dxa"/>
            </w:tcMar>
          </w:tcPr>
          <w:p w14:paraId="3779D2B4"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3A88AFB4" w14:textId="77777777" w:rsidTr="00F833F8">
        <w:trPr>
          <w:trHeight w:val="144"/>
          <w:jc w:val="center"/>
        </w:trPr>
        <w:tc>
          <w:tcPr>
            <w:tcW w:w="5130" w:type="dxa"/>
            <w:tcBorders>
              <w:bottom w:val="single" w:sz="4" w:space="0" w:color="BFBFBF" w:themeColor="background1" w:themeShade="BF"/>
            </w:tcBorders>
            <w:tcMar>
              <w:top w:w="28" w:type="dxa"/>
            </w:tcMar>
          </w:tcPr>
          <w:p w14:paraId="0F63E88A"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income</w:t>
            </w:r>
          </w:p>
        </w:tc>
        <w:tc>
          <w:tcPr>
            <w:tcW w:w="718" w:type="dxa"/>
            <w:tcBorders>
              <w:bottom w:val="single" w:sz="4" w:space="0" w:color="BFBFBF" w:themeColor="background1" w:themeShade="BF"/>
            </w:tcBorders>
            <w:tcMar>
              <w:top w:w="28" w:type="dxa"/>
            </w:tcMar>
          </w:tcPr>
          <w:p w14:paraId="06DCAB1C"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5A9D14C2" w14:textId="754F719B" w:rsidR="00E64F9D" w:rsidRPr="00A96D90" w:rsidRDefault="00F1683A"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167</w:t>
            </w:r>
          </w:p>
        </w:tc>
        <w:tc>
          <w:tcPr>
            <w:tcW w:w="1551" w:type="dxa"/>
            <w:tcBorders>
              <w:bottom w:val="single" w:sz="4" w:space="0" w:color="BFBFBF" w:themeColor="background1" w:themeShade="BF"/>
            </w:tcBorders>
            <w:tcMar>
              <w:top w:w="28" w:type="dxa"/>
            </w:tcMar>
          </w:tcPr>
          <w:p w14:paraId="57322A2C" w14:textId="1229A27A" w:rsidR="00E64F9D" w:rsidRPr="00A96D90" w:rsidRDefault="00A90BD3"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195</w:t>
            </w:r>
          </w:p>
        </w:tc>
      </w:tr>
      <w:tr w:rsidR="00B55A4C" w:rsidRPr="00A96D90" w14:paraId="306B037E" w14:textId="77777777" w:rsidTr="00F833F8">
        <w:trPr>
          <w:trHeight w:val="144"/>
          <w:jc w:val="center"/>
        </w:trPr>
        <w:tc>
          <w:tcPr>
            <w:tcW w:w="5130" w:type="dxa"/>
            <w:tcBorders>
              <w:bottom w:val="nil"/>
            </w:tcBorders>
            <w:tcMar>
              <w:top w:w="28" w:type="dxa"/>
            </w:tcMar>
          </w:tcPr>
          <w:p w14:paraId="28C95E70" w14:textId="77777777" w:rsidR="00E64F9D" w:rsidRPr="00A96D90" w:rsidRDefault="00E64F9D" w:rsidP="003426AC">
            <w:pPr>
              <w:rPr>
                <w:rFonts w:asciiTheme="minorHAnsi" w:hAnsiTheme="minorHAnsi" w:cstheme="minorHAnsi"/>
                <w:color w:val="59595B"/>
                <w:sz w:val="20"/>
                <w:szCs w:val="20"/>
                <w:lang w:val="en-GB"/>
              </w:rPr>
            </w:pPr>
          </w:p>
        </w:tc>
        <w:tc>
          <w:tcPr>
            <w:tcW w:w="718" w:type="dxa"/>
            <w:tcBorders>
              <w:bottom w:val="nil"/>
            </w:tcBorders>
            <w:tcMar>
              <w:top w:w="28" w:type="dxa"/>
            </w:tcMar>
          </w:tcPr>
          <w:p w14:paraId="5038C48E"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2CD95B92"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299ABDAB"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4FA6361E" w14:textId="77777777" w:rsidTr="00F833F8">
        <w:trPr>
          <w:trHeight w:val="144"/>
          <w:jc w:val="center"/>
        </w:trPr>
        <w:tc>
          <w:tcPr>
            <w:tcW w:w="5130" w:type="dxa"/>
            <w:tcBorders>
              <w:top w:val="nil"/>
              <w:bottom w:val="nil"/>
            </w:tcBorders>
            <w:tcMar>
              <w:top w:w="28" w:type="dxa"/>
            </w:tcMar>
          </w:tcPr>
          <w:p w14:paraId="1471BF5C"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Research and development</w:t>
            </w:r>
          </w:p>
        </w:tc>
        <w:tc>
          <w:tcPr>
            <w:tcW w:w="718" w:type="dxa"/>
            <w:tcBorders>
              <w:top w:val="nil"/>
              <w:bottom w:val="nil"/>
            </w:tcBorders>
            <w:tcMar>
              <w:top w:w="28" w:type="dxa"/>
            </w:tcMar>
          </w:tcPr>
          <w:p w14:paraId="6AC6E3F1"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nil"/>
            </w:tcBorders>
            <w:shd w:val="clear" w:color="auto" w:fill="F2F2F2" w:themeFill="background1" w:themeFillShade="F2"/>
            <w:tcMar>
              <w:top w:w="28" w:type="dxa"/>
            </w:tcMar>
          </w:tcPr>
          <w:p w14:paraId="6B23853E" w14:textId="7DC7D4CF"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Arial"/>
                <w:color w:val="59595B"/>
                <w:sz w:val="20"/>
                <w:szCs w:val="20"/>
                <w:lang w:val="en-GB"/>
              </w:rPr>
              <w:t>(</w:t>
            </w:r>
            <w:r w:rsidR="00F1683A" w:rsidRPr="00A96D90">
              <w:rPr>
                <w:rFonts w:asciiTheme="minorHAnsi" w:hAnsiTheme="minorHAnsi" w:cs="Arial"/>
                <w:color w:val="59595B"/>
                <w:sz w:val="20"/>
                <w:szCs w:val="20"/>
                <w:lang w:val="en-GB"/>
              </w:rPr>
              <w:t>9,154</w:t>
            </w:r>
            <w:r w:rsidRPr="00A96D90">
              <w:rPr>
                <w:rFonts w:asciiTheme="minorHAnsi" w:hAnsiTheme="minorHAnsi" w:cs="Arial"/>
                <w:color w:val="59595B"/>
                <w:sz w:val="20"/>
                <w:szCs w:val="20"/>
                <w:lang w:val="en-GB"/>
              </w:rPr>
              <w:t>)</w:t>
            </w:r>
          </w:p>
        </w:tc>
        <w:tc>
          <w:tcPr>
            <w:tcW w:w="1551" w:type="dxa"/>
            <w:tcBorders>
              <w:top w:val="nil"/>
              <w:bottom w:val="nil"/>
            </w:tcBorders>
            <w:tcMar>
              <w:top w:w="28" w:type="dxa"/>
            </w:tcMar>
          </w:tcPr>
          <w:p w14:paraId="4CBB7C8E" w14:textId="3C4D3ABE"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A90BD3" w:rsidRPr="00A96D90">
              <w:rPr>
                <w:rFonts w:asciiTheme="minorHAnsi" w:hAnsiTheme="minorHAnsi" w:cstheme="minorHAnsi"/>
                <w:color w:val="59595B"/>
                <w:sz w:val="20"/>
                <w:szCs w:val="20"/>
                <w:lang w:val="en-GB"/>
              </w:rPr>
              <w:t>7,029</w:t>
            </w:r>
            <w:r w:rsidRPr="00A96D90">
              <w:rPr>
                <w:rFonts w:asciiTheme="minorHAnsi" w:hAnsiTheme="minorHAnsi" w:cstheme="minorHAnsi"/>
                <w:color w:val="59595B"/>
                <w:sz w:val="20"/>
                <w:szCs w:val="20"/>
                <w:lang w:val="en-GB"/>
              </w:rPr>
              <w:t>)</w:t>
            </w:r>
          </w:p>
        </w:tc>
      </w:tr>
      <w:tr w:rsidR="00B55A4C" w:rsidRPr="00A96D90" w14:paraId="43E14E65" w14:textId="77777777" w:rsidTr="00F833F8">
        <w:trPr>
          <w:trHeight w:val="144"/>
          <w:jc w:val="center"/>
        </w:trPr>
        <w:tc>
          <w:tcPr>
            <w:tcW w:w="5130" w:type="dxa"/>
            <w:tcBorders>
              <w:top w:val="nil"/>
              <w:bottom w:val="single" w:sz="4" w:space="0" w:color="BFBFBF" w:themeColor="background1" w:themeShade="BF"/>
            </w:tcBorders>
            <w:tcMar>
              <w:top w:w="28" w:type="dxa"/>
            </w:tcMar>
          </w:tcPr>
          <w:p w14:paraId="3676F145"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General and administrative</w:t>
            </w:r>
          </w:p>
          <w:p w14:paraId="0C12ABC7"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Marketing and sales</w:t>
            </w:r>
          </w:p>
        </w:tc>
        <w:tc>
          <w:tcPr>
            <w:tcW w:w="718" w:type="dxa"/>
            <w:tcBorders>
              <w:top w:val="nil"/>
              <w:bottom w:val="single" w:sz="4" w:space="0" w:color="BFBFBF" w:themeColor="background1" w:themeShade="BF"/>
            </w:tcBorders>
            <w:tcMar>
              <w:top w:w="28" w:type="dxa"/>
            </w:tcMar>
          </w:tcPr>
          <w:p w14:paraId="43549E40"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2047D67E" w14:textId="111B40C6" w:rsidR="00E64F9D" w:rsidRPr="00A96D90" w:rsidRDefault="00E64F9D" w:rsidP="003426AC">
            <w:pPr>
              <w:jc w:val="right"/>
              <w:rPr>
                <w:rFonts w:asciiTheme="minorHAnsi" w:hAnsiTheme="minorHAnsi" w:cs="Arial"/>
                <w:color w:val="59595B"/>
                <w:sz w:val="20"/>
                <w:szCs w:val="20"/>
                <w:lang w:val="en-GB"/>
              </w:rPr>
            </w:pPr>
            <w:r w:rsidRPr="00A96D90">
              <w:rPr>
                <w:rFonts w:asciiTheme="minorHAnsi" w:hAnsiTheme="minorHAnsi" w:cs="Arial"/>
                <w:color w:val="59595B"/>
                <w:sz w:val="20"/>
                <w:szCs w:val="20"/>
                <w:lang w:val="en-GB"/>
              </w:rPr>
              <w:t>(</w:t>
            </w:r>
            <w:r w:rsidR="00F1683A" w:rsidRPr="00A96D90">
              <w:rPr>
                <w:rFonts w:asciiTheme="minorHAnsi" w:hAnsiTheme="minorHAnsi" w:cs="Arial"/>
                <w:color w:val="59595B"/>
                <w:sz w:val="20"/>
                <w:szCs w:val="20"/>
                <w:lang w:val="en-GB"/>
              </w:rPr>
              <w:t>2,628</w:t>
            </w:r>
            <w:r w:rsidRPr="00A96D90">
              <w:rPr>
                <w:rFonts w:asciiTheme="minorHAnsi" w:hAnsiTheme="minorHAnsi" w:cs="Arial"/>
                <w:color w:val="59595B"/>
                <w:sz w:val="20"/>
                <w:szCs w:val="20"/>
                <w:lang w:val="en-GB"/>
              </w:rPr>
              <w:t>)</w:t>
            </w:r>
          </w:p>
          <w:p w14:paraId="7EFC600F" w14:textId="1919ABDF"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Arial"/>
                <w:color w:val="59595B"/>
                <w:sz w:val="20"/>
                <w:szCs w:val="20"/>
                <w:lang w:val="en-GB"/>
              </w:rPr>
              <w:t>(</w:t>
            </w:r>
            <w:r w:rsidR="00F1683A" w:rsidRPr="00A96D90">
              <w:rPr>
                <w:rFonts w:asciiTheme="minorHAnsi" w:hAnsiTheme="minorHAnsi" w:cs="Arial"/>
                <w:color w:val="59595B"/>
                <w:sz w:val="20"/>
                <w:szCs w:val="20"/>
                <w:lang w:val="en-GB"/>
              </w:rPr>
              <w:t>11,140</w:t>
            </w:r>
            <w:r w:rsidRPr="00A96D90">
              <w:rPr>
                <w:rFonts w:asciiTheme="minorHAnsi" w:hAnsiTheme="minorHAnsi" w:cs="Arial"/>
                <w:color w:val="59595B"/>
                <w:sz w:val="20"/>
                <w:szCs w:val="20"/>
                <w:lang w:val="en-GB"/>
              </w:rPr>
              <w:t>)</w:t>
            </w:r>
          </w:p>
        </w:tc>
        <w:tc>
          <w:tcPr>
            <w:tcW w:w="1551" w:type="dxa"/>
            <w:tcBorders>
              <w:top w:val="nil"/>
              <w:bottom w:val="single" w:sz="4" w:space="0" w:color="BFBFBF" w:themeColor="background1" w:themeShade="BF"/>
            </w:tcBorders>
            <w:tcMar>
              <w:top w:w="28" w:type="dxa"/>
            </w:tcMar>
          </w:tcPr>
          <w:p w14:paraId="32FE19CF" w14:textId="2D82F01B"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A90BD3" w:rsidRPr="00A96D90">
              <w:rPr>
                <w:rFonts w:asciiTheme="minorHAnsi" w:hAnsiTheme="minorHAnsi" w:cstheme="minorHAnsi"/>
                <w:color w:val="59595B"/>
                <w:sz w:val="20"/>
                <w:szCs w:val="20"/>
                <w:lang w:val="en-GB"/>
              </w:rPr>
              <w:t>2,049</w:t>
            </w:r>
            <w:r w:rsidRPr="00A96D90">
              <w:rPr>
                <w:rFonts w:asciiTheme="minorHAnsi" w:hAnsiTheme="minorHAnsi" w:cstheme="minorHAnsi"/>
                <w:color w:val="59595B"/>
                <w:sz w:val="20"/>
                <w:szCs w:val="20"/>
                <w:lang w:val="en-GB"/>
              </w:rPr>
              <w:t>)</w:t>
            </w:r>
          </w:p>
          <w:p w14:paraId="5930E580" w14:textId="42253840"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A90BD3" w:rsidRPr="00A96D90">
              <w:rPr>
                <w:rFonts w:asciiTheme="minorHAnsi" w:hAnsiTheme="minorHAnsi" w:cstheme="minorHAnsi"/>
                <w:color w:val="59595B"/>
                <w:sz w:val="20"/>
                <w:szCs w:val="20"/>
                <w:lang w:val="en-GB"/>
              </w:rPr>
              <w:t>598</w:t>
            </w:r>
            <w:r w:rsidRPr="00A96D90">
              <w:rPr>
                <w:rFonts w:asciiTheme="minorHAnsi" w:hAnsiTheme="minorHAnsi" w:cstheme="minorHAnsi"/>
                <w:color w:val="59595B"/>
                <w:sz w:val="20"/>
                <w:szCs w:val="20"/>
                <w:lang w:val="en-GB"/>
              </w:rPr>
              <w:t>)</w:t>
            </w:r>
          </w:p>
        </w:tc>
      </w:tr>
      <w:tr w:rsidR="00B55A4C" w:rsidRPr="00A96D90" w14:paraId="235E3F21" w14:textId="77777777" w:rsidTr="00F833F8">
        <w:trPr>
          <w:trHeight w:val="144"/>
          <w:jc w:val="center"/>
        </w:trPr>
        <w:tc>
          <w:tcPr>
            <w:tcW w:w="5130" w:type="dxa"/>
            <w:tcBorders>
              <w:top w:val="single" w:sz="4" w:space="0" w:color="BFBFBF" w:themeColor="background1" w:themeShade="BF"/>
            </w:tcBorders>
            <w:tcMar>
              <w:top w:w="28" w:type="dxa"/>
            </w:tcMar>
          </w:tcPr>
          <w:p w14:paraId="35894BF0"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Costs</w:t>
            </w:r>
          </w:p>
        </w:tc>
        <w:tc>
          <w:tcPr>
            <w:tcW w:w="718" w:type="dxa"/>
            <w:tcBorders>
              <w:top w:val="single" w:sz="4" w:space="0" w:color="BFBFBF" w:themeColor="background1" w:themeShade="BF"/>
            </w:tcBorders>
            <w:tcMar>
              <w:top w:w="28" w:type="dxa"/>
            </w:tcMar>
          </w:tcPr>
          <w:p w14:paraId="6F330875" w14:textId="7777777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Arial"/>
                <w:bCs/>
                <w:color w:val="59595B"/>
                <w:sz w:val="20"/>
                <w:szCs w:val="20"/>
                <w:lang w:val="en-GB"/>
              </w:rPr>
              <w:t>7</w:t>
            </w:r>
          </w:p>
        </w:tc>
        <w:tc>
          <w:tcPr>
            <w:tcW w:w="1596" w:type="dxa"/>
            <w:tcBorders>
              <w:top w:val="single" w:sz="4" w:space="0" w:color="BFBFBF" w:themeColor="background1" w:themeShade="BF"/>
            </w:tcBorders>
            <w:shd w:val="clear" w:color="auto" w:fill="F2F2F2" w:themeFill="background1" w:themeFillShade="F2"/>
            <w:tcMar>
              <w:top w:w="28" w:type="dxa"/>
            </w:tcMar>
          </w:tcPr>
          <w:p w14:paraId="13D85B48" w14:textId="2F08CF6D"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F1683A" w:rsidRPr="00A96D90">
              <w:rPr>
                <w:rFonts w:asciiTheme="minorHAnsi" w:hAnsiTheme="minorHAnsi" w:cstheme="minorHAnsi"/>
                <w:b/>
                <w:color w:val="59595B"/>
                <w:sz w:val="20"/>
                <w:szCs w:val="20"/>
                <w:lang w:val="en-GB"/>
              </w:rPr>
              <w:t>22,922</w:t>
            </w:r>
            <w:r w:rsidRPr="00A96D90">
              <w:rPr>
                <w:rFonts w:asciiTheme="minorHAnsi" w:hAnsiTheme="minorHAnsi" w:cstheme="minorHAnsi"/>
                <w:b/>
                <w:color w:val="59595B"/>
                <w:sz w:val="20"/>
                <w:szCs w:val="20"/>
                <w:lang w:val="en-GB"/>
              </w:rPr>
              <w:t>)</w:t>
            </w:r>
          </w:p>
        </w:tc>
        <w:tc>
          <w:tcPr>
            <w:tcW w:w="1551" w:type="dxa"/>
            <w:tcBorders>
              <w:top w:val="single" w:sz="4" w:space="0" w:color="BFBFBF" w:themeColor="background1" w:themeShade="BF"/>
            </w:tcBorders>
            <w:tcMar>
              <w:top w:w="28" w:type="dxa"/>
            </w:tcMar>
          </w:tcPr>
          <w:p w14:paraId="6E32867C" w14:textId="23EFA940"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9,676</w:t>
            </w:r>
            <w:r w:rsidRPr="00A96D90">
              <w:rPr>
                <w:rFonts w:asciiTheme="minorHAnsi" w:hAnsiTheme="minorHAnsi" w:cstheme="minorHAnsi"/>
                <w:b/>
                <w:color w:val="59595B"/>
                <w:sz w:val="20"/>
                <w:szCs w:val="20"/>
                <w:lang w:val="en-GB"/>
              </w:rPr>
              <w:t>)</w:t>
            </w:r>
          </w:p>
        </w:tc>
      </w:tr>
      <w:tr w:rsidR="00B55A4C" w:rsidRPr="00A96D90" w14:paraId="191A8B0E" w14:textId="77777777" w:rsidTr="00F833F8">
        <w:trPr>
          <w:trHeight w:val="144"/>
          <w:jc w:val="center"/>
        </w:trPr>
        <w:tc>
          <w:tcPr>
            <w:tcW w:w="5130" w:type="dxa"/>
            <w:tcMar>
              <w:top w:w="28" w:type="dxa"/>
            </w:tcMar>
          </w:tcPr>
          <w:p w14:paraId="71A8A708" w14:textId="77777777" w:rsidR="00E64F9D" w:rsidRPr="00A96D90" w:rsidRDefault="00E64F9D" w:rsidP="003426AC">
            <w:pPr>
              <w:rPr>
                <w:rFonts w:asciiTheme="minorHAnsi" w:hAnsiTheme="minorHAnsi" w:cstheme="minorHAnsi"/>
                <w:b/>
                <w:color w:val="59595B"/>
                <w:sz w:val="20"/>
                <w:szCs w:val="20"/>
                <w:lang w:val="en-GB"/>
              </w:rPr>
            </w:pPr>
          </w:p>
        </w:tc>
        <w:tc>
          <w:tcPr>
            <w:tcW w:w="718" w:type="dxa"/>
            <w:tcMar>
              <w:top w:w="28" w:type="dxa"/>
            </w:tcMar>
          </w:tcPr>
          <w:p w14:paraId="6E1CDA23"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63E950D9"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Mar>
              <w:top w:w="28" w:type="dxa"/>
            </w:tcMar>
          </w:tcPr>
          <w:p w14:paraId="08CF7079"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2B4E9AC0" w14:textId="77777777" w:rsidTr="00F833F8">
        <w:trPr>
          <w:trHeight w:val="144"/>
          <w:jc w:val="center"/>
        </w:trPr>
        <w:tc>
          <w:tcPr>
            <w:tcW w:w="5130" w:type="dxa"/>
            <w:tcBorders>
              <w:bottom w:val="single" w:sz="4" w:space="0" w:color="BFBFBF" w:themeColor="background1" w:themeShade="BF"/>
            </w:tcBorders>
            <w:tcMar>
              <w:top w:w="28" w:type="dxa"/>
            </w:tcMar>
          </w:tcPr>
          <w:p w14:paraId="2A555B4C"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Operating result</w:t>
            </w:r>
          </w:p>
        </w:tc>
        <w:tc>
          <w:tcPr>
            <w:tcW w:w="718" w:type="dxa"/>
            <w:tcBorders>
              <w:bottom w:val="single" w:sz="4" w:space="0" w:color="BFBFBF" w:themeColor="background1" w:themeShade="BF"/>
            </w:tcBorders>
            <w:tcMar>
              <w:top w:w="28" w:type="dxa"/>
            </w:tcMar>
          </w:tcPr>
          <w:p w14:paraId="279C49D4"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31C90DFA" w14:textId="329427BA" w:rsidR="00E64F9D" w:rsidRPr="00A96D90" w:rsidRDefault="00F1683A"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4,233</w:t>
            </w:r>
          </w:p>
        </w:tc>
        <w:tc>
          <w:tcPr>
            <w:tcW w:w="1551" w:type="dxa"/>
            <w:tcBorders>
              <w:bottom w:val="single" w:sz="4" w:space="0" w:color="BFBFBF" w:themeColor="background1" w:themeShade="BF"/>
            </w:tcBorders>
            <w:tcMar>
              <w:top w:w="28" w:type="dxa"/>
            </w:tcMar>
          </w:tcPr>
          <w:p w14:paraId="0929FFFF" w14:textId="17682896"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(6,</w:t>
            </w:r>
            <w:r w:rsidR="00A90BD3" w:rsidRPr="00A96D90">
              <w:rPr>
                <w:rFonts w:asciiTheme="minorHAnsi" w:hAnsiTheme="minorHAnsi" w:cstheme="minorHAnsi"/>
                <w:b/>
                <w:color w:val="59595B"/>
                <w:sz w:val="20"/>
                <w:szCs w:val="20"/>
                <w:lang w:val="en-GB"/>
              </w:rPr>
              <w:t>211</w:t>
            </w:r>
            <w:r w:rsidRPr="00A96D90">
              <w:rPr>
                <w:rFonts w:asciiTheme="minorHAnsi" w:hAnsiTheme="minorHAnsi" w:cstheme="minorHAnsi"/>
                <w:b/>
                <w:color w:val="59595B"/>
                <w:sz w:val="20"/>
                <w:szCs w:val="20"/>
                <w:lang w:val="en-GB"/>
              </w:rPr>
              <w:t>)</w:t>
            </w:r>
          </w:p>
        </w:tc>
      </w:tr>
      <w:tr w:rsidR="00B55A4C" w:rsidRPr="00A96D90" w14:paraId="65D8B1F9" w14:textId="77777777" w:rsidTr="00F833F8">
        <w:trPr>
          <w:trHeight w:val="144"/>
          <w:jc w:val="center"/>
        </w:trPr>
        <w:tc>
          <w:tcPr>
            <w:tcW w:w="5130" w:type="dxa"/>
            <w:tcBorders>
              <w:bottom w:val="nil"/>
            </w:tcBorders>
            <w:tcMar>
              <w:top w:w="28" w:type="dxa"/>
            </w:tcMar>
          </w:tcPr>
          <w:p w14:paraId="01938BAC" w14:textId="77777777" w:rsidR="00E64F9D" w:rsidRPr="00A96D90" w:rsidRDefault="00E64F9D" w:rsidP="003426AC">
            <w:pPr>
              <w:rPr>
                <w:rFonts w:asciiTheme="minorHAnsi" w:hAnsiTheme="minorHAnsi" w:cs="Arial"/>
                <w:b/>
                <w:bCs/>
                <w:color w:val="59595B"/>
                <w:sz w:val="20"/>
                <w:szCs w:val="20"/>
                <w:lang w:val="en-GB"/>
              </w:rPr>
            </w:pPr>
          </w:p>
        </w:tc>
        <w:tc>
          <w:tcPr>
            <w:tcW w:w="718" w:type="dxa"/>
            <w:tcBorders>
              <w:bottom w:val="nil"/>
            </w:tcBorders>
            <w:tcMar>
              <w:top w:w="28" w:type="dxa"/>
            </w:tcMar>
          </w:tcPr>
          <w:p w14:paraId="146209BF"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101CAA13"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bottom w:val="nil"/>
            </w:tcBorders>
            <w:tcMar>
              <w:top w:w="28" w:type="dxa"/>
            </w:tcMar>
          </w:tcPr>
          <w:p w14:paraId="36B55708"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5C2D859D" w14:textId="77777777" w:rsidTr="00F833F8">
        <w:trPr>
          <w:trHeight w:val="144"/>
          <w:jc w:val="center"/>
        </w:trPr>
        <w:tc>
          <w:tcPr>
            <w:tcW w:w="5130" w:type="dxa"/>
            <w:tcBorders>
              <w:top w:val="nil"/>
              <w:bottom w:val="nil"/>
            </w:tcBorders>
            <w:tcMar>
              <w:top w:w="28" w:type="dxa"/>
            </w:tcMar>
          </w:tcPr>
          <w:p w14:paraId="45307A5E"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Arial"/>
                <w:bCs/>
                <w:color w:val="59595B"/>
                <w:sz w:val="20"/>
                <w:szCs w:val="20"/>
                <w:lang w:val="en-GB"/>
              </w:rPr>
              <w:t>Fair value gain/(loss) on revaluation derivatives</w:t>
            </w:r>
          </w:p>
        </w:tc>
        <w:tc>
          <w:tcPr>
            <w:tcW w:w="718" w:type="dxa"/>
            <w:tcBorders>
              <w:top w:val="nil"/>
              <w:bottom w:val="nil"/>
            </w:tcBorders>
            <w:tcMar>
              <w:top w:w="28" w:type="dxa"/>
            </w:tcMar>
          </w:tcPr>
          <w:p w14:paraId="6FD34AFA"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nil"/>
            </w:tcBorders>
            <w:shd w:val="clear" w:color="auto" w:fill="F2F2F2" w:themeFill="background1" w:themeFillShade="F2"/>
            <w:tcMar>
              <w:top w:w="28" w:type="dxa"/>
            </w:tcMar>
          </w:tcPr>
          <w:p w14:paraId="17F04911" w14:textId="24FA7227" w:rsidR="00E64F9D" w:rsidRPr="00A96D90" w:rsidRDefault="00FA55F1"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F1683A" w:rsidRPr="00A96D90">
              <w:rPr>
                <w:rFonts w:asciiTheme="minorHAnsi" w:hAnsiTheme="minorHAnsi" w:cstheme="minorHAnsi"/>
                <w:color w:val="59595B"/>
                <w:sz w:val="20"/>
                <w:szCs w:val="20"/>
                <w:lang w:val="en-GB"/>
              </w:rPr>
              <w:t>1,225</w:t>
            </w:r>
            <w:r w:rsidRPr="00A96D90">
              <w:rPr>
                <w:rFonts w:asciiTheme="minorHAnsi" w:hAnsiTheme="minorHAnsi" w:cstheme="minorHAnsi"/>
                <w:color w:val="59595B"/>
                <w:sz w:val="20"/>
                <w:szCs w:val="20"/>
                <w:lang w:val="en-GB"/>
              </w:rPr>
              <w:t>)</w:t>
            </w:r>
          </w:p>
        </w:tc>
        <w:tc>
          <w:tcPr>
            <w:tcW w:w="1551" w:type="dxa"/>
            <w:tcBorders>
              <w:top w:val="nil"/>
              <w:bottom w:val="nil"/>
            </w:tcBorders>
            <w:tcMar>
              <w:top w:w="28" w:type="dxa"/>
            </w:tcMar>
          </w:tcPr>
          <w:p w14:paraId="782FC88B" w14:textId="62D49603" w:rsidR="00E64F9D" w:rsidRPr="00A96D90" w:rsidRDefault="00A90BD3"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455</w:t>
            </w:r>
          </w:p>
        </w:tc>
      </w:tr>
      <w:tr w:rsidR="00B55A4C" w:rsidRPr="00A96D90" w14:paraId="0480A354" w14:textId="77777777" w:rsidTr="00F833F8">
        <w:trPr>
          <w:trHeight w:val="144"/>
          <w:jc w:val="center"/>
        </w:trPr>
        <w:tc>
          <w:tcPr>
            <w:tcW w:w="5130" w:type="dxa"/>
            <w:tcBorders>
              <w:top w:val="nil"/>
              <w:bottom w:val="single" w:sz="4" w:space="0" w:color="BFBFBF" w:themeColor="background1" w:themeShade="BF"/>
            </w:tcBorders>
            <w:tcMar>
              <w:top w:w="28" w:type="dxa"/>
            </w:tcMar>
          </w:tcPr>
          <w:p w14:paraId="596BC175"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Arial"/>
                <w:bCs/>
                <w:color w:val="59595B"/>
                <w:sz w:val="20"/>
                <w:szCs w:val="20"/>
                <w:lang w:val="en-GB"/>
              </w:rPr>
              <w:t>Other financial income and expenses</w:t>
            </w:r>
          </w:p>
        </w:tc>
        <w:tc>
          <w:tcPr>
            <w:tcW w:w="718" w:type="dxa"/>
            <w:tcBorders>
              <w:top w:val="nil"/>
              <w:bottom w:val="single" w:sz="4" w:space="0" w:color="BFBFBF" w:themeColor="background1" w:themeShade="BF"/>
            </w:tcBorders>
            <w:tcMar>
              <w:top w:w="28" w:type="dxa"/>
            </w:tcMar>
          </w:tcPr>
          <w:p w14:paraId="15E99526" w14:textId="1EE3478E" w:rsidR="00E64F9D" w:rsidRPr="00A96D90" w:rsidRDefault="009A4A0B"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8</w:t>
            </w: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3D0B9F02" w14:textId="7B53250A" w:rsidR="00E64F9D" w:rsidRPr="00A96D90" w:rsidRDefault="00FA55F1"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4B30BE" w:rsidRPr="00A96D90">
              <w:rPr>
                <w:rFonts w:asciiTheme="minorHAnsi" w:hAnsiTheme="minorHAnsi" w:cstheme="minorHAnsi"/>
                <w:color w:val="59595B"/>
                <w:sz w:val="20"/>
                <w:szCs w:val="20"/>
                <w:lang w:val="en-GB"/>
              </w:rPr>
              <w:t>33,226</w:t>
            </w:r>
            <w:r w:rsidRPr="00A96D90">
              <w:rPr>
                <w:rFonts w:asciiTheme="minorHAnsi" w:hAnsiTheme="minorHAnsi" w:cstheme="minorHAnsi"/>
                <w:color w:val="59595B"/>
                <w:sz w:val="20"/>
                <w:szCs w:val="20"/>
                <w:lang w:val="en-GB"/>
              </w:rPr>
              <w:t>)</w:t>
            </w:r>
          </w:p>
        </w:tc>
        <w:tc>
          <w:tcPr>
            <w:tcW w:w="1551" w:type="dxa"/>
            <w:tcBorders>
              <w:top w:val="nil"/>
              <w:bottom w:val="single" w:sz="4" w:space="0" w:color="BFBFBF" w:themeColor="background1" w:themeShade="BF"/>
            </w:tcBorders>
            <w:tcMar>
              <w:top w:w="28" w:type="dxa"/>
            </w:tcMar>
          </w:tcPr>
          <w:p w14:paraId="01DFDF28" w14:textId="47EB5C44" w:rsidR="00E64F9D" w:rsidRPr="00A96D90" w:rsidRDefault="00A90BD3"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(978)</w:t>
            </w:r>
          </w:p>
        </w:tc>
      </w:tr>
      <w:tr w:rsidR="00B55A4C" w:rsidRPr="00A96D90" w14:paraId="53478E73" w14:textId="77777777" w:rsidTr="00F833F8">
        <w:trPr>
          <w:trHeight w:val="144"/>
          <w:jc w:val="center"/>
        </w:trPr>
        <w:tc>
          <w:tcPr>
            <w:tcW w:w="5130" w:type="dxa"/>
            <w:tcBorders>
              <w:top w:val="single" w:sz="4" w:space="0" w:color="BFBFBF" w:themeColor="background1" w:themeShade="BF"/>
            </w:tcBorders>
            <w:tcMar>
              <w:top w:w="28" w:type="dxa"/>
            </w:tcMar>
          </w:tcPr>
          <w:p w14:paraId="56067DEC"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Financial income and expenses</w:t>
            </w:r>
          </w:p>
        </w:tc>
        <w:tc>
          <w:tcPr>
            <w:tcW w:w="718" w:type="dxa"/>
            <w:tcBorders>
              <w:top w:val="single" w:sz="4" w:space="0" w:color="BFBFBF" w:themeColor="background1" w:themeShade="BF"/>
            </w:tcBorders>
            <w:tcMar>
              <w:top w:w="28" w:type="dxa"/>
            </w:tcMar>
          </w:tcPr>
          <w:p w14:paraId="52199E3E"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3BD88112" w14:textId="3C57A12F"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FA55F1" w:rsidRPr="00A96D90">
              <w:rPr>
                <w:rFonts w:asciiTheme="minorHAnsi" w:hAnsiTheme="minorHAnsi" w:cstheme="minorHAnsi"/>
                <w:b/>
                <w:color w:val="59595B"/>
                <w:sz w:val="20"/>
                <w:szCs w:val="20"/>
                <w:lang w:val="en-GB"/>
              </w:rPr>
              <w:t>3</w:t>
            </w:r>
            <w:r w:rsidR="004B30BE" w:rsidRPr="00A96D90">
              <w:rPr>
                <w:rFonts w:asciiTheme="minorHAnsi" w:hAnsiTheme="minorHAnsi" w:cstheme="minorHAnsi"/>
                <w:b/>
                <w:color w:val="59595B"/>
                <w:sz w:val="20"/>
                <w:szCs w:val="20"/>
                <w:lang w:val="en-GB"/>
              </w:rPr>
              <w:t>4,451</w:t>
            </w:r>
            <w:r w:rsidRPr="00A96D90">
              <w:rPr>
                <w:rFonts w:asciiTheme="minorHAnsi" w:hAnsiTheme="minorHAnsi" w:cstheme="minorHAnsi"/>
                <w:b/>
                <w:color w:val="59595B"/>
                <w:sz w:val="20"/>
                <w:szCs w:val="20"/>
                <w:lang w:val="en-GB"/>
              </w:rPr>
              <w:t>)</w:t>
            </w:r>
          </w:p>
        </w:tc>
        <w:tc>
          <w:tcPr>
            <w:tcW w:w="1551" w:type="dxa"/>
            <w:tcBorders>
              <w:top w:val="single" w:sz="4" w:space="0" w:color="BFBFBF" w:themeColor="background1" w:themeShade="BF"/>
            </w:tcBorders>
            <w:tcMar>
              <w:top w:w="28" w:type="dxa"/>
            </w:tcMar>
          </w:tcPr>
          <w:p w14:paraId="7BDC737D" w14:textId="4110B040" w:rsidR="00E64F9D" w:rsidRPr="00A96D90" w:rsidRDefault="00A90BD3"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(523)</w:t>
            </w:r>
          </w:p>
        </w:tc>
      </w:tr>
      <w:tr w:rsidR="00B55A4C" w:rsidRPr="00A96D90" w14:paraId="53EF4EF0" w14:textId="77777777" w:rsidTr="00F833F8">
        <w:trPr>
          <w:trHeight w:val="144"/>
          <w:jc w:val="center"/>
        </w:trPr>
        <w:tc>
          <w:tcPr>
            <w:tcW w:w="5130" w:type="dxa"/>
            <w:tcMar>
              <w:top w:w="28" w:type="dxa"/>
            </w:tcMar>
          </w:tcPr>
          <w:p w14:paraId="7B30BE58" w14:textId="77777777" w:rsidR="00E64F9D" w:rsidRPr="00A96D90" w:rsidRDefault="00E64F9D" w:rsidP="003426AC">
            <w:pPr>
              <w:rPr>
                <w:rFonts w:asciiTheme="minorHAnsi" w:hAnsiTheme="minorHAnsi" w:cstheme="minorHAnsi"/>
                <w:b/>
                <w:color w:val="59595B"/>
                <w:sz w:val="20"/>
                <w:szCs w:val="20"/>
                <w:lang w:val="en-GB"/>
              </w:rPr>
            </w:pPr>
          </w:p>
        </w:tc>
        <w:tc>
          <w:tcPr>
            <w:tcW w:w="718" w:type="dxa"/>
            <w:tcMar>
              <w:top w:w="28" w:type="dxa"/>
            </w:tcMar>
          </w:tcPr>
          <w:p w14:paraId="18033DBE"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4F645A98"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Mar>
              <w:top w:w="28" w:type="dxa"/>
            </w:tcMar>
          </w:tcPr>
          <w:p w14:paraId="57F45860"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03B7B6AF" w14:textId="77777777" w:rsidTr="00F833F8">
        <w:trPr>
          <w:trHeight w:val="144"/>
          <w:jc w:val="center"/>
        </w:trPr>
        <w:tc>
          <w:tcPr>
            <w:tcW w:w="5130" w:type="dxa"/>
            <w:tcBorders>
              <w:bottom w:val="single" w:sz="4" w:space="0" w:color="BFBFBF" w:themeColor="background1" w:themeShade="BF"/>
            </w:tcBorders>
            <w:tcMar>
              <w:top w:w="28" w:type="dxa"/>
            </w:tcMar>
          </w:tcPr>
          <w:p w14:paraId="1EB434E4"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Result before income tax</w:t>
            </w:r>
          </w:p>
        </w:tc>
        <w:tc>
          <w:tcPr>
            <w:tcW w:w="718" w:type="dxa"/>
            <w:tcBorders>
              <w:bottom w:val="single" w:sz="4" w:space="0" w:color="BFBFBF" w:themeColor="background1" w:themeShade="BF"/>
            </w:tcBorders>
            <w:tcMar>
              <w:top w:w="28" w:type="dxa"/>
            </w:tcMar>
          </w:tcPr>
          <w:p w14:paraId="025DD14B"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6432E224" w14:textId="67D32D5A"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4B30BE" w:rsidRPr="00A96D90">
              <w:rPr>
                <w:rFonts w:asciiTheme="minorHAnsi" w:hAnsiTheme="minorHAnsi" w:cstheme="minorHAnsi"/>
                <w:b/>
                <w:color w:val="59595B"/>
                <w:sz w:val="20"/>
                <w:szCs w:val="20"/>
                <w:lang w:val="en-GB"/>
              </w:rPr>
              <w:t>30,218</w:t>
            </w:r>
            <w:r w:rsidRPr="00A96D90">
              <w:rPr>
                <w:rFonts w:asciiTheme="minorHAnsi" w:hAnsiTheme="minorHAnsi" w:cstheme="minorHAnsi"/>
                <w:b/>
                <w:color w:val="59595B"/>
                <w:sz w:val="20"/>
                <w:szCs w:val="20"/>
                <w:lang w:val="en-GB"/>
              </w:rPr>
              <w:t>)</w:t>
            </w:r>
          </w:p>
        </w:tc>
        <w:tc>
          <w:tcPr>
            <w:tcW w:w="1551" w:type="dxa"/>
            <w:tcBorders>
              <w:bottom w:val="single" w:sz="4" w:space="0" w:color="BFBFBF" w:themeColor="background1" w:themeShade="BF"/>
            </w:tcBorders>
            <w:tcMar>
              <w:top w:w="28" w:type="dxa"/>
            </w:tcMar>
          </w:tcPr>
          <w:p w14:paraId="0F1A6C41" w14:textId="768BF974"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6,734</w:t>
            </w:r>
            <w:r w:rsidRPr="00A96D90">
              <w:rPr>
                <w:rFonts w:asciiTheme="minorHAnsi" w:hAnsiTheme="minorHAnsi" w:cstheme="minorHAnsi"/>
                <w:b/>
                <w:color w:val="59595B"/>
                <w:sz w:val="20"/>
                <w:szCs w:val="20"/>
                <w:lang w:val="en-GB"/>
              </w:rPr>
              <w:t>)</w:t>
            </w:r>
          </w:p>
        </w:tc>
      </w:tr>
      <w:tr w:rsidR="00B55A4C" w:rsidRPr="00A96D90" w14:paraId="61478B52" w14:textId="77777777" w:rsidTr="00F833F8">
        <w:trPr>
          <w:trHeight w:val="144"/>
          <w:jc w:val="center"/>
        </w:trPr>
        <w:tc>
          <w:tcPr>
            <w:tcW w:w="5130" w:type="dxa"/>
            <w:tcBorders>
              <w:bottom w:val="nil"/>
            </w:tcBorders>
            <w:tcMar>
              <w:top w:w="28" w:type="dxa"/>
            </w:tcMar>
          </w:tcPr>
          <w:p w14:paraId="39E80C79" w14:textId="77777777" w:rsidR="00E64F9D" w:rsidRPr="00A96D90" w:rsidRDefault="00E64F9D" w:rsidP="003426AC">
            <w:pPr>
              <w:rPr>
                <w:rFonts w:asciiTheme="minorHAnsi" w:hAnsiTheme="minorHAnsi" w:cstheme="minorHAnsi"/>
                <w:color w:val="59595B"/>
                <w:sz w:val="20"/>
                <w:szCs w:val="20"/>
                <w:lang w:val="en-GB"/>
              </w:rPr>
            </w:pPr>
            <w:bookmarkStart w:id="1" w:name="_Hlk488737661"/>
            <w:r w:rsidRPr="00A96D90">
              <w:rPr>
                <w:rFonts w:asciiTheme="minorHAnsi" w:hAnsiTheme="minorHAnsi" w:cstheme="minorHAnsi"/>
                <w:color w:val="59595B"/>
                <w:sz w:val="20"/>
                <w:szCs w:val="20"/>
                <w:lang w:val="en-GB"/>
              </w:rPr>
              <w:t>Income tax expense</w:t>
            </w:r>
          </w:p>
        </w:tc>
        <w:tc>
          <w:tcPr>
            <w:tcW w:w="718" w:type="dxa"/>
            <w:tcBorders>
              <w:bottom w:val="nil"/>
            </w:tcBorders>
            <w:tcMar>
              <w:top w:w="28" w:type="dxa"/>
            </w:tcMar>
          </w:tcPr>
          <w:p w14:paraId="163360F1"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4C1AAF01" w14:textId="7777777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p>
        </w:tc>
        <w:tc>
          <w:tcPr>
            <w:tcW w:w="1551" w:type="dxa"/>
            <w:tcBorders>
              <w:bottom w:val="nil"/>
            </w:tcBorders>
            <w:tcMar>
              <w:top w:w="28" w:type="dxa"/>
            </w:tcMar>
          </w:tcPr>
          <w:p w14:paraId="36B88EB5" w14:textId="77777777"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p>
        </w:tc>
      </w:tr>
      <w:bookmarkEnd w:id="1"/>
      <w:tr w:rsidR="00B55A4C" w:rsidRPr="00A96D90" w14:paraId="0C9A9F0F" w14:textId="77777777" w:rsidTr="00F833F8">
        <w:trPr>
          <w:trHeight w:val="144"/>
          <w:jc w:val="center"/>
        </w:trPr>
        <w:tc>
          <w:tcPr>
            <w:tcW w:w="5130" w:type="dxa"/>
            <w:tcBorders>
              <w:top w:val="nil"/>
              <w:bottom w:val="single" w:sz="4" w:space="0" w:color="BFBFBF" w:themeColor="background1" w:themeShade="BF"/>
            </w:tcBorders>
            <w:tcMar>
              <w:top w:w="28" w:type="dxa"/>
            </w:tcMar>
          </w:tcPr>
          <w:p w14:paraId="10B8B344" w14:textId="77777777" w:rsidR="00E64F9D" w:rsidRPr="00A96D90" w:rsidRDefault="00E64F9D" w:rsidP="003426AC">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18C1EF74"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630BEE02"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5BB6BDC2"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601BA6D4" w14:textId="77777777" w:rsidTr="00F833F8">
        <w:trPr>
          <w:trHeight w:val="144"/>
          <w:jc w:val="center"/>
        </w:trPr>
        <w:tc>
          <w:tcPr>
            <w:tcW w:w="5130" w:type="dxa"/>
            <w:tcBorders>
              <w:top w:val="single" w:sz="4" w:space="0" w:color="BFBFBF" w:themeColor="background1" w:themeShade="BF"/>
            </w:tcBorders>
            <w:tcMar>
              <w:top w:w="28" w:type="dxa"/>
            </w:tcMar>
          </w:tcPr>
          <w:p w14:paraId="22D4C54A" w14:textId="17A3B70E" w:rsidR="00E64F9D" w:rsidRPr="00A96D90" w:rsidRDefault="00E64F9D" w:rsidP="001B32EE">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Net result for the </w:t>
            </w:r>
            <w:r w:rsidR="001B32EE" w:rsidRPr="00A96D90">
              <w:rPr>
                <w:rFonts w:asciiTheme="minorHAnsi" w:hAnsiTheme="minorHAnsi" w:cstheme="minorHAnsi"/>
                <w:b/>
                <w:color w:val="59595B"/>
                <w:sz w:val="20"/>
                <w:szCs w:val="20"/>
                <w:lang w:val="en-GB"/>
              </w:rPr>
              <w:t>period</w:t>
            </w:r>
          </w:p>
        </w:tc>
        <w:tc>
          <w:tcPr>
            <w:tcW w:w="718" w:type="dxa"/>
            <w:tcBorders>
              <w:top w:val="single" w:sz="4" w:space="0" w:color="BFBFBF" w:themeColor="background1" w:themeShade="BF"/>
            </w:tcBorders>
            <w:tcMar>
              <w:top w:w="28" w:type="dxa"/>
            </w:tcMar>
          </w:tcPr>
          <w:p w14:paraId="57A15C42"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top w:val="single" w:sz="4" w:space="0" w:color="BFBFBF" w:themeColor="background1" w:themeShade="BF"/>
            </w:tcBorders>
            <w:shd w:val="clear" w:color="auto" w:fill="F2F2F2" w:themeFill="background1" w:themeFillShade="F2"/>
            <w:tcMar>
              <w:top w:w="28" w:type="dxa"/>
            </w:tcMar>
          </w:tcPr>
          <w:p w14:paraId="645D288A" w14:textId="5FA8667F"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4B30BE" w:rsidRPr="00A96D90">
              <w:rPr>
                <w:rFonts w:asciiTheme="minorHAnsi" w:hAnsiTheme="minorHAnsi" w:cstheme="minorHAnsi"/>
                <w:b/>
                <w:color w:val="59595B"/>
                <w:sz w:val="20"/>
                <w:szCs w:val="20"/>
                <w:lang w:val="en-GB"/>
              </w:rPr>
              <w:t>30,218</w:t>
            </w:r>
            <w:r w:rsidRPr="00A96D90">
              <w:rPr>
                <w:rFonts w:asciiTheme="minorHAnsi" w:hAnsiTheme="minorHAnsi" w:cstheme="minorHAnsi"/>
                <w:b/>
                <w:color w:val="59595B"/>
                <w:sz w:val="20"/>
                <w:szCs w:val="20"/>
                <w:lang w:val="en-GB"/>
              </w:rPr>
              <w:t>)</w:t>
            </w:r>
          </w:p>
        </w:tc>
        <w:tc>
          <w:tcPr>
            <w:tcW w:w="1551" w:type="dxa"/>
            <w:tcBorders>
              <w:top w:val="single" w:sz="4" w:space="0" w:color="BFBFBF" w:themeColor="background1" w:themeShade="BF"/>
            </w:tcBorders>
            <w:tcMar>
              <w:top w:w="28" w:type="dxa"/>
            </w:tcMar>
          </w:tcPr>
          <w:p w14:paraId="64E92ACB" w14:textId="60EE31EC"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6,734</w:t>
            </w:r>
            <w:r w:rsidRPr="00A96D90">
              <w:rPr>
                <w:rFonts w:asciiTheme="minorHAnsi" w:hAnsiTheme="minorHAnsi" w:cstheme="minorHAnsi"/>
                <w:b/>
                <w:color w:val="59595B"/>
                <w:sz w:val="20"/>
                <w:szCs w:val="20"/>
                <w:lang w:val="en-GB"/>
              </w:rPr>
              <w:t>)</w:t>
            </w:r>
          </w:p>
        </w:tc>
      </w:tr>
      <w:tr w:rsidR="00B55A4C" w:rsidRPr="00A96D90" w14:paraId="3AF19EDC" w14:textId="77777777" w:rsidTr="00F833F8">
        <w:trPr>
          <w:trHeight w:val="144"/>
          <w:jc w:val="center"/>
        </w:trPr>
        <w:tc>
          <w:tcPr>
            <w:tcW w:w="5130" w:type="dxa"/>
            <w:tcMar>
              <w:top w:w="28" w:type="dxa"/>
            </w:tcMar>
          </w:tcPr>
          <w:p w14:paraId="1FDC013D" w14:textId="77777777" w:rsidR="00E64F9D" w:rsidRPr="00A96D90" w:rsidRDefault="00E64F9D" w:rsidP="003426AC">
            <w:pPr>
              <w:rPr>
                <w:rFonts w:asciiTheme="minorHAnsi" w:hAnsiTheme="minorHAnsi" w:cstheme="minorHAnsi"/>
                <w:b/>
                <w:color w:val="59595B"/>
                <w:sz w:val="20"/>
                <w:szCs w:val="20"/>
                <w:lang w:val="en-GB"/>
              </w:rPr>
            </w:pPr>
          </w:p>
        </w:tc>
        <w:tc>
          <w:tcPr>
            <w:tcW w:w="718" w:type="dxa"/>
            <w:tcMar>
              <w:top w:w="28" w:type="dxa"/>
            </w:tcMar>
          </w:tcPr>
          <w:p w14:paraId="56283C0E"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shd w:val="clear" w:color="auto" w:fill="F2F2F2" w:themeFill="background1" w:themeFillShade="F2"/>
            <w:tcMar>
              <w:top w:w="28" w:type="dxa"/>
            </w:tcMar>
          </w:tcPr>
          <w:p w14:paraId="6094B615"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Mar>
              <w:top w:w="28" w:type="dxa"/>
            </w:tcMar>
          </w:tcPr>
          <w:p w14:paraId="441A2B08"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7F5544EB" w14:textId="77777777" w:rsidTr="00F833F8">
        <w:trPr>
          <w:trHeight w:val="144"/>
          <w:jc w:val="center"/>
        </w:trPr>
        <w:tc>
          <w:tcPr>
            <w:tcW w:w="5130" w:type="dxa"/>
            <w:tcBorders>
              <w:bottom w:val="single" w:sz="4" w:space="0" w:color="BFBFBF" w:themeColor="background1" w:themeShade="BF"/>
            </w:tcBorders>
            <w:tcMar>
              <w:top w:w="28" w:type="dxa"/>
            </w:tcMar>
          </w:tcPr>
          <w:p w14:paraId="6268264D"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718" w:type="dxa"/>
            <w:tcBorders>
              <w:bottom w:val="single" w:sz="4" w:space="0" w:color="BFBFBF" w:themeColor="background1" w:themeShade="BF"/>
            </w:tcBorders>
            <w:tcMar>
              <w:top w:w="28" w:type="dxa"/>
            </w:tcMar>
          </w:tcPr>
          <w:p w14:paraId="509243A5"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single" w:sz="4" w:space="0" w:color="BFBFBF" w:themeColor="background1" w:themeShade="BF"/>
            </w:tcBorders>
            <w:shd w:val="clear" w:color="auto" w:fill="F2F2F2" w:themeFill="background1" w:themeFillShade="F2"/>
            <w:tcMar>
              <w:top w:w="28" w:type="dxa"/>
            </w:tcMar>
          </w:tcPr>
          <w:p w14:paraId="1639EB75"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bottom w:val="single" w:sz="4" w:space="0" w:color="BFBFBF" w:themeColor="background1" w:themeShade="BF"/>
            </w:tcBorders>
            <w:tcMar>
              <w:top w:w="28" w:type="dxa"/>
            </w:tcMar>
          </w:tcPr>
          <w:p w14:paraId="470AAB2A"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1EFD8C53" w14:textId="77777777" w:rsidTr="00F833F8">
        <w:trPr>
          <w:trHeight w:val="144"/>
          <w:jc w:val="center"/>
        </w:trPr>
        <w:tc>
          <w:tcPr>
            <w:tcW w:w="5130" w:type="dxa"/>
            <w:tcBorders>
              <w:bottom w:val="nil"/>
            </w:tcBorders>
            <w:tcMar>
              <w:top w:w="28" w:type="dxa"/>
            </w:tcMar>
          </w:tcPr>
          <w:p w14:paraId="0541E356" w14:textId="77777777" w:rsidR="00E64F9D" w:rsidRPr="00A96D90" w:rsidRDefault="00E64F9D" w:rsidP="003426AC">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718" w:type="dxa"/>
            <w:tcBorders>
              <w:bottom w:val="nil"/>
            </w:tcBorders>
            <w:tcMar>
              <w:top w:w="28" w:type="dxa"/>
            </w:tcMar>
          </w:tcPr>
          <w:p w14:paraId="4BBB0660"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60F06A30" w14:textId="70B891D9" w:rsidR="00E64F9D" w:rsidRPr="00A96D90" w:rsidRDefault="00F1683A"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4B30BE" w:rsidRPr="00A96D90">
              <w:rPr>
                <w:rFonts w:asciiTheme="minorHAnsi" w:hAnsiTheme="minorHAnsi" w:cstheme="minorHAnsi"/>
                <w:color w:val="59595B"/>
                <w:sz w:val="20"/>
                <w:szCs w:val="20"/>
                <w:lang w:val="en-GB"/>
              </w:rPr>
              <w:t>30,218</w:t>
            </w:r>
            <w:r w:rsidR="00E64F9D" w:rsidRPr="00A96D90">
              <w:rPr>
                <w:rFonts w:asciiTheme="minorHAnsi" w:hAnsiTheme="minorHAnsi" w:cstheme="minorHAnsi"/>
                <w:color w:val="59595B"/>
                <w:sz w:val="20"/>
                <w:szCs w:val="20"/>
                <w:lang w:val="en-GB"/>
              </w:rPr>
              <w:t>)</w:t>
            </w:r>
          </w:p>
        </w:tc>
        <w:tc>
          <w:tcPr>
            <w:tcW w:w="1551" w:type="dxa"/>
            <w:tcBorders>
              <w:bottom w:val="nil"/>
            </w:tcBorders>
            <w:tcMar>
              <w:top w:w="28" w:type="dxa"/>
            </w:tcMar>
          </w:tcPr>
          <w:p w14:paraId="0226A110" w14:textId="76CB9B5E" w:rsidR="00E64F9D" w:rsidRPr="00A96D90" w:rsidRDefault="00E64F9D" w:rsidP="003426AC">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A90BD3" w:rsidRPr="00A96D90">
              <w:rPr>
                <w:rFonts w:asciiTheme="minorHAnsi" w:hAnsiTheme="minorHAnsi" w:cstheme="minorHAnsi"/>
                <w:color w:val="59595B"/>
                <w:sz w:val="20"/>
                <w:szCs w:val="20"/>
                <w:lang w:val="en-GB"/>
              </w:rPr>
              <w:t>6,734</w:t>
            </w:r>
            <w:r w:rsidRPr="00A96D90">
              <w:rPr>
                <w:rFonts w:asciiTheme="minorHAnsi" w:hAnsiTheme="minorHAnsi" w:cstheme="minorHAnsi"/>
                <w:color w:val="59595B"/>
                <w:sz w:val="20"/>
                <w:szCs w:val="20"/>
                <w:lang w:val="en-GB"/>
              </w:rPr>
              <w:t>)</w:t>
            </w:r>
          </w:p>
        </w:tc>
      </w:tr>
      <w:tr w:rsidR="00B55A4C" w:rsidRPr="00A96D90" w14:paraId="7E744518" w14:textId="77777777" w:rsidTr="00F833F8">
        <w:trPr>
          <w:trHeight w:val="144"/>
          <w:jc w:val="center"/>
        </w:trPr>
        <w:tc>
          <w:tcPr>
            <w:tcW w:w="5130" w:type="dxa"/>
            <w:tcBorders>
              <w:top w:val="nil"/>
              <w:bottom w:val="single" w:sz="4" w:space="0" w:color="BFBFBF" w:themeColor="background1" w:themeShade="BF"/>
            </w:tcBorders>
            <w:tcMar>
              <w:top w:w="28" w:type="dxa"/>
            </w:tcMar>
          </w:tcPr>
          <w:p w14:paraId="7FFD17C1" w14:textId="77777777" w:rsidR="00E64F9D" w:rsidRPr="00A96D90" w:rsidRDefault="00E64F9D" w:rsidP="003426AC">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2B854286" w14:textId="77777777" w:rsidR="00E64F9D" w:rsidRPr="00A96D90" w:rsidRDefault="00E64F9D" w:rsidP="003426AC">
            <w:pPr>
              <w:jc w:val="right"/>
              <w:rPr>
                <w:rFonts w:asciiTheme="minorHAnsi" w:hAnsiTheme="minorHAnsi" w:cstheme="minorHAnsi"/>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3255C873" w14:textId="77777777" w:rsidR="00E64F9D" w:rsidRPr="00A96D90" w:rsidRDefault="00E64F9D" w:rsidP="003426AC">
            <w:pPr>
              <w:jc w:val="right"/>
              <w:rPr>
                <w:rFonts w:asciiTheme="minorHAnsi" w:hAnsiTheme="minorHAnsi" w:cstheme="minorHAnsi"/>
                <w:color w:val="59595B"/>
                <w:sz w:val="20"/>
                <w:szCs w:val="20"/>
                <w:lang w:val="en-GB"/>
              </w:rPr>
            </w:pPr>
          </w:p>
        </w:tc>
        <w:tc>
          <w:tcPr>
            <w:tcW w:w="1551" w:type="dxa"/>
            <w:tcBorders>
              <w:top w:val="nil"/>
              <w:bottom w:val="single" w:sz="4" w:space="0" w:color="BFBFBF" w:themeColor="background1" w:themeShade="BF"/>
            </w:tcBorders>
            <w:tcMar>
              <w:top w:w="28" w:type="dxa"/>
            </w:tcMar>
          </w:tcPr>
          <w:p w14:paraId="1FF7BF58" w14:textId="77777777" w:rsidR="00E64F9D" w:rsidRPr="00A96D90" w:rsidRDefault="00E64F9D" w:rsidP="003426AC">
            <w:pPr>
              <w:jc w:val="right"/>
              <w:rPr>
                <w:rFonts w:asciiTheme="minorHAnsi" w:hAnsiTheme="minorHAnsi" w:cstheme="minorHAnsi"/>
                <w:color w:val="59595B"/>
                <w:sz w:val="20"/>
                <w:szCs w:val="20"/>
                <w:lang w:val="en-GB"/>
              </w:rPr>
            </w:pPr>
          </w:p>
        </w:tc>
      </w:tr>
      <w:tr w:rsidR="00B55A4C" w:rsidRPr="00A96D90" w14:paraId="0F0DEFF9" w14:textId="77777777" w:rsidTr="00F833F8">
        <w:trPr>
          <w:trHeight w:val="144"/>
          <w:jc w:val="center"/>
        </w:trPr>
        <w:tc>
          <w:tcPr>
            <w:tcW w:w="5130" w:type="dxa"/>
            <w:tcBorders>
              <w:top w:val="single" w:sz="4" w:space="0" w:color="BFBFBF" w:themeColor="background1" w:themeShade="BF"/>
              <w:bottom w:val="nil"/>
            </w:tcBorders>
            <w:tcMar>
              <w:top w:w="28" w:type="dxa"/>
            </w:tcMar>
          </w:tcPr>
          <w:p w14:paraId="4D8B976A" w14:textId="77777777" w:rsidR="00E64F9D" w:rsidRPr="00A96D90" w:rsidRDefault="00E64F9D" w:rsidP="003426AC">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Total net result</w:t>
            </w:r>
          </w:p>
        </w:tc>
        <w:tc>
          <w:tcPr>
            <w:tcW w:w="718" w:type="dxa"/>
            <w:tcBorders>
              <w:top w:val="single" w:sz="4" w:space="0" w:color="BFBFBF" w:themeColor="background1" w:themeShade="BF"/>
              <w:bottom w:val="nil"/>
            </w:tcBorders>
            <w:tcMar>
              <w:top w:w="28" w:type="dxa"/>
            </w:tcMar>
          </w:tcPr>
          <w:p w14:paraId="7F3C9459"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top w:val="single" w:sz="4" w:space="0" w:color="BFBFBF" w:themeColor="background1" w:themeShade="BF"/>
              <w:bottom w:val="nil"/>
            </w:tcBorders>
            <w:shd w:val="clear" w:color="auto" w:fill="F2F2F2" w:themeFill="background1" w:themeFillShade="F2"/>
            <w:tcMar>
              <w:top w:w="28" w:type="dxa"/>
            </w:tcMar>
          </w:tcPr>
          <w:p w14:paraId="5214082D" w14:textId="083F067D" w:rsidR="00E64F9D" w:rsidRPr="00A96D90" w:rsidRDefault="00F1683A"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4B30BE" w:rsidRPr="00A96D90">
              <w:rPr>
                <w:rFonts w:asciiTheme="minorHAnsi" w:hAnsiTheme="minorHAnsi" w:cstheme="minorHAnsi"/>
                <w:b/>
                <w:color w:val="59595B"/>
                <w:sz w:val="20"/>
                <w:szCs w:val="20"/>
                <w:lang w:val="en-GB"/>
              </w:rPr>
              <w:t>30,218</w:t>
            </w:r>
            <w:r w:rsidR="00E64F9D" w:rsidRPr="00A96D90">
              <w:rPr>
                <w:rFonts w:asciiTheme="minorHAnsi" w:hAnsiTheme="minorHAnsi" w:cstheme="minorHAnsi"/>
                <w:b/>
                <w:color w:val="59595B"/>
                <w:sz w:val="20"/>
                <w:szCs w:val="20"/>
                <w:lang w:val="en-GB"/>
              </w:rPr>
              <w:t>)</w:t>
            </w:r>
          </w:p>
        </w:tc>
        <w:tc>
          <w:tcPr>
            <w:tcW w:w="1551" w:type="dxa"/>
            <w:tcBorders>
              <w:top w:val="single" w:sz="4" w:space="0" w:color="BFBFBF" w:themeColor="background1" w:themeShade="BF"/>
              <w:bottom w:val="nil"/>
            </w:tcBorders>
            <w:tcMar>
              <w:top w:w="28" w:type="dxa"/>
            </w:tcMar>
          </w:tcPr>
          <w:p w14:paraId="658A8B46" w14:textId="7676F67E" w:rsidR="00E64F9D" w:rsidRPr="00A96D90" w:rsidRDefault="00E64F9D" w:rsidP="003426AC">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6,734</w:t>
            </w:r>
            <w:r w:rsidRPr="00A96D90">
              <w:rPr>
                <w:rFonts w:asciiTheme="minorHAnsi" w:hAnsiTheme="minorHAnsi" w:cstheme="minorHAnsi"/>
                <w:b/>
                <w:color w:val="59595B"/>
                <w:sz w:val="20"/>
                <w:szCs w:val="20"/>
                <w:lang w:val="en-GB"/>
              </w:rPr>
              <w:t>)</w:t>
            </w:r>
          </w:p>
        </w:tc>
      </w:tr>
      <w:tr w:rsidR="00B55A4C" w:rsidRPr="00A96D90" w14:paraId="1F6FA3CC" w14:textId="77777777" w:rsidTr="00F833F8">
        <w:trPr>
          <w:trHeight w:val="144"/>
          <w:jc w:val="center"/>
        </w:trPr>
        <w:tc>
          <w:tcPr>
            <w:tcW w:w="5130" w:type="dxa"/>
            <w:tcBorders>
              <w:top w:val="nil"/>
              <w:bottom w:val="single" w:sz="4" w:space="0" w:color="BFBFBF" w:themeColor="background1" w:themeShade="BF"/>
            </w:tcBorders>
            <w:tcMar>
              <w:top w:w="28" w:type="dxa"/>
            </w:tcMar>
          </w:tcPr>
          <w:p w14:paraId="24BBDA62" w14:textId="77777777" w:rsidR="00E64F9D" w:rsidRPr="00A96D90" w:rsidRDefault="00E64F9D" w:rsidP="003426AC">
            <w:pPr>
              <w:rPr>
                <w:rFonts w:asciiTheme="minorHAnsi" w:hAnsiTheme="minorHAnsi" w:cstheme="minorHAnsi"/>
                <w:b/>
                <w:color w:val="59595B"/>
                <w:sz w:val="20"/>
                <w:szCs w:val="20"/>
                <w:lang w:val="en-GB"/>
              </w:rPr>
            </w:pPr>
          </w:p>
        </w:tc>
        <w:tc>
          <w:tcPr>
            <w:tcW w:w="718" w:type="dxa"/>
            <w:tcBorders>
              <w:top w:val="nil"/>
              <w:bottom w:val="single" w:sz="4" w:space="0" w:color="BFBFBF" w:themeColor="background1" w:themeShade="BF"/>
            </w:tcBorders>
            <w:tcMar>
              <w:top w:w="28" w:type="dxa"/>
            </w:tcMar>
          </w:tcPr>
          <w:p w14:paraId="55B59A8C" w14:textId="77777777" w:rsidR="00E64F9D" w:rsidRPr="00A96D90" w:rsidRDefault="00E64F9D" w:rsidP="003426AC">
            <w:pPr>
              <w:jc w:val="right"/>
              <w:rPr>
                <w:rFonts w:asciiTheme="minorHAnsi" w:hAnsiTheme="minorHAnsi" w:cstheme="minorHAnsi"/>
                <w:b/>
                <w:color w:val="59595B"/>
                <w:sz w:val="20"/>
                <w:szCs w:val="20"/>
                <w:lang w:val="en-GB"/>
              </w:rPr>
            </w:pPr>
          </w:p>
        </w:tc>
        <w:tc>
          <w:tcPr>
            <w:tcW w:w="1596" w:type="dxa"/>
            <w:tcBorders>
              <w:top w:val="nil"/>
              <w:bottom w:val="single" w:sz="4" w:space="0" w:color="BFBFBF" w:themeColor="background1" w:themeShade="BF"/>
            </w:tcBorders>
            <w:shd w:val="clear" w:color="auto" w:fill="F2F2F2" w:themeFill="background1" w:themeFillShade="F2"/>
            <w:tcMar>
              <w:top w:w="28" w:type="dxa"/>
            </w:tcMar>
          </w:tcPr>
          <w:p w14:paraId="32F6C87F" w14:textId="77777777" w:rsidR="00E64F9D" w:rsidRPr="00A96D90" w:rsidRDefault="00E64F9D" w:rsidP="003426AC">
            <w:pPr>
              <w:jc w:val="right"/>
              <w:rPr>
                <w:rFonts w:asciiTheme="minorHAnsi" w:hAnsiTheme="minorHAnsi" w:cstheme="minorHAnsi"/>
                <w:b/>
                <w:color w:val="59595B"/>
                <w:sz w:val="20"/>
                <w:szCs w:val="20"/>
                <w:highlight w:val="yellow"/>
                <w:lang w:val="en-GB"/>
              </w:rPr>
            </w:pPr>
          </w:p>
        </w:tc>
        <w:tc>
          <w:tcPr>
            <w:tcW w:w="1551" w:type="dxa"/>
            <w:tcBorders>
              <w:top w:val="nil"/>
              <w:bottom w:val="single" w:sz="4" w:space="0" w:color="BFBFBF" w:themeColor="background1" w:themeShade="BF"/>
            </w:tcBorders>
            <w:tcMar>
              <w:top w:w="28" w:type="dxa"/>
            </w:tcMar>
          </w:tcPr>
          <w:p w14:paraId="40768F98" w14:textId="77777777" w:rsidR="00E64F9D" w:rsidRPr="00A96D90" w:rsidRDefault="00E64F9D" w:rsidP="003426AC">
            <w:pPr>
              <w:jc w:val="right"/>
              <w:rPr>
                <w:rFonts w:asciiTheme="minorHAnsi" w:hAnsiTheme="minorHAnsi" w:cstheme="minorHAnsi"/>
                <w:b/>
                <w:color w:val="59595B"/>
                <w:sz w:val="20"/>
                <w:szCs w:val="20"/>
                <w:lang w:val="en-GB"/>
              </w:rPr>
            </w:pPr>
          </w:p>
        </w:tc>
      </w:tr>
      <w:tr w:rsidR="00CD6573" w:rsidRPr="00A96D90" w14:paraId="3D77ED3F" w14:textId="77777777" w:rsidTr="001200BD">
        <w:trPr>
          <w:trHeight w:val="144"/>
          <w:jc w:val="center"/>
        </w:trPr>
        <w:tc>
          <w:tcPr>
            <w:tcW w:w="5130" w:type="dxa"/>
            <w:tcBorders>
              <w:top w:val="single" w:sz="4" w:space="0" w:color="BFBFBF" w:themeColor="background1" w:themeShade="BF"/>
            </w:tcBorders>
            <w:tcMar>
              <w:top w:w="28" w:type="dxa"/>
            </w:tcMar>
          </w:tcPr>
          <w:p w14:paraId="18EB79F7" w14:textId="76823BA1" w:rsidR="00CD6573" w:rsidRPr="00A96D90" w:rsidRDefault="00CD6573" w:rsidP="00CD6573">
            <w:pPr>
              <w:ind w:right="-517"/>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Basic earnings per share (€) </w:t>
            </w:r>
          </w:p>
        </w:tc>
        <w:tc>
          <w:tcPr>
            <w:tcW w:w="718" w:type="dxa"/>
            <w:tcBorders>
              <w:top w:val="single" w:sz="4" w:space="0" w:color="BFBFBF" w:themeColor="background1" w:themeShade="BF"/>
            </w:tcBorders>
            <w:tcMar>
              <w:top w:w="28" w:type="dxa"/>
            </w:tcMar>
          </w:tcPr>
          <w:p w14:paraId="1CB2BCB1" w14:textId="77777777" w:rsidR="00CD6573" w:rsidRPr="00A96D90" w:rsidRDefault="00CD6573" w:rsidP="00CD6573">
            <w:pPr>
              <w:jc w:val="right"/>
              <w:rPr>
                <w:rFonts w:asciiTheme="minorHAnsi" w:hAnsiTheme="minorHAnsi" w:cstheme="minorHAnsi"/>
                <w:color w:val="59595B"/>
                <w:sz w:val="20"/>
                <w:szCs w:val="20"/>
                <w:lang w:val="en-GB"/>
              </w:rPr>
            </w:pPr>
          </w:p>
        </w:tc>
        <w:tc>
          <w:tcPr>
            <w:tcW w:w="1596" w:type="dxa"/>
            <w:tcBorders>
              <w:bottom w:val="nil"/>
            </w:tcBorders>
            <w:shd w:val="clear" w:color="auto" w:fill="F2F2F2" w:themeFill="background1" w:themeFillShade="F2"/>
            <w:tcMar>
              <w:top w:w="28" w:type="dxa"/>
            </w:tcMar>
          </w:tcPr>
          <w:p w14:paraId="0FFDA27A" w14:textId="11D901FD" w:rsidR="00CD6573" w:rsidRPr="00A96D90" w:rsidRDefault="00CD6573" w:rsidP="00CD6573">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(0.063)</w:t>
            </w:r>
          </w:p>
        </w:tc>
        <w:tc>
          <w:tcPr>
            <w:tcW w:w="1551" w:type="dxa"/>
            <w:tcBorders>
              <w:top w:val="single" w:sz="4" w:space="0" w:color="BFBFBF" w:themeColor="background1" w:themeShade="BF"/>
            </w:tcBorders>
            <w:tcMar>
              <w:top w:w="28" w:type="dxa"/>
            </w:tcMar>
          </w:tcPr>
          <w:p w14:paraId="104EE370" w14:textId="7D5484B5" w:rsidR="00CD6573" w:rsidRPr="00A96D90" w:rsidRDefault="00CD6573" w:rsidP="00CD6573">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(0.016)</w:t>
            </w:r>
          </w:p>
        </w:tc>
      </w:tr>
    </w:tbl>
    <w:p w14:paraId="3CD54E26" w14:textId="60613926" w:rsidR="00E64F9D" w:rsidRPr="00A96D90" w:rsidRDefault="00E64F9D" w:rsidP="00E64F9D">
      <w:pPr>
        <w:rPr>
          <w:rFonts w:ascii="Calibri" w:hAnsi="Calibri" w:cstheme="minorHAnsi"/>
          <w:b/>
          <w:color w:val="276E8B" w:themeColor="accent1" w:themeShade="BF"/>
          <w:szCs w:val="22"/>
          <w:lang w:val="en-GB"/>
        </w:rPr>
      </w:pPr>
      <w:r w:rsidRPr="00A96D90">
        <w:rPr>
          <w:rFonts w:ascii="Calibri" w:hAnsi="Calibri" w:cstheme="minorHAnsi"/>
          <w:szCs w:val="22"/>
          <w:lang w:val="en-GB"/>
        </w:rPr>
        <w:br w:type="page"/>
      </w:r>
      <w:r w:rsidR="00960A4C"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00960A4C" w:rsidRPr="00A96D90">
        <w:rPr>
          <w:rFonts w:ascii="Calibri" w:hAnsi="Calibri" w:cstheme="minorHAnsi"/>
          <w:b/>
          <w:color w:val="276E8B" w:themeColor="accent1" w:themeShade="BF"/>
          <w:szCs w:val="22"/>
          <w:lang w:val="en-GB"/>
        </w:rPr>
        <w:t xml:space="preserve"> </w:t>
      </w:r>
    </w:p>
    <w:p w14:paraId="5E23CD7D" w14:textId="7EB247EF" w:rsidR="00E64F9D" w:rsidRPr="00A96D90" w:rsidRDefault="00E64F9D" w:rsidP="00960A4C">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1B32EE" w:rsidRPr="00A96D90">
        <w:rPr>
          <w:rFonts w:asciiTheme="minorHAnsi" w:hAnsiTheme="minorHAnsi"/>
          <w:color w:val="00679B"/>
          <w:sz w:val="24"/>
          <w:lang w:val="en-GB"/>
        </w:rPr>
        <w:t>six months</w:t>
      </w:r>
      <w:r w:rsidRPr="00A96D90">
        <w:rPr>
          <w:rFonts w:asciiTheme="minorHAnsi" w:hAnsiTheme="minorHAnsi"/>
          <w:color w:val="00679B"/>
          <w:sz w:val="24"/>
          <w:lang w:val="en-GB"/>
        </w:rPr>
        <w:t xml:space="preserve"> ended 30 June</w:t>
      </w:r>
    </w:p>
    <w:p w14:paraId="1E8F0B67" w14:textId="77777777" w:rsidR="00E64F9D" w:rsidRPr="00A96D90" w:rsidRDefault="00E64F9D" w:rsidP="00E64F9D">
      <w:pPr>
        <w:rPr>
          <w:rFonts w:ascii="Calibri" w:hAnsi="Calibri" w:cstheme="minorHAnsi"/>
          <w:b/>
          <w:szCs w:val="22"/>
          <w:lang w:val="en-GB"/>
        </w:rPr>
      </w:pPr>
    </w:p>
    <w:tbl>
      <w:tblPr>
        <w:tblW w:w="8651"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745"/>
        <w:gridCol w:w="1417"/>
        <w:gridCol w:w="1489"/>
      </w:tblGrid>
      <w:tr w:rsidR="00960A4C" w:rsidRPr="00A96D90" w14:paraId="77208096" w14:textId="77777777" w:rsidTr="00F833F8">
        <w:trPr>
          <w:jc w:val="center"/>
        </w:trPr>
        <w:tc>
          <w:tcPr>
            <w:tcW w:w="5745" w:type="dxa"/>
            <w:tcBorders>
              <w:bottom w:val="single" w:sz="4" w:space="0" w:color="BFBFBF" w:themeColor="background1" w:themeShade="BF"/>
            </w:tcBorders>
          </w:tcPr>
          <w:p w14:paraId="70B543D5" w14:textId="77777777" w:rsidR="00E64F9D" w:rsidRPr="00A96D90" w:rsidRDefault="00E64F9D" w:rsidP="00731B77">
            <w:pPr>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Amounts in €’000</w:t>
            </w:r>
          </w:p>
        </w:tc>
        <w:tc>
          <w:tcPr>
            <w:tcW w:w="1417" w:type="dxa"/>
            <w:tcBorders>
              <w:bottom w:val="single" w:sz="4" w:space="0" w:color="BFBFBF" w:themeColor="background1" w:themeShade="BF"/>
            </w:tcBorders>
            <w:shd w:val="clear" w:color="auto" w:fill="F2F2F2" w:themeFill="background1" w:themeFillShade="F2"/>
          </w:tcPr>
          <w:p w14:paraId="73869B38" w14:textId="1E1814EB" w:rsidR="00E64F9D" w:rsidRPr="00A96D90" w:rsidRDefault="00E64F9D" w:rsidP="0049736D">
            <w:pPr>
              <w:ind w:left="104" w:right="69"/>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HY</w:t>
            </w:r>
            <w:r w:rsidR="00960A4C" w:rsidRPr="00A96D90">
              <w:rPr>
                <w:rFonts w:asciiTheme="minorHAnsi" w:hAnsiTheme="minorHAnsi" w:cstheme="minorHAnsi"/>
                <w:b/>
                <w:color w:val="00679B"/>
                <w:sz w:val="20"/>
                <w:szCs w:val="20"/>
                <w:lang w:val="en-GB"/>
              </w:rPr>
              <w:t xml:space="preserve"> </w:t>
            </w:r>
            <w:r w:rsidRPr="00A96D90">
              <w:rPr>
                <w:rFonts w:asciiTheme="minorHAnsi" w:hAnsiTheme="minorHAnsi" w:cstheme="minorHAnsi"/>
                <w:b/>
                <w:color w:val="00679B"/>
                <w:sz w:val="20"/>
                <w:szCs w:val="20"/>
                <w:lang w:val="en-GB"/>
              </w:rPr>
              <w:t>201</w:t>
            </w:r>
            <w:r w:rsidR="00F1683A" w:rsidRPr="00A96D90">
              <w:rPr>
                <w:rFonts w:asciiTheme="minorHAnsi" w:hAnsiTheme="minorHAnsi" w:cstheme="minorHAnsi"/>
                <w:b/>
                <w:color w:val="00679B"/>
                <w:sz w:val="20"/>
                <w:szCs w:val="20"/>
                <w:lang w:val="en-GB"/>
              </w:rPr>
              <w:t>7</w:t>
            </w:r>
          </w:p>
        </w:tc>
        <w:tc>
          <w:tcPr>
            <w:tcW w:w="1489" w:type="dxa"/>
            <w:tcBorders>
              <w:bottom w:val="single" w:sz="4" w:space="0" w:color="BFBFBF" w:themeColor="background1" w:themeShade="BF"/>
            </w:tcBorders>
          </w:tcPr>
          <w:p w14:paraId="54DE81A5" w14:textId="7977AF9C" w:rsidR="00E64F9D" w:rsidRPr="00A96D90" w:rsidRDefault="00E64F9D" w:rsidP="0049736D">
            <w:pPr>
              <w:jc w:val="right"/>
              <w:rPr>
                <w:rFonts w:asciiTheme="minorHAnsi" w:hAnsiTheme="minorHAnsi" w:cstheme="minorHAnsi"/>
                <w:b/>
                <w:color w:val="00679B"/>
                <w:sz w:val="20"/>
                <w:szCs w:val="20"/>
                <w:lang w:val="en-GB"/>
              </w:rPr>
            </w:pPr>
            <w:r w:rsidRPr="00A96D90">
              <w:rPr>
                <w:rFonts w:asciiTheme="minorHAnsi" w:hAnsiTheme="minorHAnsi" w:cstheme="minorHAnsi"/>
                <w:b/>
                <w:color w:val="00679B"/>
                <w:sz w:val="20"/>
                <w:szCs w:val="20"/>
                <w:lang w:val="en-GB"/>
              </w:rPr>
              <w:t>HY</w:t>
            </w:r>
            <w:r w:rsidR="00960A4C" w:rsidRPr="00A96D90">
              <w:rPr>
                <w:rFonts w:asciiTheme="minorHAnsi" w:hAnsiTheme="minorHAnsi" w:cstheme="minorHAnsi"/>
                <w:b/>
                <w:color w:val="00679B"/>
                <w:sz w:val="20"/>
                <w:szCs w:val="20"/>
                <w:lang w:val="en-GB"/>
              </w:rPr>
              <w:t xml:space="preserve"> </w:t>
            </w:r>
            <w:r w:rsidRPr="00A96D90">
              <w:rPr>
                <w:rFonts w:asciiTheme="minorHAnsi" w:hAnsiTheme="minorHAnsi" w:cstheme="minorHAnsi"/>
                <w:b/>
                <w:color w:val="00679B"/>
                <w:sz w:val="20"/>
                <w:szCs w:val="20"/>
                <w:lang w:val="en-GB"/>
              </w:rPr>
              <w:t>201</w:t>
            </w:r>
            <w:r w:rsidR="00A90BD3" w:rsidRPr="00A96D90">
              <w:rPr>
                <w:rFonts w:asciiTheme="minorHAnsi" w:hAnsiTheme="minorHAnsi" w:cstheme="minorHAnsi"/>
                <w:b/>
                <w:color w:val="00679B"/>
                <w:sz w:val="20"/>
                <w:szCs w:val="20"/>
                <w:lang w:val="en-GB"/>
              </w:rPr>
              <w:t>6</w:t>
            </w:r>
          </w:p>
        </w:tc>
      </w:tr>
      <w:tr w:rsidR="00E64F9D" w:rsidRPr="00A96D90" w14:paraId="34B8EF7F" w14:textId="77777777" w:rsidTr="00F833F8">
        <w:trPr>
          <w:jc w:val="center"/>
        </w:trPr>
        <w:tc>
          <w:tcPr>
            <w:tcW w:w="5745" w:type="dxa"/>
            <w:tcBorders>
              <w:bottom w:val="nil"/>
            </w:tcBorders>
          </w:tcPr>
          <w:p w14:paraId="34F1FF0B" w14:textId="77777777" w:rsidR="00E64F9D" w:rsidRPr="00A96D90" w:rsidRDefault="00E64F9D" w:rsidP="00731B77">
            <w:pPr>
              <w:rPr>
                <w:rFonts w:asciiTheme="minorHAnsi" w:hAnsiTheme="minorHAnsi" w:cstheme="minorHAnsi"/>
                <w:color w:val="59595B"/>
                <w:sz w:val="20"/>
                <w:szCs w:val="20"/>
                <w:lang w:val="en-GB"/>
              </w:rPr>
            </w:pPr>
          </w:p>
          <w:p w14:paraId="42D208E9" w14:textId="187E9057" w:rsidR="00E64F9D" w:rsidRPr="00A96D90" w:rsidRDefault="00E64F9D" w:rsidP="001B32EE">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Net result for the </w:t>
            </w:r>
            <w:r w:rsidR="001B32EE" w:rsidRPr="00A96D90">
              <w:rPr>
                <w:rFonts w:asciiTheme="minorHAnsi" w:hAnsiTheme="minorHAnsi" w:cstheme="minorHAnsi"/>
                <w:b/>
                <w:color w:val="59595B"/>
                <w:sz w:val="20"/>
                <w:szCs w:val="20"/>
                <w:lang w:val="en-GB"/>
              </w:rPr>
              <w:t>period</w:t>
            </w:r>
          </w:p>
        </w:tc>
        <w:tc>
          <w:tcPr>
            <w:tcW w:w="1417" w:type="dxa"/>
            <w:tcBorders>
              <w:bottom w:val="nil"/>
            </w:tcBorders>
            <w:shd w:val="clear" w:color="auto" w:fill="F2F2F2" w:themeFill="background1" w:themeFillShade="F2"/>
          </w:tcPr>
          <w:p w14:paraId="0EACAA2A" w14:textId="77777777" w:rsidR="00E64F9D" w:rsidRPr="00A96D90" w:rsidRDefault="00E64F9D" w:rsidP="00731B77">
            <w:pPr>
              <w:ind w:left="104" w:right="69"/>
              <w:jc w:val="right"/>
              <w:rPr>
                <w:rFonts w:asciiTheme="minorHAnsi" w:hAnsiTheme="minorHAnsi" w:cstheme="minorHAnsi"/>
                <w:b/>
                <w:color w:val="59595B"/>
                <w:sz w:val="20"/>
                <w:szCs w:val="20"/>
                <w:lang w:val="en-GB"/>
              </w:rPr>
            </w:pPr>
          </w:p>
          <w:p w14:paraId="1108C6BB" w14:textId="20E79374" w:rsidR="00E64F9D" w:rsidRPr="00A96D90" w:rsidRDefault="00E64F9D" w:rsidP="00731B77">
            <w:pPr>
              <w:ind w:right="69"/>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4B30BE" w:rsidRPr="00A96D90">
              <w:rPr>
                <w:rFonts w:asciiTheme="minorHAnsi" w:hAnsiTheme="minorHAnsi" w:cstheme="minorHAnsi"/>
                <w:b/>
                <w:color w:val="59595B"/>
                <w:sz w:val="20"/>
                <w:szCs w:val="20"/>
                <w:lang w:val="en-GB"/>
              </w:rPr>
              <w:t>30,218</w:t>
            </w:r>
            <w:r w:rsidRPr="00A96D90">
              <w:rPr>
                <w:rFonts w:asciiTheme="minorHAnsi" w:hAnsiTheme="minorHAnsi" w:cstheme="minorHAnsi"/>
                <w:b/>
                <w:color w:val="59595B"/>
                <w:sz w:val="20"/>
                <w:szCs w:val="20"/>
                <w:lang w:val="en-GB"/>
              </w:rPr>
              <w:t>)</w:t>
            </w:r>
          </w:p>
        </w:tc>
        <w:tc>
          <w:tcPr>
            <w:tcW w:w="1489" w:type="dxa"/>
            <w:tcBorders>
              <w:bottom w:val="nil"/>
            </w:tcBorders>
          </w:tcPr>
          <w:p w14:paraId="18BCB3A0" w14:textId="77777777" w:rsidR="00E64F9D" w:rsidRPr="00A96D90" w:rsidRDefault="00E64F9D" w:rsidP="00731B77">
            <w:pPr>
              <w:jc w:val="right"/>
              <w:rPr>
                <w:rFonts w:asciiTheme="minorHAnsi" w:hAnsiTheme="minorHAnsi" w:cstheme="minorHAnsi"/>
                <w:b/>
                <w:color w:val="59595B"/>
                <w:sz w:val="20"/>
                <w:szCs w:val="20"/>
                <w:lang w:val="en-GB"/>
              </w:rPr>
            </w:pPr>
          </w:p>
          <w:p w14:paraId="1A43C3BD" w14:textId="3249C191" w:rsidR="00E64F9D" w:rsidRPr="00A96D90" w:rsidRDefault="00E64F9D" w:rsidP="00731B77">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6,734</w:t>
            </w:r>
            <w:r w:rsidRPr="00A96D90">
              <w:rPr>
                <w:rFonts w:asciiTheme="minorHAnsi" w:hAnsiTheme="minorHAnsi" w:cstheme="minorHAnsi"/>
                <w:b/>
                <w:color w:val="59595B"/>
                <w:sz w:val="20"/>
                <w:szCs w:val="20"/>
                <w:lang w:val="en-GB"/>
              </w:rPr>
              <w:t>)</w:t>
            </w:r>
          </w:p>
        </w:tc>
      </w:tr>
      <w:tr w:rsidR="00E64F9D" w:rsidRPr="00A96D90" w14:paraId="62080AC0" w14:textId="77777777" w:rsidTr="00F833F8">
        <w:trPr>
          <w:jc w:val="center"/>
        </w:trPr>
        <w:tc>
          <w:tcPr>
            <w:tcW w:w="5745" w:type="dxa"/>
            <w:tcBorders>
              <w:top w:val="nil"/>
              <w:bottom w:val="nil"/>
            </w:tcBorders>
          </w:tcPr>
          <w:p w14:paraId="35C899B4" w14:textId="77777777" w:rsidR="00E64F9D" w:rsidRPr="00A96D90" w:rsidRDefault="00E64F9D" w:rsidP="00731B77">
            <w:pPr>
              <w:rPr>
                <w:rFonts w:asciiTheme="minorHAnsi" w:hAnsiTheme="minorHAnsi" w:cstheme="minorHAnsi"/>
                <w:color w:val="59595B"/>
                <w:sz w:val="20"/>
                <w:szCs w:val="20"/>
                <w:lang w:val="en-GB"/>
              </w:rPr>
            </w:pPr>
          </w:p>
        </w:tc>
        <w:tc>
          <w:tcPr>
            <w:tcW w:w="1417" w:type="dxa"/>
            <w:tcBorders>
              <w:top w:val="nil"/>
              <w:bottom w:val="nil"/>
            </w:tcBorders>
            <w:shd w:val="clear" w:color="auto" w:fill="F2F2F2" w:themeFill="background1" w:themeFillShade="F2"/>
          </w:tcPr>
          <w:p w14:paraId="6BBD5B90" w14:textId="77777777" w:rsidR="00E64F9D" w:rsidRPr="00A96D90" w:rsidRDefault="00E64F9D" w:rsidP="00731B77">
            <w:pPr>
              <w:ind w:right="69"/>
              <w:jc w:val="right"/>
              <w:rPr>
                <w:rFonts w:asciiTheme="minorHAnsi" w:hAnsiTheme="minorHAnsi" w:cstheme="minorHAnsi"/>
                <w:color w:val="59595B"/>
                <w:sz w:val="20"/>
                <w:szCs w:val="20"/>
                <w:lang w:val="en-GB"/>
              </w:rPr>
            </w:pPr>
          </w:p>
        </w:tc>
        <w:tc>
          <w:tcPr>
            <w:tcW w:w="1489" w:type="dxa"/>
            <w:tcBorders>
              <w:top w:val="nil"/>
              <w:bottom w:val="nil"/>
            </w:tcBorders>
          </w:tcPr>
          <w:p w14:paraId="5A6EA6F6" w14:textId="77777777" w:rsidR="00E64F9D" w:rsidRPr="00A96D90" w:rsidRDefault="00E64F9D" w:rsidP="00731B77">
            <w:pPr>
              <w:jc w:val="right"/>
              <w:rPr>
                <w:rFonts w:asciiTheme="minorHAnsi" w:hAnsiTheme="minorHAnsi" w:cstheme="minorHAnsi"/>
                <w:color w:val="59595B"/>
                <w:sz w:val="20"/>
                <w:szCs w:val="20"/>
                <w:lang w:val="en-GB"/>
              </w:rPr>
            </w:pPr>
          </w:p>
        </w:tc>
      </w:tr>
      <w:tr w:rsidR="00E64F9D" w:rsidRPr="00A96D90" w14:paraId="06972347" w14:textId="77777777" w:rsidTr="00F833F8">
        <w:trPr>
          <w:jc w:val="center"/>
        </w:trPr>
        <w:tc>
          <w:tcPr>
            <w:tcW w:w="5745" w:type="dxa"/>
            <w:tcBorders>
              <w:top w:val="nil"/>
              <w:bottom w:val="nil"/>
            </w:tcBorders>
          </w:tcPr>
          <w:p w14:paraId="69914A5A" w14:textId="77777777" w:rsidR="00E64F9D" w:rsidRPr="00A96D90" w:rsidRDefault="00E64F9D" w:rsidP="00731B7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Currency translation differences</w:t>
            </w:r>
          </w:p>
        </w:tc>
        <w:tc>
          <w:tcPr>
            <w:tcW w:w="1417" w:type="dxa"/>
            <w:tcBorders>
              <w:top w:val="nil"/>
              <w:bottom w:val="nil"/>
            </w:tcBorders>
            <w:shd w:val="clear" w:color="auto" w:fill="F2F2F2" w:themeFill="background1" w:themeFillShade="F2"/>
          </w:tcPr>
          <w:p w14:paraId="05DE6066" w14:textId="0427DC0C" w:rsidR="00E64F9D" w:rsidRPr="00A96D90" w:rsidRDefault="004B30BE" w:rsidP="00731B77">
            <w:pPr>
              <w:ind w:right="69"/>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F1683A" w:rsidRPr="00A96D90">
              <w:rPr>
                <w:rFonts w:asciiTheme="minorHAnsi" w:hAnsiTheme="minorHAnsi" w:cstheme="minorHAnsi"/>
                <w:color w:val="59595B"/>
                <w:sz w:val="20"/>
                <w:szCs w:val="20"/>
                <w:lang w:val="en-GB"/>
              </w:rPr>
              <w:t>67</w:t>
            </w:r>
            <w:r w:rsidRPr="00A96D90">
              <w:rPr>
                <w:rFonts w:asciiTheme="minorHAnsi" w:hAnsiTheme="minorHAnsi" w:cstheme="minorHAnsi"/>
                <w:color w:val="59595B"/>
                <w:sz w:val="20"/>
                <w:szCs w:val="20"/>
                <w:lang w:val="en-GB"/>
              </w:rPr>
              <w:t>2)</w:t>
            </w:r>
          </w:p>
        </w:tc>
        <w:tc>
          <w:tcPr>
            <w:tcW w:w="1489" w:type="dxa"/>
            <w:tcBorders>
              <w:top w:val="nil"/>
              <w:bottom w:val="nil"/>
            </w:tcBorders>
          </w:tcPr>
          <w:p w14:paraId="3F24ECA4" w14:textId="427D7403" w:rsidR="00E64F9D" w:rsidRPr="00A96D90" w:rsidRDefault="00A90BD3" w:rsidP="00731B77">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w:t>
            </w:r>
          </w:p>
        </w:tc>
      </w:tr>
      <w:tr w:rsidR="00E64F9D" w:rsidRPr="00A96D90" w14:paraId="1EC50FAB" w14:textId="77777777" w:rsidTr="00F833F8">
        <w:trPr>
          <w:jc w:val="center"/>
        </w:trPr>
        <w:tc>
          <w:tcPr>
            <w:tcW w:w="5745" w:type="dxa"/>
            <w:tcBorders>
              <w:top w:val="nil"/>
              <w:bottom w:val="nil"/>
            </w:tcBorders>
          </w:tcPr>
          <w:p w14:paraId="6F310A25" w14:textId="77777777" w:rsidR="00E64F9D" w:rsidRPr="00A96D90" w:rsidRDefault="00E64F9D" w:rsidP="00731B77">
            <w:pPr>
              <w:rPr>
                <w:rFonts w:asciiTheme="minorHAnsi" w:hAnsiTheme="minorHAnsi" w:cstheme="minorHAnsi"/>
                <w:color w:val="59595B"/>
                <w:sz w:val="20"/>
                <w:szCs w:val="20"/>
                <w:lang w:val="en-GB"/>
              </w:rPr>
            </w:pPr>
          </w:p>
        </w:tc>
        <w:tc>
          <w:tcPr>
            <w:tcW w:w="1417" w:type="dxa"/>
            <w:tcBorders>
              <w:top w:val="nil"/>
              <w:bottom w:val="nil"/>
            </w:tcBorders>
            <w:shd w:val="clear" w:color="auto" w:fill="F2F2F2" w:themeFill="background1" w:themeFillShade="F2"/>
          </w:tcPr>
          <w:p w14:paraId="475F25DA" w14:textId="77777777" w:rsidR="00E64F9D" w:rsidRPr="00A96D90" w:rsidRDefault="00E64F9D" w:rsidP="00731B77">
            <w:pPr>
              <w:ind w:right="69"/>
              <w:jc w:val="right"/>
              <w:rPr>
                <w:rFonts w:asciiTheme="minorHAnsi" w:hAnsiTheme="minorHAnsi" w:cstheme="minorHAnsi"/>
                <w:color w:val="59595B"/>
                <w:sz w:val="20"/>
                <w:szCs w:val="20"/>
                <w:lang w:val="en-GB"/>
              </w:rPr>
            </w:pPr>
          </w:p>
        </w:tc>
        <w:tc>
          <w:tcPr>
            <w:tcW w:w="1489" w:type="dxa"/>
            <w:tcBorders>
              <w:top w:val="nil"/>
              <w:bottom w:val="nil"/>
            </w:tcBorders>
          </w:tcPr>
          <w:p w14:paraId="283BF224" w14:textId="77777777" w:rsidR="00E64F9D" w:rsidRPr="00A96D90" w:rsidRDefault="00E64F9D" w:rsidP="00731B77">
            <w:pPr>
              <w:jc w:val="right"/>
              <w:rPr>
                <w:rFonts w:asciiTheme="minorHAnsi" w:hAnsiTheme="minorHAnsi" w:cstheme="minorHAnsi"/>
                <w:color w:val="59595B"/>
                <w:sz w:val="20"/>
                <w:szCs w:val="20"/>
                <w:lang w:val="en-GB"/>
              </w:rPr>
            </w:pPr>
          </w:p>
        </w:tc>
      </w:tr>
      <w:tr w:rsidR="00E64F9D" w:rsidRPr="00A96D90" w14:paraId="73E5C033" w14:textId="77777777" w:rsidTr="00F833F8">
        <w:trPr>
          <w:jc w:val="center"/>
        </w:trPr>
        <w:tc>
          <w:tcPr>
            <w:tcW w:w="5745" w:type="dxa"/>
            <w:tcBorders>
              <w:top w:val="nil"/>
              <w:bottom w:val="nil"/>
            </w:tcBorders>
          </w:tcPr>
          <w:p w14:paraId="08F6DCA1" w14:textId="77777777" w:rsidR="00E64F9D" w:rsidRPr="00A96D90" w:rsidRDefault="00E64F9D" w:rsidP="00731B7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Items that may be subsequently reclassified to profit or loss</w:t>
            </w:r>
          </w:p>
        </w:tc>
        <w:tc>
          <w:tcPr>
            <w:tcW w:w="1417" w:type="dxa"/>
            <w:tcBorders>
              <w:top w:val="nil"/>
              <w:bottom w:val="nil"/>
            </w:tcBorders>
            <w:shd w:val="clear" w:color="auto" w:fill="F2F2F2" w:themeFill="background1" w:themeFillShade="F2"/>
          </w:tcPr>
          <w:p w14:paraId="017AC73C" w14:textId="3C17B99A" w:rsidR="00E64F9D" w:rsidRPr="00A96D90" w:rsidRDefault="004B30BE" w:rsidP="00731B77">
            <w:pPr>
              <w:ind w:right="69"/>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F1683A" w:rsidRPr="00A96D90">
              <w:rPr>
                <w:rFonts w:asciiTheme="minorHAnsi" w:hAnsiTheme="minorHAnsi" w:cstheme="minorHAnsi"/>
                <w:color w:val="59595B"/>
                <w:sz w:val="20"/>
                <w:szCs w:val="20"/>
                <w:lang w:val="en-GB"/>
              </w:rPr>
              <w:t>67</w:t>
            </w:r>
            <w:r w:rsidRPr="00A96D90">
              <w:rPr>
                <w:rFonts w:asciiTheme="minorHAnsi" w:hAnsiTheme="minorHAnsi" w:cstheme="minorHAnsi"/>
                <w:color w:val="59595B"/>
                <w:sz w:val="20"/>
                <w:szCs w:val="20"/>
                <w:lang w:val="en-GB"/>
              </w:rPr>
              <w:t>2)</w:t>
            </w:r>
          </w:p>
        </w:tc>
        <w:tc>
          <w:tcPr>
            <w:tcW w:w="1489" w:type="dxa"/>
            <w:tcBorders>
              <w:top w:val="nil"/>
              <w:bottom w:val="nil"/>
            </w:tcBorders>
          </w:tcPr>
          <w:p w14:paraId="5E3A0BDB" w14:textId="2648AE92" w:rsidR="00E64F9D" w:rsidRPr="00A96D90" w:rsidRDefault="00A90BD3" w:rsidP="00731B77">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w:t>
            </w:r>
          </w:p>
        </w:tc>
      </w:tr>
      <w:tr w:rsidR="00E64F9D" w:rsidRPr="00A96D90" w14:paraId="14210928" w14:textId="77777777" w:rsidTr="00F833F8">
        <w:trPr>
          <w:jc w:val="center"/>
        </w:trPr>
        <w:tc>
          <w:tcPr>
            <w:tcW w:w="5745" w:type="dxa"/>
            <w:tcBorders>
              <w:top w:val="nil"/>
              <w:bottom w:val="nil"/>
            </w:tcBorders>
          </w:tcPr>
          <w:p w14:paraId="500B628E" w14:textId="77777777" w:rsidR="00E64F9D" w:rsidRPr="00A96D90" w:rsidRDefault="00E64F9D" w:rsidP="00731B77">
            <w:pPr>
              <w:rPr>
                <w:rFonts w:asciiTheme="minorHAnsi" w:hAnsiTheme="minorHAnsi" w:cstheme="minorHAnsi"/>
                <w:b/>
                <w:color w:val="59595B"/>
                <w:sz w:val="20"/>
                <w:szCs w:val="20"/>
                <w:lang w:val="en-GB"/>
              </w:rPr>
            </w:pPr>
          </w:p>
        </w:tc>
        <w:tc>
          <w:tcPr>
            <w:tcW w:w="1417" w:type="dxa"/>
            <w:tcBorders>
              <w:top w:val="nil"/>
              <w:bottom w:val="nil"/>
            </w:tcBorders>
            <w:shd w:val="clear" w:color="auto" w:fill="F2F2F2" w:themeFill="background1" w:themeFillShade="F2"/>
          </w:tcPr>
          <w:p w14:paraId="5FD0CF81" w14:textId="77777777" w:rsidR="00E64F9D" w:rsidRPr="00A96D90" w:rsidRDefault="00E64F9D" w:rsidP="00731B77">
            <w:pPr>
              <w:ind w:right="69"/>
              <w:jc w:val="right"/>
              <w:rPr>
                <w:rFonts w:asciiTheme="minorHAnsi" w:hAnsiTheme="minorHAnsi" w:cstheme="minorHAnsi"/>
                <w:color w:val="59595B"/>
                <w:sz w:val="20"/>
                <w:szCs w:val="20"/>
                <w:lang w:val="en-GB"/>
              </w:rPr>
            </w:pPr>
          </w:p>
        </w:tc>
        <w:tc>
          <w:tcPr>
            <w:tcW w:w="1489" w:type="dxa"/>
            <w:tcBorders>
              <w:top w:val="nil"/>
              <w:bottom w:val="nil"/>
            </w:tcBorders>
          </w:tcPr>
          <w:p w14:paraId="68B5739C" w14:textId="77777777" w:rsidR="00E64F9D" w:rsidRPr="00A96D90" w:rsidRDefault="00E64F9D" w:rsidP="00731B77">
            <w:pPr>
              <w:jc w:val="right"/>
              <w:rPr>
                <w:rFonts w:asciiTheme="minorHAnsi" w:hAnsiTheme="minorHAnsi" w:cstheme="minorHAnsi"/>
                <w:color w:val="59595B"/>
                <w:sz w:val="20"/>
                <w:szCs w:val="20"/>
                <w:lang w:val="en-GB"/>
              </w:rPr>
            </w:pPr>
          </w:p>
        </w:tc>
      </w:tr>
      <w:tr w:rsidR="00E64F9D" w:rsidRPr="00A96D90" w14:paraId="34D80F49" w14:textId="77777777" w:rsidTr="00F833F8">
        <w:trPr>
          <w:jc w:val="center"/>
        </w:trPr>
        <w:tc>
          <w:tcPr>
            <w:tcW w:w="5745" w:type="dxa"/>
            <w:tcBorders>
              <w:top w:val="nil"/>
              <w:bottom w:val="nil"/>
            </w:tcBorders>
          </w:tcPr>
          <w:p w14:paraId="52690312" w14:textId="77777777" w:rsidR="00E64F9D" w:rsidRPr="00A96D90" w:rsidRDefault="00E64F9D" w:rsidP="00731B7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Other comprehensive income, net of tax</w:t>
            </w:r>
          </w:p>
        </w:tc>
        <w:tc>
          <w:tcPr>
            <w:tcW w:w="1417" w:type="dxa"/>
            <w:tcBorders>
              <w:top w:val="nil"/>
              <w:bottom w:val="nil"/>
            </w:tcBorders>
            <w:shd w:val="clear" w:color="auto" w:fill="F2F2F2" w:themeFill="background1" w:themeFillShade="F2"/>
          </w:tcPr>
          <w:p w14:paraId="21A7A494" w14:textId="565C23B8" w:rsidR="00E64F9D" w:rsidRPr="00A96D90" w:rsidRDefault="004B30BE" w:rsidP="00731B77">
            <w:pPr>
              <w:ind w:right="69"/>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F1683A" w:rsidRPr="00A96D90">
              <w:rPr>
                <w:rFonts w:asciiTheme="minorHAnsi" w:hAnsiTheme="minorHAnsi" w:cstheme="minorHAnsi"/>
                <w:color w:val="59595B"/>
                <w:sz w:val="20"/>
                <w:szCs w:val="20"/>
                <w:lang w:val="en-GB"/>
              </w:rPr>
              <w:t>672</w:t>
            </w:r>
            <w:r w:rsidRPr="00A96D90">
              <w:rPr>
                <w:rFonts w:asciiTheme="minorHAnsi" w:hAnsiTheme="minorHAnsi" w:cstheme="minorHAnsi"/>
                <w:color w:val="59595B"/>
                <w:sz w:val="20"/>
                <w:szCs w:val="20"/>
                <w:lang w:val="en-GB"/>
              </w:rPr>
              <w:t>)</w:t>
            </w:r>
          </w:p>
        </w:tc>
        <w:tc>
          <w:tcPr>
            <w:tcW w:w="1489" w:type="dxa"/>
            <w:tcBorders>
              <w:top w:val="nil"/>
              <w:bottom w:val="nil"/>
            </w:tcBorders>
          </w:tcPr>
          <w:p w14:paraId="37618FD7" w14:textId="144CBA3D" w:rsidR="00E64F9D" w:rsidRPr="00A96D90" w:rsidRDefault="00A90BD3" w:rsidP="00731B77">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w:t>
            </w:r>
          </w:p>
        </w:tc>
      </w:tr>
      <w:tr w:rsidR="00E64F9D" w:rsidRPr="00A96D90" w14:paraId="08A1CF31" w14:textId="77777777" w:rsidTr="00F833F8">
        <w:trPr>
          <w:jc w:val="center"/>
        </w:trPr>
        <w:tc>
          <w:tcPr>
            <w:tcW w:w="5745" w:type="dxa"/>
            <w:tcBorders>
              <w:top w:val="nil"/>
              <w:bottom w:val="nil"/>
            </w:tcBorders>
          </w:tcPr>
          <w:p w14:paraId="5FCF37BD" w14:textId="77777777" w:rsidR="00E64F9D" w:rsidRPr="00A96D90" w:rsidRDefault="00E64F9D" w:rsidP="00731B77">
            <w:pPr>
              <w:rPr>
                <w:rFonts w:asciiTheme="minorHAnsi" w:hAnsiTheme="minorHAnsi" w:cstheme="minorHAnsi"/>
                <w:b/>
                <w:color w:val="59595B"/>
                <w:sz w:val="20"/>
                <w:szCs w:val="20"/>
                <w:lang w:val="en-GB"/>
              </w:rPr>
            </w:pPr>
          </w:p>
        </w:tc>
        <w:tc>
          <w:tcPr>
            <w:tcW w:w="1417" w:type="dxa"/>
            <w:tcBorders>
              <w:top w:val="nil"/>
              <w:bottom w:val="nil"/>
            </w:tcBorders>
            <w:shd w:val="clear" w:color="auto" w:fill="F2F2F2" w:themeFill="background1" w:themeFillShade="F2"/>
          </w:tcPr>
          <w:p w14:paraId="2B9A2DCB" w14:textId="77777777" w:rsidR="00E64F9D" w:rsidRPr="00A96D90" w:rsidRDefault="00E64F9D" w:rsidP="00731B77">
            <w:pPr>
              <w:ind w:right="69"/>
              <w:jc w:val="right"/>
              <w:rPr>
                <w:rFonts w:asciiTheme="minorHAnsi" w:hAnsiTheme="minorHAnsi" w:cstheme="minorHAnsi"/>
                <w:b/>
                <w:color w:val="59595B"/>
                <w:sz w:val="20"/>
                <w:szCs w:val="20"/>
                <w:lang w:val="en-GB"/>
              </w:rPr>
            </w:pPr>
          </w:p>
        </w:tc>
        <w:tc>
          <w:tcPr>
            <w:tcW w:w="1489" w:type="dxa"/>
            <w:tcBorders>
              <w:top w:val="nil"/>
              <w:bottom w:val="nil"/>
            </w:tcBorders>
          </w:tcPr>
          <w:p w14:paraId="54DBA04F" w14:textId="77777777" w:rsidR="00E64F9D" w:rsidRPr="00A96D90" w:rsidRDefault="00E64F9D" w:rsidP="00731B77">
            <w:pPr>
              <w:jc w:val="right"/>
              <w:rPr>
                <w:rFonts w:asciiTheme="minorHAnsi" w:hAnsiTheme="minorHAnsi" w:cstheme="minorHAnsi"/>
                <w:b/>
                <w:color w:val="59595B"/>
                <w:sz w:val="20"/>
                <w:szCs w:val="20"/>
                <w:lang w:val="en-GB"/>
              </w:rPr>
            </w:pPr>
          </w:p>
        </w:tc>
      </w:tr>
      <w:tr w:rsidR="00E64F9D" w:rsidRPr="00A96D90" w14:paraId="1647F0B9" w14:textId="77777777" w:rsidTr="00F833F8">
        <w:trPr>
          <w:jc w:val="center"/>
        </w:trPr>
        <w:tc>
          <w:tcPr>
            <w:tcW w:w="5745" w:type="dxa"/>
            <w:tcBorders>
              <w:top w:val="nil"/>
              <w:bottom w:val="nil"/>
            </w:tcBorders>
          </w:tcPr>
          <w:p w14:paraId="42965222" w14:textId="3621940E" w:rsidR="00E64F9D" w:rsidRPr="00A96D90" w:rsidRDefault="00E64F9D" w:rsidP="001B32EE">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 xml:space="preserve">Total comprehensive income for the </w:t>
            </w:r>
            <w:r w:rsidR="001B32EE" w:rsidRPr="00A96D90">
              <w:rPr>
                <w:rFonts w:asciiTheme="minorHAnsi" w:hAnsiTheme="minorHAnsi" w:cstheme="minorHAnsi"/>
                <w:b/>
                <w:color w:val="59595B"/>
                <w:sz w:val="20"/>
                <w:szCs w:val="20"/>
                <w:lang w:val="en-GB"/>
              </w:rPr>
              <w:t>period</w:t>
            </w:r>
          </w:p>
        </w:tc>
        <w:tc>
          <w:tcPr>
            <w:tcW w:w="1417" w:type="dxa"/>
            <w:tcBorders>
              <w:top w:val="nil"/>
              <w:bottom w:val="nil"/>
            </w:tcBorders>
            <w:shd w:val="clear" w:color="auto" w:fill="F2F2F2" w:themeFill="background1" w:themeFillShade="F2"/>
          </w:tcPr>
          <w:p w14:paraId="1BD9B932" w14:textId="39C81CD6" w:rsidR="00E64F9D" w:rsidRPr="00A96D90" w:rsidRDefault="00E64F9D" w:rsidP="00731B77">
            <w:pPr>
              <w:ind w:right="69"/>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FA55F1" w:rsidRPr="00A96D90">
              <w:rPr>
                <w:rFonts w:asciiTheme="minorHAnsi" w:hAnsiTheme="minorHAnsi" w:cstheme="minorHAnsi"/>
                <w:b/>
                <w:color w:val="59595B"/>
                <w:sz w:val="20"/>
                <w:szCs w:val="20"/>
                <w:lang w:val="en-GB"/>
              </w:rPr>
              <w:t>30,</w:t>
            </w:r>
            <w:r w:rsidR="004B30BE" w:rsidRPr="00A96D90">
              <w:rPr>
                <w:rFonts w:asciiTheme="minorHAnsi" w:hAnsiTheme="minorHAnsi" w:cstheme="minorHAnsi"/>
                <w:b/>
                <w:color w:val="59595B"/>
                <w:sz w:val="20"/>
                <w:szCs w:val="20"/>
                <w:lang w:val="en-GB"/>
              </w:rPr>
              <w:t>890</w:t>
            </w:r>
            <w:r w:rsidRPr="00A96D90">
              <w:rPr>
                <w:rFonts w:asciiTheme="minorHAnsi" w:hAnsiTheme="minorHAnsi" w:cstheme="minorHAnsi"/>
                <w:b/>
                <w:color w:val="59595B"/>
                <w:sz w:val="20"/>
                <w:szCs w:val="20"/>
                <w:lang w:val="en-GB"/>
              </w:rPr>
              <w:t>)</w:t>
            </w:r>
          </w:p>
        </w:tc>
        <w:tc>
          <w:tcPr>
            <w:tcW w:w="1489" w:type="dxa"/>
            <w:tcBorders>
              <w:top w:val="nil"/>
              <w:bottom w:val="nil"/>
            </w:tcBorders>
          </w:tcPr>
          <w:p w14:paraId="0AA27AA6" w14:textId="019339D8" w:rsidR="00E64F9D" w:rsidRPr="00A96D90" w:rsidRDefault="00E64F9D" w:rsidP="00731B77">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A90BD3" w:rsidRPr="00A96D90">
              <w:rPr>
                <w:rFonts w:asciiTheme="minorHAnsi" w:hAnsiTheme="minorHAnsi" w:cstheme="minorHAnsi"/>
                <w:b/>
                <w:color w:val="59595B"/>
                <w:sz w:val="20"/>
                <w:szCs w:val="20"/>
                <w:lang w:val="en-GB"/>
              </w:rPr>
              <w:t>6,735</w:t>
            </w:r>
            <w:r w:rsidRPr="00A96D90">
              <w:rPr>
                <w:rFonts w:asciiTheme="minorHAnsi" w:hAnsiTheme="minorHAnsi" w:cstheme="minorHAnsi"/>
                <w:b/>
                <w:color w:val="59595B"/>
                <w:sz w:val="20"/>
                <w:szCs w:val="20"/>
                <w:lang w:val="en-GB"/>
              </w:rPr>
              <w:t>)</w:t>
            </w:r>
          </w:p>
        </w:tc>
      </w:tr>
      <w:tr w:rsidR="00E64F9D" w:rsidRPr="00A96D90" w14:paraId="633532DA" w14:textId="77777777" w:rsidTr="00F833F8">
        <w:trPr>
          <w:jc w:val="center"/>
        </w:trPr>
        <w:tc>
          <w:tcPr>
            <w:tcW w:w="5745" w:type="dxa"/>
            <w:tcBorders>
              <w:top w:val="nil"/>
              <w:bottom w:val="nil"/>
            </w:tcBorders>
          </w:tcPr>
          <w:p w14:paraId="60EAA872" w14:textId="77777777" w:rsidR="00E64F9D" w:rsidRPr="00A96D90" w:rsidRDefault="00E64F9D" w:rsidP="00731B77">
            <w:pPr>
              <w:rPr>
                <w:rFonts w:asciiTheme="minorHAnsi" w:hAnsiTheme="minorHAnsi" w:cstheme="minorHAnsi"/>
                <w:b/>
                <w:color w:val="59595B"/>
                <w:sz w:val="20"/>
                <w:szCs w:val="20"/>
                <w:lang w:val="en-GB"/>
              </w:rPr>
            </w:pPr>
          </w:p>
        </w:tc>
        <w:tc>
          <w:tcPr>
            <w:tcW w:w="1417" w:type="dxa"/>
            <w:tcBorders>
              <w:top w:val="nil"/>
              <w:bottom w:val="nil"/>
            </w:tcBorders>
            <w:shd w:val="clear" w:color="auto" w:fill="F2F2F2" w:themeFill="background1" w:themeFillShade="F2"/>
          </w:tcPr>
          <w:p w14:paraId="254D02F2" w14:textId="77777777" w:rsidR="00E64F9D" w:rsidRPr="00A96D90" w:rsidRDefault="00E64F9D" w:rsidP="00731B77">
            <w:pPr>
              <w:ind w:right="69"/>
              <w:jc w:val="right"/>
              <w:rPr>
                <w:rFonts w:asciiTheme="minorHAnsi" w:hAnsiTheme="minorHAnsi" w:cstheme="minorHAnsi"/>
                <w:color w:val="59595B"/>
                <w:sz w:val="20"/>
                <w:szCs w:val="20"/>
                <w:lang w:val="en-GB"/>
              </w:rPr>
            </w:pPr>
          </w:p>
        </w:tc>
        <w:tc>
          <w:tcPr>
            <w:tcW w:w="1489" w:type="dxa"/>
            <w:tcBorders>
              <w:top w:val="nil"/>
              <w:bottom w:val="nil"/>
            </w:tcBorders>
          </w:tcPr>
          <w:p w14:paraId="1676B61D" w14:textId="77777777" w:rsidR="00E64F9D" w:rsidRPr="00A96D90" w:rsidRDefault="00E64F9D" w:rsidP="00731B77">
            <w:pPr>
              <w:jc w:val="right"/>
              <w:rPr>
                <w:rFonts w:asciiTheme="minorHAnsi" w:hAnsiTheme="minorHAnsi" w:cstheme="minorHAnsi"/>
                <w:color w:val="59595B"/>
                <w:sz w:val="20"/>
                <w:szCs w:val="20"/>
                <w:lang w:val="en-GB"/>
              </w:rPr>
            </w:pPr>
          </w:p>
        </w:tc>
      </w:tr>
      <w:tr w:rsidR="00E64F9D" w:rsidRPr="00A96D90" w14:paraId="1AA615B1" w14:textId="77777777" w:rsidTr="00F833F8">
        <w:trPr>
          <w:jc w:val="center"/>
        </w:trPr>
        <w:tc>
          <w:tcPr>
            <w:tcW w:w="5745" w:type="dxa"/>
            <w:tcBorders>
              <w:top w:val="nil"/>
            </w:tcBorders>
          </w:tcPr>
          <w:p w14:paraId="0AECB781" w14:textId="77777777" w:rsidR="00E64F9D" w:rsidRPr="00A96D90" w:rsidRDefault="00E64F9D" w:rsidP="00731B77">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Attributable to:</w:t>
            </w:r>
          </w:p>
        </w:tc>
        <w:tc>
          <w:tcPr>
            <w:tcW w:w="1417" w:type="dxa"/>
            <w:tcBorders>
              <w:top w:val="nil"/>
              <w:bottom w:val="single" w:sz="4" w:space="0" w:color="BFBFBF" w:themeColor="background1" w:themeShade="BF"/>
            </w:tcBorders>
            <w:shd w:val="clear" w:color="auto" w:fill="F2F2F2" w:themeFill="background1" w:themeFillShade="F2"/>
          </w:tcPr>
          <w:p w14:paraId="36488F54" w14:textId="77777777" w:rsidR="00E64F9D" w:rsidRPr="00A96D90" w:rsidRDefault="00E64F9D" w:rsidP="00731B77">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c>
          <w:tcPr>
            <w:tcW w:w="1489" w:type="dxa"/>
            <w:tcBorders>
              <w:top w:val="nil"/>
              <w:bottom w:val="single" w:sz="4" w:space="0" w:color="BFBFBF" w:themeColor="background1" w:themeShade="BF"/>
            </w:tcBorders>
          </w:tcPr>
          <w:p w14:paraId="18AF5D97" w14:textId="77777777" w:rsidR="00E64F9D" w:rsidRPr="00A96D90" w:rsidRDefault="00E64F9D" w:rsidP="00731B77">
            <w:pPr>
              <w:tabs>
                <w:tab w:val="left" w:pos="3686"/>
                <w:tab w:val="right" w:pos="7200"/>
                <w:tab w:val="right" w:pos="8820"/>
              </w:tabs>
              <w:autoSpaceDE w:val="0"/>
              <w:autoSpaceDN w:val="0"/>
              <w:adjustRightInd w:val="0"/>
              <w:jc w:val="right"/>
              <w:rPr>
                <w:rFonts w:asciiTheme="minorHAnsi" w:hAnsiTheme="minorHAnsi" w:cstheme="minorHAnsi"/>
                <w:color w:val="59595B"/>
                <w:sz w:val="20"/>
                <w:szCs w:val="20"/>
                <w:lang w:val="en-GB"/>
              </w:rPr>
            </w:pPr>
          </w:p>
        </w:tc>
      </w:tr>
      <w:tr w:rsidR="00960A4C" w:rsidRPr="00A96D90" w14:paraId="60CC8453" w14:textId="77777777" w:rsidTr="00F833F8">
        <w:trPr>
          <w:jc w:val="center"/>
        </w:trPr>
        <w:tc>
          <w:tcPr>
            <w:tcW w:w="5745" w:type="dxa"/>
          </w:tcPr>
          <w:p w14:paraId="709AE4BD" w14:textId="77777777" w:rsidR="00E64F9D" w:rsidRPr="00A96D90" w:rsidRDefault="00E64F9D" w:rsidP="00731B77">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Owners of the parent</w:t>
            </w:r>
          </w:p>
        </w:tc>
        <w:tc>
          <w:tcPr>
            <w:tcW w:w="1417" w:type="dxa"/>
            <w:tcBorders>
              <w:top w:val="single" w:sz="4" w:space="0" w:color="BFBFBF" w:themeColor="background1" w:themeShade="BF"/>
              <w:bottom w:val="nil"/>
            </w:tcBorders>
            <w:shd w:val="clear" w:color="auto" w:fill="F2F2F2" w:themeFill="background1" w:themeFillShade="F2"/>
          </w:tcPr>
          <w:p w14:paraId="014624C5" w14:textId="0AF24E11" w:rsidR="00E64F9D" w:rsidRPr="00A96D90" w:rsidRDefault="00E64F9D" w:rsidP="00731B77">
            <w:pPr>
              <w:ind w:right="69"/>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FA55F1" w:rsidRPr="00A96D90">
              <w:rPr>
                <w:rFonts w:asciiTheme="minorHAnsi" w:hAnsiTheme="minorHAnsi" w:cstheme="minorHAnsi"/>
                <w:color w:val="59595B"/>
                <w:sz w:val="20"/>
                <w:szCs w:val="20"/>
                <w:lang w:val="en-GB"/>
              </w:rPr>
              <w:t>30,</w:t>
            </w:r>
            <w:r w:rsidR="004B30BE" w:rsidRPr="00A96D90">
              <w:rPr>
                <w:rFonts w:asciiTheme="minorHAnsi" w:hAnsiTheme="minorHAnsi" w:cstheme="minorHAnsi"/>
                <w:color w:val="59595B"/>
                <w:sz w:val="20"/>
                <w:szCs w:val="20"/>
                <w:lang w:val="en-GB"/>
              </w:rPr>
              <w:t>890</w:t>
            </w:r>
            <w:r w:rsidRPr="00A96D90">
              <w:rPr>
                <w:rFonts w:asciiTheme="minorHAnsi" w:hAnsiTheme="minorHAnsi" w:cstheme="minorHAnsi"/>
                <w:color w:val="59595B"/>
                <w:sz w:val="20"/>
                <w:szCs w:val="20"/>
                <w:lang w:val="en-GB"/>
              </w:rPr>
              <w:t>)</w:t>
            </w:r>
          </w:p>
        </w:tc>
        <w:tc>
          <w:tcPr>
            <w:tcW w:w="1489" w:type="dxa"/>
            <w:tcBorders>
              <w:top w:val="single" w:sz="4" w:space="0" w:color="BFBFBF" w:themeColor="background1" w:themeShade="BF"/>
            </w:tcBorders>
          </w:tcPr>
          <w:p w14:paraId="7AFD41A6" w14:textId="4FFFADF7" w:rsidR="00E64F9D" w:rsidRPr="00A96D90" w:rsidRDefault="00A90BD3" w:rsidP="00731B77">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(6,735</w:t>
            </w:r>
            <w:r w:rsidR="00E64F9D" w:rsidRPr="00A96D90">
              <w:rPr>
                <w:rFonts w:asciiTheme="minorHAnsi" w:hAnsiTheme="minorHAnsi" w:cstheme="minorHAnsi"/>
                <w:color w:val="59595B"/>
                <w:sz w:val="20"/>
                <w:szCs w:val="20"/>
                <w:lang w:val="en-GB"/>
              </w:rPr>
              <w:t>)</w:t>
            </w:r>
          </w:p>
        </w:tc>
      </w:tr>
    </w:tbl>
    <w:p w14:paraId="20FD55AC" w14:textId="77777777" w:rsidR="00E64F9D" w:rsidRPr="00A96D90" w:rsidRDefault="00E64F9D" w:rsidP="00E64F9D">
      <w:pPr>
        <w:rPr>
          <w:rFonts w:ascii="Calibri" w:hAnsi="Calibri" w:cstheme="minorHAnsi"/>
          <w:szCs w:val="22"/>
          <w:lang w:val="en-GB"/>
        </w:rPr>
      </w:pPr>
    </w:p>
    <w:p w14:paraId="31CC6214" w14:textId="77777777" w:rsidR="00E64F9D" w:rsidRPr="00A96D90" w:rsidRDefault="00E64F9D" w:rsidP="00E64F9D">
      <w:pPr>
        <w:rPr>
          <w:rFonts w:ascii="Calibri" w:hAnsi="Calibri" w:cstheme="minorHAnsi"/>
          <w:szCs w:val="22"/>
          <w:lang w:val="en-GB"/>
        </w:rPr>
      </w:pPr>
    </w:p>
    <w:p w14:paraId="414C7F77" w14:textId="77777777" w:rsidR="00521EFD" w:rsidRPr="00A96D90" w:rsidRDefault="00521EFD">
      <w:pPr>
        <w:jc w:val="left"/>
        <w:rPr>
          <w:rFonts w:ascii="Calibri" w:hAnsi="Calibri" w:cstheme="minorHAnsi"/>
          <w:b/>
          <w:color w:val="276E8B" w:themeColor="accent1" w:themeShade="BF"/>
          <w:szCs w:val="22"/>
          <w:lang w:val="en-GB"/>
        </w:rPr>
      </w:pPr>
      <w:r w:rsidRPr="00A96D90">
        <w:rPr>
          <w:rFonts w:ascii="Calibri" w:hAnsi="Calibri" w:cstheme="minorHAnsi"/>
          <w:b/>
          <w:color w:val="276E8B" w:themeColor="accent1" w:themeShade="BF"/>
          <w:szCs w:val="22"/>
          <w:lang w:val="en-GB"/>
        </w:rPr>
        <w:br w:type="page"/>
      </w:r>
    </w:p>
    <w:p w14:paraId="528D4EAD" w14:textId="4D02C9C1" w:rsidR="00E64F9D" w:rsidRPr="00A96D90" w:rsidRDefault="00521EFD" w:rsidP="00521EFD">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121027B4" w14:textId="77777777" w:rsidR="00E64F9D" w:rsidRPr="00A96D90" w:rsidRDefault="00E64F9D" w:rsidP="00521EFD">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10CFEA9A" w14:textId="77777777" w:rsidR="00E64F9D" w:rsidRPr="00A96D90" w:rsidRDefault="00E64F9D" w:rsidP="00E64F9D">
      <w:pPr>
        <w:rPr>
          <w:rFonts w:ascii="Calibri" w:hAnsi="Calibri" w:cstheme="minorHAnsi"/>
          <w:b/>
          <w:color w:val="7E7B99" w:themeColor="text2" w:themeTint="99"/>
          <w:szCs w:val="22"/>
          <w:lang w:val="en-GB"/>
        </w:rPr>
      </w:pP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r w:rsidRPr="00A96D90">
        <w:rPr>
          <w:rFonts w:ascii="Calibri" w:hAnsi="Calibri" w:cstheme="minorHAnsi"/>
          <w:color w:val="7E7B99" w:themeColor="text2" w:themeTint="99"/>
          <w:szCs w:val="22"/>
          <w:lang w:val="en-GB"/>
        </w:rPr>
        <w:tab/>
      </w:r>
    </w:p>
    <w:tbl>
      <w:tblPr>
        <w:tblW w:w="896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80"/>
        <w:gridCol w:w="890"/>
        <w:gridCol w:w="1580"/>
        <w:gridCol w:w="1712"/>
      </w:tblGrid>
      <w:tr w:rsidR="00E64F9D" w:rsidRPr="00A96D90" w14:paraId="6B7BFAAA" w14:textId="77777777" w:rsidTr="00F833F8">
        <w:trPr>
          <w:jc w:val="center"/>
        </w:trPr>
        <w:tc>
          <w:tcPr>
            <w:tcW w:w="4780" w:type="dxa"/>
            <w:tcBorders>
              <w:bottom w:val="single" w:sz="4" w:space="0" w:color="BFBFBF" w:themeColor="background1" w:themeShade="BF"/>
            </w:tcBorders>
            <w:shd w:val="clear" w:color="auto" w:fill="auto"/>
          </w:tcPr>
          <w:p w14:paraId="1367D0FE" w14:textId="77777777" w:rsidR="00E64F9D" w:rsidRPr="00A96D90" w:rsidRDefault="00E64F9D" w:rsidP="003426AC">
            <w:pPr>
              <w:tabs>
                <w:tab w:val="left" w:pos="3686"/>
                <w:tab w:val="right" w:pos="7200"/>
                <w:tab w:val="right" w:pos="8789"/>
                <w:tab w:val="right" w:pos="8820"/>
              </w:tabs>
              <w:autoSpaceDE w:val="0"/>
              <w:autoSpaceDN w:val="0"/>
              <w:adjustRightInd w:val="0"/>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Amounts in €’000</w:t>
            </w:r>
          </w:p>
          <w:p w14:paraId="10C958D9" w14:textId="77777777" w:rsidR="00E64F9D" w:rsidRPr="00A96D90" w:rsidRDefault="00E64F9D" w:rsidP="003426AC">
            <w:pPr>
              <w:tabs>
                <w:tab w:val="left" w:pos="3686"/>
                <w:tab w:val="right" w:pos="7200"/>
                <w:tab w:val="right" w:pos="8789"/>
                <w:tab w:val="right" w:pos="8820"/>
              </w:tabs>
              <w:autoSpaceDE w:val="0"/>
              <w:autoSpaceDN w:val="0"/>
              <w:adjustRightInd w:val="0"/>
              <w:rPr>
                <w:rFonts w:asciiTheme="minorHAnsi" w:hAnsiTheme="minorHAnsi" w:cs="Arial"/>
                <w:bCs/>
                <w:i/>
                <w:color w:val="00679B"/>
                <w:sz w:val="20"/>
                <w:szCs w:val="20"/>
                <w:lang w:val="en-GB"/>
              </w:rPr>
            </w:pPr>
          </w:p>
        </w:tc>
        <w:tc>
          <w:tcPr>
            <w:tcW w:w="890" w:type="dxa"/>
            <w:tcBorders>
              <w:bottom w:val="single" w:sz="4" w:space="0" w:color="BFBFBF" w:themeColor="background1" w:themeShade="BF"/>
            </w:tcBorders>
            <w:shd w:val="clear" w:color="auto" w:fill="auto"/>
          </w:tcPr>
          <w:p w14:paraId="176235A1"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Notes</w:t>
            </w:r>
          </w:p>
          <w:p w14:paraId="2DB02F31"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p>
        </w:tc>
        <w:tc>
          <w:tcPr>
            <w:tcW w:w="1580" w:type="dxa"/>
            <w:tcBorders>
              <w:bottom w:val="single" w:sz="4" w:space="0" w:color="BFBFBF" w:themeColor="background1" w:themeShade="BF"/>
            </w:tcBorders>
            <w:shd w:val="clear" w:color="auto" w:fill="F2F2F2" w:themeFill="background1" w:themeFillShade="F2"/>
          </w:tcPr>
          <w:p w14:paraId="5B0F2C23"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30 June</w:t>
            </w:r>
          </w:p>
          <w:p w14:paraId="701D2389" w14:textId="018CFC5C" w:rsidR="00E64F9D" w:rsidRPr="00A96D90" w:rsidRDefault="005A4351"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2017</w:t>
            </w:r>
          </w:p>
        </w:tc>
        <w:tc>
          <w:tcPr>
            <w:tcW w:w="1712" w:type="dxa"/>
            <w:tcBorders>
              <w:bottom w:val="single" w:sz="4" w:space="0" w:color="BFBFBF" w:themeColor="background1" w:themeShade="BF"/>
            </w:tcBorders>
            <w:shd w:val="clear" w:color="auto" w:fill="auto"/>
          </w:tcPr>
          <w:p w14:paraId="28E94365"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31 December</w:t>
            </w:r>
          </w:p>
          <w:p w14:paraId="17CB40A7" w14:textId="20033F4D"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
                <w:bCs/>
                <w:color w:val="00679B"/>
                <w:sz w:val="20"/>
                <w:szCs w:val="20"/>
                <w:lang w:val="en-GB"/>
              </w:rPr>
            </w:pPr>
            <w:r w:rsidRPr="00A96D90">
              <w:rPr>
                <w:rFonts w:asciiTheme="minorHAnsi" w:hAnsiTheme="minorHAnsi" w:cs="Arial"/>
                <w:b/>
                <w:bCs/>
                <w:color w:val="00679B"/>
                <w:sz w:val="20"/>
                <w:szCs w:val="20"/>
                <w:lang w:val="en-GB"/>
              </w:rPr>
              <w:t>201</w:t>
            </w:r>
            <w:r w:rsidR="00F1683A" w:rsidRPr="00A96D90">
              <w:rPr>
                <w:rFonts w:asciiTheme="minorHAnsi" w:hAnsiTheme="minorHAnsi" w:cs="Arial"/>
                <w:b/>
                <w:bCs/>
                <w:color w:val="00679B"/>
                <w:sz w:val="20"/>
                <w:szCs w:val="20"/>
                <w:lang w:val="en-GB"/>
              </w:rPr>
              <w:t>6</w:t>
            </w:r>
          </w:p>
        </w:tc>
      </w:tr>
      <w:tr w:rsidR="00E64F9D" w:rsidRPr="00A96D90" w14:paraId="5313D9CE" w14:textId="77777777" w:rsidTr="00F833F8">
        <w:trPr>
          <w:jc w:val="center"/>
        </w:trPr>
        <w:tc>
          <w:tcPr>
            <w:tcW w:w="4780" w:type="dxa"/>
            <w:tcBorders>
              <w:bottom w:val="nil"/>
            </w:tcBorders>
          </w:tcPr>
          <w:p w14:paraId="0E4C4E36" w14:textId="77777777" w:rsidR="00E64F9D" w:rsidRPr="00A96D90" w:rsidRDefault="00E64F9D" w:rsidP="003426AC">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p>
        </w:tc>
        <w:tc>
          <w:tcPr>
            <w:tcW w:w="890" w:type="dxa"/>
            <w:tcBorders>
              <w:bottom w:val="nil"/>
            </w:tcBorders>
          </w:tcPr>
          <w:p w14:paraId="20612A3D"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4A9E179D"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bottom w:val="nil"/>
            </w:tcBorders>
          </w:tcPr>
          <w:p w14:paraId="2DFCB761" w14:textId="77777777" w:rsidR="00E64F9D" w:rsidRPr="00A96D90" w:rsidRDefault="00E64F9D" w:rsidP="003426AC">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44AA57DA" w14:textId="77777777" w:rsidTr="00F833F8">
        <w:trPr>
          <w:jc w:val="center"/>
        </w:trPr>
        <w:tc>
          <w:tcPr>
            <w:tcW w:w="4780" w:type="dxa"/>
            <w:tcBorders>
              <w:top w:val="nil"/>
              <w:bottom w:val="nil"/>
            </w:tcBorders>
          </w:tcPr>
          <w:p w14:paraId="3B979E4F"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Intangible assets</w:t>
            </w:r>
          </w:p>
        </w:tc>
        <w:tc>
          <w:tcPr>
            <w:tcW w:w="890" w:type="dxa"/>
            <w:tcBorders>
              <w:top w:val="nil"/>
              <w:bottom w:val="nil"/>
            </w:tcBorders>
          </w:tcPr>
          <w:p w14:paraId="42A11ACF"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398E566F" w14:textId="03556DBA" w:rsidR="00F1683A" w:rsidRPr="00A96D90" w:rsidRDefault="00E65A8D"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55,855</w:t>
            </w:r>
          </w:p>
        </w:tc>
        <w:tc>
          <w:tcPr>
            <w:tcW w:w="1712" w:type="dxa"/>
            <w:tcBorders>
              <w:top w:val="nil"/>
              <w:bottom w:val="nil"/>
            </w:tcBorders>
          </w:tcPr>
          <w:p w14:paraId="2496B4FF" w14:textId="567AB9EF"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56,680</w:t>
            </w:r>
          </w:p>
        </w:tc>
      </w:tr>
      <w:tr w:rsidR="00F1683A" w:rsidRPr="00A96D90" w14:paraId="39078BB1" w14:textId="77777777" w:rsidTr="00F833F8">
        <w:trPr>
          <w:jc w:val="center"/>
        </w:trPr>
        <w:tc>
          <w:tcPr>
            <w:tcW w:w="4780" w:type="dxa"/>
            <w:tcBorders>
              <w:top w:val="nil"/>
              <w:bottom w:val="nil"/>
            </w:tcBorders>
          </w:tcPr>
          <w:p w14:paraId="55F92F65"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Property, plant and equipment</w:t>
            </w:r>
          </w:p>
        </w:tc>
        <w:tc>
          <w:tcPr>
            <w:tcW w:w="890" w:type="dxa"/>
            <w:tcBorders>
              <w:top w:val="nil"/>
              <w:bottom w:val="nil"/>
            </w:tcBorders>
          </w:tcPr>
          <w:p w14:paraId="539C106E"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252F2487" w14:textId="468D0445" w:rsidR="00F1683A" w:rsidRPr="00A96D90" w:rsidRDefault="00E65A8D"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7,104</w:t>
            </w:r>
          </w:p>
        </w:tc>
        <w:tc>
          <w:tcPr>
            <w:tcW w:w="1712" w:type="dxa"/>
            <w:tcBorders>
              <w:top w:val="nil"/>
              <w:bottom w:val="nil"/>
            </w:tcBorders>
          </w:tcPr>
          <w:p w14:paraId="1C991D58" w14:textId="1639BA55"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6,043</w:t>
            </w:r>
          </w:p>
        </w:tc>
      </w:tr>
      <w:tr w:rsidR="00AF6430" w:rsidRPr="00A96D90" w14:paraId="4163E1E3" w14:textId="77777777" w:rsidTr="00023A49">
        <w:trPr>
          <w:jc w:val="center"/>
        </w:trPr>
        <w:tc>
          <w:tcPr>
            <w:tcW w:w="4780" w:type="dxa"/>
            <w:tcBorders>
              <w:top w:val="nil"/>
              <w:bottom w:val="nil"/>
            </w:tcBorders>
          </w:tcPr>
          <w:p w14:paraId="57C69D41" w14:textId="77777777" w:rsidR="00AF6430" w:rsidRPr="00A96D90" w:rsidRDefault="00AF6430" w:rsidP="00023A49">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Long term prepayment</w:t>
            </w:r>
          </w:p>
        </w:tc>
        <w:tc>
          <w:tcPr>
            <w:tcW w:w="890" w:type="dxa"/>
            <w:tcBorders>
              <w:top w:val="nil"/>
              <w:bottom w:val="nil"/>
            </w:tcBorders>
          </w:tcPr>
          <w:p w14:paraId="798BA7DE" w14:textId="77777777" w:rsidR="00AF6430" w:rsidRPr="00A96D90" w:rsidRDefault="00AF6430" w:rsidP="00023A4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DB3E701" w14:textId="77777777" w:rsidR="00AF6430" w:rsidRPr="00A96D90" w:rsidRDefault="00AF6430" w:rsidP="00023A4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2,644</w:t>
            </w:r>
          </w:p>
        </w:tc>
        <w:tc>
          <w:tcPr>
            <w:tcW w:w="1712" w:type="dxa"/>
            <w:tcBorders>
              <w:top w:val="nil"/>
              <w:bottom w:val="nil"/>
            </w:tcBorders>
          </w:tcPr>
          <w:p w14:paraId="79B21F33" w14:textId="551E2638" w:rsidR="00AF6430" w:rsidRPr="00A96D90" w:rsidRDefault="00AF6430" w:rsidP="00023A49">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1,622</w:t>
            </w:r>
          </w:p>
        </w:tc>
      </w:tr>
      <w:tr w:rsidR="00F1683A" w:rsidRPr="00A96D90" w14:paraId="0F7AE250" w14:textId="77777777" w:rsidTr="00F833F8">
        <w:trPr>
          <w:jc w:val="center"/>
        </w:trPr>
        <w:tc>
          <w:tcPr>
            <w:tcW w:w="4780" w:type="dxa"/>
            <w:tcBorders>
              <w:top w:val="nil"/>
              <w:bottom w:val="nil"/>
            </w:tcBorders>
          </w:tcPr>
          <w:p w14:paraId="7186CD28"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Restricted cash</w:t>
            </w:r>
          </w:p>
        </w:tc>
        <w:tc>
          <w:tcPr>
            <w:tcW w:w="890" w:type="dxa"/>
            <w:tcBorders>
              <w:top w:val="nil"/>
              <w:bottom w:val="nil"/>
            </w:tcBorders>
          </w:tcPr>
          <w:p w14:paraId="5B7958C9"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59500E87" w14:textId="754B5DAF"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248</w:t>
            </w:r>
          </w:p>
        </w:tc>
        <w:tc>
          <w:tcPr>
            <w:tcW w:w="1712" w:type="dxa"/>
            <w:tcBorders>
              <w:top w:val="nil"/>
              <w:bottom w:val="nil"/>
            </w:tcBorders>
          </w:tcPr>
          <w:p w14:paraId="6F4A4661" w14:textId="19CDE50E"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248</w:t>
            </w:r>
          </w:p>
        </w:tc>
      </w:tr>
      <w:tr w:rsidR="00F1683A" w:rsidRPr="00A96D90" w14:paraId="25B3285F" w14:textId="77777777" w:rsidTr="00F833F8">
        <w:trPr>
          <w:jc w:val="center"/>
        </w:trPr>
        <w:tc>
          <w:tcPr>
            <w:tcW w:w="4780" w:type="dxa"/>
            <w:tcBorders>
              <w:top w:val="nil"/>
              <w:bottom w:val="nil"/>
            </w:tcBorders>
          </w:tcPr>
          <w:p w14:paraId="7848E044"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assets</w:t>
            </w:r>
          </w:p>
        </w:tc>
        <w:tc>
          <w:tcPr>
            <w:tcW w:w="890" w:type="dxa"/>
            <w:tcBorders>
              <w:top w:val="nil"/>
              <w:bottom w:val="nil"/>
            </w:tcBorders>
          </w:tcPr>
          <w:p w14:paraId="1ED07C4D"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3F3D6985" w14:textId="71C28438"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65,851</w:t>
            </w:r>
          </w:p>
        </w:tc>
        <w:tc>
          <w:tcPr>
            <w:tcW w:w="1712" w:type="dxa"/>
            <w:tcBorders>
              <w:top w:val="nil"/>
              <w:bottom w:val="nil"/>
            </w:tcBorders>
          </w:tcPr>
          <w:p w14:paraId="3205DB19" w14:textId="516ADC91"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64,593</w:t>
            </w:r>
          </w:p>
        </w:tc>
      </w:tr>
      <w:tr w:rsidR="00F1683A" w:rsidRPr="00A96D90" w14:paraId="1656CBEE" w14:textId="77777777" w:rsidTr="00F833F8">
        <w:trPr>
          <w:jc w:val="center"/>
        </w:trPr>
        <w:tc>
          <w:tcPr>
            <w:tcW w:w="4780" w:type="dxa"/>
            <w:tcBorders>
              <w:top w:val="nil"/>
              <w:bottom w:val="nil"/>
            </w:tcBorders>
          </w:tcPr>
          <w:p w14:paraId="652099A1"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2EB29C84"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152B446E"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37ECE696"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3557C4AC" w14:textId="77777777" w:rsidTr="00F833F8">
        <w:trPr>
          <w:jc w:val="center"/>
        </w:trPr>
        <w:tc>
          <w:tcPr>
            <w:tcW w:w="4780" w:type="dxa"/>
            <w:tcBorders>
              <w:top w:val="nil"/>
              <w:bottom w:val="nil"/>
            </w:tcBorders>
          </w:tcPr>
          <w:p w14:paraId="1ADA2F39"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Inventories</w:t>
            </w:r>
          </w:p>
        </w:tc>
        <w:tc>
          <w:tcPr>
            <w:tcW w:w="890" w:type="dxa"/>
            <w:tcBorders>
              <w:top w:val="nil"/>
              <w:bottom w:val="nil"/>
            </w:tcBorders>
          </w:tcPr>
          <w:p w14:paraId="3F52554E" w14:textId="54454EAB" w:rsidR="00F1683A" w:rsidRPr="00A96D90" w:rsidRDefault="009A4A0B"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9</w:t>
            </w:r>
          </w:p>
        </w:tc>
        <w:tc>
          <w:tcPr>
            <w:tcW w:w="1580" w:type="dxa"/>
            <w:tcBorders>
              <w:top w:val="nil"/>
              <w:bottom w:val="nil"/>
            </w:tcBorders>
            <w:shd w:val="clear" w:color="auto" w:fill="F2F2F2" w:themeFill="background1" w:themeFillShade="F2"/>
          </w:tcPr>
          <w:p w14:paraId="549F62A2" w14:textId="51B1DF83"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17,473</w:t>
            </w:r>
          </w:p>
        </w:tc>
        <w:tc>
          <w:tcPr>
            <w:tcW w:w="1712" w:type="dxa"/>
            <w:tcBorders>
              <w:top w:val="nil"/>
              <w:bottom w:val="nil"/>
            </w:tcBorders>
          </w:tcPr>
          <w:p w14:paraId="0197BDC4" w14:textId="6FBF0052"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sidR="00AF6430" w:rsidRPr="00A96D90">
              <w:rPr>
                <w:rFonts w:asciiTheme="minorHAnsi" w:hAnsiTheme="minorHAnsi" w:cs="Arial"/>
                <w:bCs/>
                <w:color w:val="59595B"/>
                <w:sz w:val="20"/>
                <w:szCs w:val="20"/>
                <w:lang w:val="en-GB"/>
              </w:rPr>
              <w:t>7,941</w:t>
            </w:r>
          </w:p>
        </w:tc>
      </w:tr>
      <w:tr w:rsidR="00F1683A" w:rsidRPr="00A96D90" w14:paraId="19506940" w14:textId="77777777" w:rsidTr="00F833F8">
        <w:trPr>
          <w:jc w:val="center"/>
        </w:trPr>
        <w:tc>
          <w:tcPr>
            <w:tcW w:w="4780" w:type="dxa"/>
            <w:tcBorders>
              <w:top w:val="nil"/>
              <w:bottom w:val="nil"/>
            </w:tcBorders>
          </w:tcPr>
          <w:p w14:paraId="0320C45E"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receivables</w:t>
            </w:r>
          </w:p>
        </w:tc>
        <w:tc>
          <w:tcPr>
            <w:tcW w:w="890" w:type="dxa"/>
            <w:tcBorders>
              <w:top w:val="nil"/>
              <w:bottom w:val="nil"/>
            </w:tcBorders>
          </w:tcPr>
          <w:p w14:paraId="1B1A0CE0"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516CAA7B" w14:textId="75480E6D"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18,645</w:t>
            </w:r>
          </w:p>
        </w:tc>
        <w:tc>
          <w:tcPr>
            <w:tcW w:w="1712" w:type="dxa"/>
            <w:tcBorders>
              <w:top w:val="nil"/>
              <w:bottom w:val="nil"/>
            </w:tcBorders>
          </w:tcPr>
          <w:p w14:paraId="50D51340" w14:textId="7D4AEFDA"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12,630</w:t>
            </w:r>
          </w:p>
        </w:tc>
      </w:tr>
      <w:tr w:rsidR="00F1683A" w:rsidRPr="00A96D90" w14:paraId="478A3FDF" w14:textId="77777777" w:rsidTr="00F833F8">
        <w:trPr>
          <w:jc w:val="center"/>
        </w:trPr>
        <w:tc>
          <w:tcPr>
            <w:tcW w:w="4780" w:type="dxa"/>
            <w:tcBorders>
              <w:top w:val="nil"/>
              <w:bottom w:val="nil"/>
            </w:tcBorders>
          </w:tcPr>
          <w:p w14:paraId="3CE27E6A"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Cash and cash equivalents</w:t>
            </w:r>
          </w:p>
        </w:tc>
        <w:tc>
          <w:tcPr>
            <w:tcW w:w="890" w:type="dxa"/>
            <w:tcBorders>
              <w:top w:val="nil"/>
              <w:bottom w:val="nil"/>
            </w:tcBorders>
          </w:tcPr>
          <w:p w14:paraId="58186AE5"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3BC9AA7C" w14:textId="2972E0F2"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24,997</w:t>
            </w:r>
          </w:p>
        </w:tc>
        <w:tc>
          <w:tcPr>
            <w:tcW w:w="1712" w:type="dxa"/>
            <w:tcBorders>
              <w:top w:val="nil"/>
              <w:bottom w:val="nil"/>
            </w:tcBorders>
          </w:tcPr>
          <w:p w14:paraId="429E21FA" w14:textId="1211A56E"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31,889</w:t>
            </w:r>
          </w:p>
        </w:tc>
      </w:tr>
      <w:tr w:rsidR="00F1683A" w:rsidRPr="00A96D90" w14:paraId="51CBDFAD" w14:textId="77777777" w:rsidTr="00F833F8">
        <w:trPr>
          <w:jc w:val="center"/>
        </w:trPr>
        <w:tc>
          <w:tcPr>
            <w:tcW w:w="4780" w:type="dxa"/>
            <w:tcBorders>
              <w:top w:val="nil"/>
              <w:bottom w:val="nil"/>
            </w:tcBorders>
          </w:tcPr>
          <w:p w14:paraId="1DC135DD"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assets</w:t>
            </w:r>
          </w:p>
        </w:tc>
        <w:tc>
          <w:tcPr>
            <w:tcW w:w="890" w:type="dxa"/>
            <w:tcBorders>
              <w:top w:val="nil"/>
              <w:bottom w:val="nil"/>
            </w:tcBorders>
          </w:tcPr>
          <w:p w14:paraId="183C2FB0"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57FE2297" w14:textId="691922BB"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61,115</w:t>
            </w:r>
          </w:p>
        </w:tc>
        <w:tc>
          <w:tcPr>
            <w:tcW w:w="1712" w:type="dxa"/>
            <w:tcBorders>
              <w:top w:val="nil"/>
              <w:bottom w:val="nil"/>
            </w:tcBorders>
          </w:tcPr>
          <w:p w14:paraId="4B81E8C6" w14:textId="44619B62"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62,190</w:t>
            </w:r>
          </w:p>
        </w:tc>
      </w:tr>
      <w:tr w:rsidR="00F1683A" w:rsidRPr="00A96D90" w14:paraId="3A849706" w14:textId="77777777" w:rsidTr="00F833F8">
        <w:trPr>
          <w:jc w:val="center"/>
        </w:trPr>
        <w:tc>
          <w:tcPr>
            <w:tcW w:w="4780" w:type="dxa"/>
            <w:tcBorders>
              <w:top w:val="nil"/>
              <w:bottom w:val="single" w:sz="4" w:space="0" w:color="BFBFBF" w:themeColor="background1" w:themeShade="BF"/>
            </w:tcBorders>
          </w:tcPr>
          <w:p w14:paraId="1550D155"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single" w:sz="4" w:space="0" w:color="BFBFBF" w:themeColor="background1" w:themeShade="BF"/>
            </w:tcBorders>
          </w:tcPr>
          <w:p w14:paraId="587B696B"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118808EA"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2ACAA0B9"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767A87EB" w14:textId="77777777" w:rsidTr="00F833F8">
        <w:trPr>
          <w:jc w:val="center"/>
        </w:trPr>
        <w:tc>
          <w:tcPr>
            <w:tcW w:w="4780" w:type="dxa"/>
            <w:tcBorders>
              <w:top w:val="single" w:sz="4" w:space="0" w:color="BFBFBF" w:themeColor="background1" w:themeShade="BF"/>
              <w:bottom w:val="single" w:sz="4" w:space="0" w:color="BFBFBF" w:themeColor="background1" w:themeShade="BF"/>
            </w:tcBorders>
          </w:tcPr>
          <w:p w14:paraId="0BA2956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assets</w:t>
            </w:r>
          </w:p>
        </w:tc>
        <w:tc>
          <w:tcPr>
            <w:tcW w:w="890" w:type="dxa"/>
            <w:tcBorders>
              <w:top w:val="single" w:sz="4" w:space="0" w:color="BFBFBF" w:themeColor="background1" w:themeShade="BF"/>
              <w:bottom w:val="single" w:sz="4" w:space="0" w:color="BFBFBF" w:themeColor="background1" w:themeShade="BF"/>
            </w:tcBorders>
          </w:tcPr>
          <w:p w14:paraId="774A4A2F"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80CEEFF" w14:textId="16404C3A"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126,966</w:t>
            </w:r>
          </w:p>
        </w:tc>
        <w:tc>
          <w:tcPr>
            <w:tcW w:w="1712" w:type="dxa"/>
            <w:tcBorders>
              <w:top w:val="single" w:sz="4" w:space="0" w:color="BFBFBF" w:themeColor="background1" w:themeShade="BF"/>
              <w:bottom w:val="single" w:sz="4" w:space="0" w:color="BFBFBF" w:themeColor="background1" w:themeShade="BF"/>
            </w:tcBorders>
          </w:tcPr>
          <w:p w14:paraId="2339ABA4" w14:textId="119D01A5"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126.783</w:t>
            </w:r>
          </w:p>
        </w:tc>
      </w:tr>
      <w:tr w:rsidR="00F1683A" w:rsidRPr="00A96D90" w14:paraId="36497A15" w14:textId="77777777" w:rsidTr="00F833F8">
        <w:trPr>
          <w:jc w:val="center"/>
        </w:trPr>
        <w:tc>
          <w:tcPr>
            <w:tcW w:w="4780" w:type="dxa"/>
            <w:tcBorders>
              <w:bottom w:val="nil"/>
            </w:tcBorders>
          </w:tcPr>
          <w:p w14:paraId="55BD3E4D"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bottom w:val="nil"/>
            </w:tcBorders>
          </w:tcPr>
          <w:p w14:paraId="580BFA98"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bottom w:val="nil"/>
            </w:tcBorders>
            <w:shd w:val="clear" w:color="auto" w:fill="F2F2F2" w:themeFill="background1" w:themeFillShade="F2"/>
          </w:tcPr>
          <w:p w14:paraId="5E998544"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bottom w:val="nil"/>
            </w:tcBorders>
          </w:tcPr>
          <w:p w14:paraId="429A58B2"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256962F4" w14:textId="77777777" w:rsidTr="00F833F8">
        <w:trPr>
          <w:jc w:val="center"/>
        </w:trPr>
        <w:tc>
          <w:tcPr>
            <w:tcW w:w="4780" w:type="dxa"/>
            <w:tcBorders>
              <w:top w:val="nil"/>
              <w:bottom w:val="nil"/>
            </w:tcBorders>
          </w:tcPr>
          <w:p w14:paraId="3BDD542A"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capital</w:t>
            </w:r>
          </w:p>
        </w:tc>
        <w:tc>
          <w:tcPr>
            <w:tcW w:w="890" w:type="dxa"/>
            <w:tcBorders>
              <w:top w:val="nil"/>
              <w:bottom w:val="nil"/>
            </w:tcBorders>
          </w:tcPr>
          <w:p w14:paraId="34F2B59C"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5E2E0028" w14:textId="7307D924"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4,</w:t>
            </w:r>
            <w:r w:rsidR="00446F27" w:rsidRPr="00A96D90">
              <w:rPr>
                <w:rFonts w:asciiTheme="minorHAnsi" w:hAnsiTheme="minorHAnsi" w:cs="Arial"/>
                <w:bCs/>
                <w:color w:val="59595B"/>
                <w:sz w:val="20"/>
                <w:szCs w:val="20"/>
                <w:lang w:val="en-GB"/>
              </w:rPr>
              <w:t>839</w:t>
            </w:r>
          </w:p>
        </w:tc>
        <w:tc>
          <w:tcPr>
            <w:tcW w:w="1712" w:type="dxa"/>
            <w:tcBorders>
              <w:top w:val="nil"/>
              <w:bottom w:val="nil"/>
            </w:tcBorders>
          </w:tcPr>
          <w:p w14:paraId="25C8DA3F" w14:textId="381B099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4,</w:t>
            </w:r>
            <w:r w:rsidR="00AF6430" w:rsidRPr="00A96D90">
              <w:rPr>
                <w:rFonts w:asciiTheme="minorHAnsi" w:hAnsiTheme="minorHAnsi" w:cs="Arial"/>
                <w:bCs/>
                <w:color w:val="59595B"/>
                <w:sz w:val="20"/>
                <w:szCs w:val="20"/>
                <w:lang w:val="en-GB"/>
              </w:rPr>
              <w:t>556</w:t>
            </w:r>
          </w:p>
        </w:tc>
      </w:tr>
      <w:tr w:rsidR="00F1683A" w:rsidRPr="00A96D90" w14:paraId="2E9F1D63" w14:textId="77777777" w:rsidTr="00F833F8">
        <w:trPr>
          <w:jc w:val="center"/>
        </w:trPr>
        <w:tc>
          <w:tcPr>
            <w:tcW w:w="4780" w:type="dxa"/>
            <w:tcBorders>
              <w:top w:val="nil"/>
              <w:bottom w:val="nil"/>
            </w:tcBorders>
          </w:tcPr>
          <w:p w14:paraId="5705E9BB"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Share premium</w:t>
            </w:r>
          </w:p>
        </w:tc>
        <w:tc>
          <w:tcPr>
            <w:tcW w:w="890" w:type="dxa"/>
            <w:tcBorders>
              <w:top w:val="nil"/>
              <w:bottom w:val="nil"/>
            </w:tcBorders>
          </w:tcPr>
          <w:p w14:paraId="18E48287"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1170357C" w14:textId="57433C96" w:rsidR="00F1683A" w:rsidRPr="00A96D90" w:rsidRDefault="00FA55F1"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310,907</w:t>
            </w:r>
          </w:p>
        </w:tc>
        <w:tc>
          <w:tcPr>
            <w:tcW w:w="1712" w:type="dxa"/>
            <w:tcBorders>
              <w:top w:val="nil"/>
              <w:bottom w:val="nil"/>
            </w:tcBorders>
          </w:tcPr>
          <w:p w14:paraId="18C0919E" w14:textId="70D637A6"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301,876</w:t>
            </w:r>
          </w:p>
        </w:tc>
      </w:tr>
      <w:tr w:rsidR="00F1683A" w:rsidRPr="00A96D90" w14:paraId="2DBC6704" w14:textId="77777777" w:rsidTr="00F833F8">
        <w:trPr>
          <w:jc w:val="center"/>
        </w:trPr>
        <w:tc>
          <w:tcPr>
            <w:tcW w:w="4780" w:type="dxa"/>
            <w:tcBorders>
              <w:top w:val="nil"/>
              <w:bottom w:val="nil"/>
            </w:tcBorders>
          </w:tcPr>
          <w:p w14:paraId="2937214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Legal reserves</w:t>
            </w:r>
          </w:p>
        </w:tc>
        <w:tc>
          <w:tcPr>
            <w:tcW w:w="890" w:type="dxa"/>
            <w:tcBorders>
              <w:top w:val="nil"/>
              <w:bottom w:val="nil"/>
            </w:tcBorders>
          </w:tcPr>
          <w:p w14:paraId="4304711E"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1C745AF3" w14:textId="5074444F"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(612)</w:t>
            </w:r>
          </w:p>
        </w:tc>
        <w:tc>
          <w:tcPr>
            <w:tcW w:w="1712" w:type="dxa"/>
            <w:tcBorders>
              <w:top w:val="nil"/>
              <w:bottom w:val="nil"/>
            </w:tcBorders>
          </w:tcPr>
          <w:p w14:paraId="36D1E7F5" w14:textId="33FCDFDF"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6</w:t>
            </w:r>
            <w:r w:rsidR="00AF6430" w:rsidRPr="00A96D90">
              <w:rPr>
                <w:rFonts w:asciiTheme="minorHAnsi" w:hAnsiTheme="minorHAnsi" w:cs="Arial"/>
                <w:bCs/>
                <w:color w:val="59595B"/>
                <w:sz w:val="20"/>
                <w:szCs w:val="20"/>
                <w:lang w:val="en-GB"/>
              </w:rPr>
              <w:t>0</w:t>
            </w:r>
          </w:p>
        </w:tc>
      </w:tr>
      <w:tr w:rsidR="00F1683A" w:rsidRPr="00A96D90" w14:paraId="059093FD" w14:textId="77777777" w:rsidTr="00F833F8">
        <w:trPr>
          <w:jc w:val="center"/>
        </w:trPr>
        <w:tc>
          <w:tcPr>
            <w:tcW w:w="4780" w:type="dxa"/>
            <w:tcBorders>
              <w:top w:val="nil"/>
              <w:bottom w:val="nil"/>
            </w:tcBorders>
          </w:tcPr>
          <w:p w14:paraId="2FC8C318"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Accumulated deficit</w:t>
            </w:r>
          </w:p>
        </w:tc>
        <w:tc>
          <w:tcPr>
            <w:tcW w:w="890" w:type="dxa"/>
            <w:tcBorders>
              <w:top w:val="nil"/>
              <w:bottom w:val="nil"/>
            </w:tcBorders>
          </w:tcPr>
          <w:p w14:paraId="43F143DD"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19C54E74" w14:textId="23685D78"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w:t>
            </w:r>
            <w:r w:rsidR="00FA55F1" w:rsidRPr="00A96D90">
              <w:rPr>
                <w:rFonts w:asciiTheme="minorHAnsi" w:hAnsiTheme="minorHAnsi" w:cs="Arial"/>
                <w:bCs/>
                <w:color w:val="59595B"/>
                <w:sz w:val="20"/>
                <w:szCs w:val="20"/>
                <w:lang w:val="en-GB"/>
              </w:rPr>
              <w:t>308,370</w:t>
            </w:r>
            <w:r w:rsidRPr="00A96D90">
              <w:rPr>
                <w:rFonts w:asciiTheme="minorHAnsi" w:hAnsiTheme="minorHAnsi" w:cs="Arial"/>
                <w:bCs/>
                <w:color w:val="59595B"/>
                <w:sz w:val="20"/>
                <w:szCs w:val="20"/>
                <w:lang w:val="en-GB"/>
              </w:rPr>
              <w:t>)</w:t>
            </w:r>
          </w:p>
        </w:tc>
        <w:tc>
          <w:tcPr>
            <w:tcW w:w="1712" w:type="dxa"/>
            <w:tcBorders>
              <w:top w:val="nil"/>
              <w:bottom w:val="nil"/>
            </w:tcBorders>
          </w:tcPr>
          <w:p w14:paraId="415F7176" w14:textId="31E8DEEA"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(279,025</w:t>
            </w:r>
            <w:r w:rsidR="00F1683A" w:rsidRPr="00A96D90">
              <w:rPr>
                <w:rFonts w:asciiTheme="minorHAnsi" w:hAnsiTheme="minorHAnsi" w:cs="Arial"/>
                <w:bCs/>
                <w:color w:val="59595B"/>
                <w:sz w:val="20"/>
                <w:szCs w:val="20"/>
                <w:lang w:val="en-GB"/>
              </w:rPr>
              <w:t>)</w:t>
            </w:r>
          </w:p>
        </w:tc>
      </w:tr>
      <w:tr w:rsidR="00F1683A" w:rsidRPr="00A96D90" w14:paraId="66FD76B9" w14:textId="77777777" w:rsidTr="00F833F8">
        <w:trPr>
          <w:jc w:val="center"/>
        </w:trPr>
        <w:tc>
          <w:tcPr>
            <w:tcW w:w="4780" w:type="dxa"/>
            <w:tcBorders>
              <w:top w:val="nil"/>
              <w:bottom w:val="nil"/>
            </w:tcBorders>
          </w:tcPr>
          <w:p w14:paraId="1689F56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Shareholders’ equity</w:t>
            </w:r>
          </w:p>
        </w:tc>
        <w:tc>
          <w:tcPr>
            <w:tcW w:w="890" w:type="dxa"/>
            <w:tcBorders>
              <w:top w:val="nil"/>
              <w:bottom w:val="nil"/>
            </w:tcBorders>
          </w:tcPr>
          <w:p w14:paraId="45983580" w14:textId="486EF2A8" w:rsidR="00F1683A" w:rsidRPr="00A96D90" w:rsidRDefault="009A4A0B"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10</w:t>
            </w:r>
          </w:p>
        </w:tc>
        <w:tc>
          <w:tcPr>
            <w:tcW w:w="1580" w:type="dxa"/>
            <w:tcBorders>
              <w:top w:val="nil"/>
              <w:bottom w:val="nil"/>
            </w:tcBorders>
            <w:shd w:val="clear" w:color="auto" w:fill="F2F2F2" w:themeFill="background1" w:themeFillShade="F2"/>
          </w:tcPr>
          <w:p w14:paraId="7B495B78" w14:textId="2A2218A8" w:rsidR="00F1683A" w:rsidRPr="00A96D90" w:rsidRDefault="00446F27"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6,</w:t>
            </w:r>
            <w:r w:rsidR="00FA55F1" w:rsidRPr="00A96D90">
              <w:rPr>
                <w:rFonts w:asciiTheme="minorHAnsi" w:hAnsiTheme="minorHAnsi" w:cs="Arial"/>
                <w:b/>
                <w:bCs/>
                <w:color w:val="59595B"/>
                <w:sz w:val="20"/>
                <w:szCs w:val="20"/>
                <w:lang w:val="en-GB"/>
              </w:rPr>
              <w:t>764</w:t>
            </w:r>
          </w:p>
        </w:tc>
        <w:tc>
          <w:tcPr>
            <w:tcW w:w="1712" w:type="dxa"/>
            <w:tcBorders>
              <w:top w:val="nil"/>
              <w:bottom w:val="nil"/>
            </w:tcBorders>
          </w:tcPr>
          <w:p w14:paraId="484700FB" w14:textId="425A3DFA"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27,467</w:t>
            </w:r>
          </w:p>
        </w:tc>
      </w:tr>
      <w:tr w:rsidR="00F1683A" w:rsidRPr="00A96D90" w14:paraId="23E681F0" w14:textId="77777777" w:rsidTr="00F833F8">
        <w:trPr>
          <w:jc w:val="center"/>
        </w:trPr>
        <w:tc>
          <w:tcPr>
            <w:tcW w:w="4780" w:type="dxa"/>
            <w:tcBorders>
              <w:top w:val="nil"/>
              <w:bottom w:val="nil"/>
            </w:tcBorders>
          </w:tcPr>
          <w:p w14:paraId="24C0735F"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0616C707"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32DDFDE8"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09628720"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0B566A47" w14:textId="77777777" w:rsidTr="00F833F8">
        <w:trPr>
          <w:jc w:val="center"/>
        </w:trPr>
        <w:tc>
          <w:tcPr>
            <w:tcW w:w="4780" w:type="dxa"/>
            <w:tcBorders>
              <w:top w:val="nil"/>
              <w:bottom w:val="nil"/>
            </w:tcBorders>
          </w:tcPr>
          <w:p w14:paraId="5D138736" w14:textId="0D957D2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Loans and borrowings (more than one year)</w:t>
            </w:r>
          </w:p>
        </w:tc>
        <w:tc>
          <w:tcPr>
            <w:tcW w:w="890" w:type="dxa"/>
            <w:tcBorders>
              <w:top w:val="nil"/>
              <w:bottom w:val="nil"/>
            </w:tcBorders>
          </w:tcPr>
          <w:p w14:paraId="51371734" w14:textId="44011ACD"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sidR="009A4A0B" w:rsidRPr="00A96D90">
              <w:rPr>
                <w:rFonts w:asciiTheme="minorHAnsi" w:hAnsiTheme="minorHAnsi" w:cs="Arial"/>
                <w:bCs/>
                <w:color w:val="59595B"/>
                <w:sz w:val="20"/>
                <w:szCs w:val="20"/>
                <w:lang w:val="en-GB"/>
              </w:rPr>
              <w:t>1</w:t>
            </w:r>
          </w:p>
        </w:tc>
        <w:tc>
          <w:tcPr>
            <w:tcW w:w="1580" w:type="dxa"/>
            <w:tcBorders>
              <w:top w:val="nil"/>
              <w:bottom w:val="nil"/>
            </w:tcBorders>
            <w:shd w:val="clear" w:color="auto" w:fill="F2F2F2" w:themeFill="background1" w:themeFillShade="F2"/>
          </w:tcPr>
          <w:p w14:paraId="49821802" w14:textId="6343CCE5" w:rsidR="00F1683A" w:rsidRPr="00A96D90" w:rsidRDefault="004246C5"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78,628</w:t>
            </w:r>
          </w:p>
        </w:tc>
        <w:tc>
          <w:tcPr>
            <w:tcW w:w="1712" w:type="dxa"/>
            <w:tcBorders>
              <w:top w:val="nil"/>
              <w:bottom w:val="nil"/>
            </w:tcBorders>
          </w:tcPr>
          <w:p w14:paraId="1EDFD0B5" w14:textId="52716726"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40,395</w:t>
            </w:r>
          </w:p>
        </w:tc>
      </w:tr>
      <w:tr w:rsidR="00F1683A" w:rsidRPr="00A96D90" w14:paraId="4FDBB7D5" w14:textId="77777777" w:rsidTr="00F833F8">
        <w:trPr>
          <w:jc w:val="center"/>
        </w:trPr>
        <w:tc>
          <w:tcPr>
            <w:tcW w:w="4780" w:type="dxa"/>
            <w:tcBorders>
              <w:top w:val="nil"/>
              <w:bottom w:val="nil"/>
            </w:tcBorders>
          </w:tcPr>
          <w:p w14:paraId="0D37D3F4"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890" w:type="dxa"/>
            <w:tcBorders>
              <w:top w:val="nil"/>
              <w:bottom w:val="nil"/>
            </w:tcBorders>
          </w:tcPr>
          <w:p w14:paraId="31CAE6EC"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5009B6D0" w14:textId="2BD3A266"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1,867</w:t>
            </w:r>
          </w:p>
        </w:tc>
        <w:tc>
          <w:tcPr>
            <w:tcW w:w="1712" w:type="dxa"/>
            <w:tcBorders>
              <w:top w:val="nil"/>
              <w:bottom w:val="nil"/>
            </w:tcBorders>
          </w:tcPr>
          <w:p w14:paraId="1FB7238E" w14:textId="64A5F300"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2,270</w:t>
            </w:r>
          </w:p>
        </w:tc>
      </w:tr>
      <w:tr w:rsidR="00F1683A" w:rsidRPr="00A96D90" w14:paraId="0025AD9E" w14:textId="77777777" w:rsidTr="00F833F8">
        <w:trPr>
          <w:jc w:val="center"/>
        </w:trPr>
        <w:tc>
          <w:tcPr>
            <w:tcW w:w="4780" w:type="dxa"/>
            <w:tcBorders>
              <w:top w:val="nil"/>
              <w:bottom w:val="nil"/>
            </w:tcBorders>
          </w:tcPr>
          <w:p w14:paraId="3B28378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890" w:type="dxa"/>
            <w:tcBorders>
              <w:top w:val="nil"/>
              <w:bottom w:val="nil"/>
            </w:tcBorders>
          </w:tcPr>
          <w:p w14:paraId="10E70505"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09B85587" w14:textId="1D65655F"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572</w:t>
            </w:r>
          </w:p>
        </w:tc>
        <w:tc>
          <w:tcPr>
            <w:tcW w:w="1712" w:type="dxa"/>
            <w:tcBorders>
              <w:top w:val="nil"/>
              <w:bottom w:val="nil"/>
            </w:tcBorders>
          </w:tcPr>
          <w:p w14:paraId="7FB5E52B" w14:textId="13ED9F0D"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599</w:t>
            </w:r>
          </w:p>
        </w:tc>
      </w:tr>
      <w:tr w:rsidR="00AF6430" w:rsidRPr="00A96D90" w14:paraId="6B4D4901" w14:textId="77777777" w:rsidTr="00F833F8">
        <w:trPr>
          <w:jc w:val="center"/>
        </w:trPr>
        <w:tc>
          <w:tcPr>
            <w:tcW w:w="4780" w:type="dxa"/>
            <w:tcBorders>
              <w:top w:val="nil"/>
              <w:bottom w:val="nil"/>
            </w:tcBorders>
          </w:tcPr>
          <w:p w14:paraId="7EC2029A" w14:textId="79159176" w:rsidR="00AF6430" w:rsidRPr="00A96D90" w:rsidRDefault="00AF6430"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Other provisions</w:t>
            </w:r>
          </w:p>
        </w:tc>
        <w:tc>
          <w:tcPr>
            <w:tcW w:w="890" w:type="dxa"/>
            <w:tcBorders>
              <w:top w:val="nil"/>
              <w:bottom w:val="nil"/>
            </w:tcBorders>
          </w:tcPr>
          <w:p w14:paraId="73EABB43" w14:textId="77777777" w:rsidR="00AF6430"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0F1EFA25" w14:textId="09174524" w:rsidR="00AF6430"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sidRPr="00A96D90">
              <w:rPr>
                <w:rFonts w:asciiTheme="minorHAnsi" w:hAnsiTheme="minorHAnsi" w:cs="Arial"/>
                <w:bCs/>
                <w:color w:val="59595B"/>
                <w:sz w:val="20"/>
                <w:lang w:val="en-GB"/>
              </w:rPr>
              <w:t>4,674</w:t>
            </w:r>
          </w:p>
        </w:tc>
        <w:tc>
          <w:tcPr>
            <w:tcW w:w="1712" w:type="dxa"/>
            <w:tcBorders>
              <w:top w:val="nil"/>
              <w:bottom w:val="nil"/>
            </w:tcBorders>
          </w:tcPr>
          <w:p w14:paraId="326F1A36" w14:textId="3237CEB2" w:rsidR="00AF6430"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lang w:val="en-GB"/>
              </w:rPr>
            </w:pPr>
            <w:r w:rsidRPr="00A96D90">
              <w:rPr>
                <w:rFonts w:asciiTheme="minorHAnsi" w:hAnsiTheme="minorHAnsi" w:cs="Arial"/>
                <w:bCs/>
                <w:color w:val="59595B"/>
                <w:sz w:val="20"/>
                <w:lang w:val="en-GB"/>
              </w:rPr>
              <w:t>4,674</w:t>
            </w:r>
          </w:p>
        </w:tc>
      </w:tr>
      <w:tr w:rsidR="00F1683A" w:rsidRPr="00A96D90" w14:paraId="57268B3F" w14:textId="77777777" w:rsidTr="00F833F8">
        <w:trPr>
          <w:jc w:val="center"/>
        </w:trPr>
        <w:tc>
          <w:tcPr>
            <w:tcW w:w="4780" w:type="dxa"/>
            <w:tcBorders>
              <w:top w:val="nil"/>
              <w:bottom w:val="nil"/>
            </w:tcBorders>
          </w:tcPr>
          <w:p w14:paraId="408237C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Non-current liabilities</w:t>
            </w:r>
          </w:p>
        </w:tc>
        <w:tc>
          <w:tcPr>
            <w:tcW w:w="890" w:type="dxa"/>
            <w:tcBorders>
              <w:top w:val="nil"/>
              <w:bottom w:val="nil"/>
            </w:tcBorders>
          </w:tcPr>
          <w:p w14:paraId="5EA29BAB"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1F3AD733" w14:textId="6D728C73" w:rsidR="00F1683A" w:rsidRPr="00A96D90" w:rsidRDefault="004246C5"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85,741</w:t>
            </w:r>
          </w:p>
        </w:tc>
        <w:tc>
          <w:tcPr>
            <w:tcW w:w="1712" w:type="dxa"/>
            <w:tcBorders>
              <w:top w:val="nil"/>
              <w:bottom w:val="nil"/>
            </w:tcBorders>
          </w:tcPr>
          <w:p w14:paraId="2F5E7E78" w14:textId="13148342"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47,938</w:t>
            </w:r>
          </w:p>
        </w:tc>
      </w:tr>
      <w:tr w:rsidR="00F1683A" w:rsidRPr="00A96D90" w14:paraId="12AF54DE" w14:textId="77777777" w:rsidTr="00F833F8">
        <w:trPr>
          <w:jc w:val="center"/>
        </w:trPr>
        <w:tc>
          <w:tcPr>
            <w:tcW w:w="4780" w:type="dxa"/>
            <w:tcBorders>
              <w:top w:val="nil"/>
              <w:bottom w:val="nil"/>
            </w:tcBorders>
          </w:tcPr>
          <w:p w14:paraId="7CB8DEED"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nil"/>
            </w:tcBorders>
          </w:tcPr>
          <w:p w14:paraId="5B4D31A4"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3B76510C"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nil"/>
            </w:tcBorders>
          </w:tcPr>
          <w:p w14:paraId="4510057D"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09EE65DB" w14:textId="77777777" w:rsidTr="00F833F8">
        <w:trPr>
          <w:jc w:val="center"/>
        </w:trPr>
        <w:tc>
          <w:tcPr>
            <w:tcW w:w="4780" w:type="dxa"/>
            <w:tcBorders>
              <w:top w:val="nil"/>
              <w:bottom w:val="nil"/>
            </w:tcBorders>
          </w:tcPr>
          <w:p w14:paraId="6B5794EC" w14:textId="16F58F09"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Loans and borrowings</w:t>
            </w:r>
            <w:r w:rsidR="003F3657" w:rsidRPr="00A96D90">
              <w:rPr>
                <w:rFonts w:asciiTheme="minorHAnsi" w:hAnsiTheme="minorHAnsi" w:cs="Arial"/>
                <w:bCs/>
                <w:color w:val="59595B"/>
                <w:sz w:val="20"/>
                <w:szCs w:val="20"/>
                <w:lang w:val="en-GB"/>
              </w:rPr>
              <w:t xml:space="preserve"> (less than one </w:t>
            </w:r>
            <w:r w:rsidRPr="00A96D90">
              <w:rPr>
                <w:rFonts w:asciiTheme="minorHAnsi" w:hAnsiTheme="minorHAnsi" w:cs="Arial"/>
                <w:bCs/>
                <w:color w:val="59595B"/>
                <w:sz w:val="20"/>
                <w:szCs w:val="20"/>
                <w:lang w:val="en-GB"/>
              </w:rPr>
              <w:t>year)</w:t>
            </w:r>
          </w:p>
        </w:tc>
        <w:tc>
          <w:tcPr>
            <w:tcW w:w="890" w:type="dxa"/>
            <w:tcBorders>
              <w:top w:val="nil"/>
              <w:bottom w:val="nil"/>
            </w:tcBorders>
          </w:tcPr>
          <w:p w14:paraId="19F91E7E" w14:textId="3341E993"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sidR="009A4A0B" w:rsidRPr="00A96D90">
              <w:rPr>
                <w:rFonts w:asciiTheme="minorHAnsi" w:hAnsiTheme="minorHAnsi" w:cs="Arial"/>
                <w:bCs/>
                <w:color w:val="59595B"/>
                <w:sz w:val="20"/>
                <w:szCs w:val="20"/>
                <w:lang w:val="en-GB"/>
              </w:rPr>
              <w:t>1</w:t>
            </w:r>
          </w:p>
        </w:tc>
        <w:tc>
          <w:tcPr>
            <w:tcW w:w="1580" w:type="dxa"/>
            <w:tcBorders>
              <w:top w:val="nil"/>
              <w:bottom w:val="nil"/>
            </w:tcBorders>
            <w:shd w:val="clear" w:color="auto" w:fill="F2F2F2" w:themeFill="background1" w:themeFillShade="F2"/>
          </w:tcPr>
          <w:p w14:paraId="05138BE3" w14:textId="346BD917" w:rsidR="00F1683A" w:rsidRPr="00A96D90" w:rsidRDefault="004246C5"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11,028</w:t>
            </w:r>
          </w:p>
        </w:tc>
        <w:tc>
          <w:tcPr>
            <w:tcW w:w="1712" w:type="dxa"/>
            <w:tcBorders>
              <w:top w:val="nil"/>
              <w:bottom w:val="nil"/>
            </w:tcBorders>
          </w:tcPr>
          <w:p w14:paraId="59EA3B36" w14:textId="0B45FDB4"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26,136</w:t>
            </w:r>
          </w:p>
        </w:tc>
      </w:tr>
      <w:tr w:rsidR="00F1683A" w:rsidRPr="00A96D90" w14:paraId="3F29FE96" w14:textId="77777777" w:rsidTr="00F833F8">
        <w:trPr>
          <w:jc w:val="center"/>
        </w:trPr>
        <w:tc>
          <w:tcPr>
            <w:tcW w:w="4780" w:type="dxa"/>
            <w:tcBorders>
              <w:top w:val="nil"/>
              <w:bottom w:val="nil"/>
            </w:tcBorders>
          </w:tcPr>
          <w:p w14:paraId="19C630DE"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Cs/>
                <w:color w:val="59595B"/>
                <w:sz w:val="20"/>
                <w:szCs w:val="20"/>
                <w:lang w:val="en-GB"/>
              </w:rPr>
              <w:t>Deferred license fees income</w:t>
            </w:r>
          </w:p>
        </w:tc>
        <w:tc>
          <w:tcPr>
            <w:tcW w:w="890" w:type="dxa"/>
            <w:tcBorders>
              <w:top w:val="nil"/>
              <w:bottom w:val="nil"/>
            </w:tcBorders>
          </w:tcPr>
          <w:p w14:paraId="634D71DD"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2D16147C" w14:textId="0A44E3E4"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811</w:t>
            </w:r>
          </w:p>
        </w:tc>
        <w:tc>
          <w:tcPr>
            <w:tcW w:w="1712" w:type="dxa"/>
            <w:tcBorders>
              <w:top w:val="nil"/>
              <w:bottom w:val="nil"/>
            </w:tcBorders>
          </w:tcPr>
          <w:p w14:paraId="431CB3C9" w14:textId="43A1BDD9"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943</w:t>
            </w:r>
          </w:p>
        </w:tc>
      </w:tr>
      <w:tr w:rsidR="00F1683A" w:rsidRPr="00A96D90" w14:paraId="23E0F245" w14:textId="77777777" w:rsidTr="00F833F8">
        <w:trPr>
          <w:jc w:val="center"/>
        </w:trPr>
        <w:tc>
          <w:tcPr>
            <w:tcW w:w="4780" w:type="dxa"/>
            <w:tcBorders>
              <w:top w:val="nil"/>
              <w:bottom w:val="nil"/>
            </w:tcBorders>
          </w:tcPr>
          <w:p w14:paraId="49188ECB"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Derivative financial liabilities</w:t>
            </w:r>
          </w:p>
        </w:tc>
        <w:tc>
          <w:tcPr>
            <w:tcW w:w="890" w:type="dxa"/>
            <w:tcBorders>
              <w:top w:val="nil"/>
              <w:bottom w:val="nil"/>
            </w:tcBorders>
          </w:tcPr>
          <w:p w14:paraId="4E2AD477" w14:textId="4DB0446E"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1</w:t>
            </w:r>
            <w:r w:rsidR="009A4A0B" w:rsidRPr="00A96D90">
              <w:rPr>
                <w:rFonts w:asciiTheme="minorHAnsi" w:hAnsiTheme="minorHAnsi" w:cs="Arial"/>
                <w:bCs/>
                <w:color w:val="59595B"/>
                <w:sz w:val="20"/>
                <w:szCs w:val="20"/>
                <w:lang w:val="en-GB"/>
              </w:rPr>
              <w:t>2</w:t>
            </w:r>
          </w:p>
        </w:tc>
        <w:tc>
          <w:tcPr>
            <w:tcW w:w="1580" w:type="dxa"/>
            <w:tcBorders>
              <w:top w:val="nil"/>
              <w:bottom w:val="nil"/>
            </w:tcBorders>
            <w:shd w:val="clear" w:color="auto" w:fill="F2F2F2" w:themeFill="background1" w:themeFillShade="F2"/>
          </w:tcPr>
          <w:p w14:paraId="5C25C773" w14:textId="389C392D"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7,354</w:t>
            </w:r>
          </w:p>
        </w:tc>
        <w:tc>
          <w:tcPr>
            <w:tcW w:w="1712" w:type="dxa"/>
            <w:tcBorders>
              <w:top w:val="nil"/>
              <w:bottom w:val="nil"/>
            </w:tcBorders>
          </w:tcPr>
          <w:p w14:paraId="30616809" w14:textId="1CFE2906"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9,982</w:t>
            </w:r>
          </w:p>
        </w:tc>
      </w:tr>
      <w:tr w:rsidR="00F1683A" w:rsidRPr="00A96D90" w14:paraId="36F226F8" w14:textId="77777777" w:rsidTr="00F833F8">
        <w:trPr>
          <w:jc w:val="center"/>
        </w:trPr>
        <w:tc>
          <w:tcPr>
            <w:tcW w:w="4780" w:type="dxa"/>
            <w:tcBorders>
              <w:top w:val="nil"/>
              <w:bottom w:val="nil"/>
            </w:tcBorders>
          </w:tcPr>
          <w:p w14:paraId="07BB021C"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Trade and other payables</w:t>
            </w:r>
          </w:p>
        </w:tc>
        <w:tc>
          <w:tcPr>
            <w:tcW w:w="890" w:type="dxa"/>
            <w:tcBorders>
              <w:top w:val="nil"/>
              <w:bottom w:val="nil"/>
            </w:tcBorders>
          </w:tcPr>
          <w:p w14:paraId="2C4C92C3"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10A70B39" w14:textId="165CFCD5" w:rsidR="00F1683A" w:rsidRPr="00A96D90" w:rsidRDefault="004246C5"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15,002</w:t>
            </w:r>
          </w:p>
        </w:tc>
        <w:tc>
          <w:tcPr>
            <w:tcW w:w="1712" w:type="dxa"/>
            <w:tcBorders>
              <w:top w:val="nil"/>
              <w:bottom w:val="nil"/>
            </w:tcBorders>
          </w:tcPr>
          <w:p w14:paraId="73664F03" w14:textId="7A741784"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1</w:t>
            </w:r>
            <w:r w:rsidR="00AF6430" w:rsidRPr="00A96D90">
              <w:rPr>
                <w:rFonts w:asciiTheme="minorHAnsi" w:hAnsiTheme="minorHAnsi" w:cs="Arial"/>
                <w:bCs/>
                <w:color w:val="59595B"/>
                <w:sz w:val="20"/>
                <w:lang w:val="en-GB"/>
              </w:rPr>
              <w:t>4,054</w:t>
            </w:r>
          </w:p>
        </w:tc>
      </w:tr>
      <w:tr w:rsidR="00F1683A" w:rsidRPr="00A96D90" w14:paraId="30AD4EE5" w14:textId="77777777" w:rsidTr="00F833F8">
        <w:trPr>
          <w:jc w:val="center"/>
        </w:trPr>
        <w:tc>
          <w:tcPr>
            <w:tcW w:w="4780" w:type="dxa"/>
            <w:tcBorders>
              <w:top w:val="nil"/>
              <w:bottom w:val="nil"/>
            </w:tcBorders>
          </w:tcPr>
          <w:p w14:paraId="02CDBBC2"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Cs/>
                <w:color w:val="59595B"/>
                <w:sz w:val="20"/>
                <w:szCs w:val="20"/>
                <w:lang w:val="en-GB"/>
              </w:rPr>
            </w:pPr>
            <w:r w:rsidRPr="00A96D90">
              <w:rPr>
                <w:rFonts w:asciiTheme="minorHAnsi" w:hAnsiTheme="minorHAnsi" w:cs="Arial"/>
                <w:bCs/>
                <w:color w:val="59595B"/>
                <w:sz w:val="20"/>
                <w:szCs w:val="20"/>
                <w:lang w:val="en-GB"/>
              </w:rPr>
              <w:t>Finance lease liabilities</w:t>
            </w:r>
          </w:p>
        </w:tc>
        <w:tc>
          <w:tcPr>
            <w:tcW w:w="890" w:type="dxa"/>
            <w:tcBorders>
              <w:top w:val="nil"/>
              <w:bottom w:val="nil"/>
            </w:tcBorders>
          </w:tcPr>
          <w:p w14:paraId="29A8B5C7"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nil"/>
            </w:tcBorders>
            <w:shd w:val="clear" w:color="auto" w:fill="F2F2F2" w:themeFill="background1" w:themeFillShade="F2"/>
          </w:tcPr>
          <w:p w14:paraId="485264E4" w14:textId="0E26451C"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w:t>
            </w:r>
            <w:r w:rsidR="00AF6430" w:rsidRPr="00A96D90">
              <w:rPr>
                <w:rFonts w:asciiTheme="minorHAnsi" w:hAnsiTheme="minorHAnsi" w:cs="Arial"/>
                <w:bCs/>
                <w:color w:val="59595B"/>
                <w:sz w:val="20"/>
                <w:lang w:val="en-GB"/>
              </w:rPr>
              <w:t>66</w:t>
            </w:r>
          </w:p>
        </w:tc>
        <w:tc>
          <w:tcPr>
            <w:tcW w:w="1712" w:type="dxa"/>
            <w:tcBorders>
              <w:top w:val="nil"/>
              <w:bottom w:val="nil"/>
            </w:tcBorders>
          </w:tcPr>
          <w:p w14:paraId="1BF56841" w14:textId="7E223EA6"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r w:rsidRPr="00A96D90">
              <w:rPr>
                <w:rFonts w:asciiTheme="minorHAnsi" w:hAnsiTheme="minorHAnsi" w:cs="Arial"/>
                <w:bCs/>
                <w:color w:val="59595B"/>
                <w:sz w:val="20"/>
                <w:lang w:val="en-GB"/>
              </w:rPr>
              <w:t>2</w:t>
            </w:r>
            <w:r w:rsidR="00AF6430" w:rsidRPr="00A96D90">
              <w:rPr>
                <w:rFonts w:asciiTheme="minorHAnsi" w:hAnsiTheme="minorHAnsi" w:cs="Arial"/>
                <w:bCs/>
                <w:color w:val="59595B"/>
                <w:sz w:val="20"/>
                <w:lang w:val="en-GB"/>
              </w:rPr>
              <w:t>63</w:t>
            </w:r>
          </w:p>
        </w:tc>
      </w:tr>
      <w:tr w:rsidR="00F1683A" w:rsidRPr="00A96D90" w14:paraId="1486C13A" w14:textId="77777777" w:rsidTr="00F833F8">
        <w:trPr>
          <w:jc w:val="center"/>
        </w:trPr>
        <w:tc>
          <w:tcPr>
            <w:tcW w:w="4780" w:type="dxa"/>
            <w:tcBorders>
              <w:top w:val="nil"/>
              <w:bottom w:val="nil"/>
            </w:tcBorders>
          </w:tcPr>
          <w:p w14:paraId="03B87366"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Current liabilities</w:t>
            </w:r>
          </w:p>
        </w:tc>
        <w:tc>
          <w:tcPr>
            <w:tcW w:w="890" w:type="dxa"/>
            <w:tcBorders>
              <w:top w:val="nil"/>
              <w:bottom w:val="nil"/>
            </w:tcBorders>
          </w:tcPr>
          <w:p w14:paraId="562FB91D"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nil"/>
              <w:bottom w:val="nil"/>
            </w:tcBorders>
            <w:shd w:val="clear" w:color="auto" w:fill="F2F2F2" w:themeFill="background1" w:themeFillShade="F2"/>
          </w:tcPr>
          <w:p w14:paraId="7FDD7C0D" w14:textId="1BBC3C69" w:rsidR="00F1683A" w:rsidRPr="00A96D90" w:rsidRDefault="004246C5"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34,461</w:t>
            </w:r>
          </w:p>
        </w:tc>
        <w:tc>
          <w:tcPr>
            <w:tcW w:w="1712" w:type="dxa"/>
            <w:tcBorders>
              <w:top w:val="nil"/>
              <w:bottom w:val="nil"/>
            </w:tcBorders>
          </w:tcPr>
          <w:p w14:paraId="6EECFBDA" w14:textId="79089CB2"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51,378</w:t>
            </w:r>
          </w:p>
        </w:tc>
      </w:tr>
      <w:tr w:rsidR="00F1683A" w:rsidRPr="00A96D90" w14:paraId="3E54143D" w14:textId="77777777" w:rsidTr="00F833F8">
        <w:trPr>
          <w:jc w:val="center"/>
        </w:trPr>
        <w:tc>
          <w:tcPr>
            <w:tcW w:w="4780" w:type="dxa"/>
            <w:tcBorders>
              <w:top w:val="nil"/>
              <w:bottom w:val="single" w:sz="4" w:space="0" w:color="BFBFBF" w:themeColor="background1" w:themeShade="BF"/>
            </w:tcBorders>
          </w:tcPr>
          <w:p w14:paraId="10AF7842"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p>
        </w:tc>
        <w:tc>
          <w:tcPr>
            <w:tcW w:w="890" w:type="dxa"/>
            <w:tcBorders>
              <w:top w:val="nil"/>
              <w:bottom w:val="single" w:sz="4" w:space="0" w:color="BFBFBF" w:themeColor="background1" w:themeShade="BF"/>
            </w:tcBorders>
          </w:tcPr>
          <w:p w14:paraId="36A53992"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580" w:type="dxa"/>
            <w:tcBorders>
              <w:top w:val="nil"/>
              <w:bottom w:val="single" w:sz="4" w:space="0" w:color="BFBFBF" w:themeColor="background1" w:themeShade="BF"/>
            </w:tcBorders>
            <w:shd w:val="clear" w:color="auto" w:fill="F2F2F2" w:themeFill="background1" w:themeFillShade="F2"/>
          </w:tcPr>
          <w:p w14:paraId="7B9E555A"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c>
          <w:tcPr>
            <w:tcW w:w="1712" w:type="dxa"/>
            <w:tcBorders>
              <w:top w:val="nil"/>
              <w:bottom w:val="single" w:sz="4" w:space="0" w:color="BFBFBF" w:themeColor="background1" w:themeShade="BF"/>
            </w:tcBorders>
          </w:tcPr>
          <w:p w14:paraId="043D4A32"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Cs/>
                <w:color w:val="59595B"/>
                <w:sz w:val="20"/>
                <w:szCs w:val="20"/>
                <w:lang w:val="en-GB"/>
              </w:rPr>
            </w:pPr>
          </w:p>
        </w:tc>
      </w:tr>
      <w:tr w:rsidR="00F1683A" w:rsidRPr="00A96D90" w14:paraId="1048AB16" w14:textId="77777777" w:rsidTr="00F833F8">
        <w:trPr>
          <w:jc w:val="center"/>
        </w:trPr>
        <w:tc>
          <w:tcPr>
            <w:tcW w:w="4780" w:type="dxa"/>
            <w:tcBorders>
              <w:top w:val="single" w:sz="4" w:space="0" w:color="BFBFBF" w:themeColor="background1" w:themeShade="BF"/>
            </w:tcBorders>
          </w:tcPr>
          <w:p w14:paraId="3A994B37" w14:textId="77777777" w:rsidR="00F1683A" w:rsidRPr="00A96D90" w:rsidRDefault="00F1683A" w:rsidP="00F1683A">
            <w:pPr>
              <w:tabs>
                <w:tab w:val="left" w:pos="3686"/>
                <w:tab w:val="right" w:pos="7200"/>
                <w:tab w:val="right" w:pos="8789"/>
                <w:tab w:val="right" w:pos="8820"/>
              </w:tabs>
              <w:autoSpaceDE w:val="0"/>
              <w:autoSpaceDN w:val="0"/>
              <w:adjustRightInd w:val="0"/>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equity and liabilities</w:t>
            </w:r>
          </w:p>
        </w:tc>
        <w:tc>
          <w:tcPr>
            <w:tcW w:w="890" w:type="dxa"/>
            <w:tcBorders>
              <w:top w:val="single" w:sz="4" w:space="0" w:color="BFBFBF" w:themeColor="background1" w:themeShade="BF"/>
            </w:tcBorders>
          </w:tcPr>
          <w:p w14:paraId="25E75BC4" w14:textId="77777777" w:rsidR="00F1683A" w:rsidRPr="00A96D90" w:rsidRDefault="00F1683A"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p>
        </w:tc>
        <w:tc>
          <w:tcPr>
            <w:tcW w:w="1580" w:type="dxa"/>
            <w:tcBorders>
              <w:top w:val="single" w:sz="4" w:space="0" w:color="BFBFBF" w:themeColor="background1" w:themeShade="BF"/>
              <w:bottom w:val="nil"/>
            </w:tcBorders>
            <w:shd w:val="clear" w:color="auto" w:fill="F2F2F2" w:themeFill="background1" w:themeFillShade="F2"/>
          </w:tcPr>
          <w:p w14:paraId="37B83F6D" w14:textId="3C81FBF7" w:rsidR="00F1683A" w:rsidRPr="00A96D90" w:rsidRDefault="00183BE2"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126,966</w:t>
            </w:r>
          </w:p>
        </w:tc>
        <w:tc>
          <w:tcPr>
            <w:tcW w:w="1712" w:type="dxa"/>
            <w:tcBorders>
              <w:top w:val="single" w:sz="4" w:space="0" w:color="BFBFBF" w:themeColor="background1" w:themeShade="BF"/>
            </w:tcBorders>
          </w:tcPr>
          <w:p w14:paraId="32660E8B" w14:textId="13C2624F" w:rsidR="00F1683A" w:rsidRPr="00A96D90" w:rsidRDefault="00AF6430" w:rsidP="00F1683A">
            <w:pPr>
              <w:tabs>
                <w:tab w:val="left" w:pos="3686"/>
                <w:tab w:val="right" w:pos="7200"/>
                <w:tab w:val="right" w:pos="8789"/>
                <w:tab w:val="right" w:pos="8820"/>
              </w:tabs>
              <w:autoSpaceDE w:val="0"/>
              <w:autoSpaceDN w:val="0"/>
              <w:adjustRightInd w:val="0"/>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lang w:val="en-GB"/>
              </w:rPr>
              <w:t>126.783</w:t>
            </w:r>
          </w:p>
        </w:tc>
      </w:tr>
    </w:tbl>
    <w:p w14:paraId="4ED8347F" w14:textId="77777777" w:rsidR="00E64F9D" w:rsidRPr="00A96D90" w:rsidRDefault="00E64F9D" w:rsidP="00E64F9D">
      <w:pPr>
        <w:rPr>
          <w:rFonts w:ascii="Calibri" w:hAnsi="Calibri" w:cstheme="minorHAnsi"/>
          <w:szCs w:val="22"/>
          <w:lang w:val="en-GB"/>
        </w:rPr>
      </w:pPr>
    </w:p>
    <w:p w14:paraId="5762CD3E" w14:textId="77777777" w:rsidR="00E64F9D" w:rsidRPr="00A96D90" w:rsidRDefault="00E64F9D" w:rsidP="00E64F9D">
      <w:pPr>
        <w:rPr>
          <w:rFonts w:ascii="Calibri" w:hAnsi="Calibri" w:cstheme="minorHAnsi"/>
          <w:szCs w:val="22"/>
          <w:lang w:val="en-GB"/>
        </w:rPr>
      </w:pPr>
    </w:p>
    <w:p w14:paraId="0468ACF4" w14:textId="77777777" w:rsidR="00E64F9D" w:rsidRPr="00A96D90" w:rsidRDefault="00E64F9D" w:rsidP="00E64F9D">
      <w:pPr>
        <w:rPr>
          <w:rFonts w:ascii="Calibri" w:hAnsi="Calibri" w:cstheme="minorHAnsi"/>
          <w:szCs w:val="22"/>
          <w:lang w:val="en-GB"/>
        </w:rPr>
      </w:pPr>
    </w:p>
    <w:p w14:paraId="3EBFAF8F" w14:textId="77777777" w:rsidR="00E64F9D" w:rsidRPr="00A96D90" w:rsidRDefault="00E64F9D" w:rsidP="00E64F9D">
      <w:pPr>
        <w:rPr>
          <w:rFonts w:ascii="Calibri" w:hAnsi="Calibri" w:cstheme="minorHAnsi"/>
          <w:szCs w:val="22"/>
          <w:lang w:val="en-GB"/>
        </w:rPr>
      </w:pPr>
    </w:p>
    <w:p w14:paraId="5ABECD26" w14:textId="77777777" w:rsidR="00E64F9D" w:rsidRPr="00A96D90" w:rsidRDefault="00E64F9D" w:rsidP="00E64F9D">
      <w:pPr>
        <w:rPr>
          <w:rFonts w:ascii="Calibri" w:hAnsi="Calibri" w:cstheme="minorHAnsi"/>
          <w:szCs w:val="22"/>
          <w:lang w:val="en-GB"/>
        </w:rPr>
      </w:pPr>
    </w:p>
    <w:p w14:paraId="64D12097" w14:textId="77777777" w:rsidR="00E64F9D" w:rsidRPr="00A96D90" w:rsidRDefault="00E64F9D" w:rsidP="00E64F9D">
      <w:pPr>
        <w:rPr>
          <w:rFonts w:ascii="Calibri" w:hAnsi="Calibri" w:cstheme="minorHAnsi"/>
          <w:szCs w:val="22"/>
          <w:lang w:val="en-GB"/>
        </w:rPr>
      </w:pPr>
    </w:p>
    <w:p w14:paraId="45DC2F60" w14:textId="77777777" w:rsidR="00E64F9D" w:rsidRPr="00A96D90" w:rsidRDefault="00E64F9D" w:rsidP="00E64F9D">
      <w:pPr>
        <w:rPr>
          <w:rFonts w:ascii="Calibri" w:hAnsi="Calibri" w:cstheme="minorHAnsi"/>
          <w:szCs w:val="22"/>
          <w:lang w:val="en-GB"/>
        </w:rPr>
      </w:pPr>
    </w:p>
    <w:p w14:paraId="2B124CA5" w14:textId="77777777" w:rsidR="00E64F9D" w:rsidRPr="00A96D90" w:rsidRDefault="00E64F9D" w:rsidP="00E64F9D">
      <w:pPr>
        <w:rPr>
          <w:rFonts w:ascii="Calibri" w:hAnsi="Calibri" w:cstheme="minorHAnsi"/>
          <w:szCs w:val="22"/>
          <w:lang w:val="en-GB"/>
        </w:rPr>
      </w:pPr>
    </w:p>
    <w:p w14:paraId="78131674" w14:textId="4FF602F7" w:rsidR="00E64F9D" w:rsidRPr="00A96D90" w:rsidRDefault="00E64F9D" w:rsidP="00E64F9D">
      <w:pPr>
        <w:rPr>
          <w:rFonts w:ascii="Calibri Light" w:eastAsiaTheme="majorEastAsia" w:hAnsi="Calibri Light" w:cstheme="majorBidi"/>
          <w:b/>
          <w:color w:val="59595B"/>
          <w:sz w:val="24"/>
          <w:szCs w:val="28"/>
          <w:lang w:val="en-GB" w:eastAsia="zh-CN"/>
        </w:rPr>
      </w:pPr>
      <w:r w:rsidRPr="00A96D90">
        <w:rPr>
          <w:rFonts w:ascii="Calibri" w:hAnsi="Calibri" w:cstheme="minorHAnsi"/>
          <w:szCs w:val="22"/>
          <w:lang w:val="en-GB"/>
        </w:rPr>
        <w:br w:type="page"/>
      </w:r>
      <w:r w:rsidR="00474AB0" w:rsidRPr="00A96D90">
        <w:rPr>
          <w:rFonts w:ascii="Calibri Light" w:eastAsiaTheme="majorEastAsia" w:hAnsi="Calibri Light" w:cstheme="majorBidi"/>
          <w:b/>
          <w:color w:val="59595B"/>
          <w:sz w:val="24"/>
          <w:szCs w:val="28"/>
          <w:lang w:val="en-GB" w:eastAsia="zh-CN"/>
        </w:rPr>
        <w:lastRenderedPageBreak/>
        <w:t>Consolidated Statement of Cash Flows</w:t>
      </w:r>
    </w:p>
    <w:p w14:paraId="0F51490B" w14:textId="697B14AD" w:rsidR="00E64F9D" w:rsidRPr="00A96D90" w:rsidRDefault="00E64F9D" w:rsidP="00474AB0">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1B32EE" w:rsidRPr="00A96D90">
        <w:rPr>
          <w:rFonts w:asciiTheme="minorHAnsi" w:hAnsiTheme="minorHAnsi"/>
          <w:color w:val="00679B"/>
          <w:sz w:val="24"/>
          <w:lang w:val="en-GB"/>
        </w:rPr>
        <w:t xml:space="preserve">six </w:t>
      </w:r>
      <w:r w:rsidR="00384931" w:rsidRPr="00A96D90">
        <w:rPr>
          <w:rFonts w:asciiTheme="minorHAnsi" w:hAnsiTheme="minorHAnsi"/>
          <w:color w:val="00679B"/>
          <w:sz w:val="24"/>
          <w:lang w:val="en-GB"/>
        </w:rPr>
        <w:t>months ended</w:t>
      </w:r>
      <w:r w:rsidRPr="00A96D90">
        <w:rPr>
          <w:rFonts w:asciiTheme="minorHAnsi" w:hAnsiTheme="minorHAnsi"/>
          <w:color w:val="00679B"/>
          <w:sz w:val="24"/>
          <w:lang w:val="en-GB"/>
        </w:rPr>
        <w:t xml:space="preserve"> 30 June</w:t>
      </w:r>
    </w:p>
    <w:p w14:paraId="3C6BE9DD" w14:textId="77777777" w:rsidR="00E64F9D" w:rsidRPr="00A96D90" w:rsidRDefault="00E64F9D" w:rsidP="00E64F9D">
      <w:pPr>
        <w:rPr>
          <w:rFonts w:ascii="Calibri" w:hAnsi="Calibri" w:cstheme="minorHAnsi"/>
          <w:b/>
          <w:color w:val="276E8B" w:themeColor="accent1" w:themeShade="BF"/>
          <w:szCs w:val="22"/>
          <w:lang w:val="en-GB"/>
        </w:rPr>
      </w:pPr>
    </w:p>
    <w:tbl>
      <w:tblPr>
        <w:tblW w:w="8952" w:type="dxa"/>
        <w:jc w:val="center"/>
        <w:tblBorders>
          <w:top w:val="single" w:sz="4" w:space="0" w:color="BFBFBF" w:themeColor="background1" w:themeShade="BF"/>
          <w:lef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5920"/>
        <w:gridCol w:w="1559"/>
        <w:gridCol w:w="1473"/>
      </w:tblGrid>
      <w:tr w:rsidR="00E64F9D" w:rsidRPr="00A96D90" w14:paraId="4C4D298A" w14:textId="77777777" w:rsidTr="00F833F8">
        <w:trPr>
          <w:jc w:val="center"/>
        </w:trPr>
        <w:tc>
          <w:tcPr>
            <w:tcW w:w="5920" w:type="dxa"/>
            <w:shd w:val="clear" w:color="auto" w:fill="auto"/>
          </w:tcPr>
          <w:p w14:paraId="12F785F9" w14:textId="77777777" w:rsidR="00E64F9D" w:rsidRPr="00A96D90" w:rsidRDefault="00E64F9D" w:rsidP="00474AB0">
            <w:pPr>
              <w:tabs>
                <w:tab w:val="left" w:pos="3686"/>
                <w:tab w:val="right" w:pos="7200"/>
                <w:tab w:val="right" w:pos="8789"/>
                <w:tab w:val="right" w:pos="8820"/>
              </w:tabs>
              <w:autoSpaceDE w:val="0"/>
              <w:autoSpaceDN w:val="0"/>
              <w:adjustRightInd w:val="0"/>
              <w:rPr>
                <w:rFonts w:ascii="Calibri" w:hAnsi="Calibri" w:cstheme="minorHAnsi"/>
                <w:i/>
                <w:color w:val="276E8B" w:themeColor="accent1" w:themeShade="BF"/>
                <w:sz w:val="20"/>
                <w:szCs w:val="20"/>
                <w:lang w:val="en-GB"/>
              </w:rPr>
            </w:pPr>
            <w:r w:rsidRPr="00A96D90">
              <w:rPr>
                <w:rFonts w:asciiTheme="minorHAnsi" w:hAnsiTheme="minorHAnsi" w:cs="Arial"/>
                <w:b/>
                <w:bCs/>
                <w:color w:val="00679B"/>
                <w:sz w:val="20"/>
                <w:szCs w:val="20"/>
                <w:lang w:val="en-GB"/>
              </w:rPr>
              <w:t>Amounts in €’000</w:t>
            </w:r>
          </w:p>
        </w:tc>
        <w:tc>
          <w:tcPr>
            <w:tcW w:w="1559" w:type="dxa"/>
            <w:shd w:val="clear" w:color="auto" w:fill="F2F2F2" w:themeFill="background1" w:themeFillShade="F2"/>
            <w:tcMar>
              <w:top w:w="28" w:type="dxa"/>
            </w:tcMar>
          </w:tcPr>
          <w:p w14:paraId="4921BAC9" w14:textId="6D91C7BA" w:rsidR="00E64F9D" w:rsidRPr="00A96D90" w:rsidRDefault="00E64F9D" w:rsidP="00474AB0">
            <w:pPr>
              <w:jc w:val="right"/>
              <w:rPr>
                <w:rFonts w:asciiTheme="majorHAnsi" w:hAnsiTheme="majorHAnsi" w:cstheme="majorHAnsi"/>
                <w:b/>
                <w:color w:val="276E8B" w:themeColor="accent1" w:themeShade="BF"/>
                <w:sz w:val="20"/>
                <w:szCs w:val="20"/>
                <w:lang w:val="en-GB"/>
              </w:rPr>
            </w:pPr>
            <w:r w:rsidRPr="00A96D90">
              <w:rPr>
                <w:rFonts w:asciiTheme="majorHAnsi" w:hAnsiTheme="majorHAnsi" w:cstheme="majorHAnsi"/>
                <w:b/>
                <w:color w:val="276E8B" w:themeColor="accent1" w:themeShade="BF"/>
                <w:sz w:val="20"/>
                <w:szCs w:val="20"/>
                <w:lang w:val="en-GB"/>
              </w:rPr>
              <w:t>HY</w:t>
            </w:r>
            <w:r w:rsidR="00474AB0" w:rsidRPr="00A96D90">
              <w:rPr>
                <w:rFonts w:asciiTheme="majorHAnsi" w:hAnsiTheme="majorHAnsi" w:cstheme="majorHAnsi"/>
                <w:b/>
                <w:color w:val="276E8B" w:themeColor="accent1" w:themeShade="BF"/>
                <w:sz w:val="20"/>
                <w:szCs w:val="20"/>
                <w:lang w:val="en-GB"/>
              </w:rPr>
              <w:t xml:space="preserve"> </w:t>
            </w:r>
            <w:r w:rsidRPr="00A96D90">
              <w:rPr>
                <w:rFonts w:asciiTheme="majorHAnsi" w:hAnsiTheme="majorHAnsi" w:cstheme="majorHAnsi"/>
                <w:b/>
                <w:color w:val="276E8B" w:themeColor="accent1" w:themeShade="BF"/>
                <w:sz w:val="20"/>
                <w:szCs w:val="20"/>
                <w:lang w:val="en-GB"/>
              </w:rPr>
              <w:t>201</w:t>
            </w:r>
            <w:r w:rsidR="00183BE2" w:rsidRPr="00A96D90">
              <w:rPr>
                <w:rFonts w:asciiTheme="majorHAnsi" w:hAnsiTheme="majorHAnsi" w:cstheme="majorHAnsi"/>
                <w:b/>
                <w:color w:val="276E8B" w:themeColor="accent1" w:themeShade="BF"/>
                <w:sz w:val="20"/>
                <w:szCs w:val="20"/>
                <w:lang w:val="en-GB"/>
              </w:rPr>
              <w:t>7</w:t>
            </w:r>
          </w:p>
        </w:tc>
        <w:tc>
          <w:tcPr>
            <w:tcW w:w="1473" w:type="dxa"/>
            <w:shd w:val="clear" w:color="auto" w:fill="auto"/>
            <w:tcMar>
              <w:top w:w="28" w:type="dxa"/>
            </w:tcMar>
          </w:tcPr>
          <w:p w14:paraId="708F80CD" w14:textId="18312B88" w:rsidR="00E64F9D" w:rsidRPr="00A96D90" w:rsidRDefault="00E64F9D" w:rsidP="00474AB0">
            <w:pPr>
              <w:jc w:val="right"/>
              <w:rPr>
                <w:rFonts w:asciiTheme="majorHAnsi" w:hAnsiTheme="majorHAnsi" w:cstheme="majorHAnsi"/>
                <w:b/>
                <w:color w:val="276E8B" w:themeColor="accent1" w:themeShade="BF"/>
                <w:sz w:val="20"/>
                <w:szCs w:val="20"/>
                <w:lang w:val="en-GB"/>
              </w:rPr>
            </w:pPr>
            <w:r w:rsidRPr="00A96D90">
              <w:rPr>
                <w:rFonts w:asciiTheme="majorHAnsi" w:hAnsiTheme="majorHAnsi" w:cstheme="majorHAnsi"/>
                <w:b/>
                <w:color w:val="276E8B" w:themeColor="accent1" w:themeShade="BF"/>
                <w:sz w:val="20"/>
                <w:szCs w:val="20"/>
                <w:lang w:val="en-GB"/>
              </w:rPr>
              <w:t>HY</w:t>
            </w:r>
            <w:r w:rsidR="00474AB0" w:rsidRPr="00A96D90">
              <w:rPr>
                <w:rFonts w:asciiTheme="majorHAnsi" w:hAnsiTheme="majorHAnsi" w:cstheme="majorHAnsi"/>
                <w:b/>
                <w:color w:val="276E8B" w:themeColor="accent1" w:themeShade="BF"/>
                <w:sz w:val="20"/>
                <w:szCs w:val="20"/>
                <w:lang w:val="en-GB"/>
              </w:rPr>
              <w:t xml:space="preserve"> </w:t>
            </w:r>
            <w:r w:rsidRPr="00A96D90">
              <w:rPr>
                <w:rFonts w:asciiTheme="majorHAnsi" w:hAnsiTheme="majorHAnsi" w:cstheme="majorHAnsi"/>
                <w:b/>
                <w:color w:val="276E8B" w:themeColor="accent1" w:themeShade="BF"/>
                <w:sz w:val="20"/>
                <w:szCs w:val="20"/>
                <w:lang w:val="en-GB"/>
              </w:rPr>
              <w:t>201</w:t>
            </w:r>
            <w:r w:rsidR="00183BE2" w:rsidRPr="00A96D90">
              <w:rPr>
                <w:rFonts w:asciiTheme="majorHAnsi" w:hAnsiTheme="majorHAnsi" w:cstheme="majorHAnsi"/>
                <w:b/>
                <w:color w:val="276E8B" w:themeColor="accent1" w:themeShade="BF"/>
                <w:sz w:val="20"/>
                <w:szCs w:val="20"/>
                <w:lang w:val="en-GB"/>
              </w:rPr>
              <w:t>6</w:t>
            </w:r>
          </w:p>
        </w:tc>
      </w:tr>
      <w:tr w:rsidR="00183BE2" w:rsidRPr="00A96D90" w14:paraId="4B54BAFD" w14:textId="77777777" w:rsidTr="00F833F8">
        <w:trPr>
          <w:jc w:val="center"/>
        </w:trPr>
        <w:tc>
          <w:tcPr>
            <w:tcW w:w="5920" w:type="dxa"/>
            <w:tcBorders>
              <w:bottom w:val="single" w:sz="4" w:space="0" w:color="BFBFBF" w:themeColor="background1" w:themeShade="BF"/>
            </w:tcBorders>
          </w:tcPr>
          <w:p w14:paraId="0EFE8570"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Operating result</w:t>
            </w:r>
          </w:p>
        </w:tc>
        <w:tc>
          <w:tcPr>
            <w:tcW w:w="1559" w:type="dxa"/>
            <w:tcBorders>
              <w:bottom w:val="single" w:sz="4" w:space="0" w:color="BFBFBF" w:themeColor="background1" w:themeShade="BF"/>
            </w:tcBorders>
            <w:shd w:val="clear" w:color="auto" w:fill="F2F2F2" w:themeFill="background1" w:themeFillShade="F2"/>
            <w:tcMar>
              <w:top w:w="28" w:type="dxa"/>
            </w:tcMar>
          </w:tcPr>
          <w:p w14:paraId="5551C4D8" w14:textId="236F32BE" w:rsidR="00183BE2" w:rsidRPr="00A96D90" w:rsidRDefault="00067036"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4,233</w:t>
            </w:r>
          </w:p>
        </w:tc>
        <w:tc>
          <w:tcPr>
            <w:tcW w:w="1473" w:type="dxa"/>
            <w:tcBorders>
              <w:bottom w:val="single" w:sz="4" w:space="0" w:color="BFBFBF" w:themeColor="background1" w:themeShade="BF"/>
            </w:tcBorders>
            <w:tcMar>
              <w:top w:w="28" w:type="dxa"/>
            </w:tcMar>
          </w:tcPr>
          <w:p w14:paraId="3CF98449" w14:textId="291A15B4"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(6,211)</w:t>
            </w:r>
          </w:p>
        </w:tc>
      </w:tr>
      <w:tr w:rsidR="00183BE2" w:rsidRPr="00A96D90" w14:paraId="2854E047" w14:textId="77777777" w:rsidTr="00F833F8">
        <w:trPr>
          <w:jc w:val="center"/>
        </w:trPr>
        <w:tc>
          <w:tcPr>
            <w:tcW w:w="5920" w:type="dxa"/>
            <w:tcBorders>
              <w:bottom w:val="nil"/>
            </w:tcBorders>
          </w:tcPr>
          <w:p w14:paraId="0C9646EB"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7C2B5206"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24F6BA46"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5F3C8EC0" w14:textId="77777777" w:rsidTr="00F833F8">
        <w:trPr>
          <w:jc w:val="center"/>
        </w:trPr>
        <w:tc>
          <w:tcPr>
            <w:tcW w:w="5920" w:type="dxa"/>
            <w:tcBorders>
              <w:top w:val="nil"/>
              <w:bottom w:val="nil"/>
            </w:tcBorders>
          </w:tcPr>
          <w:p w14:paraId="5B2CDD42"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Non-cash adjustments:</w:t>
            </w:r>
          </w:p>
        </w:tc>
        <w:tc>
          <w:tcPr>
            <w:tcW w:w="1559" w:type="dxa"/>
            <w:tcBorders>
              <w:top w:val="nil"/>
              <w:bottom w:val="nil"/>
            </w:tcBorders>
            <w:shd w:val="clear" w:color="auto" w:fill="F2F2F2" w:themeFill="background1" w:themeFillShade="F2"/>
            <w:tcMar>
              <w:top w:w="28" w:type="dxa"/>
            </w:tcMar>
          </w:tcPr>
          <w:p w14:paraId="6331022B"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6A2D199D"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78B4F914" w14:textId="77777777" w:rsidTr="00F833F8">
        <w:trPr>
          <w:jc w:val="center"/>
        </w:trPr>
        <w:tc>
          <w:tcPr>
            <w:tcW w:w="5920" w:type="dxa"/>
            <w:tcBorders>
              <w:top w:val="nil"/>
              <w:bottom w:val="nil"/>
            </w:tcBorders>
          </w:tcPr>
          <w:p w14:paraId="313D391D"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Depreciation, amortization</w:t>
            </w:r>
          </w:p>
        </w:tc>
        <w:tc>
          <w:tcPr>
            <w:tcW w:w="1559" w:type="dxa"/>
            <w:tcBorders>
              <w:top w:val="nil"/>
              <w:bottom w:val="nil"/>
            </w:tcBorders>
            <w:shd w:val="clear" w:color="auto" w:fill="F2F2F2" w:themeFill="background1" w:themeFillShade="F2"/>
            <w:tcMar>
              <w:top w:w="28" w:type="dxa"/>
            </w:tcMar>
          </w:tcPr>
          <w:p w14:paraId="14C4CD74" w14:textId="4526194E" w:rsidR="00183BE2" w:rsidRPr="00A96D90" w:rsidRDefault="00BB5A85"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1,689</w:t>
            </w:r>
          </w:p>
        </w:tc>
        <w:tc>
          <w:tcPr>
            <w:tcW w:w="1473" w:type="dxa"/>
            <w:tcBorders>
              <w:top w:val="nil"/>
              <w:bottom w:val="nil"/>
            </w:tcBorders>
            <w:tcMar>
              <w:top w:w="28" w:type="dxa"/>
            </w:tcMar>
          </w:tcPr>
          <w:p w14:paraId="5D0A8C4B" w14:textId="10C170CD"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316</w:t>
            </w:r>
          </w:p>
        </w:tc>
      </w:tr>
      <w:tr w:rsidR="00183BE2" w:rsidRPr="00A96D90" w14:paraId="666CBF1C" w14:textId="77777777" w:rsidTr="00F833F8">
        <w:trPr>
          <w:jc w:val="center"/>
        </w:trPr>
        <w:tc>
          <w:tcPr>
            <w:tcW w:w="5920" w:type="dxa"/>
            <w:tcBorders>
              <w:top w:val="nil"/>
              <w:bottom w:val="nil"/>
            </w:tcBorders>
          </w:tcPr>
          <w:p w14:paraId="51C45A51"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Accrued employee benefits</w:t>
            </w:r>
          </w:p>
        </w:tc>
        <w:tc>
          <w:tcPr>
            <w:tcW w:w="1559" w:type="dxa"/>
            <w:tcBorders>
              <w:top w:val="nil"/>
              <w:bottom w:val="nil"/>
            </w:tcBorders>
            <w:shd w:val="clear" w:color="auto" w:fill="F2F2F2" w:themeFill="background1" w:themeFillShade="F2"/>
            <w:tcMar>
              <w:top w:w="28" w:type="dxa"/>
            </w:tcMar>
          </w:tcPr>
          <w:p w14:paraId="74C9BE8C" w14:textId="198E6DE3" w:rsidR="00183BE2" w:rsidRPr="00A96D90" w:rsidRDefault="00BB5A85"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872</w:t>
            </w:r>
          </w:p>
        </w:tc>
        <w:tc>
          <w:tcPr>
            <w:tcW w:w="1473" w:type="dxa"/>
            <w:tcBorders>
              <w:top w:val="nil"/>
              <w:bottom w:val="nil"/>
            </w:tcBorders>
            <w:tcMar>
              <w:top w:w="28" w:type="dxa"/>
            </w:tcMar>
          </w:tcPr>
          <w:p w14:paraId="7A9FFAFD" w14:textId="771320C9"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914</w:t>
            </w:r>
          </w:p>
        </w:tc>
      </w:tr>
      <w:tr w:rsidR="00183BE2" w:rsidRPr="00A96D90" w14:paraId="555D4414" w14:textId="77777777" w:rsidTr="00F833F8">
        <w:trPr>
          <w:jc w:val="center"/>
        </w:trPr>
        <w:tc>
          <w:tcPr>
            <w:tcW w:w="5920" w:type="dxa"/>
            <w:tcBorders>
              <w:top w:val="nil"/>
              <w:bottom w:val="nil"/>
            </w:tcBorders>
          </w:tcPr>
          <w:p w14:paraId="74EC711B"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Deferred license fees</w:t>
            </w:r>
          </w:p>
        </w:tc>
        <w:tc>
          <w:tcPr>
            <w:tcW w:w="1559" w:type="dxa"/>
            <w:tcBorders>
              <w:top w:val="nil"/>
              <w:bottom w:val="nil"/>
            </w:tcBorders>
            <w:shd w:val="clear" w:color="auto" w:fill="F2F2F2" w:themeFill="background1" w:themeFillShade="F2"/>
            <w:tcMar>
              <w:top w:w="28" w:type="dxa"/>
            </w:tcMar>
          </w:tcPr>
          <w:p w14:paraId="2DBC1424" w14:textId="79BC19DA"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BB5A85" w:rsidRPr="00A96D90">
              <w:rPr>
                <w:rFonts w:asciiTheme="minorHAnsi" w:hAnsiTheme="minorHAnsi" w:cstheme="minorHAnsi"/>
                <w:color w:val="59595B"/>
                <w:sz w:val="20"/>
                <w:szCs w:val="20"/>
                <w:lang w:val="en-GB"/>
              </w:rPr>
              <w:t>536</w:t>
            </w:r>
            <w:r w:rsidRPr="00A96D90">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235D8252" w14:textId="5CCFC186"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(1,104)</w:t>
            </w:r>
          </w:p>
        </w:tc>
      </w:tr>
      <w:tr w:rsidR="00183BE2" w:rsidRPr="00A96D90" w14:paraId="2A9AA550" w14:textId="77777777" w:rsidTr="00F833F8">
        <w:trPr>
          <w:jc w:val="center"/>
        </w:trPr>
        <w:tc>
          <w:tcPr>
            <w:tcW w:w="5920" w:type="dxa"/>
            <w:tcBorders>
              <w:top w:val="nil"/>
              <w:bottom w:val="nil"/>
            </w:tcBorders>
          </w:tcPr>
          <w:p w14:paraId="76098742"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6696E091"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4532029A"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7CFD659D" w14:textId="77777777" w:rsidTr="00F833F8">
        <w:trPr>
          <w:jc w:val="center"/>
        </w:trPr>
        <w:tc>
          <w:tcPr>
            <w:tcW w:w="5920" w:type="dxa"/>
            <w:tcBorders>
              <w:top w:val="nil"/>
              <w:bottom w:val="nil"/>
            </w:tcBorders>
          </w:tcPr>
          <w:p w14:paraId="09C4BFF6"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Arial"/>
                <w:b/>
                <w:bCs/>
                <w:color w:val="59595B"/>
                <w:sz w:val="20"/>
                <w:szCs w:val="20"/>
                <w:lang w:val="en-GB"/>
              </w:rPr>
              <w:t>Operating cash flows before changes in working capital</w:t>
            </w:r>
          </w:p>
        </w:tc>
        <w:tc>
          <w:tcPr>
            <w:tcW w:w="1559" w:type="dxa"/>
            <w:tcBorders>
              <w:top w:val="nil"/>
              <w:bottom w:val="nil"/>
            </w:tcBorders>
            <w:shd w:val="clear" w:color="auto" w:fill="F2F2F2" w:themeFill="background1" w:themeFillShade="F2"/>
            <w:tcMar>
              <w:top w:w="28" w:type="dxa"/>
            </w:tcMar>
          </w:tcPr>
          <w:p w14:paraId="5C05084C" w14:textId="6FD98D81" w:rsidR="00183BE2" w:rsidRPr="00A96D90" w:rsidRDefault="00BB5A85"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6,258</w:t>
            </w:r>
          </w:p>
        </w:tc>
        <w:tc>
          <w:tcPr>
            <w:tcW w:w="1473" w:type="dxa"/>
            <w:tcBorders>
              <w:top w:val="nil"/>
              <w:bottom w:val="nil"/>
            </w:tcBorders>
            <w:tcMar>
              <w:top w:w="28" w:type="dxa"/>
            </w:tcMar>
          </w:tcPr>
          <w:p w14:paraId="481C33D6" w14:textId="1862E65D"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(6,084)</w:t>
            </w:r>
          </w:p>
        </w:tc>
      </w:tr>
      <w:tr w:rsidR="00183BE2" w:rsidRPr="00A96D90" w14:paraId="2D0DAC66" w14:textId="77777777" w:rsidTr="00F833F8">
        <w:trPr>
          <w:jc w:val="center"/>
        </w:trPr>
        <w:tc>
          <w:tcPr>
            <w:tcW w:w="5920" w:type="dxa"/>
            <w:tcBorders>
              <w:top w:val="nil"/>
              <w:bottom w:val="nil"/>
            </w:tcBorders>
          </w:tcPr>
          <w:p w14:paraId="2030462D"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7700F5D9"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AE48D4D"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4A845CEE" w14:textId="77777777" w:rsidTr="00F833F8">
        <w:trPr>
          <w:jc w:val="center"/>
        </w:trPr>
        <w:tc>
          <w:tcPr>
            <w:tcW w:w="5920" w:type="dxa"/>
            <w:tcBorders>
              <w:top w:val="nil"/>
              <w:bottom w:val="nil"/>
            </w:tcBorders>
          </w:tcPr>
          <w:p w14:paraId="009B8E6A"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Arial"/>
                <w:b/>
                <w:bCs/>
                <w:color w:val="59595B"/>
                <w:sz w:val="20"/>
                <w:szCs w:val="20"/>
                <w:lang w:val="en-GB"/>
              </w:rPr>
              <w:t>Changes in working capital:</w:t>
            </w:r>
          </w:p>
        </w:tc>
        <w:tc>
          <w:tcPr>
            <w:tcW w:w="1559" w:type="dxa"/>
            <w:tcBorders>
              <w:top w:val="nil"/>
              <w:bottom w:val="nil"/>
            </w:tcBorders>
            <w:shd w:val="clear" w:color="auto" w:fill="F2F2F2" w:themeFill="background1" w:themeFillShade="F2"/>
            <w:tcMar>
              <w:top w:w="28" w:type="dxa"/>
            </w:tcMar>
          </w:tcPr>
          <w:p w14:paraId="6AB32550"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5AB5FBA"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04314DC5" w14:textId="77777777" w:rsidTr="00F833F8">
        <w:trPr>
          <w:jc w:val="center"/>
        </w:trPr>
        <w:tc>
          <w:tcPr>
            <w:tcW w:w="5920" w:type="dxa"/>
            <w:tcBorders>
              <w:top w:val="nil"/>
              <w:bottom w:val="nil"/>
            </w:tcBorders>
          </w:tcPr>
          <w:p w14:paraId="52EDE1C3"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Inventories</w:t>
            </w:r>
          </w:p>
        </w:tc>
        <w:tc>
          <w:tcPr>
            <w:tcW w:w="1559" w:type="dxa"/>
            <w:tcBorders>
              <w:top w:val="nil"/>
              <w:bottom w:val="nil"/>
            </w:tcBorders>
            <w:shd w:val="clear" w:color="auto" w:fill="F2F2F2" w:themeFill="background1" w:themeFillShade="F2"/>
            <w:tcMar>
              <w:top w:w="28" w:type="dxa"/>
            </w:tcMar>
          </w:tcPr>
          <w:p w14:paraId="0AFAE4BD" w14:textId="38B40719" w:rsidR="00183BE2" w:rsidRPr="00A96D90" w:rsidRDefault="00BB5A85"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468</w:t>
            </w:r>
          </w:p>
        </w:tc>
        <w:tc>
          <w:tcPr>
            <w:tcW w:w="1473" w:type="dxa"/>
            <w:tcBorders>
              <w:top w:val="nil"/>
              <w:bottom w:val="nil"/>
            </w:tcBorders>
            <w:tcMar>
              <w:top w:w="28" w:type="dxa"/>
            </w:tcMar>
          </w:tcPr>
          <w:p w14:paraId="5625D38B" w14:textId="2C0E81A4"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(3,132)</w:t>
            </w:r>
          </w:p>
        </w:tc>
      </w:tr>
      <w:tr w:rsidR="00183BE2" w:rsidRPr="00A96D90" w14:paraId="2E3B9BA4" w14:textId="77777777" w:rsidTr="00F833F8">
        <w:trPr>
          <w:jc w:val="center"/>
        </w:trPr>
        <w:tc>
          <w:tcPr>
            <w:tcW w:w="5920" w:type="dxa"/>
            <w:tcBorders>
              <w:top w:val="nil"/>
              <w:bottom w:val="nil"/>
            </w:tcBorders>
          </w:tcPr>
          <w:p w14:paraId="728142F9"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Trade and other receivables</w:t>
            </w:r>
          </w:p>
        </w:tc>
        <w:tc>
          <w:tcPr>
            <w:tcW w:w="1559" w:type="dxa"/>
            <w:tcBorders>
              <w:top w:val="nil"/>
              <w:bottom w:val="nil"/>
            </w:tcBorders>
            <w:shd w:val="clear" w:color="auto" w:fill="F2F2F2" w:themeFill="background1" w:themeFillShade="F2"/>
            <w:tcMar>
              <w:top w:w="28" w:type="dxa"/>
            </w:tcMar>
          </w:tcPr>
          <w:p w14:paraId="63F34470" w14:textId="6051BDDD" w:rsidR="00183BE2" w:rsidRPr="00A96D90" w:rsidRDefault="00BB5A85"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(6,015</w:t>
            </w:r>
            <w:r w:rsidR="00183BE2" w:rsidRPr="00A96D90">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069571CE" w14:textId="10BD6578"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(2,330)</w:t>
            </w:r>
          </w:p>
        </w:tc>
      </w:tr>
      <w:tr w:rsidR="00183BE2" w:rsidRPr="00A96D90" w14:paraId="29515602" w14:textId="77777777" w:rsidTr="00F833F8">
        <w:trPr>
          <w:jc w:val="center"/>
        </w:trPr>
        <w:tc>
          <w:tcPr>
            <w:tcW w:w="5920" w:type="dxa"/>
            <w:tcBorders>
              <w:top w:val="nil"/>
              <w:bottom w:val="nil"/>
            </w:tcBorders>
          </w:tcPr>
          <w:p w14:paraId="3FCEB812"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Payables and other current liabilities</w:t>
            </w:r>
          </w:p>
        </w:tc>
        <w:tc>
          <w:tcPr>
            <w:tcW w:w="1559" w:type="dxa"/>
            <w:tcBorders>
              <w:top w:val="nil"/>
              <w:bottom w:val="nil"/>
            </w:tcBorders>
            <w:shd w:val="clear" w:color="auto" w:fill="F2F2F2" w:themeFill="background1" w:themeFillShade="F2"/>
            <w:tcMar>
              <w:top w:w="28" w:type="dxa"/>
            </w:tcMar>
          </w:tcPr>
          <w:p w14:paraId="78786E0A" w14:textId="5673E19B" w:rsidR="00183BE2" w:rsidRPr="00A96D90" w:rsidRDefault="00CA6821"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(1,792)</w:t>
            </w:r>
          </w:p>
        </w:tc>
        <w:tc>
          <w:tcPr>
            <w:tcW w:w="1473" w:type="dxa"/>
            <w:tcBorders>
              <w:top w:val="nil"/>
              <w:bottom w:val="nil"/>
            </w:tcBorders>
            <w:tcMar>
              <w:top w:w="28" w:type="dxa"/>
            </w:tcMar>
          </w:tcPr>
          <w:p w14:paraId="3F227E3A" w14:textId="58C1A9B3"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3,214</w:t>
            </w:r>
          </w:p>
        </w:tc>
      </w:tr>
      <w:tr w:rsidR="00183BE2" w:rsidRPr="00A96D90" w14:paraId="3796BE5A" w14:textId="77777777" w:rsidTr="00F833F8">
        <w:trPr>
          <w:jc w:val="center"/>
        </w:trPr>
        <w:tc>
          <w:tcPr>
            <w:tcW w:w="5920" w:type="dxa"/>
            <w:tcBorders>
              <w:top w:val="nil"/>
              <w:bottom w:val="nil"/>
            </w:tcBorders>
          </w:tcPr>
          <w:p w14:paraId="305D4386" w14:textId="77777777" w:rsidR="00183BE2" w:rsidRPr="00A96D90" w:rsidRDefault="00183BE2" w:rsidP="00183BE2">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Total changes in working capital</w:t>
            </w:r>
          </w:p>
          <w:p w14:paraId="04F43962"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284A25F1" w14:textId="6167C63F" w:rsidR="00183BE2" w:rsidRPr="00A96D90" w:rsidRDefault="00BB5A85"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CA6821" w:rsidRPr="00A96D90">
              <w:rPr>
                <w:rFonts w:asciiTheme="minorHAnsi" w:hAnsiTheme="minorHAnsi" w:cstheme="minorHAnsi"/>
                <w:b/>
                <w:color w:val="59595B"/>
                <w:sz w:val="20"/>
                <w:szCs w:val="20"/>
                <w:lang w:val="en-GB"/>
              </w:rPr>
              <w:t>7,339</w:t>
            </w:r>
            <w:r w:rsidR="00183BE2" w:rsidRPr="00A96D90">
              <w:rPr>
                <w:rFonts w:asciiTheme="minorHAnsi" w:hAnsiTheme="minorHAnsi" w:cstheme="minorHAnsi"/>
                <w:b/>
                <w:color w:val="59595B"/>
                <w:sz w:val="20"/>
                <w:szCs w:val="20"/>
                <w:lang w:val="en-GB"/>
              </w:rPr>
              <w:t>)</w:t>
            </w:r>
          </w:p>
        </w:tc>
        <w:tc>
          <w:tcPr>
            <w:tcW w:w="1473" w:type="dxa"/>
            <w:tcBorders>
              <w:top w:val="nil"/>
              <w:bottom w:val="nil"/>
            </w:tcBorders>
            <w:tcMar>
              <w:top w:w="28" w:type="dxa"/>
            </w:tcMar>
          </w:tcPr>
          <w:p w14:paraId="3F9E5103" w14:textId="1CC16585"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(2,247)</w:t>
            </w:r>
          </w:p>
        </w:tc>
      </w:tr>
      <w:tr w:rsidR="00183BE2" w:rsidRPr="00A96D90" w14:paraId="33027EC6" w14:textId="77777777" w:rsidTr="00F833F8">
        <w:trPr>
          <w:jc w:val="center"/>
        </w:trPr>
        <w:tc>
          <w:tcPr>
            <w:tcW w:w="5920" w:type="dxa"/>
            <w:tcBorders>
              <w:top w:val="nil"/>
              <w:bottom w:val="nil"/>
            </w:tcBorders>
          </w:tcPr>
          <w:p w14:paraId="2D114981" w14:textId="77777777" w:rsidR="00183BE2" w:rsidRPr="00A96D90" w:rsidRDefault="00183BE2" w:rsidP="00183BE2">
            <w:pPr>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Changes in non-current assets, liabilities and equity</w:t>
            </w:r>
          </w:p>
        </w:tc>
        <w:tc>
          <w:tcPr>
            <w:tcW w:w="1559" w:type="dxa"/>
            <w:tcBorders>
              <w:top w:val="nil"/>
              <w:bottom w:val="nil"/>
            </w:tcBorders>
            <w:shd w:val="clear" w:color="auto" w:fill="F2F2F2" w:themeFill="background1" w:themeFillShade="F2"/>
            <w:tcMar>
              <w:top w:w="28" w:type="dxa"/>
            </w:tcMar>
          </w:tcPr>
          <w:p w14:paraId="0B3DA64B" w14:textId="01506F9B" w:rsidR="00183BE2" w:rsidRPr="00A96D90" w:rsidRDefault="00183BE2" w:rsidP="00183BE2">
            <w:pPr>
              <w:jc w:val="right"/>
              <w:rPr>
                <w:rFonts w:asciiTheme="minorHAnsi" w:hAnsiTheme="minorHAnsi" w:cstheme="minorHAnsi"/>
                <w:b/>
                <w:color w:val="59595B"/>
                <w:sz w:val="20"/>
                <w:szCs w:val="20"/>
                <w:highlight w:val="yellow"/>
                <w:lang w:val="en-GB"/>
              </w:rPr>
            </w:pPr>
            <w:r w:rsidRPr="00A96D90">
              <w:rPr>
                <w:rFonts w:asciiTheme="minorHAnsi" w:hAnsiTheme="minorHAnsi" w:cstheme="minorHAnsi"/>
                <w:b/>
                <w:color w:val="59595B"/>
                <w:sz w:val="20"/>
                <w:szCs w:val="20"/>
                <w:lang w:val="en-GB"/>
              </w:rPr>
              <w:t>(</w:t>
            </w:r>
            <w:r w:rsidR="00E033A9" w:rsidRPr="00A96D90">
              <w:rPr>
                <w:rFonts w:asciiTheme="minorHAnsi" w:hAnsiTheme="minorHAnsi" w:cstheme="minorHAnsi"/>
                <w:b/>
                <w:color w:val="59595B"/>
                <w:sz w:val="20"/>
                <w:szCs w:val="20"/>
                <w:lang w:val="en-GB"/>
              </w:rPr>
              <w:t>3,109</w:t>
            </w:r>
            <w:r w:rsidRPr="00A96D90">
              <w:rPr>
                <w:rFonts w:asciiTheme="minorHAnsi" w:hAnsiTheme="minorHAnsi" w:cstheme="minorHAnsi"/>
                <w:b/>
                <w:color w:val="59595B"/>
                <w:sz w:val="20"/>
                <w:szCs w:val="20"/>
                <w:lang w:val="en-GB"/>
              </w:rPr>
              <w:t>)</w:t>
            </w:r>
          </w:p>
        </w:tc>
        <w:tc>
          <w:tcPr>
            <w:tcW w:w="1473" w:type="dxa"/>
            <w:tcBorders>
              <w:top w:val="nil"/>
              <w:bottom w:val="nil"/>
            </w:tcBorders>
            <w:tcMar>
              <w:top w:w="28" w:type="dxa"/>
            </w:tcMar>
          </w:tcPr>
          <w:p w14:paraId="57214936" w14:textId="0903B17E"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(258)</w:t>
            </w:r>
          </w:p>
        </w:tc>
      </w:tr>
      <w:tr w:rsidR="00183BE2" w:rsidRPr="00A96D90" w14:paraId="23DD902E" w14:textId="77777777" w:rsidTr="00F833F8">
        <w:trPr>
          <w:jc w:val="center"/>
        </w:trPr>
        <w:tc>
          <w:tcPr>
            <w:tcW w:w="5920" w:type="dxa"/>
            <w:tcBorders>
              <w:top w:val="nil"/>
              <w:bottom w:val="single" w:sz="4" w:space="0" w:color="BFBFBF" w:themeColor="background1" w:themeShade="BF"/>
            </w:tcBorders>
          </w:tcPr>
          <w:p w14:paraId="01C649D3" w14:textId="77777777" w:rsidR="00183BE2" w:rsidRPr="00A96D90" w:rsidRDefault="00183BE2" w:rsidP="00183BE2">
            <w:pPr>
              <w:rPr>
                <w:rFonts w:asciiTheme="minorHAnsi" w:hAnsiTheme="minorHAnsi" w:cs="Arial"/>
                <w:b/>
                <w:bCs/>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2F0AD99A"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4E4ABA65"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7360E5D8" w14:textId="77777777" w:rsidTr="00F833F8">
        <w:trPr>
          <w:jc w:val="center"/>
        </w:trPr>
        <w:tc>
          <w:tcPr>
            <w:tcW w:w="5920" w:type="dxa"/>
            <w:tcBorders>
              <w:top w:val="single" w:sz="4" w:space="0" w:color="BFBFBF" w:themeColor="background1" w:themeShade="BF"/>
              <w:bottom w:val="single" w:sz="4" w:space="0" w:color="BFBFBF" w:themeColor="background1" w:themeShade="BF"/>
            </w:tcBorders>
          </w:tcPr>
          <w:p w14:paraId="05F1063D"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Net cash flows used in operating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0A88F741" w14:textId="1E7C0CBD"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E033A9" w:rsidRPr="00A96D90">
              <w:rPr>
                <w:rFonts w:asciiTheme="minorHAnsi" w:hAnsiTheme="minorHAnsi" w:cstheme="minorHAnsi"/>
                <w:b/>
                <w:color w:val="59595B"/>
                <w:sz w:val="20"/>
                <w:szCs w:val="20"/>
                <w:lang w:val="en-GB"/>
              </w:rPr>
              <w:t>4,190</w:t>
            </w:r>
            <w:r w:rsidRPr="00A96D90">
              <w:rPr>
                <w:rFonts w:asciiTheme="minorHAnsi" w:hAnsiTheme="minorHAnsi" w:cstheme="minorHAnsi"/>
                <w:b/>
                <w:color w:val="59595B"/>
                <w:sz w:val="20"/>
                <w:szCs w:val="20"/>
                <w:lang w:val="en-GB"/>
              </w:rPr>
              <w:t>)</w:t>
            </w:r>
          </w:p>
        </w:tc>
        <w:tc>
          <w:tcPr>
            <w:tcW w:w="1473" w:type="dxa"/>
            <w:tcBorders>
              <w:top w:val="single" w:sz="4" w:space="0" w:color="BFBFBF" w:themeColor="background1" w:themeShade="BF"/>
              <w:bottom w:val="single" w:sz="4" w:space="0" w:color="BFBFBF" w:themeColor="background1" w:themeShade="BF"/>
            </w:tcBorders>
            <w:tcMar>
              <w:top w:w="28" w:type="dxa"/>
            </w:tcMar>
          </w:tcPr>
          <w:p w14:paraId="438228B8" w14:textId="035D161F"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(8,590)</w:t>
            </w:r>
          </w:p>
        </w:tc>
      </w:tr>
      <w:tr w:rsidR="00183BE2" w:rsidRPr="00A96D90" w14:paraId="09E7E783" w14:textId="77777777" w:rsidTr="00F833F8">
        <w:trPr>
          <w:jc w:val="center"/>
        </w:trPr>
        <w:tc>
          <w:tcPr>
            <w:tcW w:w="5920" w:type="dxa"/>
            <w:tcBorders>
              <w:bottom w:val="nil"/>
            </w:tcBorders>
          </w:tcPr>
          <w:p w14:paraId="675E88DA"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30B4F6ED"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2971B2DF"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36759284" w14:textId="77777777" w:rsidTr="00F833F8">
        <w:trPr>
          <w:jc w:val="center"/>
        </w:trPr>
        <w:tc>
          <w:tcPr>
            <w:tcW w:w="5920" w:type="dxa"/>
            <w:tcBorders>
              <w:top w:val="nil"/>
              <w:bottom w:val="nil"/>
            </w:tcBorders>
          </w:tcPr>
          <w:p w14:paraId="20A93F8B"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Capital expenditure for property, plant and equipment</w:t>
            </w:r>
          </w:p>
        </w:tc>
        <w:tc>
          <w:tcPr>
            <w:tcW w:w="1559" w:type="dxa"/>
            <w:tcBorders>
              <w:top w:val="nil"/>
              <w:bottom w:val="nil"/>
            </w:tcBorders>
            <w:shd w:val="clear" w:color="auto" w:fill="F2F2F2" w:themeFill="background1" w:themeFillShade="F2"/>
            <w:tcMar>
              <w:top w:w="28" w:type="dxa"/>
            </w:tcMar>
          </w:tcPr>
          <w:p w14:paraId="17F77EC1" w14:textId="11D06D85" w:rsidR="00183BE2" w:rsidRPr="00A96D90" w:rsidRDefault="009B6E83"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(1,457</w:t>
            </w:r>
            <w:r w:rsidR="00183BE2" w:rsidRPr="00A96D90">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0CC681FE" w14:textId="4CE58ACB"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(752)</w:t>
            </w:r>
          </w:p>
        </w:tc>
      </w:tr>
      <w:tr w:rsidR="009B6E83" w:rsidRPr="00A96D90" w14:paraId="71AC2381" w14:textId="77777777" w:rsidTr="00F833F8">
        <w:trPr>
          <w:jc w:val="center"/>
        </w:trPr>
        <w:tc>
          <w:tcPr>
            <w:tcW w:w="5920" w:type="dxa"/>
            <w:tcBorders>
              <w:top w:val="nil"/>
              <w:bottom w:val="nil"/>
            </w:tcBorders>
          </w:tcPr>
          <w:p w14:paraId="40263FF4" w14:textId="5C895072" w:rsidR="009B6E83" w:rsidRPr="00A96D90" w:rsidRDefault="009B6E83"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Investment intangible assets</w:t>
            </w:r>
          </w:p>
        </w:tc>
        <w:tc>
          <w:tcPr>
            <w:tcW w:w="1559" w:type="dxa"/>
            <w:tcBorders>
              <w:top w:val="nil"/>
              <w:bottom w:val="nil"/>
            </w:tcBorders>
            <w:shd w:val="clear" w:color="auto" w:fill="F2F2F2" w:themeFill="background1" w:themeFillShade="F2"/>
            <w:tcMar>
              <w:top w:w="28" w:type="dxa"/>
            </w:tcMar>
          </w:tcPr>
          <w:p w14:paraId="16704697" w14:textId="3B140B01" w:rsidR="009B6E83" w:rsidRPr="00A96D90" w:rsidRDefault="009B6E83"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(598)</w:t>
            </w:r>
          </w:p>
        </w:tc>
        <w:tc>
          <w:tcPr>
            <w:tcW w:w="1473" w:type="dxa"/>
            <w:tcBorders>
              <w:top w:val="nil"/>
              <w:bottom w:val="nil"/>
            </w:tcBorders>
            <w:tcMar>
              <w:top w:w="28" w:type="dxa"/>
            </w:tcMar>
          </w:tcPr>
          <w:p w14:paraId="6C50C540" w14:textId="381F8824" w:rsidR="009B6E83" w:rsidRPr="00A96D90" w:rsidRDefault="009B6E83"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p>
        </w:tc>
      </w:tr>
      <w:tr w:rsidR="00183BE2" w:rsidRPr="00A96D90" w14:paraId="7B772F74" w14:textId="77777777" w:rsidTr="00F833F8">
        <w:trPr>
          <w:jc w:val="center"/>
        </w:trPr>
        <w:tc>
          <w:tcPr>
            <w:tcW w:w="5920" w:type="dxa"/>
            <w:tcBorders>
              <w:top w:val="nil"/>
              <w:bottom w:val="single" w:sz="4" w:space="0" w:color="BFBFBF" w:themeColor="background1" w:themeShade="BF"/>
            </w:tcBorders>
          </w:tcPr>
          <w:p w14:paraId="70E91E87"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3A451DA6" w14:textId="77777777" w:rsidR="00183BE2" w:rsidRPr="00A96D90" w:rsidRDefault="00183BE2" w:rsidP="00183BE2">
            <w:pPr>
              <w:jc w:val="right"/>
              <w:rPr>
                <w:rFonts w:asciiTheme="minorHAnsi" w:hAnsiTheme="minorHAnsi" w:cs="Arial"/>
                <w:bCs/>
                <w:color w:val="59595B"/>
                <w:sz w:val="20"/>
                <w:lang w:val="en-GB"/>
              </w:rPr>
            </w:pPr>
          </w:p>
        </w:tc>
        <w:tc>
          <w:tcPr>
            <w:tcW w:w="1473" w:type="dxa"/>
            <w:tcBorders>
              <w:top w:val="nil"/>
              <w:bottom w:val="single" w:sz="4" w:space="0" w:color="BFBFBF" w:themeColor="background1" w:themeShade="BF"/>
            </w:tcBorders>
            <w:tcMar>
              <w:top w:w="28" w:type="dxa"/>
            </w:tcMar>
          </w:tcPr>
          <w:p w14:paraId="088F45D8"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241A1CC8" w14:textId="77777777" w:rsidTr="00F833F8">
        <w:trPr>
          <w:jc w:val="center"/>
        </w:trPr>
        <w:tc>
          <w:tcPr>
            <w:tcW w:w="5920" w:type="dxa"/>
            <w:tcBorders>
              <w:top w:val="single" w:sz="4" w:space="0" w:color="BFBFBF" w:themeColor="background1" w:themeShade="BF"/>
              <w:bottom w:val="single" w:sz="4" w:space="0" w:color="BFBFBF" w:themeColor="background1" w:themeShade="BF"/>
            </w:tcBorders>
          </w:tcPr>
          <w:p w14:paraId="266479FE"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Net cash flows used in investing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77A8BAB2" w14:textId="7EF56FBC"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9B6E83" w:rsidRPr="00A96D90">
              <w:rPr>
                <w:rFonts w:asciiTheme="minorHAnsi" w:hAnsiTheme="minorHAnsi" w:cstheme="minorHAnsi"/>
                <w:b/>
                <w:color w:val="59595B"/>
                <w:sz w:val="20"/>
                <w:szCs w:val="20"/>
                <w:lang w:val="en-GB"/>
              </w:rPr>
              <w:t>2,055</w:t>
            </w:r>
            <w:r w:rsidRPr="00A96D90">
              <w:rPr>
                <w:rFonts w:asciiTheme="minorHAnsi" w:hAnsiTheme="minorHAnsi" w:cstheme="minorHAnsi"/>
                <w:b/>
                <w:color w:val="59595B"/>
                <w:sz w:val="20"/>
                <w:szCs w:val="20"/>
                <w:lang w:val="en-GB"/>
              </w:rPr>
              <w:t>)</w:t>
            </w:r>
          </w:p>
        </w:tc>
        <w:tc>
          <w:tcPr>
            <w:tcW w:w="1473" w:type="dxa"/>
            <w:tcBorders>
              <w:top w:val="single" w:sz="4" w:space="0" w:color="BFBFBF" w:themeColor="background1" w:themeShade="BF"/>
              <w:bottom w:val="single" w:sz="4" w:space="0" w:color="BFBFBF" w:themeColor="background1" w:themeShade="BF"/>
            </w:tcBorders>
            <w:tcMar>
              <w:top w:w="28" w:type="dxa"/>
            </w:tcMar>
          </w:tcPr>
          <w:p w14:paraId="1F0F2C10" w14:textId="53B69EF3"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(752)</w:t>
            </w:r>
          </w:p>
        </w:tc>
      </w:tr>
      <w:tr w:rsidR="00183BE2" w:rsidRPr="00A96D90" w14:paraId="6D449702" w14:textId="77777777" w:rsidTr="00F833F8">
        <w:trPr>
          <w:jc w:val="center"/>
        </w:trPr>
        <w:tc>
          <w:tcPr>
            <w:tcW w:w="5920" w:type="dxa"/>
            <w:tcBorders>
              <w:bottom w:val="nil"/>
            </w:tcBorders>
          </w:tcPr>
          <w:p w14:paraId="18CEFCA0"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57BE430A" w14:textId="77777777" w:rsidR="00183BE2" w:rsidRPr="00A96D90" w:rsidRDefault="00183BE2" w:rsidP="00183BE2">
            <w:pPr>
              <w:jc w:val="right"/>
              <w:rPr>
                <w:rFonts w:asciiTheme="minorHAnsi" w:hAnsiTheme="minorHAnsi" w:cs="Arial"/>
                <w:bCs/>
                <w:color w:val="59595B"/>
                <w:sz w:val="20"/>
                <w:lang w:val="en-GB"/>
              </w:rPr>
            </w:pPr>
          </w:p>
        </w:tc>
        <w:tc>
          <w:tcPr>
            <w:tcW w:w="1473" w:type="dxa"/>
            <w:tcBorders>
              <w:bottom w:val="nil"/>
            </w:tcBorders>
            <w:tcMar>
              <w:top w:w="28" w:type="dxa"/>
            </w:tcMar>
          </w:tcPr>
          <w:p w14:paraId="391ECA53"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61FC0F79" w14:textId="77777777" w:rsidTr="00F833F8">
        <w:trPr>
          <w:jc w:val="center"/>
        </w:trPr>
        <w:tc>
          <w:tcPr>
            <w:tcW w:w="5920" w:type="dxa"/>
            <w:tcBorders>
              <w:top w:val="nil"/>
              <w:bottom w:val="nil"/>
            </w:tcBorders>
          </w:tcPr>
          <w:p w14:paraId="7B622527" w14:textId="641C627C" w:rsidR="00183BE2" w:rsidRPr="00A96D90" w:rsidRDefault="004246C5"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debt loans an</w:t>
            </w:r>
            <w:r w:rsidR="00B8058C" w:rsidRPr="00A96D90">
              <w:rPr>
                <w:rFonts w:asciiTheme="minorHAnsi" w:hAnsiTheme="minorHAnsi" w:cstheme="minorHAnsi"/>
                <w:color w:val="59595B"/>
                <w:sz w:val="20"/>
                <w:szCs w:val="20"/>
                <w:lang w:val="en-GB"/>
              </w:rPr>
              <w:t>d borrowings</w:t>
            </w:r>
          </w:p>
        </w:tc>
        <w:tc>
          <w:tcPr>
            <w:tcW w:w="1559" w:type="dxa"/>
            <w:tcBorders>
              <w:top w:val="nil"/>
              <w:bottom w:val="nil"/>
            </w:tcBorders>
            <w:shd w:val="clear" w:color="auto" w:fill="F2F2F2" w:themeFill="background1" w:themeFillShade="F2"/>
            <w:tcMar>
              <w:top w:w="28" w:type="dxa"/>
            </w:tcMar>
          </w:tcPr>
          <w:p w14:paraId="7F384C10" w14:textId="634C096B" w:rsidR="00183BE2" w:rsidRPr="00A96D90" w:rsidRDefault="001E32B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89,139</w:t>
            </w:r>
          </w:p>
        </w:tc>
        <w:tc>
          <w:tcPr>
            <w:tcW w:w="1473" w:type="dxa"/>
            <w:tcBorders>
              <w:top w:val="nil"/>
              <w:bottom w:val="nil"/>
            </w:tcBorders>
            <w:tcMar>
              <w:top w:w="28" w:type="dxa"/>
            </w:tcMar>
          </w:tcPr>
          <w:p w14:paraId="2DCB0E9B" w14:textId="3B7E8DEA"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p>
        </w:tc>
      </w:tr>
      <w:tr w:rsidR="00B8058C" w:rsidRPr="00A96D90" w14:paraId="16A39347" w14:textId="77777777" w:rsidTr="00F833F8">
        <w:trPr>
          <w:jc w:val="center"/>
        </w:trPr>
        <w:tc>
          <w:tcPr>
            <w:tcW w:w="5920" w:type="dxa"/>
            <w:tcBorders>
              <w:top w:val="nil"/>
              <w:bottom w:val="nil"/>
            </w:tcBorders>
          </w:tcPr>
          <w:p w14:paraId="4AEBB6E4" w14:textId="6CE309E0" w:rsidR="00B8058C" w:rsidRPr="00A96D90" w:rsidRDefault="00B8058C"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Payments of transaction fees</w:t>
            </w:r>
          </w:p>
        </w:tc>
        <w:tc>
          <w:tcPr>
            <w:tcW w:w="1559" w:type="dxa"/>
            <w:tcBorders>
              <w:top w:val="nil"/>
              <w:bottom w:val="nil"/>
            </w:tcBorders>
            <w:shd w:val="clear" w:color="auto" w:fill="F2F2F2" w:themeFill="background1" w:themeFillShade="F2"/>
            <w:tcMar>
              <w:top w:w="28" w:type="dxa"/>
            </w:tcMar>
          </w:tcPr>
          <w:p w14:paraId="4FD41F25" w14:textId="697655F8" w:rsidR="00B8058C" w:rsidRPr="00A96D90" w:rsidRDefault="009E0257"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r w:rsidR="00E033A9" w:rsidRPr="00A96D90">
              <w:rPr>
                <w:rFonts w:asciiTheme="minorHAnsi" w:hAnsiTheme="minorHAnsi" w:cstheme="minorHAnsi"/>
                <w:color w:val="59595B"/>
                <w:sz w:val="20"/>
                <w:szCs w:val="20"/>
                <w:lang w:val="en-GB"/>
              </w:rPr>
              <w:t>16,051</w:t>
            </w:r>
            <w:r w:rsidRPr="00A96D90">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17BBB1E0" w14:textId="55D85F92" w:rsidR="00B8058C" w:rsidRPr="00A96D90" w:rsidRDefault="001E32B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p>
        </w:tc>
      </w:tr>
      <w:tr w:rsidR="00183BE2" w:rsidRPr="00A96D90" w14:paraId="443C825C" w14:textId="77777777" w:rsidTr="00F833F8">
        <w:trPr>
          <w:jc w:val="center"/>
        </w:trPr>
        <w:tc>
          <w:tcPr>
            <w:tcW w:w="5920" w:type="dxa"/>
            <w:tcBorders>
              <w:top w:val="nil"/>
              <w:bottom w:val="nil"/>
            </w:tcBorders>
          </w:tcPr>
          <w:p w14:paraId="1DEA7385" w14:textId="1485B740"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 xml:space="preserve">Repayments </w:t>
            </w:r>
            <w:r w:rsidR="00B8058C" w:rsidRPr="00A96D90">
              <w:rPr>
                <w:rFonts w:asciiTheme="minorHAnsi" w:hAnsiTheme="minorHAnsi" w:cstheme="minorHAnsi"/>
                <w:color w:val="59595B"/>
                <w:sz w:val="20"/>
                <w:szCs w:val="20"/>
                <w:lang w:val="en-GB"/>
              </w:rPr>
              <w:t>and interest on loans</w:t>
            </w:r>
          </w:p>
        </w:tc>
        <w:tc>
          <w:tcPr>
            <w:tcW w:w="1559" w:type="dxa"/>
            <w:tcBorders>
              <w:top w:val="nil"/>
              <w:bottom w:val="nil"/>
            </w:tcBorders>
            <w:shd w:val="clear" w:color="auto" w:fill="F2F2F2" w:themeFill="background1" w:themeFillShade="F2"/>
            <w:tcMar>
              <w:top w:w="28" w:type="dxa"/>
            </w:tcMar>
          </w:tcPr>
          <w:p w14:paraId="465E71A2" w14:textId="569D93A7" w:rsidR="00183BE2" w:rsidRPr="00A96D90" w:rsidRDefault="009E0257"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(73,399)</w:t>
            </w:r>
          </w:p>
        </w:tc>
        <w:tc>
          <w:tcPr>
            <w:tcW w:w="1473" w:type="dxa"/>
            <w:tcBorders>
              <w:top w:val="nil"/>
              <w:bottom w:val="nil"/>
            </w:tcBorders>
            <w:tcMar>
              <w:top w:w="28" w:type="dxa"/>
            </w:tcMar>
          </w:tcPr>
          <w:p w14:paraId="303A3629" w14:textId="7079457C"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(536)</w:t>
            </w:r>
          </w:p>
        </w:tc>
      </w:tr>
      <w:tr w:rsidR="00B8058C" w:rsidRPr="00A96D90" w14:paraId="3FFB7BE9" w14:textId="77777777" w:rsidTr="00F833F8">
        <w:trPr>
          <w:jc w:val="center"/>
        </w:trPr>
        <w:tc>
          <w:tcPr>
            <w:tcW w:w="5920" w:type="dxa"/>
            <w:tcBorders>
              <w:top w:val="nil"/>
              <w:bottom w:val="nil"/>
            </w:tcBorders>
          </w:tcPr>
          <w:p w14:paraId="3B8BABC7" w14:textId="14EE3557" w:rsidR="00B8058C" w:rsidRPr="00A96D90" w:rsidRDefault="00B8058C"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Proceeds of equity and warrants</w:t>
            </w:r>
          </w:p>
        </w:tc>
        <w:tc>
          <w:tcPr>
            <w:tcW w:w="1559" w:type="dxa"/>
            <w:tcBorders>
              <w:top w:val="nil"/>
              <w:bottom w:val="nil"/>
            </w:tcBorders>
            <w:shd w:val="clear" w:color="auto" w:fill="F2F2F2" w:themeFill="background1" w:themeFillShade="F2"/>
            <w:tcMar>
              <w:top w:w="28" w:type="dxa"/>
            </w:tcMar>
          </w:tcPr>
          <w:p w14:paraId="7849CD01" w14:textId="497B3FD1" w:rsidR="00B8058C" w:rsidRPr="00A96D90" w:rsidRDefault="00987D35"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284</w:t>
            </w:r>
          </w:p>
        </w:tc>
        <w:tc>
          <w:tcPr>
            <w:tcW w:w="1473" w:type="dxa"/>
            <w:tcBorders>
              <w:top w:val="nil"/>
              <w:bottom w:val="nil"/>
            </w:tcBorders>
            <w:tcMar>
              <w:top w:w="28" w:type="dxa"/>
            </w:tcMar>
          </w:tcPr>
          <w:p w14:paraId="424A85CA" w14:textId="61004868" w:rsidR="00B8058C" w:rsidRPr="00A96D90" w:rsidRDefault="001E32B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t>
            </w:r>
          </w:p>
        </w:tc>
      </w:tr>
      <w:tr w:rsidR="00183BE2" w:rsidRPr="00A96D90" w14:paraId="3137C64C" w14:textId="77777777" w:rsidTr="00F833F8">
        <w:trPr>
          <w:jc w:val="center"/>
        </w:trPr>
        <w:tc>
          <w:tcPr>
            <w:tcW w:w="5920" w:type="dxa"/>
            <w:tcBorders>
              <w:top w:val="nil"/>
              <w:bottom w:val="single" w:sz="4" w:space="0" w:color="BFBFBF" w:themeColor="background1" w:themeShade="BF"/>
            </w:tcBorders>
          </w:tcPr>
          <w:p w14:paraId="6061D77D" w14:textId="77777777" w:rsidR="00183BE2" w:rsidRPr="00A96D90" w:rsidRDefault="00183BE2" w:rsidP="00183BE2">
            <w:pPr>
              <w:rPr>
                <w:rFonts w:asciiTheme="minorHAnsi" w:hAnsiTheme="minorHAnsi" w:cstheme="minorHAnsi"/>
                <w:b/>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2494CEF9" w14:textId="77777777" w:rsidR="00183BE2" w:rsidRPr="00A96D90" w:rsidRDefault="00183BE2" w:rsidP="00183BE2">
            <w:pPr>
              <w:jc w:val="right"/>
              <w:rPr>
                <w:rFonts w:asciiTheme="minorHAnsi" w:hAnsiTheme="minorHAnsi" w:cstheme="minorHAnsi"/>
                <w:b/>
                <w:color w:val="59595B"/>
                <w:sz w:val="20"/>
                <w:szCs w:val="20"/>
                <w:lang w:val="en-GB"/>
              </w:rPr>
            </w:pPr>
          </w:p>
        </w:tc>
        <w:tc>
          <w:tcPr>
            <w:tcW w:w="1473" w:type="dxa"/>
            <w:tcBorders>
              <w:top w:val="nil"/>
              <w:bottom w:val="single" w:sz="4" w:space="0" w:color="BFBFBF" w:themeColor="background1" w:themeShade="BF"/>
            </w:tcBorders>
            <w:tcMar>
              <w:top w:w="28" w:type="dxa"/>
            </w:tcMar>
          </w:tcPr>
          <w:p w14:paraId="7BD4E3E5" w14:textId="77777777" w:rsidR="00183BE2" w:rsidRPr="00A96D90" w:rsidRDefault="00183BE2" w:rsidP="00183BE2">
            <w:pPr>
              <w:jc w:val="right"/>
              <w:rPr>
                <w:rFonts w:asciiTheme="minorHAnsi" w:hAnsiTheme="minorHAnsi" w:cstheme="minorHAnsi"/>
                <w:b/>
                <w:color w:val="59595B"/>
                <w:sz w:val="20"/>
                <w:szCs w:val="20"/>
                <w:lang w:val="en-GB"/>
              </w:rPr>
            </w:pPr>
          </w:p>
        </w:tc>
      </w:tr>
      <w:tr w:rsidR="00183BE2" w:rsidRPr="00A96D90" w14:paraId="41544E07" w14:textId="77777777" w:rsidTr="00F833F8">
        <w:trPr>
          <w:jc w:val="center"/>
        </w:trPr>
        <w:tc>
          <w:tcPr>
            <w:tcW w:w="5920" w:type="dxa"/>
            <w:tcBorders>
              <w:top w:val="single" w:sz="4" w:space="0" w:color="BFBFBF" w:themeColor="background1" w:themeShade="BF"/>
              <w:bottom w:val="single" w:sz="4" w:space="0" w:color="BFBFBF" w:themeColor="background1" w:themeShade="BF"/>
            </w:tcBorders>
          </w:tcPr>
          <w:p w14:paraId="43BF200F"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Net cash flows from financing activities</w:t>
            </w:r>
          </w:p>
        </w:tc>
        <w:tc>
          <w:tcPr>
            <w:tcW w:w="1559" w:type="dxa"/>
            <w:tcBorders>
              <w:top w:val="single" w:sz="4" w:space="0" w:color="BFBFBF" w:themeColor="background1" w:themeShade="BF"/>
              <w:bottom w:val="single" w:sz="4" w:space="0" w:color="BFBFBF" w:themeColor="background1" w:themeShade="BF"/>
            </w:tcBorders>
            <w:shd w:val="clear" w:color="auto" w:fill="F2F2F2" w:themeFill="background1" w:themeFillShade="F2"/>
            <w:tcMar>
              <w:top w:w="28" w:type="dxa"/>
            </w:tcMar>
          </w:tcPr>
          <w:p w14:paraId="163DC01C" w14:textId="719812C1" w:rsidR="00183BE2" w:rsidRPr="00A96D90" w:rsidRDefault="00E033A9"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(27)</w:t>
            </w:r>
          </w:p>
        </w:tc>
        <w:tc>
          <w:tcPr>
            <w:tcW w:w="1473" w:type="dxa"/>
            <w:tcBorders>
              <w:top w:val="single" w:sz="4" w:space="0" w:color="BFBFBF" w:themeColor="background1" w:themeShade="BF"/>
              <w:bottom w:val="single" w:sz="4" w:space="0" w:color="BFBFBF" w:themeColor="background1" w:themeShade="BF"/>
            </w:tcBorders>
            <w:tcMar>
              <w:top w:w="28" w:type="dxa"/>
            </w:tcMar>
          </w:tcPr>
          <w:p w14:paraId="59FFB1C9" w14:textId="73F8EF05"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(536)</w:t>
            </w:r>
          </w:p>
        </w:tc>
      </w:tr>
      <w:tr w:rsidR="00183BE2" w:rsidRPr="00A96D90" w14:paraId="7A388E86" w14:textId="77777777" w:rsidTr="00F833F8">
        <w:trPr>
          <w:jc w:val="center"/>
        </w:trPr>
        <w:tc>
          <w:tcPr>
            <w:tcW w:w="5920" w:type="dxa"/>
            <w:tcBorders>
              <w:bottom w:val="nil"/>
            </w:tcBorders>
          </w:tcPr>
          <w:p w14:paraId="5A422C7F"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bottom w:val="nil"/>
            </w:tcBorders>
            <w:shd w:val="clear" w:color="auto" w:fill="F2F2F2" w:themeFill="background1" w:themeFillShade="F2"/>
            <w:tcMar>
              <w:top w:w="28" w:type="dxa"/>
            </w:tcMar>
          </w:tcPr>
          <w:p w14:paraId="37B1E8B1"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bottom w:val="nil"/>
            </w:tcBorders>
            <w:tcMar>
              <w:top w:w="28" w:type="dxa"/>
            </w:tcMar>
          </w:tcPr>
          <w:p w14:paraId="3F389F00"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5A4C95A3" w14:textId="77777777" w:rsidTr="00F833F8">
        <w:trPr>
          <w:jc w:val="center"/>
        </w:trPr>
        <w:tc>
          <w:tcPr>
            <w:tcW w:w="5920" w:type="dxa"/>
            <w:tcBorders>
              <w:top w:val="nil"/>
              <w:bottom w:val="nil"/>
            </w:tcBorders>
          </w:tcPr>
          <w:p w14:paraId="66C0AE7A"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Increase (decrease) of cash</w:t>
            </w:r>
          </w:p>
        </w:tc>
        <w:tc>
          <w:tcPr>
            <w:tcW w:w="1559" w:type="dxa"/>
            <w:tcBorders>
              <w:top w:val="nil"/>
              <w:bottom w:val="nil"/>
            </w:tcBorders>
            <w:shd w:val="clear" w:color="auto" w:fill="F2F2F2" w:themeFill="background1" w:themeFillShade="F2"/>
            <w:tcMar>
              <w:top w:w="28" w:type="dxa"/>
            </w:tcMar>
          </w:tcPr>
          <w:p w14:paraId="08F26BA5" w14:textId="7F8F52E7"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w:t>
            </w:r>
            <w:r w:rsidR="00507292" w:rsidRPr="00A96D90">
              <w:rPr>
                <w:rFonts w:asciiTheme="minorHAnsi" w:hAnsiTheme="minorHAnsi" w:cstheme="minorHAnsi"/>
                <w:b/>
                <w:color w:val="59595B"/>
                <w:sz w:val="20"/>
                <w:szCs w:val="20"/>
                <w:lang w:val="en-GB"/>
              </w:rPr>
              <w:t>6,272</w:t>
            </w:r>
            <w:r w:rsidRPr="00A96D90">
              <w:rPr>
                <w:rFonts w:asciiTheme="minorHAnsi" w:hAnsiTheme="minorHAnsi" w:cstheme="minorHAnsi"/>
                <w:b/>
                <w:color w:val="59595B"/>
                <w:sz w:val="20"/>
                <w:szCs w:val="20"/>
                <w:lang w:val="en-GB"/>
              </w:rPr>
              <w:t>)</w:t>
            </w:r>
          </w:p>
        </w:tc>
        <w:tc>
          <w:tcPr>
            <w:tcW w:w="1473" w:type="dxa"/>
            <w:tcBorders>
              <w:top w:val="nil"/>
              <w:bottom w:val="nil"/>
            </w:tcBorders>
            <w:tcMar>
              <w:top w:w="28" w:type="dxa"/>
            </w:tcMar>
          </w:tcPr>
          <w:p w14:paraId="57184CF1" w14:textId="2202B219"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(9,878)</w:t>
            </w:r>
          </w:p>
        </w:tc>
      </w:tr>
      <w:tr w:rsidR="00183BE2" w:rsidRPr="00A96D90" w14:paraId="6D7F1C68" w14:textId="77777777" w:rsidTr="00F833F8">
        <w:trPr>
          <w:jc w:val="center"/>
        </w:trPr>
        <w:tc>
          <w:tcPr>
            <w:tcW w:w="5920" w:type="dxa"/>
            <w:tcBorders>
              <w:top w:val="nil"/>
              <w:bottom w:val="nil"/>
            </w:tcBorders>
          </w:tcPr>
          <w:p w14:paraId="4715711F"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1CA1831D"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7B2FA2A2"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7AC97E57" w14:textId="77777777" w:rsidTr="00F833F8">
        <w:trPr>
          <w:jc w:val="center"/>
        </w:trPr>
        <w:tc>
          <w:tcPr>
            <w:tcW w:w="5920" w:type="dxa"/>
            <w:tcBorders>
              <w:top w:val="nil"/>
              <w:bottom w:val="nil"/>
            </w:tcBorders>
          </w:tcPr>
          <w:p w14:paraId="4071AFDA"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Exchange rate effects</w:t>
            </w:r>
          </w:p>
        </w:tc>
        <w:tc>
          <w:tcPr>
            <w:tcW w:w="1559" w:type="dxa"/>
            <w:tcBorders>
              <w:top w:val="nil"/>
              <w:bottom w:val="nil"/>
            </w:tcBorders>
            <w:shd w:val="clear" w:color="auto" w:fill="F2F2F2" w:themeFill="background1" w:themeFillShade="F2"/>
            <w:tcMar>
              <w:top w:w="28" w:type="dxa"/>
            </w:tcMar>
          </w:tcPr>
          <w:p w14:paraId="64741197" w14:textId="43A86CDE" w:rsidR="00183BE2" w:rsidRPr="00A96D90" w:rsidRDefault="0050729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(620</w:t>
            </w:r>
            <w:r w:rsidR="00183BE2" w:rsidRPr="00A96D90">
              <w:rPr>
                <w:rFonts w:asciiTheme="minorHAnsi" w:hAnsiTheme="minorHAnsi" w:cstheme="minorHAnsi"/>
                <w:color w:val="59595B"/>
                <w:sz w:val="20"/>
                <w:szCs w:val="20"/>
                <w:lang w:val="en-GB"/>
              </w:rPr>
              <w:t>)</w:t>
            </w:r>
          </w:p>
        </w:tc>
        <w:tc>
          <w:tcPr>
            <w:tcW w:w="1473" w:type="dxa"/>
            <w:tcBorders>
              <w:top w:val="nil"/>
              <w:bottom w:val="nil"/>
            </w:tcBorders>
            <w:tcMar>
              <w:top w:w="28" w:type="dxa"/>
            </w:tcMar>
          </w:tcPr>
          <w:p w14:paraId="53D3AE10" w14:textId="652716BA"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(293)</w:t>
            </w:r>
          </w:p>
        </w:tc>
      </w:tr>
      <w:tr w:rsidR="00183BE2" w:rsidRPr="00A96D90" w14:paraId="7AF1F7C5" w14:textId="77777777" w:rsidTr="00F833F8">
        <w:trPr>
          <w:jc w:val="center"/>
        </w:trPr>
        <w:tc>
          <w:tcPr>
            <w:tcW w:w="5920" w:type="dxa"/>
            <w:tcBorders>
              <w:top w:val="nil"/>
              <w:bottom w:val="nil"/>
            </w:tcBorders>
          </w:tcPr>
          <w:p w14:paraId="1F00CA57"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Cash and cash equivalents at 1 January</w:t>
            </w:r>
          </w:p>
        </w:tc>
        <w:tc>
          <w:tcPr>
            <w:tcW w:w="1559" w:type="dxa"/>
            <w:tcBorders>
              <w:top w:val="nil"/>
              <w:bottom w:val="nil"/>
            </w:tcBorders>
            <w:shd w:val="clear" w:color="auto" w:fill="F2F2F2" w:themeFill="background1" w:themeFillShade="F2"/>
            <w:tcMar>
              <w:top w:w="28" w:type="dxa"/>
            </w:tcMar>
          </w:tcPr>
          <w:p w14:paraId="7C5F3375" w14:textId="1E471FFC" w:rsidR="00183BE2" w:rsidRPr="00A96D90" w:rsidRDefault="005A4351"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32,137</w:t>
            </w:r>
          </w:p>
        </w:tc>
        <w:tc>
          <w:tcPr>
            <w:tcW w:w="1473" w:type="dxa"/>
            <w:tcBorders>
              <w:top w:val="nil"/>
              <w:bottom w:val="nil"/>
            </w:tcBorders>
            <w:tcMar>
              <w:top w:w="28" w:type="dxa"/>
            </w:tcMar>
          </w:tcPr>
          <w:p w14:paraId="6B46171F" w14:textId="3599A553"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31,843</w:t>
            </w:r>
          </w:p>
        </w:tc>
      </w:tr>
      <w:tr w:rsidR="00183BE2" w:rsidRPr="00A96D90" w14:paraId="4127B424" w14:textId="77777777" w:rsidTr="00F833F8">
        <w:trPr>
          <w:jc w:val="center"/>
        </w:trPr>
        <w:tc>
          <w:tcPr>
            <w:tcW w:w="5920" w:type="dxa"/>
            <w:tcBorders>
              <w:top w:val="nil"/>
              <w:bottom w:val="nil"/>
            </w:tcBorders>
          </w:tcPr>
          <w:p w14:paraId="2FBB35FB"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3C12A9F0"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330E282A"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3F0CC3CB" w14:textId="77777777" w:rsidTr="00F833F8">
        <w:trPr>
          <w:jc w:val="center"/>
        </w:trPr>
        <w:tc>
          <w:tcPr>
            <w:tcW w:w="5920" w:type="dxa"/>
            <w:tcBorders>
              <w:top w:val="nil"/>
              <w:bottom w:val="nil"/>
            </w:tcBorders>
          </w:tcPr>
          <w:p w14:paraId="2B369D99"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Total cash at 30 June</w:t>
            </w:r>
          </w:p>
        </w:tc>
        <w:tc>
          <w:tcPr>
            <w:tcW w:w="1559" w:type="dxa"/>
            <w:tcBorders>
              <w:top w:val="nil"/>
              <w:bottom w:val="nil"/>
            </w:tcBorders>
            <w:shd w:val="clear" w:color="auto" w:fill="F2F2F2" w:themeFill="background1" w:themeFillShade="F2"/>
            <w:tcMar>
              <w:top w:w="28" w:type="dxa"/>
            </w:tcMar>
          </w:tcPr>
          <w:p w14:paraId="6948CC39" w14:textId="4883BDBE" w:rsidR="00183BE2" w:rsidRPr="00A96D90" w:rsidRDefault="00475506"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25,245</w:t>
            </w:r>
          </w:p>
        </w:tc>
        <w:tc>
          <w:tcPr>
            <w:tcW w:w="1473" w:type="dxa"/>
            <w:tcBorders>
              <w:top w:val="nil"/>
              <w:bottom w:val="nil"/>
            </w:tcBorders>
            <w:tcMar>
              <w:top w:w="28" w:type="dxa"/>
            </w:tcMar>
          </w:tcPr>
          <w:p w14:paraId="28CF9826" w14:textId="542D4E20"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21,672</w:t>
            </w:r>
          </w:p>
        </w:tc>
      </w:tr>
      <w:tr w:rsidR="00183BE2" w:rsidRPr="00A96D90" w14:paraId="08D91A26" w14:textId="77777777" w:rsidTr="00F833F8">
        <w:trPr>
          <w:jc w:val="center"/>
        </w:trPr>
        <w:tc>
          <w:tcPr>
            <w:tcW w:w="5920" w:type="dxa"/>
            <w:tcBorders>
              <w:top w:val="nil"/>
              <w:bottom w:val="nil"/>
            </w:tcBorders>
          </w:tcPr>
          <w:p w14:paraId="67C0225A"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nil"/>
            </w:tcBorders>
            <w:shd w:val="clear" w:color="auto" w:fill="F2F2F2" w:themeFill="background1" w:themeFillShade="F2"/>
            <w:tcMar>
              <w:top w:w="28" w:type="dxa"/>
            </w:tcMar>
          </w:tcPr>
          <w:p w14:paraId="50F2CE35"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nil"/>
            </w:tcBorders>
            <w:tcMar>
              <w:top w:w="28" w:type="dxa"/>
            </w:tcMar>
          </w:tcPr>
          <w:p w14:paraId="0DDD963B"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0A3BD2CB" w14:textId="77777777" w:rsidTr="00F833F8">
        <w:trPr>
          <w:jc w:val="center"/>
        </w:trPr>
        <w:tc>
          <w:tcPr>
            <w:tcW w:w="5920" w:type="dxa"/>
            <w:tcBorders>
              <w:top w:val="nil"/>
              <w:bottom w:val="nil"/>
            </w:tcBorders>
          </w:tcPr>
          <w:p w14:paraId="0BCCC693" w14:textId="77777777" w:rsidR="00183BE2" w:rsidRPr="00A96D90" w:rsidRDefault="00183BE2" w:rsidP="00183BE2">
            <w:pPr>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Of which restricted cash</w:t>
            </w:r>
          </w:p>
        </w:tc>
        <w:tc>
          <w:tcPr>
            <w:tcW w:w="1559" w:type="dxa"/>
            <w:tcBorders>
              <w:top w:val="nil"/>
              <w:bottom w:val="nil"/>
            </w:tcBorders>
            <w:shd w:val="clear" w:color="auto" w:fill="F2F2F2" w:themeFill="background1" w:themeFillShade="F2"/>
            <w:tcMar>
              <w:top w:w="28" w:type="dxa"/>
            </w:tcMar>
          </w:tcPr>
          <w:p w14:paraId="49EAB3AB" w14:textId="3B3246D4" w:rsidR="00183BE2" w:rsidRPr="00A96D90" w:rsidRDefault="005A4351"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248</w:t>
            </w:r>
          </w:p>
        </w:tc>
        <w:tc>
          <w:tcPr>
            <w:tcW w:w="1473" w:type="dxa"/>
            <w:tcBorders>
              <w:top w:val="nil"/>
              <w:bottom w:val="nil"/>
            </w:tcBorders>
            <w:tcMar>
              <w:top w:w="28" w:type="dxa"/>
            </w:tcMar>
          </w:tcPr>
          <w:p w14:paraId="4BFB7EC9" w14:textId="4C10EBAF" w:rsidR="00183BE2" w:rsidRPr="00A96D90" w:rsidRDefault="00183BE2" w:rsidP="00183BE2">
            <w:pPr>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270</w:t>
            </w:r>
          </w:p>
        </w:tc>
      </w:tr>
      <w:tr w:rsidR="00183BE2" w:rsidRPr="00A96D90" w14:paraId="51856C76" w14:textId="77777777" w:rsidTr="00F833F8">
        <w:trPr>
          <w:jc w:val="center"/>
        </w:trPr>
        <w:tc>
          <w:tcPr>
            <w:tcW w:w="5920" w:type="dxa"/>
            <w:tcBorders>
              <w:top w:val="nil"/>
              <w:bottom w:val="single" w:sz="4" w:space="0" w:color="BFBFBF" w:themeColor="background1" w:themeShade="BF"/>
            </w:tcBorders>
          </w:tcPr>
          <w:p w14:paraId="34126D32" w14:textId="77777777" w:rsidR="00183BE2" w:rsidRPr="00A96D90" w:rsidRDefault="00183BE2" w:rsidP="00183BE2">
            <w:pPr>
              <w:rPr>
                <w:rFonts w:asciiTheme="minorHAnsi" w:hAnsiTheme="minorHAnsi" w:cstheme="minorHAnsi"/>
                <w:color w:val="59595B"/>
                <w:sz w:val="20"/>
                <w:szCs w:val="20"/>
                <w:lang w:val="en-GB"/>
              </w:rPr>
            </w:pPr>
          </w:p>
        </w:tc>
        <w:tc>
          <w:tcPr>
            <w:tcW w:w="1559" w:type="dxa"/>
            <w:tcBorders>
              <w:top w:val="nil"/>
              <w:bottom w:val="single" w:sz="4" w:space="0" w:color="BFBFBF" w:themeColor="background1" w:themeShade="BF"/>
            </w:tcBorders>
            <w:shd w:val="clear" w:color="auto" w:fill="F2F2F2" w:themeFill="background1" w:themeFillShade="F2"/>
            <w:tcMar>
              <w:top w:w="28" w:type="dxa"/>
            </w:tcMar>
          </w:tcPr>
          <w:p w14:paraId="41F3DA86" w14:textId="77777777" w:rsidR="00183BE2" w:rsidRPr="00A96D90" w:rsidRDefault="00183BE2" w:rsidP="00183BE2">
            <w:pPr>
              <w:jc w:val="right"/>
              <w:rPr>
                <w:rFonts w:asciiTheme="minorHAnsi" w:hAnsiTheme="minorHAnsi" w:cstheme="minorHAnsi"/>
                <w:color w:val="59595B"/>
                <w:sz w:val="20"/>
                <w:szCs w:val="20"/>
                <w:lang w:val="en-GB"/>
              </w:rPr>
            </w:pPr>
          </w:p>
        </w:tc>
        <w:tc>
          <w:tcPr>
            <w:tcW w:w="1473" w:type="dxa"/>
            <w:tcBorders>
              <w:top w:val="nil"/>
              <w:bottom w:val="single" w:sz="4" w:space="0" w:color="BFBFBF" w:themeColor="background1" w:themeShade="BF"/>
            </w:tcBorders>
            <w:tcMar>
              <w:top w:w="28" w:type="dxa"/>
            </w:tcMar>
          </w:tcPr>
          <w:p w14:paraId="43132BD5" w14:textId="77777777" w:rsidR="00183BE2" w:rsidRPr="00A96D90" w:rsidRDefault="00183BE2" w:rsidP="00183BE2">
            <w:pPr>
              <w:jc w:val="right"/>
              <w:rPr>
                <w:rFonts w:asciiTheme="minorHAnsi" w:hAnsiTheme="minorHAnsi" w:cstheme="minorHAnsi"/>
                <w:color w:val="59595B"/>
                <w:sz w:val="20"/>
                <w:szCs w:val="20"/>
                <w:lang w:val="en-GB"/>
              </w:rPr>
            </w:pPr>
          </w:p>
        </w:tc>
      </w:tr>
      <w:tr w:rsidR="00183BE2" w:rsidRPr="00A96D90" w14:paraId="15AA3302" w14:textId="77777777" w:rsidTr="00F833F8">
        <w:trPr>
          <w:jc w:val="center"/>
        </w:trPr>
        <w:tc>
          <w:tcPr>
            <w:tcW w:w="5920" w:type="dxa"/>
            <w:tcBorders>
              <w:top w:val="single" w:sz="4" w:space="0" w:color="BFBFBF" w:themeColor="background1" w:themeShade="BF"/>
            </w:tcBorders>
          </w:tcPr>
          <w:p w14:paraId="069EBBCB" w14:textId="77777777" w:rsidR="00183BE2" w:rsidRPr="00A96D90" w:rsidRDefault="00183BE2" w:rsidP="00183BE2">
            <w:pPr>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Cash and cash equivalents at 30 June</w:t>
            </w:r>
          </w:p>
        </w:tc>
        <w:tc>
          <w:tcPr>
            <w:tcW w:w="1559" w:type="dxa"/>
            <w:tcBorders>
              <w:top w:val="single" w:sz="4" w:space="0" w:color="BFBFBF" w:themeColor="background1" w:themeShade="BF"/>
            </w:tcBorders>
            <w:shd w:val="clear" w:color="auto" w:fill="F2F2F2" w:themeFill="background1" w:themeFillShade="F2"/>
            <w:tcMar>
              <w:top w:w="28" w:type="dxa"/>
            </w:tcMar>
          </w:tcPr>
          <w:p w14:paraId="129714D2" w14:textId="6001C64A" w:rsidR="00183BE2" w:rsidRPr="00A96D90" w:rsidRDefault="00475506"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24,997</w:t>
            </w:r>
          </w:p>
        </w:tc>
        <w:tc>
          <w:tcPr>
            <w:tcW w:w="1473" w:type="dxa"/>
            <w:tcBorders>
              <w:top w:val="single" w:sz="4" w:space="0" w:color="BFBFBF" w:themeColor="background1" w:themeShade="BF"/>
            </w:tcBorders>
            <w:tcMar>
              <w:top w:w="28" w:type="dxa"/>
            </w:tcMar>
          </w:tcPr>
          <w:p w14:paraId="490666FF" w14:textId="53CADCF1" w:rsidR="00183BE2" w:rsidRPr="00A96D90" w:rsidRDefault="00183BE2" w:rsidP="00183BE2">
            <w:pPr>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21,402</w:t>
            </w:r>
          </w:p>
        </w:tc>
      </w:tr>
    </w:tbl>
    <w:p w14:paraId="3D739C8F" w14:textId="77777777" w:rsidR="00E64F9D" w:rsidRPr="00A96D90" w:rsidRDefault="00E64F9D" w:rsidP="00E64F9D">
      <w:pPr>
        <w:autoSpaceDE w:val="0"/>
        <w:autoSpaceDN w:val="0"/>
        <w:adjustRightInd w:val="0"/>
        <w:rPr>
          <w:rFonts w:ascii="Calibri" w:hAnsi="Calibri" w:cstheme="minorHAnsi"/>
          <w:szCs w:val="22"/>
          <w:lang w:val="en-GB"/>
        </w:rPr>
      </w:pPr>
    </w:p>
    <w:p w14:paraId="089B6052" w14:textId="73F01511" w:rsidR="00E64F9D" w:rsidRPr="00A96D90" w:rsidRDefault="00474AB0" w:rsidP="00B8058C">
      <w:pPr>
        <w:jc w:val="left"/>
        <w:rPr>
          <w:rFonts w:ascii="Calibri Light" w:eastAsiaTheme="majorEastAsia" w:hAnsi="Calibri Light" w:cstheme="majorBidi"/>
          <w:b/>
          <w:color w:val="59595B"/>
          <w:sz w:val="24"/>
          <w:szCs w:val="28"/>
          <w:lang w:val="en-GB" w:eastAsia="zh-CN"/>
        </w:rPr>
      </w:pPr>
      <w:r w:rsidRPr="00A96D90">
        <w:rPr>
          <w:rFonts w:ascii="Calibri" w:hAnsi="Calibri" w:cstheme="minorHAnsi"/>
          <w:b/>
          <w:color w:val="276E8B" w:themeColor="accent1" w:themeShade="BF"/>
          <w:szCs w:val="22"/>
          <w:lang w:val="en-GB"/>
        </w:rPr>
        <w:br w:type="page"/>
      </w:r>
      <w:r w:rsidR="00F31144" w:rsidRPr="00A96D90">
        <w:rPr>
          <w:rFonts w:ascii="Calibri Light" w:eastAsiaTheme="majorEastAsia" w:hAnsi="Calibri Light" w:cstheme="majorBidi"/>
          <w:b/>
          <w:color w:val="59595B"/>
          <w:sz w:val="24"/>
          <w:szCs w:val="28"/>
          <w:lang w:val="en-GB" w:eastAsia="zh-CN"/>
        </w:rPr>
        <w:lastRenderedPageBreak/>
        <w:t>Consolidated Statement of Changes in Equity</w:t>
      </w:r>
    </w:p>
    <w:p w14:paraId="4BCACC7B" w14:textId="2CF16B8E" w:rsidR="00E64F9D" w:rsidRPr="00A96D90" w:rsidRDefault="00E64F9D" w:rsidP="00F31144">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1B32EE" w:rsidRPr="00A96D90">
        <w:rPr>
          <w:rFonts w:asciiTheme="minorHAnsi" w:hAnsiTheme="minorHAnsi"/>
          <w:color w:val="00679B"/>
          <w:sz w:val="24"/>
          <w:lang w:val="en-GB"/>
        </w:rPr>
        <w:t xml:space="preserve">six </w:t>
      </w:r>
      <w:r w:rsidR="00384931" w:rsidRPr="00A96D90">
        <w:rPr>
          <w:rFonts w:asciiTheme="minorHAnsi" w:hAnsiTheme="minorHAnsi"/>
          <w:color w:val="00679B"/>
          <w:sz w:val="24"/>
          <w:lang w:val="en-GB"/>
        </w:rPr>
        <w:t>months ended</w:t>
      </w:r>
      <w:r w:rsidRPr="00A96D90">
        <w:rPr>
          <w:rFonts w:asciiTheme="minorHAnsi" w:hAnsiTheme="minorHAnsi"/>
          <w:color w:val="00679B"/>
          <w:sz w:val="24"/>
          <w:lang w:val="en-GB"/>
        </w:rPr>
        <w:t xml:space="preserve"> 30 June</w:t>
      </w:r>
    </w:p>
    <w:p w14:paraId="3E136858" w14:textId="77777777" w:rsidR="00E64F9D" w:rsidRPr="00A96D90" w:rsidRDefault="00E64F9D" w:rsidP="00E64F9D">
      <w:pPr>
        <w:pStyle w:val="NoSpacing"/>
        <w:rPr>
          <w:rFonts w:asciiTheme="minorHAnsi" w:hAnsiTheme="minorHAnsi"/>
          <w:color w:val="276E8B" w:themeColor="accent1" w:themeShade="BF"/>
          <w:lang w:val="en-GB"/>
        </w:rPr>
      </w:pPr>
    </w:p>
    <w:tbl>
      <w:tblPr>
        <w:tblpPr w:leftFromText="180" w:rightFromText="180" w:vertAnchor="text" w:horzAnchor="margin" w:tblpY="-80"/>
        <w:tblW w:w="9293" w:type="dxa"/>
        <w:tblLayout w:type="fixed"/>
        <w:tblLook w:val="04A0" w:firstRow="1" w:lastRow="0" w:firstColumn="1" w:lastColumn="0" w:noHBand="0" w:noVBand="1"/>
      </w:tblPr>
      <w:tblGrid>
        <w:gridCol w:w="9293"/>
      </w:tblGrid>
      <w:tr w:rsidR="00A32EEF" w:rsidRPr="00A96D90" w14:paraId="7A468081" w14:textId="77777777" w:rsidTr="003426AC">
        <w:trPr>
          <w:trHeight w:val="240"/>
        </w:trPr>
        <w:tc>
          <w:tcPr>
            <w:tcW w:w="9293" w:type="dxa"/>
            <w:shd w:val="clear" w:color="auto" w:fill="FFFFFF"/>
          </w:tcPr>
          <w:p w14:paraId="0996D3C2" w14:textId="77777777" w:rsidR="00E64F9D" w:rsidRPr="00A96D90" w:rsidRDefault="00E64F9D" w:rsidP="003426AC">
            <w:pPr>
              <w:pStyle w:val="NoSpacing"/>
              <w:jc w:val="right"/>
              <w:rPr>
                <w:rFonts w:asciiTheme="minorHAnsi" w:hAnsiTheme="minorHAnsi"/>
                <w:color w:val="00679B"/>
                <w:u w:val="single"/>
                <w:lang w:val="en-GB"/>
              </w:rPr>
            </w:pPr>
            <w:r w:rsidRPr="00A96D90">
              <w:rPr>
                <w:rFonts w:asciiTheme="minorHAnsi" w:hAnsiTheme="minorHAnsi"/>
                <w:color w:val="00679B"/>
                <w:u w:val="single"/>
                <w:lang w:val="en-GB"/>
              </w:rPr>
              <w:t>Attributable to owners of the parent</w:t>
            </w:r>
          </w:p>
        </w:tc>
      </w:tr>
    </w:tbl>
    <w:tbl>
      <w:tblPr>
        <w:tblW w:w="944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4315"/>
        <w:gridCol w:w="900"/>
        <w:gridCol w:w="1440"/>
        <w:gridCol w:w="1440"/>
        <w:gridCol w:w="1350"/>
      </w:tblGrid>
      <w:tr w:rsidR="00E64F9D" w:rsidRPr="00A96D90" w14:paraId="6612FC08" w14:textId="77777777" w:rsidTr="00F833F8">
        <w:trPr>
          <w:trHeight w:val="288"/>
          <w:jc w:val="center"/>
        </w:trPr>
        <w:tc>
          <w:tcPr>
            <w:tcW w:w="4315" w:type="dxa"/>
            <w:shd w:val="clear" w:color="auto" w:fill="auto"/>
          </w:tcPr>
          <w:p w14:paraId="7DBCDC8E" w14:textId="77777777" w:rsidR="00E64F9D" w:rsidRPr="00A96D90" w:rsidRDefault="00E64F9D" w:rsidP="00DE249D">
            <w:pPr>
              <w:ind w:right="144"/>
              <w:rPr>
                <w:rFonts w:asciiTheme="minorHAnsi" w:eastAsiaTheme="minorEastAsia" w:hAnsiTheme="minorHAnsi" w:cs="Arial"/>
                <w:b/>
                <w:bCs/>
                <w:color w:val="00679B"/>
                <w:sz w:val="20"/>
                <w:szCs w:val="20"/>
                <w:lang w:val="en-GB"/>
              </w:rPr>
            </w:pPr>
            <w:r w:rsidRPr="00A96D90">
              <w:rPr>
                <w:rFonts w:asciiTheme="minorHAnsi" w:hAnsiTheme="minorHAnsi" w:cstheme="minorHAnsi"/>
                <w:b/>
                <w:color w:val="00679B"/>
                <w:sz w:val="20"/>
                <w:szCs w:val="20"/>
                <w:lang w:val="en-GB"/>
              </w:rPr>
              <w:t>Amounts in €’000</w:t>
            </w:r>
          </w:p>
        </w:tc>
        <w:tc>
          <w:tcPr>
            <w:tcW w:w="900" w:type="dxa"/>
          </w:tcPr>
          <w:p w14:paraId="516631FD" w14:textId="77777777" w:rsidR="00E64F9D" w:rsidRPr="00A96D90" w:rsidRDefault="00E64F9D" w:rsidP="0049736D">
            <w:pPr>
              <w:ind w:right="144"/>
              <w:jc w:val="right"/>
              <w:rPr>
                <w:rFonts w:asciiTheme="minorHAnsi" w:eastAsiaTheme="minorEastAsia" w:hAnsiTheme="minorHAnsi" w:cs="Arial"/>
                <w:b/>
                <w:bCs/>
                <w:color w:val="00679B"/>
                <w:sz w:val="20"/>
                <w:lang w:val="en-GB"/>
              </w:rPr>
            </w:pPr>
            <w:r w:rsidRPr="00A96D90">
              <w:rPr>
                <w:rFonts w:asciiTheme="minorHAnsi" w:eastAsiaTheme="minorEastAsia" w:hAnsiTheme="minorHAnsi" w:cs="Arial"/>
                <w:b/>
                <w:bCs/>
                <w:color w:val="00679B"/>
                <w:sz w:val="20"/>
                <w:lang w:val="en-GB"/>
              </w:rPr>
              <w:t>Notes</w:t>
            </w:r>
          </w:p>
        </w:tc>
        <w:tc>
          <w:tcPr>
            <w:tcW w:w="1440" w:type="dxa"/>
            <w:shd w:val="clear" w:color="auto" w:fill="FFFFFF" w:themeFill="background1"/>
          </w:tcPr>
          <w:p w14:paraId="5898A13B" w14:textId="77777777" w:rsidR="00E64F9D" w:rsidRPr="00A96D90" w:rsidRDefault="00E64F9D" w:rsidP="0049736D">
            <w:pPr>
              <w:ind w:right="144"/>
              <w:jc w:val="right"/>
              <w:rPr>
                <w:rFonts w:asciiTheme="minorHAnsi" w:eastAsiaTheme="minorEastAsia" w:hAnsiTheme="minorHAnsi" w:cs="Arial"/>
                <w:b/>
                <w:bCs/>
                <w:color w:val="00679B"/>
                <w:sz w:val="20"/>
                <w:lang w:val="en-GB"/>
              </w:rPr>
            </w:pPr>
            <w:r w:rsidRPr="00A96D90">
              <w:rPr>
                <w:rFonts w:asciiTheme="minorHAnsi" w:eastAsiaTheme="minorEastAsia" w:hAnsiTheme="minorHAnsi" w:cs="Arial"/>
                <w:b/>
                <w:bCs/>
                <w:color w:val="00679B"/>
                <w:sz w:val="20"/>
                <w:lang w:val="en-GB"/>
              </w:rPr>
              <w:t>Number of shares</w:t>
            </w:r>
          </w:p>
        </w:tc>
        <w:tc>
          <w:tcPr>
            <w:tcW w:w="1440" w:type="dxa"/>
            <w:shd w:val="clear" w:color="auto" w:fill="FFFFFF" w:themeFill="background1"/>
          </w:tcPr>
          <w:p w14:paraId="726E4AF8" w14:textId="77777777" w:rsidR="00E64F9D" w:rsidRPr="00A96D90" w:rsidRDefault="00E64F9D" w:rsidP="0049736D">
            <w:pPr>
              <w:ind w:right="144"/>
              <w:jc w:val="right"/>
              <w:rPr>
                <w:rFonts w:asciiTheme="minorHAnsi" w:eastAsiaTheme="minorEastAsia" w:hAnsiTheme="minorHAnsi" w:cs="Arial"/>
                <w:b/>
                <w:bCs/>
                <w:color w:val="00679B"/>
                <w:sz w:val="20"/>
                <w:lang w:val="en-GB"/>
              </w:rPr>
            </w:pPr>
            <w:r w:rsidRPr="00A96D90">
              <w:rPr>
                <w:rFonts w:asciiTheme="minorHAnsi" w:eastAsiaTheme="minorEastAsia" w:hAnsiTheme="minorHAnsi" w:cs="Arial"/>
                <w:b/>
                <w:bCs/>
                <w:color w:val="00679B"/>
                <w:sz w:val="20"/>
                <w:lang w:val="en-GB"/>
              </w:rPr>
              <w:t>Share capital</w:t>
            </w:r>
          </w:p>
        </w:tc>
        <w:tc>
          <w:tcPr>
            <w:tcW w:w="1350" w:type="dxa"/>
            <w:tcBorders>
              <w:top w:val="single" w:sz="4" w:space="0" w:color="BFBFBF" w:themeColor="background1" w:themeShade="BF"/>
              <w:right w:val="nil"/>
            </w:tcBorders>
            <w:shd w:val="clear" w:color="auto" w:fill="FFFFFF" w:themeFill="background1"/>
          </w:tcPr>
          <w:p w14:paraId="0C3EF393" w14:textId="5E7E2C46" w:rsidR="00E64F9D" w:rsidRPr="00A96D90" w:rsidRDefault="0049736D" w:rsidP="0049736D">
            <w:pPr>
              <w:ind w:right="144"/>
              <w:jc w:val="right"/>
              <w:rPr>
                <w:rFonts w:asciiTheme="minorHAnsi" w:eastAsiaTheme="minorEastAsia" w:hAnsiTheme="minorHAnsi" w:cs="Arial"/>
                <w:b/>
                <w:bCs/>
                <w:color w:val="00679B"/>
                <w:sz w:val="20"/>
                <w:lang w:val="en-GB"/>
              </w:rPr>
            </w:pPr>
            <w:r w:rsidRPr="00A96D90">
              <w:rPr>
                <w:rFonts w:asciiTheme="minorHAnsi" w:eastAsiaTheme="minorEastAsia" w:hAnsiTheme="minorHAnsi" w:cs="Arial"/>
                <w:b/>
                <w:bCs/>
                <w:color w:val="00679B"/>
                <w:sz w:val="20"/>
                <w:lang w:val="en-GB"/>
              </w:rPr>
              <w:t xml:space="preserve">Share </w:t>
            </w:r>
            <w:r w:rsidR="00E64F9D" w:rsidRPr="00A96D90">
              <w:rPr>
                <w:rFonts w:asciiTheme="minorHAnsi" w:eastAsiaTheme="minorEastAsia" w:hAnsiTheme="minorHAnsi" w:cs="Arial"/>
                <w:b/>
                <w:bCs/>
                <w:color w:val="00679B"/>
                <w:sz w:val="20"/>
                <w:lang w:val="en-GB"/>
              </w:rPr>
              <w:t>Premium</w:t>
            </w:r>
          </w:p>
        </w:tc>
      </w:tr>
      <w:tr w:rsidR="00E64F9D" w:rsidRPr="00A96D90" w14:paraId="42DCC471" w14:textId="77777777" w:rsidTr="00F833F8">
        <w:trPr>
          <w:trHeight w:val="288"/>
          <w:jc w:val="center"/>
        </w:trPr>
        <w:tc>
          <w:tcPr>
            <w:tcW w:w="4315" w:type="dxa"/>
            <w:tcBorders>
              <w:bottom w:val="single" w:sz="4" w:space="0" w:color="BFBFBF" w:themeColor="background1" w:themeShade="BF"/>
            </w:tcBorders>
            <w:shd w:val="clear" w:color="auto" w:fill="FFFFFF" w:themeFill="background1"/>
          </w:tcPr>
          <w:p w14:paraId="015BB080" w14:textId="77777777" w:rsidR="00E64F9D" w:rsidRPr="00A96D90" w:rsidRDefault="00E64F9D" w:rsidP="00DE249D">
            <w:pPr>
              <w:ind w:right="144"/>
              <w:rPr>
                <w:rFonts w:asciiTheme="minorHAnsi" w:eastAsiaTheme="minorEastAsia" w:hAnsiTheme="minorHAnsi" w:cs="Arial"/>
                <w:b/>
                <w:bCs/>
                <w:color w:val="276E8B" w:themeColor="accent1" w:themeShade="BF"/>
                <w:sz w:val="20"/>
                <w:lang w:val="en-GB"/>
              </w:rPr>
            </w:pPr>
          </w:p>
        </w:tc>
        <w:tc>
          <w:tcPr>
            <w:tcW w:w="900" w:type="dxa"/>
            <w:tcBorders>
              <w:bottom w:val="single" w:sz="4" w:space="0" w:color="BFBFBF" w:themeColor="background1" w:themeShade="BF"/>
            </w:tcBorders>
            <w:shd w:val="clear" w:color="auto" w:fill="FFFFFF" w:themeFill="background1"/>
          </w:tcPr>
          <w:p w14:paraId="358EE010" w14:textId="77777777" w:rsidR="00E64F9D" w:rsidRPr="00A96D90" w:rsidRDefault="00E64F9D" w:rsidP="0049736D">
            <w:pPr>
              <w:ind w:right="144"/>
              <w:jc w:val="right"/>
              <w:rPr>
                <w:rFonts w:asciiTheme="minorHAnsi" w:eastAsiaTheme="minorEastAsia" w:hAnsiTheme="minorHAnsi" w:cs="Arial"/>
                <w:b/>
                <w:bCs/>
                <w:color w:val="276E8B" w:themeColor="accent1" w:themeShade="BF"/>
                <w:sz w:val="20"/>
                <w:szCs w:val="20"/>
                <w:lang w:val="en-GB"/>
              </w:rPr>
            </w:pPr>
          </w:p>
        </w:tc>
        <w:tc>
          <w:tcPr>
            <w:tcW w:w="1440" w:type="dxa"/>
            <w:tcBorders>
              <w:bottom w:val="single" w:sz="4" w:space="0" w:color="BFBFBF" w:themeColor="background1" w:themeShade="BF"/>
            </w:tcBorders>
            <w:shd w:val="clear" w:color="auto" w:fill="FFFFFF" w:themeFill="background1"/>
          </w:tcPr>
          <w:p w14:paraId="45369D2E" w14:textId="77777777" w:rsidR="00E64F9D" w:rsidRPr="00A96D90" w:rsidRDefault="00E64F9D" w:rsidP="0049736D">
            <w:pPr>
              <w:ind w:right="144"/>
              <w:jc w:val="right"/>
              <w:rPr>
                <w:rFonts w:asciiTheme="minorHAnsi" w:eastAsiaTheme="minorEastAsia" w:hAnsiTheme="minorHAnsi" w:cs="Arial"/>
                <w:b/>
                <w:bCs/>
                <w:color w:val="276E8B" w:themeColor="accent1" w:themeShade="BF"/>
                <w:sz w:val="20"/>
                <w:szCs w:val="20"/>
                <w:lang w:val="en-GB"/>
              </w:rPr>
            </w:pPr>
          </w:p>
        </w:tc>
        <w:tc>
          <w:tcPr>
            <w:tcW w:w="1440" w:type="dxa"/>
            <w:tcBorders>
              <w:bottom w:val="single" w:sz="4" w:space="0" w:color="BFBFBF" w:themeColor="background1" w:themeShade="BF"/>
            </w:tcBorders>
            <w:shd w:val="clear" w:color="auto" w:fill="FFFFFF" w:themeFill="background1"/>
          </w:tcPr>
          <w:p w14:paraId="5B38CB12" w14:textId="77777777" w:rsidR="00E64F9D" w:rsidRPr="00A96D90" w:rsidRDefault="00E64F9D" w:rsidP="0049736D">
            <w:pPr>
              <w:ind w:right="144"/>
              <w:jc w:val="right"/>
              <w:rPr>
                <w:rFonts w:asciiTheme="minorHAnsi" w:eastAsiaTheme="minorEastAsia" w:hAnsiTheme="minorHAnsi" w:cs="Arial"/>
                <w:b/>
                <w:bCs/>
                <w:color w:val="276E8B" w:themeColor="accent1" w:themeShade="BF"/>
                <w:sz w:val="20"/>
                <w:szCs w:val="20"/>
                <w:lang w:val="en-GB"/>
              </w:rPr>
            </w:pPr>
          </w:p>
        </w:tc>
        <w:tc>
          <w:tcPr>
            <w:tcW w:w="1350" w:type="dxa"/>
            <w:tcBorders>
              <w:bottom w:val="single" w:sz="4" w:space="0" w:color="BFBFBF" w:themeColor="background1" w:themeShade="BF"/>
              <w:right w:val="nil"/>
            </w:tcBorders>
            <w:shd w:val="clear" w:color="auto" w:fill="FFFFFF" w:themeFill="background1"/>
          </w:tcPr>
          <w:p w14:paraId="2CD357D1" w14:textId="77777777" w:rsidR="00E64F9D" w:rsidRPr="00A96D90" w:rsidRDefault="00E64F9D" w:rsidP="0049736D">
            <w:pPr>
              <w:ind w:right="144"/>
              <w:jc w:val="right"/>
              <w:rPr>
                <w:rFonts w:asciiTheme="minorHAnsi" w:eastAsiaTheme="minorEastAsia" w:hAnsiTheme="minorHAnsi" w:cs="Arial"/>
                <w:b/>
                <w:bCs/>
                <w:color w:val="276E8B" w:themeColor="accent1" w:themeShade="BF"/>
                <w:sz w:val="20"/>
                <w:szCs w:val="20"/>
                <w:lang w:val="en-GB"/>
              </w:rPr>
            </w:pPr>
          </w:p>
        </w:tc>
      </w:tr>
      <w:tr w:rsidR="00183BE2" w:rsidRPr="00A96D90" w14:paraId="21326C9A" w14:textId="77777777" w:rsidTr="00F833F8">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2A6902E3" w14:textId="767B3198" w:rsidR="00183BE2" w:rsidRPr="00A96D90" w:rsidRDefault="00183BE2" w:rsidP="00183BE2">
            <w:pPr>
              <w:ind w:right="144"/>
              <w:rPr>
                <w:rFonts w:asciiTheme="minorHAnsi" w:eastAsiaTheme="minorEastAsia" w:hAnsiTheme="minorHAnsi" w:cs="Arial"/>
                <w:b/>
                <w:bCs/>
                <w:color w:val="59595B"/>
                <w:sz w:val="20"/>
                <w:lang w:val="en-GB"/>
              </w:rPr>
            </w:pPr>
            <w:r w:rsidRPr="00A96D90">
              <w:rPr>
                <w:rFonts w:asciiTheme="minorHAnsi" w:eastAsiaTheme="minorEastAsia" w:hAnsiTheme="minorHAnsi" w:cs="Arial"/>
                <w:b/>
                <w:bCs/>
                <w:color w:val="59595B"/>
                <w:sz w:val="20"/>
                <w:lang w:val="en-GB"/>
              </w:rPr>
              <w:t>Balance at 1 January 2016</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19A07E28" w14:textId="77777777" w:rsidR="00183BE2" w:rsidRPr="00A96D90" w:rsidRDefault="00183BE2" w:rsidP="00183BE2">
            <w:pPr>
              <w:ind w:right="144"/>
              <w:jc w:val="right"/>
              <w:rPr>
                <w:rFonts w:asciiTheme="minorHAnsi" w:eastAsiaTheme="minorEastAsia" w:hAnsiTheme="minorHAnsi" w:cs="Arial"/>
                <w:b/>
                <w:bCs/>
                <w:color w:val="59595B"/>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3D148725" w14:textId="0565FECF"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411,971,790</w:t>
            </w: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57915C46" w14:textId="0229CD94"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4,120</w:t>
            </w: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7E8DCE5B" w14:textId="237E6ECA"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283,396</w:t>
            </w:r>
          </w:p>
        </w:tc>
      </w:tr>
      <w:tr w:rsidR="00183BE2" w:rsidRPr="00A96D90" w14:paraId="202FFB80" w14:textId="77777777" w:rsidTr="00F833F8">
        <w:trPr>
          <w:trHeight w:val="288"/>
          <w:jc w:val="center"/>
        </w:trPr>
        <w:tc>
          <w:tcPr>
            <w:tcW w:w="4315" w:type="dxa"/>
            <w:tcBorders>
              <w:top w:val="single" w:sz="4" w:space="0" w:color="BFBFBF" w:themeColor="background1" w:themeShade="BF"/>
            </w:tcBorders>
            <w:shd w:val="clear" w:color="auto" w:fill="FFFFFF" w:themeFill="background1"/>
          </w:tcPr>
          <w:p w14:paraId="267D0705" w14:textId="042B738F" w:rsidR="00183BE2" w:rsidRPr="00A96D90" w:rsidRDefault="00183BE2" w:rsidP="00183BE2">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Result for the period</w:t>
            </w:r>
          </w:p>
        </w:tc>
        <w:tc>
          <w:tcPr>
            <w:tcW w:w="900" w:type="dxa"/>
            <w:tcBorders>
              <w:top w:val="single" w:sz="4" w:space="0" w:color="BFBFBF" w:themeColor="background1" w:themeShade="BF"/>
            </w:tcBorders>
            <w:shd w:val="clear" w:color="auto" w:fill="FFFFFF" w:themeFill="background1"/>
          </w:tcPr>
          <w:p w14:paraId="258311B3"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FFFFF" w:themeFill="background1"/>
          </w:tcPr>
          <w:p w14:paraId="304AD36C"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FFFFF" w:themeFill="background1"/>
          </w:tcPr>
          <w:p w14:paraId="419DB671" w14:textId="25DCF403"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top w:val="single" w:sz="4" w:space="0" w:color="BFBFBF" w:themeColor="background1" w:themeShade="BF"/>
              <w:right w:val="nil"/>
            </w:tcBorders>
            <w:shd w:val="clear" w:color="auto" w:fill="FFFFFF" w:themeFill="background1"/>
          </w:tcPr>
          <w:p w14:paraId="5A6CEF95" w14:textId="4DB35A3B"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593F94EE" w14:textId="77777777" w:rsidTr="00F833F8">
        <w:trPr>
          <w:trHeight w:val="288"/>
          <w:jc w:val="center"/>
        </w:trPr>
        <w:tc>
          <w:tcPr>
            <w:tcW w:w="4315" w:type="dxa"/>
            <w:shd w:val="clear" w:color="auto" w:fill="FFFFFF" w:themeFill="background1"/>
          </w:tcPr>
          <w:p w14:paraId="6BD02534" w14:textId="11FCD53F" w:rsidR="00183BE2" w:rsidRPr="00A96D90" w:rsidRDefault="00183BE2" w:rsidP="00183BE2">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Other comprehensive income</w:t>
            </w:r>
          </w:p>
        </w:tc>
        <w:tc>
          <w:tcPr>
            <w:tcW w:w="900" w:type="dxa"/>
            <w:shd w:val="clear" w:color="auto" w:fill="FFFFFF" w:themeFill="background1"/>
          </w:tcPr>
          <w:p w14:paraId="2B303593"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738421A4"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2F0B773B" w14:textId="39C4BA26"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65E9E693" w14:textId="0E3B2C6A"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7662D2FD" w14:textId="77777777" w:rsidTr="00F833F8">
        <w:trPr>
          <w:trHeight w:val="288"/>
          <w:jc w:val="center"/>
        </w:trPr>
        <w:tc>
          <w:tcPr>
            <w:tcW w:w="4315" w:type="dxa"/>
            <w:shd w:val="clear" w:color="auto" w:fill="FFFFFF" w:themeFill="background1"/>
          </w:tcPr>
          <w:p w14:paraId="77414E24" w14:textId="2B8D9061" w:rsidR="00183BE2" w:rsidRPr="00A96D90" w:rsidRDefault="00183BE2" w:rsidP="00183BE2">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Total comprehensive income</w:t>
            </w:r>
          </w:p>
        </w:tc>
        <w:tc>
          <w:tcPr>
            <w:tcW w:w="900" w:type="dxa"/>
            <w:shd w:val="clear" w:color="auto" w:fill="FFFFFF" w:themeFill="background1"/>
          </w:tcPr>
          <w:p w14:paraId="1F5FB98F"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365E6DCE"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5FA73CEB" w14:textId="613A1283"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2DD8EF58" w14:textId="6F107BF9"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45704B99" w14:textId="77777777" w:rsidTr="00F833F8">
        <w:trPr>
          <w:trHeight w:val="288"/>
          <w:jc w:val="center"/>
        </w:trPr>
        <w:tc>
          <w:tcPr>
            <w:tcW w:w="4315" w:type="dxa"/>
            <w:shd w:val="clear" w:color="auto" w:fill="FFFFFF" w:themeFill="background1"/>
          </w:tcPr>
          <w:p w14:paraId="484533D0" w14:textId="77777777" w:rsidR="00183BE2" w:rsidRPr="00A96D90" w:rsidRDefault="00183BE2" w:rsidP="00183BE2">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Share-based compensation</w:t>
            </w:r>
          </w:p>
        </w:tc>
        <w:tc>
          <w:tcPr>
            <w:tcW w:w="900" w:type="dxa"/>
            <w:shd w:val="clear" w:color="auto" w:fill="FFFFFF" w:themeFill="background1"/>
          </w:tcPr>
          <w:p w14:paraId="21E18ECD"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653018F3" w14:textId="13723D2B"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FFFFF" w:themeFill="background1"/>
          </w:tcPr>
          <w:p w14:paraId="013A1140" w14:textId="687738A8"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2BB4781A" w14:textId="70707030"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0B0EC0D6" w14:textId="77777777" w:rsidTr="00F833F8">
        <w:trPr>
          <w:trHeight w:val="288"/>
          <w:jc w:val="center"/>
        </w:trPr>
        <w:tc>
          <w:tcPr>
            <w:tcW w:w="4315" w:type="dxa"/>
            <w:shd w:val="clear" w:color="auto" w:fill="FFFFFF" w:themeFill="background1"/>
          </w:tcPr>
          <w:p w14:paraId="0010FCDF" w14:textId="77777777" w:rsidR="00183BE2" w:rsidRPr="00A96D90" w:rsidRDefault="00183BE2" w:rsidP="00183BE2">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Bonuses settled in shares</w:t>
            </w:r>
          </w:p>
        </w:tc>
        <w:tc>
          <w:tcPr>
            <w:tcW w:w="900" w:type="dxa"/>
            <w:shd w:val="clear" w:color="auto" w:fill="FFFFFF" w:themeFill="background1"/>
          </w:tcPr>
          <w:p w14:paraId="26C1AF5C"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6F7126AD" w14:textId="49941AF3"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533,584</w:t>
            </w:r>
          </w:p>
        </w:tc>
        <w:tc>
          <w:tcPr>
            <w:tcW w:w="1440" w:type="dxa"/>
            <w:shd w:val="clear" w:color="auto" w:fill="FFFFFF" w:themeFill="background1"/>
          </w:tcPr>
          <w:p w14:paraId="62E5A28C" w14:textId="5171ED13"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5</w:t>
            </w:r>
          </w:p>
        </w:tc>
        <w:tc>
          <w:tcPr>
            <w:tcW w:w="1350" w:type="dxa"/>
            <w:tcBorders>
              <w:right w:val="nil"/>
            </w:tcBorders>
            <w:shd w:val="clear" w:color="auto" w:fill="FFFFFF" w:themeFill="background1"/>
          </w:tcPr>
          <w:p w14:paraId="1E99BDB0" w14:textId="26A95EB4"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121</w:t>
            </w:r>
          </w:p>
        </w:tc>
      </w:tr>
      <w:tr w:rsidR="00183BE2" w:rsidRPr="00A96D90" w14:paraId="607A4199" w14:textId="77777777" w:rsidTr="00F833F8">
        <w:trPr>
          <w:trHeight w:val="288"/>
          <w:jc w:val="center"/>
        </w:trPr>
        <w:tc>
          <w:tcPr>
            <w:tcW w:w="4315" w:type="dxa"/>
            <w:shd w:val="clear" w:color="auto" w:fill="FFFFFF" w:themeFill="background1"/>
          </w:tcPr>
          <w:p w14:paraId="5008988C" w14:textId="77777777" w:rsidR="00183BE2" w:rsidRPr="00A96D90" w:rsidRDefault="00183BE2" w:rsidP="00183BE2">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Shares issued for cash</w:t>
            </w:r>
          </w:p>
        </w:tc>
        <w:tc>
          <w:tcPr>
            <w:tcW w:w="900" w:type="dxa"/>
            <w:shd w:val="clear" w:color="auto" w:fill="FFFFFF" w:themeFill="background1"/>
          </w:tcPr>
          <w:p w14:paraId="74D125A6"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169E35A3" w14:textId="4AA2F3C2"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FFFFF" w:themeFill="background1"/>
          </w:tcPr>
          <w:p w14:paraId="4E7C6A15" w14:textId="69BB992D"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15FE867E" w14:textId="0AAB1AEF"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4ADF1619" w14:textId="77777777" w:rsidTr="00F833F8">
        <w:trPr>
          <w:trHeight w:val="288"/>
          <w:jc w:val="center"/>
        </w:trPr>
        <w:tc>
          <w:tcPr>
            <w:tcW w:w="4315" w:type="dxa"/>
            <w:shd w:val="clear" w:color="auto" w:fill="FFFFFF" w:themeFill="background1"/>
          </w:tcPr>
          <w:p w14:paraId="4D3382C4" w14:textId="77777777" w:rsidR="00183BE2" w:rsidRPr="00A96D90" w:rsidRDefault="00183BE2" w:rsidP="00183BE2">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Warrants exercised/ issued</w:t>
            </w:r>
          </w:p>
        </w:tc>
        <w:tc>
          <w:tcPr>
            <w:tcW w:w="900" w:type="dxa"/>
            <w:shd w:val="clear" w:color="auto" w:fill="FFFFFF" w:themeFill="background1"/>
          </w:tcPr>
          <w:p w14:paraId="4C2C8087"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624BA763" w14:textId="6134F074"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50,000</w:t>
            </w:r>
          </w:p>
        </w:tc>
        <w:tc>
          <w:tcPr>
            <w:tcW w:w="1440" w:type="dxa"/>
            <w:shd w:val="clear" w:color="auto" w:fill="FFFFFF" w:themeFill="background1"/>
          </w:tcPr>
          <w:p w14:paraId="0B6173D5" w14:textId="6D3F84DB"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w:t>
            </w:r>
          </w:p>
        </w:tc>
        <w:tc>
          <w:tcPr>
            <w:tcW w:w="1350" w:type="dxa"/>
            <w:tcBorders>
              <w:right w:val="nil"/>
            </w:tcBorders>
            <w:shd w:val="clear" w:color="auto" w:fill="FFFFFF" w:themeFill="background1"/>
          </w:tcPr>
          <w:p w14:paraId="34A57750" w14:textId="6EC8BFED"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11</w:t>
            </w:r>
          </w:p>
        </w:tc>
      </w:tr>
      <w:tr w:rsidR="00183BE2" w:rsidRPr="00A96D90" w14:paraId="0B00D0A9" w14:textId="77777777" w:rsidTr="00F833F8">
        <w:trPr>
          <w:trHeight w:val="288"/>
          <w:jc w:val="center"/>
        </w:trPr>
        <w:tc>
          <w:tcPr>
            <w:tcW w:w="4315" w:type="dxa"/>
            <w:shd w:val="clear" w:color="auto" w:fill="FFFFFF" w:themeFill="background1"/>
          </w:tcPr>
          <w:p w14:paraId="6B5F9558" w14:textId="77777777" w:rsidR="00183BE2" w:rsidRPr="00A96D90" w:rsidRDefault="00183BE2" w:rsidP="00183BE2">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Options exercised</w:t>
            </w:r>
          </w:p>
        </w:tc>
        <w:tc>
          <w:tcPr>
            <w:tcW w:w="900" w:type="dxa"/>
            <w:shd w:val="clear" w:color="auto" w:fill="FFFFFF" w:themeFill="background1"/>
          </w:tcPr>
          <w:p w14:paraId="4CF1501F"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609B988A" w14:textId="2677E355"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FFFFF" w:themeFill="background1"/>
          </w:tcPr>
          <w:p w14:paraId="4C37D9D2" w14:textId="4EA1D4DE"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FFFFF" w:themeFill="background1"/>
          </w:tcPr>
          <w:p w14:paraId="15AC3884" w14:textId="35B42969"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05D0A414" w14:textId="77777777" w:rsidTr="00F833F8">
        <w:trPr>
          <w:trHeight w:val="288"/>
          <w:jc w:val="center"/>
        </w:trPr>
        <w:tc>
          <w:tcPr>
            <w:tcW w:w="4315" w:type="dxa"/>
            <w:shd w:val="clear" w:color="auto" w:fill="FFFFFF" w:themeFill="background1"/>
          </w:tcPr>
          <w:p w14:paraId="0DFFC68E" w14:textId="77777777" w:rsidR="00183BE2" w:rsidRPr="00A96D90" w:rsidRDefault="00183BE2" w:rsidP="00183BE2">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Total transactions with owners</w:t>
            </w:r>
          </w:p>
          <w:p w14:paraId="3951996B" w14:textId="0A146DE8" w:rsidR="00183BE2" w:rsidRPr="00A96D90" w:rsidRDefault="00183BE2" w:rsidP="00183BE2">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recognized directly in equity</w:t>
            </w:r>
          </w:p>
        </w:tc>
        <w:tc>
          <w:tcPr>
            <w:tcW w:w="900" w:type="dxa"/>
            <w:shd w:val="clear" w:color="auto" w:fill="FFFFFF" w:themeFill="background1"/>
          </w:tcPr>
          <w:p w14:paraId="0A77764A"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shd w:val="clear" w:color="auto" w:fill="FFFFFF" w:themeFill="background1"/>
          </w:tcPr>
          <w:p w14:paraId="75F8EC64"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p w14:paraId="70930CD9" w14:textId="69919D1B"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583,584</w:t>
            </w:r>
          </w:p>
        </w:tc>
        <w:tc>
          <w:tcPr>
            <w:tcW w:w="1440" w:type="dxa"/>
            <w:shd w:val="clear" w:color="auto" w:fill="FFFFFF" w:themeFill="background1"/>
          </w:tcPr>
          <w:p w14:paraId="7B4A538A"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p w14:paraId="20D7485A" w14:textId="6D73D5EF"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6</w:t>
            </w:r>
          </w:p>
        </w:tc>
        <w:tc>
          <w:tcPr>
            <w:tcW w:w="1350" w:type="dxa"/>
            <w:tcBorders>
              <w:right w:val="nil"/>
            </w:tcBorders>
            <w:shd w:val="clear" w:color="auto" w:fill="FFFFFF" w:themeFill="background1"/>
          </w:tcPr>
          <w:p w14:paraId="15A7BA79"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p w14:paraId="480BBFFA" w14:textId="5EA961A9" w:rsidR="00183BE2" w:rsidRPr="00A96D90" w:rsidRDefault="00183BE2" w:rsidP="00183BE2">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132</w:t>
            </w:r>
          </w:p>
        </w:tc>
      </w:tr>
      <w:tr w:rsidR="00183BE2" w:rsidRPr="00A96D90" w14:paraId="511EC39F" w14:textId="77777777" w:rsidTr="00F833F8">
        <w:trPr>
          <w:trHeight w:val="288"/>
          <w:jc w:val="center"/>
        </w:trPr>
        <w:tc>
          <w:tcPr>
            <w:tcW w:w="4315" w:type="dxa"/>
            <w:tcBorders>
              <w:bottom w:val="single" w:sz="4" w:space="0" w:color="BFBFBF" w:themeColor="background1" w:themeShade="BF"/>
            </w:tcBorders>
            <w:shd w:val="clear" w:color="auto" w:fill="FFFFFF" w:themeFill="background1"/>
          </w:tcPr>
          <w:p w14:paraId="303346F8" w14:textId="77777777" w:rsidR="00183BE2" w:rsidRPr="00A96D90" w:rsidRDefault="00183BE2" w:rsidP="00183BE2">
            <w:pPr>
              <w:ind w:right="144"/>
              <w:rPr>
                <w:rFonts w:asciiTheme="minorHAnsi" w:eastAsiaTheme="minorEastAsia" w:hAnsiTheme="minorHAnsi" w:cs="Arial"/>
                <w:bCs/>
                <w:color w:val="59595B"/>
                <w:sz w:val="20"/>
                <w:lang w:val="en-GB"/>
              </w:rPr>
            </w:pPr>
          </w:p>
        </w:tc>
        <w:tc>
          <w:tcPr>
            <w:tcW w:w="900" w:type="dxa"/>
            <w:tcBorders>
              <w:bottom w:val="single" w:sz="4" w:space="0" w:color="BFBFBF" w:themeColor="background1" w:themeShade="BF"/>
            </w:tcBorders>
            <w:shd w:val="clear" w:color="auto" w:fill="FFFFFF" w:themeFill="background1"/>
          </w:tcPr>
          <w:p w14:paraId="3A36584F"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tcBorders>
              <w:bottom w:val="single" w:sz="4" w:space="0" w:color="BFBFBF" w:themeColor="background1" w:themeShade="BF"/>
            </w:tcBorders>
            <w:shd w:val="clear" w:color="auto" w:fill="FFFFFF" w:themeFill="background1"/>
          </w:tcPr>
          <w:p w14:paraId="51E69BBA"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440" w:type="dxa"/>
            <w:tcBorders>
              <w:bottom w:val="single" w:sz="4" w:space="0" w:color="BFBFBF" w:themeColor="background1" w:themeShade="BF"/>
            </w:tcBorders>
            <w:shd w:val="clear" w:color="auto" w:fill="FFFFFF" w:themeFill="background1"/>
          </w:tcPr>
          <w:p w14:paraId="16F0FDEC"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c>
          <w:tcPr>
            <w:tcW w:w="1350" w:type="dxa"/>
            <w:tcBorders>
              <w:bottom w:val="single" w:sz="4" w:space="0" w:color="BFBFBF" w:themeColor="background1" w:themeShade="BF"/>
              <w:right w:val="nil"/>
            </w:tcBorders>
            <w:shd w:val="clear" w:color="auto" w:fill="FFFFFF" w:themeFill="background1"/>
          </w:tcPr>
          <w:p w14:paraId="364A07EC" w14:textId="77777777" w:rsidR="00183BE2" w:rsidRPr="00A96D90" w:rsidRDefault="00183BE2" w:rsidP="00183BE2">
            <w:pPr>
              <w:ind w:right="144"/>
              <w:jc w:val="right"/>
              <w:rPr>
                <w:rFonts w:asciiTheme="minorHAnsi" w:eastAsiaTheme="minorEastAsia" w:hAnsiTheme="minorHAnsi" w:cs="Arial"/>
                <w:bCs/>
                <w:color w:val="59595B"/>
                <w:sz w:val="20"/>
                <w:szCs w:val="20"/>
                <w:lang w:val="en-GB"/>
              </w:rPr>
            </w:pPr>
          </w:p>
        </w:tc>
      </w:tr>
      <w:tr w:rsidR="00183BE2" w:rsidRPr="00A96D90" w14:paraId="0B6CFAC4" w14:textId="77777777" w:rsidTr="00F833F8">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24439144" w14:textId="4D54E12A" w:rsidR="00183BE2" w:rsidRPr="00A96D90" w:rsidRDefault="00183BE2" w:rsidP="00183BE2">
            <w:pPr>
              <w:ind w:right="144"/>
              <w:rPr>
                <w:rFonts w:asciiTheme="minorHAnsi" w:eastAsiaTheme="minorEastAsia" w:hAnsiTheme="minorHAnsi" w:cs="Arial"/>
                <w:b/>
                <w:bCs/>
                <w:color w:val="59595B"/>
                <w:sz w:val="20"/>
                <w:lang w:val="en-GB"/>
              </w:rPr>
            </w:pPr>
            <w:r w:rsidRPr="00A96D90">
              <w:rPr>
                <w:rFonts w:asciiTheme="minorHAnsi" w:eastAsiaTheme="minorEastAsia" w:hAnsiTheme="minorHAnsi" w:cs="Arial"/>
                <w:b/>
                <w:bCs/>
                <w:color w:val="59595B"/>
                <w:sz w:val="20"/>
                <w:lang w:val="en-GB"/>
              </w:rPr>
              <w:t>Balance at 30 June 2016</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4F28A3C3" w14:textId="77777777" w:rsidR="00183BE2" w:rsidRPr="00A96D90" w:rsidRDefault="00183BE2" w:rsidP="00183BE2">
            <w:pPr>
              <w:ind w:right="144"/>
              <w:jc w:val="right"/>
              <w:rPr>
                <w:rFonts w:asciiTheme="minorHAnsi" w:eastAsiaTheme="minorEastAsia" w:hAnsiTheme="minorHAnsi" w:cs="Arial"/>
                <w:b/>
                <w:bCs/>
                <w:color w:val="59595B"/>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651F434F" w14:textId="65D6DC71"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412,555,374</w:t>
            </w: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7B6614DF" w14:textId="203EA1E9"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4,126</w:t>
            </w: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163BB3CA" w14:textId="39DB45EF" w:rsidR="00183BE2" w:rsidRPr="00A96D90" w:rsidRDefault="00183BE2" w:rsidP="00183BE2">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283,528</w:t>
            </w:r>
          </w:p>
        </w:tc>
      </w:tr>
      <w:tr w:rsidR="00E64F9D" w:rsidRPr="00A96D90" w14:paraId="68700A6D" w14:textId="77777777" w:rsidTr="00F833F8">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6EDCF563" w14:textId="77777777" w:rsidR="00E64F9D" w:rsidRPr="00A96D90" w:rsidRDefault="00E64F9D" w:rsidP="00DE249D">
            <w:pPr>
              <w:ind w:right="144"/>
              <w:rPr>
                <w:rFonts w:asciiTheme="minorHAnsi" w:eastAsiaTheme="minorEastAsia" w:hAnsiTheme="minorHAnsi" w:cs="Arial"/>
                <w:bCs/>
                <w:i/>
                <w:color w:val="59595B"/>
                <w:sz w:val="20"/>
                <w:lang w:val="en-GB"/>
              </w:rPr>
            </w:pP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2DBEBC0B"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0940CD30"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FFFFF" w:themeFill="background1"/>
          </w:tcPr>
          <w:p w14:paraId="160C6017"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350" w:type="dxa"/>
            <w:tcBorders>
              <w:top w:val="single" w:sz="4" w:space="0" w:color="BFBFBF" w:themeColor="background1" w:themeShade="BF"/>
              <w:bottom w:val="single" w:sz="4" w:space="0" w:color="BFBFBF" w:themeColor="background1" w:themeShade="BF"/>
              <w:right w:val="nil"/>
            </w:tcBorders>
            <w:shd w:val="clear" w:color="auto" w:fill="FFFFFF" w:themeFill="background1"/>
          </w:tcPr>
          <w:p w14:paraId="73CF07ED"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r>
      <w:tr w:rsidR="00E64F9D" w:rsidRPr="00A96D90" w14:paraId="79023C6D" w14:textId="77777777" w:rsidTr="00F833F8">
        <w:trPr>
          <w:trHeight w:val="288"/>
          <w:jc w:val="center"/>
        </w:trPr>
        <w:tc>
          <w:tcPr>
            <w:tcW w:w="4315" w:type="dxa"/>
            <w:tcBorders>
              <w:top w:val="single" w:sz="4" w:space="0" w:color="BFBFBF" w:themeColor="background1" w:themeShade="BF"/>
              <w:bottom w:val="single" w:sz="4" w:space="0" w:color="BFBFBF" w:themeColor="background1" w:themeShade="BF"/>
            </w:tcBorders>
            <w:shd w:val="clear" w:color="auto" w:fill="FFFFFF" w:themeFill="background1"/>
          </w:tcPr>
          <w:p w14:paraId="2D4CF734" w14:textId="5F58DF7F" w:rsidR="00E64F9D" w:rsidRPr="00A96D90" w:rsidRDefault="005A4351" w:rsidP="00DE249D">
            <w:pPr>
              <w:ind w:right="144"/>
              <w:rPr>
                <w:rFonts w:asciiTheme="minorHAnsi" w:eastAsiaTheme="minorEastAsia" w:hAnsiTheme="minorHAnsi" w:cs="Arial"/>
                <w:b/>
                <w:bCs/>
                <w:color w:val="59595B"/>
                <w:sz w:val="20"/>
                <w:lang w:val="en-GB"/>
              </w:rPr>
            </w:pPr>
            <w:r w:rsidRPr="00A96D90">
              <w:rPr>
                <w:rFonts w:asciiTheme="minorHAnsi" w:eastAsiaTheme="minorEastAsia" w:hAnsiTheme="minorHAnsi" w:cs="Arial"/>
                <w:b/>
                <w:bCs/>
                <w:color w:val="59595B"/>
                <w:sz w:val="20"/>
                <w:lang w:val="en-GB"/>
              </w:rPr>
              <w:t>Balance at 1 January 2017</w:t>
            </w:r>
          </w:p>
        </w:tc>
        <w:tc>
          <w:tcPr>
            <w:tcW w:w="900" w:type="dxa"/>
            <w:tcBorders>
              <w:top w:val="single" w:sz="4" w:space="0" w:color="BFBFBF" w:themeColor="background1" w:themeShade="BF"/>
              <w:bottom w:val="single" w:sz="4" w:space="0" w:color="BFBFBF" w:themeColor="background1" w:themeShade="BF"/>
            </w:tcBorders>
            <w:shd w:val="clear" w:color="auto" w:fill="FFFFFF" w:themeFill="background1"/>
          </w:tcPr>
          <w:p w14:paraId="7CB4462D" w14:textId="77777777" w:rsidR="00E64F9D" w:rsidRPr="00A96D90" w:rsidRDefault="00E64F9D" w:rsidP="00DE249D">
            <w:pPr>
              <w:ind w:right="144"/>
              <w:jc w:val="right"/>
              <w:rPr>
                <w:rFonts w:asciiTheme="minorHAnsi" w:hAnsiTheme="minorHAnsi"/>
                <w:b/>
                <w:color w:val="59595B"/>
                <w:sz w:val="20"/>
                <w:szCs w:val="20"/>
                <w:lang w:val="en-GB"/>
              </w:rPr>
            </w:pPr>
          </w:p>
        </w:tc>
        <w:tc>
          <w:tcPr>
            <w:tcW w:w="144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AF526B5" w14:textId="1512009A" w:rsidR="00E64F9D" w:rsidRPr="00A96D90" w:rsidRDefault="005A4351" w:rsidP="00DE249D">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455,587,312</w:t>
            </w:r>
          </w:p>
        </w:tc>
        <w:tc>
          <w:tcPr>
            <w:tcW w:w="1440"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9DAB90F" w14:textId="5A2C1AC9" w:rsidR="00E64F9D" w:rsidRPr="00A96D90" w:rsidRDefault="005A4351" w:rsidP="00DE249D">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4,556</w:t>
            </w:r>
          </w:p>
        </w:tc>
        <w:tc>
          <w:tcPr>
            <w:tcW w:w="1350" w:type="dxa"/>
            <w:tcBorders>
              <w:top w:val="single" w:sz="4" w:space="0" w:color="BFBFBF" w:themeColor="background1" w:themeShade="BF"/>
              <w:bottom w:val="single" w:sz="4" w:space="0" w:color="BFBFBF" w:themeColor="background1" w:themeShade="BF"/>
              <w:right w:val="nil"/>
            </w:tcBorders>
            <w:shd w:val="clear" w:color="auto" w:fill="F2F2F2" w:themeFill="background1" w:themeFillShade="F2"/>
          </w:tcPr>
          <w:p w14:paraId="76FA3CFA" w14:textId="0D255AAA" w:rsidR="00E64F9D" w:rsidRPr="00A96D90" w:rsidRDefault="005A4351" w:rsidP="00DE249D">
            <w:pPr>
              <w:ind w:right="144"/>
              <w:jc w:val="right"/>
              <w:rPr>
                <w:rFonts w:asciiTheme="minorHAnsi" w:eastAsiaTheme="minorEastAsia" w:hAnsiTheme="minorHAnsi" w:cs="Arial"/>
                <w:b/>
                <w:bCs/>
                <w:color w:val="59595B"/>
                <w:sz w:val="20"/>
                <w:szCs w:val="20"/>
                <w:lang w:val="en-GB"/>
              </w:rPr>
            </w:pPr>
            <w:r w:rsidRPr="00A96D90">
              <w:rPr>
                <w:rFonts w:asciiTheme="minorHAnsi" w:hAnsiTheme="minorHAnsi"/>
                <w:b/>
                <w:color w:val="59595B"/>
                <w:sz w:val="20"/>
                <w:szCs w:val="20"/>
                <w:lang w:val="en-GB"/>
              </w:rPr>
              <w:t>301,876</w:t>
            </w:r>
          </w:p>
        </w:tc>
      </w:tr>
      <w:tr w:rsidR="00E64F9D" w:rsidRPr="00A96D90" w14:paraId="6D838083" w14:textId="77777777" w:rsidTr="00F833F8">
        <w:trPr>
          <w:trHeight w:val="288"/>
          <w:jc w:val="center"/>
        </w:trPr>
        <w:tc>
          <w:tcPr>
            <w:tcW w:w="4315" w:type="dxa"/>
            <w:tcBorders>
              <w:top w:val="single" w:sz="4" w:space="0" w:color="BFBFBF" w:themeColor="background1" w:themeShade="BF"/>
            </w:tcBorders>
            <w:shd w:val="clear" w:color="auto" w:fill="FFFFFF" w:themeFill="background1"/>
          </w:tcPr>
          <w:p w14:paraId="65D51A4E" w14:textId="70E89F72" w:rsidR="00E64F9D" w:rsidRPr="00A96D90" w:rsidRDefault="00E64F9D" w:rsidP="00DE249D">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 xml:space="preserve">Result for the </w:t>
            </w:r>
            <w:r w:rsidR="001B32EE" w:rsidRPr="00A96D90">
              <w:rPr>
                <w:rFonts w:asciiTheme="minorHAnsi" w:eastAsiaTheme="minorEastAsia" w:hAnsiTheme="minorHAnsi" w:cs="Arial"/>
                <w:bCs/>
                <w:i/>
                <w:color w:val="59595B"/>
                <w:sz w:val="20"/>
                <w:lang w:val="en-GB"/>
              </w:rPr>
              <w:t>period</w:t>
            </w:r>
          </w:p>
        </w:tc>
        <w:tc>
          <w:tcPr>
            <w:tcW w:w="900" w:type="dxa"/>
            <w:tcBorders>
              <w:top w:val="single" w:sz="4" w:space="0" w:color="BFBFBF" w:themeColor="background1" w:themeShade="BF"/>
            </w:tcBorders>
            <w:shd w:val="clear" w:color="auto" w:fill="FFFFFF" w:themeFill="background1"/>
          </w:tcPr>
          <w:p w14:paraId="3B5F1427"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2F2F2" w:themeFill="background1" w:themeFillShade="F2"/>
          </w:tcPr>
          <w:p w14:paraId="4994F2A3"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tcBorders>
              <w:top w:val="single" w:sz="4" w:space="0" w:color="BFBFBF" w:themeColor="background1" w:themeShade="BF"/>
            </w:tcBorders>
            <w:shd w:val="clear" w:color="auto" w:fill="F2F2F2" w:themeFill="background1" w:themeFillShade="F2"/>
          </w:tcPr>
          <w:p w14:paraId="722D2237"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top w:val="single" w:sz="4" w:space="0" w:color="BFBFBF" w:themeColor="background1" w:themeShade="BF"/>
              <w:right w:val="nil"/>
            </w:tcBorders>
            <w:shd w:val="clear" w:color="auto" w:fill="F2F2F2" w:themeFill="background1" w:themeFillShade="F2"/>
          </w:tcPr>
          <w:p w14:paraId="4886915D"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532060FF" w14:textId="77777777" w:rsidTr="00F833F8">
        <w:trPr>
          <w:trHeight w:val="288"/>
          <w:jc w:val="center"/>
        </w:trPr>
        <w:tc>
          <w:tcPr>
            <w:tcW w:w="4315" w:type="dxa"/>
            <w:shd w:val="clear" w:color="auto" w:fill="FFFFFF" w:themeFill="background1"/>
          </w:tcPr>
          <w:p w14:paraId="68E618B9" w14:textId="2739B9D3" w:rsidR="00E64F9D" w:rsidRPr="00A96D90" w:rsidRDefault="00E64F9D" w:rsidP="00DE249D">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Other comprehensive income</w:t>
            </w:r>
          </w:p>
        </w:tc>
        <w:tc>
          <w:tcPr>
            <w:tcW w:w="900" w:type="dxa"/>
            <w:shd w:val="clear" w:color="auto" w:fill="FFFFFF" w:themeFill="background1"/>
          </w:tcPr>
          <w:p w14:paraId="5E4F6A37"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27AAA73C"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58DE67CF"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2F2F2" w:themeFill="background1" w:themeFillShade="F2"/>
          </w:tcPr>
          <w:p w14:paraId="6741672F"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25F8F930" w14:textId="77777777" w:rsidTr="00F833F8">
        <w:trPr>
          <w:trHeight w:val="288"/>
          <w:jc w:val="center"/>
        </w:trPr>
        <w:tc>
          <w:tcPr>
            <w:tcW w:w="4315" w:type="dxa"/>
            <w:shd w:val="clear" w:color="auto" w:fill="FFFFFF" w:themeFill="background1"/>
          </w:tcPr>
          <w:p w14:paraId="1C35F832" w14:textId="6C9A8C39" w:rsidR="00E64F9D" w:rsidRPr="00A96D90" w:rsidRDefault="00E64F9D" w:rsidP="00DE249D">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 xml:space="preserve">Total comprehensive income </w:t>
            </w:r>
          </w:p>
        </w:tc>
        <w:tc>
          <w:tcPr>
            <w:tcW w:w="900" w:type="dxa"/>
            <w:shd w:val="clear" w:color="auto" w:fill="FFFFFF" w:themeFill="background1"/>
          </w:tcPr>
          <w:p w14:paraId="5D7F5CAC"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7A130966"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475C82DE"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2F2F2" w:themeFill="background1" w:themeFillShade="F2"/>
          </w:tcPr>
          <w:p w14:paraId="43155F62"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2E212796" w14:textId="77777777" w:rsidTr="00F833F8">
        <w:trPr>
          <w:trHeight w:val="288"/>
          <w:jc w:val="center"/>
        </w:trPr>
        <w:tc>
          <w:tcPr>
            <w:tcW w:w="4315" w:type="dxa"/>
            <w:shd w:val="clear" w:color="auto" w:fill="FFFFFF" w:themeFill="background1"/>
          </w:tcPr>
          <w:p w14:paraId="5B7C5DF5" w14:textId="77777777" w:rsidR="00E64F9D" w:rsidRPr="00A96D90" w:rsidRDefault="00E64F9D" w:rsidP="00DE249D">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Share-based compensation</w:t>
            </w:r>
          </w:p>
        </w:tc>
        <w:tc>
          <w:tcPr>
            <w:tcW w:w="900" w:type="dxa"/>
            <w:shd w:val="clear" w:color="auto" w:fill="FFFFFF" w:themeFill="background1"/>
          </w:tcPr>
          <w:p w14:paraId="4D2D70B2"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63493DB2"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2F2F2" w:themeFill="background1" w:themeFillShade="F2"/>
          </w:tcPr>
          <w:p w14:paraId="0BD0B820"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2F2F2" w:themeFill="background1" w:themeFillShade="F2"/>
          </w:tcPr>
          <w:p w14:paraId="61344AA9"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7338A131" w14:textId="77777777" w:rsidTr="00F833F8">
        <w:trPr>
          <w:trHeight w:val="288"/>
          <w:jc w:val="center"/>
        </w:trPr>
        <w:tc>
          <w:tcPr>
            <w:tcW w:w="4315" w:type="dxa"/>
            <w:shd w:val="clear" w:color="auto" w:fill="FFFFFF" w:themeFill="background1"/>
          </w:tcPr>
          <w:p w14:paraId="48F87870" w14:textId="77777777" w:rsidR="00E64F9D" w:rsidRPr="00A96D90" w:rsidRDefault="00E64F9D" w:rsidP="00DE249D">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Bonuses settled in shares</w:t>
            </w:r>
          </w:p>
        </w:tc>
        <w:tc>
          <w:tcPr>
            <w:tcW w:w="900" w:type="dxa"/>
            <w:shd w:val="clear" w:color="auto" w:fill="FFFFFF" w:themeFill="background1"/>
          </w:tcPr>
          <w:p w14:paraId="7F313D72" w14:textId="1744B98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1F0F39AC" w14:textId="08513E83"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908,437</w:t>
            </w:r>
          </w:p>
        </w:tc>
        <w:tc>
          <w:tcPr>
            <w:tcW w:w="1440" w:type="dxa"/>
            <w:shd w:val="clear" w:color="auto" w:fill="F2F2F2" w:themeFill="background1" w:themeFillShade="F2"/>
          </w:tcPr>
          <w:p w14:paraId="26244DAF" w14:textId="6340BD68"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9</w:t>
            </w:r>
          </w:p>
        </w:tc>
        <w:tc>
          <w:tcPr>
            <w:tcW w:w="1350" w:type="dxa"/>
            <w:tcBorders>
              <w:right w:val="nil"/>
            </w:tcBorders>
            <w:shd w:val="clear" w:color="auto" w:fill="F2F2F2" w:themeFill="background1" w:themeFillShade="F2"/>
          </w:tcPr>
          <w:p w14:paraId="59C4F004" w14:textId="3B22043B"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246</w:t>
            </w:r>
          </w:p>
        </w:tc>
      </w:tr>
      <w:tr w:rsidR="00E64F9D" w:rsidRPr="00A96D90" w14:paraId="21FB94FC" w14:textId="77777777" w:rsidTr="00F833F8">
        <w:trPr>
          <w:trHeight w:val="288"/>
          <w:jc w:val="center"/>
        </w:trPr>
        <w:tc>
          <w:tcPr>
            <w:tcW w:w="4315" w:type="dxa"/>
            <w:shd w:val="clear" w:color="auto" w:fill="FFFFFF" w:themeFill="background1"/>
          </w:tcPr>
          <w:p w14:paraId="5E8CC98A" w14:textId="46B98DAF" w:rsidR="00E64F9D" w:rsidRPr="00A96D90" w:rsidRDefault="00E64F9D" w:rsidP="00DE249D">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 xml:space="preserve">Shares issued </w:t>
            </w:r>
            <w:r w:rsidR="005A4351" w:rsidRPr="00A96D90">
              <w:rPr>
                <w:rFonts w:asciiTheme="minorHAnsi" w:eastAsiaTheme="minorEastAsia" w:hAnsiTheme="minorHAnsi" w:cs="Arial"/>
                <w:bCs/>
                <w:i/>
                <w:color w:val="59595B"/>
                <w:sz w:val="20"/>
                <w:lang w:val="en-GB"/>
              </w:rPr>
              <w:t>in connection with Bonds</w:t>
            </w:r>
          </w:p>
        </w:tc>
        <w:tc>
          <w:tcPr>
            <w:tcW w:w="900" w:type="dxa"/>
            <w:shd w:val="clear" w:color="auto" w:fill="FFFFFF" w:themeFill="background1"/>
          </w:tcPr>
          <w:p w14:paraId="5A1C8CF8"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1458FE22" w14:textId="7E356B3B"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26,432,796</w:t>
            </w:r>
          </w:p>
        </w:tc>
        <w:tc>
          <w:tcPr>
            <w:tcW w:w="1440" w:type="dxa"/>
            <w:shd w:val="clear" w:color="auto" w:fill="F2F2F2" w:themeFill="background1" w:themeFillShade="F2"/>
          </w:tcPr>
          <w:p w14:paraId="351A1161" w14:textId="2045FAD9"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264</w:t>
            </w:r>
          </w:p>
        </w:tc>
        <w:tc>
          <w:tcPr>
            <w:tcW w:w="1350" w:type="dxa"/>
            <w:tcBorders>
              <w:right w:val="nil"/>
            </w:tcBorders>
            <w:shd w:val="clear" w:color="auto" w:fill="F2F2F2" w:themeFill="background1" w:themeFillShade="F2"/>
          </w:tcPr>
          <w:p w14:paraId="44198477" w14:textId="6208F23C" w:rsidR="00E64F9D" w:rsidRPr="00A96D90" w:rsidRDefault="002A2FFF"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7,306</w:t>
            </w:r>
          </w:p>
        </w:tc>
      </w:tr>
      <w:tr w:rsidR="00E64F9D" w:rsidRPr="00A96D90" w14:paraId="1F0457D7" w14:textId="77777777" w:rsidTr="00F833F8">
        <w:trPr>
          <w:trHeight w:val="288"/>
          <w:jc w:val="center"/>
        </w:trPr>
        <w:tc>
          <w:tcPr>
            <w:tcW w:w="4315" w:type="dxa"/>
            <w:shd w:val="clear" w:color="auto" w:fill="FFFFFF" w:themeFill="background1"/>
          </w:tcPr>
          <w:p w14:paraId="4B8F5386" w14:textId="59F843AB" w:rsidR="00E64F9D" w:rsidRPr="00A96D90" w:rsidRDefault="00E64F9D" w:rsidP="00DE249D">
            <w:pPr>
              <w:ind w:right="144"/>
              <w:rPr>
                <w:rFonts w:asciiTheme="minorHAnsi" w:eastAsiaTheme="minorEastAsia" w:hAnsiTheme="minorHAnsi" w:cs="Arial"/>
                <w:b/>
                <w:bCs/>
                <w:i/>
                <w:color w:val="59595B"/>
                <w:sz w:val="20"/>
                <w:lang w:val="en-GB"/>
              </w:rPr>
            </w:pPr>
            <w:r w:rsidRPr="00A96D90">
              <w:rPr>
                <w:rFonts w:asciiTheme="minorHAnsi" w:eastAsiaTheme="minorEastAsia" w:hAnsiTheme="minorHAnsi" w:cs="Arial"/>
                <w:bCs/>
                <w:i/>
                <w:color w:val="59595B"/>
                <w:sz w:val="20"/>
                <w:lang w:val="en-GB"/>
              </w:rPr>
              <w:t>Warrants exercised</w:t>
            </w:r>
          </w:p>
        </w:tc>
        <w:tc>
          <w:tcPr>
            <w:tcW w:w="900" w:type="dxa"/>
            <w:shd w:val="clear" w:color="auto" w:fill="FFFFFF" w:themeFill="background1"/>
          </w:tcPr>
          <w:p w14:paraId="54841C90"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6B4894D4" w14:textId="4624A5C9"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1,000,000</w:t>
            </w:r>
          </w:p>
        </w:tc>
        <w:tc>
          <w:tcPr>
            <w:tcW w:w="1440" w:type="dxa"/>
            <w:shd w:val="clear" w:color="auto" w:fill="F2F2F2" w:themeFill="background1" w:themeFillShade="F2"/>
          </w:tcPr>
          <w:p w14:paraId="5A828505" w14:textId="600FB9B9"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w:t>
            </w:r>
            <w:r w:rsidR="005A4351" w:rsidRPr="00A96D90">
              <w:rPr>
                <w:rFonts w:asciiTheme="minorHAnsi" w:eastAsiaTheme="minorEastAsia" w:hAnsiTheme="minorHAnsi" w:cs="Arial"/>
                <w:bCs/>
                <w:color w:val="59595B"/>
                <w:sz w:val="20"/>
                <w:szCs w:val="20"/>
                <w:lang w:val="en-GB"/>
              </w:rPr>
              <w:t>0</w:t>
            </w:r>
          </w:p>
        </w:tc>
        <w:tc>
          <w:tcPr>
            <w:tcW w:w="1350" w:type="dxa"/>
            <w:tcBorders>
              <w:right w:val="nil"/>
            </w:tcBorders>
            <w:shd w:val="clear" w:color="auto" w:fill="F2F2F2" w:themeFill="background1" w:themeFillShade="F2"/>
          </w:tcPr>
          <w:p w14:paraId="5C360255" w14:textId="3905038D" w:rsidR="00E64F9D" w:rsidRPr="00A96D90" w:rsidRDefault="002A2FFF"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188</w:t>
            </w:r>
          </w:p>
        </w:tc>
      </w:tr>
      <w:tr w:rsidR="002A2FFF" w:rsidRPr="00A96D90" w14:paraId="1F0C61B1" w14:textId="77777777" w:rsidTr="00F833F8">
        <w:trPr>
          <w:trHeight w:val="288"/>
          <w:jc w:val="center"/>
        </w:trPr>
        <w:tc>
          <w:tcPr>
            <w:tcW w:w="4315" w:type="dxa"/>
            <w:shd w:val="clear" w:color="auto" w:fill="FFFFFF" w:themeFill="background1"/>
          </w:tcPr>
          <w:p w14:paraId="6E2186E4" w14:textId="14CADE74" w:rsidR="002A2FFF" w:rsidRPr="00A96D90" w:rsidRDefault="002A2FFF" w:rsidP="00DE249D">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Warrants issued</w:t>
            </w:r>
          </w:p>
        </w:tc>
        <w:tc>
          <w:tcPr>
            <w:tcW w:w="900" w:type="dxa"/>
            <w:shd w:val="clear" w:color="auto" w:fill="FFFFFF" w:themeFill="background1"/>
          </w:tcPr>
          <w:p w14:paraId="1740C1E1" w14:textId="77777777" w:rsidR="002A2FFF" w:rsidRPr="00A96D90" w:rsidRDefault="002A2FFF"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2A5AA1B1" w14:textId="33606EB7" w:rsidR="002A2FFF" w:rsidRPr="00A96D90" w:rsidRDefault="002A2FFF"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2F2F2" w:themeFill="background1" w:themeFillShade="F2"/>
          </w:tcPr>
          <w:p w14:paraId="71F9CBAE" w14:textId="145202C5" w:rsidR="002A2FFF" w:rsidRPr="00A96D90" w:rsidRDefault="002A2FFF"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2F2F2" w:themeFill="background1" w:themeFillShade="F2"/>
          </w:tcPr>
          <w:p w14:paraId="1707BDE3" w14:textId="4F30377D" w:rsidR="002A2FFF" w:rsidRPr="00A96D90" w:rsidRDefault="002A2FFF"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w:t>
            </w:r>
            <w:r w:rsidR="006F134C" w:rsidRPr="00A96D90">
              <w:rPr>
                <w:rFonts w:asciiTheme="minorHAnsi" w:eastAsiaTheme="minorEastAsia" w:hAnsiTheme="minorHAnsi" w:cs="Arial"/>
                <w:bCs/>
                <w:color w:val="59595B"/>
                <w:sz w:val="20"/>
                <w:szCs w:val="20"/>
                <w:lang w:val="en-GB"/>
              </w:rPr>
              <w:t>291</w:t>
            </w:r>
          </w:p>
        </w:tc>
      </w:tr>
      <w:tr w:rsidR="00E64F9D" w:rsidRPr="00A96D90" w14:paraId="711FB8E3" w14:textId="77777777" w:rsidTr="00F833F8">
        <w:trPr>
          <w:trHeight w:val="288"/>
          <w:jc w:val="center"/>
        </w:trPr>
        <w:tc>
          <w:tcPr>
            <w:tcW w:w="4315" w:type="dxa"/>
            <w:shd w:val="clear" w:color="auto" w:fill="FFFFFF" w:themeFill="background1"/>
          </w:tcPr>
          <w:p w14:paraId="04AA883C" w14:textId="77777777" w:rsidR="00E64F9D" w:rsidRPr="00A96D90" w:rsidRDefault="00E64F9D" w:rsidP="00DE249D">
            <w:pPr>
              <w:ind w:right="144"/>
              <w:rPr>
                <w:rFonts w:asciiTheme="minorHAnsi" w:eastAsiaTheme="minorEastAsia" w:hAnsiTheme="minorHAnsi" w:cs="Arial"/>
                <w:bCs/>
                <w:i/>
                <w:color w:val="59595B"/>
                <w:sz w:val="20"/>
                <w:lang w:val="en-GB"/>
              </w:rPr>
            </w:pPr>
            <w:r w:rsidRPr="00A96D90">
              <w:rPr>
                <w:rFonts w:asciiTheme="minorHAnsi" w:eastAsiaTheme="minorEastAsia" w:hAnsiTheme="minorHAnsi" w:cs="Arial"/>
                <w:bCs/>
                <w:i/>
                <w:color w:val="59595B"/>
                <w:sz w:val="20"/>
                <w:lang w:val="en-GB"/>
              </w:rPr>
              <w:t>Options exercised</w:t>
            </w:r>
          </w:p>
        </w:tc>
        <w:tc>
          <w:tcPr>
            <w:tcW w:w="900" w:type="dxa"/>
            <w:shd w:val="clear" w:color="auto" w:fill="FFFFFF" w:themeFill="background1"/>
          </w:tcPr>
          <w:p w14:paraId="1D3910F5"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314C5275"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440" w:type="dxa"/>
            <w:shd w:val="clear" w:color="auto" w:fill="F2F2F2" w:themeFill="background1" w:themeFillShade="F2"/>
          </w:tcPr>
          <w:p w14:paraId="580428F8"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c>
          <w:tcPr>
            <w:tcW w:w="1350" w:type="dxa"/>
            <w:tcBorders>
              <w:right w:val="nil"/>
            </w:tcBorders>
            <w:shd w:val="clear" w:color="auto" w:fill="F2F2F2" w:themeFill="background1" w:themeFillShade="F2"/>
          </w:tcPr>
          <w:p w14:paraId="32A4A376" w14:textId="371D36C9" w:rsidR="00E64F9D" w:rsidRPr="00A96D90" w:rsidRDefault="006F134C"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20FD354B" w14:textId="77777777" w:rsidTr="00F833F8">
        <w:trPr>
          <w:trHeight w:val="288"/>
          <w:jc w:val="center"/>
        </w:trPr>
        <w:tc>
          <w:tcPr>
            <w:tcW w:w="4315" w:type="dxa"/>
            <w:shd w:val="clear" w:color="auto" w:fill="FFFFFF" w:themeFill="background1"/>
          </w:tcPr>
          <w:p w14:paraId="09BB798E" w14:textId="77777777" w:rsidR="00FA3E6E" w:rsidRPr="00A96D90" w:rsidRDefault="00E64F9D" w:rsidP="00DE249D">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Total transactions with owners,</w:t>
            </w:r>
          </w:p>
          <w:p w14:paraId="6904C031" w14:textId="723F237F" w:rsidR="00E64F9D" w:rsidRPr="00A96D90" w:rsidRDefault="00E64F9D" w:rsidP="00DE249D">
            <w:pPr>
              <w:ind w:right="144"/>
              <w:rPr>
                <w:rFonts w:asciiTheme="minorHAnsi" w:eastAsiaTheme="minorEastAsia" w:hAnsiTheme="minorHAnsi" w:cs="Arial"/>
                <w:bCs/>
                <w:color w:val="59595B"/>
                <w:sz w:val="20"/>
                <w:lang w:val="en-GB"/>
              </w:rPr>
            </w:pPr>
            <w:r w:rsidRPr="00A96D90">
              <w:rPr>
                <w:rFonts w:asciiTheme="minorHAnsi" w:eastAsiaTheme="minorEastAsia" w:hAnsiTheme="minorHAnsi" w:cs="Arial"/>
                <w:bCs/>
                <w:color w:val="59595B"/>
                <w:sz w:val="20"/>
                <w:lang w:val="en-GB"/>
              </w:rPr>
              <w:t>recognized directly in equity</w:t>
            </w:r>
          </w:p>
        </w:tc>
        <w:tc>
          <w:tcPr>
            <w:tcW w:w="900" w:type="dxa"/>
            <w:shd w:val="clear" w:color="auto" w:fill="FFFFFF" w:themeFill="background1"/>
          </w:tcPr>
          <w:p w14:paraId="764E0F02"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tc>
        <w:tc>
          <w:tcPr>
            <w:tcW w:w="1440" w:type="dxa"/>
            <w:shd w:val="clear" w:color="auto" w:fill="F2F2F2" w:themeFill="background1" w:themeFillShade="F2"/>
          </w:tcPr>
          <w:p w14:paraId="4920DDE7" w14:textId="77777777" w:rsidR="005A4351" w:rsidRPr="00A96D90" w:rsidRDefault="005A4351" w:rsidP="00DE249D">
            <w:pPr>
              <w:ind w:right="144"/>
              <w:jc w:val="right"/>
              <w:rPr>
                <w:rFonts w:asciiTheme="minorHAnsi" w:eastAsiaTheme="minorEastAsia" w:hAnsiTheme="minorHAnsi" w:cs="Arial"/>
                <w:bCs/>
                <w:color w:val="59595B"/>
                <w:sz w:val="20"/>
                <w:szCs w:val="20"/>
                <w:lang w:val="en-GB"/>
              </w:rPr>
            </w:pPr>
          </w:p>
          <w:p w14:paraId="1D9B7FEF" w14:textId="3D1E293D"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28,341,233</w:t>
            </w:r>
          </w:p>
        </w:tc>
        <w:tc>
          <w:tcPr>
            <w:tcW w:w="1440" w:type="dxa"/>
            <w:shd w:val="clear" w:color="auto" w:fill="F2F2F2" w:themeFill="background1" w:themeFillShade="F2"/>
          </w:tcPr>
          <w:p w14:paraId="4DED26EB" w14:textId="77777777" w:rsidR="002A2FFF" w:rsidRPr="00A96D90" w:rsidRDefault="002A2FFF" w:rsidP="00DE249D">
            <w:pPr>
              <w:ind w:right="144"/>
              <w:jc w:val="right"/>
              <w:rPr>
                <w:rFonts w:asciiTheme="minorHAnsi" w:eastAsiaTheme="minorEastAsia" w:hAnsiTheme="minorHAnsi" w:cs="Arial"/>
                <w:bCs/>
                <w:color w:val="59595B"/>
                <w:sz w:val="20"/>
                <w:szCs w:val="20"/>
                <w:lang w:val="en-GB"/>
              </w:rPr>
            </w:pPr>
          </w:p>
          <w:p w14:paraId="7B862E03" w14:textId="0970F82A" w:rsidR="00E64F9D" w:rsidRPr="00A96D90" w:rsidRDefault="005A4351"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283</w:t>
            </w:r>
          </w:p>
        </w:tc>
        <w:tc>
          <w:tcPr>
            <w:tcW w:w="1350" w:type="dxa"/>
            <w:tcBorders>
              <w:right w:val="nil"/>
            </w:tcBorders>
            <w:shd w:val="clear" w:color="auto" w:fill="F2F2F2" w:themeFill="background1" w:themeFillShade="F2"/>
          </w:tcPr>
          <w:p w14:paraId="65A02DA3" w14:textId="77777777" w:rsidR="00E64F9D" w:rsidRPr="00A96D90" w:rsidRDefault="00E64F9D" w:rsidP="00DE249D">
            <w:pPr>
              <w:ind w:right="144"/>
              <w:jc w:val="right"/>
              <w:rPr>
                <w:rFonts w:asciiTheme="minorHAnsi" w:eastAsiaTheme="minorEastAsia" w:hAnsiTheme="minorHAnsi" w:cs="Arial"/>
                <w:bCs/>
                <w:color w:val="59595B"/>
                <w:sz w:val="20"/>
                <w:szCs w:val="20"/>
                <w:lang w:val="en-GB"/>
              </w:rPr>
            </w:pPr>
          </w:p>
          <w:p w14:paraId="4D03AC7E" w14:textId="1555F2CB" w:rsidR="00E64F9D" w:rsidRPr="00A96D90" w:rsidRDefault="006F134C" w:rsidP="00DE249D">
            <w:pPr>
              <w:ind w:right="144"/>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9,031</w:t>
            </w:r>
          </w:p>
        </w:tc>
      </w:tr>
      <w:tr w:rsidR="00E64F9D" w:rsidRPr="00A96D90" w14:paraId="3ACAC1CA" w14:textId="77777777" w:rsidTr="00F833F8">
        <w:trPr>
          <w:trHeight w:val="288"/>
          <w:jc w:val="center"/>
        </w:trPr>
        <w:tc>
          <w:tcPr>
            <w:tcW w:w="4315" w:type="dxa"/>
            <w:tcBorders>
              <w:bottom w:val="single" w:sz="4" w:space="0" w:color="BFBFBF" w:themeColor="background1" w:themeShade="BF"/>
            </w:tcBorders>
            <w:shd w:val="clear" w:color="auto" w:fill="FFFFFF" w:themeFill="background1"/>
          </w:tcPr>
          <w:p w14:paraId="2CF237B8" w14:textId="77777777" w:rsidR="00E64F9D" w:rsidRPr="00A96D90" w:rsidRDefault="00E64F9D" w:rsidP="00DE249D">
            <w:pPr>
              <w:ind w:right="144"/>
              <w:rPr>
                <w:rFonts w:asciiTheme="minorHAnsi" w:eastAsiaTheme="minorEastAsia" w:hAnsiTheme="minorHAnsi" w:cs="Arial"/>
                <w:b/>
                <w:bCs/>
                <w:color w:val="59595B"/>
                <w:sz w:val="20"/>
                <w:lang w:val="en-GB"/>
              </w:rPr>
            </w:pPr>
          </w:p>
        </w:tc>
        <w:tc>
          <w:tcPr>
            <w:tcW w:w="900" w:type="dxa"/>
            <w:tcBorders>
              <w:bottom w:val="single" w:sz="4" w:space="0" w:color="BFBFBF" w:themeColor="background1" w:themeShade="BF"/>
            </w:tcBorders>
            <w:shd w:val="clear" w:color="auto" w:fill="FFFFFF" w:themeFill="background1"/>
          </w:tcPr>
          <w:p w14:paraId="63504D88" w14:textId="77777777" w:rsidR="00E64F9D" w:rsidRPr="00A96D90" w:rsidRDefault="00E64F9D" w:rsidP="00DE249D">
            <w:pPr>
              <w:ind w:right="144"/>
              <w:jc w:val="right"/>
              <w:rPr>
                <w:rFonts w:asciiTheme="minorHAnsi" w:eastAsiaTheme="minorEastAsia" w:hAnsiTheme="minorHAnsi" w:cs="Arial"/>
                <w:b/>
                <w:bCs/>
                <w:color w:val="59595B"/>
                <w:sz w:val="20"/>
                <w:szCs w:val="20"/>
                <w:lang w:val="en-GB"/>
              </w:rPr>
            </w:pPr>
          </w:p>
        </w:tc>
        <w:tc>
          <w:tcPr>
            <w:tcW w:w="1440" w:type="dxa"/>
            <w:tcBorders>
              <w:bottom w:val="single" w:sz="4" w:space="0" w:color="BFBFBF" w:themeColor="background1" w:themeShade="BF"/>
            </w:tcBorders>
            <w:shd w:val="clear" w:color="auto" w:fill="F2F2F2" w:themeFill="background1" w:themeFillShade="F2"/>
          </w:tcPr>
          <w:p w14:paraId="1ABB4362" w14:textId="77777777" w:rsidR="00E64F9D" w:rsidRPr="00A96D90" w:rsidRDefault="00E64F9D" w:rsidP="00DE249D">
            <w:pPr>
              <w:ind w:right="144"/>
              <w:jc w:val="right"/>
              <w:rPr>
                <w:rFonts w:asciiTheme="minorHAnsi" w:eastAsiaTheme="minorEastAsia" w:hAnsiTheme="minorHAnsi" w:cs="Arial"/>
                <w:b/>
                <w:bCs/>
                <w:color w:val="59595B"/>
                <w:sz w:val="20"/>
                <w:szCs w:val="20"/>
                <w:lang w:val="en-GB"/>
              </w:rPr>
            </w:pPr>
          </w:p>
        </w:tc>
        <w:tc>
          <w:tcPr>
            <w:tcW w:w="1440" w:type="dxa"/>
            <w:tcBorders>
              <w:bottom w:val="single" w:sz="4" w:space="0" w:color="BFBFBF" w:themeColor="background1" w:themeShade="BF"/>
            </w:tcBorders>
            <w:shd w:val="clear" w:color="auto" w:fill="F2F2F2" w:themeFill="background1" w:themeFillShade="F2"/>
          </w:tcPr>
          <w:p w14:paraId="1D14CC70" w14:textId="77777777" w:rsidR="00E64F9D" w:rsidRPr="00A96D90" w:rsidRDefault="00E64F9D" w:rsidP="00DE249D">
            <w:pPr>
              <w:ind w:right="144"/>
              <w:jc w:val="right"/>
              <w:rPr>
                <w:rFonts w:asciiTheme="minorHAnsi" w:eastAsiaTheme="minorEastAsia" w:hAnsiTheme="minorHAnsi" w:cs="Arial"/>
                <w:b/>
                <w:bCs/>
                <w:color w:val="59595B"/>
                <w:sz w:val="20"/>
                <w:szCs w:val="20"/>
                <w:lang w:val="en-GB"/>
              </w:rPr>
            </w:pPr>
          </w:p>
        </w:tc>
        <w:tc>
          <w:tcPr>
            <w:tcW w:w="1350" w:type="dxa"/>
            <w:tcBorders>
              <w:bottom w:val="single" w:sz="4" w:space="0" w:color="BFBFBF" w:themeColor="background1" w:themeShade="BF"/>
              <w:right w:val="nil"/>
            </w:tcBorders>
            <w:shd w:val="clear" w:color="auto" w:fill="F2F2F2" w:themeFill="background1" w:themeFillShade="F2"/>
          </w:tcPr>
          <w:p w14:paraId="41F3A341" w14:textId="77777777" w:rsidR="00E64F9D" w:rsidRPr="00A96D90" w:rsidRDefault="00E64F9D" w:rsidP="00DE249D">
            <w:pPr>
              <w:ind w:right="144"/>
              <w:jc w:val="right"/>
              <w:rPr>
                <w:rFonts w:asciiTheme="minorHAnsi" w:eastAsiaTheme="minorEastAsia" w:hAnsiTheme="minorHAnsi" w:cs="Arial"/>
                <w:b/>
                <w:bCs/>
                <w:color w:val="59595B"/>
                <w:sz w:val="20"/>
                <w:szCs w:val="20"/>
                <w:lang w:val="en-GB"/>
              </w:rPr>
            </w:pPr>
          </w:p>
        </w:tc>
      </w:tr>
      <w:tr w:rsidR="00E64F9D" w:rsidRPr="00A96D90" w14:paraId="22F09779" w14:textId="77777777" w:rsidTr="00F833F8">
        <w:trPr>
          <w:trHeight w:val="288"/>
          <w:jc w:val="center"/>
        </w:trPr>
        <w:tc>
          <w:tcPr>
            <w:tcW w:w="4315" w:type="dxa"/>
            <w:tcBorders>
              <w:top w:val="single" w:sz="4" w:space="0" w:color="BFBFBF" w:themeColor="background1" w:themeShade="BF"/>
              <w:bottom w:val="nil"/>
            </w:tcBorders>
            <w:shd w:val="clear" w:color="auto" w:fill="FFFFFF" w:themeFill="background1"/>
          </w:tcPr>
          <w:p w14:paraId="0F793FAC" w14:textId="69B23502" w:rsidR="00E64F9D" w:rsidRPr="00A96D90" w:rsidRDefault="00E64F9D" w:rsidP="00DE249D">
            <w:pPr>
              <w:ind w:right="144"/>
              <w:rPr>
                <w:rFonts w:asciiTheme="minorHAnsi" w:eastAsiaTheme="minorEastAsia" w:hAnsiTheme="minorHAnsi" w:cs="Arial"/>
                <w:b/>
                <w:bCs/>
                <w:color w:val="59595B"/>
                <w:sz w:val="20"/>
                <w:lang w:val="en-GB"/>
              </w:rPr>
            </w:pPr>
            <w:r w:rsidRPr="00A96D90">
              <w:rPr>
                <w:rFonts w:asciiTheme="minorHAnsi" w:eastAsiaTheme="minorEastAsia" w:hAnsiTheme="minorHAnsi" w:cs="Arial"/>
                <w:b/>
                <w:bCs/>
                <w:color w:val="59595B"/>
                <w:sz w:val="20"/>
                <w:lang w:val="en-GB"/>
              </w:rPr>
              <w:t>Balance at 30 June</w:t>
            </w:r>
            <w:r w:rsidR="005A4351" w:rsidRPr="00A96D90">
              <w:rPr>
                <w:rFonts w:asciiTheme="minorHAnsi" w:eastAsiaTheme="minorEastAsia" w:hAnsiTheme="minorHAnsi" w:cs="Arial"/>
                <w:b/>
                <w:bCs/>
                <w:color w:val="59595B"/>
                <w:sz w:val="20"/>
                <w:lang w:val="en-GB"/>
              </w:rPr>
              <w:t xml:space="preserve"> 2017</w:t>
            </w:r>
          </w:p>
        </w:tc>
        <w:tc>
          <w:tcPr>
            <w:tcW w:w="900" w:type="dxa"/>
            <w:tcBorders>
              <w:top w:val="single" w:sz="4" w:space="0" w:color="BFBFBF" w:themeColor="background1" w:themeShade="BF"/>
              <w:bottom w:val="nil"/>
            </w:tcBorders>
            <w:shd w:val="clear" w:color="auto" w:fill="FFFFFF" w:themeFill="background1"/>
          </w:tcPr>
          <w:p w14:paraId="398C626E" w14:textId="77777777" w:rsidR="00E64F9D" w:rsidRPr="00A96D90" w:rsidRDefault="00E64F9D" w:rsidP="00DE249D">
            <w:pPr>
              <w:ind w:right="144"/>
              <w:jc w:val="right"/>
              <w:rPr>
                <w:rFonts w:asciiTheme="minorHAnsi" w:eastAsiaTheme="minorEastAsia" w:hAnsiTheme="minorHAnsi" w:cs="Arial"/>
                <w:b/>
                <w:bCs/>
                <w:color w:val="59595B"/>
                <w:sz w:val="20"/>
                <w:szCs w:val="20"/>
                <w:lang w:val="en-GB"/>
              </w:rPr>
            </w:pPr>
          </w:p>
        </w:tc>
        <w:tc>
          <w:tcPr>
            <w:tcW w:w="1440" w:type="dxa"/>
            <w:tcBorders>
              <w:top w:val="single" w:sz="4" w:space="0" w:color="BFBFBF" w:themeColor="background1" w:themeShade="BF"/>
              <w:bottom w:val="nil"/>
            </w:tcBorders>
            <w:shd w:val="clear" w:color="auto" w:fill="F2F2F2" w:themeFill="background1" w:themeFillShade="F2"/>
          </w:tcPr>
          <w:p w14:paraId="59A8F199" w14:textId="2EA803A7" w:rsidR="00E64F9D" w:rsidRPr="00A96D90" w:rsidRDefault="005A4351" w:rsidP="00DE249D">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483,928,545</w:t>
            </w:r>
          </w:p>
        </w:tc>
        <w:tc>
          <w:tcPr>
            <w:tcW w:w="1440" w:type="dxa"/>
            <w:tcBorders>
              <w:top w:val="single" w:sz="4" w:space="0" w:color="BFBFBF" w:themeColor="background1" w:themeShade="BF"/>
              <w:bottom w:val="nil"/>
            </w:tcBorders>
            <w:shd w:val="clear" w:color="auto" w:fill="F2F2F2" w:themeFill="background1" w:themeFillShade="F2"/>
          </w:tcPr>
          <w:p w14:paraId="41495A0A" w14:textId="55260790" w:rsidR="00E64F9D" w:rsidRPr="00A96D90" w:rsidRDefault="005A4351" w:rsidP="00DE249D">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4,839</w:t>
            </w:r>
          </w:p>
        </w:tc>
        <w:tc>
          <w:tcPr>
            <w:tcW w:w="1350" w:type="dxa"/>
            <w:tcBorders>
              <w:top w:val="single" w:sz="4" w:space="0" w:color="BFBFBF" w:themeColor="background1" w:themeShade="BF"/>
              <w:bottom w:val="nil"/>
              <w:right w:val="nil"/>
            </w:tcBorders>
            <w:shd w:val="clear" w:color="auto" w:fill="F2F2F2" w:themeFill="background1" w:themeFillShade="F2"/>
          </w:tcPr>
          <w:p w14:paraId="36101B35" w14:textId="704B84EE" w:rsidR="00E64F9D" w:rsidRPr="00A96D90" w:rsidRDefault="002A2FFF" w:rsidP="00DE249D">
            <w:pPr>
              <w:ind w:right="144"/>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3</w:t>
            </w:r>
            <w:r w:rsidR="006F134C" w:rsidRPr="00A96D90">
              <w:rPr>
                <w:rFonts w:asciiTheme="minorHAnsi" w:eastAsiaTheme="minorEastAsia" w:hAnsiTheme="minorHAnsi" w:cs="Arial"/>
                <w:b/>
                <w:bCs/>
                <w:color w:val="59595B"/>
                <w:sz w:val="20"/>
                <w:szCs w:val="20"/>
                <w:lang w:val="en-GB"/>
              </w:rPr>
              <w:t>10,907</w:t>
            </w:r>
          </w:p>
        </w:tc>
      </w:tr>
    </w:tbl>
    <w:p w14:paraId="02EFC0EC" w14:textId="77777777" w:rsidR="00E64F9D" w:rsidRPr="00A96D90" w:rsidRDefault="00E64F9D" w:rsidP="00E64F9D">
      <w:pPr>
        <w:pStyle w:val="NoSpacing"/>
        <w:ind w:right="144"/>
        <w:rPr>
          <w:rFonts w:asciiTheme="minorHAnsi" w:hAnsiTheme="minorHAnsi" w:cs="Arial"/>
          <w:bCs/>
          <w:i/>
          <w:lang w:val="en-GB"/>
        </w:rPr>
      </w:pPr>
    </w:p>
    <w:p w14:paraId="42C8C78B" w14:textId="77777777" w:rsidR="00E64F9D" w:rsidRPr="00A96D90" w:rsidRDefault="00E64F9D" w:rsidP="00E64F9D">
      <w:pPr>
        <w:pStyle w:val="NoSpacing"/>
        <w:ind w:right="144"/>
        <w:rPr>
          <w:rFonts w:asciiTheme="minorHAnsi" w:hAnsiTheme="minorHAnsi" w:cs="Arial"/>
          <w:bCs/>
          <w:i/>
          <w:lang w:val="en-GB"/>
        </w:rPr>
      </w:pPr>
    </w:p>
    <w:p w14:paraId="2B9C06FA" w14:textId="77777777" w:rsidR="00E64F9D" w:rsidRPr="00A96D90" w:rsidRDefault="00E64F9D" w:rsidP="00E64F9D">
      <w:pPr>
        <w:pStyle w:val="NoSpacing"/>
        <w:ind w:right="144"/>
        <w:rPr>
          <w:rFonts w:asciiTheme="minorHAnsi" w:hAnsiTheme="minorHAnsi" w:cs="Arial"/>
          <w:bCs/>
          <w:i/>
          <w:lang w:val="en-GB"/>
        </w:rPr>
      </w:pPr>
    </w:p>
    <w:p w14:paraId="1BC46962" w14:textId="77777777" w:rsidR="00E64F9D" w:rsidRPr="00A96D90" w:rsidRDefault="00E64F9D" w:rsidP="00E64F9D">
      <w:pPr>
        <w:pStyle w:val="NoSpacing"/>
        <w:ind w:right="144"/>
        <w:rPr>
          <w:rFonts w:asciiTheme="minorHAnsi" w:hAnsiTheme="minorHAnsi" w:cs="Arial"/>
          <w:bCs/>
          <w:i/>
          <w:lang w:val="en-GB"/>
        </w:rPr>
      </w:pPr>
    </w:p>
    <w:p w14:paraId="590B8FCB" w14:textId="77777777" w:rsidR="00E64F9D" w:rsidRPr="00A96D90" w:rsidRDefault="00E64F9D" w:rsidP="00E64F9D">
      <w:pPr>
        <w:pStyle w:val="NoSpacing"/>
        <w:ind w:right="144"/>
        <w:rPr>
          <w:rFonts w:cs="Arial"/>
          <w:bCs/>
          <w:i/>
          <w:lang w:val="en-GB"/>
        </w:rPr>
      </w:pPr>
    </w:p>
    <w:p w14:paraId="2B984B9E" w14:textId="77777777" w:rsidR="00E64F9D" w:rsidRPr="00A96D90" w:rsidRDefault="00E64F9D" w:rsidP="00E64F9D">
      <w:pPr>
        <w:pStyle w:val="NoSpacing"/>
        <w:ind w:right="144"/>
        <w:rPr>
          <w:rFonts w:cs="Arial"/>
          <w:bCs/>
          <w:i/>
          <w:lang w:val="en-GB"/>
        </w:rPr>
      </w:pPr>
    </w:p>
    <w:p w14:paraId="0C99C352" w14:textId="77777777" w:rsidR="00E64F9D" w:rsidRPr="00A96D90" w:rsidRDefault="00E64F9D" w:rsidP="00E64F9D">
      <w:pPr>
        <w:pStyle w:val="NoSpacing"/>
        <w:ind w:right="144"/>
        <w:rPr>
          <w:rFonts w:cs="Arial"/>
          <w:bCs/>
          <w:i/>
          <w:lang w:val="en-GB"/>
        </w:rPr>
      </w:pPr>
    </w:p>
    <w:p w14:paraId="01E6C8E1" w14:textId="77777777" w:rsidR="00E64F9D" w:rsidRPr="00A96D90" w:rsidRDefault="00E64F9D" w:rsidP="00E64F9D">
      <w:pPr>
        <w:pStyle w:val="NoSpacing"/>
        <w:ind w:right="144"/>
        <w:rPr>
          <w:rFonts w:cs="Arial"/>
          <w:bCs/>
          <w:i/>
          <w:lang w:val="en-GB"/>
        </w:rPr>
      </w:pPr>
    </w:p>
    <w:p w14:paraId="0DB51A09" w14:textId="77777777" w:rsidR="00E64F9D" w:rsidRPr="00A96D90" w:rsidRDefault="00E64F9D" w:rsidP="00E64F9D">
      <w:pPr>
        <w:pStyle w:val="NoSpacing"/>
        <w:ind w:right="144"/>
        <w:rPr>
          <w:rFonts w:cs="Arial"/>
          <w:bCs/>
          <w:i/>
          <w:lang w:val="en-GB"/>
        </w:rPr>
      </w:pPr>
      <w:r w:rsidRPr="00A96D90">
        <w:rPr>
          <w:rFonts w:cs="Arial"/>
          <w:bCs/>
          <w:i/>
          <w:lang w:val="en-GB"/>
        </w:rPr>
        <w:br w:type="page"/>
      </w:r>
    </w:p>
    <w:p w14:paraId="77B48AE2" w14:textId="77777777" w:rsidR="00E64F9D" w:rsidRPr="00A96D90" w:rsidRDefault="00E64F9D" w:rsidP="00E64F9D">
      <w:pPr>
        <w:pStyle w:val="NoSpacing"/>
        <w:ind w:right="144"/>
        <w:rPr>
          <w:rFonts w:cs="Arial"/>
          <w:bCs/>
          <w:i/>
          <w:lang w:val="en-GB"/>
        </w:rPr>
      </w:pPr>
    </w:p>
    <w:p w14:paraId="6440F91C" w14:textId="77777777" w:rsidR="00E64F9D" w:rsidRPr="00A96D90" w:rsidRDefault="00E64F9D" w:rsidP="00E64F9D">
      <w:pPr>
        <w:pStyle w:val="NoSpacing"/>
        <w:ind w:right="144"/>
        <w:rPr>
          <w:rFonts w:cs="Arial"/>
          <w:bCs/>
          <w:i/>
          <w:lang w:val="en-GB"/>
        </w:rPr>
      </w:pPr>
    </w:p>
    <w:p w14:paraId="2BA18E80" w14:textId="77777777" w:rsidR="00E64F9D" w:rsidRPr="00A96D90" w:rsidRDefault="00E64F9D" w:rsidP="00E64F9D">
      <w:pPr>
        <w:pStyle w:val="NoSpacing"/>
        <w:ind w:right="144"/>
        <w:rPr>
          <w:rFonts w:cs="Arial"/>
          <w:bCs/>
          <w:i/>
          <w:lang w:val="en-GB"/>
        </w:rPr>
      </w:pPr>
    </w:p>
    <w:p w14:paraId="6FE48A7B" w14:textId="77777777" w:rsidR="00E64F9D" w:rsidRPr="00A96D90" w:rsidRDefault="00E64F9D" w:rsidP="00E64F9D">
      <w:pPr>
        <w:pStyle w:val="NoSpacing"/>
        <w:ind w:right="144"/>
        <w:rPr>
          <w:rFonts w:cs="Arial"/>
          <w:bCs/>
          <w:i/>
          <w:color w:val="00679B"/>
          <w:sz w:val="8"/>
          <w:lang w:val="en-GB"/>
        </w:rPr>
      </w:pPr>
    </w:p>
    <w:tbl>
      <w:tblPr>
        <w:tblpPr w:leftFromText="180" w:rightFromText="180" w:vertAnchor="text" w:horzAnchor="margin" w:tblpXSpec="center" w:tblpY="-80"/>
        <w:tblW w:w="9368" w:type="dxa"/>
        <w:tblBorders>
          <w:top w:val="single" w:sz="4" w:space="0" w:color="BFBFBF" w:themeColor="background1" w:themeShade="BF"/>
          <w:left w:val="single" w:sz="4" w:space="0" w:color="BFBFBF" w:themeColor="background1" w:themeShade="BF"/>
          <w:insideH w:val="single" w:sz="4" w:space="0" w:color="BFBFBF" w:themeColor="background1" w:themeShade="BF"/>
        </w:tblBorders>
        <w:tblLayout w:type="fixed"/>
        <w:tblLook w:val="04A0" w:firstRow="1" w:lastRow="0" w:firstColumn="1" w:lastColumn="0" w:noHBand="0" w:noVBand="1"/>
      </w:tblPr>
      <w:tblGrid>
        <w:gridCol w:w="4320"/>
        <w:gridCol w:w="720"/>
        <w:gridCol w:w="1440"/>
        <w:gridCol w:w="1440"/>
        <w:gridCol w:w="1448"/>
      </w:tblGrid>
      <w:tr w:rsidR="00DB3F3C" w:rsidRPr="00A96D90" w14:paraId="28407D3C" w14:textId="77777777" w:rsidTr="00F833F8">
        <w:trPr>
          <w:trHeight w:val="288"/>
        </w:trPr>
        <w:tc>
          <w:tcPr>
            <w:tcW w:w="9368" w:type="dxa"/>
            <w:gridSpan w:val="5"/>
            <w:tcBorders>
              <w:top w:val="nil"/>
              <w:left w:val="nil"/>
              <w:bottom w:val="nil"/>
            </w:tcBorders>
            <w:shd w:val="clear" w:color="auto" w:fill="FFFFFF"/>
          </w:tcPr>
          <w:p w14:paraId="2DA1838D" w14:textId="77777777" w:rsidR="00E64F9D" w:rsidRPr="00A96D90" w:rsidRDefault="00E64F9D" w:rsidP="003426AC">
            <w:pPr>
              <w:pStyle w:val="NoSpacing"/>
              <w:jc w:val="right"/>
              <w:rPr>
                <w:rFonts w:asciiTheme="minorHAnsi" w:hAnsiTheme="minorHAnsi"/>
                <w:color w:val="00679B"/>
                <w:u w:val="single"/>
                <w:lang w:val="en-GB"/>
              </w:rPr>
            </w:pPr>
            <w:r w:rsidRPr="00A96D90">
              <w:rPr>
                <w:rFonts w:asciiTheme="minorHAnsi" w:hAnsiTheme="minorHAnsi"/>
                <w:color w:val="00679B"/>
                <w:u w:val="single"/>
                <w:lang w:val="en-GB"/>
              </w:rPr>
              <w:t>Attributable to owners of the parent</w:t>
            </w:r>
          </w:p>
        </w:tc>
      </w:tr>
      <w:tr w:rsidR="00DB3F3C" w:rsidRPr="00A96D90" w14:paraId="0A29EF72" w14:textId="77777777" w:rsidTr="00F833F8">
        <w:trPr>
          <w:trHeight w:val="288"/>
        </w:trPr>
        <w:tc>
          <w:tcPr>
            <w:tcW w:w="9368" w:type="dxa"/>
            <w:gridSpan w:val="5"/>
            <w:tcBorders>
              <w:top w:val="nil"/>
              <w:left w:val="nil"/>
              <w:bottom w:val="single" w:sz="4" w:space="0" w:color="BFBFBF" w:themeColor="background1" w:themeShade="BF"/>
            </w:tcBorders>
            <w:shd w:val="clear" w:color="auto" w:fill="FFFFFF"/>
          </w:tcPr>
          <w:p w14:paraId="03E1D80C" w14:textId="77777777" w:rsidR="00DB3F3C" w:rsidRPr="00A96D90" w:rsidRDefault="00DB3F3C" w:rsidP="003426AC">
            <w:pPr>
              <w:pStyle w:val="NoSpacing"/>
              <w:jc w:val="right"/>
              <w:rPr>
                <w:rFonts w:asciiTheme="minorHAnsi" w:hAnsiTheme="minorHAnsi"/>
                <w:color w:val="276E8B" w:themeColor="accent1" w:themeShade="BF"/>
                <w:u w:val="single"/>
                <w:lang w:val="en-GB"/>
              </w:rPr>
            </w:pPr>
          </w:p>
        </w:tc>
      </w:tr>
      <w:tr w:rsidR="00E64F9D" w:rsidRPr="00A96D90" w14:paraId="0A95A0DF" w14:textId="77777777" w:rsidTr="00F833F8">
        <w:trPr>
          <w:trHeight w:val="288"/>
        </w:trPr>
        <w:tc>
          <w:tcPr>
            <w:tcW w:w="4320"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D112570" w14:textId="77777777" w:rsidR="00E64F9D" w:rsidRPr="00A96D90" w:rsidRDefault="00E64F9D" w:rsidP="003426AC">
            <w:pPr>
              <w:pStyle w:val="NoSpacing"/>
              <w:rPr>
                <w:rFonts w:asciiTheme="minorHAnsi" w:hAnsiTheme="minorHAnsi"/>
                <w:b/>
                <w:color w:val="00679B"/>
                <w:szCs w:val="20"/>
                <w:lang w:val="en-GB"/>
              </w:rPr>
            </w:pPr>
            <w:r w:rsidRPr="00A96D90">
              <w:rPr>
                <w:rFonts w:asciiTheme="minorHAnsi" w:hAnsiTheme="minorHAnsi" w:cstheme="minorHAnsi"/>
                <w:b/>
                <w:color w:val="00679B"/>
                <w:sz w:val="20"/>
                <w:szCs w:val="20"/>
                <w:lang w:val="en-GB"/>
              </w:rPr>
              <w:t>Amounts in €’000</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25D60DD5" w14:textId="77777777" w:rsidR="00E64F9D" w:rsidRPr="00A96D90" w:rsidRDefault="00E64F9D" w:rsidP="003426AC">
            <w:pPr>
              <w:pStyle w:val="NoSpacing"/>
              <w:rPr>
                <w:rFonts w:asciiTheme="minorHAnsi" w:hAnsiTheme="minorHAnsi"/>
                <w:b/>
                <w:color w:val="00679B"/>
                <w:sz w:val="18"/>
                <w:lang w:val="en-GB"/>
              </w:rPr>
            </w:pPr>
            <w:r w:rsidRPr="00A96D90">
              <w:rPr>
                <w:rFonts w:asciiTheme="minorHAnsi" w:hAnsiTheme="minorHAnsi"/>
                <w:b/>
                <w:color w:val="00679B"/>
                <w:sz w:val="18"/>
                <w:lang w:val="en-GB"/>
              </w:rPr>
              <w:t>Notes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FDD7D8C" w14:textId="77777777" w:rsidR="00E64F9D" w:rsidRPr="00A96D90" w:rsidRDefault="00E64F9D" w:rsidP="003426AC">
            <w:pPr>
              <w:pStyle w:val="NoSpacing"/>
              <w:jc w:val="right"/>
              <w:rPr>
                <w:rFonts w:asciiTheme="minorHAnsi" w:hAnsiTheme="minorHAnsi"/>
                <w:b/>
                <w:color w:val="00679B"/>
                <w:sz w:val="20"/>
                <w:szCs w:val="20"/>
                <w:lang w:val="en-GB"/>
              </w:rPr>
            </w:pPr>
            <w:r w:rsidRPr="00A96D90">
              <w:rPr>
                <w:rFonts w:asciiTheme="minorHAnsi" w:hAnsiTheme="minorHAnsi" w:cs="Arial"/>
                <w:b/>
                <w:color w:val="00679B"/>
                <w:sz w:val="20"/>
                <w:szCs w:val="20"/>
                <w:lang w:val="en-GB"/>
              </w:rPr>
              <w:t>Legal reserves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F261D2F" w14:textId="77777777" w:rsidR="00E64F9D" w:rsidRPr="00A96D90" w:rsidRDefault="00E64F9D" w:rsidP="003426AC">
            <w:pPr>
              <w:pStyle w:val="NoSpacing"/>
              <w:jc w:val="right"/>
              <w:rPr>
                <w:rFonts w:asciiTheme="minorHAnsi" w:hAnsiTheme="minorHAnsi"/>
                <w:b/>
                <w:color w:val="00679B"/>
                <w:sz w:val="20"/>
                <w:szCs w:val="20"/>
                <w:lang w:val="en-GB"/>
              </w:rPr>
            </w:pPr>
            <w:r w:rsidRPr="00A96D90">
              <w:rPr>
                <w:rFonts w:asciiTheme="minorHAnsi" w:hAnsiTheme="minorHAnsi"/>
                <w:b/>
                <w:color w:val="00679B"/>
                <w:sz w:val="20"/>
                <w:szCs w:val="20"/>
                <w:lang w:val="en-GB"/>
              </w:rPr>
              <w:t>Accumulated Deficit</w:t>
            </w:r>
          </w:p>
        </w:tc>
        <w:tc>
          <w:tcPr>
            <w:tcW w:w="1448"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themeFill="background1"/>
          </w:tcPr>
          <w:p w14:paraId="443A45D4" w14:textId="77777777" w:rsidR="00E64F9D" w:rsidRPr="00A96D90" w:rsidRDefault="00E64F9D" w:rsidP="003426AC">
            <w:pPr>
              <w:pStyle w:val="NoSpacing"/>
              <w:jc w:val="right"/>
              <w:rPr>
                <w:rFonts w:asciiTheme="minorHAnsi" w:hAnsiTheme="minorHAnsi"/>
                <w:b/>
                <w:color w:val="00679B"/>
                <w:sz w:val="20"/>
                <w:szCs w:val="20"/>
                <w:lang w:val="en-GB"/>
              </w:rPr>
            </w:pPr>
            <w:r w:rsidRPr="00A96D90">
              <w:rPr>
                <w:rFonts w:asciiTheme="minorHAnsi" w:hAnsiTheme="minorHAnsi"/>
                <w:b/>
                <w:color w:val="00679B"/>
                <w:sz w:val="20"/>
                <w:szCs w:val="20"/>
                <w:lang w:val="en-GB"/>
              </w:rPr>
              <w:t>Total Equity</w:t>
            </w:r>
          </w:p>
        </w:tc>
      </w:tr>
      <w:tr w:rsidR="00183BE2" w:rsidRPr="00A96D90" w14:paraId="568D3045" w14:textId="77777777" w:rsidTr="00F833F8">
        <w:trPr>
          <w:trHeight w:val="288"/>
        </w:trPr>
        <w:tc>
          <w:tcPr>
            <w:tcW w:w="4320" w:type="dxa"/>
            <w:tcBorders>
              <w:bottom w:val="single" w:sz="4" w:space="0" w:color="BFBFBF" w:themeColor="background1" w:themeShade="BF"/>
              <w:right w:val="single" w:sz="4" w:space="0" w:color="BFBFBF" w:themeColor="background1" w:themeShade="BF"/>
            </w:tcBorders>
          </w:tcPr>
          <w:p w14:paraId="45BD16C0" w14:textId="1700D373" w:rsidR="00183BE2" w:rsidRPr="00A96D90" w:rsidRDefault="00183BE2" w:rsidP="00183BE2">
            <w:pPr>
              <w:pStyle w:val="NoSpacing"/>
              <w:rPr>
                <w:rFonts w:asciiTheme="minorHAnsi" w:hAnsiTheme="minorHAnsi"/>
                <w:b/>
                <w:color w:val="59595B"/>
                <w:sz w:val="20"/>
                <w:lang w:val="en-GB"/>
              </w:rPr>
            </w:pPr>
            <w:r w:rsidRPr="00A96D90">
              <w:rPr>
                <w:rFonts w:asciiTheme="minorHAnsi" w:hAnsiTheme="minorHAnsi"/>
                <w:b/>
                <w:color w:val="59595B"/>
                <w:sz w:val="20"/>
                <w:lang w:val="en-GB"/>
              </w:rPr>
              <w:t>Balance at 1 January 2016</w:t>
            </w: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21E9D98" w14:textId="77777777" w:rsidR="00183BE2" w:rsidRPr="00A96D90" w:rsidRDefault="00183BE2" w:rsidP="00183BE2">
            <w:pPr>
              <w:pStyle w:val="NoSpacing"/>
              <w:rPr>
                <w:rFonts w:asciiTheme="minorHAnsi" w:hAnsiTheme="minorHAnsi"/>
                <w:b/>
                <w:color w:val="59595B"/>
                <w:sz w:val="18"/>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B907B86" w14:textId="1883BB16"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cs="Arial"/>
                <w:b/>
                <w:color w:val="59595B"/>
                <w:sz w:val="20"/>
                <w:szCs w:val="20"/>
                <w:lang w:val="en-GB"/>
              </w:rPr>
              <w:t>66</w:t>
            </w: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0DFC370" w14:textId="580B4352"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(263,743)</w:t>
            </w:r>
          </w:p>
        </w:tc>
        <w:tc>
          <w:tcPr>
            <w:tcW w:w="1448" w:type="dxa"/>
            <w:tcBorders>
              <w:left w:val="single" w:sz="4" w:space="0" w:color="BFBFBF" w:themeColor="background1" w:themeShade="BF"/>
              <w:bottom w:val="single" w:sz="4" w:space="0" w:color="BFBFBF" w:themeColor="background1" w:themeShade="BF"/>
            </w:tcBorders>
          </w:tcPr>
          <w:p w14:paraId="43595E8D" w14:textId="1F650608"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23,839</w:t>
            </w:r>
          </w:p>
        </w:tc>
      </w:tr>
      <w:tr w:rsidR="00183BE2" w:rsidRPr="00A96D90" w14:paraId="3951EB96" w14:textId="77777777" w:rsidTr="00F833F8">
        <w:trPr>
          <w:trHeight w:val="288"/>
        </w:trPr>
        <w:tc>
          <w:tcPr>
            <w:tcW w:w="4320" w:type="dxa"/>
            <w:tcBorders>
              <w:bottom w:val="nil"/>
              <w:right w:val="single" w:sz="4" w:space="0" w:color="BFBFBF" w:themeColor="background1" w:themeShade="BF"/>
            </w:tcBorders>
          </w:tcPr>
          <w:p w14:paraId="0181BA3C" w14:textId="7B41B4C6" w:rsidR="00183BE2" w:rsidRPr="00A96D90" w:rsidRDefault="00183BE2" w:rsidP="00183BE2">
            <w:pPr>
              <w:pStyle w:val="NoSpacing"/>
              <w:rPr>
                <w:rFonts w:asciiTheme="minorHAnsi" w:hAnsiTheme="minorHAnsi"/>
                <w:b/>
                <w:i/>
                <w:color w:val="59595B"/>
                <w:sz w:val="20"/>
                <w:lang w:val="en-GB"/>
              </w:rPr>
            </w:pPr>
            <w:r w:rsidRPr="00A96D90">
              <w:rPr>
                <w:rFonts w:asciiTheme="minorHAnsi" w:hAnsiTheme="minorHAnsi"/>
                <w:i/>
                <w:color w:val="59595B"/>
                <w:sz w:val="20"/>
                <w:lang w:val="en-GB"/>
              </w:rPr>
              <w:t>Result for the period</w:t>
            </w:r>
          </w:p>
        </w:tc>
        <w:tc>
          <w:tcPr>
            <w:tcW w:w="720" w:type="dxa"/>
            <w:tcBorders>
              <w:left w:val="single" w:sz="4" w:space="0" w:color="BFBFBF" w:themeColor="background1" w:themeShade="BF"/>
              <w:bottom w:val="nil"/>
              <w:right w:val="single" w:sz="4" w:space="0" w:color="BFBFBF" w:themeColor="background1" w:themeShade="BF"/>
            </w:tcBorders>
          </w:tcPr>
          <w:p w14:paraId="68D24A3D" w14:textId="77777777" w:rsidR="00183BE2" w:rsidRPr="00A96D90" w:rsidRDefault="00183BE2" w:rsidP="00183BE2">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nil"/>
              <w:right w:val="single" w:sz="4" w:space="0" w:color="BFBFBF" w:themeColor="background1" w:themeShade="BF"/>
            </w:tcBorders>
          </w:tcPr>
          <w:p w14:paraId="6676FA13" w14:textId="34CF67FE"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0" w:type="dxa"/>
            <w:tcBorders>
              <w:left w:val="single" w:sz="4" w:space="0" w:color="BFBFBF" w:themeColor="background1" w:themeShade="BF"/>
              <w:bottom w:val="nil"/>
              <w:right w:val="single" w:sz="4" w:space="0" w:color="BFBFBF" w:themeColor="background1" w:themeShade="BF"/>
            </w:tcBorders>
          </w:tcPr>
          <w:p w14:paraId="7D649021" w14:textId="75D6A8C1"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(6,734)</w:t>
            </w:r>
          </w:p>
        </w:tc>
        <w:tc>
          <w:tcPr>
            <w:tcW w:w="1448" w:type="dxa"/>
            <w:tcBorders>
              <w:left w:val="single" w:sz="4" w:space="0" w:color="BFBFBF" w:themeColor="background1" w:themeShade="BF"/>
              <w:bottom w:val="nil"/>
            </w:tcBorders>
          </w:tcPr>
          <w:p w14:paraId="15FA2B0A" w14:textId="0998CCF4"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(6,734)</w:t>
            </w:r>
          </w:p>
        </w:tc>
      </w:tr>
      <w:tr w:rsidR="00183BE2" w:rsidRPr="00A96D90" w14:paraId="2FA2817F" w14:textId="77777777" w:rsidTr="00F833F8">
        <w:trPr>
          <w:trHeight w:val="288"/>
        </w:trPr>
        <w:tc>
          <w:tcPr>
            <w:tcW w:w="4320" w:type="dxa"/>
            <w:tcBorders>
              <w:top w:val="nil"/>
              <w:bottom w:val="nil"/>
              <w:right w:val="single" w:sz="4" w:space="0" w:color="BFBFBF" w:themeColor="background1" w:themeShade="BF"/>
            </w:tcBorders>
          </w:tcPr>
          <w:p w14:paraId="16C7A1E0" w14:textId="22C0FE73" w:rsidR="00183BE2" w:rsidRPr="00A96D90" w:rsidRDefault="00183BE2" w:rsidP="00183BE2">
            <w:pPr>
              <w:pStyle w:val="NoSpacing"/>
              <w:rPr>
                <w:rFonts w:asciiTheme="minorHAnsi" w:hAnsiTheme="minorHAnsi"/>
                <w:b/>
                <w:i/>
                <w:color w:val="59595B"/>
                <w:sz w:val="20"/>
                <w:lang w:val="en-GB"/>
              </w:rPr>
            </w:pPr>
            <w:r w:rsidRPr="00A96D90">
              <w:rPr>
                <w:rFonts w:asciiTheme="minorHAnsi" w:hAnsiTheme="minorHAnsi"/>
                <w:i/>
                <w:color w:val="59595B"/>
                <w:sz w:val="20"/>
                <w:lang w:val="en-GB"/>
              </w:rPr>
              <w:t>Other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0399D3B0"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3F5ABB17" w14:textId="59104025"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16C82505" w14:textId="5AC355F0"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1740E51F" w14:textId="1EC929E6"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r>
      <w:tr w:rsidR="00183BE2" w:rsidRPr="00A96D90" w14:paraId="2AE27AB7" w14:textId="77777777" w:rsidTr="00F833F8">
        <w:trPr>
          <w:trHeight w:val="288"/>
        </w:trPr>
        <w:tc>
          <w:tcPr>
            <w:tcW w:w="4320" w:type="dxa"/>
            <w:tcBorders>
              <w:top w:val="nil"/>
              <w:bottom w:val="nil"/>
              <w:right w:val="single" w:sz="4" w:space="0" w:color="BFBFBF" w:themeColor="background1" w:themeShade="BF"/>
            </w:tcBorders>
          </w:tcPr>
          <w:p w14:paraId="084EB790" w14:textId="60EE589E" w:rsidR="00183BE2" w:rsidRPr="00A96D90" w:rsidRDefault="00183BE2" w:rsidP="00183BE2">
            <w:pPr>
              <w:pStyle w:val="NoSpacing"/>
              <w:rPr>
                <w:rFonts w:asciiTheme="minorHAnsi" w:hAnsiTheme="minorHAnsi"/>
                <w:color w:val="59595B"/>
                <w:sz w:val="20"/>
                <w:lang w:val="en-GB"/>
              </w:rPr>
            </w:pPr>
            <w:r w:rsidRPr="00A96D90">
              <w:rPr>
                <w:rFonts w:asciiTheme="minorHAnsi" w:hAnsiTheme="minorHAnsi"/>
                <w:color w:val="59595B"/>
                <w:sz w:val="20"/>
                <w:lang w:val="en-GB"/>
              </w:rPr>
              <w:t xml:space="preserve">Total comprehensive income </w:t>
            </w:r>
          </w:p>
        </w:tc>
        <w:tc>
          <w:tcPr>
            <w:tcW w:w="720" w:type="dxa"/>
            <w:tcBorders>
              <w:top w:val="nil"/>
              <w:left w:val="single" w:sz="4" w:space="0" w:color="BFBFBF" w:themeColor="background1" w:themeShade="BF"/>
              <w:bottom w:val="nil"/>
              <w:right w:val="single" w:sz="4" w:space="0" w:color="BFBFBF" w:themeColor="background1" w:themeShade="BF"/>
            </w:tcBorders>
          </w:tcPr>
          <w:p w14:paraId="4EE4BB4B"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37F21DFD" w14:textId="43FF1B1A"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5E754268" w14:textId="4AC283B3"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(6,734)</w:t>
            </w:r>
          </w:p>
        </w:tc>
        <w:tc>
          <w:tcPr>
            <w:tcW w:w="1448" w:type="dxa"/>
            <w:tcBorders>
              <w:top w:val="nil"/>
              <w:left w:val="single" w:sz="4" w:space="0" w:color="BFBFBF" w:themeColor="background1" w:themeShade="BF"/>
              <w:bottom w:val="nil"/>
            </w:tcBorders>
          </w:tcPr>
          <w:p w14:paraId="53818545" w14:textId="69B728FA"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(6,734)</w:t>
            </w:r>
          </w:p>
        </w:tc>
      </w:tr>
      <w:tr w:rsidR="00183BE2" w:rsidRPr="00A96D90" w14:paraId="1B3E2914" w14:textId="77777777" w:rsidTr="00F833F8">
        <w:trPr>
          <w:trHeight w:val="288"/>
        </w:trPr>
        <w:tc>
          <w:tcPr>
            <w:tcW w:w="4320" w:type="dxa"/>
            <w:tcBorders>
              <w:top w:val="nil"/>
              <w:bottom w:val="nil"/>
              <w:right w:val="single" w:sz="4" w:space="0" w:color="BFBFBF" w:themeColor="background1" w:themeShade="BF"/>
            </w:tcBorders>
          </w:tcPr>
          <w:p w14:paraId="4D8A7F5E" w14:textId="77777777" w:rsidR="00183BE2" w:rsidRPr="00A96D90" w:rsidRDefault="00183BE2" w:rsidP="00183BE2">
            <w:pPr>
              <w:pStyle w:val="NoSpacing"/>
              <w:rPr>
                <w:rFonts w:asciiTheme="minorHAnsi" w:hAnsiTheme="minorHAnsi"/>
                <w:b/>
                <w:i/>
                <w:color w:val="59595B"/>
                <w:sz w:val="20"/>
                <w:lang w:val="en-GB"/>
              </w:rPr>
            </w:pPr>
            <w:r w:rsidRPr="00A96D90">
              <w:rPr>
                <w:rFonts w:asciiTheme="minorHAnsi" w:hAnsiTheme="minorHAnsi"/>
                <w:i/>
                <w:color w:val="59595B"/>
                <w:sz w:val="20"/>
                <w:lang w:val="en-GB"/>
              </w:rPr>
              <w:t>Share-based compensation</w:t>
            </w:r>
          </w:p>
        </w:tc>
        <w:tc>
          <w:tcPr>
            <w:tcW w:w="720" w:type="dxa"/>
            <w:tcBorders>
              <w:top w:val="nil"/>
              <w:left w:val="single" w:sz="4" w:space="0" w:color="BFBFBF" w:themeColor="background1" w:themeShade="BF"/>
              <w:bottom w:val="nil"/>
              <w:right w:val="single" w:sz="4" w:space="0" w:color="BFBFBF" w:themeColor="background1" w:themeShade="BF"/>
            </w:tcBorders>
          </w:tcPr>
          <w:p w14:paraId="55451E87"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57B0F1AA" w14:textId="0A4107EB"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3A33F1AE" w14:textId="5F9C423C"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914</w:t>
            </w:r>
          </w:p>
        </w:tc>
        <w:tc>
          <w:tcPr>
            <w:tcW w:w="1448" w:type="dxa"/>
            <w:tcBorders>
              <w:top w:val="nil"/>
              <w:left w:val="single" w:sz="4" w:space="0" w:color="BFBFBF" w:themeColor="background1" w:themeShade="BF"/>
              <w:bottom w:val="nil"/>
            </w:tcBorders>
          </w:tcPr>
          <w:p w14:paraId="75CB81C4" w14:textId="619DEFE1"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914</w:t>
            </w:r>
          </w:p>
        </w:tc>
      </w:tr>
      <w:tr w:rsidR="00183BE2" w:rsidRPr="00A96D90" w14:paraId="65800975" w14:textId="77777777" w:rsidTr="00F833F8">
        <w:trPr>
          <w:trHeight w:val="288"/>
        </w:trPr>
        <w:tc>
          <w:tcPr>
            <w:tcW w:w="4320" w:type="dxa"/>
            <w:tcBorders>
              <w:top w:val="nil"/>
              <w:bottom w:val="nil"/>
              <w:right w:val="single" w:sz="4" w:space="0" w:color="BFBFBF" w:themeColor="background1" w:themeShade="BF"/>
            </w:tcBorders>
          </w:tcPr>
          <w:p w14:paraId="3ABA94E5" w14:textId="77777777" w:rsidR="00183BE2" w:rsidRPr="00A96D90" w:rsidRDefault="00183BE2" w:rsidP="00183BE2">
            <w:pPr>
              <w:pStyle w:val="NoSpacing"/>
              <w:rPr>
                <w:rFonts w:asciiTheme="minorHAnsi" w:hAnsiTheme="minorHAnsi"/>
                <w:b/>
                <w:i/>
                <w:color w:val="59595B"/>
                <w:sz w:val="20"/>
                <w:lang w:val="en-GB"/>
              </w:rPr>
            </w:pPr>
            <w:r w:rsidRPr="00A96D90">
              <w:rPr>
                <w:rFonts w:asciiTheme="minorHAnsi" w:hAnsiTheme="minorHAnsi"/>
                <w:i/>
                <w:color w:val="59595B"/>
                <w:sz w:val="20"/>
                <w:lang w:val="en-GB"/>
              </w:rPr>
              <w:t>Bonuses settled in shares</w:t>
            </w:r>
          </w:p>
        </w:tc>
        <w:tc>
          <w:tcPr>
            <w:tcW w:w="720" w:type="dxa"/>
            <w:tcBorders>
              <w:top w:val="nil"/>
              <w:left w:val="single" w:sz="4" w:space="0" w:color="BFBFBF" w:themeColor="background1" w:themeShade="BF"/>
              <w:bottom w:val="nil"/>
              <w:right w:val="single" w:sz="4" w:space="0" w:color="BFBFBF" w:themeColor="background1" w:themeShade="BF"/>
            </w:tcBorders>
          </w:tcPr>
          <w:p w14:paraId="22EEEA9D" w14:textId="32CA933F"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42AB3F35" w14:textId="74DC09DD"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3EA4BA9B" w14:textId="3DF61880"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5097AACB" w14:textId="72961587"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126</w:t>
            </w:r>
          </w:p>
        </w:tc>
      </w:tr>
      <w:tr w:rsidR="00183BE2" w:rsidRPr="00A96D90" w14:paraId="2010C9FB" w14:textId="77777777" w:rsidTr="00F833F8">
        <w:trPr>
          <w:trHeight w:val="288"/>
        </w:trPr>
        <w:tc>
          <w:tcPr>
            <w:tcW w:w="4320" w:type="dxa"/>
            <w:tcBorders>
              <w:top w:val="nil"/>
              <w:bottom w:val="nil"/>
              <w:right w:val="single" w:sz="4" w:space="0" w:color="BFBFBF" w:themeColor="background1" w:themeShade="BF"/>
            </w:tcBorders>
          </w:tcPr>
          <w:p w14:paraId="7BF7B3ED" w14:textId="6D742A2C" w:rsidR="00183BE2" w:rsidRPr="00A96D90" w:rsidRDefault="00EB5B3B" w:rsidP="00183BE2">
            <w:pPr>
              <w:pStyle w:val="NoSpacing"/>
              <w:rPr>
                <w:rFonts w:asciiTheme="minorHAnsi" w:hAnsiTheme="minorHAnsi"/>
                <w:b/>
                <w:i/>
                <w:color w:val="59595B"/>
                <w:sz w:val="20"/>
                <w:lang w:val="en-GB"/>
              </w:rPr>
            </w:pPr>
            <w:r w:rsidRPr="00A96D90">
              <w:rPr>
                <w:rFonts w:asciiTheme="minorHAnsi" w:eastAsiaTheme="minorEastAsia" w:hAnsiTheme="minorHAnsi" w:cs="Arial"/>
                <w:bCs/>
                <w:i/>
                <w:color w:val="59595B"/>
                <w:sz w:val="20"/>
                <w:lang w:val="en-GB"/>
              </w:rPr>
              <w:t>Shares issued in connection with Bonds</w:t>
            </w:r>
          </w:p>
        </w:tc>
        <w:tc>
          <w:tcPr>
            <w:tcW w:w="720" w:type="dxa"/>
            <w:tcBorders>
              <w:top w:val="nil"/>
              <w:left w:val="single" w:sz="4" w:space="0" w:color="BFBFBF" w:themeColor="background1" w:themeShade="BF"/>
              <w:bottom w:val="nil"/>
              <w:right w:val="single" w:sz="4" w:space="0" w:color="BFBFBF" w:themeColor="background1" w:themeShade="BF"/>
            </w:tcBorders>
          </w:tcPr>
          <w:p w14:paraId="68BE96E9"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72B066BF" w14:textId="54145C49"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7462A21F" w14:textId="2E43C653"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06F27F78" w14:textId="4AED5953"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06BF1B53" w14:textId="77777777" w:rsidTr="00F833F8">
        <w:trPr>
          <w:trHeight w:val="288"/>
        </w:trPr>
        <w:tc>
          <w:tcPr>
            <w:tcW w:w="4320" w:type="dxa"/>
            <w:tcBorders>
              <w:top w:val="nil"/>
              <w:bottom w:val="nil"/>
              <w:right w:val="single" w:sz="4" w:space="0" w:color="BFBFBF" w:themeColor="background1" w:themeShade="BF"/>
            </w:tcBorders>
          </w:tcPr>
          <w:p w14:paraId="3F215C2E" w14:textId="77777777" w:rsidR="00183BE2" w:rsidRPr="00A96D90" w:rsidRDefault="00183BE2" w:rsidP="00183BE2">
            <w:pPr>
              <w:pStyle w:val="NoSpacing"/>
              <w:rPr>
                <w:rFonts w:asciiTheme="minorHAnsi" w:hAnsiTheme="minorHAnsi"/>
                <w:b/>
                <w:i/>
                <w:color w:val="59595B"/>
                <w:sz w:val="20"/>
                <w:lang w:val="en-GB"/>
              </w:rPr>
            </w:pPr>
            <w:r w:rsidRPr="00A96D90">
              <w:rPr>
                <w:rFonts w:asciiTheme="minorHAnsi" w:hAnsiTheme="minorHAnsi"/>
                <w:i/>
                <w:color w:val="59595B"/>
                <w:sz w:val="20"/>
                <w:lang w:val="en-GB"/>
              </w:rPr>
              <w:t>Warrants exercised/ issued</w:t>
            </w:r>
          </w:p>
        </w:tc>
        <w:tc>
          <w:tcPr>
            <w:tcW w:w="720" w:type="dxa"/>
            <w:tcBorders>
              <w:top w:val="nil"/>
              <w:left w:val="single" w:sz="4" w:space="0" w:color="BFBFBF" w:themeColor="background1" w:themeShade="BF"/>
              <w:bottom w:val="nil"/>
              <w:right w:val="single" w:sz="4" w:space="0" w:color="BFBFBF" w:themeColor="background1" w:themeShade="BF"/>
            </w:tcBorders>
          </w:tcPr>
          <w:p w14:paraId="7DDA1AD0"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3343900E" w14:textId="2A3148FB"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41FA318B" w14:textId="340644F1"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364B6DC6" w14:textId="720B96E6"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12</w:t>
            </w:r>
          </w:p>
        </w:tc>
      </w:tr>
      <w:tr w:rsidR="00183BE2" w:rsidRPr="00A96D90" w14:paraId="7B67E294" w14:textId="77777777" w:rsidTr="00F833F8">
        <w:trPr>
          <w:trHeight w:val="288"/>
        </w:trPr>
        <w:tc>
          <w:tcPr>
            <w:tcW w:w="4320" w:type="dxa"/>
            <w:tcBorders>
              <w:top w:val="nil"/>
              <w:bottom w:val="nil"/>
              <w:right w:val="single" w:sz="4" w:space="0" w:color="BFBFBF" w:themeColor="background1" w:themeShade="BF"/>
            </w:tcBorders>
          </w:tcPr>
          <w:p w14:paraId="6C88032F" w14:textId="77777777" w:rsidR="00183BE2" w:rsidRPr="00A96D90" w:rsidRDefault="00183BE2" w:rsidP="00183BE2">
            <w:pPr>
              <w:pStyle w:val="NoSpacing"/>
              <w:rPr>
                <w:rFonts w:asciiTheme="minorHAnsi" w:hAnsiTheme="minorHAnsi"/>
                <w:i/>
                <w:color w:val="59595B"/>
                <w:sz w:val="20"/>
                <w:lang w:val="en-GB"/>
              </w:rPr>
            </w:pPr>
            <w:r w:rsidRPr="00A96D90">
              <w:rPr>
                <w:rFonts w:asciiTheme="minorHAnsi" w:hAnsiTheme="minorHAnsi"/>
                <w:i/>
                <w:color w:val="59595B"/>
                <w:sz w:val="20"/>
                <w:lang w:val="en-GB"/>
              </w:rPr>
              <w:t>Options exercised</w:t>
            </w:r>
          </w:p>
        </w:tc>
        <w:tc>
          <w:tcPr>
            <w:tcW w:w="720" w:type="dxa"/>
            <w:tcBorders>
              <w:top w:val="nil"/>
              <w:left w:val="single" w:sz="4" w:space="0" w:color="BFBFBF" w:themeColor="background1" w:themeShade="BF"/>
              <w:bottom w:val="nil"/>
              <w:right w:val="single" w:sz="4" w:space="0" w:color="BFBFBF" w:themeColor="background1" w:themeShade="BF"/>
            </w:tcBorders>
          </w:tcPr>
          <w:p w14:paraId="38EF1F94"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489B5432" w14:textId="08BDF2AD"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s="Arial"/>
                <w:b/>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09F9DD6E" w14:textId="5CA56D31"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tcPr>
          <w:p w14:paraId="51B08194" w14:textId="24367A94"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183BE2" w:rsidRPr="00A96D90" w14:paraId="73C685D2" w14:textId="77777777" w:rsidTr="00F833F8">
        <w:trPr>
          <w:trHeight w:val="288"/>
        </w:trPr>
        <w:tc>
          <w:tcPr>
            <w:tcW w:w="4320" w:type="dxa"/>
            <w:tcBorders>
              <w:top w:val="nil"/>
              <w:bottom w:val="nil"/>
              <w:right w:val="single" w:sz="4" w:space="0" w:color="BFBFBF" w:themeColor="background1" w:themeShade="BF"/>
            </w:tcBorders>
          </w:tcPr>
          <w:p w14:paraId="5B6C4379" w14:textId="77777777" w:rsidR="00183BE2" w:rsidRPr="00A96D90" w:rsidRDefault="00183BE2" w:rsidP="00183BE2">
            <w:pPr>
              <w:pStyle w:val="NoSpacing"/>
              <w:rPr>
                <w:rFonts w:asciiTheme="minorHAnsi" w:hAnsiTheme="minorHAnsi"/>
                <w:color w:val="59595B"/>
                <w:sz w:val="20"/>
                <w:lang w:val="en-GB"/>
              </w:rPr>
            </w:pPr>
            <w:r w:rsidRPr="00A96D90">
              <w:rPr>
                <w:rFonts w:asciiTheme="minorHAnsi" w:hAnsiTheme="minorHAnsi"/>
                <w:color w:val="59595B"/>
                <w:sz w:val="20"/>
                <w:lang w:val="en-GB"/>
              </w:rPr>
              <w:t xml:space="preserve">Total transactions with owners, </w:t>
            </w:r>
          </w:p>
          <w:p w14:paraId="63654E99" w14:textId="77777777" w:rsidR="00183BE2" w:rsidRPr="00A96D90" w:rsidRDefault="00183BE2" w:rsidP="00183BE2">
            <w:pPr>
              <w:pStyle w:val="NoSpacing"/>
              <w:rPr>
                <w:rFonts w:asciiTheme="minorHAnsi" w:hAnsiTheme="minorHAnsi"/>
                <w:color w:val="59595B"/>
                <w:sz w:val="20"/>
                <w:lang w:val="en-GB"/>
              </w:rPr>
            </w:pPr>
            <w:r w:rsidRPr="00A96D90">
              <w:rPr>
                <w:rFonts w:asciiTheme="minorHAnsi" w:hAnsiTheme="minorHAnsi"/>
                <w:color w:val="59595B"/>
                <w:sz w:val="20"/>
                <w:lang w:val="en-GB"/>
              </w:rPr>
              <w:t>recognized directly in equity</w:t>
            </w:r>
          </w:p>
        </w:tc>
        <w:tc>
          <w:tcPr>
            <w:tcW w:w="720" w:type="dxa"/>
            <w:tcBorders>
              <w:top w:val="nil"/>
              <w:left w:val="single" w:sz="4" w:space="0" w:color="BFBFBF" w:themeColor="background1" w:themeShade="BF"/>
              <w:bottom w:val="nil"/>
              <w:right w:val="single" w:sz="4" w:space="0" w:color="BFBFBF" w:themeColor="background1" w:themeShade="BF"/>
            </w:tcBorders>
          </w:tcPr>
          <w:p w14:paraId="40853506"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tcPr>
          <w:p w14:paraId="53A604AC" w14:textId="77777777" w:rsidR="00183BE2" w:rsidRPr="00A96D90" w:rsidRDefault="00183BE2" w:rsidP="00183BE2">
            <w:pPr>
              <w:pStyle w:val="NoSpacing"/>
              <w:jc w:val="right"/>
              <w:rPr>
                <w:rFonts w:asciiTheme="minorHAnsi" w:hAnsiTheme="minorHAnsi"/>
                <w:color w:val="59595B"/>
                <w:sz w:val="20"/>
                <w:szCs w:val="20"/>
                <w:lang w:val="en-GB"/>
              </w:rPr>
            </w:pPr>
          </w:p>
          <w:p w14:paraId="0549AE3C" w14:textId="230E2CC1"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tcPr>
          <w:p w14:paraId="777BA165" w14:textId="77777777" w:rsidR="00183BE2" w:rsidRPr="00A96D90" w:rsidRDefault="00183BE2" w:rsidP="00183BE2">
            <w:pPr>
              <w:pStyle w:val="NoSpacing"/>
              <w:jc w:val="right"/>
              <w:rPr>
                <w:rFonts w:asciiTheme="minorHAnsi" w:hAnsiTheme="minorHAnsi"/>
                <w:color w:val="59595B"/>
                <w:sz w:val="20"/>
                <w:szCs w:val="20"/>
                <w:lang w:val="en-GB"/>
              </w:rPr>
            </w:pPr>
          </w:p>
          <w:p w14:paraId="0740C91B" w14:textId="5CEB9B66"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914</w:t>
            </w:r>
          </w:p>
        </w:tc>
        <w:tc>
          <w:tcPr>
            <w:tcW w:w="1448" w:type="dxa"/>
            <w:tcBorders>
              <w:top w:val="nil"/>
              <w:left w:val="single" w:sz="4" w:space="0" w:color="BFBFBF" w:themeColor="background1" w:themeShade="BF"/>
              <w:bottom w:val="nil"/>
            </w:tcBorders>
          </w:tcPr>
          <w:p w14:paraId="2C3E371B" w14:textId="77777777" w:rsidR="00183BE2" w:rsidRPr="00A96D90" w:rsidRDefault="00183BE2" w:rsidP="00183BE2">
            <w:pPr>
              <w:pStyle w:val="NoSpacing"/>
              <w:jc w:val="right"/>
              <w:rPr>
                <w:rFonts w:asciiTheme="minorHAnsi" w:hAnsiTheme="minorHAnsi"/>
                <w:color w:val="59595B"/>
                <w:sz w:val="20"/>
                <w:szCs w:val="20"/>
                <w:lang w:val="en-GB"/>
              </w:rPr>
            </w:pPr>
          </w:p>
          <w:p w14:paraId="6C64D82F" w14:textId="69D4E0CC" w:rsidR="00183BE2" w:rsidRPr="00A96D90" w:rsidRDefault="00183BE2" w:rsidP="00183BE2">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1,052</w:t>
            </w:r>
          </w:p>
        </w:tc>
      </w:tr>
      <w:tr w:rsidR="00183BE2" w:rsidRPr="00A96D90" w14:paraId="348B29B5" w14:textId="77777777" w:rsidTr="00F833F8">
        <w:trPr>
          <w:trHeight w:val="288"/>
        </w:trPr>
        <w:tc>
          <w:tcPr>
            <w:tcW w:w="4320" w:type="dxa"/>
            <w:tcBorders>
              <w:top w:val="nil"/>
              <w:bottom w:val="single" w:sz="4" w:space="0" w:color="BFBFBF" w:themeColor="background1" w:themeShade="BF"/>
              <w:right w:val="single" w:sz="4" w:space="0" w:color="BFBFBF" w:themeColor="background1" w:themeShade="BF"/>
            </w:tcBorders>
          </w:tcPr>
          <w:p w14:paraId="2208C825" w14:textId="77777777" w:rsidR="00183BE2" w:rsidRPr="00A96D90" w:rsidRDefault="00183BE2" w:rsidP="00183BE2">
            <w:pPr>
              <w:pStyle w:val="NoSpacing"/>
              <w:rPr>
                <w:rFonts w:asciiTheme="minorHAnsi" w:hAnsiTheme="minorHAnsi"/>
                <w:color w:val="59595B"/>
                <w:sz w:val="20"/>
                <w:lang w:val="en-GB"/>
              </w:rPr>
            </w:pPr>
          </w:p>
        </w:tc>
        <w:tc>
          <w:tcPr>
            <w:tcW w:w="7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45F2FAD9" w14:textId="77777777" w:rsidR="00183BE2" w:rsidRPr="00A96D90" w:rsidRDefault="00183BE2" w:rsidP="00183BE2">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158E34A5" w14:textId="77777777" w:rsidR="00183BE2" w:rsidRPr="00A96D90" w:rsidRDefault="00183BE2" w:rsidP="00183BE2">
            <w:pPr>
              <w:pStyle w:val="NoSpacing"/>
              <w:jc w:val="right"/>
              <w:rPr>
                <w:rFonts w:asciiTheme="minorHAnsi" w:hAnsiTheme="minorHAnsi" w:cs="Arial"/>
                <w:color w:val="59595B"/>
                <w:sz w:val="20"/>
                <w:szCs w:val="20"/>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0B86614E" w14:textId="77777777" w:rsidR="00183BE2" w:rsidRPr="00A96D90" w:rsidRDefault="00183BE2" w:rsidP="00183BE2">
            <w:pPr>
              <w:pStyle w:val="NoSpacing"/>
              <w:jc w:val="right"/>
              <w:rPr>
                <w:rFonts w:asciiTheme="minorHAnsi" w:hAnsiTheme="minorHAnsi"/>
                <w:color w:val="59595B"/>
                <w:sz w:val="20"/>
                <w:szCs w:val="20"/>
                <w:lang w:val="en-GB"/>
              </w:rPr>
            </w:pPr>
          </w:p>
        </w:tc>
        <w:tc>
          <w:tcPr>
            <w:tcW w:w="1448" w:type="dxa"/>
            <w:tcBorders>
              <w:top w:val="nil"/>
              <w:left w:val="single" w:sz="4" w:space="0" w:color="BFBFBF" w:themeColor="background1" w:themeShade="BF"/>
              <w:bottom w:val="single" w:sz="4" w:space="0" w:color="BFBFBF" w:themeColor="background1" w:themeShade="BF"/>
            </w:tcBorders>
          </w:tcPr>
          <w:p w14:paraId="3D4FAC20" w14:textId="77777777" w:rsidR="00183BE2" w:rsidRPr="00A96D90" w:rsidRDefault="00183BE2" w:rsidP="00183BE2">
            <w:pPr>
              <w:pStyle w:val="NoSpacing"/>
              <w:jc w:val="right"/>
              <w:rPr>
                <w:rFonts w:asciiTheme="minorHAnsi" w:hAnsiTheme="minorHAnsi"/>
                <w:color w:val="59595B"/>
                <w:sz w:val="20"/>
                <w:szCs w:val="20"/>
                <w:lang w:val="en-GB"/>
              </w:rPr>
            </w:pPr>
          </w:p>
        </w:tc>
      </w:tr>
      <w:tr w:rsidR="00183BE2" w:rsidRPr="00A96D90" w14:paraId="4EE461CA" w14:textId="77777777" w:rsidTr="00F833F8">
        <w:trPr>
          <w:trHeight w:val="288"/>
        </w:trPr>
        <w:tc>
          <w:tcPr>
            <w:tcW w:w="4320" w:type="dxa"/>
            <w:tcBorders>
              <w:top w:val="single" w:sz="4" w:space="0" w:color="BFBFBF" w:themeColor="background1" w:themeShade="BF"/>
              <w:right w:val="single" w:sz="4" w:space="0" w:color="BFBFBF" w:themeColor="background1" w:themeShade="BF"/>
            </w:tcBorders>
          </w:tcPr>
          <w:p w14:paraId="59CBD5AD" w14:textId="223F5A25" w:rsidR="00183BE2" w:rsidRPr="00A96D90" w:rsidRDefault="00183BE2" w:rsidP="00183BE2">
            <w:pPr>
              <w:pStyle w:val="NoSpacing"/>
              <w:rPr>
                <w:rFonts w:asciiTheme="minorHAnsi" w:hAnsiTheme="minorHAnsi"/>
                <w:b/>
                <w:color w:val="59595B"/>
                <w:sz w:val="20"/>
                <w:lang w:val="en-GB"/>
              </w:rPr>
            </w:pPr>
            <w:r w:rsidRPr="00A96D90">
              <w:rPr>
                <w:rFonts w:asciiTheme="minorHAnsi" w:eastAsiaTheme="minorEastAsia" w:hAnsiTheme="minorHAnsi" w:cs="Arial"/>
                <w:b/>
                <w:bCs/>
                <w:color w:val="59595B"/>
                <w:sz w:val="20"/>
                <w:lang w:val="en-GB"/>
              </w:rPr>
              <w:t>Balance at 30 June 2016</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D12E47" w14:textId="77777777" w:rsidR="00183BE2" w:rsidRPr="00A96D90" w:rsidRDefault="00183BE2" w:rsidP="00183BE2">
            <w:pPr>
              <w:pStyle w:val="NoSpacing"/>
              <w:rPr>
                <w:rFonts w:asciiTheme="minorHAnsi" w:hAnsiTheme="minorHAnsi"/>
                <w:b/>
                <w:color w:val="59595B"/>
                <w:sz w:val="18"/>
                <w:lang w:val="en-GB"/>
              </w:rPr>
            </w:pP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E9513B" w14:textId="4E3A50FE"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cs="Arial"/>
                <w:b/>
                <w:color w:val="59595B"/>
                <w:sz w:val="20"/>
                <w:szCs w:val="20"/>
                <w:lang w:val="en-GB"/>
              </w:rPr>
              <w:t>66</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DE0C96" w14:textId="32842EF6"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(269,563)</w:t>
            </w:r>
          </w:p>
        </w:tc>
        <w:tc>
          <w:tcPr>
            <w:tcW w:w="144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95D39F" w14:textId="6C8B58C3" w:rsidR="00183BE2" w:rsidRPr="00A96D90" w:rsidRDefault="00183BE2" w:rsidP="00183BE2">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18,157</w:t>
            </w:r>
          </w:p>
        </w:tc>
      </w:tr>
      <w:tr w:rsidR="00E64F9D" w:rsidRPr="00A96D90" w14:paraId="2F256657" w14:textId="77777777" w:rsidTr="00F833F8">
        <w:trPr>
          <w:trHeight w:val="288"/>
        </w:trPr>
        <w:tc>
          <w:tcPr>
            <w:tcW w:w="4320" w:type="dxa"/>
            <w:tcBorders>
              <w:right w:val="single" w:sz="4" w:space="0" w:color="BFBFBF" w:themeColor="background1" w:themeShade="BF"/>
            </w:tcBorders>
          </w:tcPr>
          <w:p w14:paraId="2A8852DC" w14:textId="77777777" w:rsidR="00E64F9D" w:rsidRPr="00A96D90" w:rsidRDefault="00E64F9D" w:rsidP="003426AC">
            <w:pPr>
              <w:pStyle w:val="NoSpacing"/>
              <w:rPr>
                <w:rFonts w:asciiTheme="minorHAnsi" w:hAnsiTheme="minorHAnsi"/>
                <w:i/>
                <w:color w:val="59595B"/>
                <w:sz w:val="20"/>
                <w:lang w:val="en-GB"/>
              </w:rPr>
            </w:pP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ADF788B" w14:textId="77777777" w:rsidR="00E64F9D" w:rsidRPr="00A96D90" w:rsidRDefault="00E64F9D" w:rsidP="003426AC">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A20564B" w14:textId="77777777" w:rsidR="00E64F9D" w:rsidRPr="00A96D90" w:rsidRDefault="00E64F9D" w:rsidP="003426AC">
            <w:pPr>
              <w:pStyle w:val="NoSpacing"/>
              <w:jc w:val="right"/>
              <w:rPr>
                <w:rFonts w:asciiTheme="minorHAnsi" w:hAnsiTheme="minorHAnsi"/>
                <w:color w:val="59595B"/>
                <w:sz w:val="20"/>
                <w:szCs w:val="20"/>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59B675E" w14:textId="77777777" w:rsidR="00E64F9D" w:rsidRPr="00A96D90" w:rsidRDefault="00E64F9D" w:rsidP="003426AC">
            <w:pPr>
              <w:pStyle w:val="NoSpacing"/>
              <w:jc w:val="right"/>
              <w:rPr>
                <w:rFonts w:asciiTheme="minorHAnsi" w:hAnsiTheme="minorHAnsi"/>
                <w:color w:val="59595B"/>
                <w:sz w:val="20"/>
                <w:szCs w:val="20"/>
                <w:lang w:val="en-GB"/>
              </w:rPr>
            </w:pPr>
          </w:p>
        </w:tc>
        <w:tc>
          <w:tcPr>
            <w:tcW w:w="1448" w:type="dxa"/>
            <w:tcBorders>
              <w:left w:val="single" w:sz="4" w:space="0" w:color="BFBFBF" w:themeColor="background1" w:themeShade="BF"/>
              <w:bottom w:val="single" w:sz="4" w:space="0" w:color="BFBFBF" w:themeColor="background1" w:themeShade="BF"/>
            </w:tcBorders>
          </w:tcPr>
          <w:p w14:paraId="75D95F2E" w14:textId="77777777" w:rsidR="00E64F9D" w:rsidRPr="00A96D90" w:rsidRDefault="00E64F9D" w:rsidP="003426AC">
            <w:pPr>
              <w:pStyle w:val="NoSpacing"/>
              <w:jc w:val="right"/>
              <w:rPr>
                <w:rFonts w:asciiTheme="minorHAnsi" w:hAnsiTheme="minorHAnsi"/>
                <w:color w:val="59595B"/>
                <w:sz w:val="20"/>
                <w:szCs w:val="20"/>
                <w:lang w:val="en-GB"/>
              </w:rPr>
            </w:pPr>
          </w:p>
        </w:tc>
      </w:tr>
      <w:tr w:rsidR="00E64F9D" w:rsidRPr="00A96D90" w14:paraId="179310AB" w14:textId="77777777" w:rsidTr="00F833F8">
        <w:trPr>
          <w:trHeight w:val="288"/>
        </w:trPr>
        <w:tc>
          <w:tcPr>
            <w:tcW w:w="4320" w:type="dxa"/>
            <w:tcBorders>
              <w:bottom w:val="single" w:sz="4" w:space="0" w:color="BFBFBF" w:themeColor="background1" w:themeShade="BF"/>
              <w:right w:val="single" w:sz="4" w:space="0" w:color="BFBFBF" w:themeColor="background1" w:themeShade="BF"/>
            </w:tcBorders>
          </w:tcPr>
          <w:p w14:paraId="48D3F08C" w14:textId="7D24A000" w:rsidR="00E64F9D" w:rsidRPr="00A96D90" w:rsidRDefault="00E64F9D" w:rsidP="003426AC">
            <w:pPr>
              <w:pStyle w:val="NoSpacing"/>
              <w:rPr>
                <w:rFonts w:asciiTheme="minorHAnsi" w:hAnsiTheme="minorHAnsi"/>
                <w:i/>
                <w:color w:val="59595B"/>
                <w:sz w:val="20"/>
                <w:lang w:val="en-GB"/>
              </w:rPr>
            </w:pPr>
            <w:r w:rsidRPr="00A96D90">
              <w:rPr>
                <w:rFonts w:asciiTheme="minorHAnsi" w:eastAsiaTheme="minorEastAsia" w:hAnsiTheme="minorHAnsi" w:cs="Arial"/>
                <w:b/>
                <w:bCs/>
                <w:color w:val="59595B"/>
                <w:sz w:val="20"/>
                <w:lang w:val="en-GB"/>
              </w:rPr>
              <w:t>Balance at 1 January 201</w:t>
            </w:r>
            <w:r w:rsidR="00EB5B3B" w:rsidRPr="00A96D90">
              <w:rPr>
                <w:rFonts w:asciiTheme="minorHAnsi" w:eastAsiaTheme="minorEastAsia" w:hAnsiTheme="minorHAnsi" w:cs="Arial"/>
                <w:b/>
                <w:bCs/>
                <w:color w:val="59595B"/>
                <w:sz w:val="20"/>
                <w:lang w:val="en-GB"/>
              </w:rPr>
              <w:t>7</w:t>
            </w:r>
          </w:p>
        </w:tc>
        <w:tc>
          <w:tcPr>
            <w:tcW w:w="72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5BFF5A4" w14:textId="77777777" w:rsidR="00E64F9D" w:rsidRPr="00A96D90" w:rsidRDefault="00E64F9D" w:rsidP="003426AC">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3F52B2" w14:textId="05D7B447" w:rsidR="00E64F9D" w:rsidRPr="00A96D90" w:rsidRDefault="005A4351" w:rsidP="003426AC">
            <w:pPr>
              <w:pStyle w:val="NoSpacing"/>
              <w:jc w:val="right"/>
              <w:rPr>
                <w:rFonts w:asciiTheme="minorHAnsi" w:hAnsiTheme="minorHAnsi"/>
                <w:color w:val="59595B"/>
                <w:sz w:val="20"/>
                <w:szCs w:val="20"/>
                <w:lang w:val="en-GB"/>
              </w:rPr>
            </w:pPr>
            <w:r w:rsidRPr="00A96D90">
              <w:rPr>
                <w:rFonts w:asciiTheme="minorHAnsi" w:hAnsiTheme="minorHAnsi" w:cs="Arial"/>
                <w:b/>
                <w:color w:val="59595B"/>
                <w:sz w:val="20"/>
                <w:szCs w:val="20"/>
                <w:lang w:val="en-GB"/>
              </w:rPr>
              <w:t>60</w:t>
            </w:r>
          </w:p>
        </w:tc>
        <w:tc>
          <w:tcPr>
            <w:tcW w:w="1440"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544066" w14:textId="7D4CC0FC" w:rsidR="00E64F9D" w:rsidRPr="00A96D90" w:rsidRDefault="005A4351" w:rsidP="003426AC">
            <w:pPr>
              <w:pStyle w:val="NoSpacing"/>
              <w:jc w:val="right"/>
              <w:rPr>
                <w:rFonts w:asciiTheme="minorHAnsi" w:hAnsiTheme="minorHAnsi"/>
                <w:color w:val="59595B"/>
                <w:sz w:val="20"/>
                <w:szCs w:val="20"/>
                <w:lang w:val="en-GB"/>
              </w:rPr>
            </w:pPr>
            <w:r w:rsidRPr="00A96D90">
              <w:rPr>
                <w:rFonts w:asciiTheme="minorHAnsi" w:hAnsiTheme="minorHAnsi"/>
                <w:b/>
                <w:color w:val="59595B"/>
                <w:sz w:val="20"/>
                <w:szCs w:val="20"/>
                <w:lang w:val="en-GB"/>
              </w:rPr>
              <w:t>(279,025)</w:t>
            </w:r>
          </w:p>
        </w:tc>
        <w:tc>
          <w:tcPr>
            <w:tcW w:w="1448"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23373258" w14:textId="00EDE8F9" w:rsidR="00E64F9D" w:rsidRPr="00A96D90" w:rsidRDefault="001713BB" w:rsidP="003426AC">
            <w:pPr>
              <w:pStyle w:val="NoSpacing"/>
              <w:jc w:val="right"/>
              <w:rPr>
                <w:rFonts w:asciiTheme="minorHAnsi" w:hAnsiTheme="minorHAnsi"/>
                <w:color w:val="59595B"/>
                <w:sz w:val="20"/>
                <w:szCs w:val="20"/>
                <w:lang w:val="en-GB"/>
              </w:rPr>
            </w:pPr>
            <w:r w:rsidRPr="00A96D90">
              <w:rPr>
                <w:rFonts w:asciiTheme="minorHAnsi" w:hAnsiTheme="minorHAnsi"/>
                <w:b/>
                <w:color w:val="59595B"/>
                <w:sz w:val="20"/>
                <w:szCs w:val="20"/>
                <w:lang w:val="en-GB"/>
              </w:rPr>
              <w:t>27,467</w:t>
            </w:r>
          </w:p>
        </w:tc>
      </w:tr>
      <w:tr w:rsidR="00E64F9D" w:rsidRPr="00A96D90" w14:paraId="74D23F04" w14:textId="77777777" w:rsidTr="00F833F8">
        <w:trPr>
          <w:trHeight w:val="288"/>
        </w:trPr>
        <w:tc>
          <w:tcPr>
            <w:tcW w:w="4320" w:type="dxa"/>
            <w:tcBorders>
              <w:bottom w:val="nil"/>
              <w:right w:val="single" w:sz="4" w:space="0" w:color="BFBFBF" w:themeColor="background1" w:themeShade="BF"/>
            </w:tcBorders>
          </w:tcPr>
          <w:p w14:paraId="7FF33A85" w14:textId="207F964E" w:rsidR="00E64F9D" w:rsidRPr="00A96D90" w:rsidRDefault="00E64F9D"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 xml:space="preserve">Result for the </w:t>
            </w:r>
            <w:r w:rsidR="009A58DF" w:rsidRPr="00A96D90">
              <w:rPr>
                <w:rFonts w:asciiTheme="minorHAnsi" w:hAnsiTheme="minorHAnsi"/>
                <w:i/>
                <w:color w:val="59595B"/>
                <w:sz w:val="20"/>
                <w:lang w:val="en-GB"/>
              </w:rPr>
              <w:t>period</w:t>
            </w:r>
          </w:p>
        </w:tc>
        <w:tc>
          <w:tcPr>
            <w:tcW w:w="720" w:type="dxa"/>
            <w:tcBorders>
              <w:left w:val="single" w:sz="4" w:space="0" w:color="BFBFBF" w:themeColor="background1" w:themeShade="BF"/>
              <w:bottom w:val="nil"/>
              <w:right w:val="single" w:sz="4" w:space="0" w:color="BFBFBF" w:themeColor="background1" w:themeShade="BF"/>
            </w:tcBorders>
          </w:tcPr>
          <w:p w14:paraId="31190EAE" w14:textId="77777777" w:rsidR="00E64F9D" w:rsidRPr="00A96D90" w:rsidRDefault="00E64F9D" w:rsidP="003426AC">
            <w:pPr>
              <w:pStyle w:val="NoSpacing"/>
              <w:rPr>
                <w:rFonts w:asciiTheme="minorHAnsi" w:hAnsiTheme="minorHAnsi"/>
                <w:color w:val="59595B"/>
                <w:sz w:val="18"/>
                <w:lang w:val="en-GB"/>
              </w:rPr>
            </w:pPr>
          </w:p>
        </w:tc>
        <w:tc>
          <w:tcPr>
            <w:tcW w:w="1440" w:type="dxa"/>
            <w:tcBorders>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955078C"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0" w:type="dxa"/>
            <w:tcBorders>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E0F53A3" w14:textId="5C8FB351"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r w:rsidR="006F134C" w:rsidRPr="00A96D90">
              <w:rPr>
                <w:rFonts w:asciiTheme="minorHAnsi" w:hAnsiTheme="minorHAnsi"/>
                <w:color w:val="59595B"/>
                <w:sz w:val="20"/>
                <w:szCs w:val="20"/>
                <w:lang w:val="en-GB"/>
              </w:rPr>
              <w:t>30,</w:t>
            </w:r>
            <w:r w:rsidR="004B30BE" w:rsidRPr="00A96D90">
              <w:rPr>
                <w:rFonts w:asciiTheme="minorHAnsi" w:hAnsiTheme="minorHAnsi"/>
                <w:color w:val="59595B"/>
                <w:sz w:val="20"/>
                <w:szCs w:val="20"/>
                <w:lang w:val="en-GB"/>
              </w:rPr>
              <w:t>218</w:t>
            </w:r>
            <w:r w:rsidRPr="00A96D90">
              <w:rPr>
                <w:rFonts w:asciiTheme="minorHAnsi" w:hAnsiTheme="minorHAnsi"/>
                <w:color w:val="59595B"/>
                <w:sz w:val="20"/>
                <w:szCs w:val="20"/>
                <w:lang w:val="en-GB"/>
              </w:rPr>
              <w:t>)</w:t>
            </w:r>
          </w:p>
        </w:tc>
        <w:tc>
          <w:tcPr>
            <w:tcW w:w="1448" w:type="dxa"/>
            <w:tcBorders>
              <w:left w:val="single" w:sz="4" w:space="0" w:color="BFBFBF" w:themeColor="background1" w:themeShade="BF"/>
              <w:bottom w:val="nil"/>
            </w:tcBorders>
            <w:shd w:val="clear" w:color="auto" w:fill="F2F2F2" w:themeFill="background1" w:themeFillShade="F2"/>
          </w:tcPr>
          <w:p w14:paraId="6D085C85" w14:textId="2AB03E9B"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r w:rsidR="004B30BE" w:rsidRPr="00A96D90">
              <w:rPr>
                <w:rFonts w:asciiTheme="minorHAnsi" w:hAnsiTheme="minorHAnsi"/>
                <w:color w:val="59595B"/>
                <w:sz w:val="20"/>
                <w:szCs w:val="20"/>
                <w:lang w:val="en-GB"/>
              </w:rPr>
              <w:t>30,218</w:t>
            </w:r>
            <w:r w:rsidRPr="00A96D90">
              <w:rPr>
                <w:rFonts w:asciiTheme="minorHAnsi" w:hAnsiTheme="minorHAnsi"/>
                <w:color w:val="59595B"/>
                <w:sz w:val="20"/>
                <w:szCs w:val="20"/>
                <w:lang w:val="en-GB"/>
              </w:rPr>
              <w:t>)</w:t>
            </w:r>
          </w:p>
        </w:tc>
      </w:tr>
      <w:tr w:rsidR="00E64F9D" w:rsidRPr="00A96D90" w14:paraId="14E44DEC" w14:textId="77777777" w:rsidTr="00F833F8">
        <w:trPr>
          <w:trHeight w:val="288"/>
        </w:trPr>
        <w:tc>
          <w:tcPr>
            <w:tcW w:w="4320" w:type="dxa"/>
            <w:tcBorders>
              <w:top w:val="nil"/>
              <w:bottom w:val="nil"/>
              <w:right w:val="single" w:sz="4" w:space="0" w:color="BFBFBF" w:themeColor="background1" w:themeShade="BF"/>
            </w:tcBorders>
          </w:tcPr>
          <w:p w14:paraId="40C88173" w14:textId="336805EE" w:rsidR="00E64F9D" w:rsidRPr="00A96D90" w:rsidRDefault="00E64F9D"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Other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671B0280"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123BCDA8" w14:textId="487BE80A" w:rsidR="00E64F9D" w:rsidRPr="00A96D90" w:rsidRDefault="006327E6"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r w:rsidR="00EB5B3B" w:rsidRPr="00A96D90">
              <w:rPr>
                <w:rFonts w:asciiTheme="minorHAnsi" w:hAnsiTheme="minorHAnsi" w:cs="Arial"/>
                <w:color w:val="59595B"/>
                <w:sz w:val="20"/>
                <w:szCs w:val="20"/>
                <w:lang w:val="en-GB"/>
              </w:rPr>
              <w:t>672</w:t>
            </w: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1B4D61C0"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02ABD3AD" w14:textId="7DD3C2CA" w:rsidR="00E64F9D" w:rsidRPr="00A96D90" w:rsidRDefault="001713BB"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r w:rsidR="00EB5B3B" w:rsidRPr="00A96D90">
              <w:rPr>
                <w:rFonts w:asciiTheme="minorHAnsi" w:hAnsiTheme="minorHAnsi"/>
                <w:color w:val="59595B"/>
                <w:sz w:val="20"/>
                <w:szCs w:val="20"/>
                <w:lang w:val="en-GB"/>
              </w:rPr>
              <w:t>672</w:t>
            </w:r>
            <w:r w:rsidRPr="00A96D90">
              <w:rPr>
                <w:rFonts w:asciiTheme="minorHAnsi" w:hAnsiTheme="minorHAnsi"/>
                <w:color w:val="59595B"/>
                <w:sz w:val="20"/>
                <w:szCs w:val="20"/>
                <w:lang w:val="en-GB"/>
              </w:rPr>
              <w:t>)</w:t>
            </w:r>
          </w:p>
        </w:tc>
      </w:tr>
      <w:tr w:rsidR="00E64F9D" w:rsidRPr="00A96D90" w14:paraId="2434C33A" w14:textId="77777777" w:rsidTr="00F833F8">
        <w:trPr>
          <w:trHeight w:val="288"/>
        </w:trPr>
        <w:tc>
          <w:tcPr>
            <w:tcW w:w="4320" w:type="dxa"/>
            <w:tcBorders>
              <w:top w:val="nil"/>
              <w:bottom w:val="nil"/>
              <w:right w:val="single" w:sz="4" w:space="0" w:color="BFBFBF" w:themeColor="background1" w:themeShade="BF"/>
            </w:tcBorders>
          </w:tcPr>
          <w:p w14:paraId="158E0173" w14:textId="38B85A05" w:rsidR="00E64F9D" w:rsidRPr="00A96D90" w:rsidRDefault="00E64F9D" w:rsidP="003426AC">
            <w:pPr>
              <w:pStyle w:val="NoSpacing"/>
              <w:rPr>
                <w:rFonts w:asciiTheme="minorHAnsi" w:hAnsiTheme="minorHAnsi"/>
                <w:color w:val="59595B"/>
                <w:sz w:val="20"/>
                <w:lang w:val="en-GB"/>
              </w:rPr>
            </w:pPr>
            <w:r w:rsidRPr="00A96D90">
              <w:rPr>
                <w:rFonts w:asciiTheme="minorHAnsi" w:hAnsiTheme="minorHAnsi"/>
                <w:color w:val="59595B"/>
                <w:sz w:val="20"/>
                <w:lang w:val="en-GB"/>
              </w:rPr>
              <w:t>Total comprehensive income</w:t>
            </w:r>
          </w:p>
        </w:tc>
        <w:tc>
          <w:tcPr>
            <w:tcW w:w="720" w:type="dxa"/>
            <w:tcBorders>
              <w:top w:val="nil"/>
              <w:left w:val="single" w:sz="4" w:space="0" w:color="BFBFBF" w:themeColor="background1" w:themeShade="BF"/>
              <w:bottom w:val="nil"/>
              <w:right w:val="single" w:sz="4" w:space="0" w:color="BFBFBF" w:themeColor="background1" w:themeShade="BF"/>
            </w:tcBorders>
          </w:tcPr>
          <w:p w14:paraId="03DA516D"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6972825C" w14:textId="2DEBE704" w:rsidR="00E64F9D" w:rsidRPr="00A96D90" w:rsidRDefault="006327E6"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r w:rsidR="00EB5B3B" w:rsidRPr="00A96D90">
              <w:rPr>
                <w:rFonts w:asciiTheme="minorHAnsi" w:hAnsiTheme="minorHAnsi" w:cs="Arial"/>
                <w:color w:val="59595B"/>
                <w:sz w:val="20"/>
                <w:szCs w:val="20"/>
                <w:lang w:val="en-GB"/>
              </w:rPr>
              <w:t>672</w:t>
            </w: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68FFF35D" w14:textId="3F5F67AF"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r w:rsidR="006F134C" w:rsidRPr="00A96D90">
              <w:rPr>
                <w:rFonts w:asciiTheme="minorHAnsi" w:hAnsiTheme="minorHAnsi"/>
                <w:color w:val="59595B"/>
                <w:sz w:val="20"/>
                <w:szCs w:val="20"/>
                <w:lang w:val="en-GB"/>
              </w:rPr>
              <w:t>30,</w:t>
            </w:r>
            <w:r w:rsidR="004B30BE" w:rsidRPr="00A96D90">
              <w:rPr>
                <w:rFonts w:asciiTheme="minorHAnsi" w:hAnsiTheme="minorHAnsi"/>
                <w:color w:val="59595B"/>
                <w:sz w:val="20"/>
                <w:szCs w:val="20"/>
                <w:lang w:val="en-GB"/>
              </w:rPr>
              <w:t>218</w:t>
            </w: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3E281EDC" w14:textId="14B5598C"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r w:rsidR="004B30BE" w:rsidRPr="00A96D90">
              <w:rPr>
                <w:rFonts w:asciiTheme="minorHAnsi" w:hAnsiTheme="minorHAnsi"/>
                <w:color w:val="59595B"/>
                <w:sz w:val="20"/>
                <w:szCs w:val="20"/>
                <w:lang w:val="en-GB"/>
              </w:rPr>
              <w:t>30,890</w:t>
            </w:r>
            <w:r w:rsidRPr="00A96D90">
              <w:rPr>
                <w:rFonts w:asciiTheme="minorHAnsi" w:hAnsiTheme="minorHAnsi"/>
                <w:color w:val="59595B"/>
                <w:sz w:val="20"/>
                <w:szCs w:val="20"/>
                <w:lang w:val="en-GB"/>
              </w:rPr>
              <w:t>)</w:t>
            </w:r>
          </w:p>
        </w:tc>
      </w:tr>
      <w:tr w:rsidR="00E64F9D" w:rsidRPr="00A96D90" w14:paraId="77B50E21" w14:textId="77777777" w:rsidTr="00F833F8">
        <w:trPr>
          <w:trHeight w:val="288"/>
        </w:trPr>
        <w:tc>
          <w:tcPr>
            <w:tcW w:w="4320" w:type="dxa"/>
            <w:tcBorders>
              <w:top w:val="nil"/>
              <w:bottom w:val="nil"/>
              <w:right w:val="single" w:sz="4" w:space="0" w:color="BFBFBF" w:themeColor="background1" w:themeShade="BF"/>
            </w:tcBorders>
          </w:tcPr>
          <w:p w14:paraId="173251BA" w14:textId="77777777" w:rsidR="00E64F9D" w:rsidRPr="00A96D90" w:rsidRDefault="00E64F9D"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Share-based compensation</w:t>
            </w:r>
          </w:p>
        </w:tc>
        <w:tc>
          <w:tcPr>
            <w:tcW w:w="720" w:type="dxa"/>
            <w:tcBorders>
              <w:top w:val="nil"/>
              <w:left w:val="single" w:sz="4" w:space="0" w:color="BFBFBF" w:themeColor="background1" w:themeShade="BF"/>
              <w:bottom w:val="nil"/>
              <w:right w:val="single" w:sz="4" w:space="0" w:color="BFBFBF" w:themeColor="background1" w:themeShade="BF"/>
            </w:tcBorders>
          </w:tcPr>
          <w:p w14:paraId="00761541"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4D1A196E"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D4E815A" w14:textId="5DA8E656"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87</w:t>
            </w:r>
            <w:r w:rsidR="004B30BE" w:rsidRPr="00A96D90">
              <w:rPr>
                <w:rFonts w:asciiTheme="minorHAnsi" w:hAnsiTheme="minorHAnsi"/>
                <w:color w:val="59595B"/>
                <w:sz w:val="20"/>
                <w:szCs w:val="20"/>
                <w:lang w:val="en-GB"/>
              </w:rPr>
              <w:t>3</w:t>
            </w:r>
          </w:p>
        </w:tc>
        <w:tc>
          <w:tcPr>
            <w:tcW w:w="1448" w:type="dxa"/>
            <w:tcBorders>
              <w:top w:val="nil"/>
              <w:left w:val="single" w:sz="4" w:space="0" w:color="BFBFBF" w:themeColor="background1" w:themeShade="BF"/>
              <w:bottom w:val="nil"/>
            </w:tcBorders>
            <w:shd w:val="clear" w:color="auto" w:fill="F2F2F2" w:themeFill="background1" w:themeFillShade="F2"/>
          </w:tcPr>
          <w:p w14:paraId="47C550AE" w14:textId="1CE95BBF"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87</w:t>
            </w:r>
            <w:r w:rsidR="001713BB" w:rsidRPr="00A96D90">
              <w:rPr>
                <w:rFonts w:asciiTheme="minorHAnsi" w:hAnsiTheme="minorHAnsi"/>
                <w:color w:val="59595B"/>
                <w:sz w:val="20"/>
                <w:szCs w:val="20"/>
                <w:lang w:val="en-GB"/>
              </w:rPr>
              <w:t>3</w:t>
            </w:r>
          </w:p>
        </w:tc>
      </w:tr>
      <w:tr w:rsidR="00E64F9D" w:rsidRPr="00A96D90" w14:paraId="6CE470AB" w14:textId="77777777" w:rsidTr="00F833F8">
        <w:trPr>
          <w:trHeight w:val="288"/>
        </w:trPr>
        <w:tc>
          <w:tcPr>
            <w:tcW w:w="4320" w:type="dxa"/>
            <w:tcBorders>
              <w:top w:val="nil"/>
              <w:bottom w:val="nil"/>
              <w:right w:val="single" w:sz="4" w:space="0" w:color="BFBFBF" w:themeColor="background1" w:themeShade="BF"/>
            </w:tcBorders>
          </w:tcPr>
          <w:p w14:paraId="77EC0FE8" w14:textId="77777777" w:rsidR="00E64F9D" w:rsidRPr="00A96D90" w:rsidRDefault="00E64F9D"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Bonuses settled in shares</w:t>
            </w:r>
          </w:p>
        </w:tc>
        <w:tc>
          <w:tcPr>
            <w:tcW w:w="720" w:type="dxa"/>
            <w:tcBorders>
              <w:top w:val="nil"/>
              <w:left w:val="single" w:sz="4" w:space="0" w:color="BFBFBF" w:themeColor="background1" w:themeShade="BF"/>
              <w:bottom w:val="nil"/>
              <w:right w:val="single" w:sz="4" w:space="0" w:color="BFBFBF" w:themeColor="background1" w:themeShade="BF"/>
            </w:tcBorders>
          </w:tcPr>
          <w:p w14:paraId="362B244E" w14:textId="175DE75D"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01C82E7"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50D6A518"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55886701" w14:textId="6D042D19"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255</w:t>
            </w:r>
          </w:p>
        </w:tc>
      </w:tr>
      <w:tr w:rsidR="00E64F9D" w:rsidRPr="00A96D90" w14:paraId="26CB62F8" w14:textId="77777777" w:rsidTr="00F833F8">
        <w:trPr>
          <w:trHeight w:val="288"/>
        </w:trPr>
        <w:tc>
          <w:tcPr>
            <w:tcW w:w="4320" w:type="dxa"/>
            <w:tcBorders>
              <w:top w:val="nil"/>
              <w:bottom w:val="nil"/>
              <w:right w:val="single" w:sz="4" w:space="0" w:color="BFBFBF" w:themeColor="background1" w:themeShade="BF"/>
            </w:tcBorders>
          </w:tcPr>
          <w:p w14:paraId="12C35220" w14:textId="77777777" w:rsidR="00E64F9D" w:rsidRPr="00A96D90" w:rsidRDefault="00E64F9D"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Shares issued for cash</w:t>
            </w:r>
          </w:p>
        </w:tc>
        <w:tc>
          <w:tcPr>
            <w:tcW w:w="720" w:type="dxa"/>
            <w:tcBorders>
              <w:top w:val="nil"/>
              <w:left w:val="single" w:sz="4" w:space="0" w:color="BFBFBF" w:themeColor="background1" w:themeShade="BF"/>
              <w:bottom w:val="nil"/>
              <w:right w:val="single" w:sz="4" w:space="0" w:color="BFBFBF" w:themeColor="background1" w:themeShade="BF"/>
            </w:tcBorders>
          </w:tcPr>
          <w:p w14:paraId="6A324ECB"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705B24A"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09593FB"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255AC885" w14:textId="199DE74B"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7,570</w:t>
            </w:r>
          </w:p>
        </w:tc>
      </w:tr>
      <w:tr w:rsidR="00E64F9D" w:rsidRPr="00A96D90" w14:paraId="4755611E" w14:textId="77777777" w:rsidTr="00F833F8">
        <w:trPr>
          <w:trHeight w:val="288"/>
        </w:trPr>
        <w:tc>
          <w:tcPr>
            <w:tcW w:w="4320" w:type="dxa"/>
            <w:tcBorders>
              <w:top w:val="nil"/>
              <w:bottom w:val="nil"/>
              <w:right w:val="single" w:sz="4" w:space="0" w:color="BFBFBF" w:themeColor="background1" w:themeShade="BF"/>
            </w:tcBorders>
          </w:tcPr>
          <w:p w14:paraId="63A096F6" w14:textId="7653B28C" w:rsidR="00E64F9D" w:rsidRPr="00A96D90" w:rsidRDefault="00EB5B3B" w:rsidP="003426AC">
            <w:pPr>
              <w:pStyle w:val="NoSpacing"/>
              <w:rPr>
                <w:rFonts w:asciiTheme="minorHAnsi" w:hAnsiTheme="minorHAnsi"/>
                <w:b/>
                <w:i/>
                <w:color w:val="59595B"/>
                <w:sz w:val="20"/>
                <w:lang w:val="en-GB"/>
              </w:rPr>
            </w:pPr>
            <w:r w:rsidRPr="00A96D90">
              <w:rPr>
                <w:rFonts w:asciiTheme="minorHAnsi" w:hAnsiTheme="minorHAnsi"/>
                <w:i/>
                <w:color w:val="59595B"/>
                <w:sz w:val="20"/>
                <w:lang w:val="en-GB"/>
              </w:rPr>
              <w:t>Warrants exercised</w:t>
            </w:r>
          </w:p>
        </w:tc>
        <w:tc>
          <w:tcPr>
            <w:tcW w:w="720" w:type="dxa"/>
            <w:tcBorders>
              <w:top w:val="nil"/>
              <w:left w:val="single" w:sz="4" w:space="0" w:color="BFBFBF" w:themeColor="background1" w:themeShade="BF"/>
              <w:bottom w:val="nil"/>
              <w:right w:val="single" w:sz="4" w:space="0" w:color="BFBFBF" w:themeColor="background1" w:themeShade="BF"/>
            </w:tcBorders>
          </w:tcPr>
          <w:p w14:paraId="22CC5787"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144688B3"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s="Arial"/>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0F6E668"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4AF22A81" w14:textId="5B270837"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198</w:t>
            </w:r>
          </w:p>
        </w:tc>
      </w:tr>
      <w:tr w:rsidR="00EB5B3B" w:rsidRPr="00A96D90" w14:paraId="70DF0B54" w14:textId="77777777" w:rsidTr="00F833F8">
        <w:trPr>
          <w:trHeight w:val="288"/>
        </w:trPr>
        <w:tc>
          <w:tcPr>
            <w:tcW w:w="4320" w:type="dxa"/>
            <w:tcBorders>
              <w:top w:val="nil"/>
              <w:bottom w:val="nil"/>
              <w:right w:val="single" w:sz="4" w:space="0" w:color="BFBFBF" w:themeColor="background1" w:themeShade="BF"/>
            </w:tcBorders>
          </w:tcPr>
          <w:p w14:paraId="38BA4DD8" w14:textId="6F25F586" w:rsidR="00EB5B3B" w:rsidRPr="00A96D90" w:rsidRDefault="00EB5B3B" w:rsidP="003426AC">
            <w:pPr>
              <w:pStyle w:val="NoSpacing"/>
              <w:rPr>
                <w:rFonts w:asciiTheme="minorHAnsi" w:hAnsiTheme="minorHAnsi"/>
                <w:i/>
                <w:color w:val="59595B"/>
                <w:sz w:val="20"/>
                <w:lang w:val="en-GB"/>
              </w:rPr>
            </w:pPr>
            <w:r w:rsidRPr="00A96D90">
              <w:rPr>
                <w:rFonts w:asciiTheme="minorHAnsi" w:hAnsiTheme="minorHAnsi"/>
                <w:i/>
                <w:color w:val="59595B"/>
                <w:sz w:val="20"/>
                <w:lang w:val="en-GB"/>
              </w:rPr>
              <w:t>Warrants issued</w:t>
            </w:r>
          </w:p>
        </w:tc>
        <w:tc>
          <w:tcPr>
            <w:tcW w:w="720" w:type="dxa"/>
            <w:tcBorders>
              <w:top w:val="nil"/>
              <w:left w:val="single" w:sz="4" w:space="0" w:color="BFBFBF" w:themeColor="background1" w:themeShade="BF"/>
              <w:bottom w:val="nil"/>
              <w:right w:val="single" w:sz="4" w:space="0" w:color="BFBFBF" w:themeColor="background1" w:themeShade="BF"/>
            </w:tcBorders>
          </w:tcPr>
          <w:p w14:paraId="5E4921DF" w14:textId="77777777" w:rsidR="00EB5B3B" w:rsidRPr="00A96D90" w:rsidRDefault="00EB5B3B"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6A55003" w14:textId="77777777" w:rsidR="00EB5B3B" w:rsidRPr="00A96D90" w:rsidRDefault="00EB5B3B" w:rsidP="003426AC">
            <w:pPr>
              <w:pStyle w:val="NoSpacing"/>
              <w:jc w:val="right"/>
              <w:rPr>
                <w:rFonts w:asciiTheme="minorHAnsi" w:hAnsiTheme="minorHAnsi" w:cs="Arial"/>
                <w:color w:val="59595B"/>
                <w:sz w:val="20"/>
                <w:szCs w:val="20"/>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EFB616C" w14:textId="77777777" w:rsidR="00EB5B3B" w:rsidRPr="00A96D90" w:rsidRDefault="00EB5B3B" w:rsidP="003426AC">
            <w:pPr>
              <w:pStyle w:val="NoSpacing"/>
              <w:jc w:val="right"/>
              <w:rPr>
                <w:rFonts w:asciiTheme="minorHAnsi" w:hAnsiTheme="minorHAnsi"/>
                <w:color w:val="59595B"/>
                <w:sz w:val="20"/>
                <w:szCs w:val="20"/>
                <w:lang w:val="en-GB"/>
              </w:rPr>
            </w:pPr>
          </w:p>
        </w:tc>
        <w:tc>
          <w:tcPr>
            <w:tcW w:w="1448" w:type="dxa"/>
            <w:tcBorders>
              <w:top w:val="nil"/>
              <w:left w:val="single" w:sz="4" w:space="0" w:color="BFBFBF" w:themeColor="background1" w:themeShade="BF"/>
              <w:bottom w:val="nil"/>
            </w:tcBorders>
            <w:shd w:val="clear" w:color="auto" w:fill="F2F2F2" w:themeFill="background1" w:themeFillShade="F2"/>
          </w:tcPr>
          <w:p w14:paraId="0CD56060" w14:textId="6360A002" w:rsidR="00EB5B3B" w:rsidRPr="00A96D90" w:rsidRDefault="00EB5B3B" w:rsidP="003426AC">
            <w:pPr>
              <w:pStyle w:val="NoSpacing"/>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1,</w:t>
            </w:r>
            <w:r w:rsidR="004B30BE" w:rsidRPr="00A96D90">
              <w:rPr>
                <w:rFonts w:asciiTheme="minorHAnsi" w:eastAsiaTheme="minorEastAsia" w:hAnsiTheme="minorHAnsi" w:cs="Arial"/>
                <w:bCs/>
                <w:color w:val="59595B"/>
                <w:sz w:val="20"/>
                <w:szCs w:val="20"/>
                <w:lang w:val="en-GB"/>
              </w:rPr>
              <w:t>291</w:t>
            </w:r>
          </w:p>
        </w:tc>
      </w:tr>
      <w:tr w:rsidR="00E64F9D" w:rsidRPr="00A96D90" w14:paraId="0B6529B3" w14:textId="77777777" w:rsidTr="00F833F8">
        <w:trPr>
          <w:trHeight w:val="288"/>
        </w:trPr>
        <w:tc>
          <w:tcPr>
            <w:tcW w:w="4320" w:type="dxa"/>
            <w:tcBorders>
              <w:top w:val="nil"/>
              <w:bottom w:val="nil"/>
              <w:right w:val="single" w:sz="4" w:space="0" w:color="BFBFBF" w:themeColor="background1" w:themeShade="BF"/>
            </w:tcBorders>
          </w:tcPr>
          <w:p w14:paraId="317B95F7" w14:textId="77777777" w:rsidR="00E64F9D" w:rsidRPr="00A96D90" w:rsidRDefault="00E64F9D" w:rsidP="003426AC">
            <w:pPr>
              <w:pStyle w:val="NoSpacing"/>
              <w:rPr>
                <w:rFonts w:asciiTheme="minorHAnsi" w:hAnsiTheme="minorHAnsi"/>
                <w:i/>
                <w:color w:val="59595B"/>
                <w:sz w:val="20"/>
                <w:lang w:val="en-GB"/>
              </w:rPr>
            </w:pPr>
            <w:r w:rsidRPr="00A96D90">
              <w:rPr>
                <w:rFonts w:asciiTheme="minorHAnsi" w:hAnsiTheme="minorHAnsi"/>
                <w:i/>
                <w:color w:val="59595B"/>
                <w:sz w:val="20"/>
                <w:lang w:val="en-GB"/>
              </w:rPr>
              <w:t>Options exercised</w:t>
            </w:r>
          </w:p>
        </w:tc>
        <w:tc>
          <w:tcPr>
            <w:tcW w:w="720" w:type="dxa"/>
            <w:tcBorders>
              <w:top w:val="nil"/>
              <w:left w:val="single" w:sz="4" w:space="0" w:color="BFBFBF" w:themeColor="background1" w:themeShade="BF"/>
              <w:bottom w:val="nil"/>
              <w:right w:val="single" w:sz="4" w:space="0" w:color="BFBFBF" w:themeColor="background1" w:themeShade="BF"/>
            </w:tcBorders>
          </w:tcPr>
          <w:p w14:paraId="6D34E4F1"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13FE4F1"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s="Arial"/>
                <w:b/>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2B3EC0E7"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8" w:type="dxa"/>
            <w:tcBorders>
              <w:top w:val="nil"/>
              <w:left w:val="single" w:sz="4" w:space="0" w:color="BFBFBF" w:themeColor="background1" w:themeShade="BF"/>
              <w:bottom w:val="nil"/>
            </w:tcBorders>
            <w:shd w:val="clear" w:color="auto" w:fill="F2F2F2" w:themeFill="background1" w:themeFillShade="F2"/>
          </w:tcPr>
          <w:p w14:paraId="217B1F1C" w14:textId="72A64D1E" w:rsidR="00E64F9D" w:rsidRPr="00A96D90" w:rsidRDefault="004B30BE" w:rsidP="003426AC">
            <w:pPr>
              <w:pStyle w:val="NoSpacing"/>
              <w:jc w:val="right"/>
              <w:rPr>
                <w:rFonts w:asciiTheme="minorHAnsi" w:hAnsiTheme="minorHAnsi"/>
                <w:color w:val="59595B"/>
                <w:sz w:val="20"/>
                <w:szCs w:val="20"/>
                <w:lang w:val="en-GB"/>
              </w:rPr>
            </w:pPr>
            <w:r w:rsidRPr="00A96D90">
              <w:rPr>
                <w:rFonts w:asciiTheme="minorHAnsi" w:eastAsiaTheme="minorEastAsia" w:hAnsiTheme="minorHAnsi" w:cs="Arial"/>
                <w:bCs/>
                <w:color w:val="59595B"/>
                <w:sz w:val="20"/>
                <w:szCs w:val="20"/>
                <w:lang w:val="en-GB"/>
              </w:rPr>
              <w:t>-</w:t>
            </w:r>
          </w:p>
        </w:tc>
      </w:tr>
      <w:tr w:rsidR="00E64F9D" w:rsidRPr="00A96D90" w14:paraId="56BE6F27" w14:textId="77777777" w:rsidTr="00F833F8">
        <w:trPr>
          <w:trHeight w:val="288"/>
        </w:trPr>
        <w:tc>
          <w:tcPr>
            <w:tcW w:w="4320" w:type="dxa"/>
            <w:tcBorders>
              <w:top w:val="nil"/>
              <w:bottom w:val="nil"/>
              <w:right w:val="single" w:sz="4" w:space="0" w:color="BFBFBF" w:themeColor="background1" w:themeShade="BF"/>
            </w:tcBorders>
          </w:tcPr>
          <w:p w14:paraId="42FD782B" w14:textId="77777777" w:rsidR="00E64F9D" w:rsidRPr="00A96D90" w:rsidRDefault="00E64F9D" w:rsidP="003426AC">
            <w:pPr>
              <w:pStyle w:val="NoSpacing"/>
              <w:rPr>
                <w:rFonts w:asciiTheme="minorHAnsi" w:hAnsiTheme="minorHAnsi"/>
                <w:color w:val="59595B"/>
                <w:sz w:val="20"/>
                <w:lang w:val="en-GB"/>
              </w:rPr>
            </w:pPr>
            <w:r w:rsidRPr="00A96D90">
              <w:rPr>
                <w:rFonts w:asciiTheme="minorHAnsi" w:hAnsiTheme="minorHAnsi"/>
                <w:color w:val="59595B"/>
                <w:sz w:val="20"/>
                <w:lang w:val="en-GB"/>
              </w:rPr>
              <w:t xml:space="preserve">Total transactions with owners, </w:t>
            </w:r>
          </w:p>
          <w:p w14:paraId="10F7CFAF" w14:textId="77777777" w:rsidR="00E64F9D" w:rsidRPr="00A96D90" w:rsidRDefault="00E64F9D" w:rsidP="003426AC">
            <w:pPr>
              <w:pStyle w:val="NoSpacing"/>
              <w:rPr>
                <w:rFonts w:asciiTheme="minorHAnsi" w:hAnsiTheme="minorHAnsi"/>
                <w:color w:val="59595B"/>
                <w:sz w:val="20"/>
                <w:lang w:val="en-GB"/>
              </w:rPr>
            </w:pPr>
            <w:r w:rsidRPr="00A96D90">
              <w:rPr>
                <w:rFonts w:asciiTheme="minorHAnsi" w:hAnsiTheme="minorHAnsi"/>
                <w:color w:val="59595B"/>
                <w:sz w:val="20"/>
                <w:lang w:val="en-GB"/>
              </w:rPr>
              <w:t>recognized directly in equity</w:t>
            </w:r>
          </w:p>
        </w:tc>
        <w:tc>
          <w:tcPr>
            <w:tcW w:w="720" w:type="dxa"/>
            <w:tcBorders>
              <w:top w:val="nil"/>
              <w:left w:val="single" w:sz="4" w:space="0" w:color="BFBFBF" w:themeColor="background1" w:themeShade="BF"/>
              <w:bottom w:val="nil"/>
              <w:right w:val="single" w:sz="4" w:space="0" w:color="BFBFBF" w:themeColor="background1" w:themeShade="BF"/>
            </w:tcBorders>
          </w:tcPr>
          <w:p w14:paraId="0DE719AF" w14:textId="77777777" w:rsidR="00E64F9D" w:rsidRPr="00A96D90" w:rsidRDefault="00E64F9D" w:rsidP="003426AC">
            <w:pPr>
              <w:pStyle w:val="NoSpacing"/>
              <w:rPr>
                <w:rFonts w:asciiTheme="minorHAnsi" w:hAnsiTheme="minorHAnsi" w:cs="Arial"/>
                <w:color w:val="59595B"/>
                <w:sz w:val="18"/>
                <w:lang w:val="en-GB"/>
              </w:rPr>
            </w:pPr>
          </w:p>
          <w:p w14:paraId="75D10F62" w14:textId="77777777" w:rsidR="00E64F9D" w:rsidRPr="00A96D90" w:rsidRDefault="00E64F9D" w:rsidP="003426AC">
            <w:pPr>
              <w:pStyle w:val="NoSpacing"/>
              <w:rPr>
                <w:rFonts w:asciiTheme="minorHAnsi" w:hAnsiTheme="minorHAnsi"/>
                <w:color w:val="59595B"/>
                <w:sz w:val="18"/>
                <w:lang w:val="en-GB"/>
              </w:rPr>
            </w:pP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7048275F" w14:textId="77777777" w:rsidR="00E64F9D" w:rsidRPr="00A96D90" w:rsidRDefault="00E64F9D" w:rsidP="003426AC">
            <w:pPr>
              <w:pStyle w:val="NoSpacing"/>
              <w:jc w:val="right"/>
              <w:rPr>
                <w:rFonts w:asciiTheme="minorHAnsi" w:hAnsiTheme="minorHAnsi"/>
                <w:color w:val="59595B"/>
                <w:sz w:val="20"/>
                <w:szCs w:val="20"/>
                <w:lang w:val="en-GB"/>
              </w:rPr>
            </w:pPr>
          </w:p>
          <w:p w14:paraId="1B1B629F" w14:textId="77777777" w:rsidR="00E64F9D" w:rsidRPr="00A96D90" w:rsidRDefault="00E64F9D"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w:t>
            </w:r>
          </w:p>
        </w:tc>
        <w:tc>
          <w:tcPr>
            <w:tcW w:w="1440" w:type="dxa"/>
            <w:tcBorders>
              <w:top w:val="nil"/>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04A33206" w14:textId="77777777" w:rsidR="00E64F9D" w:rsidRPr="00A96D90" w:rsidRDefault="00E64F9D" w:rsidP="003426AC">
            <w:pPr>
              <w:pStyle w:val="NoSpacing"/>
              <w:jc w:val="right"/>
              <w:rPr>
                <w:rFonts w:asciiTheme="minorHAnsi" w:hAnsiTheme="minorHAnsi"/>
                <w:color w:val="59595B"/>
                <w:sz w:val="20"/>
                <w:szCs w:val="20"/>
                <w:lang w:val="en-GB"/>
              </w:rPr>
            </w:pPr>
          </w:p>
          <w:p w14:paraId="03C2D5DE" w14:textId="6DA50F7A" w:rsidR="00E64F9D" w:rsidRPr="00A96D90" w:rsidRDefault="00EB5B3B"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87</w:t>
            </w:r>
            <w:r w:rsidR="001713BB" w:rsidRPr="00A96D90">
              <w:rPr>
                <w:rFonts w:asciiTheme="minorHAnsi" w:hAnsiTheme="minorHAnsi"/>
                <w:color w:val="59595B"/>
                <w:sz w:val="20"/>
                <w:szCs w:val="20"/>
                <w:lang w:val="en-GB"/>
              </w:rPr>
              <w:t>3</w:t>
            </w:r>
          </w:p>
        </w:tc>
        <w:tc>
          <w:tcPr>
            <w:tcW w:w="1448" w:type="dxa"/>
            <w:tcBorders>
              <w:top w:val="nil"/>
              <w:left w:val="single" w:sz="4" w:space="0" w:color="BFBFBF" w:themeColor="background1" w:themeShade="BF"/>
              <w:bottom w:val="nil"/>
            </w:tcBorders>
            <w:shd w:val="clear" w:color="auto" w:fill="F2F2F2" w:themeFill="background1" w:themeFillShade="F2"/>
          </w:tcPr>
          <w:p w14:paraId="64935646" w14:textId="77777777" w:rsidR="00E64F9D" w:rsidRPr="00A96D90" w:rsidRDefault="00E64F9D" w:rsidP="003426AC">
            <w:pPr>
              <w:pStyle w:val="NoSpacing"/>
              <w:jc w:val="right"/>
              <w:rPr>
                <w:rFonts w:asciiTheme="minorHAnsi" w:hAnsiTheme="minorHAnsi"/>
                <w:color w:val="59595B"/>
                <w:sz w:val="20"/>
                <w:szCs w:val="20"/>
                <w:lang w:val="en-GB"/>
              </w:rPr>
            </w:pPr>
          </w:p>
          <w:p w14:paraId="0361B737" w14:textId="1EBA3F06" w:rsidR="00E64F9D" w:rsidRPr="00A96D90" w:rsidRDefault="004B30BE" w:rsidP="003426AC">
            <w:pPr>
              <w:pStyle w:val="NoSpacing"/>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10,187</w:t>
            </w:r>
          </w:p>
        </w:tc>
      </w:tr>
      <w:tr w:rsidR="00E64F9D" w:rsidRPr="00A96D90" w14:paraId="403EB53B" w14:textId="77777777" w:rsidTr="00F833F8">
        <w:trPr>
          <w:trHeight w:val="288"/>
        </w:trPr>
        <w:tc>
          <w:tcPr>
            <w:tcW w:w="4320" w:type="dxa"/>
            <w:tcBorders>
              <w:top w:val="nil"/>
              <w:bottom w:val="single" w:sz="4" w:space="0" w:color="BFBFBF" w:themeColor="background1" w:themeShade="BF"/>
              <w:right w:val="single" w:sz="4" w:space="0" w:color="BFBFBF" w:themeColor="background1" w:themeShade="BF"/>
            </w:tcBorders>
          </w:tcPr>
          <w:p w14:paraId="62BB1185" w14:textId="77777777" w:rsidR="00E64F9D" w:rsidRPr="00A96D90" w:rsidRDefault="00E64F9D" w:rsidP="003426AC">
            <w:pPr>
              <w:pStyle w:val="NoSpacing"/>
              <w:rPr>
                <w:rFonts w:asciiTheme="minorHAnsi" w:hAnsiTheme="minorHAnsi"/>
                <w:color w:val="59595B"/>
                <w:sz w:val="20"/>
                <w:lang w:val="en-GB"/>
              </w:rPr>
            </w:pPr>
          </w:p>
        </w:tc>
        <w:tc>
          <w:tcPr>
            <w:tcW w:w="72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D9BF9CD" w14:textId="77777777" w:rsidR="00E64F9D" w:rsidRPr="00A96D90" w:rsidRDefault="00E64F9D" w:rsidP="003426AC">
            <w:pPr>
              <w:pStyle w:val="NoSpacing"/>
              <w:rPr>
                <w:rFonts w:asciiTheme="minorHAnsi" w:hAnsiTheme="minorHAnsi" w:cs="Arial"/>
                <w:color w:val="59595B"/>
                <w:sz w:val="18"/>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3CB0930" w14:textId="77777777" w:rsidR="00E64F9D" w:rsidRPr="00A96D90" w:rsidRDefault="00E64F9D" w:rsidP="003426AC">
            <w:pPr>
              <w:pStyle w:val="NoSpacing"/>
              <w:jc w:val="right"/>
              <w:rPr>
                <w:rFonts w:asciiTheme="minorHAnsi" w:hAnsiTheme="minorHAnsi"/>
                <w:color w:val="59595B"/>
                <w:sz w:val="20"/>
                <w:szCs w:val="20"/>
                <w:lang w:val="en-GB"/>
              </w:rPr>
            </w:pPr>
          </w:p>
        </w:tc>
        <w:tc>
          <w:tcPr>
            <w:tcW w:w="1440"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2C3680" w14:textId="77777777" w:rsidR="00E64F9D" w:rsidRPr="00A96D90" w:rsidRDefault="00E64F9D" w:rsidP="003426AC">
            <w:pPr>
              <w:pStyle w:val="NoSpacing"/>
              <w:jc w:val="right"/>
              <w:rPr>
                <w:rFonts w:asciiTheme="minorHAnsi" w:hAnsiTheme="minorHAnsi"/>
                <w:color w:val="59595B"/>
                <w:sz w:val="20"/>
                <w:szCs w:val="20"/>
                <w:lang w:val="en-GB"/>
              </w:rPr>
            </w:pPr>
          </w:p>
        </w:tc>
        <w:tc>
          <w:tcPr>
            <w:tcW w:w="1448" w:type="dxa"/>
            <w:tcBorders>
              <w:top w:val="nil"/>
              <w:left w:val="single" w:sz="4" w:space="0" w:color="BFBFBF" w:themeColor="background1" w:themeShade="BF"/>
              <w:bottom w:val="single" w:sz="4" w:space="0" w:color="BFBFBF" w:themeColor="background1" w:themeShade="BF"/>
            </w:tcBorders>
            <w:shd w:val="clear" w:color="auto" w:fill="F2F2F2" w:themeFill="background1" w:themeFillShade="F2"/>
          </w:tcPr>
          <w:p w14:paraId="1E33B1F5" w14:textId="77777777" w:rsidR="00E64F9D" w:rsidRPr="00A96D90" w:rsidRDefault="00E64F9D" w:rsidP="003426AC">
            <w:pPr>
              <w:pStyle w:val="NoSpacing"/>
              <w:jc w:val="right"/>
              <w:rPr>
                <w:rFonts w:asciiTheme="minorHAnsi" w:hAnsiTheme="minorHAnsi"/>
                <w:color w:val="59595B"/>
                <w:sz w:val="20"/>
                <w:szCs w:val="20"/>
                <w:lang w:val="en-GB"/>
              </w:rPr>
            </w:pPr>
          </w:p>
        </w:tc>
      </w:tr>
      <w:tr w:rsidR="00E64F9D" w:rsidRPr="00A96D90" w14:paraId="2E0C3268" w14:textId="77777777" w:rsidTr="00F833F8">
        <w:trPr>
          <w:trHeight w:val="288"/>
        </w:trPr>
        <w:tc>
          <w:tcPr>
            <w:tcW w:w="4320" w:type="dxa"/>
            <w:tcBorders>
              <w:top w:val="single" w:sz="4" w:space="0" w:color="BFBFBF" w:themeColor="background1" w:themeShade="BF"/>
              <w:right w:val="single" w:sz="4" w:space="0" w:color="BFBFBF" w:themeColor="background1" w:themeShade="BF"/>
            </w:tcBorders>
          </w:tcPr>
          <w:p w14:paraId="40BB7F3C" w14:textId="159B5028" w:rsidR="00E64F9D" w:rsidRPr="00A96D90" w:rsidRDefault="00E64F9D" w:rsidP="003426AC">
            <w:pPr>
              <w:pStyle w:val="NoSpacing"/>
              <w:rPr>
                <w:rFonts w:asciiTheme="minorHAnsi" w:hAnsiTheme="minorHAnsi"/>
                <w:b/>
                <w:color w:val="59595B"/>
                <w:sz w:val="20"/>
                <w:lang w:val="en-GB"/>
              </w:rPr>
            </w:pPr>
            <w:r w:rsidRPr="00A96D90">
              <w:rPr>
                <w:rFonts w:asciiTheme="minorHAnsi" w:eastAsiaTheme="minorEastAsia" w:hAnsiTheme="minorHAnsi" w:cs="Arial"/>
                <w:b/>
                <w:bCs/>
                <w:color w:val="59595B"/>
                <w:sz w:val="20"/>
                <w:lang w:val="en-GB"/>
              </w:rPr>
              <w:t>Balance at 30 June 201</w:t>
            </w:r>
            <w:r w:rsidR="00EB5B3B" w:rsidRPr="00A96D90">
              <w:rPr>
                <w:rFonts w:asciiTheme="minorHAnsi" w:eastAsiaTheme="minorEastAsia" w:hAnsiTheme="minorHAnsi" w:cs="Arial"/>
                <w:b/>
                <w:bCs/>
                <w:color w:val="59595B"/>
                <w:sz w:val="20"/>
                <w:lang w:val="en-GB"/>
              </w:rPr>
              <w:t>7</w:t>
            </w:r>
          </w:p>
        </w:tc>
        <w:tc>
          <w:tcPr>
            <w:tcW w:w="72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tcPr>
          <w:p w14:paraId="740D02BA" w14:textId="77777777" w:rsidR="00E64F9D" w:rsidRPr="00A96D90" w:rsidRDefault="00E64F9D" w:rsidP="003426AC">
            <w:pPr>
              <w:pStyle w:val="NoSpacing"/>
              <w:rPr>
                <w:rFonts w:asciiTheme="minorHAnsi" w:hAnsiTheme="minorHAnsi"/>
                <w:b/>
                <w:color w:val="59595B"/>
                <w:lang w:val="en-GB"/>
              </w:rPr>
            </w:pPr>
          </w:p>
        </w:tc>
        <w:tc>
          <w:tcPr>
            <w:tcW w:w="144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22E82EC" w14:textId="4A99AD19" w:rsidR="00E64F9D" w:rsidRPr="00A96D90" w:rsidRDefault="00EB5B3B" w:rsidP="003426AC">
            <w:pPr>
              <w:pStyle w:val="NoSpacing"/>
              <w:jc w:val="right"/>
              <w:rPr>
                <w:rFonts w:asciiTheme="minorHAnsi" w:hAnsiTheme="minorHAnsi"/>
                <w:b/>
                <w:color w:val="59595B"/>
                <w:sz w:val="20"/>
                <w:szCs w:val="20"/>
                <w:lang w:val="en-GB"/>
              </w:rPr>
            </w:pPr>
            <w:r w:rsidRPr="00A96D90">
              <w:rPr>
                <w:rFonts w:asciiTheme="minorHAnsi" w:hAnsiTheme="minorHAnsi" w:cs="Arial"/>
                <w:b/>
                <w:color w:val="59595B"/>
                <w:sz w:val="20"/>
                <w:szCs w:val="20"/>
                <w:lang w:val="en-GB"/>
              </w:rPr>
              <w:t>(612)</w:t>
            </w:r>
          </w:p>
        </w:tc>
        <w:tc>
          <w:tcPr>
            <w:tcW w:w="1440"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2F2F2" w:themeFill="background1" w:themeFillShade="F2"/>
          </w:tcPr>
          <w:p w14:paraId="3D615A32" w14:textId="6648AC67" w:rsidR="00E64F9D" w:rsidRPr="00A96D90" w:rsidRDefault="0089585D" w:rsidP="003426AC">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w:t>
            </w:r>
            <w:r w:rsidR="004B30BE" w:rsidRPr="00A96D90">
              <w:rPr>
                <w:rFonts w:asciiTheme="minorHAnsi" w:hAnsiTheme="minorHAnsi"/>
                <w:b/>
                <w:color w:val="59595B"/>
                <w:sz w:val="20"/>
                <w:szCs w:val="20"/>
                <w:lang w:val="en-GB"/>
              </w:rPr>
              <w:t>308,370</w:t>
            </w:r>
            <w:r w:rsidRPr="00A96D90">
              <w:rPr>
                <w:rFonts w:asciiTheme="minorHAnsi" w:hAnsiTheme="minorHAnsi"/>
                <w:b/>
                <w:color w:val="59595B"/>
                <w:sz w:val="20"/>
                <w:szCs w:val="20"/>
                <w:lang w:val="en-GB"/>
              </w:rPr>
              <w:t>)</w:t>
            </w:r>
          </w:p>
        </w:tc>
        <w:tc>
          <w:tcPr>
            <w:tcW w:w="1448" w:type="dxa"/>
            <w:tcBorders>
              <w:top w:val="single" w:sz="4" w:space="0" w:color="BFBFBF" w:themeColor="background1" w:themeShade="BF"/>
              <w:left w:val="single" w:sz="4" w:space="0" w:color="BFBFBF" w:themeColor="background1" w:themeShade="BF"/>
              <w:bottom w:val="nil"/>
            </w:tcBorders>
            <w:shd w:val="clear" w:color="auto" w:fill="F2F2F2" w:themeFill="background1" w:themeFillShade="F2"/>
          </w:tcPr>
          <w:p w14:paraId="5ACE0E6C" w14:textId="6C42CBC2" w:rsidR="00E64F9D" w:rsidRPr="00A96D90" w:rsidRDefault="0089585D" w:rsidP="003426AC">
            <w:pPr>
              <w:pStyle w:val="NoSpacing"/>
              <w:jc w:val="right"/>
              <w:rPr>
                <w:rFonts w:asciiTheme="minorHAnsi" w:hAnsiTheme="minorHAnsi"/>
                <w:b/>
                <w:color w:val="59595B"/>
                <w:sz w:val="20"/>
                <w:szCs w:val="20"/>
                <w:lang w:val="en-GB"/>
              </w:rPr>
            </w:pPr>
            <w:r w:rsidRPr="00A96D90">
              <w:rPr>
                <w:rFonts w:asciiTheme="minorHAnsi" w:hAnsiTheme="minorHAnsi"/>
                <w:b/>
                <w:color w:val="59595B"/>
                <w:sz w:val="20"/>
                <w:szCs w:val="20"/>
                <w:lang w:val="en-GB"/>
              </w:rPr>
              <w:t>6,</w:t>
            </w:r>
            <w:r w:rsidR="004B30BE" w:rsidRPr="00A96D90">
              <w:rPr>
                <w:rFonts w:asciiTheme="minorHAnsi" w:hAnsiTheme="minorHAnsi"/>
                <w:b/>
                <w:color w:val="59595B"/>
                <w:sz w:val="20"/>
                <w:szCs w:val="20"/>
                <w:lang w:val="en-GB"/>
              </w:rPr>
              <w:t>764</w:t>
            </w:r>
          </w:p>
        </w:tc>
      </w:tr>
    </w:tbl>
    <w:p w14:paraId="15C8698A" w14:textId="3DC56F24" w:rsidR="0049736D" w:rsidRPr="00A96D90" w:rsidRDefault="0049736D" w:rsidP="00E64F9D">
      <w:pPr>
        <w:pStyle w:val="NoSpacing"/>
        <w:ind w:right="144"/>
        <w:rPr>
          <w:rFonts w:cs="Arial"/>
          <w:bCs/>
          <w:i/>
          <w:lang w:val="en-GB"/>
        </w:rPr>
      </w:pPr>
    </w:p>
    <w:p w14:paraId="5A45992F" w14:textId="77777777" w:rsidR="0049736D" w:rsidRPr="00A96D90" w:rsidRDefault="0049736D">
      <w:pPr>
        <w:jc w:val="left"/>
        <w:rPr>
          <w:rFonts w:ascii="Calibri" w:eastAsia="Calibri" w:hAnsi="Calibri" w:cs="Arial"/>
          <w:bCs/>
          <w:i/>
          <w:color w:val="auto"/>
          <w:szCs w:val="22"/>
          <w:lang w:val="en-GB"/>
        </w:rPr>
      </w:pPr>
      <w:r w:rsidRPr="00A96D90">
        <w:rPr>
          <w:rFonts w:cs="Arial"/>
          <w:bCs/>
          <w:i/>
          <w:lang w:val="en-GB"/>
        </w:rPr>
        <w:br w:type="page"/>
      </w:r>
    </w:p>
    <w:p w14:paraId="448588B5" w14:textId="647B0417" w:rsidR="00E64F9D" w:rsidRPr="00A96D90" w:rsidRDefault="0049736D" w:rsidP="00E64F9D">
      <w:pPr>
        <w:rPr>
          <w:rFonts w:cstheme="minorHAnsi"/>
          <w:b/>
          <w:color w:val="276E8B" w:themeColor="accent1" w:themeShade="BF"/>
          <w:szCs w:val="22"/>
          <w:lang w:val="en-GB"/>
        </w:rPr>
      </w:pPr>
      <w:r w:rsidRPr="00A96D90">
        <w:rPr>
          <w:rFonts w:ascii="Calibri Light" w:eastAsiaTheme="majorEastAsia" w:hAnsi="Calibri Light" w:cstheme="majorBidi"/>
          <w:b/>
          <w:color w:val="59595B"/>
          <w:sz w:val="24"/>
          <w:szCs w:val="28"/>
          <w:lang w:val="en-GB" w:eastAsia="zh-CN"/>
        </w:rPr>
        <w:lastRenderedPageBreak/>
        <w:t>Notes to the Consolidated Interim Financial Statements</w:t>
      </w:r>
    </w:p>
    <w:p w14:paraId="51DA5CB9" w14:textId="3E506E71" w:rsidR="00E64F9D" w:rsidRPr="00A96D90" w:rsidRDefault="00E64F9D" w:rsidP="0049736D">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sidR="009A58DF" w:rsidRPr="00A96D90">
        <w:rPr>
          <w:rFonts w:asciiTheme="minorHAnsi" w:hAnsiTheme="minorHAnsi"/>
          <w:color w:val="00679B"/>
          <w:sz w:val="24"/>
          <w:lang w:val="en-GB"/>
        </w:rPr>
        <w:t>six months</w:t>
      </w:r>
      <w:r w:rsidRPr="00A96D90">
        <w:rPr>
          <w:rFonts w:asciiTheme="minorHAnsi" w:hAnsiTheme="minorHAnsi"/>
          <w:color w:val="00679B"/>
          <w:sz w:val="24"/>
          <w:lang w:val="en-GB"/>
        </w:rPr>
        <w:t xml:space="preserve"> ended 30 June</w:t>
      </w:r>
    </w:p>
    <w:p w14:paraId="4123FE4C" w14:textId="77777777" w:rsidR="00E64F9D" w:rsidRPr="00A96D90" w:rsidRDefault="00E64F9D" w:rsidP="00E64F9D">
      <w:pPr>
        <w:autoSpaceDE w:val="0"/>
        <w:autoSpaceDN w:val="0"/>
        <w:adjustRightInd w:val="0"/>
        <w:rPr>
          <w:rFonts w:cstheme="minorHAnsi"/>
          <w:color w:val="003F6A"/>
          <w:szCs w:val="22"/>
          <w:lang w:val="en-GB"/>
        </w:rPr>
      </w:pPr>
    </w:p>
    <w:p w14:paraId="1CDF8254" w14:textId="77777777" w:rsidR="00E64F9D" w:rsidRPr="00A96D90" w:rsidRDefault="00E64F9D" w:rsidP="00E64F9D">
      <w:pPr>
        <w:autoSpaceDE w:val="0"/>
        <w:autoSpaceDN w:val="0"/>
        <w:adjustRightInd w:val="0"/>
        <w:rPr>
          <w:rFonts w:cstheme="minorHAnsi"/>
          <w:color w:val="003F6A"/>
          <w:szCs w:val="22"/>
          <w:lang w:val="en-GB"/>
        </w:rPr>
      </w:pPr>
    </w:p>
    <w:p w14:paraId="2655F55F" w14:textId="5D108474" w:rsidR="0049736D" w:rsidRPr="00A96D90" w:rsidRDefault="00E64F9D" w:rsidP="00B7657F">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Company information</w:t>
      </w:r>
    </w:p>
    <w:p w14:paraId="0F8CF1CF" w14:textId="1DF49998" w:rsidR="00E64F9D" w:rsidRPr="00A96D90" w:rsidRDefault="00E64F9D" w:rsidP="0049736D">
      <w:pPr>
        <w:pStyle w:val="AL"/>
        <w:spacing w:after="120"/>
        <w:rPr>
          <w:rFonts w:asciiTheme="minorHAnsi" w:hAnsiTheme="minorHAnsi" w:cstheme="minorHAnsi"/>
          <w:color w:val="59595B"/>
          <w:szCs w:val="20"/>
        </w:rPr>
      </w:pPr>
      <w:r w:rsidRPr="00A96D90">
        <w:rPr>
          <w:rFonts w:asciiTheme="minorHAnsi" w:hAnsiTheme="minorHAnsi" w:cstheme="minorHAnsi"/>
          <w:color w:val="59595B"/>
          <w:szCs w:val="20"/>
        </w:rPr>
        <w:t>Pharming Group N.V. is a limited liability public company which is listed on Euronext Amsterdam (PHARM), with its headquarters and registered office located at:</w:t>
      </w:r>
    </w:p>
    <w:p w14:paraId="09FD2EE0" w14:textId="77777777" w:rsidR="00E64F9D" w:rsidRPr="00A96D90" w:rsidRDefault="00E64F9D" w:rsidP="00D90C72">
      <w:pPr>
        <w:pStyle w:val="AL"/>
        <w:rPr>
          <w:rFonts w:asciiTheme="minorHAnsi" w:hAnsiTheme="minorHAnsi" w:cstheme="minorHAnsi"/>
          <w:color w:val="59595B"/>
          <w:szCs w:val="20"/>
        </w:rPr>
      </w:pPr>
      <w:r w:rsidRPr="00A96D90">
        <w:rPr>
          <w:rFonts w:asciiTheme="minorHAnsi" w:hAnsiTheme="minorHAnsi" w:cstheme="minorHAnsi"/>
          <w:color w:val="59595B"/>
          <w:szCs w:val="20"/>
        </w:rPr>
        <w:t>Darwinweg 24</w:t>
      </w:r>
    </w:p>
    <w:p w14:paraId="50FC0C29" w14:textId="19F3809E" w:rsidR="00E64F9D" w:rsidRPr="00A96D90" w:rsidRDefault="00E64F9D" w:rsidP="00D90C72">
      <w:pPr>
        <w:pStyle w:val="AL"/>
        <w:rPr>
          <w:rFonts w:asciiTheme="minorHAnsi" w:hAnsiTheme="minorHAnsi" w:cstheme="minorHAnsi"/>
          <w:color w:val="59595B"/>
          <w:szCs w:val="20"/>
        </w:rPr>
      </w:pPr>
      <w:r w:rsidRPr="00A96D90">
        <w:rPr>
          <w:rFonts w:asciiTheme="minorHAnsi" w:hAnsiTheme="minorHAnsi" w:cstheme="minorHAnsi"/>
          <w:color w:val="59595B"/>
          <w:szCs w:val="20"/>
        </w:rPr>
        <w:t xml:space="preserve">2333 </w:t>
      </w:r>
      <w:r w:rsidR="00384931" w:rsidRPr="00A96D90">
        <w:rPr>
          <w:rFonts w:asciiTheme="minorHAnsi" w:hAnsiTheme="minorHAnsi" w:cstheme="minorHAnsi"/>
          <w:color w:val="59595B"/>
          <w:szCs w:val="20"/>
        </w:rPr>
        <w:t>CR Leiden</w:t>
      </w:r>
    </w:p>
    <w:p w14:paraId="7F1233E5" w14:textId="22BCF4B6" w:rsidR="0049736D" w:rsidRPr="00A96D90" w:rsidRDefault="00E64F9D" w:rsidP="008371A4">
      <w:pPr>
        <w:pStyle w:val="AL"/>
        <w:rPr>
          <w:rFonts w:asciiTheme="minorHAnsi" w:hAnsiTheme="minorHAnsi" w:cstheme="minorHAnsi"/>
          <w:color w:val="59595B"/>
          <w:szCs w:val="20"/>
        </w:rPr>
      </w:pPr>
      <w:r w:rsidRPr="00A96D90">
        <w:rPr>
          <w:rFonts w:asciiTheme="minorHAnsi" w:hAnsiTheme="minorHAnsi" w:cstheme="minorHAnsi"/>
          <w:color w:val="59595B"/>
          <w:szCs w:val="20"/>
        </w:rPr>
        <w:t>The Netherlands</w:t>
      </w:r>
    </w:p>
    <w:p w14:paraId="114DA837" w14:textId="3F9FFB44" w:rsidR="00E64F9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Basis of preparation</w:t>
      </w:r>
    </w:p>
    <w:p w14:paraId="32EB872F" w14:textId="680CEDF0" w:rsidR="0049736D" w:rsidRPr="00A96D90" w:rsidRDefault="00E64F9D" w:rsidP="006841D2">
      <w:pPr>
        <w:pStyle w:val="AL"/>
        <w:rPr>
          <w:rFonts w:asciiTheme="minorHAnsi" w:hAnsiTheme="minorHAnsi" w:cstheme="minorHAnsi"/>
          <w:color w:val="59595B"/>
          <w:szCs w:val="20"/>
        </w:rPr>
      </w:pPr>
      <w:r w:rsidRPr="00A96D90">
        <w:rPr>
          <w:rFonts w:asciiTheme="minorHAnsi" w:hAnsiTheme="minorHAnsi" w:cstheme="minorHAnsi"/>
          <w:color w:val="59595B"/>
          <w:szCs w:val="20"/>
        </w:rPr>
        <w:t xml:space="preserve">These consolidated interim financial statements for </w:t>
      </w:r>
      <w:r w:rsidR="00183BE2" w:rsidRPr="00A96D90">
        <w:rPr>
          <w:rFonts w:asciiTheme="minorHAnsi" w:hAnsiTheme="minorHAnsi" w:cstheme="minorHAnsi"/>
          <w:color w:val="59595B"/>
          <w:szCs w:val="20"/>
        </w:rPr>
        <w:t xml:space="preserve">the </w:t>
      </w:r>
      <w:r w:rsidR="00384931" w:rsidRPr="00A96D90">
        <w:rPr>
          <w:rFonts w:asciiTheme="minorHAnsi" w:hAnsiTheme="minorHAnsi" w:cstheme="minorHAnsi"/>
          <w:color w:val="59595B"/>
          <w:szCs w:val="20"/>
        </w:rPr>
        <w:t>six-month</w:t>
      </w:r>
      <w:r w:rsidR="00183BE2" w:rsidRPr="00A96D90">
        <w:rPr>
          <w:rFonts w:asciiTheme="minorHAnsi" w:hAnsiTheme="minorHAnsi" w:cstheme="minorHAnsi"/>
          <w:color w:val="59595B"/>
          <w:szCs w:val="20"/>
        </w:rPr>
        <w:t xml:space="preserve"> ended 30 June 2017</w:t>
      </w:r>
      <w:r w:rsidRPr="00A96D90">
        <w:rPr>
          <w:rFonts w:asciiTheme="minorHAnsi" w:hAnsiTheme="minorHAnsi" w:cstheme="minorHAnsi"/>
          <w:color w:val="59595B"/>
          <w:szCs w:val="20"/>
        </w:rPr>
        <w:t xml:space="preserve"> have been prepared in accordance with IAS 34, ‘Interim financial </w:t>
      </w:r>
      <w:r w:rsidR="00384931" w:rsidRPr="00A96D90">
        <w:rPr>
          <w:rFonts w:asciiTheme="minorHAnsi" w:hAnsiTheme="minorHAnsi" w:cstheme="minorHAnsi"/>
          <w:color w:val="59595B"/>
          <w:szCs w:val="20"/>
        </w:rPr>
        <w:t>reporting’. The</w:t>
      </w:r>
      <w:r w:rsidRPr="00A96D90">
        <w:rPr>
          <w:rFonts w:asciiTheme="minorHAnsi" w:hAnsiTheme="minorHAnsi" w:cstheme="minorHAnsi"/>
          <w:color w:val="59595B"/>
          <w:szCs w:val="20"/>
        </w:rPr>
        <w:t xml:space="preserve"> condensed interim financial statements should be read in conjunction with the annual financial statements for</w:t>
      </w:r>
      <w:r w:rsidR="00183BE2" w:rsidRPr="00A96D90">
        <w:rPr>
          <w:rFonts w:asciiTheme="minorHAnsi" w:hAnsiTheme="minorHAnsi" w:cstheme="minorHAnsi"/>
          <w:color w:val="59595B"/>
          <w:szCs w:val="20"/>
        </w:rPr>
        <w:t xml:space="preserve"> the year ended 31 December 2016</w:t>
      </w:r>
      <w:r w:rsidRPr="00A96D90">
        <w:rPr>
          <w:rFonts w:asciiTheme="minorHAnsi" w:hAnsiTheme="minorHAnsi" w:cstheme="minorHAnsi"/>
          <w:color w:val="59595B"/>
          <w:szCs w:val="20"/>
        </w:rPr>
        <w:t xml:space="preserve">, which have been prepared in accordance with International Financial Reporting Standards (IFRS) and IFRS Interpretations </w:t>
      </w:r>
      <w:r w:rsidR="00384931" w:rsidRPr="00A96D90">
        <w:rPr>
          <w:rFonts w:asciiTheme="minorHAnsi" w:hAnsiTheme="minorHAnsi" w:cstheme="minorHAnsi"/>
          <w:color w:val="59595B"/>
          <w:szCs w:val="20"/>
        </w:rPr>
        <w:t>Committee</w:t>
      </w:r>
      <w:r w:rsidRPr="00A96D90">
        <w:rPr>
          <w:rFonts w:asciiTheme="minorHAnsi" w:hAnsiTheme="minorHAnsi" w:cstheme="minorHAnsi"/>
          <w:color w:val="59595B"/>
          <w:szCs w:val="20"/>
        </w:rPr>
        <w:t xml:space="preserve"> (IFRS IC) interpretations applicable to companies reporting under IFRS as adopted by the European Union and valid as of the balance sheet date.</w:t>
      </w:r>
    </w:p>
    <w:p w14:paraId="0C4A08B9" w14:textId="68026FF8" w:rsidR="0049736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Accounting policies</w:t>
      </w:r>
    </w:p>
    <w:p w14:paraId="2905E510" w14:textId="0D81CA1B" w:rsidR="0049736D" w:rsidRPr="00A96D90" w:rsidRDefault="00E64F9D" w:rsidP="00E64F9D">
      <w:pPr>
        <w:autoSpaceDE w:val="0"/>
        <w:autoSpaceDN w:val="0"/>
        <w:adjustRightInd w:val="0"/>
        <w:rPr>
          <w:rFonts w:asciiTheme="majorHAnsi" w:hAnsiTheme="majorHAnsi" w:cstheme="majorHAnsi"/>
          <w:color w:val="59595B"/>
          <w:szCs w:val="20"/>
          <w:lang w:val="en-GB"/>
        </w:rPr>
      </w:pPr>
      <w:r w:rsidRPr="00A96D90">
        <w:rPr>
          <w:rFonts w:asciiTheme="majorHAnsi" w:hAnsiTheme="majorHAnsi" w:cstheme="majorHAnsi"/>
          <w:color w:val="59595B"/>
          <w:szCs w:val="20"/>
          <w:lang w:val="en-GB"/>
        </w:rPr>
        <w:t>The accounting policies adopted are consistent with those of the financial statements for</w:t>
      </w:r>
      <w:r w:rsidR="00183BE2" w:rsidRPr="00A96D90">
        <w:rPr>
          <w:rFonts w:asciiTheme="majorHAnsi" w:hAnsiTheme="majorHAnsi" w:cstheme="majorHAnsi"/>
          <w:color w:val="59595B"/>
          <w:szCs w:val="20"/>
          <w:lang w:val="en-GB"/>
        </w:rPr>
        <w:t xml:space="preserve"> the year ended 31 December 2016</w:t>
      </w:r>
      <w:r w:rsidRPr="00A96D90">
        <w:rPr>
          <w:rFonts w:asciiTheme="majorHAnsi" w:hAnsiTheme="majorHAnsi" w:cstheme="majorHAnsi"/>
          <w:color w:val="59595B"/>
          <w:szCs w:val="20"/>
          <w:lang w:val="en-GB"/>
        </w:rPr>
        <w:t>.</w:t>
      </w:r>
    </w:p>
    <w:p w14:paraId="685A9466" w14:textId="1EE4BFED" w:rsidR="00E64F9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Cs w:val="22"/>
          <w:lang w:val="en-GB"/>
        </w:rPr>
      </w:pPr>
      <w:r w:rsidRPr="00A96D90">
        <w:rPr>
          <w:rFonts w:asciiTheme="majorHAnsi" w:hAnsiTheme="majorHAnsi" w:cstheme="minorHAnsi"/>
          <w:i/>
          <w:color w:val="59595B"/>
          <w:sz w:val="24"/>
          <w:szCs w:val="22"/>
          <w:lang w:val="en-GB"/>
        </w:rPr>
        <w:t>Estimates and judgements</w:t>
      </w:r>
    </w:p>
    <w:p w14:paraId="71F76D1C" w14:textId="74E952AF" w:rsidR="001D0717" w:rsidRPr="00A96D90" w:rsidRDefault="00E64F9D" w:rsidP="00E64F9D">
      <w:pPr>
        <w:autoSpaceDE w:val="0"/>
        <w:autoSpaceDN w:val="0"/>
        <w:adjustRightInd w:val="0"/>
        <w:rPr>
          <w:rFonts w:ascii="Calibri" w:hAnsi="Calibri" w:cstheme="minorHAnsi"/>
          <w:color w:val="59595B"/>
          <w:szCs w:val="20"/>
          <w:lang w:val="en-GB"/>
        </w:rPr>
      </w:pPr>
      <w:r w:rsidRPr="00A96D90">
        <w:rPr>
          <w:rFonts w:asciiTheme="minorHAnsi" w:hAnsiTheme="minorHAnsi" w:cstheme="minorHAnsi"/>
          <w:color w:val="59595B"/>
          <w:szCs w:val="20"/>
          <w:lang w:val="en-GB"/>
        </w:rPr>
        <w:t xml:space="preserve">The preparation of interim financial statements in conformity with IFRS requires the use of certain critical accounting estimates. It also requires management to exercise its judgement in the process of applying the Company’s accounting policies. In preparing these condensed interim financial statements, the significant judgements made by management in applying the Company’s accounting policies were the same as those </w:t>
      </w:r>
      <w:r w:rsidR="00384931" w:rsidRPr="00A96D90">
        <w:rPr>
          <w:rFonts w:asciiTheme="minorHAnsi" w:hAnsiTheme="minorHAnsi" w:cstheme="minorHAnsi"/>
          <w:color w:val="59595B"/>
          <w:szCs w:val="20"/>
          <w:lang w:val="en-GB"/>
        </w:rPr>
        <w:t>applied</w:t>
      </w:r>
      <w:r w:rsidRPr="00A96D90">
        <w:rPr>
          <w:rFonts w:asciiTheme="minorHAnsi" w:hAnsiTheme="minorHAnsi" w:cstheme="minorHAnsi"/>
          <w:color w:val="59595B"/>
          <w:szCs w:val="20"/>
          <w:lang w:val="en-GB"/>
        </w:rPr>
        <w:t xml:space="preserve"> to the consolidated financial statement</w:t>
      </w:r>
      <w:r w:rsidR="00183BE2" w:rsidRPr="00A96D90">
        <w:rPr>
          <w:rFonts w:asciiTheme="minorHAnsi" w:hAnsiTheme="minorHAnsi" w:cstheme="minorHAnsi"/>
          <w:color w:val="59595B"/>
          <w:szCs w:val="20"/>
          <w:lang w:val="en-GB"/>
        </w:rPr>
        <w:t>s for the ended 31 December 2016</w:t>
      </w:r>
      <w:r w:rsidRPr="00A96D90">
        <w:rPr>
          <w:rFonts w:ascii="Calibri" w:hAnsi="Calibri" w:cstheme="minorHAnsi"/>
          <w:color w:val="59595B"/>
          <w:szCs w:val="20"/>
          <w:lang w:val="en-GB"/>
        </w:rPr>
        <w:t>.</w:t>
      </w:r>
    </w:p>
    <w:p w14:paraId="43A4119D" w14:textId="1453E7FC" w:rsidR="00E64F9D" w:rsidRPr="00A96D90" w:rsidRDefault="001D0717"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S</w:t>
      </w:r>
      <w:r w:rsidR="00E64F9D" w:rsidRPr="00A96D90">
        <w:rPr>
          <w:rFonts w:asciiTheme="majorHAnsi" w:hAnsiTheme="majorHAnsi" w:cstheme="minorHAnsi"/>
          <w:i/>
          <w:color w:val="59595B"/>
          <w:sz w:val="24"/>
          <w:szCs w:val="22"/>
          <w:lang w:val="en-GB"/>
        </w:rPr>
        <w:t>easonality of operations</w:t>
      </w:r>
    </w:p>
    <w:p w14:paraId="5CF57E75" w14:textId="383579F4" w:rsidR="009A58DF" w:rsidRPr="00A96D90" w:rsidRDefault="00E64F9D" w:rsidP="00E64F9D">
      <w:pPr>
        <w:autoSpaceDE w:val="0"/>
        <w:autoSpaceDN w:val="0"/>
        <w:adjustRightInd w:val="0"/>
        <w:rPr>
          <w:rFonts w:asciiTheme="majorHAnsi" w:hAnsiTheme="majorHAnsi" w:cstheme="majorHAnsi"/>
          <w:color w:val="59595B"/>
          <w:szCs w:val="20"/>
          <w:lang w:val="en-GB"/>
        </w:rPr>
      </w:pPr>
      <w:r w:rsidRPr="00A96D90">
        <w:rPr>
          <w:rFonts w:asciiTheme="majorHAnsi" w:hAnsiTheme="majorHAnsi" w:cstheme="majorHAnsi"/>
          <w:color w:val="59595B"/>
          <w:szCs w:val="20"/>
          <w:lang w:val="en-GB"/>
        </w:rPr>
        <w:t>Seasonality has no material impact on Company’s interim financial statements.</w:t>
      </w:r>
    </w:p>
    <w:p w14:paraId="31709716" w14:textId="2ADA4932" w:rsidR="00E64F9D" w:rsidRPr="00A96D90" w:rsidRDefault="00E64F9D" w:rsidP="008371A4">
      <w:pPr>
        <w:pStyle w:val="ListParagraph"/>
        <w:numPr>
          <w:ilvl w:val="0"/>
          <w:numId w:val="3"/>
        </w:numPr>
        <w:autoSpaceDE w:val="0"/>
        <w:autoSpaceDN w:val="0"/>
        <w:adjustRightInd w:val="0"/>
        <w:spacing w:before="240"/>
        <w:rPr>
          <w:rFonts w:ascii="Calibri" w:hAnsi="Calibri" w:cstheme="minorHAnsi"/>
          <w:color w:val="59595B"/>
          <w:sz w:val="24"/>
          <w:szCs w:val="22"/>
          <w:lang w:val="en-GB"/>
        </w:rPr>
      </w:pPr>
      <w:r w:rsidRPr="00A96D90">
        <w:rPr>
          <w:rFonts w:asciiTheme="majorHAnsi" w:hAnsiTheme="majorHAnsi" w:cstheme="minorHAnsi"/>
          <w:i/>
          <w:color w:val="59595B"/>
          <w:sz w:val="24"/>
          <w:szCs w:val="22"/>
          <w:lang w:val="en-GB"/>
        </w:rPr>
        <w:t>Segment information</w:t>
      </w:r>
    </w:p>
    <w:p w14:paraId="4760EB07" w14:textId="32659332" w:rsidR="00E64F9D" w:rsidRPr="00A96D90" w:rsidRDefault="00E64F9D" w:rsidP="00E64F9D">
      <w:pPr>
        <w:pStyle w:val="AL"/>
        <w:rPr>
          <w:rFonts w:asciiTheme="minorHAnsi" w:hAnsiTheme="minorHAnsi" w:cstheme="minorHAnsi"/>
          <w:bCs w:val="0"/>
          <w:color w:val="59595B"/>
          <w:szCs w:val="20"/>
        </w:rPr>
      </w:pPr>
      <w:r w:rsidRPr="00A96D90">
        <w:rPr>
          <w:rFonts w:asciiTheme="minorHAnsi" w:hAnsiTheme="minorHAnsi" w:cstheme="minorHAnsi"/>
          <w:bCs w:val="0"/>
          <w:color w:val="59595B"/>
          <w:szCs w:val="20"/>
        </w:rPr>
        <w:t xml:space="preserve">The Board of Management is the chief operating decision-maker. The Board of Management considers the business from both a geographic and product perspective. From a product perspective, the Company’s business is almost exclusively related to the recombinant human C1 esterase inhibitor business. From a geographic perspective, the Company is operating in </w:t>
      </w:r>
      <w:r w:rsidR="00011383" w:rsidRPr="00A96D90">
        <w:rPr>
          <w:rFonts w:asciiTheme="minorHAnsi" w:hAnsiTheme="minorHAnsi" w:cstheme="minorHAnsi"/>
          <w:bCs w:val="0"/>
          <w:color w:val="59595B"/>
          <w:szCs w:val="20"/>
        </w:rPr>
        <w:t>the areas</w:t>
      </w:r>
      <w:r w:rsidRPr="00A96D90">
        <w:rPr>
          <w:rFonts w:asciiTheme="minorHAnsi" w:hAnsiTheme="minorHAnsi" w:cstheme="minorHAnsi"/>
          <w:bCs w:val="0"/>
          <w:color w:val="59595B"/>
          <w:szCs w:val="20"/>
        </w:rPr>
        <w:t xml:space="preserve">: the US, Europe and Rest of the world (RoW). The Board of Management primarily measures revenues to assess the performance of the operating </w:t>
      </w:r>
      <w:r w:rsidR="00011383" w:rsidRPr="00A96D90">
        <w:rPr>
          <w:rFonts w:asciiTheme="minorHAnsi" w:hAnsiTheme="minorHAnsi" w:cstheme="minorHAnsi"/>
          <w:bCs w:val="0"/>
          <w:color w:val="59595B"/>
          <w:szCs w:val="20"/>
        </w:rPr>
        <w:t>areas</w:t>
      </w:r>
      <w:r w:rsidRPr="00A96D90">
        <w:rPr>
          <w:rFonts w:asciiTheme="minorHAnsi" w:hAnsiTheme="minorHAnsi" w:cstheme="minorHAnsi"/>
          <w:bCs w:val="0"/>
          <w:color w:val="59595B"/>
          <w:szCs w:val="20"/>
        </w:rPr>
        <w:t xml:space="preserve">. Costs and assets are not allocated to the geographic </w:t>
      </w:r>
      <w:r w:rsidR="00011383" w:rsidRPr="00A96D90">
        <w:rPr>
          <w:rFonts w:asciiTheme="minorHAnsi" w:hAnsiTheme="minorHAnsi" w:cstheme="minorHAnsi"/>
          <w:bCs w:val="0"/>
          <w:color w:val="59595B"/>
          <w:szCs w:val="20"/>
        </w:rPr>
        <w:t>areas</w:t>
      </w:r>
      <w:r w:rsidRPr="00A96D90">
        <w:rPr>
          <w:rFonts w:asciiTheme="minorHAnsi" w:hAnsiTheme="minorHAnsi" w:cstheme="minorHAnsi"/>
          <w:bCs w:val="0"/>
          <w:color w:val="59595B"/>
          <w:szCs w:val="20"/>
        </w:rPr>
        <w:t xml:space="preserve">. </w:t>
      </w:r>
    </w:p>
    <w:p w14:paraId="342A5034" w14:textId="77777777" w:rsidR="00553B5E" w:rsidRPr="00A96D90" w:rsidRDefault="00553B5E" w:rsidP="00E64F9D">
      <w:pPr>
        <w:pStyle w:val="AL"/>
        <w:rPr>
          <w:rFonts w:ascii="Calibri" w:hAnsi="Calibri"/>
          <w:color w:val="59595B"/>
        </w:rPr>
      </w:pPr>
    </w:p>
    <w:p w14:paraId="6F887CE7" w14:textId="2B0AB95F" w:rsidR="00E64F9D" w:rsidRPr="00A96D90" w:rsidRDefault="00E64F9D" w:rsidP="00E64F9D">
      <w:pPr>
        <w:pStyle w:val="AL"/>
        <w:rPr>
          <w:rFonts w:asciiTheme="minorHAnsi" w:hAnsiTheme="minorHAnsi" w:cstheme="minorHAnsi"/>
          <w:color w:val="59595B"/>
          <w:szCs w:val="20"/>
        </w:rPr>
      </w:pPr>
      <w:r w:rsidRPr="00A96D90">
        <w:rPr>
          <w:rFonts w:asciiTheme="minorHAnsi" w:hAnsiTheme="minorHAnsi" w:cstheme="minorHAnsi"/>
          <w:color w:val="59595B"/>
          <w:szCs w:val="20"/>
        </w:rPr>
        <w:t>Total revenues per geographic segment for the first half year:</w:t>
      </w:r>
    </w:p>
    <w:tbl>
      <w:tblPr>
        <w:tblW w:w="8856" w:type="dxa"/>
        <w:jc w:val="center"/>
        <w:tblBorders>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6521"/>
        <w:gridCol w:w="992"/>
        <w:gridCol w:w="1343"/>
      </w:tblGrid>
      <w:tr w:rsidR="00196879" w:rsidRPr="00A96D90" w14:paraId="57A9D216" w14:textId="77777777" w:rsidTr="008621D3">
        <w:trPr>
          <w:trHeight w:val="258"/>
          <w:jc w:val="center"/>
        </w:trPr>
        <w:tc>
          <w:tcPr>
            <w:tcW w:w="6521" w:type="dxa"/>
            <w:tcBorders>
              <w:top w:val="nil"/>
              <w:bottom w:val="single" w:sz="4" w:space="0" w:color="A6A6A6" w:themeColor="background1" w:themeShade="A6"/>
              <w:right w:val="nil"/>
            </w:tcBorders>
            <w:shd w:val="clear" w:color="auto" w:fill="FFFFFF" w:themeFill="background1"/>
          </w:tcPr>
          <w:p w14:paraId="622C9F07" w14:textId="77777777" w:rsidR="00E64F9D" w:rsidRPr="00A96D90" w:rsidRDefault="00E64F9D" w:rsidP="003426AC">
            <w:pPr>
              <w:rPr>
                <w:rFonts w:asciiTheme="minorHAnsi" w:eastAsiaTheme="minorEastAsia" w:hAnsiTheme="minorHAnsi"/>
                <w:b/>
                <w:color w:val="00679B"/>
                <w:sz w:val="20"/>
                <w:szCs w:val="20"/>
                <w:lang w:val="en-GB"/>
              </w:rPr>
            </w:pPr>
            <w:r w:rsidRPr="00A96D90">
              <w:rPr>
                <w:rFonts w:asciiTheme="minorHAnsi" w:eastAsiaTheme="minorEastAsia" w:hAnsiTheme="minorHAnsi"/>
                <w:b/>
                <w:color w:val="00679B"/>
                <w:sz w:val="20"/>
                <w:szCs w:val="20"/>
                <w:lang w:val="en-GB"/>
              </w:rPr>
              <w:t>Amounts in € ‘000</w:t>
            </w:r>
          </w:p>
        </w:tc>
        <w:tc>
          <w:tcPr>
            <w:tcW w:w="992" w:type="dxa"/>
            <w:tcBorders>
              <w:top w:val="nil"/>
              <w:left w:val="nil"/>
              <w:bottom w:val="single" w:sz="4" w:space="0" w:color="A6A6A6" w:themeColor="background1" w:themeShade="A6"/>
              <w:right w:val="nil"/>
            </w:tcBorders>
            <w:shd w:val="clear" w:color="auto" w:fill="FFFFFF" w:themeFill="background1"/>
          </w:tcPr>
          <w:p w14:paraId="64DDCC26" w14:textId="4BE1D86D" w:rsidR="00E64F9D" w:rsidRPr="00A96D90" w:rsidRDefault="002D41AC" w:rsidP="003426AC">
            <w:pPr>
              <w:jc w:val="right"/>
              <w:rPr>
                <w:rFonts w:asciiTheme="minorHAnsi" w:eastAsiaTheme="minorEastAsia" w:hAnsiTheme="minorHAnsi"/>
                <w:b/>
                <w:color w:val="00679B"/>
                <w:sz w:val="20"/>
                <w:szCs w:val="20"/>
                <w:lang w:val="en-GB"/>
              </w:rPr>
            </w:pPr>
            <w:r w:rsidRPr="00A96D90">
              <w:rPr>
                <w:rFonts w:asciiTheme="minorHAnsi" w:eastAsiaTheme="minorEastAsia" w:hAnsiTheme="minorHAnsi"/>
                <w:b/>
                <w:color w:val="00679B"/>
                <w:sz w:val="20"/>
                <w:szCs w:val="20"/>
                <w:lang w:val="en-GB"/>
              </w:rPr>
              <w:t>HY 2017</w:t>
            </w:r>
          </w:p>
        </w:tc>
        <w:tc>
          <w:tcPr>
            <w:tcW w:w="1343" w:type="dxa"/>
            <w:tcBorders>
              <w:top w:val="nil"/>
              <w:left w:val="nil"/>
              <w:bottom w:val="single" w:sz="4" w:space="0" w:color="A6A6A6" w:themeColor="background1" w:themeShade="A6"/>
              <w:right w:val="nil"/>
            </w:tcBorders>
            <w:shd w:val="clear" w:color="auto" w:fill="FFFFFF" w:themeFill="background1"/>
          </w:tcPr>
          <w:p w14:paraId="2BEDAA45" w14:textId="73541E0D" w:rsidR="00E64F9D" w:rsidRPr="00A96D90" w:rsidRDefault="00E64F9D" w:rsidP="003426AC">
            <w:pPr>
              <w:jc w:val="right"/>
              <w:rPr>
                <w:rFonts w:asciiTheme="minorHAnsi" w:eastAsiaTheme="minorEastAsia" w:hAnsiTheme="minorHAnsi"/>
                <w:b/>
                <w:color w:val="00679B"/>
                <w:sz w:val="20"/>
                <w:szCs w:val="20"/>
                <w:lang w:val="en-GB"/>
              </w:rPr>
            </w:pPr>
            <w:r w:rsidRPr="00A96D90">
              <w:rPr>
                <w:rFonts w:asciiTheme="minorHAnsi" w:eastAsiaTheme="minorEastAsia" w:hAnsiTheme="minorHAnsi"/>
                <w:b/>
                <w:color w:val="00679B"/>
                <w:sz w:val="20"/>
                <w:szCs w:val="20"/>
                <w:lang w:val="en-GB"/>
              </w:rPr>
              <w:t>HY 201</w:t>
            </w:r>
            <w:r w:rsidR="00183BE2" w:rsidRPr="00A96D90">
              <w:rPr>
                <w:rFonts w:asciiTheme="minorHAnsi" w:eastAsiaTheme="minorEastAsia" w:hAnsiTheme="minorHAnsi"/>
                <w:b/>
                <w:color w:val="00679B"/>
                <w:sz w:val="20"/>
                <w:szCs w:val="20"/>
                <w:lang w:val="en-GB"/>
              </w:rPr>
              <w:t>6</w:t>
            </w:r>
          </w:p>
        </w:tc>
      </w:tr>
      <w:tr w:rsidR="00183BE2" w:rsidRPr="00A96D90" w14:paraId="4C9E7A7C" w14:textId="77777777" w:rsidTr="00F23751">
        <w:trPr>
          <w:trHeight w:val="270"/>
          <w:jc w:val="center"/>
        </w:trPr>
        <w:tc>
          <w:tcPr>
            <w:tcW w:w="6521" w:type="dxa"/>
            <w:tcBorders>
              <w:top w:val="single" w:sz="4" w:space="0" w:color="A6A6A6" w:themeColor="background1" w:themeShade="A6"/>
              <w:bottom w:val="nil"/>
            </w:tcBorders>
            <w:shd w:val="clear" w:color="auto" w:fill="FFFFFF" w:themeFill="background1"/>
          </w:tcPr>
          <w:p w14:paraId="28ED7899" w14:textId="77777777" w:rsidR="00183BE2" w:rsidRPr="00A96D90" w:rsidRDefault="00183BE2" w:rsidP="00183BE2">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US</w:t>
            </w:r>
          </w:p>
        </w:tc>
        <w:tc>
          <w:tcPr>
            <w:tcW w:w="992" w:type="dxa"/>
            <w:tcBorders>
              <w:top w:val="single" w:sz="4" w:space="0" w:color="A6A6A6" w:themeColor="background1" w:themeShade="A6"/>
              <w:bottom w:val="nil"/>
            </w:tcBorders>
            <w:shd w:val="clear" w:color="auto" w:fill="F2F2F2" w:themeFill="background1" w:themeFillShade="F2"/>
          </w:tcPr>
          <w:p w14:paraId="393860EC" w14:textId="7F3678A1" w:rsidR="00183BE2" w:rsidRPr="00A96D90" w:rsidRDefault="002D41AC"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28,582</w:t>
            </w:r>
          </w:p>
        </w:tc>
        <w:tc>
          <w:tcPr>
            <w:tcW w:w="1343" w:type="dxa"/>
            <w:tcBorders>
              <w:top w:val="single" w:sz="4" w:space="0" w:color="A6A6A6" w:themeColor="background1" w:themeShade="A6"/>
              <w:bottom w:val="nil"/>
            </w:tcBorders>
            <w:shd w:val="clear" w:color="auto" w:fill="FFFFFF" w:themeFill="background1"/>
          </w:tcPr>
          <w:p w14:paraId="42EB0152" w14:textId="4B6085B8" w:rsidR="00183BE2" w:rsidRPr="00A96D90" w:rsidRDefault="00183BE2"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4,072</w:t>
            </w:r>
          </w:p>
        </w:tc>
      </w:tr>
      <w:tr w:rsidR="00183BE2" w:rsidRPr="00A96D90" w14:paraId="35165FB3" w14:textId="77777777" w:rsidTr="00F23751">
        <w:trPr>
          <w:trHeight w:val="258"/>
          <w:jc w:val="center"/>
        </w:trPr>
        <w:tc>
          <w:tcPr>
            <w:tcW w:w="6521" w:type="dxa"/>
            <w:tcBorders>
              <w:top w:val="nil"/>
              <w:bottom w:val="nil"/>
            </w:tcBorders>
            <w:shd w:val="clear" w:color="auto" w:fill="FFFFFF" w:themeFill="background1"/>
          </w:tcPr>
          <w:p w14:paraId="6C1D5281" w14:textId="1600749E" w:rsidR="00183BE2" w:rsidRPr="00A96D90" w:rsidRDefault="00183BE2" w:rsidP="00183BE2">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Europe</w:t>
            </w:r>
          </w:p>
        </w:tc>
        <w:tc>
          <w:tcPr>
            <w:tcW w:w="992" w:type="dxa"/>
            <w:tcBorders>
              <w:top w:val="nil"/>
              <w:bottom w:val="nil"/>
            </w:tcBorders>
            <w:shd w:val="clear" w:color="auto" w:fill="F2F2F2" w:themeFill="background1" w:themeFillShade="F2"/>
          </w:tcPr>
          <w:p w14:paraId="3BF321FD" w14:textId="33439E02" w:rsidR="00183BE2" w:rsidRPr="00A96D90" w:rsidRDefault="002D41AC"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1,600</w:t>
            </w:r>
          </w:p>
        </w:tc>
        <w:tc>
          <w:tcPr>
            <w:tcW w:w="1343" w:type="dxa"/>
            <w:tcBorders>
              <w:top w:val="nil"/>
              <w:bottom w:val="nil"/>
            </w:tcBorders>
            <w:shd w:val="clear" w:color="auto" w:fill="FFFFFF" w:themeFill="background1"/>
          </w:tcPr>
          <w:p w14:paraId="796BBBF3" w14:textId="556D8979" w:rsidR="00183BE2" w:rsidRPr="00A96D90" w:rsidRDefault="002D41AC"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948</w:t>
            </w:r>
          </w:p>
        </w:tc>
      </w:tr>
      <w:tr w:rsidR="00183BE2" w:rsidRPr="00A96D90" w14:paraId="5099FCC0" w14:textId="77777777" w:rsidTr="008621D3">
        <w:trPr>
          <w:trHeight w:val="258"/>
          <w:jc w:val="center"/>
        </w:trPr>
        <w:tc>
          <w:tcPr>
            <w:tcW w:w="6521" w:type="dxa"/>
            <w:tcBorders>
              <w:top w:val="nil"/>
              <w:bottom w:val="nil"/>
            </w:tcBorders>
            <w:shd w:val="clear" w:color="auto" w:fill="FFFFFF" w:themeFill="background1"/>
          </w:tcPr>
          <w:p w14:paraId="76CDBCC3" w14:textId="18B45743" w:rsidR="00183BE2" w:rsidRPr="00A96D90" w:rsidRDefault="00183BE2" w:rsidP="00183BE2">
            <w:pPr>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RoW</w:t>
            </w:r>
          </w:p>
        </w:tc>
        <w:tc>
          <w:tcPr>
            <w:tcW w:w="992" w:type="dxa"/>
            <w:tcBorders>
              <w:top w:val="nil"/>
              <w:bottom w:val="nil"/>
            </w:tcBorders>
            <w:shd w:val="clear" w:color="auto" w:fill="F2F2F2" w:themeFill="background1" w:themeFillShade="F2"/>
          </w:tcPr>
          <w:p w14:paraId="4DCF7D40" w14:textId="438F28DC" w:rsidR="00183BE2" w:rsidRPr="00A96D90" w:rsidRDefault="002D41AC"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463</w:t>
            </w:r>
          </w:p>
        </w:tc>
        <w:tc>
          <w:tcPr>
            <w:tcW w:w="1343" w:type="dxa"/>
            <w:tcBorders>
              <w:top w:val="nil"/>
              <w:bottom w:val="nil"/>
            </w:tcBorders>
            <w:shd w:val="clear" w:color="auto" w:fill="FFFFFF" w:themeFill="background1"/>
          </w:tcPr>
          <w:p w14:paraId="2C04D632" w14:textId="0B5F4414" w:rsidR="00183BE2" w:rsidRPr="00A96D90" w:rsidRDefault="002D41AC" w:rsidP="00183BE2">
            <w:pPr>
              <w:jc w:val="right"/>
              <w:rPr>
                <w:rFonts w:asciiTheme="minorHAnsi" w:eastAsiaTheme="minorEastAsia" w:hAnsiTheme="minorHAnsi" w:cstheme="minorHAnsi"/>
                <w:color w:val="59595B"/>
                <w:sz w:val="20"/>
                <w:szCs w:val="20"/>
                <w:lang w:val="en-GB"/>
              </w:rPr>
            </w:pPr>
            <w:r w:rsidRPr="00A96D90">
              <w:rPr>
                <w:rFonts w:asciiTheme="minorHAnsi" w:eastAsiaTheme="minorEastAsia" w:hAnsiTheme="minorHAnsi" w:cstheme="minorHAnsi"/>
                <w:color w:val="59595B"/>
                <w:sz w:val="20"/>
                <w:szCs w:val="20"/>
                <w:lang w:val="en-GB"/>
              </w:rPr>
              <w:t>254</w:t>
            </w:r>
          </w:p>
        </w:tc>
      </w:tr>
      <w:tr w:rsidR="00183BE2" w:rsidRPr="00A96D90" w14:paraId="5491F142" w14:textId="77777777" w:rsidTr="008621D3">
        <w:trPr>
          <w:trHeight w:val="270"/>
          <w:jc w:val="center"/>
        </w:trPr>
        <w:tc>
          <w:tcPr>
            <w:tcW w:w="6521" w:type="dxa"/>
            <w:tcBorders>
              <w:top w:val="single" w:sz="4" w:space="0" w:color="A6A6A6" w:themeColor="background1" w:themeShade="A6"/>
              <w:bottom w:val="single" w:sz="4" w:space="0" w:color="A6A6A6" w:themeColor="background1" w:themeShade="A6"/>
            </w:tcBorders>
            <w:shd w:val="clear" w:color="auto" w:fill="FFFFFF" w:themeFill="background1"/>
          </w:tcPr>
          <w:p w14:paraId="0B3AFC77" w14:textId="77777777" w:rsidR="00183BE2" w:rsidRPr="00A96D90" w:rsidRDefault="00183BE2" w:rsidP="00183BE2">
            <w:pPr>
              <w:rPr>
                <w:rFonts w:asciiTheme="minorHAnsi" w:eastAsiaTheme="minorEastAsia" w:hAnsiTheme="minorHAnsi" w:cstheme="minorHAnsi"/>
                <w:b/>
                <w:color w:val="59595B"/>
                <w:sz w:val="20"/>
                <w:szCs w:val="20"/>
                <w:lang w:val="en-GB"/>
              </w:rPr>
            </w:pPr>
            <w:r w:rsidRPr="00A96D90">
              <w:rPr>
                <w:rFonts w:asciiTheme="minorHAnsi" w:eastAsiaTheme="minorEastAsia" w:hAnsiTheme="minorHAnsi" w:cstheme="minorHAnsi"/>
                <w:b/>
                <w:color w:val="59595B"/>
                <w:sz w:val="20"/>
                <w:szCs w:val="20"/>
                <w:lang w:val="en-GB"/>
              </w:rPr>
              <w:t>Total revenues</w:t>
            </w:r>
          </w:p>
        </w:tc>
        <w:tc>
          <w:tcPr>
            <w:tcW w:w="992"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0F40A4A" w14:textId="17CA9AA6" w:rsidR="00183BE2" w:rsidRPr="00A96D90" w:rsidRDefault="002D41AC" w:rsidP="00183BE2">
            <w:pPr>
              <w:jc w:val="right"/>
              <w:rPr>
                <w:rFonts w:asciiTheme="minorHAnsi" w:eastAsiaTheme="minorEastAsia" w:hAnsiTheme="minorHAnsi" w:cstheme="minorHAnsi"/>
                <w:b/>
                <w:color w:val="59595B"/>
                <w:sz w:val="20"/>
                <w:szCs w:val="20"/>
                <w:lang w:val="en-GB"/>
              </w:rPr>
            </w:pPr>
            <w:r w:rsidRPr="00A96D90">
              <w:rPr>
                <w:rFonts w:asciiTheme="minorHAnsi" w:eastAsiaTheme="minorEastAsia" w:hAnsiTheme="minorHAnsi" w:cstheme="minorHAnsi"/>
                <w:b/>
                <w:color w:val="59595B"/>
                <w:sz w:val="20"/>
                <w:szCs w:val="20"/>
                <w:lang w:val="en-GB"/>
              </w:rPr>
              <w:t>30,645</w:t>
            </w:r>
          </w:p>
        </w:tc>
        <w:tc>
          <w:tcPr>
            <w:tcW w:w="1343" w:type="dxa"/>
            <w:tcBorders>
              <w:bottom w:val="single" w:sz="4" w:space="0" w:color="A6A6A6" w:themeColor="background1" w:themeShade="A6"/>
            </w:tcBorders>
            <w:shd w:val="clear" w:color="auto" w:fill="FFFFFF" w:themeFill="background1"/>
          </w:tcPr>
          <w:p w14:paraId="5D3BA767" w14:textId="25371E53" w:rsidR="00183BE2" w:rsidRPr="00A96D90" w:rsidRDefault="00183BE2" w:rsidP="00183BE2">
            <w:pPr>
              <w:jc w:val="right"/>
              <w:rPr>
                <w:rFonts w:asciiTheme="minorHAnsi" w:eastAsiaTheme="minorEastAsia" w:hAnsiTheme="minorHAnsi" w:cstheme="minorHAnsi"/>
                <w:b/>
                <w:color w:val="59595B"/>
                <w:sz w:val="20"/>
                <w:szCs w:val="20"/>
                <w:lang w:val="en-GB"/>
              </w:rPr>
            </w:pPr>
            <w:r w:rsidRPr="00A96D90">
              <w:rPr>
                <w:rFonts w:asciiTheme="minorHAnsi" w:eastAsiaTheme="minorEastAsia" w:hAnsiTheme="minorHAnsi" w:cstheme="minorHAnsi"/>
                <w:b/>
                <w:color w:val="59595B"/>
                <w:sz w:val="20"/>
                <w:szCs w:val="20"/>
                <w:lang w:val="en-GB"/>
              </w:rPr>
              <w:t>5,274</w:t>
            </w:r>
          </w:p>
        </w:tc>
      </w:tr>
    </w:tbl>
    <w:p w14:paraId="53B70157" w14:textId="77777777" w:rsidR="009C3E6C" w:rsidRDefault="009C3E6C" w:rsidP="009C3E6C">
      <w:pPr>
        <w:pStyle w:val="ListParagraph"/>
        <w:autoSpaceDE w:val="0"/>
        <w:autoSpaceDN w:val="0"/>
        <w:adjustRightInd w:val="0"/>
        <w:spacing w:before="240"/>
        <w:rPr>
          <w:rFonts w:asciiTheme="majorHAnsi" w:hAnsiTheme="majorHAnsi" w:cstheme="minorHAnsi"/>
          <w:i/>
          <w:color w:val="59595B"/>
          <w:sz w:val="24"/>
          <w:szCs w:val="22"/>
          <w:lang w:val="en-GB"/>
        </w:rPr>
      </w:pPr>
    </w:p>
    <w:p w14:paraId="6A5408DA" w14:textId="3D21C608" w:rsidR="00E64F9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lastRenderedPageBreak/>
        <w:t>Expenses by nature</w:t>
      </w:r>
    </w:p>
    <w:p w14:paraId="3D0383BD" w14:textId="4C8134CB" w:rsidR="00E64F9D" w:rsidRPr="00A96D90" w:rsidRDefault="00E64F9D" w:rsidP="00196879">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Cost of product sales in the first half year of 201</w:t>
      </w:r>
      <w:r w:rsidR="00BA6096" w:rsidRPr="00A96D90">
        <w:rPr>
          <w:rFonts w:ascii="Calibri Light" w:hAnsi="Calibri Light" w:cs="Calibri Light"/>
          <w:bCs w:val="0"/>
          <w:color w:val="59595B"/>
          <w:szCs w:val="20"/>
        </w:rPr>
        <w:t>7</w:t>
      </w:r>
      <w:r w:rsidRPr="00A96D90">
        <w:rPr>
          <w:rFonts w:ascii="Calibri Light" w:hAnsi="Calibri Light" w:cs="Calibri Light"/>
          <w:bCs w:val="0"/>
          <w:color w:val="59595B"/>
          <w:szCs w:val="20"/>
        </w:rPr>
        <w:t xml:space="preserve"> amounted to €</w:t>
      </w:r>
      <w:r w:rsidR="00BA6096" w:rsidRPr="00A96D90">
        <w:rPr>
          <w:rFonts w:ascii="Calibri Light" w:hAnsi="Calibri Light" w:cs="Calibri Light"/>
          <w:bCs w:val="0"/>
          <w:color w:val="59595B"/>
          <w:szCs w:val="20"/>
        </w:rPr>
        <w:t>3.7</w:t>
      </w:r>
      <w:r w:rsidRPr="00A96D90">
        <w:rPr>
          <w:rFonts w:ascii="Calibri Light" w:hAnsi="Calibri Light" w:cs="Calibri Light"/>
          <w:bCs w:val="0"/>
          <w:color w:val="59595B"/>
          <w:szCs w:val="20"/>
        </w:rPr>
        <w:t xml:space="preserve"> million (</w:t>
      </w:r>
      <w:r w:rsidR="009A58DF" w:rsidRPr="00A96D90">
        <w:rPr>
          <w:rFonts w:ascii="Calibri Light" w:hAnsi="Calibri Light" w:cs="Calibri Light"/>
          <w:bCs w:val="0"/>
          <w:color w:val="59595B"/>
          <w:szCs w:val="20"/>
        </w:rPr>
        <w:t xml:space="preserve">HY </w:t>
      </w:r>
      <w:r w:rsidR="00BA6096" w:rsidRPr="00A96D90">
        <w:rPr>
          <w:rFonts w:ascii="Calibri Light" w:hAnsi="Calibri Light" w:cs="Calibri Light"/>
          <w:bCs w:val="0"/>
          <w:color w:val="59595B"/>
          <w:szCs w:val="20"/>
        </w:rPr>
        <w:t>2016</w:t>
      </w:r>
      <w:r w:rsidRPr="00A96D90">
        <w:rPr>
          <w:rFonts w:ascii="Calibri Light" w:hAnsi="Calibri Light" w:cs="Calibri Light"/>
          <w:bCs w:val="0"/>
          <w:color w:val="59595B"/>
          <w:szCs w:val="20"/>
        </w:rPr>
        <w:t>: €</w:t>
      </w:r>
      <w:r w:rsidR="00BA6096" w:rsidRPr="00A96D90">
        <w:rPr>
          <w:rFonts w:ascii="Calibri Light" w:hAnsi="Calibri Light" w:cs="Calibri Light"/>
          <w:bCs w:val="0"/>
          <w:color w:val="59595B"/>
          <w:szCs w:val="20"/>
        </w:rPr>
        <w:t>1.8</w:t>
      </w:r>
      <w:r w:rsidRPr="00A96D90">
        <w:rPr>
          <w:rFonts w:ascii="Calibri Light" w:hAnsi="Calibri Light" w:cs="Calibri Light"/>
          <w:bCs w:val="0"/>
          <w:color w:val="59595B"/>
          <w:szCs w:val="20"/>
        </w:rPr>
        <w:t xml:space="preserve"> million). Inventory impairments amounted to an addition of €0.</w:t>
      </w:r>
      <w:r w:rsidR="00BA6096" w:rsidRPr="00A96D90">
        <w:rPr>
          <w:rFonts w:ascii="Calibri Light" w:hAnsi="Calibri Light" w:cs="Calibri Light"/>
          <w:bCs w:val="0"/>
          <w:color w:val="59595B"/>
          <w:szCs w:val="20"/>
        </w:rPr>
        <w:t>1</w:t>
      </w:r>
      <w:r w:rsidRPr="00A96D90">
        <w:rPr>
          <w:rFonts w:ascii="Calibri Light" w:hAnsi="Calibri Light" w:cs="Calibri Light"/>
          <w:bCs w:val="0"/>
          <w:color w:val="59595B"/>
          <w:szCs w:val="20"/>
        </w:rPr>
        <w:t xml:space="preserve"> million in the first half of 201</w:t>
      </w:r>
      <w:r w:rsidR="00BA6096" w:rsidRPr="00A96D90">
        <w:rPr>
          <w:rFonts w:ascii="Calibri Light" w:hAnsi="Calibri Light" w:cs="Calibri Light"/>
          <w:bCs w:val="0"/>
          <w:color w:val="59595B"/>
          <w:szCs w:val="20"/>
        </w:rPr>
        <w:t>7</w:t>
      </w:r>
      <w:r w:rsidRPr="00A96D90">
        <w:rPr>
          <w:rFonts w:ascii="Calibri Light" w:hAnsi="Calibri Light" w:cs="Calibri Light"/>
          <w:bCs w:val="0"/>
          <w:color w:val="59595B"/>
          <w:szCs w:val="20"/>
        </w:rPr>
        <w:t xml:space="preserve"> (201</w:t>
      </w:r>
      <w:r w:rsidR="00BA6096" w:rsidRPr="00A96D90">
        <w:rPr>
          <w:rFonts w:ascii="Calibri Light" w:hAnsi="Calibri Light" w:cs="Calibri Light"/>
          <w:bCs w:val="0"/>
          <w:color w:val="59595B"/>
          <w:szCs w:val="20"/>
        </w:rPr>
        <w:t>6</w:t>
      </w:r>
      <w:r w:rsidRPr="00A96D90">
        <w:rPr>
          <w:rFonts w:ascii="Calibri Light" w:hAnsi="Calibri Light" w:cs="Calibri Light"/>
          <w:bCs w:val="0"/>
          <w:color w:val="59595B"/>
          <w:szCs w:val="20"/>
        </w:rPr>
        <w:t xml:space="preserve">: </w:t>
      </w:r>
      <w:r w:rsidR="00BA6096" w:rsidRPr="00A96D90">
        <w:rPr>
          <w:rFonts w:ascii="Calibri Light" w:hAnsi="Calibri Light" w:cs="Calibri Light"/>
          <w:bCs w:val="0"/>
          <w:color w:val="59595B"/>
          <w:szCs w:val="20"/>
        </w:rPr>
        <w:t>addition</w:t>
      </w:r>
      <w:r w:rsidR="009A58DF" w:rsidRPr="00A96D90">
        <w:rPr>
          <w:rFonts w:ascii="Calibri Light" w:hAnsi="Calibri Light" w:cs="Calibri Light"/>
          <w:bCs w:val="0"/>
          <w:color w:val="59595B"/>
          <w:szCs w:val="20"/>
        </w:rPr>
        <w:t xml:space="preserve"> </w:t>
      </w:r>
      <w:r w:rsidRPr="00A96D90">
        <w:rPr>
          <w:rFonts w:ascii="Calibri Light" w:hAnsi="Calibri Light" w:cs="Calibri Light"/>
          <w:bCs w:val="0"/>
          <w:color w:val="59595B"/>
          <w:szCs w:val="20"/>
        </w:rPr>
        <w:t xml:space="preserve">of €0.2 million). The impairment stems from the valuation of the inventories against lower net realisable value, related to reallocation of inventories to the different markets with different prices, based on sales forecasts by management and commercial partners, and clinical programmes. Actual sales can differ from these forecasts. </w:t>
      </w:r>
    </w:p>
    <w:p w14:paraId="53776744" w14:textId="0FD2DC98" w:rsidR="00E64F9D" w:rsidRPr="00A96D90" w:rsidRDefault="00E64F9D" w:rsidP="00196879">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Operating costs increased to €</w:t>
      </w:r>
      <w:r w:rsidR="00BA6096" w:rsidRPr="00A96D90">
        <w:rPr>
          <w:rFonts w:ascii="Calibri Light" w:hAnsi="Calibri Light" w:cs="Calibri Light"/>
          <w:bCs w:val="0"/>
          <w:color w:val="59595B"/>
          <w:szCs w:val="20"/>
        </w:rPr>
        <w:t>22.9</w:t>
      </w:r>
      <w:r w:rsidRPr="00A96D90">
        <w:rPr>
          <w:rFonts w:ascii="Calibri Light" w:hAnsi="Calibri Light" w:cs="Calibri Light"/>
          <w:bCs w:val="0"/>
          <w:color w:val="59595B"/>
          <w:szCs w:val="20"/>
        </w:rPr>
        <w:t xml:space="preserve"> million from €9.</w:t>
      </w:r>
      <w:r w:rsidR="00BA6096" w:rsidRPr="00A96D90">
        <w:rPr>
          <w:rFonts w:ascii="Calibri Light" w:hAnsi="Calibri Light" w:cs="Calibri Light"/>
          <w:bCs w:val="0"/>
          <w:color w:val="59595B"/>
          <w:szCs w:val="20"/>
        </w:rPr>
        <w:t>7</w:t>
      </w:r>
      <w:r w:rsidRPr="00A96D90">
        <w:rPr>
          <w:rFonts w:ascii="Calibri Light" w:hAnsi="Calibri Light" w:cs="Calibri Light"/>
          <w:bCs w:val="0"/>
          <w:color w:val="59595B"/>
          <w:szCs w:val="20"/>
        </w:rPr>
        <w:t xml:space="preserve"> millio</w:t>
      </w:r>
      <w:r w:rsidR="00BA6096" w:rsidRPr="00A96D90">
        <w:rPr>
          <w:rFonts w:ascii="Calibri Light" w:hAnsi="Calibri Light" w:cs="Calibri Light"/>
          <w:bCs w:val="0"/>
          <w:color w:val="59595B"/>
          <w:szCs w:val="20"/>
        </w:rPr>
        <w:t>n in the first half year of 2016</w:t>
      </w:r>
      <w:r w:rsidRPr="00A96D90">
        <w:rPr>
          <w:rFonts w:ascii="Calibri Light" w:hAnsi="Calibri Light" w:cs="Calibri Light"/>
          <w:bCs w:val="0"/>
          <w:color w:val="59595B"/>
          <w:szCs w:val="20"/>
        </w:rPr>
        <w:t xml:space="preserve">. The increase is a result of the </w:t>
      </w:r>
      <w:r w:rsidR="00384931" w:rsidRPr="00A96D90">
        <w:rPr>
          <w:rFonts w:ascii="Calibri Light" w:hAnsi="Calibri Light" w:cs="Calibri Light"/>
          <w:bCs w:val="0"/>
          <w:color w:val="59595B"/>
          <w:szCs w:val="20"/>
        </w:rPr>
        <w:t>start-up</w:t>
      </w:r>
      <w:r w:rsidR="007350DF" w:rsidRPr="00A96D90">
        <w:rPr>
          <w:rFonts w:ascii="Calibri Light" w:hAnsi="Calibri Light" w:cs="Calibri Light"/>
          <w:bCs w:val="0"/>
          <w:color w:val="59595B"/>
          <w:szCs w:val="20"/>
        </w:rPr>
        <w:t xml:space="preserve"> of the new sales organization i</w:t>
      </w:r>
      <w:r w:rsidR="00BA6096" w:rsidRPr="00A96D90">
        <w:rPr>
          <w:rFonts w:ascii="Calibri Light" w:hAnsi="Calibri Light" w:cs="Calibri Light"/>
          <w:bCs w:val="0"/>
          <w:color w:val="59595B"/>
          <w:szCs w:val="20"/>
        </w:rPr>
        <w:t xml:space="preserve">n the US and the </w:t>
      </w:r>
      <w:r w:rsidRPr="00A96D90">
        <w:rPr>
          <w:rFonts w:ascii="Calibri Light" w:hAnsi="Calibri Light" w:cs="Calibri Light"/>
          <w:bCs w:val="0"/>
          <w:color w:val="59595B"/>
          <w:szCs w:val="20"/>
        </w:rPr>
        <w:t xml:space="preserve">increased costs </w:t>
      </w:r>
      <w:r w:rsidR="00BA6096" w:rsidRPr="00A96D90">
        <w:rPr>
          <w:rFonts w:ascii="Calibri Light" w:hAnsi="Calibri Light" w:cs="Calibri Light"/>
          <w:bCs w:val="0"/>
          <w:color w:val="59595B"/>
          <w:szCs w:val="20"/>
        </w:rPr>
        <w:t>of</w:t>
      </w:r>
      <w:r w:rsidRPr="00A96D90">
        <w:rPr>
          <w:rFonts w:ascii="Calibri Light" w:hAnsi="Calibri Light" w:cs="Calibri Light"/>
          <w:bCs w:val="0"/>
          <w:color w:val="59595B"/>
          <w:szCs w:val="20"/>
        </w:rPr>
        <w:t xml:space="preserve"> R&amp;D activities </w:t>
      </w:r>
      <w:r w:rsidR="00BA6096" w:rsidRPr="00A96D90">
        <w:rPr>
          <w:rFonts w:ascii="Calibri Light" w:hAnsi="Calibri Light" w:cs="Calibri Light"/>
          <w:bCs w:val="0"/>
          <w:color w:val="59595B"/>
          <w:szCs w:val="20"/>
        </w:rPr>
        <w:t xml:space="preserve">related to </w:t>
      </w:r>
      <w:r w:rsidR="00D6715C" w:rsidRPr="00A96D90">
        <w:rPr>
          <w:rFonts w:ascii="Calibri Light" w:hAnsi="Calibri Light" w:cs="Calibri Light"/>
          <w:bCs w:val="0"/>
          <w:color w:val="59595B"/>
          <w:szCs w:val="20"/>
        </w:rPr>
        <w:t>further improvements to</w:t>
      </w:r>
      <w:r w:rsidR="00BA6096" w:rsidRPr="00A96D90">
        <w:rPr>
          <w:rFonts w:ascii="Calibri Light" w:hAnsi="Calibri Light" w:cs="Calibri Light"/>
          <w:bCs w:val="0"/>
          <w:color w:val="59595B"/>
          <w:szCs w:val="20"/>
        </w:rPr>
        <w:t xml:space="preserve"> </w:t>
      </w:r>
      <w:r w:rsidR="00D6715C" w:rsidRPr="00A96D90">
        <w:rPr>
          <w:rFonts w:ascii="Calibri Light" w:hAnsi="Calibri Light" w:cs="Calibri Light"/>
          <w:bCs w:val="0"/>
          <w:color w:val="59595B"/>
          <w:szCs w:val="20"/>
        </w:rPr>
        <w:t>administrate</w:t>
      </w:r>
      <w:r w:rsidR="00BA6096" w:rsidRPr="00A96D90">
        <w:rPr>
          <w:rFonts w:ascii="Calibri Light" w:hAnsi="Calibri Light" w:cs="Calibri Light"/>
          <w:bCs w:val="0"/>
          <w:color w:val="59595B"/>
          <w:szCs w:val="20"/>
        </w:rPr>
        <w:t xml:space="preserve"> the product</w:t>
      </w:r>
      <w:r w:rsidRPr="00A96D90">
        <w:rPr>
          <w:rFonts w:ascii="Calibri Light" w:hAnsi="Calibri Light" w:cs="Calibri Light"/>
          <w:bCs w:val="0"/>
          <w:color w:val="59595B"/>
          <w:szCs w:val="20"/>
        </w:rPr>
        <w:t>.</w:t>
      </w:r>
    </w:p>
    <w:p w14:paraId="1EE8C12F" w14:textId="77777777" w:rsidR="008653C6" w:rsidRPr="00A96D90" w:rsidRDefault="008653C6" w:rsidP="00243859">
      <w:pPr>
        <w:ind w:firstLine="720"/>
        <w:rPr>
          <w:rFonts w:ascii="Calibri" w:hAnsi="Calibri"/>
          <w:i/>
          <w:color w:val="00679B"/>
          <w:lang w:val="en-GB"/>
        </w:rPr>
      </w:pPr>
    </w:p>
    <w:p w14:paraId="7794E495" w14:textId="0D5F5FBE" w:rsidR="00E64F9D" w:rsidRPr="00A96D90" w:rsidRDefault="00E64F9D" w:rsidP="00243859">
      <w:pPr>
        <w:ind w:firstLine="720"/>
        <w:rPr>
          <w:rFonts w:ascii="Calibri" w:hAnsi="Calibri"/>
          <w:i/>
          <w:color w:val="00679B"/>
          <w:lang w:val="en-GB"/>
        </w:rPr>
      </w:pPr>
      <w:r w:rsidRPr="00A96D90">
        <w:rPr>
          <w:rFonts w:ascii="Calibri" w:hAnsi="Calibri"/>
          <w:i/>
          <w:color w:val="00679B"/>
          <w:lang w:val="en-GB"/>
        </w:rPr>
        <w:t xml:space="preserve">Employee benefits </w:t>
      </w:r>
    </w:p>
    <w:p w14:paraId="1F2F72D2" w14:textId="52978F25" w:rsidR="00E64F9D" w:rsidRPr="00A96D90" w:rsidRDefault="00E64F9D" w:rsidP="00243859">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Employee benefits are charged to Research and development costs or General and administrative costs or Marketing and Sales costs based on the nature of the services provided.</w:t>
      </w:r>
    </w:p>
    <w:p w14:paraId="3B3A2B6F" w14:textId="77777777" w:rsidR="008653C6" w:rsidRPr="00A96D90" w:rsidRDefault="008653C6" w:rsidP="00243859">
      <w:pPr>
        <w:ind w:firstLine="720"/>
        <w:rPr>
          <w:rFonts w:ascii="Calibri" w:hAnsi="Calibri"/>
          <w:i/>
          <w:color w:val="00679B"/>
          <w:lang w:val="en-GB"/>
        </w:rPr>
      </w:pPr>
    </w:p>
    <w:p w14:paraId="7A54AC51" w14:textId="56F62018" w:rsidR="00E64F9D" w:rsidRPr="00A96D90" w:rsidRDefault="00E64F9D" w:rsidP="00243859">
      <w:pPr>
        <w:ind w:firstLine="720"/>
        <w:rPr>
          <w:rFonts w:ascii="Calibri" w:hAnsi="Calibri"/>
          <w:i/>
          <w:color w:val="00679B"/>
          <w:lang w:val="en-GB"/>
        </w:rPr>
      </w:pPr>
      <w:r w:rsidRPr="00A96D90">
        <w:rPr>
          <w:rFonts w:ascii="Calibri" w:hAnsi="Calibri"/>
          <w:i/>
          <w:color w:val="00679B"/>
          <w:lang w:val="en-GB"/>
        </w:rPr>
        <w:t>Depreciation and amortisation charges</w:t>
      </w:r>
    </w:p>
    <w:p w14:paraId="1D638AF3" w14:textId="77777777" w:rsidR="00E64F9D" w:rsidRPr="00A96D90" w:rsidRDefault="00E64F9D" w:rsidP="00E64F9D">
      <w:pPr>
        <w:rPr>
          <w:rFonts w:ascii="Calibri" w:hAnsi="Calibri"/>
          <w:b/>
          <w:color w:val="59595B"/>
          <w:lang w:val="en-GB"/>
        </w:rPr>
      </w:pPr>
    </w:p>
    <w:tbl>
      <w:tblPr>
        <w:tblW w:w="9310" w:type="dxa"/>
        <w:jc w:val="center"/>
        <w:shd w:val="clear" w:color="auto" w:fill="FFFFFF" w:themeFill="background1"/>
        <w:tblLook w:val="04A0" w:firstRow="1" w:lastRow="0" w:firstColumn="1" w:lastColumn="0" w:noHBand="0" w:noVBand="1"/>
      </w:tblPr>
      <w:tblGrid>
        <w:gridCol w:w="6893"/>
        <w:gridCol w:w="1048"/>
        <w:gridCol w:w="1369"/>
      </w:tblGrid>
      <w:tr w:rsidR="00243859" w:rsidRPr="00A96D90" w14:paraId="6E67867F" w14:textId="77777777" w:rsidTr="00531C1C">
        <w:trPr>
          <w:trHeight w:val="264"/>
          <w:jc w:val="center"/>
        </w:trPr>
        <w:tc>
          <w:tcPr>
            <w:tcW w:w="6893" w:type="dxa"/>
            <w:tcBorders>
              <w:bottom w:val="single" w:sz="2" w:space="0" w:color="BFBFBF" w:themeColor="background1" w:themeShade="BF"/>
            </w:tcBorders>
            <w:shd w:val="clear" w:color="auto" w:fill="FFFFFF" w:themeFill="background1"/>
          </w:tcPr>
          <w:p w14:paraId="0ED658EF" w14:textId="77777777" w:rsidR="00E64F9D" w:rsidRPr="00A96D90" w:rsidRDefault="00E64F9D" w:rsidP="003426AC">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Amounts in € ‘000</w:t>
            </w:r>
          </w:p>
        </w:tc>
        <w:tc>
          <w:tcPr>
            <w:tcW w:w="1048" w:type="dxa"/>
            <w:tcBorders>
              <w:bottom w:val="single" w:sz="2" w:space="0" w:color="BFBFBF" w:themeColor="background1" w:themeShade="BF"/>
            </w:tcBorders>
            <w:shd w:val="clear" w:color="auto" w:fill="FFFFFF" w:themeFill="background1"/>
          </w:tcPr>
          <w:p w14:paraId="501E7555" w14:textId="28194BE6" w:rsidR="00E64F9D" w:rsidRPr="00A96D90" w:rsidRDefault="00023A49" w:rsidP="003426AC">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 xml:space="preserve"> HY 2017</w:t>
            </w:r>
          </w:p>
        </w:tc>
        <w:tc>
          <w:tcPr>
            <w:tcW w:w="1369" w:type="dxa"/>
            <w:tcBorders>
              <w:bottom w:val="single" w:sz="2" w:space="0" w:color="BFBFBF" w:themeColor="background1" w:themeShade="BF"/>
            </w:tcBorders>
            <w:shd w:val="clear" w:color="auto" w:fill="FFFFFF" w:themeFill="background1"/>
          </w:tcPr>
          <w:p w14:paraId="3B8813AC" w14:textId="3ECC289C" w:rsidR="00E64F9D" w:rsidRPr="00A96D90" w:rsidRDefault="00E64F9D" w:rsidP="003426AC">
            <w:pPr>
              <w:tabs>
                <w:tab w:val="center" w:pos="831"/>
                <w:tab w:val="right" w:pos="1662"/>
              </w:tabs>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b/>
              <w:t>HY 201</w:t>
            </w:r>
            <w:r w:rsidR="00183BE2" w:rsidRPr="00A96D90">
              <w:rPr>
                <w:rFonts w:asciiTheme="minorHAnsi" w:hAnsiTheme="minorHAnsi"/>
                <w:b/>
                <w:bCs/>
                <w:color w:val="00679B"/>
                <w:sz w:val="20"/>
                <w:szCs w:val="20"/>
                <w:lang w:val="en-GB"/>
              </w:rPr>
              <w:t>6</w:t>
            </w:r>
          </w:p>
        </w:tc>
      </w:tr>
      <w:tr w:rsidR="00183BE2" w:rsidRPr="00A96D90" w14:paraId="6B89574A" w14:textId="77777777" w:rsidTr="00531C1C">
        <w:trPr>
          <w:trHeight w:val="264"/>
          <w:jc w:val="center"/>
        </w:trPr>
        <w:tc>
          <w:tcPr>
            <w:tcW w:w="6893" w:type="dxa"/>
            <w:tcBorders>
              <w:top w:val="single" w:sz="2" w:space="0" w:color="BFBFBF" w:themeColor="background1" w:themeShade="BF"/>
              <w:right w:val="single" w:sz="2" w:space="0" w:color="BFBFBF" w:themeColor="background1" w:themeShade="BF"/>
            </w:tcBorders>
            <w:shd w:val="clear" w:color="auto" w:fill="FFFFFF" w:themeFill="background1"/>
          </w:tcPr>
          <w:p w14:paraId="149FAE40" w14:textId="77777777" w:rsidR="00183BE2" w:rsidRPr="00A96D90" w:rsidRDefault="00183BE2" w:rsidP="00183BE2">
            <w:pPr>
              <w:rPr>
                <w:rFonts w:asciiTheme="minorHAnsi" w:hAnsiTheme="minorHAnsi"/>
                <w:bCs/>
                <w:color w:val="59595B"/>
                <w:sz w:val="20"/>
                <w:szCs w:val="20"/>
                <w:lang w:val="en-GB"/>
              </w:rPr>
            </w:pPr>
            <w:r w:rsidRPr="00A96D90">
              <w:rPr>
                <w:rFonts w:asciiTheme="minorHAnsi" w:hAnsiTheme="minorHAnsi"/>
                <w:color w:val="59595B"/>
                <w:sz w:val="20"/>
                <w:szCs w:val="20"/>
                <w:lang w:val="en-GB"/>
              </w:rPr>
              <w:t>Property, plant and equipment</w:t>
            </w:r>
          </w:p>
        </w:tc>
        <w:tc>
          <w:tcPr>
            <w:tcW w:w="1048"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4CEC8752" w14:textId="22F33AAE" w:rsidR="00183BE2" w:rsidRPr="00A96D90" w:rsidRDefault="00023A49" w:rsidP="00183BE2">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(26</w:t>
            </w:r>
            <w:r w:rsidR="00A9299A" w:rsidRPr="00A96D90">
              <w:rPr>
                <w:rFonts w:asciiTheme="minorHAnsi" w:hAnsiTheme="minorHAnsi"/>
                <w:bCs/>
                <w:color w:val="59595B"/>
                <w:sz w:val="20"/>
                <w:szCs w:val="20"/>
                <w:lang w:val="en-GB"/>
              </w:rPr>
              <w:t>6</w:t>
            </w:r>
            <w:r w:rsidR="00183BE2" w:rsidRPr="00A96D90">
              <w:rPr>
                <w:rFonts w:asciiTheme="minorHAnsi" w:hAnsiTheme="minorHAnsi"/>
                <w:bCs/>
                <w:color w:val="59595B"/>
                <w:sz w:val="20"/>
                <w:szCs w:val="20"/>
                <w:lang w:val="en-GB"/>
              </w:rPr>
              <w:t>)</w:t>
            </w:r>
          </w:p>
        </w:tc>
        <w:tc>
          <w:tcPr>
            <w:tcW w:w="1369"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291025DD" w14:textId="78379134" w:rsidR="00183BE2" w:rsidRPr="00A96D90" w:rsidRDefault="00183BE2" w:rsidP="00183BE2">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(290)</w:t>
            </w:r>
          </w:p>
        </w:tc>
      </w:tr>
      <w:tr w:rsidR="00183BE2" w:rsidRPr="00A96D90" w14:paraId="3F46C801" w14:textId="77777777" w:rsidTr="00531C1C">
        <w:trPr>
          <w:trHeight w:val="264"/>
          <w:jc w:val="center"/>
        </w:trPr>
        <w:tc>
          <w:tcPr>
            <w:tcW w:w="6893" w:type="dxa"/>
            <w:tcBorders>
              <w:bottom w:val="single" w:sz="2" w:space="0" w:color="BFBFBF" w:themeColor="background1" w:themeShade="BF"/>
              <w:right w:val="single" w:sz="2" w:space="0" w:color="BFBFBF" w:themeColor="background1" w:themeShade="BF"/>
            </w:tcBorders>
            <w:shd w:val="clear" w:color="auto" w:fill="FFFFFF" w:themeFill="background1"/>
          </w:tcPr>
          <w:p w14:paraId="0EE6A114" w14:textId="77777777" w:rsidR="00183BE2" w:rsidRPr="00A96D90" w:rsidRDefault="00183BE2" w:rsidP="00183BE2">
            <w:pPr>
              <w:rPr>
                <w:rFonts w:asciiTheme="minorHAnsi" w:hAnsiTheme="minorHAnsi"/>
                <w:bCs/>
                <w:color w:val="59595B"/>
                <w:sz w:val="20"/>
                <w:szCs w:val="20"/>
                <w:lang w:val="en-GB"/>
              </w:rPr>
            </w:pPr>
            <w:r w:rsidRPr="00A96D90">
              <w:rPr>
                <w:rFonts w:asciiTheme="minorHAnsi" w:hAnsiTheme="minorHAnsi"/>
                <w:color w:val="59595B"/>
                <w:sz w:val="20"/>
                <w:szCs w:val="20"/>
                <w:lang w:val="en-GB"/>
              </w:rPr>
              <w:t>Intangible assets</w:t>
            </w:r>
          </w:p>
        </w:tc>
        <w:tc>
          <w:tcPr>
            <w:tcW w:w="1048"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0BE4505" w14:textId="229F54DC" w:rsidR="00183BE2" w:rsidRPr="00A96D90" w:rsidRDefault="00023A49" w:rsidP="00183BE2">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(1,423</w:t>
            </w:r>
            <w:r w:rsidR="00183BE2" w:rsidRPr="00A96D90">
              <w:rPr>
                <w:rFonts w:asciiTheme="minorHAnsi" w:hAnsiTheme="minorHAnsi"/>
                <w:bCs/>
                <w:color w:val="59595B"/>
                <w:sz w:val="20"/>
                <w:szCs w:val="20"/>
                <w:lang w:val="en-GB"/>
              </w:rPr>
              <w:t>)</w:t>
            </w:r>
          </w:p>
        </w:tc>
        <w:tc>
          <w:tcPr>
            <w:tcW w:w="1369"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5E6AB8F7" w14:textId="1CE76B14" w:rsidR="00183BE2" w:rsidRPr="00A96D90" w:rsidRDefault="00183BE2" w:rsidP="00183BE2">
            <w:pPr>
              <w:jc w:val="right"/>
              <w:rPr>
                <w:rFonts w:asciiTheme="minorHAnsi" w:hAnsiTheme="minorHAnsi"/>
                <w:bCs/>
                <w:color w:val="59595B"/>
                <w:sz w:val="20"/>
                <w:szCs w:val="20"/>
                <w:lang w:val="en-GB"/>
              </w:rPr>
            </w:pPr>
            <w:r w:rsidRPr="00A96D90">
              <w:rPr>
                <w:rFonts w:asciiTheme="minorHAnsi" w:hAnsiTheme="minorHAnsi"/>
                <w:bCs/>
                <w:color w:val="59595B"/>
                <w:sz w:val="20"/>
                <w:szCs w:val="20"/>
                <w:lang w:val="en-GB"/>
              </w:rPr>
              <w:t>(26)</w:t>
            </w:r>
          </w:p>
        </w:tc>
      </w:tr>
      <w:tr w:rsidR="00183BE2" w:rsidRPr="00A96D90" w14:paraId="45EB3DAB" w14:textId="77777777" w:rsidTr="00531C1C">
        <w:trPr>
          <w:trHeight w:val="275"/>
          <w:jc w:val="center"/>
        </w:trPr>
        <w:tc>
          <w:tcPr>
            <w:tcW w:w="6893"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97393E6" w14:textId="77777777" w:rsidR="00183BE2" w:rsidRPr="00A96D90" w:rsidRDefault="00183BE2" w:rsidP="00183BE2">
            <w:pPr>
              <w:rPr>
                <w:rFonts w:asciiTheme="minorHAnsi" w:hAnsiTheme="minorHAnsi"/>
                <w:b/>
                <w:bCs/>
                <w:color w:val="59595B"/>
                <w:sz w:val="20"/>
                <w:szCs w:val="20"/>
                <w:lang w:val="en-GB"/>
              </w:rPr>
            </w:pPr>
            <w:r w:rsidRPr="00A96D90">
              <w:rPr>
                <w:rFonts w:asciiTheme="minorHAnsi" w:hAnsiTheme="minorHAnsi"/>
                <w:b/>
                <w:bCs/>
                <w:color w:val="59595B"/>
                <w:sz w:val="20"/>
                <w:szCs w:val="20"/>
                <w:lang w:val="en-GB"/>
              </w:rPr>
              <w:t>Total</w:t>
            </w:r>
          </w:p>
        </w:tc>
        <w:tc>
          <w:tcPr>
            <w:tcW w:w="10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01FDA79D" w14:textId="00E6748A" w:rsidR="00183BE2" w:rsidRPr="00A96D90" w:rsidRDefault="00023A49" w:rsidP="00183BE2">
            <w:pPr>
              <w:jc w:val="right"/>
              <w:rPr>
                <w:rFonts w:asciiTheme="minorHAnsi" w:hAnsiTheme="minorHAnsi"/>
                <w:b/>
                <w:bCs/>
                <w:color w:val="59595B"/>
                <w:sz w:val="20"/>
                <w:szCs w:val="20"/>
                <w:lang w:val="en-GB"/>
              </w:rPr>
            </w:pPr>
            <w:r w:rsidRPr="00A96D90">
              <w:rPr>
                <w:rFonts w:asciiTheme="minorHAnsi" w:hAnsiTheme="minorHAnsi"/>
                <w:b/>
                <w:bCs/>
                <w:color w:val="59595B"/>
                <w:sz w:val="20"/>
                <w:szCs w:val="20"/>
                <w:lang w:val="en-GB"/>
              </w:rPr>
              <w:t>(1,689</w:t>
            </w:r>
            <w:r w:rsidR="00183BE2" w:rsidRPr="00A96D90">
              <w:rPr>
                <w:rFonts w:asciiTheme="minorHAnsi" w:hAnsiTheme="minorHAnsi"/>
                <w:b/>
                <w:bCs/>
                <w:color w:val="59595B"/>
                <w:sz w:val="20"/>
                <w:szCs w:val="20"/>
                <w:lang w:val="en-GB"/>
              </w:rPr>
              <w:t>)</w:t>
            </w:r>
          </w:p>
        </w:tc>
        <w:tc>
          <w:tcPr>
            <w:tcW w:w="136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B13E954" w14:textId="24685E4B" w:rsidR="00183BE2" w:rsidRPr="00A96D90" w:rsidRDefault="00183BE2" w:rsidP="00183BE2">
            <w:pPr>
              <w:jc w:val="right"/>
              <w:rPr>
                <w:rFonts w:asciiTheme="minorHAnsi" w:hAnsiTheme="minorHAnsi"/>
                <w:b/>
                <w:bCs/>
                <w:color w:val="59595B"/>
                <w:sz w:val="20"/>
                <w:szCs w:val="20"/>
                <w:lang w:val="en-GB"/>
              </w:rPr>
            </w:pPr>
            <w:r w:rsidRPr="00A96D90">
              <w:rPr>
                <w:rFonts w:asciiTheme="minorHAnsi" w:hAnsiTheme="minorHAnsi"/>
                <w:b/>
                <w:bCs/>
                <w:color w:val="59595B"/>
                <w:sz w:val="20"/>
                <w:szCs w:val="20"/>
                <w:lang w:val="en-GB"/>
              </w:rPr>
              <w:t>(316)</w:t>
            </w:r>
          </w:p>
        </w:tc>
      </w:tr>
    </w:tbl>
    <w:p w14:paraId="6CA9A727" w14:textId="77777777" w:rsidR="00E64F9D" w:rsidRPr="00A96D90" w:rsidRDefault="00E64F9D" w:rsidP="00E64F9D">
      <w:pPr>
        <w:pStyle w:val="AL"/>
        <w:rPr>
          <w:rFonts w:ascii="Calibri" w:hAnsi="Calibri"/>
          <w:color w:val="59595B"/>
        </w:rPr>
      </w:pPr>
    </w:p>
    <w:p w14:paraId="4EB21379" w14:textId="408C0B21" w:rsidR="00023A49" w:rsidRPr="00A96D90" w:rsidRDefault="00E64F9D" w:rsidP="00023A49">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The </w:t>
      </w:r>
      <w:r w:rsidR="00023A49" w:rsidRPr="00A96D90">
        <w:rPr>
          <w:rFonts w:ascii="Calibri Light" w:hAnsi="Calibri Light" w:cs="Calibri Light"/>
          <w:bCs w:val="0"/>
          <w:color w:val="59595B"/>
          <w:szCs w:val="20"/>
        </w:rPr>
        <w:t>decrease</w:t>
      </w:r>
      <w:r w:rsidRPr="00A96D90">
        <w:rPr>
          <w:rFonts w:ascii="Calibri Light" w:hAnsi="Calibri Light" w:cs="Calibri Light"/>
          <w:bCs w:val="0"/>
          <w:color w:val="59595B"/>
          <w:szCs w:val="20"/>
        </w:rPr>
        <w:t xml:space="preserve"> of depreciation charges of property, plant and equipmen</w:t>
      </w:r>
      <w:r w:rsidR="00023A49" w:rsidRPr="00A96D90">
        <w:rPr>
          <w:rFonts w:ascii="Calibri Light" w:hAnsi="Calibri Light" w:cs="Calibri Light"/>
          <w:bCs w:val="0"/>
          <w:color w:val="59595B"/>
          <w:szCs w:val="20"/>
        </w:rPr>
        <w:t>t in the first half year of 2017 compared to 2016</w:t>
      </w:r>
      <w:r w:rsidRPr="00A96D90">
        <w:rPr>
          <w:rFonts w:ascii="Calibri Light" w:hAnsi="Calibri Light" w:cs="Calibri Light"/>
          <w:bCs w:val="0"/>
          <w:color w:val="59595B"/>
          <w:szCs w:val="20"/>
        </w:rPr>
        <w:t xml:space="preserve"> stems from </w:t>
      </w:r>
      <w:r w:rsidR="00023A49" w:rsidRPr="00A96D90">
        <w:rPr>
          <w:rFonts w:ascii="Calibri Light" w:hAnsi="Calibri Light" w:cs="Calibri Light"/>
          <w:bCs w:val="0"/>
          <w:color w:val="59595B"/>
          <w:szCs w:val="20"/>
        </w:rPr>
        <w:t>fully depreciated items</w:t>
      </w:r>
      <w:r w:rsidRPr="00A96D90">
        <w:rPr>
          <w:rFonts w:ascii="Calibri Light" w:hAnsi="Calibri Light" w:cs="Calibri Light"/>
          <w:bCs w:val="0"/>
          <w:color w:val="59595B"/>
          <w:szCs w:val="20"/>
        </w:rPr>
        <w:t>.</w:t>
      </w:r>
      <w:r w:rsidR="00023A49" w:rsidRPr="00A96D90">
        <w:rPr>
          <w:rFonts w:ascii="Calibri Light" w:hAnsi="Calibri Light" w:cs="Calibri Light"/>
          <w:bCs w:val="0"/>
          <w:color w:val="59595B"/>
          <w:szCs w:val="20"/>
        </w:rPr>
        <w:t xml:space="preserve"> In the first half year of 2017 an amount of €240</w:t>
      </w:r>
      <w:r w:rsidR="001963E6" w:rsidRPr="00A96D90">
        <w:rPr>
          <w:rFonts w:ascii="Calibri Light" w:hAnsi="Calibri Light" w:cs="Calibri Light"/>
          <w:bCs w:val="0"/>
          <w:color w:val="59595B"/>
          <w:szCs w:val="20"/>
        </w:rPr>
        <w:t>k</w:t>
      </w:r>
      <w:r w:rsidR="00023A49" w:rsidRPr="00A96D90">
        <w:rPr>
          <w:rFonts w:ascii="Calibri Light" w:hAnsi="Calibri Light" w:cs="Calibri Light"/>
          <w:bCs w:val="0"/>
          <w:color w:val="59595B"/>
          <w:szCs w:val="20"/>
        </w:rPr>
        <w:t xml:space="preserve"> was charged to research and development costs (HY 2016: €230k) and €25k to general and administrative expenses (HY 2016: €60k).</w:t>
      </w:r>
    </w:p>
    <w:p w14:paraId="4B0C3294" w14:textId="4439EB52" w:rsidR="004A4667" w:rsidRPr="00A96D90" w:rsidRDefault="00E64F9D" w:rsidP="004A4667">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Amortisation charges of intangible assets have been </w:t>
      </w:r>
      <w:r w:rsidR="00023A49" w:rsidRPr="00A96D90">
        <w:rPr>
          <w:rFonts w:ascii="Calibri Light" w:hAnsi="Calibri Light" w:cs="Calibri Light"/>
          <w:bCs w:val="0"/>
          <w:color w:val="59595B"/>
          <w:szCs w:val="20"/>
        </w:rPr>
        <w:t xml:space="preserve">mainly </w:t>
      </w:r>
      <w:r w:rsidRPr="00A96D90">
        <w:rPr>
          <w:rFonts w:ascii="Calibri Light" w:hAnsi="Calibri Light" w:cs="Calibri Light"/>
          <w:bCs w:val="0"/>
          <w:color w:val="59595B"/>
          <w:szCs w:val="20"/>
        </w:rPr>
        <w:t xml:space="preserve">allocated to </w:t>
      </w:r>
      <w:r w:rsidR="00023A49" w:rsidRPr="00A96D90">
        <w:rPr>
          <w:rFonts w:ascii="Calibri Light" w:hAnsi="Calibri Light" w:cs="Calibri Light"/>
          <w:bCs w:val="0"/>
          <w:color w:val="59595B"/>
          <w:szCs w:val="20"/>
        </w:rPr>
        <w:t>marketing &amp; sales</w:t>
      </w:r>
      <w:r w:rsidRPr="00A96D90">
        <w:rPr>
          <w:rFonts w:ascii="Calibri Light" w:hAnsi="Calibri Light" w:cs="Calibri Light"/>
          <w:bCs w:val="0"/>
          <w:color w:val="59595B"/>
          <w:szCs w:val="20"/>
        </w:rPr>
        <w:t xml:space="preserve"> costs in the statement of income</w:t>
      </w:r>
      <w:r w:rsidR="00023A49" w:rsidRPr="00A96D90">
        <w:rPr>
          <w:rFonts w:ascii="Calibri Light" w:hAnsi="Calibri Light" w:cs="Calibri Light"/>
          <w:bCs w:val="0"/>
          <w:color w:val="59595B"/>
          <w:szCs w:val="20"/>
        </w:rPr>
        <w:t>.</w:t>
      </w:r>
      <w:r w:rsidRPr="00A96D90">
        <w:rPr>
          <w:rFonts w:ascii="Calibri Light" w:hAnsi="Calibri Light" w:cs="Calibri Light"/>
          <w:bCs w:val="0"/>
          <w:color w:val="59595B"/>
          <w:szCs w:val="20"/>
        </w:rPr>
        <w:t xml:space="preserve"> </w:t>
      </w:r>
    </w:p>
    <w:p w14:paraId="7B4E45F9" w14:textId="7B64A559" w:rsidR="008653C6" w:rsidRPr="00A96D90" w:rsidRDefault="004A4667" w:rsidP="008653C6">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Financial expenses</w:t>
      </w:r>
    </w:p>
    <w:p w14:paraId="5F283134" w14:textId="77777777" w:rsidR="008653C6" w:rsidRPr="00A96D90" w:rsidRDefault="008653C6" w:rsidP="008653C6">
      <w:pPr>
        <w:pStyle w:val="ListParagraph"/>
        <w:autoSpaceDE w:val="0"/>
        <w:autoSpaceDN w:val="0"/>
        <w:adjustRightInd w:val="0"/>
        <w:spacing w:before="240"/>
        <w:rPr>
          <w:rFonts w:asciiTheme="majorHAnsi" w:hAnsiTheme="majorHAnsi" w:cstheme="minorHAnsi"/>
          <w:i/>
          <w:color w:val="59595B"/>
          <w:sz w:val="24"/>
          <w:szCs w:val="22"/>
          <w:lang w:val="en-GB"/>
        </w:rPr>
      </w:pPr>
    </w:p>
    <w:tbl>
      <w:tblPr>
        <w:tblW w:w="9322" w:type="dxa"/>
        <w:shd w:val="clear" w:color="auto" w:fill="FFFFFF"/>
        <w:tblLook w:val="04A0" w:firstRow="1" w:lastRow="0" w:firstColumn="1" w:lastColumn="0" w:noHBand="0" w:noVBand="1"/>
      </w:tblPr>
      <w:tblGrid>
        <w:gridCol w:w="6204"/>
        <w:gridCol w:w="1559"/>
        <w:gridCol w:w="1559"/>
      </w:tblGrid>
      <w:tr w:rsidR="004A4667" w:rsidRPr="00A96D90" w14:paraId="6AF5CDCA" w14:textId="77777777" w:rsidTr="00C10635">
        <w:trPr>
          <w:trHeight w:val="258"/>
        </w:trPr>
        <w:tc>
          <w:tcPr>
            <w:tcW w:w="6204" w:type="dxa"/>
            <w:tcBorders>
              <w:bottom w:val="single" w:sz="2" w:space="0" w:color="BFBFBF"/>
            </w:tcBorders>
            <w:shd w:val="clear" w:color="auto" w:fill="FFFFFF"/>
          </w:tcPr>
          <w:p w14:paraId="557D0D83" w14:textId="77777777" w:rsidR="004A4667" w:rsidRPr="00A96D90" w:rsidRDefault="004A4667" w:rsidP="002C3C56">
            <w:pPr>
              <w:rPr>
                <w:rFonts w:ascii="Calibri Light" w:eastAsia="Calibri Light" w:hAnsi="Calibri Light"/>
                <w:b/>
                <w:bCs/>
                <w:color w:val="59595B"/>
                <w:sz w:val="20"/>
                <w:szCs w:val="20"/>
                <w:lang w:val="en-GB"/>
              </w:rPr>
            </w:pPr>
            <w:r w:rsidRPr="00A96D90">
              <w:rPr>
                <w:rFonts w:asciiTheme="minorHAnsi" w:hAnsiTheme="minorHAnsi"/>
                <w:b/>
                <w:bCs/>
                <w:color w:val="00679B"/>
                <w:sz w:val="20"/>
                <w:szCs w:val="20"/>
                <w:lang w:val="en-GB"/>
              </w:rPr>
              <w:t>Amounts in € ‘000</w:t>
            </w:r>
          </w:p>
        </w:tc>
        <w:tc>
          <w:tcPr>
            <w:tcW w:w="1559" w:type="dxa"/>
            <w:tcBorders>
              <w:bottom w:val="single" w:sz="2" w:space="0" w:color="BFBFBF"/>
            </w:tcBorders>
            <w:shd w:val="clear" w:color="auto" w:fill="FFFFFF"/>
          </w:tcPr>
          <w:p w14:paraId="397C3DA5" w14:textId="1DBA6017" w:rsidR="004A4667" w:rsidRPr="00A96D90" w:rsidRDefault="00C10635" w:rsidP="002C3C56">
            <w:pPr>
              <w:jc w:val="right"/>
              <w:rPr>
                <w:rFonts w:ascii="Calibri Light" w:eastAsia="Calibri Light" w:hAnsi="Calibri Light"/>
                <w:b/>
                <w:bCs/>
                <w:color w:val="00679B"/>
                <w:sz w:val="20"/>
                <w:szCs w:val="20"/>
                <w:lang w:val="en-GB"/>
              </w:rPr>
            </w:pPr>
            <w:r w:rsidRPr="00A96D90">
              <w:rPr>
                <w:rFonts w:ascii="Calibri Light" w:eastAsia="Calibri Light" w:hAnsi="Calibri Light"/>
                <w:b/>
                <w:bCs/>
                <w:color w:val="00679B"/>
                <w:sz w:val="20"/>
                <w:szCs w:val="20"/>
                <w:lang w:val="en-GB"/>
              </w:rPr>
              <w:t xml:space="preserve">HY </w:t>
            </w:r>
            <w:r w:rsidR="004A4667" w:rsidRPr="00A96D90">
              <w:rPr>
                <w:rFonts w:ascii="Calibri Light" w:eastAsia="Calibri Light" w:hAnsi="Calibri Light"/>
                <w:b/>
                <w:bCs/>
                <w:color w:val="00679B"/>
                <w:sz w:val="20"/>
                <w:szCs w:val="20"/>
                <w:lang w:val="en-GB"/>
              </w:rPr>
              <w:t>201</w:t>
            </w:r>
            <w:r w:rsidRPr="00A96D90">
              <w:rPr>
                <w:rFonts w:ascii="Calibri Light" w:eastAsia="Calibri Light" w:hAnsi="Calibri Light"/>
                <w:b/>
                <w:bCs/>
                <w:color w:val="00679B"/>
                <w:sz w:val="20"/>
                <w:szCs w:val="20"/>
                <w:lang w:val="en-GB"/>
              </w:rPr>
              <w:t>7</w:t>
            </w:r>
          </w:p>
        </w:tc>
        <w:tc>
          <w:tcPr>
            <w:tcW w:w="1559" w:type="dxa"/>
            <w:tcBorders>
              <w:bottom w:val="single" w:sz="2" w:space="0" w:color="BFBFBF"/>
            </w:tcBorders>
            <w:shd w:val="clear" w:color="auto" w:fill="FFFFFF"/>
          </w:tcPr>
          <w:p w14:paraId="6E55C1B9" w14:textId="6044CC71" w:rsidR="004A4667" w:rsidRPr="00A96D90" w:rsidRDefault="00C10635" w:rsidP="002C3C56">
            <w:pPr>
              <w:jc w:val="right"/>
              <w:rPr>
                <w:rFonts w:ascii="Calibri Light" w:eastAsia="Calibri Light" w:hAnsi="Calibri Light"/>
                <w:b/>
                <w:bCs/>
                <w:sz w:val="20"/>
                <w:szCs w:val="20"/>
                <w:lang w:val="en-GB"/>
              </w:rPr>
            </w:pPr>
            <w:r w:rsidRPr="00A96D90">
              <w:rPr>
                <w:rFonts w:ascii="Calibri Light" w:eastAsia="Calibri Light" w:hAnsi="Calibri Light"/>
                <w:b/>
                <w:bCs/>
                <w:color w:val="00679B"/>
                <w:sz w:val="20"/>
                <w:szCs w:val="20"/>
                <w:lang w:val="en-GB"/>
              </w:rPr>
              <w:t xml:space="preserve">HY </w:t>
            </w:r>
            <w:r w:rsidR="004A4667" w:rsidRPr="00A96D90">
              <w:rPr>
                <w:rFonts w:ascii="Calibri Light" w:eastAsia="Calibri Light" w:hAnsi="Calibri Light"/>
                <w:b/>
                <w:bCs/>
                <w:color w:val="00679B"/>
                <w:sz w:val="20"/>
                <w:szCs w:val="20"/>
                <w:lang w:val="en-GB"/>
              </w:rPr>
              <w:t>201</w:t>
            </w:r>
            <w:r w:rsidRPr="00A96D90">
              <w:rPr>
                <w:rFonts w:ascii="Calibri Light" w:eastAsia="Calibri Light" w:hAnsi="Calibri Light"/>
                <w:b/>
                <w:bCs/>
                <w:color w:val="00679B"/>
                <w:sz w:val="20"/>
                <w:szCs w:val="20"/>
                <w:lang w:val="en-GB"/>
              </w:rPr>
              <w:t>6</w:t>
            </w:r>
          </w:p>
        </w:tc>
      </w:tr>
      <w:tr w:rsidR="004A4667" w:rsidRPr="00A96D90" w14:paraId="29F523C0" w14:textId="77777777" w:rsidTr="008653C6">
        <w:trPr>
          <w:trHeight w:val="258"/>
        </w:trPr>
        <w:tc>
          <w:tcPr>
            <w:tcW w:w="6204" w:type="dxa"/>
            <w:tcBorders>
              <w:top w:val="single" w:sz="2" w:space="0" w:color="BFBFBF"/>
              <w:right w:val="single" w:sz="2" w:space="0" w:color="BFBFBF"/>
            </w:tcBorders>
            <w:shd w:val="clear" w:color="auto" w:fill="FFFFFF"/>
          </w:tcPr>
          <w:p w14:paraId="72E4BAB0" w14:textId="77777777" w:rsidR="004A4667" w:rsidRPr="00A96D90" w:rsidRDefault="004A4667" w:rsidP="002C3C56">
            <w:pPr>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Interest income</w:t>
            </w:r>
          </w:p>
        </w:tc>
        <w:tc>
          <w:tcPr>
            <w:tcW w:w="1559" w:type="dxa"/>
            <w:tcBorders>
              <w:top w:val="single" w:sz="2" w:space="0" w:color="BFBFBF"/>
              <w:left w:val="single" w:sz="2" w:space="0" w:color="BFBFBF"/>
              <w:right w:val="single" w:sz="2" w:space="0" w:color="BFBFBF"/>
            </w:tcBorders>
            <w:shd w:val="clear" w:color="auto" w:fill="F2F2F2" w:themeFill="background1" w:themeFillShade="F2"/>
          </w:tcPr>
          <w:p w14:paraId="4BDAD8F7" w14:textId="7BEA0D75" w:rsidR="004A4667" w:rsidRPr="00A96D90" w:rsidRDefault="00C10635"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w:t>
            </w:r>
          </w:p>
        </w:tc>
        <w:tc>
          <w:tcPr>
            <w:tcW w:w="1559" w:type="dxa"/>
            <w:tcBorders>
              <w:top w:val="single" w:sz="2" w:space="0" w:color="BFBFBF"/>
              <w:left w:val="single" w:sz="2" w:space="0" w:color="BFBFBF"/>
              <w:right w:val="single" w:sz="2" w:space="0" w:color="BFBFBF"/>
            </w:tcBorders>
            <w:shd w:val="clear" w:color="auto" w:fill="FFFFFF"/>
          </w:tcPr>
          <w:p w14:paraId="25C24C48" w14:textId="148512E1" w:rsidR="004A4667" w:rsidRPr="00A96D90" w:rsidRDefault="00531C1C"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5</w:t>
            </w:r>
          </w:p>
        </w:tc>
      </w:tr>
      <w:tr w:rsidR="004A4667" w:rsidRPr="00A96D90" w14:paraId="32CFFCC5" w14:textId="77777777" w:rsidTr="008653C6">
        <w:trPr>
          <w:trHeight w:val="258"/>
        </w:trPr>
        <w:tc>
          <w:tcPr>
            <w:tcW w:w="6204" w:type="dxa"/>
            <w:tcBorders>
              <w:right w:val="single" w:sz="2" w:space="0" w:color="BFBFBF"/>
            </w:tcBorders>
            <w:shd w:val="clear" w:color="auto" w:fill="FFFFFF"/>
          </w:tcPr>
          <w:p w14:paraId="3C693C11" w14:textId="77777777" w:rsidR="004A4667" w:rsidRPr="00A96D90" w:rsidRDefault="004A4667" w:rsidP="002C3C56">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Interest expenses</w:t>
            </w:r>
          </w:p>
        </w:tc>
        <w:tc>
          <w:tcPr>
            <w:tcW w:w="1559" w:type="dxa"/>
            <w:tcBorders>
              <w:left w:val="single" w:sz="2" w:space="0" w:color="BFBFBF"/>
              <w:right w:val="single" w:sz="2" w:space="0" w:color="BFBFBF"/>
            </w:tcBorders>
            <w:shd w:val="clear" w:color="auto" w:fill="F2F2F2" w:themeFill="background1" w:themeFillShade="F2"/>
          </w:tcPr>
          <w:p w14:paraId="2C321E4F" w14:textId="5F99F08C" w:rsidR="004A4667" w:rsidRPr="00A96D90" w:rsidRDefault="004A4667" w:rsidP="00C10635">
            <w:pPr>
              <w:tabs>
                <w:tab w:val="center" w:pos="664"/>
                <w:tab w:val="right" w:pos="1328"/>
              </w:tabs>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ab/>
            </w:r>
            <w:r w:rsidRPr="00A96D90">
              <w:rPr>
                <w:rFonts w:ascii="Calibri Light" w:eastAsia="Calibri Light" w:hAnsi="Calibri Light"/>
                <w:bCs/>
                <w:color w:val="59595B"/>
                <w:sz w:val="20"/>
                <w:szCs w:val="20"/>
                <w:lang w:val="en-GB"/>
              </w:rPr>
              <w:tab/>
            </w:r>
            <w:r w:rsidR="00C10635" w:rsidRPr="00A96D90">
              <w:rPr>
                <w:rFonts w:ascii="Calibri Light" w:eastAsia="Calibri Light" w:hAnsi="Calibri Light"/>
                <w:bCs/>
                <w:color w:val="59595B"/>
                <w:sz w:val="20"/>
                <w:szCs w:val="20"/>
                <w:lang w:val="en-GB"/>
              </w:rPr>
              <w:t>(44)</w:t>
            </w:r>
          </w:p>
        </w:tc>
        <w:tc>
          <w:tcPr>
            <w:tcW w:w="1559" w:type="dxa"/>
            <w:tcBorders>
              <w:left w:val="single" w:sz="2" w:space="0" w:color="BFBFBF"/>
              <w:right w:val="single" w:sz="2" w:space="0" w:color="BFBFBF"/>
            </w:tcBorders>
            <w:shd w:val="clear" w:color="auto" w:fill="FFFFFF"/>
          </w:tcPr>
          <w:p w14:paraId="19C19724" w14:textId="5EA01DF7" w:rsidR="004A4667" w:rsidRPr="00A96D90" w:rsidRDefault="004A4667" w:rsidP="002C3C56">
            <w:pPr>
              <w:tabs>
                <w:tab w:val="center" w:pos="664"/>
                <w:tab w:val="right" w:pos="1328"/>
              </w:tabs>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ab/>
            </w:r>
            <w:r w:rsidRPr="00A96D90">
              <w:rPr>
                <w:rFonts w:ascii="Calibri Light" w:eastAsia="Calibri Light" w:hAnsi="Calibri Light"/>
                <w:bCs/>
                <w:color w:val="59595B"/>
                <w:sz w:val="20"/>
                <w:szCs w:val="20"/>
                <w:lang w:val="en-GB"/>
              </w:rPr>
              <w:tab/>
            </w:r>
            <w:r w:rsidR="00531C1C" w:rsidRPr="00A96D90">
              <w:rPr>
                <w:rFonts w:ascii="Calibri Light" w:eastAsia="Calibri Light" w:hAnsi="Calibri Light"/>
                <w:bCs/>
                <w:color w:val="59595B"/>
                <w:sz w:val="20"/>
                <w:szCs w:val="20"/>
                <w:lang w:val="en-GB"/>
              </w:rPr>
              <w:t>(54)</w:t>
            </w:r>
          </w:p>
        </w:tc>
      </w:tr>
      <w:tr w:rsidR="004A4667" w:rsidRPr="00A96D90" w14:paraId="7F1FC203" w14:textId="77777777" w:rsidTr="008653C6">
        <w:trPr>
          <w:trHeight w:val="258"/>
        </w:trPr>
        <w:tc>
          <w:tcPr>
            <w:tcW w:w="6204" w:type="dxa"/>
            <w:tcBorders>
              <w:right w:val="single" w:sz="2" w:space="0" w:color="BFBFBF"/>
            </w:tcBorders>
            <w:shd w:val="clear" w:color="auto" w:fill="FFFFFF"/>
          </w:tcPr>
          <w:p w14:paraId="7020F059" w14:textId="77777777" w:rsidR="004A4667" w:rsidRPr="00A96D90" w:rsidRDefault="004A4667" w:rsidP="002C3C56">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Foreign currency results</w:t>
            </w:r>
          </w:p>
        </w:tc>
        <w:tc>
          <w:tcPr>
            <w:tcW w:w="1559" w:type="dxa"/>
            <w:tcBorders>
              <w:left w:val="single" w:sz="2" w:space="0" w:color="BFBFBF"/>
              <w:right w:val="single" w:sz="2" w:space="0" w:color="BFBFBF"/>
            </w:tcBorders>
            <w:shd w:val="clear" w:color="auto" w:fill="F2F2F2" w:themeFill="background1" w:themeFillShade="F2"/>
          </w:tcPr>
          <w:p w14:paraId="3AB17DEB" w14:textId="670855E4" w:rsidR="004A4667" w:rsidRPr="00A96D90" w:rsidRDefault="00C10635"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2,761</w:t>
            </w:r>
          </w:p>
        </w:tc>
        <w:tc>
          <w:tcPr>
            <w:tcW w:w="1559" w:type="dxa"/>
            <w:tcBorders>
              <w:left w:val="single" w:sz="2" w:space="0" w:color="BFBFBF"/>
              <w:right w:val="single" w:sz="2" w:space="0" w:color="BFBFBF"/>
            </w:tcBorders>
            <w:shd w:val="clear" w:color="auto" w:fill="FFFFFF"/>
          </w:tcPr>
          <w:p w14:paraId="46387650" w14:textId="11A88628" w:rsidR="004A4667" w:rsidRPr="00A96D90" w:rsidRDefault="00C10635"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11</w:t>
            </w:r>
          </w:p>
        </w:tc>
      </w:tr>
      <w:tr w:rsidR="004A4667" w:rsidRPr="00A96D90" w14:paraId="5999A223" w14:textId="77777777" w:rsidTr="008653C6">
        <w:trPr>
          <w:trHeight w:val="258"/>
        </w:trPr>
        <w:tc>
          <w:tcPr>
            <w:tcW w:w="6204" w:type="dxa"/>
            <w:tcBorders>
              <w:bottom w:val="single" w:sz="2" w:space="0" w:color="BFBFBF"/>
              <w:right w:val="single" w:sz="2" w:space="0" w:color="BFBFBF"/>
            </w:tcBorders>
            <w:shd w:val="clear" w:color="auto" w:fill="FFFFFF"/>
          </w:tcPr>
          <w:p w14:paraId="0062DCF6" w14:textId="77777777" w:rsidR="004A4667" w:rsidRPr="00A96D90" w:rsidRDefault="004A4667" w:rsidP="002C3C56">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Interest loans and borrowings</w:t>
            </w:r>
          </w:p>
        </w:tc>
        <w:tc>
          <w:tcPr>
            <w:tcW w:w="1559" w:type="dxa"/>
            <w:tcBorders>
              <w:left w:val="single" w:sz="2" w:space="0" w:color="BFBFBF"/>
              <w:bottom w:val="single" w:sz="2" w:space="0" w:color="BFBFBF"/>
              <w:right w:val="single" w:sz="2" w:space="0" w:color="BFBFBF"/>
            </w:tcBorders>
            <w:shd w:val="clear" w:color="auto" w:fill="F2F2F2" w:themeFill="background1" w:themeFillShade="F2"/>
          </w:tcPr>
          <w:p w14:paraId="6BC3842F" w14:textId="6007CD22" w:rsidR="004A4667" w:rsidRPr="00A96D90" w:rsidRDefault="00531C1C"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w:t>
            </w:r>
            <w:r w:rsidR="00C10635" w:rsidRPr="00A96D90">
              <w:rPr>
                <w:rFonts w:ascii="Calibri Light" w:eastAsia="Calibri Light" w:hAnsi="Calibri Light"/>
                <w:bCs/>
                <w:color w:val="59595B"/>
                <w:sz w:val="20"/>
                <w:szCs w:val="20"/>
                <w:lang w:val="en-GB"/>
              </w:rPr>
              <w:t>12,157</w:t>
            </w:r>
            <w:r w:rsidRPr="00A96D90">
              <w:rPr>
                <w:rFonts w:ascii="Calibri Light" w:eastAsia="Calibri Light" w:hAnsi="Calibri Light"/>
                <w:bCs/>
                <w:color w:val="59595B"/>
                <w:sz w:val="20"/>
                <w:szCs w:val="20"/>
                <w:lang w:val="en-GB"/>
              </w:rPr>
              <w:t>)</w:t>
            </w:r>
          </w:p>
        </w:tc>
        <w:tc>
          <w:tcPr>
            <w:tcW w:w="1559" w:type="dxa"/>
            <w:tcBorders>
              <w:left w:val="single" w:sz="2" w:space="0" w:color="BFBFBF"/>
              <w:bottom w:val="single" w:sz="2" w:space="0" w:color="BFBFBF"/>
              <w:right w:val="single" w:sz="2" w:space="0" w:color="BFBFBF"/>
            </w:tcBorders>
            <w:shd w:val="clear" w:color="auto" w:fill="FFFFFF"/>
          </w:tcPr>
          <w:p w14:paraId="46B2EF78" w14:textId="629AAC41" w:rsidR="004A4667" w:rsidRPr="00A96D90" w:rsidRDefault="004A4667"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w:t>
            </w:r>
            <w:r w:rsidR="00531C1C" w:rsidRPr="00A96D90">
              <w:rPr>
                <w:rFonts w:ascii="Calibri Light" w:eastAsia="Calibri Light" w:hAnsi="Calibri Light"/>
                <w:bCs/>
                <w:color w:val="59595B"/>
                <w:sz w:val="20"/>
                <w:szCs w:val="20"/>
                <w:lang w:val="en-GB"/>
              </w:rPr>
              <w:t>940</w:t>
            </w:r>
            <w:r w:rsidRPr="00A96D90">
              <w:rPr>
                <w:rFonts w:ascii="Calibri Light" w:eastAsia="Calibri Light" w:hAnsi="Calibri Light"/>
                <w:bCs/>
                <w:color w:val="59595B"/>
                <w:sz w:val="20"/>
                <w:szCs w:val="20"/>
                <w:lang w:val="en-GB"/>
              </w:rPr>
              <w:t>)</w:t>
            </w:r>
          </w:p>
        </w:tc>
      </w:tr>
      <w:tr w:rsidR="004A4667" w:rsidRPr="00A96D90" w14:paraId="1A27AF32" w14:textId="77777777" w:rsidTr="008653C6">
        <w:trPr>
          <w:trHeight w:val="258"/>
        </w:trPr>
        <w:tc>
          <w:tcPr>
            <w:tcW w:w="6204" w:type="dxa"/>
            <w:tcBorders>
              <w:bottom w:val="single" w:sz="2" w:space="0" w:color="BFBFBF"/>
              <w:right w:val="single" w:sz="2" w:space="0" w:color="BFBFBF"/>
            </w:tcBorders>
            <w:shd w:val="clear" w:color="auto" w:fill="FFFFFF"/>
          </w:tcPr>
          <w:p w14:paraId="75EE06DB" w14:textId="65E45C1F" w:rsidR="004A4667" w:rsidRPr="00A96D90" w:rsidRDefault="00C10635" w:rsidP="002C3C56">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Settlement fees and expenses Amortizing Bonds</w:t>
            </w:r>
          </w:p>
        </w:tc>
        <w:tc>
          <w:tcPr>
            <w:tcW w:w="1559"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478A0036" w14:textId="71567345" w:rsidR="004A4667" w:rsidRPr="00A96D90" w:rsidRDefault="00C10635"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(14,665)</w:t>
            </w:r>
          </w:p>
        </w:tc>
        <w:tc>
          <w:tcPr>
            <w:tcW w:w="1559" w:type="dxa"/>
            <w:tcBorders>
              <w:top w:val="single" w:sz="2" w:space="0" w:color="BFBFBF"/>
              <w:left w:val="single" w:sz="2" w:space="0" w:color="BFBFBF"/>
              <w:bottom w:val="single" w:sz="2" w:space="0" w:color="BFBFBF"/>
              <w:right w:val="single" w:sz="2" w:space="0" w:color="BFBFBF"/>
            </w:tcBorders>
            <w:shd w:val="clear" w:color="auto" w:fill="FFFFFF"/>
          </w:tcPr>
          <w:p w14:paraId="1436ECD0" w14:textId="77777777" w:rsidR="004A4667" w:rsidRPr="00A96D90" w:rsidRDefault="004A4667"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w:t>
            </w:r>
          </w:p>
        </w:tc>
      </w:tr>
      <w:tr w:rsidR="004A4667" w:rsidRPr="00A96D90" w14:paraId="3752F5DD" w14:textId="77777777" w:rsidTr="008653C6">
        <w:trPr>
          <w:trHeight w:val="258"/>
        </w:trPr>
        <w:tc>
          <w:tcPr>
            <w:tcW w:w="6204" w:type="dxa"/>
            <w:tcBorders>
              <w:bottom w:val="single" w:sz="2" w:space="0" w:color="BFBFBF"/>
              <w:right w:val="single" w:sz="2" w:space="0" w:color="BFBFBF"/>
            </w:tcBorders>
            <w:shd w:val="clear" w:color="auto" w:fill="FFFFFF"/>
          </w:tcPr>
          <w:p w14:paraId="7F78DD83" w14:textId="75D0AE22" w:rsidR="004A4667" w:rsidRPr="00A96D90" w:rsidRDefault="004A4667" w:rsidP="002C3C56">
            <w:pPr>
              <w:rPr>
                <w:rFonts w:ascii="Calibri Light" w:eastAsia="Calibri Light" w:hAnsi="Calibri Light"/>
                <w:color w:val="59595B"/>
                <w:sz w:val="20"/>
                <w:szCs w:val="20"/>
                <w:lang w:val="en-GB"/>
              </w:rPr>
            </w:pPr>
            <w:r w:rsidRPr="00A96D90">
              <w:rPr>
                <w:rFonts w:ascii="Calibri Light" w:eastAsia="Calibri Light" w:hAnsi="Calibri Light"/>
                <w:color w:val="59595B"/>
                <w:sz w:val="20"/>
                <w:szCs w:val="20"/>
                <w:lang w:val="en-GB"/>
              </w:rPr>
              <w:t xml:space="preserve">Settlement fees </w:t>
            </w:r>
            <w:r w:rsidR="00C10635" w:rsidRPr="00A96D90">
              <w:rPr>
                <w:rFonts w:ascii="Calibri Light" w:eastAsia="Calibri Light" w:hAnsi="Calibri Light"/>
                <w:color w:val="59595B"/>
                <w:sz w:val="20"/>
                <w:szCs w:val="20"/>
                <w:lang w:val="en-GB"/>
              </w:rPr>
              <w:t xml:space="preserve">and expenses </w:t>
            </w:r>
            <w:r w:rsidRPr="00A96D90">
              <w:rPr>
                <w:rFonts w:ascii="Calibri Light" w:eastAsia="Calibri Light" w:hAnsi="Calibri Light"/>
                <w:color w:val="59595B"/>
                <w:sz w:val="20"/>
                <w:szCs w:val="20"/>
                <w:lang w:val="en-GB"/>
              </w:rPr>
              <w:t>loans</w:t>
            </w:r>
          </w:p>
        </w:tc>
        <w:tc>
          <w:tcPr>
            <w:tcW w:w="1559"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5AD6EE50" w14:textId="6776292D" w:rsidR="004A4667" w:rsidRPr="00A96D90" w:rsidRDefault="00C10635"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(9,121)</w:t>
            </w:r>
          </w:p>
        </w:tc>
        <w:tc>
          <w:tcPr>
            <w:tcW w:w="1559" w:type="dxa"/>
            <w:tcBorders>
              <w:top w:val="single" w:sz="2" w:space="0" w:color="BFBFBF"/>
              <w:left w:val="single" w:sz="2" w:space="0" w:color="BFBFBF"/>
              <w:bottom w:val="single" w:sz="2" w:space="0" w:color="BFBFBF"/>
              <w:right w:val="single" w:sz="2" w:space="0" w:color="BFBFBF"/>
            </w:tcBorders>
            <w:shd w:val="clear" w:color="auto" w:fill="FFFFFF"/>
          </w:tcPr>
          <w:p w14:paraId="0281597E" w14:textId="77777777" w:rsidR="004A4667" w:rsidRPr="00A96D90" w:rsidRDefault="004A4667"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Cs/>
                <w:color w:val="59595B"/>
                <w:sz w:val="20"/>
                <w:szCs w:val="20"/>
                <w:lang w:val="en-GB"/>
              </w:rPr>
              <w:t>-</w:t>
            </w:r>
          </w:p>
        </w:tc>
      </w:tr>
      <w:tr w:rsidR="004A4667" w:rsidRPr="00A96D90" w14:paraId="5118AF93" w14:textId="77777777" w:rsidTr="008653C6">
        <w:trPr>
          <w:trHeight w:val="258"/>
        </w:trPr>
        <w:tc>
          <w:tcPr>
            <w:tcW w:w="6204" w:type="dxa"/>
            <w:tcBorders>
              <w:top w:val="single" w:sz="2" w:space="0" w:color="BFBFBF"/>
              <w:bottom w:val="single" w:sz="2" w:space="0" w:color="BFBFBF"/>
              <w:right w:val="single" w:sz="2" w:space="0" w:color="BFBFBF"/>
            </w:tcBorders>
            <w:shd w:val="clear" w:color="auto" w:fill="FFFFFF"/>
          </w:tcPr>
          <w:p w14:paraId="04AEF6E2" w14:textId="77777777" w:rsidR="004A4667" w:rsidRPr="00A96D90" w:rsidRDefault="004A4667" w:rsidP="002C3C56">
            <w:pPr>
              <w:rPr>
                <w:rFonts w:ascii="Calibri Light" w:eastAsia="Calibri Light" w:hAnsi="Calibri Light"/>
                <w:bCs/>
                <w:color w:val="59595B"/>
                <w:sz w:val="20"/>
                <w:szCs w:val="20"/>
                <w:lang w:val="en-GB"/>
              </w:rPr>
            </w:pPr>
            <w:r w:rsidRPr="00A96D90">
              <w:rPr>
                <w:rFonts w:ascii="Calibri Light" w:eastAsia="Calibri Light" w:hAnsi="Calibri Light"/>
                <w:b/>
                <w:bCs/>
                <w:color w:val="59595B"/>
                <w:sz w:val="20"/>
                <w:szCs w:val="20"/>
                <w:lang w:val="en-GB"/>
              </w:rPr>
              <w:t>Total</w:t>
            </w:r>
          </w:p>
        </w:tc>
        <w:tc>
          <w:tcPr>
            <w:tcW w:w="1559"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4741ED2E" w14:textId="652AB450" w:rsidR="004A4667" w:rsidRPr="00A96D90" w:rsidRDefault="00531C1C"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
                <w:bCs/>
                <w:color w:val="59595B"/>
                <w:sz w:val="20"/>
                <w:szCs w:val="20"/>
                <w:lang w:val="en-GB"/>
              </w:rPr>
              <w:t>(33,226)</w:t>
            </w:r>
          </w:p>
        </w:tc>
        <w:tc>
          <w:tcPr>
            <w:tcW w:w="1559" w:type="dxa"/>
            <w:tcBorders>
              <w:top w:val="single" w:sz="2" w:space="0" w:color="BFBFBF"/>
              <w:left w:val="single" w:sz="2" w:space="0" w:color="BFBFBF"/>
              <w:bottom w:val="single" w:sz="2" w:space="0" w:color="BFBFBF"/>
              <w:right w:val="single" w:sz="2" w:space="0" w:color="BFBFBF"/>
            </w:tcBorders>
            <w:shd w:val="clear" w:color="auto" w:fill="FFFFFF"/>
          </w:tcPr>
          <w:p w14:paraId="4734D693" w14:textId="28D8F96A" w:rsidR="004A4667" w:rsidRPr="00A96D90" w:rsidRDefault="00531C1C" w:rsidP="002C3C56">
            <w:pPr>
              <w:jc w:val="right"/>
              <w:rPr>
                <w:rFonts w:ascii="Calibri Light" w:eastAsia="Calibri Light" w:hAnsi="Calibri Light"/>
                <w:bCs/>
                <w:color w:val="59595B"/>
                <w:sz w:val="20"/>
                <w:szCs w:val="20"/>
                <w:lang w:val="en-GB"/>
              </w:rPr>
            </w:pPr>
            <w:r w:rsidRPr="00A96D90">
              <w:rPr>
                <w:rFonts w:ascii="Calibri Light" w:eastAsia="Calibri Light" w:hAnsi="Calibri Light"/>
                <w:b/>
                <w:bCs/>
                <w:color w:val="59595B"/>
                <w:sz w:val="20"/>
                <w:szCs w:val="20"/>
                <w:lang w:val="en-GB"/>
              </w:rPr>
              <w:t>(978</w:t>
            </w:r>
            <w:r w:rsidR="004A4667" w:rsidRPr="00A96D90">
              <w:rPr>
                <w:rFonts w:ascii="Calibri Light" w:eastAsia="Calibri Light" w:hAnsi="Calibri Light"/>
                <w:b/>
                <w:bCs/>
                <w:color w:val="59595B"/>
                <w:sz w:val="20"/>
                <w:szCs w:val="20"/>
                <w:lang w:val="en-GB"/>
              </w:rPr>
              <w:t>)</w:t>
            </w:r>
          </w:p>
        </w:tc>
      </w:tr>
    </w:tbl>
    <w:p w14:paraId="5894E5F0" w14:textId="77777777" w:rsidR="008653C6" w:rsidRPr="00A96D90" w:rsidRDefault="008653C6" w:rsidP="008653C6">
      <w:pPr>
        <w:pStyle w:val="AL"/>
        <w:spacing w:after="120"/>
        <w:rPr>
          <w:rFonts w:ascii="Calibri Light" w:hAnsi="Calibri Light" w:cs="Calibri Light"/>
          <w:bCs w:val="0"/>
          <w:color w:val="59595B"/>
          <w:szCs w:val="20"/>
        </w:rPr>
      </w:pPr>
    </w:p>
    <w:p w14:paraId="18B08D70" w14:textId="4F5693FD" w:rsidR="00CC73D2" w:rsidRPr="00A96D90" w:rsidRDefault="00CC73D2" w:rsidP="008653C6">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 xml:space="preserve">The increase of the financial expenses is mainly related to the refinancing of the old </w:t>
      </w:r>
      <w:r w:rsidR="00CD6573" w:rsidRPr="00A96D90">
        <w:rPr>
          <w:rFonts w:ascii="Calibri Light" w:hAnsi="Calibri Light" w:cs="Calibri Light"/>
          <w:bCs w:val="0"/>
          <w:color w:val="59595B"/>
          <w:szCs w:val="20"/>
        </w:rPr>
        <w:t>loans</w:t>
      </w:r>
      <w:r w:rsidRPr="00A96D90">
        <w:rPr>
          <w:rFonts w:ascii="Calibri Light" w:hAnsi="Calibri Light" w:cs="Calibri Light"/>
          <w:bCs w:val="0"/>
          <w:color w:val="59595B"/>
          <w:szCs w:val="20"/>
        </w:rPr>
        <w:t xml:space="preserve"> and the Amortizing bonds by the new loan from </w:t>
      </w:r>
      <w:r w:rsidR="00384931" w:rsidRPr="00A96D90">
        <w:rPr>
          <w:rFonts w:ascii="Calibri Light" w:hAnsi="Calibri Light" w:cs="Calibri Light"/>
          <w:bCs w:val="0"/>
          <w:color w:val="59595B"/>
          <w:szCs w:val="20"/>
        </w:rPr>
        <w:t>Orbimed</w:t>
      </w:r>
      <w:r w:rsidRPr="00A96D90">
        <w:rPr>
          <w:rFonts w:ascii="Calibri Light" w:hAnsi="Calibri Light" w:cs="Calibri Light"/>
          <w:bCs w:val="0"/>
          <w:color w:val="59595B"/>
          <w:szCs w:val="20"/>
        </w:rPr>
        <w:t>.</w:t>
      </w:r>
      <w:r w:rsidR="00AE455B" w:rsidRPr="00A96D90">
        <w:rPr>
          <w:rFonts w:ascii="Calibri Light" w:hAnsi="Calibri Light" w:cs="Calibri Light"/>
          <w:bCs w:val="0"/>
          <w:color w:val="59595B"/>
          <w:szCs w:val="20"/>
        </w:rPr>
        <w:t xml:space="preserve"> </w:t>
      </w:r>
      <w:r w:rsidR="00CD6573" w:rsidRPr="00A96D90">
        <w:rPr>
          <w:rFonts w:ascii="Calibri Light" w:hAnsi="Calibri Light" w:cs="Calibri Light"/>
          <w:bCs w:val="0"/>
          <w:color w:val="59595B"/>
          <w:szCs w:val="20"/>
        </w:rPr>
        <w:t xml:space="preserve">The total cash paid, </w:t>
      </w:r>
      <w:r w:rsidR="008371A4" w:rsidRPr="00A96D90">
        <w:rPr>
          <w:rFonts w:ascii="Calibri Light" w:hAnsi="Calibri Light" w:cs="Calibri Light"/>
          <w:bCs w:val="0"/>
          <w:color w:val="59595B"/>
          <w:szCs w:val="20"/>
        </w:rPr>
        <w:t xml:space="preserve">for redemption fees of the Amortizing bonds, prepayment fees of the loans and paid interest, </w:t>
      </w:r>
      <w:r w:rsidR="00CD6573" w:rsidRPr="00A96D90">
        <w:rPr>
          <w:rFonts w:ascii="Calibri Light" w:hAnsi="Calibri Light" w:cs="Calibri Light"/>
          <w:bCs w:val="0"/>
          <w:color w:val="59595B"/>
          <w:szCs w:val="20"/>
        </w:rPr>
        <w:t>was €1</w:t>
      </w:r>
      <w:r w:rsidR="008371A4" w:rsidRPr="00A96D90">
        <w:rPr>
          <w:rFonts w:ascii="Calibri Light" w:hAnsi="Calibri Light" w:cs="Calibri Light"/>
          <w:bCs w:val="0"/>
          <w:color w:val="59595B"/>
          <w:szCs w:val="20"/>
        </w:rPr>
        <w:t>7.6</w:t>
      </w:r>
      <w:r w:rsidR="00CD6573" w:rsidRPr="00A96D90">
        <w:rPr>
          <w:rFonts w:ascii="Calibri Light" w:hAnsi="Calibri Light" w:cs="Calibri Light"/>
          <w:bCs w:val="0"/>
          <w:color w:val="59595B"/>
          <w:szCs w:val="20"/>
        </w:rPr>
        <w:t xml:space="preserve"> million and €1</w:t>
      </w:r>
      <w:r w:rsidR="008371A4" w:rsidRPr="00A96D90">
        <w:rPr>
          <w:rFonts w:ascii="Calibri Light" w:hAnsi="Calibri Light" w:cs="Calibri Light"/>
          <w:bCs w:val="0"/>
          <w:color w:val="59595B"/>
          <w:szCs w:val="20"/>
        </w:rPr>
        <w:t>5.6</w:t>
      </w:r>
      <w:r w:rsidR="00CD6573" w:rsidRPr="00A96D90">
        <w:rPr>
          <w:rFonts w:ascii="Calibri Light" w:hAnsi="Calibri Light" w:cs="Calibri Light"/>
          <w:bCs w:val="0"/>
          <w:color w:val="59595B"/>
          <w:szCs w:val="20"/>
        </w:rPr>
        <w:t xml:space="preserve"> million was non-cash.</w:t>
      </w:r>
      <w:r w:rsidR="008371A4" w:rsidRPr="00A96D90">
        <w:rPr>
          <w:rFonts w:ascii="Calibri Light" w:hAnsi="Calibri Light" w:cs="Calibri Light"/>
          <w:bCs w:val="0"/>
          <w:color w:val="59595B"/>
          <w:szCs w:val="20"/>
        </w:rPr>
        <w:t xml:space="preserve"> From the proceeds of the new loan of </w:t>
      </w:r>
      <w:r w:rsidR="00384931" w:rsidRPr="00A96D90">
        <w:rPr>
          <w:rFonts w:ascii="Calibri Light" w:hAnsi="Calibri Light" w:cs="Calibri Light"/>
          <w:bCs w:val="0"/>
          <w:color w:val="59595B"/>
          <w:szCs w:val="20"/>
        </w:rPr>
        <w:t>Orbimed</w:t>
      </w:r>
      <w:r w:rsidR="008371A4" w:rsidRPr="00A96D90">
        <w:rPr>
          <w:rFonts w:ascii="Calibri Light" w:hAnsi="Calibri Light" w:cs="Calibri Light"/>
          <w:bCs w:val="0"/>
          <w:color w:val="59595B"/>
          <w:szCs w:val="20"/>
        </w:rPr>
        <w:t xml:space="preserve"> a total of €16.1 million was paid for the redemption and prepayment fees.</w:t>
      </w:r>
    </w:p>
    <w:p w14:paraId="218C61CB" w14:textId="77777777" w:rsidR="008653C6" w:rsidRPr="00A96D90" w:rsidRDefault="008653C6">
      <w:pPr>
        <w:jc w:val="left"/>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br w:type="page"/>
      </w:r>
    </w:p>
    <w:p w14:paraId="203FBDEA" w14:textId="5D7D0DEF" w:rsidR="00E64F9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lastRenderedPageBreak/>
        <w:t>Inventories</w:t>
      </w:r>
    </w:p>
    <w:p w14:paraId="486589A8" w14:textId="77777777" w:rsidR="00E64F9D" w:rsidRPr="00A96D90" w:rsidRDefault="00E64F9D" w:rsidP="00243859">
      <w:pPr>
        <w:pStyle w:val="AL"/>
        <w:spacing w:after="120"/>
        <w:rPr>
          <w:rFonts w:ascii="Calibri Light" w:hAnsi="Calibri Light" w:cs="Calibri Light"/>
          <w:bCs w:val="0"/>
          <w:color w:val="59595B"/>
          <w:szCs w:val="20"/>
        </w:rPr>
      </w:pPr>
      <w:r w:rsidRPr="00A96D90">
        <w:rPr>
          <w:rFonts w:ascii="Calibri Light" w:hAnsi="Calibri Light" w:cs="Calibri Light"/>
          <w:bCs w:val="0"/>
          <w:color w:val="59595B"/>
          <w:szCs w:val="20"/>
        </w:rPr>
        <w:t>Inventories include batches RUCONEST® and skimmed milk available for production of RUCONEST®.</w:t>
      </w:r>
    </w:p>
    <w:tbl>
      <w:tblPr>
        <w:tblW w:w="9140" w:type="dxa"/>
        <w:jc w:val="center"/>
        <w:shd w:val="clear" w:color="auto" w:fill="FFFFFF" w:themeFill="background1"/>
        <w:tblLook w:val="04A0" w:firstRow="1" w:lastRow="0" w:firstColumn="1" w:lastColumn="0" w:noHBand="0" w:noVBand="1"/>
      </w:tblPr>
      <w:tblGrid>
        <w:gridCol w:w="6663"/>
        <w:gridCol w:w="1134"/>
        <w:gridCol w:w="1343"/>
      </w:tblGrid>
      <w:tr w:rsidR="00243859" w:rsidRPr="00A96D90" w14:paraId="0A6A0F84" w14:textId="77777777" w:rsidTr="008621D3">
        <w:trPr>
          <w:trHeight w:val="277"/>
          <w:jc w:val="center"/>
        </w:trPr>
        <w:tc>
          <w:tcPr>
            <w:tcW w:w="6663" w:type="dxa"/>
            <w:tcBorders>
              <w:top w:val="nil"/>
              <w:left w:val="nil"/>
              <w:bottom w:val="single" w:sz="2" w:space="0" w:color="BFBFBF" w:themeColor="background1" w:themeShade="BF"/>
              <w:right w:val="nil"/>
            </w:tcBorders>
            <w:shd w:val="clear" w:color="auto" w:fill="FFFFFF" w:themeFill="background1"/>
            <w:hideMark/>
          </w:tcPr>
          <w:p w14:paraId="7A5ECF17" w14:textId="77777777" w:rsidR="00E64F9D" w:rsidRPr="00A96D90" w:rsidRDefault="00E64F9D" w:rsidP="003426AC">
            <w:pPr>
              <w:rPr>
                <w:rFonts w:asciiTheme="minorHAnsi" w:hAnsiTheme="minorHAnsi"/>
                <w:b/>
                <w:bCs/>
                <w:color w:val="00679B"/>
                <w:sz w:val="20"/>
                <w:szCs w:val="20"/>
                <w:lang w:val="en-GB"/>
              </w:rPr>
            </w:pPr>
          </w:p>
          <w:p w14:paraId="223B9620" w14:textId="33ECB9E2" w:rsidR="00E64F9D" w:rsidRPr="00A96D90" w:rsidRDefault="00E64F9D" w:rsidP="003426AC">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 xml:space="preserve">Amounts in </w:t>
            </w:r>
            <w:r w:rsidR="00384931" w:rsidRPr="00A96D90">
              <w:rPr>
                <w:rFonts w:asciiTheme="minorHAnsi" w:hAnsiTheme="minorHAnsi"/>
                <w:b/>
                <w:bCs/>
                <w:color w:val="00679B"/>
                <w:sz w:val="20"/>
                <w:szCs w:val="20"/>
                <w:lang w:val="en-GB"/>
              </w:rPr>
              <w:t>€ ‘</w:t>
            </w:r>
            <w:r w:rsidRPr="00A96D90">
              <w:rPr>
                <w:rFonts w:asciiTheme="minorHAnsi" w:hAnsiTheme="minorHAnsi"/>
                <w:b/>
                <w:bCs/>
                <w:color w:val="00679B"/>
                <w:sz w:val="20"/>
                <w:szCs w:val="20"/>
                <w:lang w:val="en-GB"/>
              </w:rPr>
              <w:t>000</w:t>
            </w:r>
          </w:p>
        </w:tc>
        <w:tc>
          <w:tcPr>
            <w:tcW w:w="1134" w:type="dxa"/>
            <w:tcBorders>
              <w:top w:val="nil"/>
              <w:left w:val="nil"/>
              <w:bottom w:val="single" w:sz="2" w:space="0" w:color="BFBFBF" w:themeColor="background1" w:themeShade="BF"/>
              <w:right w:val="nil"/>
            </w:tcBorders>
            <w:shd w:val="clear" w:color="auto" w:fill="FFFFFF" w:themeFill="background1"/>
            <w:hideMark/>
          </w:tcPr>
          <w:p w14:paraId="62FB0B56" w14:textId="52E3CAB7" w:rsidR="00E64F9D" w:rsidRPr="00A96D90" w:rsidRDefault="00E64F9D" w:rsidP="003426AC">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30 June 201</w:t>
            </w:r>
            <w:r w:rsidR="00183BE2" w:rsidRPr="00A96D90">
              <w:rPr>
                <w:rFonts w:asciiTheme="minorHAnsi" w:hAnsiTheme="minorHAnsi"/>
                <w:b/>
                <w:bCs/>
                <w:color w:val="00679B"/>
                <w:sz w:val="20"/>
                <w:szCs w:val="20"/>
                <w:lang w:val="en-GB"/>
              </w:rPr>
              <w:t>7</w:t>
            </w:r>
          </w:p>
        </w:tc>
        <w:tc>
          <w:tcPr>
            <w:tcW w:w="1343" w:type="dxa"/>
            <w:tcBorders>
              <w:top w:val="nil"/>
              <w:left w:val="nil"/>
              <w:bottom w:val="single" w:sz="2" w:space="0" w:color="BFBFBF" w:themeColor="background1" w:themeShade="BF"/>
              <w:right w:val="nil"/>
            </w:tcBorders>
            <w:shd w:val="clear" w:color="auto" w:fill="FFFFFF" w:themeFill="background1"/>
            <w:hideMark/>
          </w:tcPr>
          <w:p w14:paraId="53EEC78B" w14:textId="7CC732FF" w:rsidR="00E64F9D" w:rsidRPr="00A96D90" w:rsidRDefault="00E64F9D" w:rsidP="003426AC">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31 December 201</w:t>
            </w:r>
            <w:r w:rsidR="00183BE2" w:rsidRPr="00A96D90">
              <w:rPr>
                <w:rFonts w:asciiTheme="minorHAnsi" w:hAnsiTheme="minorHAnsi"/>
                <w:b/>
                <w:bCs/>
                <w:color w:val="00679B"/>
                <w:sz w:val="20"/>
                <w:szCs w:val="20"/>
                <w:lang w:val="en-GB"/>
              </w:rPr>
              <w:t>6</w:t>
            </w:r>
          </w:p>
        </w:tc>
      </w:tr>
      <w:tr w:rsidR="00243859" w:rsidRPr="00A96D90" w14:paraId="53E37D21" w14:textId="77777777" w:rsidTr="008621D3">
        <w:trPr>
          <w:trHeight w:val="277"/>
          <w:jc w:val="center"/>
        </w:trPr>
        <w:tc>
          <w:tcPr>
            <w:tcW w:w="6663" w:type="dxa"/>
            <w:tcBorders>
              <w:top w:val="single" w:sz="2" w:space="0" w:color="BFBFBF" w:themeColor="background1" w:themeShade="BF"/>
              <w:left w:val="nil"/>
              <w:bottom w:val="nil"/>
              <w:right w:val="single" w:sz="2" w:space="0" w:color="BFBFBF" w:themeColor="background1" w:themeShade="BF"/>
            </w:tcBorders>
            <w:shd w:val="clear" w:color="auto" w:fill="FFFFFF" w:themeFill="background1"/>
            <w:hideMark/>
          </w:tcPr>
          <w:p w14:paraId="21E203A3"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Finished goods</w:t>
            </w:r>
          </w:p>
        </w:tc>
        <w:tc>
          <w:tcPr>
            <w:tcW w:w="1134"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hideMark/>
          </w:tcPr>
          <w:p w14:paraId="76B23F08" w14:textId="63F2CE3A" w:rsidR="00E64F9D" w:rsidRPr="00A96D90" w:rsidRDefault="00183BE2"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8,108</w:t>
            </w:r>
          </w:p>
        </w:tc>
        <w:tc>
          <w:tcPr>
            <w:tcW w:w="1343"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hideMark/>
          </w:tcPr>
          <w:p w14:paraId="2F29064D" w14:textId="4012298C" w:rsidR="00E64F9D" w:rsidRPr="00A96D90" w:rsidRDefault="00183BE2"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9,731</w:t>
            </w:r>
          </w:p>
        </w:tc>
      </w:tr>
      <w:tr w:rsidR="00243859" w:rsidRPr="00A96D90" w14:paraId="2960D7AB" w14:textId="77777777" w:rsidTr="008621D3">
        <w:trPr>
          <w:trHeight w:val="277"/>
          <w:jc w:val="center"/>
        </w:trPr>
        <w:tc>
          <w:tcPr>
            <w:tcW w:w="6663" w:type="dxa"/>
            <w:tcBorders>
              <w:top w:val="nil"/>
              <w:left w:val="nil"/>
              <w:bottom w:val="nil"/>
              <w:right w:val="single" w:sz="2" w:space="0" w:color="BFBFBF" w:themeColor="background1" w:themeShade="BF"/>
            </w:tcBorders>
            <w:shd w:val="clear" w:color="auto" w:fill="FFFFFF" w:themeFill="background1"/>
            <w:hideMark/>
          </w:tcPr>
          <w:p w14:paraId="59444DED"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Work in progress</w:t>
            </w:r>
          </w:p>
        </w:tc>
        <w:tc>
          <w:tcPr>
            <w:tcW w:w="1134" w:type="dxa"/>
            <w:tcBorders>
              <w:left w:val="single" w:sz="2" w:space="0" w:color="BFBFBF" w:themeColor="background1" w:themeShade="BF"/>
              <w:right w:val="single" w:sz="2" w:space="0" w:color="BFBFBF" w:themeColor="background1" w:themeShade="BF"/>
            </w:tcBorders>
            <w:shd w:val="clear" w:color="auto" w:fill="F2F2F2" w:themeFill="background1" w:themeFillShade="F2"/>
            <w:hideMark/>
          </w:tcPr>
          <w:p w14:paraId="2C6E6F5D" w14:textId="4BCCD910" w:rsidR="00E64F9D" w:rsidRPr="00A96D90" w:rsidRDefault="00E64F9D"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w:t>
            </w:r>
            <w:r w:rsidR="00183BE2" w:rsidRPr="00A96D90">
              <w:rPr>
                <w:rFonts w:asciiTheme="minorHAnsi" w:hAnsiTheme="minorHAnsi"/>
                <w:color w:val="59595B"/>
                <w:sz w:val="20"/>
                <w:szCs w:val="20"/>
                <w:lang w:val="en-GB"/>
              </w:rPr>
              <w:t>,336</w:t>
            </w:r>
          </w:p>
        </w:tc>
        <w:tc>
          <w:tcPr>
            <w:tcW w:w="1343" w:type="dxa"/>
            <w:tcBorders>
              <w:left w:val="single" w:sz="2" w:space="0" w:color="BFBFBF" w:themeColor="background1" w:themeShade="BF"/>
              <w:right w:val="single" w:sz="2" w:space="0" w:color="BFBFBF" w:themeColor="background1" w:themeShade="BF"/>
            </w:tcBorders>
            <w:shd w:val="clear" w:color="auto" w:fill="FFFFFF" w:themeFill="background1"/>
            <w:hideMark/>
          </w:tcPr>
          <w:p w14:paraId="23B31CB3" w14:textId="11C10A7C" w:rsidR="00E64F9D" w:rsidRPr="00A96D90" w:rsidRDefault="00183BE2"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5,103</w:t>
            </w:r>
          </w:p>
        </w:tc>
      </w:tr>
      <w:tr w:rsidR="00243859" w:rsidRPr="00A96D90" w14:paraId="50594F0A" w14:textId="77777777" w:rsidTr="008621D3">
        <w:trPr>
          <w:trHeight w:val="262"/>
          <w:jc w:val="center"/>
        </w:trPr>
        <w:tc>
          <w:tcPr>
            <w:tcW w:w="6663" w:type="dxa"/>
            <w:tcBorders>
              <w:top w:val="nil"/>
              <w:left w:val="nil"/>
              <w:bottom w:val="single" w:sz="2" w:space="0" w:color="BFBFBF" w:themeColor="background1" w:themeShade="BF"/>
              <w:right w:val="single" w:sz="2" w:space="0" w:color="BFBFBF" w:themeColor="background1" w:themeShade="BF"/>
            </w:tcBorders>
            <w:shd w:val="clear" w:color="auto" w:fill="FFFFFF" w:themeFill="background1"/>
            <w:hideMark/>
          </w:tcPr>
          <w:p w14:paraId="033E9065"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Raw materials</w:t>
            </w:r>
          </w:p>
        </w:tc>
        <w:tc>
          <w:tcPr>
            <w:tcW w:w="1134"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hideMark/>
          </w:tcPr>
          <w:p w14:paraId="12361AEE" w14:textId="21F1BC5D" w:rsidR="00E64F9D" w:rsidRPr="00A96D90" w:rsidRDefault="00023A49"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3,029</w:t>
            </w:r>
          </w:p>
        </w:tc>
        <w:tc>
          <w:tcPr>
            <w:tcW w:w="1343"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hideMark/>
          </w:tcPr>
          <w:p w14:paraId="40B3E4B2" w14:textId="7C8DD9F2" w:rsidR="00E64F9D" w:rsidRPr="00A96D90" w:rsidRDefault="00183BE2"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3,107</w:t>
            </w:r>
          </w:p>
        </w:tc>
      </w:tr>
      <w:tr w:rsidR="00243859" w:rsidRPr="00A96D90" w14:paraId="5F30618E" w14:textId="77777777" w:rsidTr="008621D3">
        <w:trPr>
          <w:trHeight w:val="262"/>
          <w:jc w:val="center"/>
        </w:trPr>
        <w:tc>
          <w:tcPr>
            <w:tcW w:w="6663"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shd w:val="clear" w:color="auto" w:fill="FFFFFF" w:themeFill="background1"/>
            <w:hideMark/>
          </w:tcPr>
          <w:p w14:paraId="0D3A0C53" w14:textId="23990D24" w:rsidR="00E64F9D" w:rsidRPr="00A96D90" w:rsidRDefault="00E64F9D" w:rsidP="009A58DF">
            <w:pPr>
              <w:pStyle w:val="NoSpacing"/>
              <w:ind w:right="144"/>
              <w:jc w:val="both"/>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 xml:space="preserve">Balance at </w:t>
            </w:r>
            <w:r w:rsidR="009A58DF" w:rsidRPr="00A96D90">
              <w:rPr>
                <w:rFonts w:asciiTheme="minorHAnsi" w:hAnsiTheme="minorHAnsi" w:cs="Arial"/>
                <w:b/>
                <w:bCs/>
                <w:color w:val="59595B"/>
                <w:sz w:val="20"/>
                <w:szCs w:val="20"/>
                <w:lang w:val="en-GB"/>
              </w:rPr>
              <w:t>end of period</w:t>
            </w:r>
          </w:p>
        </w:tc>
        <w:tc>
          <w:tcPr>
            <w:tcW w:w="11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hideMark/>
          </w:tcPr>
          <w:p w14:paraId="06F78FE4" w14:textId="215C5720" w:rsidR="00E64F9D" w:rsidRPr="00A96D90" w:rsidRDefault="00E64F9D" w:rsidP="003426AC">
            <w:pPr>
              <w:pStyle w:val="NoSpacing"/>
              <w:ind w:right="-5"/>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1</w:t>
            </w:r>
            <w:r w:rsidR="00183BE2" w:rsidRPr="00A96D90">
              <w:rPr>
                <w:rFonts w:asciiTheme="minorHAnsi" w:hAnsiTheme="minorHAnsi" w:cs="Arial"/>
                <w:b/>
                <w:bCs/>
                <w:color w:val="59595B"/>
                <w:sz w:val="20"/>
                <w:szCs w:val="20"/>
                <w:lang w:val="en-GB"/>
              </w:rPr>
              <w:t>7,473</w:t>
            </w:r>
          </w:p>
        </w:tc>
        <w:tc>
          <w:tcPr>
            <w:tcW w:w="134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hideMark/>
          </w:tcPr>
          <w:p w14:paraId="6257D918" w14:textId="40BBA0F4" w:rsidR="00E64F9D" w:rsidRPr="00A96D90" w:rsidRDefault="00E64F9D" w:rsidP="003426AC">
            <w:pPr>
              <w:pStyle w:val="NoSpacing"/>
              <w:jc w:val="right"/>
              <w:rPr>
                <w:rFonts w:asciiTheme="minorHAnsi" w:hAnsiTheme="minorHAnsi" w:cs="Arial"/>
                <w:b/>
                <w:bCs/>
                <w:color w:val="59595B"/>
                <w:sz w:val="20"/>
                <w:szCs w:val="20"/>
                <w:lang w:val="en-GB"/>
              </w:rPr>
            </w:pPr>
            <w:r w:rsidRPr="00A96D90">
              <w:rPr>
                <w:rFonts w:asciiTheme="minorHAnsi" w:hAnsiTheme="minorHAnsi" w:cs="Arial"/>
                <w:b/>
                <w:bCs/>
                <w:color w:val="59595B"/>
                <w:sz w:val="20"/>
                <w:szCs w:val="20"/>
                <w:lang w:val="en-GB"/>
              </w:rPr>
              <w:t>1</w:t>
            </w:r>
            <w:r w:rsidR="00183BE2" w:rsidRPr="00A96D90">
              <w:rPr>
                <w:rFonts w:asciiTheme="minorHAnsi" w:hAnsiTheme="minorHAnsi" w:cs="Arial"/>
                <w:b/>
                <w:bCs/>
                <w:color w:val="59595B"/>
                <w:sz w:val="20"/>
                <w:szCs w:val="20"/>
                <w:lang w:val="en-GB"/>
              </w:rPr>
              <w:t>7,941</w:t>
            </w:r>
          </w:p>
        </w:tc>
      </w:tr>
    </w:tbl>
    <w:p w14:paraId="0D00F79B" w14:textId="77777777" w:rsidR="00243859" w:rsidRPr="00A96D90" w:rsidRDefault="00243859" w:rsidP="00E64F9D">
      <w:pPr>
        <w:pStyle w:val="NoSpacing"/>
        <w:rPr>
          <w:color w:val="59595B"/>
          <w:lang w:val="en-GB"/>
        </w:rPr>
      </w:pPr>
    </w:p>
    <w:p w14:paraId="70756C9C" w14:textId="7BE158FA" w:rsidR="00D90C72" w:rsidRPr="00A96D90" w:rsidRDefault="00E64F9D" w:rsidP="008371A4">
      <w:pPr>
        <w:pStyle w:val="NoSpacing"/>
        <w:spacing w:after="120"/>
        <w:rPr>
          <w:color w:val="59595B"/>
          <w:lang w:val="en-GB"/>
        </w:rPr>
      </w:pPr>
      <w:r w:rsidRPr="00A96D90">
        <w:rPr>
          <w:rFonts w:ascii="Calibri Light" w:eastAsia="Times New Roman" w:hAnsi="Calibri Light" w:cs="Calibri Light"/>
          <w:color w:val="59595B"/>
          <w:szCs w:val="20"/>
          <w:lang w:val="en-GB"/>
        </w:rPr>
        <w:t>The inv</w:t>
      </w:r>
      <w:r w:rsidR="005C4E64" w:rsidRPr="00A96D90">
        <w:rPr>
          <w:rFonts w:ascii="Calibri Light" w:eastAsia="Times New Roman" w:hAnsi="Calibri Light" w:cs="Calibri Light"/>
          <w:color w:val="59595B"/>
          <w:szCs w:val="20"/>
          <w:lang w:val="en-GB"/>
        </w:rPr>
        <w:t>entory valuation at 30 June 2017</w:t>
      </w:r>
      <w:r w:rsidRPr="00A96D90">
        <w:rPr>
          <w:rFonts w:ascii="Calibri Light" w:eastAsia="Times New Roman" w:hAnsi="Calibri Light" w:cs="Calibri Light"/>
          <w:color w:val="59595B"/>
          <w:szCs w:val="20"/>
          <w:lang w:val="en-GB"/>
        </w:rPr>
        <w:t xml:space="preserve"> is stated net of a</w:t>
      </w:r>
      <w:r w:rsidR="00023A49" w:rsidRPr="00A96D90">
        <w:rPr>
          <w:rFonts w:ascii="Calibri Light" w:eastAsia="Times New Roman" w:hAnsi="Calibri Light" w:cs="Calibri Light"/>
          <w:color w:val="59595B"/>
          <w:szCs w:val="20"/>
          <w:lang w:val="en-GB"/>
        </w:rPr>
        <w:t xml:space="preserve"> provision of €0.7 million (2016</w:t>
      </w:r>
      <w:r w:rsidRPr="00A96D90">
        <w:rPr>
          <w:rFonts w:ascii="Calibri Light" w:eastAsia="Times New Roman" w:hAnsi="Calibri Light" w:cs="Calibri Light"/>
          <w:color w:val="59595B"/>
          <w:szCs w:val="20"/>
          <w:lang w:val="en-GB"/>
        </w:rPr>
        <w:t>: €0.5 million) to write inventories down to their net realisable value.</w:t>
      </w:r>
      <w:r w:rsidRPr="00A96D90">
        <w:rPr>
          <w:color w:val="59595B"/>
          <w:sz w:val="20"/>
          <w:szCs w:val="20"/>
          <w:lang w:val="en-GB"/>
        </w:rPr>
        <w:t xml:space="preserve"> </w:t>
      </w:r>
    </w:p>
    <w:tbl>
      <w:tblPr>
        <w:tblW w:w="9218" w:type="dxa"/>
        <w:jc w:val="center"/>
        <w:shd w:val="clear" w:color="auto" w:fill="FFFFFF" w:themeFill="background1"/>
        <w:tblLook w:val="04A0" w:firstRow="1" w:lastRow="0" w:firstColumn="1" w:lastColumn="0" w:noHBand="0" w:noVBand="1"/>
      </w:tblPr>
      <w:tblGrid>
        <w:gridCol w:w="6608"/>
        <w:gridCol w:w="990"/>
        <w:gridCol w:w="1620"/>
      </w:tblGrid>
      <w:tr w:rsidR="00262ACF" w:rsidRPr="00A96D90" w14:paraId="3F6AE934" w14:textId="77777777" w:rsidTr="00D34867">
        <w:trPr>
          <w:trHeight w:val="263"/>
          <w:jc w:val="center"/>
        </w:trPr>
        <w:tc>
          <w:tcPr>
            <w:tcW w:w="6608" w:type="dxa"/>
            <w:tcBorders>
              <w:bottom w:val="single" w:sz="2" w:space="0" w:color="BFBFBF" w:themeColor="background1" w:themeShade="BF"/>
            </w:tcBorders>
            <w:shd w:val="clear" w:color="auto" w:fill="FFFFFF" w:themeFill="background1"/>
          </w:tcPr>
          <w:p w14:paraId="60ED307C" w14:textId="3E2993F9" w:rsidR="00E64F9D" w:rsidRPr="00A96D90" w:rsidRDefault="00E64F9D" w:rsidP="003426AC">
            <w:pPr>
              <w:rPr>
                <w:rFonts w:ascii="Calibri Light" w:hAnsi="Calibri Light" w:cs="Calibri Light"/>
                <w:color w:val="59595B"/>
                <w:szCs w:val="20"/>
                <w:lang w:val="en-GB"/>
              </w:rPr>
            </w:pPr>
            <w:r w:rsidRPr="00A96D90">
              <w:rPr>
                <w:rFonts w:ascii="Calibri Light" w:hAnsi="Calibri Light" w:cs="Calibri Light"/>
                <w:color w:val="59595B"/>
                <w:szCs w:val="20"/>
                <w:lang w:val="en-GB"/>
              </w:rPr>
              <w:t>Changes in the adjustment to net realisable value:</w:t>
            </w:r>
          </w:p>
          <w:p w14:paraId="5C1E8A8D" w14:textId="77777777" w:rsidR="00D34867" w:rsidRPr="00A96D90" w:rsidRDefault="00D34867" w:rsidP="003426AC">
            <w:pPr>
              <w:rPr>
                <w:rFonts w:asciiTheme="minorHAnsi" w:hAnsiTheme="minorHAnsi"/>
                <w:b/>
                <w:bCs/>
                <w:color w:val="00679B"/>
                <w:sz w:val="20"/>
                <w:szCs w:val="20"/>
                <w:lang w:val="en-GB"/>
              </w:rPr>
            </w:pPr>
          </w:p>
          <w:p w14:paraId="0669E8EE" w14:textId="77777777" w:rsidR="00E64F9D" w:rsidRPr="00A96D90" w:rsidRDefault="00E64F9D" w:rsidP="003426AC">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Amounts in € ‘000</w:t>
            </w:r>
          </w:p>
        </w:tc>
        <w:tc>
          <w:tcPr>
            <w:tcW w:w="990" w:type="dxa"/>
            <w:tcBorders>
              <w:bottom w:val="single" w:sz="2" w:space="0" w:color="BFBFBF" w:themeColor="background1" w:themeShade="BF"/>
            </w:tcBorders>
            <w:shd w:val="clear" w:color="auto" w:fill="FFFFFF" w:themeFill="background1"/>
          </w:tcPr>
          <w:p w14:paraId="2819AACF" w14:textId="37B11A84" w:rsidR="00E64F9D" w:rsidRPr="00A96D90" w:rsidRDefault="00E64F9D" w:rsidP="003426AC">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30 June 201</w:t>
            </w:r>
            <w:r w:rsidR="002B02D6" w:rsidRPr="00A96D90">
              <w:rPr>
                <w:rFonts w:asciiTheme="minorHAnsi" w:hAnsiTheme="minorHAnsi"/>
                <w:b/>
                <w:bCs/>
                <w:color w:val="00679B"/>
                <w:sz w:val="20"/>
                <w:szCs w:val="20"/>
                <w:lang w:val="en-GB"/>
              </w:rPr>
              <w:t>7</w:t>
            </w:r>
          </w:p>
        </w:tc>
        <w:tc>
          <w:tcPr>
            <w:tcW w:w="1620" w:type="dxa"/>
            <w:tcBorders>
              <w:bottom w:val="single" w:sz="2" w:space="0" w:color="BFBFBF" w:themeColor="background1" w:themeShade="BF"/>
            </w:tcBorders>
            <w:shd w:val="clear" w:color="auto" w:fill="FFFFFF" w:themeFill="background1"/>
          </w:tcPr>
          <w:p w14:paraId="7BBA9173" w14:textId="0E098400" w:rsidR="00E64F9D" w:rsidRPr="00A96D90" w:rsidRDefault="00E64F9D" w:rsidP="003426AC">
            <w:pPr>
              <w:ind w:right="111"/>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31 December 201</w:t>
            </w:r>
            <w:r w:rsidR="00023A49" w:rsidRPr="00A96D90">
              <w:rPr>
                <w:rFonts w:asciiTheme="minorHAnsi" w:hAnsiTheme="minorHAnsi"/>
                <w:b/>
                <w:bCs/>
                <w:color w:val="00679B"/>
                <w:sz w:val="20"/>
                <w:szCs w:val="20"/>
                <w:lang w:val="en-GB"/>
              </w:rPr>
              <w:t>6</w:t>
            </w:r>
          </w:p>
        </w:tc>
      </w:tr>
      <w:tr w:rsidR="00243859" w:rsidRPr="00A96D90" w14:paraId="29B4A721" w14:textId="77777777" w:rsidTr="00D34867">
        <w:trPr>
          <w:trHeight w:val="263"/>
          <w:jc w:val="center"/>
        </w:trPr>
        <w:tc>
          <w:tcPr>
            <w:tcW w:w="6608" w:type="dxa"/>
            <w:tcBorders>
              <w:top w:val="single" w:sz="2" w:space="0" w:color="BFBFBF" w:themeColor="background1" w:themeShade="BF"/>
              <w:right w:val="single" w:sz="2" w:space="0" w:color="BFBFBF" w:themeColor="background1" w:themeShade="BF"/>
            </w:tcBorders>
            <w:shd w:val="clear" w:color="auto" w:fill="FFFFFF" w:themeFill="background1"/>
          </w:tcPr>
          <w:p w14:paraId="0381569F"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Balance at 1 January</w:t>
            </w:r>
          </w:p>
        </w:tc>
        <w:tc>
          <w:tcPr>
            <w:tcW w:w="990"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13E4C65D" w14:textId="7C1E715C" w:rsidR="00E64F9D" w:rsidRPr="00A96D90" w:rsidRDefault="00023A49"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(642</w:t>
            </w:r>
            <w:r w:rsidR="00E64F9D" w:rsidRPr="00A96D90">
              <w:rPr>
                <w:rFonts w:asciiTheme="minorHAnsi" w:hAnsiTheme="minorHAnsi"/>
                <w:color w:val="59595B"/>
                <w:sz w:val="20"/>
                <w:szCs w:val="20"/>
                <w:lang w:val="en-GB"/>
              </w:rPr>
              <w:t>)</w:t>
            </w:r>
          </w:p>
        </w:tc>
        <w:tc>
          <w:tcPr>
            <w:tcW w:w="1620"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4A9AA4E4" w14:textId="239C05D0" w:rsidR="00E64F9D" w:rsidRPr="00A96D90" w:rsidRDefault="00023A49" w:rsidP="003426AC">
            <w:pPr>
              <w:ind w:right="111"/>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(462</w:t>
            </w:r>
            <w:r w:rsidR="00E64F9D" w:rsidRPr="00A96D90">
              <w:rPr>
                <w:rFonts w:asciiTheme="minorHAnsi" w:hAnsiTheme="minorHAnsi"/>
                <w:color w:val="59595B"/>
                <w:sz w:val="20"/>
                <w:szCs w:val="20"/>
                <w:lang w:val="en-GB"/>
              </w:rPr>
              <w:t>)</w:t>
            </w:r>
          </w:p>
        </w:tc>
      </w:tr>
      <w:tr w:rsidR="00243859" w:rsidRPr="00A96D90" w14:paraId="48541D85" w14:textId="77777777" w:rsidTr="00D34867">
        <w:trPr>
          <w:trHeight w:val="249"/>
          <w:jc w:val="center"/>
        </w:trPr>
        <w:tc>
          <w:tcPr>
            <w:tcW w:w="6608" w:type="dxa"/>
            <w:tcBorders>
              <w:right w:val="single" w:sz="2" w:space="0" w:color="BFBFBF" w:themeColor="background1" w:themeShade="BF"/>
            </w:tcBorders>
            <w:shd w:val="clear" w:color="auto" w:fill="FFFFFF" w:themeFill="background1"/>
          </w:tcPr>
          <w:p w14:paraId="127C70D6"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Reversal of (addition to) impairment for the year</w:t>
            </w:r>
          </w:p>
        </w:tc>
        <w:tc>
          <w:tcPr>
            <w:tcW w:w="990"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4B017F08" w14:textId="04387DF1" w:rsidR="00E64F9D" w:rsidRPr="00A96D90" w:rsidRDefault="00D6715C" w:rsidP="00080580">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(190)</w:t>
            </w:r>
          </w:p>
        </w:tc>
        <w:tc>
          <w:tcPr>
            <w:tcW w:w="1620" w:type="dxa"/>
            <w:tcBorders>
              <w:left w:val="single" w:sz="2" w:space="0" w:color="BFBFBF" w:themeColor="background1" w:themeShade="BF"/>
              <w:right w:val="single" w:sz="2" w:space="0" w:color="BFBFBF" w:themeColor="background1" w:themeShade="BF"/>
            </w:tcBorders>
            <w:shd w:val="clear" w:color="auto" w:fill="FFFFFF" w:themeFill="background1"/>
          </w:tcPr>
          <w:p w14:paraId="13734614" w14:textId="609349D5" w:rsidR="00E64F9D" w:rsidRPr="00A96D90" w:rsidRDefault="00023A49" w:rsidP="003426AC">
            <w:pPr>
              <w:ind w:right="111"/>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Cs/>
                <w:color w:val="59595B"/>
                <w:sz w:val="20"/>
                <w:szCs w:val="20"/>
                <w:lang w:val="en-GB"/>
              </w:rPr>
              <w:t>(547)</w:t>
            </w:r>
          </w:p>
        </w:tc>
      </w:tr>
      <w:tr w:rsidR="00243859" w:rsidRPr="00A96D90" w14:paraId="2FEB4EF3" w14:textId="77777777" w:rsidTr="00D34867">
        <w:trPr>
          <w:trHeight w:val="249"/>
          <w:jc w:val="center"/>
        </w:trPr>
        <w:tc>
          <w:tcPr>
            <w:tcW w:w="6608" w:type="dxa"/>
            <w:tcBorders>
              <w:right w:val="single" w:sz="2" w:space="0" w:color="BFBFBF" w:themeColor="background1" w:themeShade="BF"/>
            </w:tcBorders>
            <w:shd w:val="clear" w:color="auto" w:fill="FFFFFF" w:themeFill="background1"/>
          </w:tcPr>
          <w:p w14:paraId="5DFD5041"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Related to costs of product sales</w:t>
            </w:r>
          </w:p>
        </w:tc>
        <w:tc>
          <w:tcPr>
            <w:tcW w:w="990"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59FCBEC1" w14:textId="6C35DAF7" w:rsidR="00E64F9D" w:rsidRPr="00A96D90" w:rsidRDefault="00D6715C"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143</w:t>
            </w:r>
          </w:p>
        </w:tc>
        <w:tc>
          <w:tcPr>
            <w:tcW w:w="1620" w:type="dxa"/>
            <w:tcBorders>
              <w:left w:val="single" w:sz="2" w:space="0" w:color="BFBFBF" w:themeColor="background1" w:themeShade="BF"/>
              <w:right w:val="single" w:sz="2" w:space="0" w:color="BFBFBF" w:themeColor="background1" w:themeShade="BF"/>
            </w:tcBorders>
            <w:shd w:val="clear" w:color="auto" w:fill="FFFFFF" w:themeFill="background1"/>
          </w:tcPr>
          <w:p w14:paraId="502ED697" w14:textId="5174EC1B" w:rsidR="00E64F9D" w:rsidRPr="00A96D90" w:rsidRDefault="00023A49" w:rsidP="003426AC">
            <w:pPr>
              <w:ind w:right="111"/>
              <w:jc w:val="right"/>
              <w:rPr>
                <w:rFonts w:asciiTheme="minorHAnsi" w:eastAsiaTheme="minorEastAsia" w:hAnsiTheme="minorHAnsi" w:cs="Arial"/>
                <w:bCs/>
                <w:color w:val="59595B"/>
                <w:sz w:val="20"/>
                <w:szCs w:val="20"/>
                <w:lang w:val="en-GB"/>
              </w:rPr>
            </w:pPr>
            <w:r w:rsidRPr="00A96D90">
              <w:rPr>
                <w:rFonts w:asciiTheme="minorHAnsi" w:hAnsiTheme="minorHAnsi"/>
                <w:color w:val="59595B"/>
                <w:sz w:val="20"/>
                <w:szCs w:val="20"/>
                <w:lang w:val="en-GB"/>
              </w:rPr>
              <w:t>362</w:t>
            </w:r>
          </w:p>
        </w:tc>
      </w:tr>
      <w:tr w:rsidR="00243859" w:rsidRPr="00A96D90" w14:paraId="330CD25A" w14:textId="77777777" w:rsidTr="00D34867">
        <w:trPr>
          <w:trHeight w:val="249"/>
          <w:jc w:val="center"/>
        </w:trPr>
        <w:tc>
          <w:tcPr>
            <w:tcW w:w="6608" w:type="dxa"/>
            <w:tcBorders>
              <w:bottom w:val="single" w:sz="2" w:space="0" w:color="BFBFBF" w:themeColor="background1" w:themeShade="BF"/>
              <w:right w:val="single" w:sz="2" w:space="0" w:color="BFBFBF" w:themeColor="background1" w:themeShade="BF"/>
            </w:tcBorders>
            <w:shd w:val="clear" w:color="auto" w:fill="FFFFFF" w:themeFill="background1"/>
          </w:tcPr>
          <w:p w14:paraId="71408FEC" w14:textId="77777777" w:rsidR="00E64F9D" w:rsidRPr="00A96D90" w:rsidRDefault="00E64F9D" w:rsidP="003426AC">
            <w:pPr>
              <w:rPr>
                <w:rFonts w:asciiTheme="minorHAnsi" w:hAnsiTheme="minorHAnsi"/>
                <w:color w:val="59595B"/>
                <w:sz w:val="20"/>
                <w:szCs w:val="20"/>
                <w:lang w:val="en-GB"/>
              </w:rPr>
            </w:pPr>
            <w:r w:rsidRPr="00A96D90">
              <w:rPr>
                <w:rFonts w:asciiTheme="minorHAnsi" w:hAnsiTheme="minorHAnsi"/>
                <w:color w:val="59595B"/>
                <w:sz w:val="20"/>
                <w:szCs w:val="20"/>
                <w:lang w:val="en-GB"/>
              </w:rPr>
              <w:t>Related to operating costs</w:t>
            </w:r>
          </w:p>
        </w:tc>
        <w:tc>
          <w:tcPr>
            <w:tcW w:w="990"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54DE5428" w14:textId="1B2F43A2" w:rsidR="00E64F9D" w:rsidRPr="00A96D90" w:rsidRDefault="00D6715C" w:rsidP="003426AC">
            <w:pPr>
              <w:jc w:val="right"/>
              <w:rPr>
                <w:rFonts w:asciiTheme="minorHAnsi" w:hAnsiTheme="minorHAnsi"/>
                <w:color w:val="59595B"/>
                <w:sz w:val="20"/>
                <w:szCs w:val="20"/>
                <w:lang w:val="en-GB"/>
              </w:rPr>
            </w:pPr>
            <w:r w:rsidRPr="00A96D90">
              <w:rPr>
                <w:rFonts w:asciiTheme="minorHAnsi" w:hAnsiTheme="minorHAnsi"/>
                <w:color w:val="59595B"/>
                <w:sz w:val="20"/>
                <w:szCs w:val="20"/>
                <w:lang w:val="en-GB"/>
              </w:rPr>
              <w:t>9</w:t>
            </w:r>
          </w:p>
        </w:tc>
        <w:tc>
          <w:tcPr>
            <w:tcW w:w="1620"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04F7372" w14:textId="7822A91B" w:rsidR="00E64F9D" w:rsidRPr="00A96D90" w:rsidRDefault="00023A49" w:rsidP="003426AC">
            <w:pPr>
              <w:ind w:right="111"/>
              <w:jc w:val="right"/>
              <w:rPr>
                <w:rFonts w:asciiTheme="minorHAnsi" w:eastAsiaTheme="minorEastAsia" w:hAnsiTheme="minorHAnsi" w:cs="Arial"/>
                <w:bCs/>
                <w:color w:val="59595B"/>
                <w:sz w:val="20"/>
                <w:szCs w:val="20"/>
                <w:lang w:val="en-GB"/>
              </w:rPr>
            </w:pPr>
            <w:r w:rsidRPr="00A96D90">
              <w:rPr>
                <w:rFonts w:asciiTheme="minorHAnsi" w:hAnsiTheme="minorHAnsi"/>
                <w:color w:val="59595B"/>
                <w:sz w:val="20"/>
                <w:szCs w:val="20"/>
                <w:lang w:val="en-GB"/>
              </w:rPr>
              <w:t>5</w:t>
            </w:r>
          </w:p>
        </w:tc>
      </w:tr>
      <w:tr w:rsidR="00243859" w:rsidRPr="00A96D90" w14:paraId="27DD5C8C" w14:textId="77777777" w:rsidTr="00D34867">
        <w:trPr>
          <w:trHeight w:val="249"/>
          <w:jc w:val="center"/>
        </w:trPr>
        <w:tc>
          <w:tcPr>
            <w:tcW w:w="6608"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0DEE9CF1" w14:textId="5C5F6450" w:rsidR="00E64F9D" w:rsidRPr="00A96D90" w:rsidRDefault="00E64F9D" w:rsidP="003426AC">
            <w:pPr>
              <w:ind w:right="144"/>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 xml:space="preserve">Balance at </w:t>
            </w:r>
            <w:r w:rsidR="009A58DF" w:rsidRPr="00A96D90">
              <w:rPr>
                <w:rFonts w:asciiTheme="minorHAnsi" w:eastAsiaTheme="minorEastAsia" w:hAnsiTheme="minorHAnsi" w:cs="Arial"/>
                <w:b/>
                <w:bCs/>
                <w:color w:val="59595B"/>
                <w:sz w:val="20"/>
                <w:szCs w:val="20"/>
                <w:lang w:val="en-GB"/>
              </w:rPr>
              <w:t>end of period</w:t>
            </w:r>
          </w:p>
        </w:tc>
        <w:tc>
          <w:tcPr>
            <w:tcW w:w="99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16077FA7" w14:textId="0768B4D9" w:rsidR="00E64F9D" w:rsidRPr="00A96D90" w:rsidRDefault="00E64F9D" w:rsidP="003426AC">
            <w:pPr>
              <w:jc w:val="right"/>
              <w:rPr>
                <w:rFonts w:asciiTheme="minorHAnsi" w:eastAsiaTheme="minorEastAsia" w:hAnsiTheme="minorHAnsi" w:cs="Arial"/>
                <w:bCs/>
                <w:color w:val="59595B"/>
                <w:sz w:val="20"/>
                <w:szCs w:val="20"/>
                <w:lang w:val="en-GB"/>
              </w:rPr>
            </w:pPr>
            <w:r w:rsidRPr="00A96D90">
              <w:rPr>
                <w:rFonts w:asciiTheme="minorHAnsi" w:eastAsiaTheme="minorEastAsia" w:hAnsiTheme="minorHAnsi" w:cs="Arial"/>
                <w:b/>
                <w:bCs/>
                <w:color w:val="59595B"/>
                <w:sz w:val="20"/>
                <w:szCs w:val="20"/>
                <w:lang w:val="en-GB"/>
              </w:rPr>
              <w:t>(</w:t>
            </w:r>
            <w:r w:rsidR="00D6715C" w:rsidRPr="00A96D90">
              <w:rPr>
                <w:rFonts w:asciiTheme="minorHAnsi" w:eastAsiaTheme="minorEastAsia" w:hAnsiTheme="minorHAnsi" w:cs="Arial"/>
                <w:b/>
                <w:bCs/>
                <w:color w:val="59595B"/>
                <w:sz w:val="20"/>
                <w:szCs w:val="20"/>
                <w:lang w:val="en-GB"/>
              </w:rPr>
              <w:t>680</w:t>
            </w:r>
            <w:r w:rsidRPr="00A96D90">
              <w:rPr>
                <w:rFonts w:asciiTheme="minorHAnsi" w:eastAsiaTheme="minorEastAsia" w:hAnsiTheme="minorHAnsi" w:cs="Arial"/>
                <w:b/>
                <w:bCs/>
                <w:color w:val="59595B"/>
                <w:sz w:val="20"/>
                <w:szCs w:val="20"/>
                <w:lang w:val="en-GB"/>
              </w:rPr>
              <w:t>)</w:t>
            </w:r>
          </w:p>
        </w:tc>
        <w:tc>
          <w:tcPr>
            <w:tcW w:w="162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38B8E2B0" w14:textId="2F28688A" w:rsidR="00E64F9D" w:rsidRPr="00A96D90" w:rsidRDefault="00E64F9D" w:rsidP="003426AC">
            <w:pPr>
              <w:ind w:right="66"/>
              <w:jc w:val="right"/>
              <w:rPr>
                <w:rFonts w:asciiTheme="minorHAnsi" w:eastAsiaTheme="minorEastAsia" w:hAnsiTheme="minorHAnsi" w:cs="Arial"/>
                <w:b/>
                <w:bCs/>
                <w:color w:val="59595B"/>
                <w:sz w:val="20"/>
                <w:szCs w:val="20"/>
                <w:lang w:val="en-GB"/>
              </w:rPr>
            </w:pPr>
            <w:r w:rsidRPr="00A96D90">
              <w:rPr>
                <w:rFonts w:asciiTheme="minorHAnsi" w:eastAsiaTheme="minorEastAsia" w:hAnsiTheme="minorHAnsi" w:cs="Arial"/>
                <w:b/>
                <w:bCs/>
                <w:color w:val="59595B"/>
                <w:sz w:val="20"/>
                <w:szCs w:val="20"/>
                <w:lang w:val="en-GB"/>
              </w:rPr>
              <w:t>(</w:t>
            </w:r>
            <w:r w:rsidR="00023A49" w:rsidRPr="00A96D90">
              <w:rPr>
                <w:rFonts w:asciiTheme="minorHAnsi" w:eastAsiaTheme="minorEastAsia" w:hAnsiTheme="minorHAnsi" w:cs="Arial"/>
                <w:b/>
                <w:bCs/>
                <w:color w:val="59595B"/>
                <w:sz w:val="20"/>
                <w:szCs w:val="20"/>
                <w:lang w:val="en-GB"/>
              </w:rPr>
              <w:t>642</w:t>
            </w:r>
            <w:r w:rsidRPr="00A96D90">
              <w:rPr>
                <w:rFonts w:asciiTheme="minorHAnsi" w:eastAsiaTheme="minorEastAsia" w:hAnsiTheme="minorHAnsi" w:cs="Arial"/>
                <w:b/>
                <w:bCs/>
                <w:color w:val="59595B"/>
                <w:sz w:val="20"/>
                <w:szCs w:val="20"/>
                <w:lang w:val="en-GB"/>
              </w:rPr>
              <w:t>)</w:t>
            </w:r>
          </w:p>
        </w:tc>
      </w:tr>
    </w:tbl>
    <w:p w14:paraId="72341BD5" w14:textId="77777777" w:rsidR="00E64F9D" w:rsidRPr="00A96D90" w:rsidRDefault="00E64F9D" w:rsidP="00E64F9D">
      <w:pPr>
        <w:pStyle w:val="NoSpacing"/>
        <w:rPr>
          <w:color w:val="59595B"/>
          <w:lang w:val="en-GB"/>
        </w:rPr>
      </w:pPr>
    </w:p>
    <w:p w14:paraId="541CA454" w14:textId="751AE93E" w:rsidR="00E64F9D" w:rsidRPr="00A96D90" w:rsidRDefault="00D6715C" w:rsidP="008653C6">
      <w:pPr>
        <w:pStyle w:val="NoSpacing"/>
        <w:rPr>
          <w:rFonts w:ascii="Calibri Light" w:hAnsi="Calibri Light" w:cs="Calibri Light"/>
          <w:color w:val="59595B"/>
          <w:lang w:val="en-GB"/>
        </w:rPr>
      </w:pPr>
      <w:r w:rsidRPr="00A96D90">
        <w:rPr>
          <w:rFonts w:ascii="Calibri Light" w:hAnsi="Calibri Light" w:cs="Calibri Light"/>
          <w:color w:val="59595B"/>
          <w:lang w:val="en-GB"/>
        </w:rPr>
        <w:t>In 2017</w:t>
      </w:r>
      <w:r w:rsidR="00E64F9D" w:rsidRPr="00A96D90">
        <w:rPr>
          <w:rFonts w:ascii="Calibri Light" w:hAnsi="Calibri Light" w:cs="Calibri Light"/>
          <w:color w:val="59595B"/>
          <w:lang w:val="en-GB"/>
        </w:rPr>
        <w:t xml:space="preserve">, the </w:t>
      </w:r>
      <w:r w:rsidR="009A58DF" w:rsidRPr="00A96D90">
        <w:rPr>
          <w:rFonts w:ascii="Calibri Light" w:hAnsi="Calibri Light" w:cs="Calibri Light"/>
          <w:color w:val="59595B"/>
          <w:lang w:val="en-GB"/>
        </w:rPr>
        <w:t xml:space="preserve">addition </w:t>
      </w:r>
      <w:r w:rsidR="00E64F9D" w:rsidRPr="00A96D90">
        <w:rPr>
          <w:rFonts w:ascii="Calibri Light" w:hAnsi="Calibri Light" w:cs="Calibri Light"/>
          <w:color w:val="59595B"/>
          <w:lang w:val="en-GB"/>
        </w:rPr>
        <w:t xml:space="preserve">of €0.2 million was based on adjusted sales forecasts. The impaired amount related to operating costs used for </w:t>
      </w:r>
      <w:r w:rsidR="009A58DF" w:rsidRPr="00A96D90">
        <w:rPr>
          <w:rFonts w:ascii="Calibri Light" w:hAnsi="Calibri Light" w:cs="Calibri Light"/>
          <w:color w:val="59595B"/>
          <w:lang w:val="en-GB"/>
        </w:rPr>
        <w:t xml:space="preserve">investigational medicinal product </w:t>
      </w:r>
      <w:r w:rsidR="00E64F9D" w:rsidRPr="00A96D90">
        <w:rPr>
          <w:rFonts w:ascii="Calibri Light" w:hAnsi="Calibri Light" w:cs="Calibri Light"/>
          <w:color w:val="59595B"/>
          <w:lang w:val="en-GB"/>
        </w:rPr>
        <w:t xml:space="preserve">drugs in clinical studies. </w:t>
      </w:r>
    </w:p>
    <w:p w14:paraId="7B754A3A" w14:textId="29183EBB" w:rsidR="00262ACF" w:rsidRPr="00A96D90" w:rsidRDefault="00E64F9D" w:rsidP="008653C6">
      <w:pPr>
        <w:pStyle w:val="NoSpacing"/>
        <w:rPr>
          <w:rFonts w:ascii="Calibri Light" w:hAnsi="Calibri Light" w:cs="Calibri Light"/>
          <w:color w:val="59595B"/>
          <w:lang w:val="en-GB"/>
        </w:rPr>
      </w:pPr>
      <w:r w:rsidRPr="00A96D90">
        <w:rPr>
          <w:rFonts w:ascii="Calibri Light" w:hAnsi="Calibri Light" w:cs="Calibri Light"/>
          <w:color w:val="59595B"/>
          <w:lang w:val="en-GB"/>
        </w:rPr>
        <w:t xml:space="preserve">Cost of inventories included in the cost of product sales in the first half year </w:t>
      </w:r>
      <w:r w:rsidR="00593EA8" w:rsidRPr="00A96D90">
        <w:rPr>
          <w:rFonts w:ascii="Calibri Light" w:hAnsi="Calibri Light" w:cs="Calibri Light"/>
          <w:color w:val="59595B"/>
          <w:lang w:val="en-GB"/>
        </w:rPr>
        <w:t>2017 amounted €</w:t>
      </w:r>
      <w:r w:rsidR="00DF64FA" w:rsidRPr="00A96D90">
        <w:rPr>
          <w:rFonts w:ascii="Calibri Light" w:hAnsi="Calibri Light" w:cs="Calibri Light"/>
          <w:color w:val="59595B"/>
          <w:lang w:val="en-GB"/>
        </w:rPr>
        <w:t>3.7</w:t>
      </w:r>
      <w:r w:rsidR="00593EA8" w:rsidRPr="00A96D90">
        <w:rPr>
          <w:rFonts w:ascii="Calibri Light" w:hAnsi="Calibri Light" w:cs="Calibri Light"/>
          <w:color w:val="59595B"/>
          <w:lang w:val="en-GB"/>
        </w:rPr>
        <w:t xml:space="preserve"> million (2016</w:t>
      </w:r>
      <w:r w:rsidRPr="00A96D90">
        <w:rPr>
          <w:rFonts w:ascii="Calibri Light" w:hAnsi="Calibri Light" w:cs="Calibri Light"/>
          <w:color w:val="59595B"/>
          <w:lang w:val="en-GB"/>
        </w:rPr>
        <w:t>: €</w:t>
      </w:r>
      <w:r w:rsidR="00593EA8" w:rsidRPr="00A96D90">
        <w:rPr>
          <w:rFonts w:ascii="Calibri Light" w:hAnsi="Calibri Light" w:cs="Calibri Light"/>
          <w:color w:val="59595B"/>
          <w:lang w:val="en-GB"/>
        </w:rPr>
        <w:t>1.8</w:t>
      </w:r>
      <w:r w:rsidRPr="00A96D90">
        <w:rPr>
          <w:rFonts w:ascii="Calibri Light" w:hAnsi="Calibri Light" w:cs="Calibri Light"/>
          <w:color w:val="59595B"/>
          <w:lang w:val="en-GB"/>
        </w:rPr>
        <w:t> million). The main portio</w:t>
      </w:r>
      <w:r w:rsidR="00DF64FA" w:rsidRPr="00A96D90">
        <w:rPr>
          <w:rFonts w:ascii="Calibri Light" w:hAnsi="Calibri Light" w:cs="Calibri Light"/>
          <w:color w:val="59595B"/>
          <w:lang w:val="en-GB"/>
        </w:rPr>
        <w:t>n of inventories at 30 June 2017</w:t>
      </w:r>
      <w:r w:rsidRPr="00A96D90">
        <w:rPr>
          <w:rFonts w:ascii="Calibri Light" w:hAnsi="Calibri Light" w:cs="Calibri Light"/>
          <w:color w:val="59595B"/>
          <w:lang w:val="en-GB"/>
        </w:rPr>
        <w:t xml:space="preserve"> has expiration dates starting beyond 2018 and is expected to be sold or used before expiration.</w:t>
      </w:r>
    </w:p>
    <w:p w14:paraId="45F95928" w14:textId="29E376A6" w:rsidR="00E64F9D" w:rsidRPr="00A96D90" w:rsidRDefault="00262ACF"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E</w:t>
      </w:r>
      <w:r w:rsidR="00E64F9D" w:rsidRPr="00A96D90">
        <w:rPr>
          <w:rFonts w:asciiTheme="majorHAnsi" w:hAnsiTheme="majorHAnsi" w:cstheme="minorHAnsi"/>
          <w:i/>
          <w:color w:val="59595B"/>
          <w:sz w:val="24"/>
          <w:szCs w:val="22"/>
          <w:lang w:val="en-GB"/>
        </w:rPr>
        <w:t>quity</w:t>
      </w:r>
    </w:p>
    <w:p w14:paraId="27DC1B86" w14:textId="07966828" w:rsidR="00131CCB" w:rsidRPr="00A96D90" w:rsidRDefault="00B8058C" w:rsidP="00262ACF">
      <w:pPr>
        <w:pStyle w:val="NoSpacing"/>
        <w:spacing w:after="120"/>
        <w:rPr>
          <w:rFonts w:ascii="Calibri Light" w:hAnsi="Calibri Light" w:cs="Calibri Light"/>
          <w:color w:val="59595B"/>
          <w:lang w:val="en-GB"/>
        </w:rPr>
      </w:pPr>
      <w:r w:rsidRPr="00A96D90">
        <w:rPr>
          <w:rFonts w:ascii="Calibri Light" w:hAnsi="Calibri Light" w:cs="Calibri Light"/>
          <w:color w:val="59595B"/>
          <w:lang w:val="en-GB"/>
        </w:rPr>
        <w:t>The Company’s authorised share capital amounts to €8.0 million and is divided into 800,000,000 ordinary shares with a nominal value of €0.01 each. All 483,928,545 shares outstanding at 30 June 2017 have been fully paid-up. Other reserves include those reserves related to currency translation, share-based compensation expenses and other equity-settled transactions. Please refer to the Consolidated statement of changes in equity.</w:t>
      </w:r>
    </w:p>
    <w:p w14:paraId="3A249714" w14:textId="51AE9F09" w:rsidR="00E64F9D" w:rsidRPr="00A96D90" w:rsidRDefault="00E64F9D" w:rsidP="008371A4">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bookmarkStart w:id="2" w:name="_Toc444768942"/>
      <w:r w:rsidRPr="00A96D90">
        <w:rPr>
          <w:rFonts w:asciiTheme="majorHAnsi" w:hAnsiTheme="majorHAnsi" w:cstheme="minorHAnsi"/>
          <w:i/>
          <w:color w:val="59595B"/>
          <w:sz w:val="24"/>
          <w:szCs w:val="22"/>
          <w:lang w:val="en-GB"/>
        </w:rPr>
        <w:t>Loans and borrowings</w:t>
      </w:r>
      <w:bookmarkEnd w:id="2"/>
      <w:r w:rsidRPr="00A96D90">
        <w:rPr>
          <w:rFonts w:asciiTheme="majorHAnsi" w:hAnsiTheme="majorHAnsi" w:cstheme="minorHAnsi"/>
          <w:i/>
          <w:color w:val="59595B"/>
          <w:sz w:val="24"/>
          <w:szCs w:val="22"/>
          <w:lang w:val="en-GB"/>
        </w:rPr>
        <w:t xml:space="preserve"> </w:t>
      </w:r>
    </w:p>
    <w:p w14:paraId="799DF34D" w14:textId="4902A5E7" w:rsidR="00116682" w:rsidRPr="00A96D90" w:rsidRDefault="00DF64FA" w:rsidP="00DF64FA">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On </w:t>
      </w:r>
      <w:r w:rsidR="00384931" w:rsidRPr="00A96D90">
        <w:rPr>
          <w:rFonts w:ascii="Calibri Light" w:eastAsia="Calibri" w:hAnsi="Calibri Light" w:cs="Calibri Light"/>
          <w:color w:val="59595B"/>
          <w:szCs w:val="22"/>
          <w:lang w:val="en-GB"/>
        </w:rPr>
        <w:t>15 May 2017,</w:t>
      </w:r>
      <w:r w:rsidRPr="00A96D90">
        <w:rPr>
          <w:rFonts w:ascii="Calibri Light" w:eastAsia="Calibri" w:hAnsi="Calibri Light" w:cs="Calibri Light"/>
          <w:color w:val="59595B"/>
          <w:szCs w:val="22"/>
          <w:lang w:val="en-GB"/>
        </w:rPr>
        <w:t xml:space="preserve"> the Company entered into a new debt facility with Orbimed Royalty Opportunities II, LP to raise $100 million</w:t>
      </w:r>
      <w:r w:rsidR="00FB545B" w:rsidRPr="00A96D90">
        <w:rPr>
          <w:rFonts w:ascii="Calibri Light" w:eastAsia="Calibri" w:hAnsi="Calibri Light" w:cs="Calibri Light"/>
          <w:color w:val="59595B"/>
          <w:szCs w:val="22"/>
          <w:lang w:val="en-GB"/>
        </w:rPr>
        <w:t xml:space="preserve"> (€91.</w:t>
      </w:r>
      <w:r w:rsidR="00A9299A" w:rsidRPr="00A96D90">
        <w:rPr>
          <w:rFonts w:ascii="Calibri Light" w:eastAsia="Calibri" w:hAnsi="Calibri Light" w:cs="Calibri Light"/>
          <w:color w:val="59595B"/>
          <w:szCs w:val="22"/>
          <w:lang w:val="en-GB"/>
        </w:rPr>
        <w:t>3</w:t>
      </w:r>
      <w:r w:rsidR="00FB545B" w:rsidRPr="00A96D90">
        <w:rPr>
          <w:rFonts w:ascii="Calibri Light" w:eastAsia="Calibri" w:hAnsi="Calibri Light" w:cs="Calibri Light"/>
          <w:color w:val="59595B"/>
          <w:szCs w:val="22"/>
          <w:lang w:val="en-GB"/>
        </w:rPr>
        <w:t xml:space="preserve"> million)</w:t>
      </w:r>
      <w:r w:rsidRPr="00A96D90">
        <w:rPr>
          <w:rFonts w:ascii="Calibri Light" w:eastAsia="Calibri" w:hAnsi="Calibri Light" w:cs="Calibri Light"/>
          <w:color w:val="59595B"/>
          <w:szCs w:val="22"/>
          <w:lang w:val="en-GB"/>
        </w:rPr>
        <w:t>.</w:t>
      </w:r>
      <w:r w:rsidR="001C36DF" w:rsidRPr="00A96D90">
        <w:rPr>
          <w:rFonts w:ascii="Calibri Light" w:eastAsia="Calibri" w:hAnsi="Calibri Light" w:cs="Calibri Light"/>
          <w:color w:val="59595B"/>
          <w:szCs w:val="22"/>
          <w:lang w:val="en-GB"/>
        </w:rPr>
        <w:t xml:space="preserve"> </w:t>
      </w:r>
      <w:r w:rsidR="0032241C" w:rsidRPr="00A96D90">
        <w:rPr>
          <w:rFonts w:ascii="Calibri Light" w:eastAsia="Calibri" w:hAnsi="Calibri Light" w:cs="Calibri Light"/>
          <w:color w:val="59595B"/>
          <w:szCs w:val="22"/>
          <w:lang w:val="en-GB"/>
        </w:rPr>
        <w:t>The new debt facility has been used to redeem the Amortizing Convertible Bonds due 2017/2018 and to refinance the Company’s senior debt facility with Silicon Valley Bank and Kreos Capital, together with the associated prepayment fees and the legal and other costs of the transaction</w:t>
      </w:r>
      <w:r w:rsidR="00384931">
        <w:rPr>
          <w:rFonts w:ascii="Calibri Light" w:eastAsia="Calibri" w:hAnsi="Calibri Light" w:cs="Calibri Light"/>
          <w:color w:val="59595B"/>
          <w:szCs w:val="22"/>
          <w:lang w:val="en-GB"/>
        </w:rPr>
        <w:t>.</w:t>
      </w:r>
      <w:r w:rsidR="00FB545B" w:rsidRPr="00A96D90">
        <w:rPr>
          <w:rFonts w:ascii="Calibri Light" w:eastAsia="Calibri" w:hAnsi="Calibri Light" w:cs="Calibri Light"/>
          <w:color w:val="59595B"/>
          <w:szCs w:val="22"/>
          <w:lang w:val="en-GB"/>
        </w:rPr>
        <w:t xml:space="preserve"> The loan, initially structured as a bridge facility 15 May 2017, was replaced </w:t>
      </w:r>
      <w:r w:rsidR="00531FEB" w:rsidRPr="00A96D90">
        <w:rPr>
          <w:rFonts w:ascii="Calibri Light" w:eastAsia="Calibri" w:hAnsi="Calibri Light" w:cs="Calibri Light"/>
          <w:color w:val="59595B"/>
          <w:szCs w:val="22"/>
          <w:lang w:val="en-GB"/>
        </w:rPr>
        <w:t>on</w:t>
      </w:r>
      <w:r w:rsidR="00FB545B" w:rsidRPr="00A96D90">
        <w:rPr>
          <w:rFonts w:ascii="Calibri Light" w:eastAsia="Calibri" w:hAnsi="Calibri Light" w:cs="Calibri Light"/>
          <w:color w:val="59595B"/>
          <w:szCs w:val="22"/>
          <w:lang w:val="en-GB"/>
        </w:rPr>
        <w:t xml:space="preserve"> 20 July 2017 by a full loan agreement with a maturity date of 20 </w:t>
      </w:r>
      <w:r w:rsidR="00384931" w:rsidRPr="00A96D90">
        <w:rPr>
          <w:rFonts w:ascii="Calibri Light" w:eastAsia="Calibri" w:hAnsi="Calibri Light" w:cs="Calibri Light"/>
          <w:color w:val="59595B"/>
          <w:szCs w:val="22"/>
          <w:lang w:val="en-GB"/>
        </w:rPr>
        <w:t>July</w:t>
      </w:r>
      <w:r w:rsidR="00FB545B" w:rsidRPr="00A96D90">
        <w:rPr>
          <w:rFonts w:ascii="Calibri Light" w:eastAsia="Calibri" w:hAnsi="Calibri Light" w:cs="Calibri Light"/>
          <w:color w:val="59595B"/>
          <w:szCs w:val="22"/>
          <w:lang w:val="en-GB"/>
        </w:rPr>
        <w:t xml:space="preserve"> 2021 under the same terms and conditions.</w:t>
      </w:r>
      <w:r w:rsidR="00116682" w:rsidRPr="00A96D90">
        <w:rPr>
          <w:rFonts w:ascii="Calibri Light" w:eastAsia="Calibri" w:hAnsi="Calibri Light" w:cs="Calibri Light"/>
          <w:color w:val="59595B"/>
          <w:szCs w:val="22"/>
          <w:lang w:val="en-GB"/>
        </w:rPr>
        <w:t xml:space="preserve"> The fees </w:t>
      </w:r>
      <w:r w:rsidR="0032241C" w:rsidRPr="00A96D90">
        <w:rPr>
          <w:rFonts w:ascii="Calibri Light" w:eastAsia="Calibri" w:hAnsi="Calibri Light" w:cs="Calibri Light"/>
          <w:color w:val="59595B"/>
          <w:szCs w:val="22"/>
          <w:lang w:val="en-GB"/>
        </w:rPr>
        <w:t>for the early</w:t>
      </w:r>
      <w:r w:rsidR="00116682" w:rsidRPr="00A96D90">
        <w:rPr>
          <w:rFonts w:ascii="Calibri Light" w:eastAsia="Calibri" w:hAnsi="Calibri Light" w:cs="Calibri Light"/>
          <w:color w:val="59595B"/>
          <w:szCs w:val="22"/>
          <w:lang w:val="en-GB"/>
        </w:rPr>
        <w:t xml:space="preserve"> repayment of </w:t>
      </w:r>
      <w:r w:rsidR="00FB545B" w:rsidRPr="00A96D90">
        <w:rPr>
          <w:rFonts w:ascii="Calibri Light" w:eastAsia="Calibri" w:hAnsi="Calibri Light" w:cs="Calibri Light"/>
          <w:color w:val="59595B"/>
          <w:szCs w:val="22"/>
          <w:lang w:val="en-GB"/>
        </w:rPr>
        <w:t xml:space="preserve">$80.5 million (€73.5 million) for </w:t>
      </w:r>
      <w:r w:rsidR="00116682" w:rsidRPr="00A96D90">
        <w:rPr>
          <w:rFonts w:ascii="Calibri Light" w:eastAsia="Calibri" w:hAnsi="Calibri Light" w:cs="Calibri Light"/>
          <w:color w:val="59595B"/>
          <w:szCs w:val="22"/>
          <w:lang w:val="en-GB"/>
        </w:rPr>
        <w:t xml:space="preserve">the old loans </w:t>
      </w:r>
      <w:r w:rsidR="001C36DF" w:rsidRPr="00A96D90">
        <w:rPr>
          <w:rFonts w:ascii="Calibri Light" w:eastAsia="Calibri" w:hAnsi="Calibri Light" w:cs="Calibri Light"/>
          <w:color w:val="59595B"/>
          <w:szCs w:val="22"/>
          <w:lang w:val="en-GB"/>
        </w:rPr>
        <w:t xml:space="preserve">and the Amortizing Bond </w:t>
      </w:r>
      <w:r w:rsidR="00116682" w:rsidRPr="00A96D90">
        <w:rPr>
          <w:rFonts w:ascii="Calibri Light" w:eastAsia="Calibri" w:hAnsi="Calibri Light" w:cs="Calibri Light"/>
          <w:color w:val="59595B"/>
          <w:szCs w:val="22"/>
          <w:lang w:val="en-GB"/>
        </w:rPr>
        <w:t>be</w:t>
      </w:r>
      <w:r w:rsidR="001C36DF" w:rsidRPr="00A96D90">
        <w:rPr>
          <w:rFonts w:ascii="Calibri Light" w:eastAsia="Calibri" w:hAnsi="Calibri Light" w:cs="Calibri Light"/>
          <w:color w:val="59595B"/>
          <w:szCs w:val="22"/>
          <w:lang w:val="en-GB"/>
        </w:rPr>
        <w:t xml:space="preserve">fore maturity amounted </w:t>
      </w:r>
      <w:r w:rsidR="0032241C" w:rsidRPr="00A96D90">
        <w:rPr>
          <w:rFonts w:ascii="Calibri Light" w:eastAsia="Calibri" w:hAnsi="Calibri Light" w:cs="Calibri Light"/>
          <w:color w:val="59595B"/>
          <w:szCs w:val="22"/>
          <w:lang w:val="en-GB"/>
        </w:rPr>
        <w:t xml:space="preserve">to </w:t>
      </w:r>
      <w:r w:rsidR="001C36DF" w:rsidRPr="00A96D90">
        <w:rPr>
          <w:rFonts w:ascii="Calibri Light" w:eastAsia="Calibri" w:hAnsi="Calibri Light" w:cs="Calibri Light"/>
          <w:color w:val="59595B"/>
          <w:szCs w:val="22"/>
          <w:lang w:val="en-GB"/>
        </w:rPr>
        <w:t>$13.9</w:t>
      </w:r>
      <w:r w:rsidR="00116682" w:rsidRPr="00A96D90">
        <w:rPr>
          <w:rFonts w:ascii="Calibri Light" w:eastAsia="Calibri" w:hAnsi="Calibri Light" w:cs="Calibri Light"/>
          <w:color w:val="59595B"/>
          <w:szCs w:val="22"/>
          <w:lang w:val="en-GB"/>
        </w:rPr>
        <w:t xml:space="preserve"> million (€</w:t>
      </w:r>
      <w:r w:rsidR="001C36DF" w:rsidRPr="00A96D90">
        <w:rPr>
          <w:rFonts w:ascii="Calibri Light" w:eastAsia="Calibri" w:hAnsi="Calibri Light" w:cs="Calibri Light"/>
          <w:color w:val="59595B"/>
          <w:szCs w:val="22"/>
          <w:lang w:val="en-GB"/>
        </w:rPr>
        <w:t>12.7</w:t>
      </w:r>
      <w:r w:rsidR="00116682" w:rsidRPr="00A96D90">
        <w:rPr>
          <w:rFonts w:ascii="Calibri Light" w:eastAsia="Calibri" w:hAnsi="Calibri Light" w:cs="Calibri Light"/>
          <w:color w:val="59595B"/>
          <w:szCs w:val="22"/>
          <w:lang w:val="en-GB"/>
        </w:rPr>
        <w:t xml:space="preserve"> million) and </w:t>
      </w:r>
      <w:r w:rsidR="0032241C" w:rsidRPr="00A96D90">
        <w:rPr>
          <w:rFonts w:ascii="Calibri Light" w:eastAsia="Calibri" w:hAnsi="Calibri Light" w:cs="Calibri Light"/>
          <w:color w:val="59595B"/>
          <w:szCs w:val="22"/>
          <w:lang w:val="en-GB"/>
        </w:rPr>
        <w:t xml:space="preserve">were </w:t>
      </w:r>
      <w:r w:rsidR="00116682" w:rsidRPr="00A96D90">
        <w:rPr>
          <w:rFonts w:ascii="Calibri Light" w:eastAsia="Calibri" w:hAnsi="Calibri Light" w:cs="Calibri Light"/>
          <w:color w:val="59595B"/>
          <w:szCs w:val="22"/>
          <w:lang w:val="en-GB"/>
        </w:rPr>
        <w:t>recognised as financial expense</w:t>
      </w:r>
      <w:r w:rsidR="0032241C" w:rsidRPr="00A96D90">
        <w:rPr>
          <w:rFonts w:ascii="Calibri Light" w:eastAsia="Calibri" w:hAnsi="Calibri Light" w:cs="Calibri Light"/>
          <w:color w:val="59595B"/>
          <w:szCs w:val="22"/>
          <w:lang w:val="en-GB"/>
        </w:rPr>
        <w:t>s</w:t>
      </w:r>
      <w:r w:rsidR="00116682" w:rsidRPr="00A96D90">
        <w:rPr>
          <w:rFonts w:ascii="Calibri Light" w:eastAsia="Calibri" w:hAnsi="Calibri Light" w:cs="Calibri Light"/>
          <w:color w:val="59595B"/>
          <w:szCs w:val="22"/>
          <w:lang w:val="en-GB"/>
        </w:rPr>
        <w:t xml:space="preserve">. </w:t>
      </w:r>
      <w:r w:rsidR="00FB545B" w:rsidRPr="00A96D90">
        <w:rPr>
          <w:rFonts w:ascii="Calibri Light" w:eastAsia="Calibri" w:hAnsi="Calibri Light" w:cs="Calibri Light"/>
          <w:color w:val="59595B"/>
          <w:szCs w:val="22"/>
          <w:lang w:val="en-GB"/>
        </w:rPr>
        <w:t xml:space="preserve">The expenses associated with the new facility itself, including bridge loan interest, legal and other advisory fees, comprised the balance of €4.8 </w:t>
      </w:r>
      <w:r w:rsidR="00384931" w:rsidRPr="00A96D90">
        <w:rPr>
          <w:rFonts w:ascii="Calibri Light" w:eastAsia="Calibri" w:hAnsi="Calibri Light" w:cs="Calibri Light"/>
          <w:color w:val="59595B"/>
          <w:szCs w:val="22"/>
          <w:lang w:val="en-GB"/>
        </w:rPr>
        <w:t>million.</w:t>
      </w:r>
    </w:p>
    <w:p w14:paraId="7EFE306B" w14:textId="190D995B" w:rsidR="00116682" w:rsidRPr="00A96D90" w:rsidRDefault="00116682" w:rsidP="00116682">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Under the terms and conditions of the new debt facility, the Lenders provided an amount of US$</w:t>
      </w:r>
      <w:r w:rsidR="00BA2780" w:rsidRPr="00A96D90">
        <w:rPr>
          <w:rFonts w:ascii="Calibri Light" w:eastAsia="Calibri" w:hAnsi="Calibri Light" w:cs="Calibri Light"/>
          <w:color w:val="59595B"/>
          <w:szCs w:val="22"/>
          <w:lang w:val="en-GB"/>
        </w:rPr>
        <w:t>10</w:t>
      </w:r>
      <w:r w:rsidRPr="00A96D90">
        <w:rPr>
          <w:rFonts w:ascii="Calibri Light" w:eastAsia="Calibri" w:hAnsi="Calibri Light" w:cs="Calibri Light"/>
          <w:color w:val="59595B"/>
          <w:szCs w:val="22"/>
          <w:lang w:val="en-GB"/>
        </w:rPr>
        <w:t>0 million (€</w:t>
      </w:r>
      <w:r w:rsidR="00BA2780" w:rsidRPr="00A96D90">
        <w:rPr>
          <w:rFonts w:ascii="Calibri Light" w:eastAsia="Calibri" w:hAnsi="Calibri Light" w:cs="Calibri Light"/>
          <w:color w:val="59595B"/>
          <w:szCs w:val="22"/>
          <w:lang w:val="en-GB"/>
        </w:rPr>
        <w:t>91.3</w:t>
      </w:r>
      <w:r w:rsidRPr="00A96D90">
        <w:rPr>
          <w:rFonts w:ascii="Calibri Light" w:eastAsia="Calibri" w:hAnsi="Calibri Light" w:cs="Calibri Light"/>
          <w:color w:val="59595B"/>
          <w:szCs w:val="22"/>
          <w:lang w:val="en-GB"/>
        </w:rPr>
        <w:t xml:space="preserve"> million) secured senior debt funding against </w:t>
      </w:r>
      <w:r w:rsidR="001963E6" w:rsidRPr="00A96D90">
        <w:rPr>
          <w:rFonts w:ascii="Calibri Light" w:eastAsia="Calibri" w:hAnsi="Calibri Light" w:cs="Calibri Light"/>
          <w:color w:val="59595B"/>
          <w:szCs w:val="22"/>
          <w:lang w:val="en-GB"/>
        </w:rPr>
        <w:t>48</w:t>
      </w:r>
      <w:r w:rsidR="00DF64FA" w:rsidRPr="00A96D90">
        <w:rPr>
          <w:rFonts w:ascii="Calibri Light" w:eastAsia="Calibri" w:hAnsi="Calibri Light" w:cs="Calibri Light"/>
          <w:color w:val="59595B"/>
          <w:szCs w:val="22"/>
          <w:lang w:val="en-GB"/>
        </w:rPr>
        <w:t xml:space="preserve"> months promissory notes with </w:t>
      </w:r>
      <w:r w:rsidR="0032241C" w:rsidRPr="00A96D90">
        <w:rPr>
          <w:rFonts w:ascii="Calibri Light" w:eastAsia="Calibri" w:hAnsi="Calibri Light" w:cs="Calibri Light"/>
          <w:color w:val="59595B"/>
          <w:szCs w:val="22"/>
          <w:lang w:val="en-GB"/>
        </w:rPr>
        <w:t xml:space="preserve">interest of </w:t>
      </w:r>
      <w:r w:rsidR="00620EFE" w:rsidRPr="00A96D90">
        <w:rPr>
          <w:rFonts w:ascii="Calibri Light" w:eastAsia="Calibri" w:hAnsi="Calibri Light" w:cs="Calibri Light"/>
          <w:color w:val="59595B"/>
          <w:szCs w:val="22"/>
          <w:lang w:val="en-GB"/>
        </w:rPr>
        <w:t>the sum of (i) the Applicable Margin of 11% plus (ii) the greater of (x) One-Month LIBOR and (y) 1.00%.</w:t>
      </w:r>
      <w:r w:rsidRPr="00A96D90">
        <w:rPr>
          <w:rFonts w:ascii="Calibri Light" w:eastAsia="Calibri" w:hAnsi="Calibri Light" w:cs="Calibri Light"/>
          <w:color w:val="59595B"/>
          <w:szCs w:val="22"/>
          <w:lang w:val="en-GB"/>
        </w:rPr>
        <w:t xml:space="preserve"> </w:t>
      </w:r>
      <w:r w:rsidR="00DF64FA" w:rsidRPr="00A96D90">
        <w:rPr>
          <w:rFonts w:ascii="Calibri Light" w:eastAsia="Calibri" w:hAnsi="Calibri Light" w:cs="Calibri Light"/>
          <w:color w:val="59595B"/>
          <w:szCs w:val="22"/>
          <w:lang w:val="en-GB"/>
        </w:rPr>
        <w:t xml:space="preserve">Repayment of the loan </w:t>
      </w:r>
      <w:r w:rsidR="00620EFE" w:rsidRPr="00A96D90">
        <w:rPr>
          <w:rFonts w:ascii="Calibri Light" w:eastAsia="Calibri" w:hAnsi="Calibri Light" w:cs="Calibri Light"/>
          <w:color w:val="59595B"/>
          <w:szCs w:val="22"/>
          <w:lang w:val="en-GB"/>
        </w:rPr>
        <w:t>and starts in September 2018</w:t>
      </w:r>
      <w:r w:rsidR="0032241C" w:rsidRPr="00A96D90">
        <w:rPr>
          <w:rFonts w:ascii="Calibri Light" w:eastAsia="Calibri" w:hAnsi="Calibri Light" w:cs="Calibri Light"/>
          <w:color w:val="59595B"/>
          <w:szCs w:val="22"/>
          <w:lang w:val="en-GB"/>
        </w:rPr>
        <w:t xml:space="preserve"> in quarterly </w:t>
      </w:r>
      <w:r w:rsidR="00384931" w:rsidRPr="00A96D90">
        <w:rPr>
          <w:rFonts w:ascii="Calibri Light" w:eastAsia="Calibri" w:hAnsi="Calibri Light" w:cs="Calibri Light"/>
          <w:color w:val="59595B"/>
          <w:szCs w:val="22"/>
          <w:lang w:val="en-GB"/>
        </w:rPr>
        <w:t>instalments.</w:t>
      </w:r>
      <w:r w:rsidRPr="00A96D90">
        <w:rPr>
          <w:rFonts w:ascii="Calibri Light" w:eastAsia="Calibri" w:hAnsi="Calibri Light" w:cs="Calibri Light"/>
          <w:color w:val="59595B"/>
          <w:szCs w:val="22"/>
          <w:lang w:val="en-GB"/>
        </w:rPr>
        <w:t xml:space="preserve"> The Company has the option to prepay the loan before </w:t>
      </w:r>
      <w:r w:rsidR="0032241C" w:rsidRPr="00A96D90">
        <w:rPr>
          <w:rFonts w:ascii="Calibri Light" w:eastAsia="Calibri" w:hAnsi="Calibri Light" w:cs="Calibri Light"/>
          <w:color w:val="59595B"/>
          <w:szCs w:val="22"/>
          <w:lang w:val="en-GB"/>
        </w:rPr>
        <w:t xml:space="preserve">its </w:t>
      </w:r>
      <w:r w:rsidRPr="00A96D90">
        <w:rPr>
          <w:rFonts w:ascii="Calibri Light" w:eastAsia="Calibri" w:hAnsi="Calibri Light" w:cs="Calibri Light"/>
          <w:color w:val="59595B"/>
          <w:szCs w:val="22"/>
          <w:lang w:val="en-GB"/>
        </w:rPr>
        <w:t xml:space="preserve">maturity date. As further consideration for the facility, </w:t>
      </w:r>
      <w:r w:rsidRPr="00A96D90">
        <w:rPr>
          <w:rFonts w:ascii="Calibri Light" w:eastAsia="Calibri" w:hAnsi="Calibri Light" w:cs="Calibri Light"/>
          <w:color w:val="59595B"/>
          <w:szCs w:val="22"/>
          <w:lang w:val="en-GB"/>
        </w:rPr>
        <w:lastRenderedPageBreak/>
        <w:t xml:space="preserve">the Lenders received a </w:t>
      </w:r>
      <w:r w:rsidR="00BA2780" w:rsidRPr="00A96D90">
        <w:rPr>
          <w:rFonts w:ascii="Calibri Light" w:eastAsia="Calibri" w:hAnsi="Calibri Light" w:cs="Calibri Light"/>
          <w:color w:val="59595B"/>
          <w:szCs w:val="22"/>
          <w:lang w:val="en-GB"/>
        </w:rPr>
        <w:t>4</w:t>
      </w:r>
      <w:r w:rsidRPr="00A96D90">
        <w:rPr>
          <w:rFonts w:ascii="Calibri Light" w:eastAsia="Calibri" w:hAnsi="Calibri Light" w:cs="Calibri Light"/>
          <w:color w:val="59595B"/>
          <w:szCs w:val="22"/>
          <w:lang w:val="en-GB"/>
        </w:rPr>
        <w:t>% warrant coverage (</w:t>
      </w:r>
      <w:r w:rsidR="00BA2780" w:rsidRPr="00A96D90">
        <w:rPr>
          <w:rFonts w:ascii="Calibri Light" w:eastAsia="Calibri" w:hAnsi="Calibri Light" w:cs="Calibri Light"/>
          <w:color w:val="59595B"/>
          <w:szCs w:val="22"/>
          <w:lang w:val="en-GB"/>
        </w:rPr>
        <w:t>9,174,372</w:t>
      </w:r>
      <w:r w:rsidRPr="00A96D90">
        <w:rPr>
          <w:rFonts w:ascii="Calibri Light" w:eastAsia="Calibri" w:hAnsi="Calibri Light" w:cs="Calibri Light"/>
          <w:color w:val="59595B"/>
          <w:szCs w:val="22"/>
          <w:lang w:val="en-GB"/>
        </w:rPr>
        <w:t xml:space="preserve"> warrant</w:t>
      </w:r>
      <w:r w:rsidR="00BA2780" w:rsidRPr="00A96D90">
        <w:rPr>
          <w:rFonts w:ascii="Calibri Light" w:eastAsia="Calibri" w:hAnsi="Calibri Light" w:cs="Calibri Light"/>
          <w:color w:val="59595B"/>
          <w:szCs w:val="22"/>
          <w:lang w:val="en-GB"/>
        </w:rPr>
        <w:t>s) with a strike price of €0.</w:t>
      </w:r>
      <w:r w:rsidR="0032241C" w:rsidRPr="00A96D90">
        <w:rPr>
          <w:rFonts w:ascii="Calibri Light" w:eastAsia="Calibri" w:hAnsi="Calibri Light" w:cs="Calibri Light"/>
          <w:color w:val="59595B"/>
          <w:szCs w:val="22"/>
          <w:lang w:val="en-GB"/>
        </w:rPr>
        <w:t xml:space="preserve">455 </w:t>
      </w:r>
      <w:r w:rsidRPr="00A96D90">
        <w:rPr>
          <w:rFonts w:ascii="Calibri Light" w:eastAsia="Calibri" w:hAnsi="Calibri Light" w:cs="Calibri Light"/>
          <w:color w:val="59595B"/>
          <w:szCs w:val="22"/>
          <w:lang w:val="en-GB"/>
        </w:rPr>
        <w:t xml:space="preserve">representing the closing price of Pharming shares </w:t>
      </w:r>
      <w:r w:rsidR="0032241C" w:rsidRPr="00A96D90">
        <w:rPr>
          <w:rFonts w:ascii="Calibri Light" w:eastAsia="Calibri" w:hAnsi="Calibri Light" w:cs="Calibri Light"/>
          <w:color w:val="59595B"/>
          <w:szCs w:val="22"/>
          <w:lang w:val="en-GB"/>
        </w:rPr>
        <w:t>immediately</w:t>
      </w:r>
      <w:r w:rsidRPr="00A96D90">
        <w:rPr>
          <w:rFonts w:ascii="Calibri Light" w:eastAsia="Calibri" w:hAnsi="Calibri Light" w:cs="Calibri Light"/>
          <w:color w:val="59595B"/>
          <w:szCs w:val="22"/>
          <w:lang w:val="en-GB"/>
        </w:rPr>
        <w:t xml:space="preserve"> prior to the closing date, </w:t>
      </w:r>
      <w:r w:rsidR="0032241C" w:rsidRPr="00A96D90">
        <w:rPr>
          <w:rFonts w:ascii="Calibri Light" w:eastAsia="Calibri" w:hAnsi="Calibri Light" w:cs="Calibri Light"/>
          <w:color w:val="59595B"/>
          <w:szCs w:val="22"/>
          <w:lang w:val="en-GB"/>
        </w:rPr>
        <w:t xml:space="preserve">plus a </w:t>
      </w:r>
      <w:r w:rsidR="00BA2780" w:rsidRPr="00A96D90">
        <w:rPr>
          <w:rFonts w:ascii="Calibri Light" w:eastAsia="Calibri" w:hAnsi="Calibri Light" w:cs="Calibri Light"/>
          <w:color w:val="59595B"/>
          <w:szCs w:val="22"/>
          <w:lang w:val="en-GB"/>
        </w:rPr>
        <w:t>2</w:t>
      </w:r>
      <w:r w:rsidRPr="00A96D90">
        <w:rPr>
          <w:rFonts w:ascii="Calibri Light" w:eastAsia="Calibri" w:hAnsi="Calibri Light" w:cs="Calibri Light"/>
          <w:color w:val="59595B"/>
          <w:szCs w:val="22"/>
          <w:lang w:val="en-GB"/>
        </w:rPr>
        <w:t xml:space="preserve">.5% commitment fee </w:t>
      </w:r>
      <w:r w:rsidR="00620EFE" w:rsidRPr="00A96D90">
        <w:rPr>
          <w:rFonts w:ascii="Calibri Light" w:eastAsia="Calibri" w:hAnsi="Calibri Light" w:cs="Calibri Light"/>
          <w:color w:val="59595B"/>
          <w:szCs w:val="22"/>
          <w:lang w:val="en-GB"/>
        </w:rPr>
        <w:t xml:space="preserve">of the principal sum </w:t>
      </w:r>
      <w:r w:rsidRPr="00A96D90">
        <w:rPr>
          <w:rFonts w:ascii="Calibri Light" w:eastAsia="Calibri" w:hAnsi="Calibri Light" w:cs="Calibri Light"/>
          <w:color w:val="59595B"/>
          <w:szCs w:val="22"/>
          <w:lang w:val="en-GB"/>
        </w:rPr>
        <w:t>and a</w:t>
      </w:r>
      <w:r w:rsidR="00620EFE" w:rsidRPr="00A96D90">
        <w:rPr>
          <w:rFonts w:ascii="Calibri Light" w:eastAsia="Calibri" w:hAnsi="Calibri Light" w:cs="Calibri Light"/>
          <w:color w:val="59595B"/>
          <w:szCs w:val="22"/>
          <w:lang w:val="en-GB"/>
        </w:rPr>
        <w:t>n</w:t>
      </w:r>
      <w:r w:rsidRPr="00A96D90">
        <w:rPr>
          <w:rFonts w:ascii="Calibri Light" w:eastAsia="Calibri" w:hAnsi="Calibri Light" w:cs="Calibri Light"/>
          <w:color w:val="59595B"/>
          <w:szCs w:val="22"/>
          <w:lang w:val="en-GB"/>
        </w:rPr>
        <w:t xml:space="preserve"> </w:t>
      </w:r>
      <w:r w:rsidR="00620EFE" w:rsidRPr="00A96D90">
        <w:rPr>
          <w:rFonts w:ascii="Calibri Light" w:eastAsia="Calibri" w:hAnsi="Calibri Light" w:cs="Calibri Light"/>
          <w:color w:val="59595B"/>
          <w:szCs w:val="22"/>
          <w:lang w:val="en-GB"/>
        </w:rPr>
        <w:t xml:space="preserve">assignment fee on </w:t>
      </w:r>
      <w:r w:rsidR="0032241C" w:rsidRPr="00A96D90">
        <w:rPr>
          <w:rFonts w:ascii="Calibri Light" w:eastAsia="Calibri" w:hAnsi="Calibri Light" w:cs="Calibri Light"/>
          <w:color w:val="59595B"/>
          <w:szCs w:val="22"/>
          <w:lang w:val="en-GB"/>
        </w:rPr>
        <w:t xml:space="preserve">the maturity </w:t>
      </w:r>
      <w:r w:rsidR="00620EFE" w:rsidRPr="00A96D90">
        <w:rPr>
          <w:rFonts w:ascii="Calibri Light" w:eastAsia="Calibri" w:hAnsi="Calibri Light" w:cs="Calibri Light"/>
          <w:color w:val="59595B"/>
          <w:szCs w:val="22"/>
          <w:lang w:val="en-GB"/>
        </w:rPr>
        <w:t>date of $3.7</w:t>
      </w:r>
      <w:r w:rsidR="0032241C" w:rsidRPr="00A96D90">
        <w:rPr>
          <w:rFonts w:ascii="Calibri Light" w:eastAsia="Calibri" w:hAnsi="Calibri Light" w:cs="Calibri Light"/>
          <w:color w:val="59595B"/>
          <w:szCs w:val="22"/>
          <w:lang w:val="en-GB"/>
        </w:rPr>
        <w:t xml:space="preserve"> </w:t>
      </w:r>
      <w:r w:rsidR="00620EFE" w:rsidRPr="00A96D90">
        <w:rPr>
          <w:rFonts w:ascii="Calibri Light" w:eastAsia="Calibri" w:hAnsi="Calibri Light" w:cs="Calibri Light"/>
          <w:color w:val="59595B"/>
          <w:szCs w:val="22"/>
          <w:lang w:val="en-GB"/>
        </w:rPr>
        <w:t>million</w:t>
      </w:r>
      <w:r w:rsidRPr="00A96D90">
        <w:rPr>
          <w:rFonts w:ascii="Calibri Light" w:eastAsia="Calibri" w:hAnsi="Calibri Light" w:cs="Calibri Light"/>
          <w:color w:val="59595B"/>
          <w:szCs w:val="22"/>
          <w:lang w:val="en-GB"/>
        </w:rPr>
        <w:t xml:space="preserve">. </w:t>
      </w:r>
      <w:r w:rsidR="00B953D2" w:rsidRPr="00A96D90">
        <w:rPr>
          <w:rFonts w:ascii="Calibri Light" w:eastAsia="Calibri" w:hAnsi="Calibri Light" w:cs="Calibri Light"/>
          <w:color w:val="59595B"/>
          <w:szCs w:val="22"/>
          <w:lang w:val="en-GB"/>
        </w:rPr>
        <w:t>The warrant strike price was increased from the maximum originally announced because of the increasing price of Pharming shares prior to closing of the loan.</w:t>
      </w:r>
      <w:r w:rsidR="0040539E">
        <w:rPr>
          <w:rFonts w:ascii="Calibri Light" w:eastAsia="Calibri" w:hAnsi="Calibri Light" w:cs="Calibri Light"/>
          <w:color w:val="59595B"/>
          <w:szCs w:val="22"/>
          <w:lang w:val="en-GB"/>
        </w:rPr>
        <w:t xml:space="preserve"> </w:t>
      </w:r>
      <w:r w:rsidR="002E687E" w:rsidRPr="00A96D90">
        <w:rPr>
          <w:rFonts w:ascii="Calibri Light" w:eastAsia="Calibri" w:hAnsi="Calibri Light" w:cs="Calibri Light"/>
          <w:color w:val="59595B"/>
          <w:szCs w:val="22"/>
          <w:lang w:val="en-GB"/>
        </w:rPr>
        <w:t>Other facility fees of €0.6</w:t>
      </w:r>
      <w:r w:rsidRPr="00A96D90">
        <w:rPr>
          <w:rFonts w:ascii="Calibri Light" w:eastAsia="Calibri" w:hAnsi="Calibri Light" w:cs="Calibri Light"/>
          <w:color w:val="59595B"/>
          <w:szCs w:val="22"/>
          <w:lang w:val="en-GB"/>
        </w:rPr>
        <w:t xml:space="preserve"> million have been deferred from the original loans. The warrants have been separated from the loan and recognised in Equity.</w:t>
      </w:r>
    </w:p>
    <w:p w14:paraId="78946B5C" w14:textId="3FE27833" w:rsidR="00116682" w:rsidRPr="00A96D90" w:rsidRDefault="00116682" w:rsidP="00116682">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The Company, and </w:t>
      </w:r>
      <w:r w:rsidR="0032241C" w:rsidRPr="00A96D90">
        <w:rPr>
          <w:rFonts w:ascii="Calibri Light" w:eastAsia="Calibri" w:hAnsi="Calibri Light" w:cs="Calibri Light"/>
          <w:color w:val="59595B"/>
          <w:szCs w:val="22"/>
          <w:lang w:val="en-GB"/>
        </w:rPr>
        <w:t xml:space="preserve">its </w:t>
      </w:r>
      <w:r w:rsidRPr="00A96D90">
        <w:rPr>
          <w:rFonts w:ascii="Calibri Light" w:eastAsia="Calibri" w:hAnsi="Calibri Light" w:cs="Calibri Light"/>
          <w:color w:val="59595B"/>
          <w:szCs w:val="22"/>
          <w:lang w:val="en-GB"/>
        </w:rPr>
        <w:t xml:space="preserve">subsidiaries, have pledged all receivables, movable assets and intellectual property rights as security to the </w:t>
      </w:r>
      <w:r w:rsidR="00FB545B" w:rsidRPr="00A96D90">
        <w:rPr>
          <w:rFonts w:ascii="Calibri Light" w:eastAsia="Calibri" w:hAnsi="Calibri Light" w:cs="Calibri Light"/>
          <w:color w:val="59595B"/>
          <w:szCs w:val="22"/>
          <w:lang w:val="en-GB"/>
        </w:rPr>
        <w:t>new lenders, in the same way as those assets were pledged to the original lenders</w:t>
      </w:r>
      <w:r w:rsidRPr="00A96D90">
        <w:rPr>
          <w:rFonts w:ascii="Calibri Light" w:eastAsia="Calibri" w:hAnsi="Calibri Light" w:cs="Calibri Light"/>
          <w:color w:val="59595B"/>
          <w:szCs w:val="22"/>
          <w:lang w:val="en-GB"/>
        </w:rPr>
        <w:t>.</w:t>
      </w:r>
    </w:p>
    <w:p w14:paraId="6407AFEF" w14:textId="04618FAE" w:rsidR="00600AA9" w:rsidRPr="00A96D90" w:rsidRDefault="00600AA9" w:rsidP="00600AA9">
      <w:pPr>
        <w:jc w:val="left"/>
        <w:rPr>
          <w:rFonts w:asciiTheme="minorHAnsi" w:eastAsia="Calibri Light" w:hAnsiTheme="minorHAnsi" w:cstheme="minorHAnsi"/>
          <w:b/>
          <w:bCs/>
          <w:color w:val="59595B"/>
          <w:sz w:val="20"/>
          <w:szCs w:val="20"/>
          <w:lang w:val="en-GB"/>
        </w:rPr>
      </w:pPr>
      <w:r w:rsidRPr="00A96D90">
        <w:rPr>
          <w:rFonts w:asciiTheme="minorHAnsi" w:eastAsia="Calibri Light" w:hAnsiTheme="minorHAnsi" w:cstheme="minorHAnsi"/>
          <w:b/>
          <w:bCs/>
          <w:color w:val="59595B"/>
          <w:sz w:val="20"/>
          <w:szCs w:val="20"/>
          <w:lang w:val="en-GB"/>
        </w:rPr>
        <w:t>Initial recognition and movements of the loans were as follows:</w:t>
      </w:r>
    </w:p>
    <w:tbl>
      <w:tblPr>
        <w:tblW w:w="9072" w:type="dxa"/>
        <w:shd w:val="clear" w:color="auto" w:fill="FFFFFF" w:themeFill="background1"/>
        <w:tblLook w:val="04A0" w:firstRow="1" w:lastRow="0" w:firstColumn="1" w:lastColumn="0" w:noHBand="0" w:noVBand="1"/>
      </w:tblPr>
      <w:tblGrid>
        <w:gridCol w:w="4962"/>
        <w:gridCol w:w="1559"/>
        <w:gridCol w:w="1276"/>
        <w:gridCol w:w="1275"/>
      </w:tblGrid>
      <w:tr w:rsidR="00752AA6" w:rsidRPr="00A96D90" w14:paraId="14736FED" w14:textId="77777777" w:rsidTr="007879AB">
        <w:trPr>
          <w:trHeight w:val="236"/>
        </w:trPr>
        <w:tc>
          <w:tcPr>
            <w:tcW w:w="4962" w:type="dxa"/>
            <w:tcBorders>
              <w:bottom w:val="single" w:sz="2" w:space="0" w:color="BFBFBF" w:themeColor="background1" w:themeShade="BF"/>
            </w:tcBorders>
            <w:shd w:val="clear" w:color="auto" w:fill="FFFFFF" w:themeFill="background1"/>
          </w:tcPr>
          <w:p w14:paraId="15F54529" w14:textId="77777777" w:rsidR="00752AA6" w:rsidRPr="00A96D90" w:rsidRDefault="00752AA6" w:rsidP="00600AA9">
            <w:pPr>
              <w:rPr>
                <w:rFonts w:asciiTheme="minorHAnsi" w:hAnsiTheme="minorHAnsi"/>
                <w:b/>
                <w:bCs/>
                <w:color w:val="00679B"/>
                <w:sz w:val="20"/>
                <w:szCs w:val="20"/>
                <w:lang w:val="en-GB"/>
              </w:rPr>
            </w:pPr>
          </w:p>
          <w:p w14:paraId="7D6AE77E" w14:textId="77777777" w:rsidR="00752AA6" w:rsidRPr="00A96D90" w:rsidRDefault="00752AA6" w:rsidP="00600AA9">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Amounts in € ‘000</w:t>
            </w:r>
          </w:p>
        </w:tc>
        <w:tc>
          <w:tcPr>
            <w:tcW w:w="1559" w:type="dxa"/>
            <w:tcBorders>
              <w:bottom w:val="single" w:sz="2" w:space="0" w:color="BFBFBF" w:themeColor="background1" w:themeShade="BF"/>
            </w:tcBorders>
            <w:shd w:val="clear" w:color="auto" w:fill="FFFFFF" w:themeFill="background1"/>
          </w:tcPr>
          <w:p w14:paraId="49BFBA2A" w14:textId="09E626D6" w:rsidR="00752AA6" w:rsidRPr="00A96D90" w:rsidRDefault="00384931" w:rsidP="00600AA9">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Orbimed</w:t>
            </w:r>
          </w:p>
          <w:p w14:paraId="49DAF789" w14:textId="0F7C153D" w:rsidR="00300CF5" w:rsidRPr="00A96D90" w:rsidRDefault="00300CF5" w:rsidP="00600AA9">
            <w:pPr>
              <w:jc w:val="right"/>
              <w:rPr>
                <w:rFonts w:asciiTheme="minorHAnsi" w:hAnsiTheme="minorHAnsi"/>
                <w:b/>
                <w:bCs/>
                <w:color w:val="00679B"/>
                <w:sz w:val="20"/>
                <w:szCs w:val="20"/>
                <w:lang w:val="en-GB"/>
              </w:rPr>
            </w:pPr>
          </w:p>
        </w:tc>
        <w:tc>
          <w:tcPr>
            <w:tcW w:w="1276" w:type="dxa"/>
            <w:tcBorders>
              <w:bottom w:val="single" w:sz="2" w:space="0" w:color="BFBFBF" w:themeColor="background1" w:themeShade="BF"/>
            </w:tcBorders>
            <w:shd w:val="clear" w:color="auto" w:fill="FFFFFF" w:themeFill="background1"/>
          </w:tcPr>
          <w:p w14:paraId="093FD66C" w14:textId="7054AD1D" w:rsidR="00752AA6" w:rsidRPr="00A96D90" w:rsidRDefault="00752AA6" w:rsidP="00600AA9">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 xml:space="preserve">KREOS </w:t>
            </w:r>
          </w:p>
        </w:tc>
        <w:tc>
          <w:tcPr>
            <w:tcW w:w="1275" w:type="dxa"/>
            <w:tcBorders>
              <w:bottom w:val="single" w:sz="2" w:space="0" w:color="BFBFBF" w:themeColor="background1" w:themeShade="BF"/>
            </w:tcBorders>
            <w:shd w:val="clear" w:color="auto" w:fill="FFFFFF" w:themeFill="background1"/>
          </w:tcPr>
          <w:p w14:paraId="4A720D42" w14:textId="3704F6FE" w:rsidR="00752AA6" w:rsidRPr="00A96D90" w:rsidRDefault="00752AA6" w:rsidP="00600AA9">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SVB</w:t>
            </w:r>
          </w:p>
        </w:tc>
      </w:tr>
      <w:tr w:rsidR="00B62222" w:rsidRPr="00A96D90" w14:paraId="40390061" w14:textId="77777777" w:rsidTr="00013F40">
        <w:trPr>
          <w:trHeight w:val="236"/>
        </w:trPr>
        <w:tc>
          <w:tcPr>
            <w:tcW w:w="4962" w:type="dxa"/>
            <w:tcBorders>
              <w:top w:val="single" w:sz="2" w:space="0" w:color="BFBFBF" w:themeColor="background1" w:themeShade="BF"/>
              <w:right w:val="single" w:sz="2" w:space="0" w:color="BFBFBF" w:themeColor="background1" w:themeShade="BF"/>
            </w:tcBorders>
            <w:shd w:val="clear" w:color="auto" w:fill="auto"/>
          </w:tcPr>
          <w:p w14:paraId="2B998D7F" w14:textId="49C4ED8C" w:rsidR="00752AA6" w:rsidRPr="00A96D90" w:rsidRDefault="00300CF5"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Principal amount</w:t>
            </w:r>
          </w:p>
        </w:tc>
        <w:tc>
          <w:tcPr>
            <w:tcW w:w="1559" w:type="dxa"/>
            <w:tcBorders>
              <w:top w:val="single" w:sz="2" w:space="0" w:color="BFBFBF" w:themeColor="background1" w:themeShade="BF"/>
              <w:right w:val="single" w:sz="2" w:space="0" w:color="BFBFBF" w:themeColor="background1" w:themeShade="BF"/>
            </w:tcBorders>
            <w:shd w:val="clear" w:color="auto" w:fill="F2F2F2" w:themeFill="background1" w:themeFillShade="F2"/>
          </w:tcPr>
          <w:p w14:paraId="5B3BC3F6" w14:textId="6565C9C5"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91,333</w:t>
            </w:r>
          </w:p>
        </w:tc>
        <w:tc>
          <w:tcPr>
            <w:tcW w:w="1276"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3CD61608" w14:textId="70572BE4"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21,147</w:t>
            </w:r>
          </w:p>
        </w:tc>
        <w:tc>
          <w:tcPr>
            <w:tcW w:w="1275" w:type="dxa"/>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7C180306" w14:textId="53439D36"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16,346</w:t>
            </w:r>
          </w:p>
        </w:tc>
      </w:tr>
      <w:tr w:rsidR="00B62222" w:rsidRPr="00A96D90" w14:paraId="721614F4" w14:textId="77777777" w:rsidTr="00013F40">
        <w:trPr>
          <w:trHeight w:val="236"/>
        </w:trPr>
        <w:tc>
          <w:tcPr>
            <w:tcW w:w="4962" w:type="dxa"/>
            <w:tcBorders>
              <w:right w:val="single" w:sz="2" w:space="0" w:color="BFBFBF" w:themeColor="background1" w:themeShade="BF"/>
            </w:tcBorders>
            <w:shd w:val="clear" w:color="auto" w:fill="auto"/>
          </w:tcPr>
          <w:p w14:paraId="6DE415F7" w14:textId="62E4EC06"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Fair value of warrants issued</w:t>
            </w:r>
          </w:p>
        </w:tc>
        <w:tc>
          <w:tcPr>
            <w:tcW w:w="1559" w:type="dxa"/>
            <w:tcBorders>
              <w:right w:val="single" w:sz="2" w:space="0" w:color="BFBFBF" w:themeColor="background1" w:themeShade="BF"/>
            </w:tcBorders>
            <w:shd w:val="clear" w:color="auto" w:fill="F2F2F2" w:themeFill="background1" w:themeFillShade="F2"/>
          </w:tcPr>
          <w:p w14:paraId="1BA453C1" w14:textId="1437D111"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(1,309)</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622B9BA4" w14:textId="1ED99135"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(941)</w:t>
            </w:r>
          </w:p>
        </w:tc>
        <w:tc>
          <w:tcPr>
            <w:tcW w:w="1275" w:type="dxa"/>
            <w:tcBorders>
              <w:left w:val="single" w:sz="2" w:space="0" w:color="BFBFBF" w:themeColor="background1" w:themeShade="BF"/>
              <w:right w:val="single" w:sz="2" w:space="0" w:color="BFBFBF" w:themeColor="background1" w:themeShade="BF"/>
            </w:tcBorders>
          </w:tcPr>
          <w:p w14:paraId="3DFEC69C" w14:textId="13BE29DB"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(732)</w:t>
            </w:r>
          </w:p>
        </w:tc>
      </w:tr>
      <w:tr w:rsidR="00B62222" w:rsidRPr="00A96D90" w14:paraId="353AF8BD" w14:textId="77777777" w:rsidTr="00013F40">
        <w:trPr>
          <w:trHeight w:val="236"/>
        </w:trPr>
        <w:tc>
          <w:tcPr>
            <w:tcW w:w="4962" w:type="dxa"/>
            <w:tcBorders>
              <w:bottom w:val="single" w:sz="2" w:space="0" w:color="BFBFBF" w:themeColor="background1" w:themeShade="BF"/>
              <w:right w:val="single" w:sz="2" w:space="0" w:color="BFBFBF" w:themeColor="background1" w:themeShade="BF"/>
            </w:tcBorders>
            <w:shd w:val="clear" w:color="auto" w:fill="auto"/>
          </w:tcPr>
          <w:p w14:paraId="498B2CFE" w14:textId="6F1DC977"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Transaction fees and expenses</w:t>
            </w:r>
          </w:p>
        </w:tc>
        <w:tc>
          <w:tcPr>
            <w:tcW w:w="1559" w:type="dxa"/>
            <w:tcBorders>
              <w:bottom w:val="single" w:sz="2" w:space="0" w:color="BFBFBF" w:themeColor="background1" w:themeShade="BF"/>
              <w:right w:val="single" w:sz="2" w:space="0" w:color="BFBFBF" w:themeColor="background1" w:themeShade="BF"/>
            </w:tcBorders>
            <w:shd w:val="clear" w:color="auto" w:fill="F2F2F2" w:themeFill="background1" w:themeFillShade="F2"/>
          </w:tcPr>
          <w:p w14:paraId="1D21F2C0" w14:textId="0AD2AA56"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(3,336)</w:t>
            </w:r>
          </w:p>
        </w:tc>
        <w:tc>
          <w:tcPr>
            <w:tcW w:w="1276"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B49EA28" w14:textId="0A2DE11E"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(1,439)</w:t>
            </w:r>
          </w:p>
        </w:tc>
        <w:tc>
          <w:tcPr>
            <w:tcW w:w="1275"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5DA8F139" w14:textId="27886573"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(1,175)</w:t>
            </w:r>
          </w:p>
        </w:tc>
      </w:tr>
      <w:tr w:rsidR="00B62222" w:rsidRPr="00A96D90" w14:paraId="7C95CA22" w14:textId="77777777" w:rsidTr="00013F40">
        <w:trPr>
          <w:trHeight w:val="23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99AE585" w14:textId="2F055994" w:rsidR="00752AA6" w:rsidRPr="00A96D90" w:rsidRDefault="00752AA6" w:rsidP="00600AA9">
            <w:pPr>
              <w:ind w:right="144"/>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Carrying value initial recognition</w:t>
            </w:r>
          </w:p>
        </w:tc>
        <w:tc>
          <w:tcPr>
            <w:tcW w:w="1559"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1E33FC55" w14:textId="64DCCE4F" w:rsidR="00752AA6" w:rsidRPr="00A96D90" w:rsidRDefault="00300CF5"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86,688</w:t>
            </w:r>
          </w:p>
        </w:tc>
        <w:tc>
          <w:tcPr>
            <w:tcW w:w="127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766413FA" w14:textId="3A6A61BA"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18,767</w:t>
            </w:r>
          </w:p>
        </w:tc>
        <w:tc>
          <w:tcPr>
            <w:tcW w:w="12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85F56E7" w14:textId="24C9221D"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14,439</w:t>
            </w:r>
          </w:p>
        </w:tc>
      </w:tr>
      <w:tr w:rsidR="00B62222" w:rsidRPr="00A96D90" w14:paraId="167B90AC" w14:textId="77777777" w:rsidTr="00013F40">
        <w:trPr>
          <w:trHeight w:val="246"/>
        </w:trPr>
        <w:tc>
          <w:tcPr>
            <w:tcW w:w="4962" w:type="dxa"/>
            <w:tcBorders>
              <w:top w:val="single" w:sz="2" w:space="0" w:color="BFBFBF" w:themeColor="background1" w:themeShade="BF"/>
              <w:right w:val="single" w:sz="2" w:space="0" w:color="BFBFBF" w:themeColor="background1" w:themeShade="BF"/>
            </w:tcBorders>
            <w:shd w:val="clear" w:color="auto" w:fill="auto"/>
          </w:tcPr>
          <w:p w14:paraId="65D0652C" w14:textId="22E1BA6B"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Amortised costs</w:t>
            </w:r>
          </w:p>
        </w:tc>
        <w:tc>
          <w:tcPr>
            <w:tcW w:w="1559" w:type="dxa"/>
            <w:tcBorders>
              <w:top w:val="single" w:sz="2" w:space="0" w:color="BFBFBF" w:themeColor="background1" w:themeShade="BF"/>
              <w:right w:val="single" w:sz="2" w:space="0" w:color="BFBFBF" w:themeColor="background1" w:themeShade="BF"/>
            </w:tcBorders>
            <w:shd w:val="clear" w:color="auto" w:fill="F2F2F2" w:themeFill="background1" w:themeFillShade="F2"/>
          </w:tcPr>
          <w:p w14:paraId="569E37AD" w14:textId="355D24F7"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c>
          <w:tcPr>
            <w:tcW w:w="1276"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FFFFF" w:themeFill="background1"/>
          </w:tcPr>
          <w:p w14:paraId="06C64452" w14:textId="4B640199"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184</w:t>
            </w:r>
          </w:p>
        </w:tc>
        <w:tc>
          <w:tcPr>
            <w:tcW w:w="1275" w:type="dxa"/>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7F37B083" w14:textId="2CE1CCFF"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144</w:t>
            </w:r>
          </w:p>
        </w:tc>
      </w:tr>
      <w:tr w:rsidR="00B62222" w:rsidRPr="00A96D90" w14:paraId="765263F7" w14:textId="77777777" w:rsidTr="00013F40">
        <w:trPr>
          <w:trHeight w:val="246"/>
        </w:trPr>
        <w:tc>
          <w:tcPr>
            <w:tcW w:w="4962" w:type="dxa"/>
            <w:tcBorders>
              <w:right w:val="single" w:sz="2" w:space="0" w:color="BFBFBF" w:themeColor="background1" w:themeShade="BF"/>
            </w:tcBorders>
            <w:shd w:val="clear" w:color="auto" w:fill="auto"/>
          </w:tcPr>
          <w:p w14:paraId="1D69CC5C" w14:textId="6681B4B3" w:rsidR="00752AA6" w:rsidRPr="00A96D90" w:rsidRDefault="00752AA6" w:rsidP="00600AA9">
            <w:pPr>
              <w:ind w:right="144"/>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Carrying value at 31 December 2016</w:t>
            </w:r>
          </w:p>
        </w:tc>
        <w:tc>
          <w:tcPr>
            <w:tcW w:w="1559" w:type="dxa"/>
            <w:tcBorders>
              <w:right w:val="single" w:sz="2" w:space="0" w:color="BFBFBF" w:themeColor="background1" w:themeShade="BF"/>
            </w:tcBorders>
            <w:shd w:val="clear" w:color="auto" w:fill="F2F2F2" w:themeFill="background1" w:themeFillShade="F2"/>
          </w:tcPr>
          <w:p w14:paraId="16272F93" w14:textId="4709BA67" w:rsidR="00752AA6" w:rsidRPr="00A96D90" w:rsidRDefault="00300CF5"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7ED1AFE6" w14:textId="0ECAD3AC"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18,951</w:t>
            </w:r>
          </w:p>
        </w:tc>
        <w:tc>
          <w:tcPr>
            <w:tcW w:w="1275" w:type="dxa"/>
            <w:tcBorders>
              <w:left w:val="single" w:sz="2" w:space="0" w:color="BFBFBF" w:themeColor="background1" w:themeShade="BF"/>
              <w:right w:val="single" w:sz="2" w:space="0" w:color="BFBFBF" w:themeColor="background1" w:themeShade="BF"/>
            </w:tcBorders>
          </w:tcPr>
          <w:p w14:paraId="4D55F986" w14:textId="12750D6E"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14,583</w:t>
            </w:r>
          </w:p>
        </w:tc>
      </w:tr>
      <w:tr w:rsidR="00B62222" w:rsidRPr="00A96D90" w14:paraId="32871DA5" w14:textId="77777777" w:rsidTr="00013F40">
        <w:trPr>
          <w:trHeight w:val="246"/>
        </w:trPr>
        <w:tc>
          <w:tcPr>
            <w:tcW w:w="4962" w:type="dxa"/>
            <w:tcBorders>
              <w:right w:val="single" w:sz="2" w:space="0" w:color="BFBFBF" w:themeColor="background1" w:themeShade="BF"/>
            </w:tcBorders>
            <w:shd w:val="clear" w:color="auto" w:fill="auto"/>
          </w:tcPr>
          <w:p w14:paraId="51D1F636" w14:textId="484E444C"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Amortised costs</w:t>
            </w:r>
          </w:p>
        </w:tc>
        <w:tc>
          <w:tcPr>
            <w:tcW w:w="1559" w:type="dxa"/>
            <w:tcBorders>
              <w:right w:val="single" w:sz="2" w:space="0" w:color="BFBFBF" w:themeColor="background1" w:themeShade="BF"/>
            </w:tcBorders>
            <w:shd w:val="clear" w:color="auto" w:fill="F2F2F2" w:themeFill="background1" w:themeFillShade="F2"/>
          </w:tcPr>
          <w:p w14:paraId="030FB4B5" w14:textId="1C2B2DDB"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1,569</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7EDF5CA4" w14:textId="65A30DAD" w:rsidR="00752AA6" w:rsidRPr="00A96D90" w:rsidRDefault="00530A59"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1,087</w:t>
            </w:r>
          </w:p>
        </w:tc>
        <w:tc>
          <w:tcPr>
            <w:tcW w:w="1275" w:type="dxa"/>
            <w:tcBorders>
              <w:left w:val="single" w:sz="2" w:space="0" w:color="BFBFBF" w:themeColor="background1" w:themeShade="BF"/>
              <w:right w:val="single" w:sz="2" w:space="0" w:color="BFBFBF" w:themeColor="background1" w:themeShade="BF"/>
            </w:tcBorders>
          </w:tcPr>
          <w:p w14:paraId="59F1F66A" w14:textId="202659CB" w:rsidR="00752AA6" w:rsidRPr="00A96D90" w:rsidRDefault="00530A59" w:rsidP="00752AA6">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849</w:t>
            </w:r>
          </w:p>
        </w:tc>
      </w:tr>
      <w:tr w:rsidR="00B62222" w:rsidRPr="00A96D90" w14:paraId="60C11BE6" w14:textId="77777777" w:rsidTr="00013F40">
        <w:trPr>
          <w:trHeight w:val="246"/>
        </w:trPr>
        <w:tc>
          <w:tcPr>
            <w:tcW w:w="4962" w:type="dxa"/>
            <w:tcBorders>
              <w:right w:val="single" w:sz="2" w:space="0" w:color="BFBFBF" w:themeColor="background1" w:themeShade="BF"/>
            </w:tcBorders>
            <w:shd w:val="clear" w:color="auto" w:fill="auto"/>
          </w:tcPr>
          <w:p w14:paraId="760FE561" w14:textId="0A8F690C"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Interest paid</w:t>
            </w:r>
          </w:p>
        </w:tc>
        <w:tc>
          <w:tcPr>
            <w:tcW w:w="1559" w:type="dxa"/>
            <w:tcBorders>
              <w:right w:val="single" w:sz="2" w:space="0" w:color="BFBFBF" w:themeColor="background1" w:themeShade="BF"/>
            </w:tcBorders>
            <w:shd w:val="clear" w:color="auto" w:fill="F2F2F2" w:themeFill="background1" w:themeFillShade="F2"/>
          </w:tcPr>
          <w:p w14:paraId="2ACD3E7E" w14:textId="397CB1C9"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5ADFB558" w14:textId="16CC8955"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r w:rsidR="008371A4" w:rsidRPr="00A96D90">
              <w:rPr>
                <w:rFonts w:ascii="Calibri Light" w:eastAsiaTheme="minorEastAsia" w:hAnsi="Calibri Light"/>
                <w:color w:val="59595B"/>
                <w:sz w:val="20"/>
                <w:szCs w:val="20"/>
                <w:lang w:val="en-GB"/>
              </w:rPr>
              <w:t>726</w:t>
            </w:r>
            <w:r w:rsidRPr="00A96D90">
              <w:rPr>
                <w:rFonts w:ascii="Calibri Light" w:eastAsiaTheme="minorEastAsia" w:hAnsi="Calibri Light"/>
                <w:color w:val="59595B"/>
                <w:sz w:val="20"/>
                <w:szCs w:val="20"/>
                <w:lang w:val="en-GB"/>
              </w:rPr>
              <w:t>)</w:t>
            </w:r>
          </w:p>
        </w:tc>
        <w:tc>
          <w:tcPr>
            <w:tcW w:w="1275" w:type="dxa"/>
            <w:tcBorders>
              <w:left w:val="single" w:sz="2" w:space="0" w:color="BFBFBF" w:themeColor="background1" w:themeShade="BF"/>
              <w:right w:val="single" w:sz="2" w:space="0" w:color="BFBFBF" w:themeColor="background1" w:themeShade="BF"/>
            </w:tcBorders>
          </w:tcPr>
          <w:p w14:paraId="533CDB97" w14:textId="6A1C4EDA"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(678)</w:t>
            </w:r>
          </w:p>
        </w:tc>
      </w:tr>
      <w:tr w:rsidR="00B62222" w:rsidRPr="00A96D90" w14:paraId="1F5D5830" w14:textId="77777777" w:rsidTr="00013F40">
        <w:trPr>
          <w:trHeight w:val="246"/>
        </w:trPr>
        <w:tc>
          <w:tcPr>
            <w:tcW w:w="4962" w:type="dxa"/>
            <w:tcBorders>
              <w:right w:val="single" w:sz="2" w:space="0" w:color="BFBFBF" w:themeColor="background1" w:themeShade="BF"/>
            </w:tcBorders>
            <w:shd w:val="clear" w:color="auto" w:fill="auto"/>
          </w:tcPr>
          <w:p w14:paraId="5498C0CF" w14:textId="21B83C3A" w:rsidR="00752AA6" w:rsidRPr="00A96D90" w:rsidRDefault="00752AA6"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Prepayment</w:t>
            </w:r>
          </w:p>
        </w:tc>
        <w:tc>
          <w:tcPr>
            <w:tcW w:w="1559" w:type="dxa"/>
            <w:tcBorders>
              <w:right w:val="single" w:sz="2" w:space="0" w:color="BFBFBF" w:themeColor="background1" w:themeShade="BF"/>
            </w:tcBorders>
            <w:shd w:val="clear" w:color="auto" w:fill="F2F2F2" w:themeFill="background1" w:themeFillShade="F2"/>
          </w:tcPr>
          <w:p w14:paraId="0C7B9AB7" w14:textId="61AA12D5"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0329A436" w14:textId="1EE32E80"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(24,401)</w:t>
            </w:r>
          </w:p>
        </w:tc>
        <w:tc>
          <w:tcPr>
            <w:tcW w:w="1275" w:type="dxa"/>
            <w:tcBorders>
              <w:left w:val="single" w:sz="2" w:space="0" w:color="BFBFBF" w:themeColor="background1" w:themeShade="BF"/>
              <w:right w:val="single" w:sz="2" w:space="0" w:color="BFBFBF" w:themeColor="background1" w:themeShade="BF"/>
            </w:tcBorders>
          </w:tcPr>
          <w:p w14:paraId="6F8D6B61" w14:textId="1D74A8EE"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(18,898)</w:t>
            </w:r>
          </w:p>
        </w:tc>
      </w:tr>
      <w:tr w:rsidR="00B62222" w:rsidRPr="00A96D90" w14:paraId="77081FDD" w14:textId="77777777" w:rsidTr="00013F40">
        <w:trPr>
          <w:trHeight w:val="246"/>
        </w:trPr>
        <w:tc>
          <w:tcPr>
            <w:tcW w:w="4962" w:type="dxa"/>
            <w:tcBorders>
              <w:right w:val="single" w:sz="2" w:space="0" w:color="BFBFBF" w:themeColor="background1" w:themeShade="BF"/>
            </w:tcBorders>
            <w:shd w:val="clear" w:color="auto" w:fill="auto"/>
          </w:tcPr>
          <w:p w14:paraId="14894C99" w14:textId="04E9CCE7" w:rsidR="00752AA6" w:rsidRPr="00A96D90" w:rsidRDefault="00A9299A"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R</w:t>
            </w:r>
            <w:r w:rsidR="00752AA6" w:rsidRPr="00A96D90">
              <w:rPr>
                <w:rFonts w:ascii="Calibri Light" w:eastAsiaTheme="minorEastAsia" w:hAnsi="Calibri Light"/>
                <w:color w:val="59595B"/>
                <w:sz w:val="20"/>
                <w:szCs w:val="20"/>
                <w:lang w:val="en-GB"/>
              </w:rPr>
              <w:t xml:space="preserve">elease </w:t>
            </w:r>
            <w:r w:rsidRPr="00A96D90">
              <w:rPr>
                <w:rFonts w:ascii="Calibri Light" w:eastAsiaTheme="minorEastAsia" w:hAnsi="Calibri Light"/>
                <w:color w:val="59595B"/>
                <w:sz w:val="20"/>
                <w:szCs w:val="20"/>
                <w:lang w:val="en-GB"/>
              </w:rPr>
              <w:t xml:space="preserve">of remaining </w:t>
            </w:r>
            <w:r w:rsidR="00752AA6" w:rsidRPr="00A96D90">
              <w:rPr>
                <w:rFonts w:ascii="Calibri Light" w:eastAsiaTheme="minorEastAsia" w:hAnsi="Calibri Light"/>
                <w:color w:val="59595B"/>
                <w:sz w:val="20"/>
                <w:szCs w:val="20"/>
                <w:lang w:val="en-GB"/>
              </w:rPr>
              <w:t xml:space="preserve">amortised costs </w:t>
            </w:r>
          </w:p>
        </w:tc>
        <w:tc>
          <w:tcPr>
            <w:tcW w:w="1559" w:type="dxa"/>
            <w:tcBorders>
              <w:right w:val="single" w:sz="2" w:space="0" w:color="BFBFBF" w:themeColor="background1" w:themeShade="BF"/>
            </w:tcBorders>
            <w:shd w:val="clear" w:color="auto" w:fill="F2F2F2" w:themeFill="background1" w:themeFillShade="F2"/>
          </w:tcPr>
          <w:p w14:paraId="60A28B2C" w14:textId="2A014145" w:rsidR="00752AA6" w:rsidRPr="00A96D90" w:rsidRDefault="00300CF5"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724C3989" w14:textId="00063286"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5,</w:t>
            </w:r>
            <w:r w:rsidR="00530A59" w:rsidRPr="00A96D90">
              <w:rPr>
                <w:rFonts w:ascii="Calibri Light" w:eastAsiaTheme="minorEastAsia" w:hAnsi="Calibri Light"/>
                <w:color w:val="59595B"/>
                <w:sz w:val="20"/>
                <w:szCs w:val="20"/>
                <w:lang w:val="en-GB"/>
              </w:rPr>
              <w:t>089</w:t>
            </w:r>
          </w:p>
        </w:tc>
        <w:tc>
          <w:tcPr>
            <w:tcW w:w="1275" w:type="dxa"/>
            <w:tcBorders>
              <w:left w:val="single" w:sz="2" w:space="0" w:color="BFBFBF" w:themeColor="background1" w:themeShade="BF"/>
              <w:right w:val="single" w:sz="2" w:space="0" w:color="BFBFBF" w:themeColor="background1" w:themeShade="BF"/>
            </w:tcBorders>
          </w:tcPr>
          <w:p w14:paraId="71482032" w14:textId="09907F2D" w:rsidR="00752AA6" w:rsidRPr="00A96D90" w:rsidRDefault="00752AA6"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4,</w:t>
            </w:r>
            <w:r w:rsidR="00530A59" w:rsidRPr="00A96D90">
              <w:rPr>
                <w:rFonts w:ascii="Calibri Light" w:eastAsiaTheme="minorEastAsia" w:hAnsi="Calibri Light"/>
                <w:color w:val="59595B"/>
                <w:sz w:val="20"/>
                <w:szCs w:val="20"/>
                <w:lang w:val="en-GB"/>
              </w:rPr>
              <w:t>144</w:t>
            </w:r>
          </w:p>
        </w:tc>
      </w:tr>
      <w:tr w:rsidR="00B62222" w:rsidRPr="00A96D90" w14:paraId="3372A653" w14:textId="77777777" w:rsidTr="00013F40">
        <w:trPr>
          <w:trHeight w:val="246"/>
        </w:trPr>
        <w:tc>
          <w:tcPr>
            <w:tcW w:w="4962" w:type="dxa"/>
            <w:tcBorders>
              <w:right w:val="single" w:sz="2" w:space="0" w:color="BFBFBF" w:themeColor="background1" w:themeShade="BF"/>
            </w:tcBorders>
            <w:shd w:val="clear" w:color="auto" w:fill="auto"/>
          </w:tcPr>
          <w:p w14:paraId="6289D317" w14:textId="5402F982" w:rsidR="00B1307D" w:rsidRPr="00A96D90" w:rsidRDefault="00B1307D" w:rsidP="00600AA9">
            <w:pPr>
              <w:ind w:right="144"/>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Revaluation loan</w:t>
            </w:r>
          </w:p>
        </w:tc>
        <w:tc>
          <w:tcPr>
            <w:tcW w:w="1559" w:type="dxa"/>
            <w:tcBorders>
              <w:right w:val="single" w:sz="2" w:space="0" w:color="BFBFBF" w:themeColor="background1" w:themeShade="BF"/>
            </w:tcBorders>
            <w:shd w:val="clear" w:color="auto" w:fill="F2F2F2" w:themeFill="background1" w:themeFillShade="F2"/>
          </w:tcPr>
          <w:p w14:paraId="5C73F72A" w14:textId="2AE9BB07" w:rsidR="00B1307D" w:rsidRPr="00A96D90" w:rsidRDefault="00B1307D"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(3,511)</w:t>
            </w:r>
          </w:p>
        </w:tc>
        <w:tc>
          <w:tcPr>
            <w:tcW w:w="1276" w:type="dxa"/>
            <w:tcBorders>
              <w:left w:val="single" w:sz="2" w:space="0" w:color="BFBFBF" w:themeColor="background1" w:themeShade="BF"/>
              <w:right w:val="single" w:sz="2" w:space="0" w:color="BFBFBF" w:themeColor="background1" w:themeShade="BF"/>
            </w:tcBorders>
            <w:shd w:val="clear" w:color="auto" w:fill="FFFFFF" w:themeFill="background1"/>
          </w:tcPr>
          <w:p w14:paraId="67DDEFFB" w14:textId="05E1A74C" w:rsidR="00B1307D" w:rsidRPr="00A96D90" w:rsidRDefault="00B1307D"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c>
          <w:tcPr>
            <w:tcW w:w="1275" w:type="dxa"/>
            <w:tcBorders>
              <w:left w:val="single" w:sz="2" w:space="0" w:color="BFBFBF" w:themeColor="background1" w:themeShade="BF"/>
              <w:right w:val="single" w:sz="2" w:space="0" w:color="BFBFBF" w:themeColor="background1" w:themeShade="BF"/>
            </w:tcBorders>
          </w:tcPr>
          <w:p w14:paraId="484C5556" w14:textId="4849A331" w:rsidR="00B1307D" w:rsidRPr="00A96D90" w:rsidRDefault="00B1307D" w:rsidP="00600AA9">
            <w:pPr>
              <w:jc w:val="right"/>
              <w:rPr>
                <w:rFonts w:ascii="Calibri Light" w:eastAsiaTheme="minorEastAsia" w:hAnsi="Calibri Light"/>
                <w:color w:val="59595B"/>
                <w:sz w:val="20"/>
                <w:szCs w:val="20"/>
                <w:lang w:val="en-GB"/>
              </w:rPr>
            </w:pPr>
            <w:r w:rsidRPr="00A96D90">
              <w:rPr>
                <w:rFonts w:ascii="Calibri Light" w:eastAsiaTheme="minorEastAsia" w:hAnsi="Calibri Light"/>
                <w:color w:val="59595B"/>
                <w:sz w:val="20"/>
                <w:szCs w:val="20"/>
                <w:lang w:val="en-GB"/>
              </w:rPr>
              <w:t>-</w:t>
            </w:r>
          </w:p>
        </w:tc>
      </w:tr>
      <w:tr w:rsidR="00B62222" w:rsidRPr="00A96D90" w14:paraId="2F7FA498" w14:textId="77777777" w:rsidTr="00013F40">
        <w:trPr>
          <w:trHeight w:val="246"/>
        </w:trPr>
        <w:tc>
          <w:tcPr>
            <w:tcW w:w="4962"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891451" w14:textId="37C6E7EB" w:rsidR="00752AA6" w:rsidRPr="00A96D90" w:rsidRDefault="00752AA6" w:rsidP="00600AA9">
            <w:pPr>
              <w:ind w:right="144"/>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Carrying value at 30 June 2017</w:t>
            </w:r>
          </w:p>
        </w:tc>
        <w:tc>
          <w:tcPr>
            <w:tcW w:w="1559"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9911CB3" w14:textId="655DC0E9" w:rsidR="00752AA6" w:rsidRPr="00A96D90" w:rsidRDefault="00B1307D"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84,746</w:t>
            </w:r>
          </w:p>
        </w:tc>
        <w:tc>
          <w:tcPr>
            <w:tcW w:w="127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FFFFF" w:themeFill="background1"/>
          </w:tcPr>
          <w:p w14:paraId="19DD24F2" w14:textId="56C1F2EC"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w:t>
            </w:r>
          </w:p>
        </w:tc>
        <w:tc>
          <w:tcPr>
            <w:tcW w:w="127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DF1042" w14:textId="648723AE" w:rsidR="00752AA6" w:rsidRPr="00A96D90" w:rsidRDefault="00752AA6" w:rsidP="00600AA9">
            <w:pPr>
              <w:jc w:val="right"/>
              <w:rPr>
                <w:rFonts w:ascii="Calibri Light" w:eastAsiaTheme="minorEastAsia" w:hAnsi="Calibri Light"/>
                <w:b/>
                <w:color w:val="59595B"/>
                <w:sz w:val="20"/>
                <w:szCs w:val="20"/>
                <w:lang w:val="en-GB"/>
              </w:rPr>
            </w:pPr>
            <w:r w:rsidRPr="00A96D90">
              <w:rPr>
                <w:rFonts w:ascii="Calibri Light" w:eastAsiaTheme="minorEastAsia" w:hAnsi="Calibri Light"/>
                <w:b/>
                <w:color w:val="59595B"/>
                <w:sz w:val="20"/>
                <w:szCs w:val="20"/>
                <w:lang w:val="en-GB"/>
              </w:rPr>
              <w:t>-</w:t>
            </w:r>
          </w:p>
        </w:tc>
      </w:tr>
    </w:tbl>
    <w:p w14:paraId="1A9CAE4F" w14:textId="77777777" w:rsidR="002E687E" w:rsidRPr="00A96D90" w:rsidRDefault="002E687E" w:rsidP="00116682">
      <w:pPr>
        <w:autoSpaceDE w:val="0"/>
        <w:autoSpaceDN w:val="0"/>
        <w:adjustRightInd w:val="0"/>
        <w:jc w:val="left"/>
        <w:rPr>
          <w:rFonts w:eastAsia="Calibri Light" w:cs="Arial"/>
          <w:b/>
          <w:bCs/>
          <w:color w:val="808080"/>
          <w:szCs w:val="22"/>
          <w:lang w:val="en-GB"/>
        </w:rPr>
      </w:pPr>
    </w:p>
    <w:p w14:paraId="7FA1F1DF" w14:textId="23E81C91" w:rsidR="00116682" w:rsidRPr="00A96D90" w:rsidRDefault="00116682" w:rsidP="00D3486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 xml:space="preserve">Amortizing bonds </w:t>
      </w:r>
    </w:p>
    <w:p w14:paraId="02C8FBD1" w14:textId="24B7D993" w:rsidR="00116682" w:rsidRPr="00A96D90" w:rsidRDefault="00116682" w:rsidP="008653C6">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On 7 December 2016, the Company issued amortizing bonds for a principal amount of €45.0 million (or US$47.7 million), which after costs of €7.3 million, including investors fees of €5.0 million, has produced proceeds of approximately €37.7 million. In connection to the issue of the amortizing bonds the Company also incurred transaction fees and expenses of €2.3 million in total which has been allocated to the amortizing bonds, the derivative financial liabilities and the financial expenses based on their relative weight in the €40.0 million as received and accordingly an amount of €1.6 million was charged to the carrying value of the amortizing bonds, €0.2 million to financial expenses and €0.5 million to equity.</w:t>
      </w:r>
      <w:r w:rsidR="00532645" w:rsidRPr="00A96D90">
        <w:rPr>
          <w:rFonts w:ascii="Calibri Light" w:eastAsia="Calibri" w:hAnsi="Calibri Light" w:cs="Calibri Light"/>
          <w:color w:val="59595B"/>
          <w:szCs w:val="22"/>
          <w:lang w:val="en-GB"/>
        </w:rPr>
        <w:t xml:space="preserve"> The amortizing bonds had been repaid with the proceeds of the new debt facility of Orbimed on 15 May 2017.</w:t>
      </w:r>
    </w:p>
    <w:p w14:paraId="73712184" w14:textId="05A37CBB" w:rsidR="00116682" w:rsidRPr="00A96D90" w:rsidRDefault="00116682" w:rsidP="008653C6">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The investors received a total of 63,380,282 warrants in connection with this financing. The warrants have been separated from the bonds and recognised in equity. The transaction was approved at the Extraordinary General Meeting of shareholders that was held on 25 October 2016. </w:t>
      </w:r>
    </w:p>
    <w:p w14:paraId="561FC5AE" w14:textId="3BE7581C" w:rsidR="00116682" w:rsidRPr="00A96D90" w:rsidRDefault="00116682" w:rsidP="008653C6">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For accounting purposes, the amortizing bonds were initially recognized at </w:t>
      </w:r>
      <w:r w:rsidR="00827F75" w:rsidRPr="00A96D90">
        <w:rPr>
          <w:rFonts w:ascii="Calibri Light" w:eastAsia="Calibri" w:hAnsi="Calibri Light" w:cs="Calibri Light"/>
          <w:color w:val="59595B"/>
          <w:szCs w:val="22"/>
          <w:lang w:val="en-GB"/>
        </w:rPr>
        <w:t xml:space="preserve">amortised cost (i.e. </w:t>
      </w:r>
      <w:r w:rsidRPr="00A96D90">
        <w:rPr>
          <w:rFonts w:ascii="Calibri Light" w:eastAsia="Calibri" w:hAnsi="Calibri Light" w:cs="Calibri Light"/>
          <w:color w:val="59595B"/>
          <w:szCs w:val="22"/>
          <w:lang w:val="en-GB"/>
        </w:rPr>
        <w:t>the aggregate value of the value received minus the fair value of the derivative financial liabilities and the portion of transaction fees and expenses allocated to the bond</w:t>
      </w:r>
      <w:r w:rsidR="00827F75" w:rsidRPr="00A96D90">
        <w:rPr>
          <w:rFonts w:ascii="Calibri Light" w:eastAsia="Calibri" w:hAnsi="Calibri Light" w:cs="Calibri Light"/>
          <w:color w:val="59595B"/>
          <w:szCs w:val="22"/>
          <w:lang w:val="en-GB"/>
        </w:rPr>
        <w:t>)</w:t>
      </w:r>
      <w:r w:rsidRPr="00A96D90">
        <w:rPr>
          <w:rFonts w:ascii="Calibri Light" w:eastAsia="Calibri" w:hAnsi="Calibri Light" w:cs="Calibri Light"/>
          <w:color w:val="59595B"/>
          <w:szCs w:val="22"/>
          <w:lang w:val="en-GB"/>
        </w:rPr>
        <w:t>.</w:t>
      </w:r>
      <w:r w:rsidR="0040539E">
        <w:rPr>
          <w:rFonts w:ascii="Calibri Light" w:eastAsia="Calibri" w:hAnsi="Calibri Light" w:cs="Calibri Light"/>
          <w:color w:val="59595B"/>
          <w:szCs w:val="22"/>
          <w:lang w:val="en-GB"/>
        </w:rPr>
        <w:t xml:space="preserve"> </w:t>
      </w:r>
      <w:r w:rsidRPr="00A96D90">
        <w:rPr>
          <w:rFonts w:ascii="Calibri Light" w:eastAsia="Calibri" w:hAnsi="Calibri Light" w:cs="Calibri Light"/>
          <w:color w:val="59595B"/>
          <w:szCs w:val="22"/>
          <w:lang w:val="en-GB"/>
        </w:rPr>
        <w:t xml:space="preserve">Payments of the monthly </w:t>
      </w:r>
      <w:r w:rsidR="00384931" w:rsidRPr="00A96D90">
        <w:rPr>
          <w:rFonts w:ascii="Calibri Light" w:eastAsia="Calibri" w:hAnsi="Calibri Light" w:cs="Calibri Light"/>
          <w:color w:val="59595B"/>
          <w:szCs w:val="22"/>
          <w:lang w:val="en-GB"/>
        </w:rPr>
        <w:t>instalment</w:t>
      </w:r>
      <w:r w:rsidRPr="00A96D90">
        <w:rPr>
          <w:rFonts w:ascii="Calibri Light" w:eastAsia="Calibri" w:hAnsi="Calibri Light" w:cs="Calibri Light"/>
          <w:color w:val="59595B"/>
          <w:szCs w:val="22"/>
          <w:lang w:val="en-GB"/>
        </w:rPr>
        <w:t xml:space="preserve"> could take place either in cash or shares.</w:t>
      </w:r>
    </w:p>
    <w:p w14:paraId="1BEF9761" w14:textId="26DC45FD" w:rsidR="00D34867" w:rsidRPr="00A96D90" w:rsidRDefault="00D34867">
      <w:pPr>
        <w:jc w:val="left"/>
        <w:rPr>
          <w:rFonts w:ascii="Calibri Light" w:eastAsia="Calibri Light" w:hAnsi="Calibri Light" w:cs="Calibri Light"/>
          <w:color w:val="808080"/>
          <w:sz w:val="20"/>
          <w:szCs w:val="20"/>
          <w:lang w:val="en-GB"/>
        </w:rPr>
      </w:pPr>
      <w:r w:rsidRPr="00A96D90">
        <w:rPr>
          <w:rFonts w:ascii="Calibri Light" w:eastAsia="Calibri Light" w:hAnsi="Calibri Light" w:cs="Calibri Light"/>
          <w:color w:val="808080"/>
          <w:sz w:val="20"/>
          <w:szCs w:val="20"/>
          <w:lang w:val="en-GB"/>
        </w:rPr>
        <w:br w:type="page"/>
      </w:r>
    </w:p>
    <w:p w14:paraId="6B75BF78" w14:textId="77777777" w:rsidR="00116682" w:rsidRPr="00A96D90" w:rsidRDefault="00116682" w:rsidP="00116682">
      <w:pPr>
        <w:jc w:val="left"/>
        <w:rPr>
          <w:rFonts w:ascii="Calibri Light" w:eastAsia="Calibri Light" w:hAnsi="Calibri Light" w:cs="Calibri Light"/>
          <w:color w:val="808080"/>
          <w:sz w:val="20"/>
          <w:szCs w:val="20"/>
          <w:lang w:val="en-GB"/>
        </w:rPr>
      </w:pPr>
    </w:p>
    <w:tbl>
      <w:tblPr>
        <w:tblW w:w="9148" w:type="dxa"/>
        <w:tblLook w:val="04A0" w:firstRow="1" w:lastRow="0" w:firstColumn="1" w:lastColumn="0" w:noHBand="0" w:noVBand="1"/>
      </w:tblPr>
      <w:tblGrid>
        <w:gridCol w:w="6118"/>
        <w:gridCol w:w="13"/>
        <w:gridCol w:w="811"/>
        <w:gridCol w:w="1314"/>
        <w:gridCol w:w="17"/>
        <w:gridCol w:w="875"/>
      </w:tblGrid>
      <w:tr w:rsidR="00D34867" w:rsidRPr="00A96D90" w14:paraId="0B0DCD2F" w14:textId="77777777" w:rsidTr="007879AB">
        <w:trPr>
          <w:trHeight w:val="401"/>
        </w:trPr>
        <w:tc>
          <w:tcPr>
            <w:tcW w:w="6946" w:type="dxa"/>
            <w:gridSpan w:val="3"/>
            <w:tcBorders>
              <w:bottom w:val="single" w:sz="4" w:space="0" w:color="A6A6A6" w:themeColor="background1" w:themeShade="A6"/>
            </w:tcBorders>
            <w:shd w:val="clear" w:color="auto" w:fill="auto"/>
          </w:tcPr>
          <w:p w14:paraId="518F1EAE" w14:textId="68EEB8A5" w:rsidR="00116682" w:rsidRPr="00A96D90" w:rsidRDefault="00116682" w:rsidP="00116682">
            <w:pPr>
              <w:jc w:val="left"/>
              <w:rPr>
                <w:rFonts w:ascii="Calibri Light" w:eastAsia="Calibri Light" w:hAnsi="Calibri Light" w:cs="Calibri Light"/>
                <w:color w:val="59595B"/>
                <w:szCs w:val="22"/>
                <w:lang w:val="en-GB"/>
              </w:rPr>
            </w:pPr>
            <w:r w:rsidRPr="00A96D90">
              <w:rPr>
                <w:rFonts w:ascii="Calibri Light" w:eastAsia="Calibri Light" w:hAnsi="Calibri Light" w:cs="Calibri Light"/>
                <w:b/>
                <w:bCs/>
                <w:color w:val="59595B"/>
                <w:szCs w:val="22"/>
                <w:lang w:val="en-GB"/>
              </w:rPr>
              <w:t>Initial recognition and movemen</w:t>
            </w:r>
            <w:r w:rsidR="007879AB" w:rsidRPr="00A96D90">
              <w:rPr>
                <w:rFonts w:ascii="Calibri Light" w:eastAsia="Calibri Light" w:hAnsi="Calibri Light" w:cs="Calibri Light"/>
                <w:b/>
                <w:bCs/>
                <w:color w:val="59595B"/>
                <w:szCs w:val="22"/>
                <w:lang w:val="en-GB"/>
              </w:rPr>
              <w:t xml:space="preserve">ts of the amortizing bonds were </w:t>
            </w:r>
            <w:r w:rsidRPr="00A96D90">
              <w:rPr>
                <w:rFonts w:ascii="Calibri Light" w:eastAsia="Calibri Light" w:hAnsi="Calibri Light" w:cs="Calibri Light"/>
                <w:b/>
                <w:bCs/>
                <w:color w:val="59595B"/>
                <w:szCs w:val="22"/>
                <w:lang w:val="en-GB"/>
              </w:rPr>
              <w:t>as follows:</w:t>
            </w:r>
          </w:p>
        </w:tc>
        <w:tc>
          <w:tcPr>
            <w:tcW w:w="1315" w:type="dxa"/>
            <w:tcBorders>
              <w:bottom w:val="single" w:sz="4" w:space="0" w:color="A6A6A6" w:themeColor="background1" w:themeShade="A6"/>
            </w:tcBorders>
            <w:shd w:val="clear" w:color="auto" w:fill="auto"/>
          </w:tcPr>
          <w:p w14:paraId="7A98ED1F" w14:textId="77777777" w:rsidR="00116682" w:rsidRPr="00A96D90" w:rsidRDefault="00116682" w:rsidP="00116682">
            <w:pPr>
              <w:jc w:val="center"/>
              <w:rPr>
                <w:rFonts w:ascii="Calibri Light" w:eastAsia="Calibri Light" w:hAnsi="Calibri Light" w:cs="Calibri Light"/>
                <w:b/>
                <w:color w:val="59595B"/>
                <w:szCs w:val="22"/>
                <w:lang w:val="en-GB"/>
              </w:rPr>
            </w:pPr>
          </w:p>
        </w:tc>
        <w:tc>
          <w:tcPr>
            <w:tcW w:w="887" w:type="dxa"/>
            <w:gridSpan w:val="2"/>
            <w:tcBorders>
              <w:bottom w:val="single" w:sz="4" w:space="0" w:color="A6A6A6" w:themeColor="background1" w:themeShade="A6"/>
            </w:tcBorders>
            <w:shd w:val="clear" w:color="auto" w:fill="auto"/>
          </w:tcPr>
          <w:p w14:paraId="57CDBE63" w14:textId="77777777" w:rsidR="00116682" w:rsidRPr="00A96D90" w:rsidRDefault="00116682" w:rsidP="007879AB">
            <w:pPr>
              <w:jc w:val="right"/>
              <w:rPr>
                <w:rFonts w:ascii="Calibri Light" w:eastAsia="Calibri Light" w:hAnsi="Calibri Light" w:cs="Calibri Light"/>
                <w:b/>
                <w:color w:val="59595B"/>
                <w:szCs w:val="22"/>
                <w:lang w:val="en-GB"/>
              </w:rPr>
            </w:pPr>
            <w:r w:rsidRPr="00A96D90">
              <w:rPr>
                <w:rFonts w:ascii="Calibri Light" w:eastAsia="Calibri Light" w:hAnsi="Calibri Light" w:cs="Calibri Light"/>
                <w:b/>
                <w:color w:val="59595B"/>
                <w:szCs w:val="22"/>
                <w:lang w:val="en-GB"/>
              </w:rPr>
              <w:t>€’000</w:t>
            </w:r>
          </w:p>
        </w:tc>
      </w:tr>
      <w:tr w:rsidR="00D34867" w:rsidRPr="00A96D90" w14:paraId="2F721901" w14:textId="77777777" w:rsidTr="007879AB">
        <w:trPr>
          <w:trHeight w:val="204"/>
        </w:trPr>
        <w:tc>
          <w:tcPr>
            <w:tcW w:w="6121" w:type="dxa"/>
            <w:tcBorders>
              <w:top w:val="single" w:sz="4" w:space="0" w:color="A6A6A6" w:themeColor="background1" w:themeShade="A6"/>
            </w:tcBorders>
            <w:shd w:val="clear" w:color="auto" w:fill="auto"/>
          </w:tcPr>
          <w:p w14:paraId="2B854929" w14:textId="77777777" w:rsidR="00116682" w:rsidRPr="00A96D90" w:rsidRDefault="00116682"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Received in cash</w:t>
            </w:r>
          </w:p>
        </w:tc>
        <w:tc>
          <w:tcPr>
            <w:tcW w:w="2140" w:type="dxa"/>
            <w:gridSpan w:val="3"/>
            <w:tcBorders>
              <w:top w:val="single" w:sz="4" w:space="0" w:color="A6A6A6" w:themeColor="background1" w:themeShade="A6"/>
            </w:tcBorders>
            <w:shd w:val="clear" w:color="auto" w:fill="auto"/>
          </w:tcPr>
          <w:p w14:paraId="33546F81" w14:textId="77777777" w:rsidR="00116682" w:rsidRPr="00A96D90" w:rsidRDefault="00116682" w:rsidP="00116682">
            <w:pPr>
              <w:jc w:val="right"/>
              <w:rPr>
                <w:rFonts w:ascii="Calibri Light" w:eastAsia="Calibri Light" w:hAnsi="Calibri Light" w:cs="Calibri Light"/>
                <w:color w:val="59595B"/>
                <w:sz w:val="20"/>
                <w:szCs w:val="20"/>
                <w:lang w:val="en-GB"/>
              </w:rPr>
            </w:pPr>
          </w:p>
        </w:tc>
        <w:tc>
          <w:tcPr>
            <w:tcW w:w="887" w:type="dxa"/>
            <w:gridSpan w:val="2"/>
            <w:tcBorders>
              <w:top w:val="single" w:sz="4" w:space="0" w:color="A6A6A6" w:themeColor="background1" w:themeShade="A6"/>
              <w:right w:val="single" w:sz="4" w:space="0" w:color="A6A6A6" w:themeColor="background1" w:themeShade="A6"/>
            </w:tcBorders>
            <w:shd w:val="clear" w:color="auto" w:fill="auto"/>
          </w:tcPr>
          <w:p w14:paraId="494677E3" w14:textId="77777777" w:rsidR="00116682" w:rsidRPr="00A96D90" w:rsidRDefault="00116682" w:rsidP="00116682">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40,000</w:t>
            </w:r>
          </w:p>
        </w:tc>
      </w:tr>
      <w:tr w:rsidR="00D34867" w:rsidRPr="00A96D90" w14:paraId="4AE5FBE7" w14:textId="77777777" w:rsidTr="007879AB">
        <w:trPr>
          <w:trHeight w:val="195"/>
        </w:trPr>
        <w:tc>
          <w:tcPr>
            <w:tcW w:w="6121" w:type="dxa"/>
            <w:shd w:val="clear" w:color="auto" w:fill="auto"/>
          </w:tcPr>
          <w:p w14:paraId="47361786" w14:textId="77777777" w:rsidR="00116682" w:rsidRPr="00A96D90" w:rsidRDefault="00116682"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 xml:space="preserve">Fair value of warrants issued </w:t>
            </w:r>
          </w:p>
        </w:tc>
        <w:tc>
          <w:tcPr>
            <w:tcW w:w="2140" w:type="dxa"/>
            <w:gridSpan w:val="3"/>
            <w:shd w:val="clear" w:color="auto" w:fill="auto"/>
          </w:tcPr>
          <w:p w14:paraId="0131598F" w14:textId="77777777" w:rsidR="00116682" w:rsidRPr="00A96D90" w:rsidRDefault="00116682" w:rsidP="00116682">
            <w:pPr>
              <w:jc w:val="right"/>
              <w:rPr>
                <w:rFonts w:ascii="Calibri Light" w:eastAsia="Calibri Light" w:hAnsi="Calibri Light" w:cs="Calibri Light"/>
                <w:color w:val="59595B"/>
                <w:sz w:val="20"/>
                <w:szCs w:val="20"/>
                <w:lang w:val="en-GB"/>
              </w:rPr>
            </w:pPr>
          </w:p>
        </w:tc>
        <w:tc>
          <w:tcPr>
            <w:tcW w:w="887" w:type="dxa"/>
            <w:gridSpan w:val="2"/>
            <w:tcBorders>
              <w:right w:val="single" w:sz="4" w:space="0" w:color="A6A6A6" w:themeColor="background1" w:themeShade="A6"/>
            </w:tcBorders>
            <w:shd w:val="clear" w:color="auto" w:fill="auto"/>
          </w:tcPr>
          <w:p w14:paraId="5D456950" w14:textId="77777777" w:rsidR="00116682" w:rsidRPr="00A96D90" w:rsidRDefault="00116682" w:rsidP="00116682">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(8,009)</w:t>
            </w:r>
          </w:p>
        </w:tc>
      </w:tr>
      <w:tr w:rsidR="00D34867" w:rsidRPr="00A96D90" w14:paraId="5F72960D" w14:textId="77777777" w:rsidTr="007879AB">
        <w:trPr>
          <w:trHeight w:val="204"/>
        </w:trPr>
        <w:tc>
          <w:tcPr>
            <w:tcW w:w="6121" w:type="dxa"/>
            <w:shd w:val="clear" w:color="auto" w:fill="auto"/>
          </w:tcPr>
          <w:p w14:paraId="73FDAA0D" w14:textId="77777777" w:rsidR="00116682" w:rsidRPr="00A96D90" w:rsidRDefault="00116682"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Fair value of conversion right</w:t>
            </w:r>
          </w:p>
        </w:tc>
        <w:tc>
          <w:tcPr>
            <w:tcW w:w="2140" w:type="dxa"/>
            <w:gridSpan w:val="3"/>
            <w:shd w:val="clear" w:color="auto" w:fill="auto"/>
          </w:tcPr>
          <w:p w14:paraId="6571AC75" w14:textId="77777777" w:rsidR="00116682" w:rsidRPr="00A96D90" w:rsidRDefault="00116682" w:rsidP="00116682">
            <w:pPr>
              <w:jc w:val="right"/>
              <w:rPr>
                <w:rFonts w:ascii="Calibri Light" w:eastAsia="Calibri Light" w:hAnsi="Calibri Light" w:cs="Calibri Light"/>
                <w:color w:val="59595B"/>
                <w:sz w:val="20"/>
                <w:szCs w:val="20"/>
                <w:lang w:val="en-GB"/>
              </w:rPr>
            </w:pPr>
          </w:p>
        </w:tc>
        <w:tc>
          <w:tcPr>
            <w:tcW w:w="887" w:type="dxa"/>
            <w:gridSpan w:val="2"/>
            <w:tcBorders>
              <w:right w:val="single" w:sz="4" w:space="0" w:color="A6A6A6" w:themeColor="background1" w:themeShade="A6"/>
            </w:tcBorders>
            <w:shd w:val="clear" w:color="auto" w:fill="auto"/>
          </w:tcPr>
          <w:p w14:paraId="54F1E888" w14:textId="77777777" w:rsidR="00116682" w:rsidRPr="00A96D90" w:rsidRDefault="00116682" w:rsidP="00116682">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(3,866)</w:t>
            </w:r>
          </w:p>
        </w:tc>
      </w:tr>
      <w:tr w:rsidR="00D34867" w:rsidRPr="00A96D90" w14:paraId="0EB2F7C1" w14:textId="77777777" w:rsidTr="007879AB">
        <w:trPr>
          <w:trHeight w:val="204"/>
        </w:trPr>
        <w:tc>
          <w:tcPr>
            <w:tcW w:w="6121" w:type="dxa"/>
            <w:tcBorders>
              <w:bottom w:val="single" w:sz="4" w:space="0" w:color="A6A6A6" w:themeColor="background1" w:themeShade="A6"/>
            </w:tcBorders>
            <w:shd w:val="clear" w:color="auto" w:fill="auto"/>
          </w:tcPr>
          <w:p w14:paraId="49F35919" w14:textId="77777777" w:rsidR="00116682" w:rsidRPr="00A96D90" w:rsidRDefault="00116682"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Transaction fees and expenses</w:t>
            </w:r>
          </w:p>
        </w:tc>
        <w:tc>
          <w:tcPr>
            <w:tcW w:w="2140" w:type="dxa"/>
            <w:gridSpan w:val="3"/>
            <w:tcBorders>
              <w:bottom w:val="single" w:sz="4" w:space="0" w:color="A6A6A6" w:themeColor="background1" w:themeShade="A6"/>
            </w:tcBorders>
            <w:shd w:val="clear" w:color="auto" w:fill="auto"/>
          </w:tcPr>
          <w:p w14:paraId="17ADEEE6" w14:textId="77777777" w:rsidR="00116682" w:rsidRPr="00A96D90" w:rsidRDefault="00116682" w:rsidP="00116682">
            <w:pPr>
              <w:jc w:val="right"/>
              <w:rPr>
                <w:rFonts w:ascii="Calibri Light" w:eastAsia="Calibri Light" w:hAnsi="Calibri Light" w:cs="Calibri Light"/>
                <w:color w:val="59595B"/>
                <w:sz w:val="20"/>
                <w:szCs w:val="20"/>
                <w:lang w:val="en-GB"/>
              </w:rPr>
            </w:pPr>
          </w:p>
        </w:tc>
        <w:tc>
          <w:tcPr>
            <w:tcW w:w="887" w:type="dxa"/>
            <w:gridSpan w:val="2"/>
            <w:tcBorders>
              <w:bottom w:val="single" w:sz="4" w:space="0" w:color="A6A6A6" w:themeColor="background1" w:themeShade="A6"/>
              <w:right w:val="single" w:sz="4" w:space="0" w:color="A6A6A6" w:themeColor="background1" w:themeShade="A6"/>
            </w:tcBorders>
            <w:shd w:val="clear" w:color="auto" w:fill="auto"/>
          </w:tcPr>
          <w:p w14:paraId="06B2A6BB" w14:textId="77777777" w:rsidR="00116682" w:rsidRPr="00A96D90" w:rsidRDefault="00116682" w:rsidP="00116682">
            <w:pPr>
              <w:jc w:val="right"/>
              <w:rPr>
                <w:rFonts w:ascii="Calibri Light" w:eastAsia="Calibri Light" w:hAnsi="Calibri Light" w:cs="Calibri Light"/>
                <w:color w:val="59595B"/>
                <w:sz w:val="20"/>
                <w:szCs w:val="20"/>
                <w:u w:val="single"/>
                <w:lang w:val="en-GB"/>
              </w:rPr>
            </w:pPr>
            <w:r w:rsidRPr="00A96D90">
              <w:rPr>
                <w:rFonts w:ascii="Calibri Light" w:eastAsia="Calibri Light" w:hAnsi="Calibri Light" w:cs="Calibri Light"/>
                <w:color w:val="59595B"/>
                <w:sz w:val="20"/>
                <w:szCs w:val="20"/>
                <w:u w:val="single"/>
                <w:lang w:val="en-GB"/>
              </w:rPr>
              <w:t>(1,611)</w:t>
            </w:r>
          </w:p>
        </w:tc>
      </w:tr>
      <w:tr w:rsidR="00D34867" w:rsidRPr="00A96D90" w14:paraId="38C8DD4E" w14:textId="77777777" w:rsidTr="007879AB">
        <w:trPr>
          <w:trHeight w:val="195"/>
        </w:trPr>
        <w:tc>
          <w:tcPr>
            <w:tcW w:w="6121" w:type="dxa"/>
            <w:tcBorders>
              <w:top w:val="single" w:sz="4" w:space="0" w:color="A6A6A6" w:themeColor="background1" w:themeShade="A6"/>
            </w:tcBorders>
            <w:shd w:val="clear" w:color="auto" w:fill="auto"/>
          </w:tcPr>
          <w:p w14:paraId="02D753D9" w14:textId="77777777" w:rsidR="00116682" w:rsidRPr="00A96D90" w:rsidRDefault="00116682" w:rsidP="00116682">
            <w:pPr>
              <w:jc w:val="lef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Carrying value initial recognition</w:t>
            </w:r>
          </w:p>
        </w:tc>
        <w:tc>
          <w:tcPr>
            <w:tcW w:w="2140" w:type="dxa"/>
            <w:gridSpan w:val="3"/>
            <w:tcBorders>
              <w:top w:val="single" w:sz="4" w:space="0" w:color="A6A6A6" w:themeColor="background1" w:themeShade="A6"/>
            </w:tcBorders>
            <w:shd w:val="clear" w:color="auto" w:fill="auto"/>
          </w:tcPr>
          <w:p w14:paraId="19B8702B" w14:textId="77777777" w:rsidR="00116682" w:rsidRPr="00A96D90" w:rsidRDefault="00116682" w:rsidP="00116682">
            <w:pPr>
              <w:jc w:val="right"/>
              <w:rPr>
                <w:rFonts w:ascii="Calibri Light" w:eastAsia="Calibri Light" w:hAnsi="Calibri Light" w:cs="Calibri Light"/>
                <w:b/>
                <w:color w:val="59595B"/>
                <w:sz w:val="20"/>
                <w:szCs w:val="20"/>
                <w:lang w:val="en-GB"/>
              </w:rPr>
            </w:pPr>
          </w:p>
        </w:tc>
        <w:tc>
          <w:tcPr>
            <w:tcW w:w="887" w:type="dxa"/>
            <w:gridSpan w:val="2"/>
            <w:tcBorders>
              <w:top w:val="single" w:sz="4" w:space="0" w:color="A6A6A6" w:themeColor="background1" w:themeShade="A6"/>
              <w:right w:val="single" w:sz="4" w:space="0" w:color="A6A6A6" w:themeColor="background1" w:themeShade="A6"/>
            </w:tcBorders>
            <w:shd w:val="clear" w:color="auto" w:fill="auto"/>
          </w:tcPr>
          <w:p w14:paraId="53B3EE46" w14:textId="77777777" w:rsidR="00116682" w:rsidRPr="00A96D90" w:rsidRDefault="00116682" w:rsidP="00116682">
            <w:pPr>
              <w:jc w:val="righ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26,514</w:t>
            </w:r>
          </w:p>
        </w:tc>
      </w:tr>
      <w:tr w:rsidR="00D34867" w:rsidRPr="00A96D90" w14:paraId="146EAFFF" w14:textId="77777777" w:rsidTr="007879AB">
        <w:trPr>
          <w:trHeight w:val="204"/>
        </w:trPr>
        <w:tc>
          <w:tcPr>
            <w:tcW w:w="6121" w:type="dxa"/>
            <w:tcBorders>
              <w:bottom w:val="single" w:sz="4" w:space="0" w:color="A6A6A6" w:themeColor="background1" w:themeShade="A6"/>
            </w:tcBorders>
            <w:shd w:val="clear" w:color="auto" w:fill="auto"/>
          </w:tcPr>
          <w:p w14:paraId="0CDEC611" w14:textId="77777777" w:rsidR="00116682" w:rsidRPr="00A96D90" w:rsidRDefault="00116682"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Effective interest convertible bonds</w:t>
            </w:r>
          </w:p>
        </w:tc>
        <w:tc>
          <w:tcPr>
            <w:tcW w:w="2140" w:type="dxa"/>
            <w:gridSpan w:val="3"/>
            <w:tcBorders>
              <w:bottom w:val="single" w:sz="4" w:space="0" w:color="A6A6A6" w:themeColor="background1" w:themeShade="A6"/>
            </w:tcBorders>
            <w:shd w:val="clear" w:color="auto" w:fill="auto"/>
          </w:tcPr>
          <w:p w14:paraId="59612DA6" w14:textId="77777777" w:rsidR="00116682" w:rsidRPr="00A96D90" w:rsidRDefault="00116682" w:rsidP="00116682">
            <w:pPr>
              <w:jc w:val="right"/>
              <w:rPr>
                <w:rFonts w:ascii="Calibri Light" w:eastAsia="Calibri Light" w:hAnsi="Calibri Light" w:cs="Calibri Light"/>
                <w:color w:val="59595B"/>
                <w:sz w:val="20"/>
                <w:szCs w:val="20"/>
                <w:lang w:val="en-GB"/>
              </w:rPr>
            </w:pPr>
          </w:p>
        </w:tc>
        <w:tc>
          <w:tcPr>
            <w:tcW w:w="887" w:type="dxa"/>
            <w:gridSpan w:val="2"/>
            <w:tcBorders>
              <w:bottom w:val="single" w:sz="4" w:space="0" w:color="A6A6A6" w:themeColor="background1" w:themeShade="A6"/>
              <w:right w:val="single" w:sz="4" w:space="0" w:color="A6A6A6" w:themeColor="background1" w:themeShade="A6"/>
            </w:tcBorders>
            <w:shd w:val="clear" w:color="auto" w:fill="auto"/>
          </w:tcPr>
          <w:p w14:paraId="00213158" w14:textId="77777777" w:rsidR="00116682" w:rsidRPr="00A96D90" w:rsidRDefault="00116682" w:rsidP="00116682">
            <w:pPr>
              <w:jc w:val="right"/>
              <w:rPr>
                <w:rFonts w:ascii="Calibri Light" w:eastAsia="Calibri Light" w:hAnsi="Calibri Light" w:cs="Calibri Light"/>
                <w:color w:val="59595B"/>
                <w:sz w:val="20"/>
                <w:szCs w:val="20"/>
                <w:u w:val="single"/>
                <w:lang w:val="en-GB"/>
              </w:rPr>
            </w:pPr>
            <w:r w:rsidRPr="00A96D90">
              <w:rPr>
                <w:rFonts w:ascii="Calibri Light" w:eastAsia="Calibri Light" w:hAnsi="Calibri Light" w:cs="Calibri Light"/>
                <w:color w:val="59595B"/>
                <w:sz w:val="20"/>
                <w:szCs w:val="20"/>
                <w:u w:val="single"/>
                <w:lang w:val="en-GB"/>
              </w:rPr>
              <w:t>1,150</w:t>
            </w:r>
          </w:p>
        </w:tc>
      </w:tr>
      <w:tr w:rsidR="00D34867" w:rsidRPr="00A96D90" w14:paraId="4069B60F" w14:textId="77777777" w:rsidTr="007879AB">
        <w:trPr>
          <w:trHeight w:val="204"/>
        </w:trPr>
        <w:tc>
          <w:tcPr>
            <w:tcW w:w="6121" w:type="dxa"/>
            <w:tcBorders>
              <w:top w:val="single" w:sz="4" w:space="0" w:color="A6A6A6" w:themeColor="background1" w:themeShade="A6"/>
            </w:tcBorders>
            <w:shd w:val="clear" w:color="auto" w:fill="auto"/>
          </w:tcPr>
          <w:p w14:paraId="756297DC" w14:textId="77777777" w:rsidR="00116682" w:rsidRPr="00A96D90" w:rsidRDefault="00116682" w:rsidP="00116682">
            <w:pPr>
              <w:jc w:val="lef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Carrying value at 31 December 2016</w:t>
            </w:r>
          </w:p>
        </w:tc>
        <w:tc>
          <w:tcPr>
            <w:tcW w:w="2140" w:type="dxa"/>
            <w:gridSpan w:val="3"/>
            <w:tcBorders>
              <w:top w:val="single" w:sz="4" w:space="0" w:color="A6A6A6" w:themeColor="background1" w:themeShade="A6"/>
            </w:tcBorders>
            <w:shd w:val="clear" w:color="auto" w:fill="auto"/>
          </w:tcPr>
          <w:p w14:paraId="6268D367" w14:textId="77777777" w:rsidR="00116682" w:rsidRPr="00A96D90" w:rsidRDefault="00116682" w:rsidP="00116682">
            <w:pPr>
              <w:jc w:val="right"/>
              <w:rPr>
                <w:rFonts w:ascii="Calibri Light" w:eastAsia="Calibri Light" w:hAnsi="Calibri Light" w:cs="Calibri Light"/>
                <w:b/>
                <w:color w:val="59595B"/>
                <w:sz w:val="20"/>
                <w:szCs w:val="20"/>
                <w:lang w:val="en-GB"/>
              </w:rPr>
            </w:pPr>
          </w:p>
        </w:tc>
        <w:tc>
          <w:tcPr>
            <w:tcW w:w="887" w:type="dxa"/>
            <w:gridSpan w:val="2"/>
            <w:tcBorders>
              <w:top w:val="single" w:sz="4" w:space="0" w:color="A6A6A6" w:themeColor="background1" w:themeShade="A6"/>
              <w:right w:val="single" w:sz="4" w:space="0" w:color="A6A6A6" w:themeColor="background1" w:themeShade="A6"/>
            </w:tcBorders>
            <w:shd w:val="clear" w:color="auto" w:fill="auto"/>
          </w:tcPr>
          <w:p w14:paraId="6A830BD4" w14:textId="77777777" w:rsidR="00116682" w:rsidRPr="00A96D90" w:rsidRDefault="00116682" w:rsidP="00116682">
            <w:pPr>
              <w:jc w:val="righ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27,664</w:t>
            </w:r>
          </w:p>
        </w:tc>
      </w:tr>
      <w:tr w:rsidR="00D34867" w:rsidRPr="00A96D90" w14:paraId="2787CDC7" w14:textId="77777777" w:rsidTr="007879AB">
        <w:trPr>
          <w:trHeight w:val="195"/>
        </w:trPr>
        <w:tc>
          <w:tcPr>
            <w:tcW w:w="6121" w:type="dxa"/>
            <w:shd w:val="clear" w:color="auto" w:fill="auto"/>
          </w:tcPr>
          <w:p w14:paraId="30C1FE1A" w14:textId="77777777" w:rsidR="00736775" w:rsidRPr="00A96D90" w:rsidRDefault="00736775" w:rsidP="00FA55F1">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Effective interest convertible bonds</w:t>
            </w:r>
          </w:p>
        </w:tc>
        <w:tc>
          <w:tcPr>
            <w:tcW w:w="2140" w:type="dxa"/>
            <w:gridSpan w:val="3"/>
            <w:shd w:val="clear" w:color="auto" w:fill="auto"/>
          </w:tcPr>
          <w:p w14:paraId="1D3DF3C1" w14:textId="77777777" w:rsidR="00736775" w:rsidRPr="00A96D90" w:rsidRDefault="00736775" w:rsidP="00FA55F1">
            <w:pPr>
              <w:jc w:val="right"/>
              <w:rPr>
                <w:rFonts w:ascii="Calibri Light" w:eastAsia="Calibri Light" w:hAnsi="Calibri Light" w:cs="Calibri Light"/>
                <w:color w:val="59595B"/>
                <w:sz w:val="20"/>
                <w:szCs w:val="20"/>
                <w:lang w:val="en-GB"/>
              </w:rPr>
            </w:pPr>
          </w:p>
        </w:tc>
        <w:tc>
          <w:tcPr>
            <w:tcW w:w="887" w:type="dxa"/>
            <w:gridSpan w:val="2"/>
            <w:tcBorders>
              <w:right w:val="single" w:sz="4" w:space="0" w:color="A6A6A6" w:themeColor="background1" w:themeShade="A6"/>
            </w:tcBorders>
            <w:shd w:val="clear" w:color="auto" w:fill="auto"/>
          </w:tcPr>
          <w:p w14:paraId="6CBCF174" w14:textId="186672CB" w:rsidR="00736775" w:rsidRPr="00A96D90" w:rsidRDefault="00736775" w:rsidP="00FA55F1">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7,</w:t>
            </w:r>
            <w:r w:rsidR="00A9299A" w:rsidRPr="00A96D90">
              <w:rPr>
                <w:rFonts w:ascii="Calibri Light" w:eastAsia="Calibri Light" w:hAnsi="Calibri Light" w:cs="Calibri Light"/>
                <w:color w:val="59595B"/>
                <w:sz w:val="20"/>
                <w:szCs w:val="20"/>
                <w:lang w:val="en-GB"/>
              </w:rPr>
              <w:t>806</w:t>
            </w:r>
          </w:p>
        </w:tc>
      </w:tr>
      <w:tr w:rsidR="00D34867" w:rsidRPr="00A96D90" w14:paraId="53984134" w14:textId="77777777" w:rsidTr="007879AB">
        <w:trPr>
          <w:trHeight w:val="204"/>
        </w:trPr>
        <w:tc>
          <w:tcPr>
            <w:tcW w:w="6121" w:type="dxa"/>
            <w:shd w:val="clear" w:color="auto" w:fill="auto"/>
          </w:tcPr>
          <w:p w14:paraId="00C6B5AE" w14:textId="382CCA4E" w:rsidR="002646CD" w:rsidRPr="00A96D90" w:rsidRDefault="00FB545B"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R</w:t>
            </w:r>
            <w:r w:rsidR="00A9299A" w:rsidRPr="00A96D90">
              <w:rPr>
                <w:rFonts w:ascii="Calibri Light" w:eastAsia="Calibri Light" w:hAnsi="Calibri Light" w:cs="Calibri Light"/>
                <w:color w:val="59595B"/>
                <w:sz w:val="20"/>
                <w:szCs w:val="20"/>
                <w:lang w:val="en-GB"/>
              </w:rPr>
              <w:t>elease of r</w:t>
            </w:r>
            <w:r w:rsidRPr="00A96D90">
              <w:rPr>
                <w:rFonts w:ascii="Calibri Light" w:eastAsia="Calibri Light" w:hAnsi="Calibri Light" w:cs="Calibri Light"/>
                <w:color w:val="59595B"/>
                <w:sz w:val="20"/>
                <w:szCs w:val="20"/>
                <w:lang w:val="en-GB"/>
              </w:rPr>
              <w:t>emaining</w:t>
            </w:r>
            <w:r w:rsidR="002646CD" w:rsidRPr="00A96D90">
              <w:rPr>
                <w:rFonts w:ascii="Calibri Light" w:eastAsia="Calibri Light" w:hAnsi="Calibri Light" w:cs="Calibri Light"/>
                <w:color w:val="59595B"/>
                <w:sz w:val="20"/>
                <w:szCs w:val="20"/>
                <w:lang w:val="en-GB"/>
              </w:rPr>
              <w:t xml:space="preserve"> amortised costs </w:t>
            </w:r>
          </w:p>
        </w:tc>
        <w:tc>
          <w:tcPr>
            <w:tcW w:w="2140" w:type="dxa"/>
            <w:gridSpan w:val="3"/>
            <w:shd w:val="clear" w:color="auto" w:fill="auto"/>
          </w:tcPr>
          <w:p w14:paraId="62349180" w14:textId="77777777" w:rsidR="002646CD" w:rsidRPr="00A96D90" w:rsidRDefault="002646CD" w:rsidP="00116682">
            <w:pPr>
              <w:jc w:val="right"/>
              <w:rPr>
                <w:rFonts w:ascii="Calibri Light" w:eastAsia="Calibri Light" w:hAnsi="Calibri Light" w:cs="Calibri Light"/>
                <w:color w:val="59595B"/>
                <w:sz w:val="20"/>
                <w:szCs w:val="20"/>
                <w:lang w:val="en-GB"/>
              </w:rPr>
            </w:pPr>
          </w:p>
        </w:tc>
        <w:tc>
          <w:tcPr>
            <w:tcW w:w="887" w:type="dxa"/>
            <w:gridSpan w:val="2"/>
            <w:tcBorders>
              <w:right w:val="single" w:sz="4" w:space="0" w:color="A6A6A6" w:themeColor="background1" w:themeShade="A6"/>
            </w:tcBorders>
            <w:shd w:val="clear" w:color="auto" w:fill="auto"/>
          </w:tcPr>
          <w:p w14:paraId="15BECBAC" w14:textId="2959D52C" w:rsidR="002646CD" w:rsidRPr="00A96D90" w:rsidRDefault="002646CD" w:rsidP="00116682">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9,</w:t>
            </w:r>
            <w:r w:rsidR="00A9299A" w:rsidRPr="00A96D90">
              <w:rPr>
                <w:rFonts w:ascii="Calibri Light" w:eastAsia="Calibri Light" w:hAnsi="Calibri Light" w:cs="Calibri Light"/>
                <w:color w:val="59595B"/>
                <w:sz w:val="20"/>
                <w:szCs w:val="20"/>
                <w:lang w:val="en-GB"/>
              </w:rPr>
              <w:t>530</w:t>
            </w:r>
          </w:p>
        </w:tc>
      </w:tr>
      <w:tr w:rsidR="00D34867" w:rsidRPr="00A96D90" w14:paraId="5AC0585E" w14:textId="77777777" w:rsidTr="007879AB">
        <w:trPr>
          <w:trHeight w:val="195"/>
        </w:trPr>
        <w:tc>
          <w:tcPr>
            <w:tcW w:w="6121" w:type="dxa"/>
            <w:shd w:val="clear" w:color="auto" w:fill="auto"/>
          </w:tcPr>
          <w:p w14:paraId="3EC0AF9F" w14:textId="5ADB738C" w:rsidR="00736775" w:rsidRPr="00A96D90" w:rsidRDefault="002646CD"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 xml:space="preserve">Payments of </w:t>
            </w:r>
            <w:r w:rsidR="00384931" w:rsidRPr="00A96D90">
              <w:rPr>
                <w:rFonts w:ascii="Calibri Light" w:eastAsia="Calibri Light" w:hAnsi="Calibri Light" w:cs="Calibri Light"/>
                <w:color w:val="59595B"/>
                <w:sz w:val="20"/>
                <w:szCs w:val="20"/>
                <w:lang w:val="en-GB"/>
              </w:rPr>
              <w:t>instalments</w:t>
            </w:r>
            <w:r w:rsidR="00736775" w:rsidRPr="00A96D90">
              <w:rPr>
                <w:rFonts w:ascii="Calibri Light" w:eastAsia="Calibri Light" w:hAnsi="Calibri Light" w:cs="Calibri Light"/>
                <w:color w:val="59595B"/>
                <w:sz w:val="20"/>
                <w:szCs w:val="20"/>
                <w:lang w:val="en-GB"/>
              </w:rPr>
              <w:t xml:space="preserve"> bonds</w:t>
            </w:r>
          </w:p>
        </w:tc>
        <w:tc>
          <w:tcPr>
            <w:tcW w:w="2140" w:type="dxa"/>
            <w:gridSpan w:val="3"/>
            <w:shd w:val="clear" w:color="auto" w:fill="auto"/>
          </w:tcPr>
          <w:p w14:paraId="011E4194" w14:textId="77777777" w:rsidR="00736775" w:rsidRPr="00A96D90" w:rsidRDefault="00736775" w:rsidP="00116682">
            <w:pPr>
              <w:jc w:val="right"/>
              <w:rPr>
                <w:rFonts w:ascii="Calibri Light" w:eastAsia="Calibri Light" w:hAnsi="Calibri Light" w:cs="Calibri Light"/>
                <w:color w:val="59595B"/>
                <w:sz w:val="20"/>
                <w:szCs w:val="20"/>
                <w:lang w:val="en-GB"/>
              </w:rPr>
            </w:pPr>
          </w:p>
        </w:tc>
        <w:tc>
          <w:tcPr>
            <w:tcW w:w="887" w:type="dxa"/>
            <w:gridSpan w:val="2"/>
            <w:tcBorders>
              <w:right w:val="single" w:sz="4" w:space="0" w:color="A6A6A6" w:themeColor="background1" w:themeShade="A6"/>
            </w:tcBorders>
            <w:shd w:val="clear" w:color="auto" w:fill="auto"/>
          </w:tcPr>
          <w:p w14:paraId="00C683F1" w14:textId="59F66CB9" w:rsidR="00736775" w:rsidRPr="00A96D90" w:rsidRDefault="00736775" w:rsidP="00116682">
            <w:pPr>
              <w:jc w:val="righ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(9,104)</w:t>
            </w:r>
          </w:p>
        </w:tc>
      </w:tr>
      <w:tr w:rsidR="00D34867" w:rsidRPr="00A96D90" w14:paraId="18183FE4" w14:textId="77777777" w:rsidTr="007879AB">
        <w:trPr>
          <w:trHeight w:val="204"/>
        </w:trPr>
        <w:tc>
          <w:tcPr>
            <w:tcW w:w="6121" w:type="dxa"/>
            <w:tcBorders>
              <w:bottom w:val="single" w:sz="4" w:space="0" w:color="A6A6A6" w:themeColor="background1" w:themeShade="A6"/>
            </w:tcBorders>
            <w:shd w:val="clear" w:color="auto" w:fill="auto"/>
          </w:tcPr>
          <w:p w14:paraId="394E3971" w14:textId="75279EA4" w:rsidR="00736775" w:rsidRPr="00A96D90" w:rsidRDefault="002646CD" w:rsidP="00116682">
            <w:pPr>
              <w:jc w:val="left"/>
              <w:rPr>
                <w:rFonts w:ascii="Calibri Light" w:eastAsia="Calibri Light" w:hAnsi="Calibri Light" w:cs="Calibri Light"/>
                <w:color w:val="59595B"/>
                <w:sz w:val="20"/>
                <w:szCs w:val="20"/>
                <w:lang w:val="en-GB"/>
              </w:rPr>
            </w:pPr>
            <w:r w:rsidRPr="00A96D90">
              <w:rPr>
                <w:rFonts w:ascii="Calibri Light" w:eastAsia="Calibri Light" w:hAnsi="Calibri Light" w:cs="Calibri Light"/>
                <w:color w:val="59595B"/>
                <w:sz w:val="20"/>
                <w:szCs w:val="20"/>
                <w:lang w:val="en-GB"/>
              </w:rPr>
              <w:t>Redemption bonds</w:t>
            </w:r>
          </w:p>
        </w:tc>
        <w:tc>
          <w:tcPr>
            <w:tcW w:w="2140" w:type="dxa"/>
            <w:gridSpan w:val="3"/>
            <w:tcBorders>
              <w:bottom w:val="single" w:sz="4" w:space="0" w:color="A6A6A6" w:themeColor="background1" w:themeShade="A6"/>
            </w:tcBorders>
            <w:shd w:val="clear" w:color="auto" w:fill="auto"/>
          </w:tcPr>
          <w:p w14:paraId="08FE7919" w14:textId="77777777" w:rsidR="00736775" w:rsidRPr="00A96D90" w:rsidRDefault="00736775" w:rsidP="00116682">
            <w:pPr>
              <w:jc w:val="right"/>
              <w:rPr>
                <w:rFonts w:ascii="Calibri Light" w:eastAsia="Calibri Light" w:hAnsi="Calibri Light" w:cs="Calibri Light"/>
                <w:color w:val="59595B"/>
                <w:sz w:val="20"/>
                <w:szCs w:val="20"/>
                <w:lang w:val="en-GB"/>
              </w:rPr>
            </w:pPr>
          </w:p>
        </w:tc>
        <w:tc>
          <w:tcPr>
            <w:tcW w:w="887" w:type="dxa"/>
            <w:gridSpan w:val="2"/>
            <w:tcBorders>
              <w:bottom w:val="single" w:sz="4" w:space="0" w:color="A6A6A6" w:themeColor="background1" w:themeShade="A6"/>
              <w:right w:val="single" w:sz="4" w:space="0" w:color="A6A6A6" w:themeColor="background1" w:themeShade="A6"/>
            </w:tcBorders>
            <w:shd w:val="clear" w:color="auto" w:fill="auto"/>
          </w:tcPr>
          <w:p w14:paraId="25786DC7" w14:textId="7277786C" w:rsidR="00736775" w:rsidRPr="00A96D90" w:rsidRDefault="00736775" w:rsidP="00116682">
            <w:pPr>
              <w:jc w:val="right"/>
              <w:rPr>
                <w:rFonts w:ascii="Calibri Light" w:eastAsia="Calibri Light" w:hAnsi="Calibri Light" w:cs="Calibri Light"/>
                <w:color w:val="59595B"/>
                <w:sz w:val="20"/>
                <w:szCs w:val="20"/>
                <w:u w:val="single"/>
                <w:lang w:val="en-GB"/>
              </w:rPr>
            </w:pPr>
            <w:r w:rsidRPr="00A96D90">
              <w:rPr>
                <w:rFonts w:ascii="Calibri Light" w:eastAsia="Calibri Light" w:hAnsi="Calibri Light" w:cs="Calibri Light"/>
                <w:color w:val="59595B"/>
                <w:sz w:val="20"/>
                <w:szCs w:val="20"/>
                <w:u w:val="single"/>
                <w:lang w:val="en-GB"/>
              </w:rPr>
              <w:t>(35,896)</w:t>
            </w:r>
          </w:p>
        </w:tc>
      </w:tr>
      <w:tr w:rsidR="00D34867" w:rsidRPr="00A96D90" w14:paraId="42E107AD" w14:textId="77777777" w:rsidTr="007879AB">
        <w:trPr>
          <w:trHeight w:val="204"/>
        </w:trPr>
        <w:tc>
          <w:tcPr>
            <w:tcW w:w="6134" w:type="dxa"/>
            <w:gridSpan w:val="2"/>
            <w:tcBorders>
              <w:top w:val="single" w:sz="4" w:space="0" w:color="A6A6A6" w:themeColor="background1" w:themeShade="A6"/>
            </w:tcBorders>
          </w:tcPr>
          <w:p w14:paraId="327A2276" w14:textId="62E6778D" w:rsidR="00116682" w:rsidRPr="00A96D90" w:rsidRDefault="002646CD" w:rsidP="00116682">
            <w:pPr>
              <w:jc w:val="lef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Carrying value at 30 June 2017</w:t>
            </w:r>
            <w:r w:rsidR="00116682" w:rsidRPr="00A96D90">
              <w:rPr>
                <w:rFonts w:ascii="Calibri Light" w:eastAsia="Calibri Light" w:hAnsi="Calibri Light" w:cs="Calibri Light"/>
                <w:b/>
                <w:color w:val="59595B"/>
                <w:sz w:val="20"/>
                <w:szCs w:val="20"/>
                <w:lang w:val="en-GB"/>
              </w:rPr>
              <w:t xml:space="preserve"> </w:t>
            </w:r>
          </w:p>
        </w:tc>
        <w:tc>
          <w:tcPr>
            <w:tcW w:w="2143" w:type="dxa"/>
            <w:gridSpan w:val="3"/>
            <w:tcBorders>
              <w:top w:val="single" w:sz="4" w:space="0" w:color="A6A6A6" w:themeColor="background1" w:themeShade="A6"/>
            </w:tcBorders>
          </w:tcPr>
          <w:p w14:paraId="1288C783" w14:textId="77777777" w:rsidR="00116682" w:rsidRPr="00A96D90" w:rsidRDefault="00116682" w:rsidP="00116682">
            <w:pPr>
              <w:jc w:val="right"/>
              <w:rPr>
                <w:rFonts w:ascii="Calibri Light" w:eastAsia="Calibri Light" w:hAnsi="Calibri Light" w:cs="Calibri Light"/>
                <w:b/>
                <w:color w:val="59595B"/>
                <w:sz w:val="20"/>
                <w:szCs w:val="20"/>
                <w:lang w:val="en-GB"/>
              </w:rPr>
            </w:pPr>
          </w:p>
        </w:tc>
        <w:tc>
          <w:tcPr>
            <w:tcW w:w="871" w:type="dxa"/>
            <w:tcBorders>
              <w:top w:val="single" w:sz="4" w:space="0" w:color="A6A6A6" w:themeColor="background1" w:themeShade="A6"/>
            </w:tcBorders>
          </w:tcPr>
          <w:p w14:paraId="245A9A60" w14:textId="7A658334" w:rsidR="00116682" w:rsidRPr="00A96D90" w:rsidRDefault="002646CD" w:rsidP="00116682">
            <w:pPr>
              <w:jc w:val="right"/>
              <w:rPr>
                <w:rFonts w:ascii="Calibri Light" w:eastAsia="Calibri Light" w:hAnsi="Calibri Light" w:cs="Calibri Light"/>
                <w:b/>
                <w:color w:val="59595B"/>
                <w:sz w:val="20"/>
                <w:szCs w:val="20"/>
                <w:lang w:val="en-GB"/>
              </w:rPr>
            </w:pPr>
            <w:r w:rsidRPr="00A96D90">
              <w:rPr>
                <w:rFonts w:ascii="Calibri Light" w:eastAsia="Calibri Light" w:hAnsi="Calibri Light" w:cs="Calibri Light"/>
                <w:b/>
                <w:color w:val="59595B"/>
                <w:sz w:val="20"/>
                <w:szCs w:val="20"/>
                <w:lang w:val="en-GB"/>
              </w:rPr>
              <w:t>-</w:t>
            </w:r>
          </w:p>
        </w:tc>
      </w:tr>
    </w:tbl>
    <w:p w14:paraId="5570DA98" w14:textId="77777777" w:rsidR="00B62222" w:rsidRPr="00A96D90" w:rsidRDefault="00B62222" w:rsidP="00116682">
      <w:pPr>
        <w:autoSpaceDE w:val="0"/>
        <w:autoSpaceDN w:val="0"/>
        <w:adjustRightInd w:val="0"/>
        <w:jc w:val="left"/>
        <w:rPr>
          <w:rFonts w:ascii="Calibri Light" w:eastAsia="Calibri Light" w:hAnsi="Calibri Light" w:cs="Calibri Light"/>
          <w:b/>
          <w:bCs/>
          <w:color w:val="808080"/>
          <w:szCs w:val="22"/>
          <w:lang w:val="en-GB"/>
        </w:rPr>
      </w:pPr>
    </w:p>
    <w:p w14:paraId="614B8A82" w14:textId="26F66441" w:rsidR="00116682" w:rsidRPr="00A96D90" w:rsidRDefault="00827F75" w:rsidP="00D34867">
      <w:pPr>
        <w:pStyle w:val="NoSpacing"/>
        <w:spacing w:before="120"/>
        <w:ind w:right="142"/>
        <w:jc w:val="both"/>
        <w:rPr>
          <w:rFonts w:ascii="Calibri Light" w:hAnsi="Calibri Light" w:cs="Calibri Light"/>
          <w:b/>
          <w:color w:val="59595B"/>
          <w:lang w:val="en-GB"/>
        </w:rPr>
      </w:pPr>
      <w:r w:rsidRPr="00A96D90">
        <w:rPr>
          <w:rFonts w:ascii="Calibri Light" w:hAnsi="Calibri Light" w:cs="Calibri Light"/>
          <w:b/>
          <w:color w:val="59595B"/>
          <w:lang w:val="en-GB"/>
        </w:rPr>
        <w:t xml:space="preserve">Ordinary </w:t>
      </w:r>
      <w:r w:rsidR="00116682" w:rsidRPr="00A96D90">
        <w:rPr>
          <w:rFonts w:ascii="Calibri Light" w:hAnsi="Calibri Light" w:cs="Calibri Light"/>
          <w:b/>
          <w:color w:val="59595B"/>
          <w:lang w:val="en-GB"/>
        </w:rPr>
        <w:t>Convertible Bonds</w:t>
      </w:r>
    </w:p>
    <w:p w14:paraId="7CCE72E0" w14:textId="77777777" w:rsidR="00F23751" w:rsidRPr="00A96D90" w:rsidRDefault="00116682" w:rsidP="00D34867">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Following an announcement in November 2016, the Company issued €12.5 million private ordinary convertible bonds (‘Ordinary Bonds’) carrying 8.5% annual interest In December 2016. The Ordinary Bonds are redeemable at the Company’s option at par after 3 years, if in a period of 30 consecutive trading days the volume weighted average price of the Shares is 30% above the conversion price, unless the holders elect to convert their Ordinary Bonds instead of being redeemed. </w:t>
      </w:r>
    </w:p>
    <w:p w14:paraId="2A0D7AD0" w14:textId="502D8184" w:rsidR="00116682" w:rsidRPr="00A96D90" w:rsidRDefault="00116682" w:rsidP="00D34867">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The holders may request redemption at par of any unredeemed or unconverted Bonds on maturity. The investors received a total of 8,830,982 warrants in connection with this financing. The warrants have been separated from the Bonds and recognised in equity.</w:t>
      </w:r>
    </w:p>
    <w:p w14:paraId="622D5261" w14:textId="1E4DC0A9" w:rsidR="00116682" w:rsidRPr="00A96D90" w:rsidRDefault="00116682" w:rsidP="00D34867">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In connection to the issue of the Ordinary Bonds, the Company also incurred transaction fees and expenses of €1.3 million in total of which have been allocated to the </w:t>
      </w:r>
      <w:r w:rsidR="00384931" w:rsidRPr="00A96D90">
        <w:rPr>
          <w:rFonts w:ascii="Calibri Light" w:eastAsia="Calibri" w:hAnsi="Calibri Light" w:cs="Calibri Light"/>
          <w:color w:val="59595B"/>
          <w:szCs w:val="22"/>
          <w:lang w:val="en-GB"/>
        </w:rPr>
        <w:t>Ordinary</w:t>
      </w:r>
      <w:r w:rsidR="00384931" w:rsidRPr="00A96D90" w:rsidDel="00C6467A">
        <w:rPr>
          <w:rFonts w:ascii="Calibri Light" w:eastAsia="Calibri" w:hAnsi="Calibri Light" w:cs="Calibri Light"/>
          <w:color w:val="59595B"/>
          <w:szCs w:val="22"/>
          <w:lang w:val="en-GB"/>
        </w:rPr>
        <w:t xml:space="preserve"> </w:t>
      </w:r>
      <w:r w:rsidR="00384931" w:rsidRPr="00A96D90">
        <w:rPr>
          <w:rFonts w:ascii="Calibri Light" w:eastAsia="Calibri" w:hAnsi="Calibri Light" w:cs="Calibri Light"/>
          <w:color w:val="59595B"/>
          <w:szCs w:val="22"/>
          <w:lang w:val="en-GB"/>
        </w:rPr>
        <w:t>Bonds</w:t>
      </w:r>
      <w:r w:rsidRPr="00A96D90">
        <w:rPr>
          <w:rFonts w:ascii="Calibri Light" w:eastAsia="Calibri" w:hAnsi="Calibri Light" w:cs="Calibri Light"/>
          <w:color w:val="59595B"/>
          <w:szCs w:val="22"/>
          <w:lang w:val="en-GB"/>
        </w:rPr>
        <w:t>, the derivative financial liabilities and the financial expenses based on their relative weight in the €12.5 million as received and accordingly an amount of €0.6 million was charged to the carrying value of the Ordinary Bonds, €0.6 million to financial expenses and €0.1 million to equity.</w:t>
      </w:r>
    </w:p>
    <w:p w14:paraId="41608112" w14:textId="780E5CFD" w:rsidR="00116682" w:rsidRPr="00A96D90" w:rsidRDefault="00116682" w:rsidP="00D34867">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For accounting purposes, the convertible bond portion was initially recognized at </w:t>
      </w:r>
      <w:r w:rsidR="00827F75" w:rsidRPr="00A96D90">
        <w:rPr>
          <w:rFonts w:ascii="Calibri Light" w:eastAsia="Calibri" w:hAnsi="Calibri Light" w:cs="Calibri Light"/>
          <w:color w:val="59595B"/>
          <w:szCs w:val="22"/>
          <w:lang w:val="en-GB"/>
        </w:rPr>
        <w:t>amortised cost</w:t>
      </w:r>
      <w:r w:rsidRPr="00A96D90">
        <w:rPr>
          <w:rFonts w:ascii="Calibri Light" w:eastAsia="Calibri" w:hAnsi="Calibri Light" w:cs="Calibri Light"/>
          <w:color w:val="59595B"/>
          <w:szCs w:val="22"/>
          <w:lang w:val="en-GB"/>
        </w:rPr>
        <w:t xml:space="preserve">. Payments of the bi-yearly interest takes place in cash. </w:t>
      </w:r>
    </w:p>
    <w:p w14:paraId="2E446B2E" w14:textId="77777777" w:rsidR="00116682" w:rsidRPr="00A96D90" w:rsidRDefault="00116682" w:rsidP="00116682">
      <w:pPr>
        <w:jc w:val="left"/>
        <w:rPr>
          <w:rFonts w:ascii="Calibri Light" w:eastAsia="Calibri Light" w:hAnsi="Calibri Light" w:cs="Calibri Light"/>
          <w:color w:val="808080"/>
          <w:sz w:val="20"/>
          <w:szCs w:val="20"/>
          <w:lang w:val="en-GB"/>
        </w:rPr>
      </w:pPr>
    </w:p>
    <w:p w14:paraId="11D07CCF" w14:textId="13FD0A35" w:rsidR="00116682" w:rsidRPr="00A96D90" w:rsidRDefault="00116682" w:rsidP="007879AB">
      <w:pPr>
        <w:pStyle w:val="NoSpacing"/>
        <w:spacing w:before="120"/>
        <w:ind w:right="142"/>
        <w:jc w:val="both"/>
        <w:rPr>
          <w:rFonts w:ascii="Calibri Light" w:eastAsia="Calibri Light" w:hAnsi="Calibri Light" w:cs="Calibri Light"/>
          <w:b/>
          <w:bCs/>
          <w:color w:val="59595B"/>
          <w:lang w:val="en-GB"/>
        </w:rPr>
      </w:pPr>
      <w:r w:rsidRPr="00A96D90">
        <w:rPr>
          <w:rFonts w:ascii="Calibri Light" w:hAnsi="Calibri Light" w:cs="Calibri Light"/>
          <w:b/>
          <w:color w:val="59595B"/>
          <w:lang w:val="en-GB"/>
        </w:rPr>
        <w:t>Initial recognition and movements of the convertible bonds were as follows:</w:t>
      </w:r>
    </w:p>
    <w:tbl>
      <w:tblPr>
        <w:tblW w:w="9072" w:type="dxa"/>
        <w:shd w:val="clear" w:color="auto" w:fill="FFFFFF" w:themeFill="background1"/>
        <w:tblLook w:val="04A0" w:firstRow="1" w:lastRow="0" w:firstColumn="1" w:lastColumn="0" w:noHBand="0" w:noVBand="1"/>
      </w:tblPr>
      <w:tblGrid>
        <w:gridCol w:w="6096"/>
        <w:gridCol w:w="1519"/>
        <w:gridCol w:w="1457"/>
      </w:tblGrid>
      <w:tr w:rsidR="00D53E44" w:rsidRPr="00A96D90" w14:paraId="3963F5E7" w14:textId="77777777" w:rsidTr="007879AB">
        <w:trPr>
          <w:trHeight w:val="253"/>
        </w:trPr>
        <w:tc>
          <w:tcPr>
            <w:tcW w:w="6096" w:type="dxa"/>
            <w:tcBorders>
              <w:bottom w:val="single" w:sz="2" w:space="0" w:color="BFBFBF" w:themeColor="background1" w:themeShade="BF"/>
            </w:tcBorders>
            <w:shd w:val="clear" w:color="auto" w:fill="FFFFFF" w:themeFill="background1"/>
          </w:tcPr>
          <w:p w14:paraId="10DBD4AC" w14:textId="77777777" w:rsidR="00D53E44" w:rsidRPr="00A96D90" w:rsidRDefault="00D53E44" w:rsidP="00FA55F1">
            <w:pPr>
              <w:rPr>
                <w:rFonts w:asciiTheme="minorHAnsi" w:hAnsiTheme="minorHAnsi"/>
                <w:b/>
                <w:bCs/>
                <w:color w:val="00679B"/>
                <w:sz w:val="20"/>
                <w:szCs w:val="20"/>
                <w:lang w:val="en-GB"/>
              </w:rPr>
            </w:pPr>
          </w:p>
          <w:p w14:paraId="5C7A7E09" w14:textId="77777777" w:rsidR="00D53E44" w:rsidRPr="00A96D90" w:rsidRDefault="00D53E44" w:rsidP="00FA55F1">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Amounts in € ‘000</w:t>
            </w:r>
          </w:p>
        </w:tc>
        <w:tc>
          <w:tcPr>
            <w:tcW w:w="1519" w:type="dxa"/>
            <w:tcBorders>
              <w:bottom w:val="single" w:sz="2" w:space="0" w:color="BFBFBF" w:themeColor="background1" w:themeShade="BF"/>
            </w:tcBorders>
            <w:shd w:val="clear" w:color="auto" w:fill="FFFFFF" w:themeFill="background1"/>
          </w:tcPr>
          <w:p w14:paraId="6241F7E8" w14:textId="7B924096" w:rsidR="00D53E44" w:rsidRPr="00013F40" w:rsidRDefault="00D53E44" w:rsidP="00FA55F1">
            <w:pPr>
              <w:jc w:val="right"/>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Period to 30 June 201</w:t>
            </w:r>
            <w:r w:rsidR="008621D3" w:rsidRPr="00013F40">
              <w:rPr>
                <w:rFonts w:asciiTheme="minorHAnsi" w:hAnsiTheme="minorHAnsi"/>
                <w:b/>
                <w:bCs/>
                <w:color w:val="00679B"/>
                <w:sz w:val="18"/>
                <w:szCs w:val="20"/>
                <w:lang w:val="en-GB"/>
              </w:rPr>
              <w:t>7</w:t>
            </w:r>
          </w:p>
        </w:tc>
        <w:tc>
          <w:tcPr>
            <w:tcW w:w="1457" w:type="dxa"/>
            <w:tcBorders>
              <w:bottom w:val="single" w:sz="2" w:space="0" w:color="BFBFBF" w:themeColor="background1" w:themeShade="BF"/>
            </w:tcBorders>
            <w:shd w:val="clear" w:color="auto" w:fill="FFFFFF" w:themeFill="background1"/>
          </w:tcPr>
          <w:p w14:paraId="3408319C" w14:textId="63501A02" w:rsidR="00D53E44" w:rsidRPr="00013F40" w:rsidRDefault="00D34867" w:rsidP="00D34867">
            <w:pPr>
              <w:jc w:val="right"/>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Year to 31 December</w:t>
            </w:r>
            <w:r w:rsidR="00D53E44" w:rsidRPr="00013F40">
              <w:rPr>
                <w:rFonts w:asciiTheme="minorHAnsi" w:hAnsiTheme="minorHAnsi"/>
                <w:b/>
                <w:bCs/>
                <w:color w:val="00679B"/>
                <w:sz w:val="18"/>
                <w:szCs w:val="20"/>
                <w:lang w:val="en-GB"/>
              </w:rPr>
              <w:t>2016</w:t>
            </w:r>
          </w:p>
        </w:tc>
      </w:tr>
      <w:tr w:rsidR="00D53E44" w:rsidRPr="00A96D90" w14:paraId="1E3E71EF" w14:textId="77777777" w:rsidTr="007879AB">
        <w:trPr>
          <w:trHeight w:val="253"/>
        </w:trPr>
        <w:tc>
          <w:tcPr>
            <w:tcW w:w="60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ADD7CA7" w14:textId="77777777" w:rsidR="00D53E44" w:rsidRPr="00A96D90" w:rsidRDefault="00D53E44" w:rsidP="00FA55F1">
            <w:pPr>
              <w:ind w:right="144"/>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Balance at 1 January</w:t>
            </w:r>
          </w:p>
        </w:tc>
        <w:tc>
          <w:tcPr>
            <w:tcW w:w="15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E03F56D" w14:textId="0DD5704B"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5,333</w:t>
            </w:r>
          </w:p>
        </w:tc>
        <w:tc>
          <w:tcPr>
            <w:tcW w:w="14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EB1982" w14:textId="3461173D"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r>
      <w:tr w:rsidR="00D53E44" w:rsidRPr="00A96D90" w14:paraId="088E1353" w14:textId="77777777" w:rsidTr="007879AB">
        <w:trPr>
          <w:trHeight w:val="264"/>
        </w:trPr>
        <w:tc>
          <w:tcPr>
            <w:tcW w:w="6096" w:type="dxa"/>
            <w:tcBorders>
              <w:top w:val="single" w:sz="2" w:space="0" w:color="BFBFBF" w:themeColor="background1" w:themeShade="BF"/>
              <w:right w:val="single" w:sz="2" w:space="0" w:color="BFBFBF" w:themeColor="background1" w:themeShade="BF"/>
            </w:tcBorders>
            <w:shd w:val="clear" w:color="auto" w:fill="auto"/>
          </w:tcPr>
          <w:p w14:paraId="5CA5B244" w14:textId="16F673B1" w:rsidR="00D53E44" w:rsidRPr="00A96D90" w:rsidRDefault="00D53E44" w:rsidP="00FA55F1">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 xml:space="preserve">Initial recognition </w:t>
            </w:r>
          </w:p>
        </w:tc>
        <w:tc>
          <w:tcPr>
            <w:tcW w:w="1519"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5BB4CFBD" w14:textId="77777777"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c>
          <w:tcPr>
            <w:tcW w:w="1457" w:type="dxa"/>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42927B39" w14:textId="59027C50"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5,230</w:t>
            </w:r>
          </w:p>
        </w:tc>
      </w:tr>
      <w:tr w:rsidR="00D53E44" w:rsidRPr="00A96D90" w14:paraId="09CD11F7" w14:textId="77777777" w:rsidTr="007879AB">
        <w:trPr>
          <w:trHeight w:val="264"/>
        </w:trPr>
        <w:tc>
          <w:tcPr>
            <w:tcW w:w="6096" w:type="dxa"/>
            <w:tcBorders>
              <w:right w:val="single" w:sz="2" w:space="0" w:color="BFBFBF" w:themeColor="background1" w:themeShade="BF"/>
            </w:tcBorders>
            <w:shd w:val="clear" w:color="auto" w:fill="auto"/>
          </w:tcPr>
          <w:p w14:paraId="4D8813EB" w14:textId="5D5B3ECC" w:rsidR="00D53E44" w:rsidRPr="00A96D90" w:rsidRDefault="00F23751" w:rsidP="00FA55F1">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Amortised costs</w:t>
            </w:r>
          </w:p>
        </w:tc>
        <w:tc>
          <w:tcPr>
            <w:tcW w:w="1519"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7871041F" w14:textId="6A42BF64" w:rsidR="00D53E44" w:rsidRPr="00A96D90" w:rsidRDefault="00F23751"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847</w:t>
            </w:r>
          </w:p>
        </w:tc>
        <w:tc>
          <w:tcPr>
            <w:tcW w:w="1457" w:type="dxa"/>
            <w:tcBorders>
              <w:left w:val="single" w:sz="2" w:space="0" w:color="BFBFBF" w:themeColor="background1" w:themeShade="BF"/>
              <w:right w:val="single" w:sz="2" w:space="0" w:color="BFBFBF" w:themeColor="background1" w:themeShade="BF"/>
            </w:tcBorders>
          </w:tcPr>
          <w:p w14:paraId="22B80CBA" w14:textId="693BEC4B"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103</w:t>
            </w:r>
          </w:p>
        </w:tc>
      </w:tr>
      <w:tr w:rsidR="00F23751" w:rsidRPr="00A96D90" w14:paraId="61D264DA" w14:textId="77777777" w:rsidTr="007879AB">
        <w:trPr>
          <w:trHeight w:val="264"/>
        </w:trPr>
        <w:tc>
          <w:tcPr>
            <w:tcW w:w="6096" w:type="dxa"/>
            <w:tcBorders>
              <w:right w:val="single" w:sz="2" w:space="0" w:color="BFBFBF" w:themeColor="background1" w:themeShade="BF"/>
            </w:tcBorders>
            <w:shd w:val="clear" w:color="auto" w:fill="auto"/>
          </w:tcPr>
          <w:p w14:paraId="4B9FCF8A" w14:textId="18CFCC16" w:rsidR="00F23751" w:rsidRPr="00A96D90" w:rsidRDefault="00F23751" w:rsidP="00FA55F1">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Interest paid</w:t>
            </w:r>
          </w:p>
        </w:tc>
        <w:tc>
          <w:tcPr>
            <w:tcW w:w="1519"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4CE9CA68" w14:textId="180767FC" w:rsidR="00F23751" w:rsidRPr="00A96D90" w:rsidRDefault="00F23751"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(500)</w:t>
            </w:r>
          </w:p>
        </w:tc>
        <w:tc>
          <w:tcPr>
            <w:tcW w:w="1457" w:type="dxa"/>
            <w:tcBorders>
              <w:left w:val="single" w:sz="2" w:space="0" w:color="BFBFBF" w:themeColor="background1" w:themeShade="BF"/>
              <w:right w:val="single" w:sz="2" w:space="0" w:color="BFBFBF" w:themeColor="background1" w:themeShade="BF"/>
            </w:tcBorders>
          </w:tcPr>
          <w:p w14:paraId="4006D97D" w14:textId="38EAA4C8" w:rsidR="00F23751" w:rsidRPr="00A96D90" w:rsidRDefault="00F23751"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r>
      <w:tr w:rsidR="00D53E44" w:rsidRPr="00A96D90" w14:paraId="2D195573" w14:textId="77777777" w:rsidTr="007879AB">
        <w:trPr>
          <w:trHeight w:val="264"/>
        </w:trPr>
        <w:tc>
          <w:tcPr>
            <w:tcW w:w="6096" w:type="dxa"/>
            <w:tcBorders>
              <w:right w:val="single" w:sz="2" w:space="0" w:color="BFBFBF" w:themeColor="background1" w:themeShade="BF"/>
            </w:tcBorders>
            <w:shd w:val="clear" w:color="auto" w:fill="auto"/>
          </w:tcPr>
          <w:p w14:paraId="1B36F4C5" w14:textId="2CB541C2" w:rsidR="00D53E44" w:rsidRPr="00A96D90" w:rsidRDefault="00D53E44" w:rsidP="00FA55F1">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Redemption</w:t>
            </w:r>
          </w:p>
        </w:tc>
        <w:tc>
          <w:tcPr>
            <w:tcW w:w="1519"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2658DA59" w14:textId="50A93C77"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(770)</w:t>
            </w:r>
          </w:p>
        </w:tc>
        <w:tc>
          <w:tcPr>
            <w:tcW w:w="1457" w:type="dxa"/>
            <w:tcBorders>
              <w:left w:val="single" w:sz="2" w:space="0" w:color="BFBFBF" w:themeColor="background1" w:themeShade="BF"/>
              <w:right w:val="single" w:sz="2" w:space="0" w:color="BFBFBF" w:themeColor="background1" w:themeShade="BF"/>
            </w:tcBorders>
          </w:tcPr>
          <w:p w14:paraId="39BD4553" w14:textId="67EC2269"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r>
      <w:tr w:rsidR="00D53E44" w:rsidRPr="00A96D90" w14:paraId="19C4E012" w14:textId="77777777" w:rsidTr="007879AB">
        <w:trPr>
          <w:trHeight w:val="264"/>
        </w:trPr>
        <w:tc>
          <w:tcPr>
            <w:tcW w:w="60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5C222E5" w14:textId="77777777" w:rsidR="00D53E44" w:rsidRPr="00A96D90" w:rsidRDefault="00D53E44" w:rsidP="00FA55F1">
            <w:pPr>
              <w:ind w:right="144"/>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Balance at end of period</w:t>
            </w:r>
          </w:p>
        </w:tc>
        <w:tc>
          <w:tcPr>
            <w:tcW w:w="15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3C17346" w14:textId="7318DA37" w:rsidR="00D53E44" w:rsidRPr="00A96D90" w:rsidRDefault="00F23751" w:rsidP="00FA55F1">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4,910</w:t>
            </w:r>
          </w:p>
        </w:tc>
        <w:tc>
          <w:tcPr>
            <w:tcW w:w="14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F70143A" w14:textId="04A86C68" w:rsidR="00D53E44" w:rsidRPr="00A96D90" w:rsidRDefault="00D53E44" w:rsidP="00FA55F1">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5,333</w:t>
            </w:r>
          </w:p>
        </w:tc>
      </w:tr>
      <w:tr w:rsidR="00D53E44" w:rsidRPr="00A96D90" w14:paraId="1D75A995" w14:textId="77777777" w:rsidTr="007879AB">
        <w:trPr>
          <w:trHeight w:val="264"/>
        </w:trPr>
        <w:tc>
          <w:tcPr>
            <w:tcW w:w="60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627B72C" w14:textId="3FB29445" w:rsidR="00D53E44" w:rsidRPr="00A96D90" w:rsidRDefault="00D53E44" w:rsidP="00FA55F1">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Non-current portion</w:t>
            </w:r>
          </w:p>
        </w:tc>
        <w:tc>
          <w:tcPr>
            <w:tcW w:w="15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7CAAF7C2" w14:textId="0242F24E"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r w:rsidR="00F23751" w:rsidRPr="00A96D90">
              <w:rPr>
                <w:rFonts w:ascii="Calibri Light" w:eastAsiaTheme="minorEastAsia" w:hAnsi="Calibri Light" w:cs="Arial"/>
                <w:color w:val="59595B"/>
                <w:sz w:val="20"/>
                <w:szCs w:val="20"/>
                <w:lang w:val="en-GB"/>
              </w:rPr>
              <w:t>4,025</w:t>
            </w:r>
            <w:r w:rsidRPr="00A96D90">
              <w:rPr>
                <w:rFonts w:ascii="Calibri Light" w:eastAsiaTheme="minorEastAsia" w:hAnsi="Calibri Light" w:cs="Arial"/>
                <w:color w:val="59595B"/>
                <w:sz w:val="20"/>
                <w:szCs w:val="20"/>
                <w:lang w:val="en-GB"/>
              </w:rPr>
              <w:t>)</w:t>
            </w:r>
          </w:p>
        </w:tc>
        <w:tc>
          <w:tcPr>
            <w:tcW w:w="14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EFD971" w14:textId="61C3B23D" w:rsidR="00D53E44" w:rsidRPr="00A96D90" w:rsidRDefault="00D53E44" w:rsidP="00FA55F1">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(4,448)</w:t>
            </w:r>
          </w:p>
        </w:tc>
      </w:tr>
      <w:tr w:rsidR="00D53E44" w:rsidRPr="00A96D90" w14:paraId="0F987402" w14:textId="77777777" w:rsidTr="007879AB">
        <w:trPr>
          <w:trHeight w:val="264"/>
        </w:trPr>
        <w:tc>
          <w:tcPr>
            <w:tcW w:w="609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2C761E" w14:textId="01662F7C" w:rsidR="00D53E44" w:rsidRPr="00A96D90" w:rsidRDefault="00736775" w:rsidP="00FA55F1">
            <w:pPr>
              <w:ind w:right="144"/>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Current portion</w:t>
            </w:r>
          </w:p>
        </w:tc>
        <w:tc>
          <w:tcPr>
            <w:tcW w:w="151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22BC4E0B" w14:textId="34FE1F3B" w:rsidR="00D53E44" w:rsidRPr="00A96D90" w:rsidRDefault="00D53E44" w:rsidP="00FA55F1">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885</w:t>
            </w:r>
          </w:p>
        </w:tc>
        <w:tc>
          <w:tcPr>
            <w:tcW w:w="14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D0ABA43" w14:textId="5C2A129D" w:rsidR="00D53E44" w:rsidRPr="00A96D90" w:rsidRDefault="00D53E44" w:rsidP="00FA55F1">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885</w:t>
            </w:r>
          </w:p>
        </w:tc>
      </w:tr>
    </w:tbl>
    <w:p w14:paraId="5ADEAAEE" w14:textId="77777777" w:rsidR="00116682" w:rsidRPr="00A96D90" w:rsidRDefault="00116682" w:rsidP="00116682">
      <w:pPr>
        <w:spacing w:before="120" w:after="120"/>
        <w:jc w:val="left"/>
        <w:rPr>
          <w:rFonts w:ascii="Calibri Light" w:eastAsia="MS Mincho" w:hAnsi="Calibri Light"/>
          <w:color w:val="808080"/>
          <w:sz w:val="20"/>
          <w:szCs w:val="20"/>
          <w:lang w:val="en-GB"/>
        </w:rPr>
      </w:pPr>
    </w:p>
    <w:p w14:paraId="035C2621" w14:textId="77777777" w:rsidR="007879AB" w:rsidRPr="00A96D90" w:rsidRDefault="007879AB">
      <w:pPr>
        <w:jc w:val="left"/>
        <w:rPr>
          <w:rFonts w:ascii="Calibri Light" w:eastAsia="Calibri Light" w:hAnsi="Calibri Light" w:cs="Calibri Light"/>
          <w:b/>
          <w:bCs/>
          <w:color w:val="59595B"/>
          <w:szCs w:val="22"/>
          <w:lang w:val="en-GB"/>
        </w:rPr>
      </w:pPr>
      <w:r w:rsidRPr="00A96D90">
        <w:rPr>
          <w:rFonts w:ascii="Calibri Light" w:eastAsia="Calibri Light" w:hAnsi="Calibri Light" w:cs="Calibri Light"/>
          <w:b/>
          <w:bCs/>
          <w:color w:val="59595B"/>
          <w:szCs w:val="22"/>
          <w:lang w:val="en-GB"/>
        </w:rPr>
        <w:br w:type="page"/>
      </w:r>
    </w:p>
    <w:p w14:paraId="2B5047E0" w14:textId="0993BA3B" w:rsidR="00116682" w:rsidRPr="00A96D90" w:rsidRDefault="00116682" w:rsidP="00116682">
      <w:pPr>
        <w:spacing w:before="120" w:after="120"/>
        <w:jc w:val="left"/>
        <w:rPr>
          <w:rFonts w:ascii="Calibri Light" w:eastAsia="Calibri Light" w:hAnsi="Calibri Light" w:cs="Calibri Light"/>
          <w:b/>
          <w:bCs/>
          <w:color w:val="59595B"/>
          <w:szCs w:val="22"/>
          <w:lang w:val="en-GB"/>
        </w:rPr>
      </w:pPr>
      <w:r w:rsidRPr="00A96D90">
        <w:rPr>
          <w:rFonts w:ascii="Calibri Light" w:eastAsia="Calibri Light" w:hAnsi="Calibri Light" w:cs="Calibri Light"/>
          <w:b/>
          <w:bCs/>
          <w:color w:val="59595B"/>
          <w:szCs w:val="22"/>
          <w:lang w:val="en-GB"/>
        </w:rPr>
        <w:lastRenderedPageBreak/>
        <w:t>The Loans</w:t>
      </w:r>
      <w:r w:rsidR="008621D3" w:rsidRPr="00A96D90">
        <w:rPr>
          <w:rFonts w:ascii="Calibri Light" w:eastAsia="Calibri Light" w:hAnsi="Calibri Light" w:cs="Calibri Light"/>
          <w:b/>
          <w:bCs/>
          <w:color w:val="59595B"/>
          <w:szCs w:val="22"/>
          <w:lang w:val="en-GB"/>
        </w:rPr>
        <w:t xml:space="preserve"> and borrowings for 2017 and 2016</w:t>
      </w:r>
      <w:r w:rsidRPr="00A96D90">
        <w:rPr>
          <w:rFonts w:ascii="Calibri Light" w:eastAsia="Calibri Light" w:hAnsi="Calibri Light" w:cs="Calibri Light"/>
          <w:b/>
          <w:bCs/>
          <w:color w:val="59595B"/>
          <w:szCs w:val="22"/>
          <w:lang w:val="en-GB"/>
        </w:rPr>
        <w:t xml:space="preserve"> can be summarised as follows:</w:t>
      </w:r>
    </w:p>
    <w:tbl>
      <w:tblPr>
        <w:tblW w:w="8935" w:type="dxa"/>
        <w:shd w:val="clear" w:color="auto" w:fill="FFFFFF"/>
        <w:tblLook w:val="04A0" w:firstRow="1" w:lastRow="0" w:firstColumn="1" w:lastColumn="0" w:noHBand="0" w:noVBand="1"/>
      </w:tblPr>
      <w:tblGrid>
        <w:gridCol w:w="6359"/>
        <w:gridCol w:w="1325"/>
        <w:gridCol w:w="1251"/>
      </w:tblGrid>
      <w:tr w:rsidR="00116682" w:rsidRPr="00A96D90" w14:paraId="7C78594F" w14:textId="77777777" w:rsidTr="007879AB">
        <w:trPr>
          <w:trHeight w:val="252"/>
        </w:trPr>
        <w:tc>
          <w:tcPr>
            <w:tcW w:w="6359" w:type="dxa"/>
            <w:tcBorders>
              <w:bottom w:val="single" w:sz="2" w:space="0" w:color="BFBFBF"/>
            </w:tcBorders>
            <w:shd w:val="clear" w:color="auto" w:fill="FFFFFF"/>
          </w:tcPr>
          <w:p w14:paraId="41E226EE" w14:textId="77777777" w:rsidR="00116682" w:rsidRPr="00A96D90" w:rsidRDefault="00116682" w:rsidP="007879AB">
            <w:pPr>
              <w:rPr>
                <w:rFonts w:ascii="Calibri Light" w:eastAsia="Calibri Light" w:hAnsi="Calibri Light"/>
                <w:b/>
                <w:bCs/>
                <w:color w:val="59595B"/>
                <w:sz w:val="20"/>
                <w:szCs w:val="20"/>
                <w:lang w:val="en-GB"/>
              </w:rPr>
            </w:pPr>
            <w:r w:rsidRPr="00A96D90">
              <w:rPr>
                <w:rFonts w:asciiTheme="minorHAnsi" w:hAnsiTheme="minorHAnsi"/>
                <w:b/>
                <w:bCs/>
                <w:color w:val="00679B"/>
                <w:sz w:val="20"/>
                <w:szCs w:val="20"/>
                <w:lang w:val="en-GB"/>
              </w:rPr>
              <w:t>Amounts in € ‘000</w:t>
            </w:r>
          </w:p>
        </w:tc>
        <w:tc>
          <w:tcPr>
            <w:tcW w:w="1325" w:type="dxa"/>
            <w:tcBorders>
              <w:bottom w:val="single" w:sz="2" w:space="0" w:color="BFBFBF"/>
            </w:tcBorders>
            <w:shd w:val="clear" w:color="auto" w:fill="FFFFFF"/>
          </w:tcPr>
          <w:p w14:paraId="1BFC480A" w14:textId="1ADE1FC6" w:rsidR="00116682" w:rsidRPr="00A96D90" w:rsidRDefault="00013F40" w:rsidP="007879AB">
            <w:pPr>
              <w:jc w:val="right"/>
              <w:rPr>
                <w:rFonts w:asciiTheme="minorHAnsi" w:hAnsiTheme="minorHAnsi"/>
                <w:b/>
                <w:bCs/>
                <w:color w:val="00679B"/>
                <w:sz w:val="20"/>
                <w:szCs w:val="20"/>
                <w:lang w:val="en-GB"/>
              </w:rPr>
            </w:pPr>
            <w:r w:rsidRPr="00013F40">
              <w:rPr>
                <w:rFonts w:asciiTheme="minorHAnsi" w:hAnsiTheme="minorHAnsi"/>
                <w:b/>
                <w:bCs/>
                <w:color w:val="00679B"/>
                <w:sz w:val="18"/>
                <w:szCs w:val="20"/>
                <w:lang w:val="en-GB"/>
              </w:rPr>
              <w:t>30 June 2017</w:t>
            </w:r>
          </w:p>
        </w:tc>
        <w:tc>
          <w:tcPr>
            <w:tcW w:w="1251" w:type="dxa"/>
            <w:tcBorders>
              <w:bottom w:val="single" w:sz="2" w:space="0" w:color="BFBFBF"/>
            </w:tcBorders>
            <w:shd w:val="clear" w:color="auto" w:fill="FFFFFF"/>
          </w:tcPr>
          <w:p w14:paraId="3864575D" w14:textId="5A844718" w:rsidR="00116682" w:rsidRPr="00013F40" w:rsidRDefault="00013F40" w:rsidP="00013F40">
            <w:pPr>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31</w:t>
            </w:r>
            <w:r>
              <w:rPr>
                <w:rFonts w:asciiTheme="minorHAnsi" w:hAnsiTheme="minorHAnsi"/>
                <w:b/>
                <w:bCs/>
                <w:color w:val="00679B"/>
                <w:sz w:val="18"/>
                <w:szCs w:val="20"/>
                <w:lang w:val="en-GB"/>
              </w:rPr>
              <w:t xml:space="preserve"> </w:t>
            </w:r>
            <w:r w:rsidRPr="00013F40">
              <w:rPr>
                <w:rFonts w:asciiTheme="minorHAnsi" w:hAnsiTheme="minorHAnsi"/>
                <w:b/>
                <w:bCs/>
                <w:color w:val="00679B"/>
                <w:sz w:val="18"/>
                <w:szCs w:val="20"/>
                <w:lang w:val="en-GB"/>
              </w:rPr>
              <w:t>December 2016</w:t>
            </w:r>
          </w:p>
        </w:tc>
      </w:tr>
      <w:tr w:rsidR="002E687E" w:rsidRPr="00A96D90" w14:paraId="1882367F" w14:textId="77777777" w:rsidTr="007879AB">
        <w:trPr>
          <w:trHeight w:val="261"/>
        </w:trPr>
        <w:tc>
          <w:tcPr>
            <w:tcW w:w="6359" w:type="dxa"/>
            <w:tcBorders>
              <w:bottom w:val="single" w:sz="2" w:space="0" w:color="BFBFBF"/>
            </w:tcBorders>
            <w:shd w:val="clear" w:color="auto" w:fill="FFFFFF"/>
          </w:tcPr>
          <w:p w14:paraId="30071354" w14:textId="77777777" w:rsidR="002E687E" w:rsidRPr="00A96D90" w:rsidRDefault="002E687E" w:rsidP="007879AB">
            <w:pPr>
              <w:ind w:right="144"/>
              <w:jc w:val="lef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Loans from banks</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1A7D3916" w14:textId="2558EB3F" w:rsidR="002E687E" w:rsidRPr="00A96D90" w:rsidRDefault="004B30B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84,746</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5103C3FA" w14:textId="7DC6A400"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33,534</w:t>
            </w:r>
          </w:p>
        </w:tc>
      </w:tr>
      <w:tr w:rsidR="002E687E" w:rsidRPr="00A96D90" w14:paraId="429241BB" w14:textId="77777777" w:rsidTr="007879AB">
        <w:trPr>
          <w:trHeight w:val="261"/>
        </w:trPr>
        <w:tc>
          <w:tcPr>
            <w:tcW w:w="6359" w:type="dxa"/>
            <w:tcBorders>
              <w:bottom w:val="single" w:sz="2" w:space="0" w:color="BFBFBF"/>
            </w:tcBorders>
            <w:shd w:val="clear" w:color="auto" w:fill="FFFFFF"/>
          </w:tcPr>
          <w:p w14:paraId="56717675" w14:textId="77777777" w:rsidR="002E687E" w:rsidRPr="00A96D90" w:rsidRDefault="002E687E" w:rsidP="007879AB">
            <w:pPr>
              <w:ind w:right="144"/>
              <w:jc w:val="lef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Amortizing bonds</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59DA5BEA" w14:textId="517EC8D9"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2905120D" w14:textId="1EA21A31"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27,664</w:t>
            </w:r>
          </w:p>
        </w:tc>
      </w:tr>
      <w:tr w:rsidR="002E687E" w:rsidRPr="00A96D90" w14:paraId="41F9E98D" w14:textId="77777777" w:rsidTr="007879AB">
        <w:trPr>
          <w:trHeight w:val="261"/>
        </w:trPr>
        <w:tc>
          <w:tcPr>
            <w:tcW w:w="6359" w:type="dxa"/>
            <w:tcBorders>
              <w:bottom w:val="single" w:sz="2" w:space="0" w:color="BFBFBF"/>
            </w:tcBorders>
            <w:shd w:val="clear" w:color="auto" w:fill="FFFFFF"/>
          </w:tcPr>
          <w:p w14:paraId="7FF087EF" w14:textId="77777777" w:rsidR="002E687E" w:rsidRPr="00A96D90" w:rsidRDefault="002E687E" w:rsidP="007879AB">
            <w:pPr>
              <w:ind w:right="144"/>
              <w:jc w:val="lef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Convertible bonds</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499BD655" w14:textId="42FCB74A" w:rsidR="002E687E" w:rsidRPr="00A96D90" w:rsidRDefault="00887E88"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4,910</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7A7A541E" w14:textId="0E6DDC75"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5,333</w:t>
            </w:r>
          </w:p>
        </w:tc>
      </w:tr>
      <w:tr w:rsidR="002E687E" w:rsidRPr="00A96D90" w14:paraId="274A0C81" w14:textId="77777777" w:rsidTr="007879AB">
        <w:trPr>
          <w:trHeight w:val="261"/>
        </w:trPr>
        <w:tc>
          <w:tcPr>
            <w:tcW w:w="6359" w:type="dxa"/>
            <w:tcBorders>
              <w:bottom w:val="single" w:sz="2" w:space="0" w:color="BFBFBF"/>
            </w:tcBorders>
            <w:shd w:val="clear" w:color="auto" w:fill="FFFFFF"/>
          </w:tcPr>
          <w:p w14:paraId="2B819A5E" w14:textId="7D1F3053" w:rsidR="002E687E" w:rsidRPr="00A96D90" w:rsidRDefault="002E687E" w:rsidP="007879AB">
            <w:pPr>
              <w:ind w:right="144"/>
              <w:jc w:val="left"/>
              <w:rPr>
                <w:rFonts w:ascii="Calibri Light" w:eastAsia="MS Mincho" w:hAnsi="Calibri Light" w:cs="Arial"/>
                <w:b/>
                <w:color w:val="59595B"/>
                <w:sz w:val="20"/>
                <w:szCs w:val="20"/>
                <w:lang w:val="en-GB"/>
              </w:rPr>
            </w:pPr>
            <w:r w:rsidRPr="00A96D90">
              <w:rPr>
                <w:rFonts w:ascii="Calibri Light" w:eastAsia="MS Mincho" w:hAnsi="Calibri Light" w:cs="Arial"/>
                <w:b/>
                <w:color w:val="59595B"/>
                <w:sz w:val="20"/>
                <w:szCs w:val="20"/>
                <w:lang w:val="en-GB"/>
              </w:rPr>
              <w:t>Total balance end of the period</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260BE151" w14:textId="30938027" w:rsidR="002E687E" w:rsidRPr="00A96D90" w:rsidRDefault="004B30BE" w:rsidP="007879AB">
            <w:pPr>
              <w:jc w:val="right"/>
              <w:rPr>
                <w:rFonts w:ascii="Calibri Light" w:eastAsia="MS Mincho" w:hAnsi="Calibri Light" w:cs="Arial"/>
                <w:b/>
                <w:color w:val="59595B"/>
                <w:sz w:val="20"/>
                <w:szCs w:val="20"/>
                <w:lang w:val="en-GB"/>
              </w:rPr>
            </w:pPr>
            <w:r w:rsidRPr="00A96D90">
              <w:rPr>
                <w:rFonts w:ascii="Calibri Light" w:eastAsia="MS Mincho" w:hAnsi="Calibri Light" w:cs="Arial"/>
                <w:b/>
                <w:color w:val="59595B"/>
                <w:sz w:val="20"/>
                <w:szCs w:val="20"/>
                <w:lang w:val="en-GB"/>
              </w:rPr>
              <w:t>89,656</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30CF99BF" w14:textId="04198B52" w:rsidR="002E687E" w:rsidRPr="00A96D90" w:rsidRDefault="002E687E" w:rsidP="007879AB">
            <w:pPr>
              <w:jc w:val="right"/>
              <w:rPr>
                <w:rFonts w:ascii="Calibri Light" w:eastAsia="MS Mincho" w:hAnsi="Calibri Light" w:cs="Arial"/>
                <w:b/>
                <w:color w:val="59595B"/>
                <w:sz w:val="20"/>
                <w:szCs w:val="20"/>
                <w:lang w:val="en-GB"/>
              </w:rPr>
            </w:pPr>
            <w:r w:rsidRPr="00A96D90">
              <w:rPr>
                <w:rFonts w:ascii="Calibri Light" w:eastAsia="MS Mincho" w:hAnsi="Calibri Light" w:cs="Arial"/>
                <w:b/>
                <w:color w:val="59595B"/>
                <w:sz w:val="20"/>
                <w:szCs w:val="20"/>
                <w:lang w:val="en-GB"/>
              </w:rPr>
              <w:t>66,531</w:t>
            </w:r>
          </w:p>
        </w:tc>
      </w:tr>
      <w:tr w:rsidR="002E687E" w:rsidRPr="00A96D90" w14:paraId="3B4FE890" w14:textId="77777777" w:rsidTr="007879AB">
        <w:trPr>
          <w:trHeight w:val="261"/>
        </w:trPr>
        <w:tc>
          <w:tcPr>
            <w:tcW w:w="6359" w:type="dxa"/>
            <w:tcBorders>
              <w:bottom w:val="single" w:sz="2" w:space="0" w:color="BFBFBF"/>
            </w:tcBorders>
            <w:shd w:val="clear" w:color="auto" w:fill="FFFFFF"/>
          </w:tcPr>
          <w:p w14:paraId="5ECE7BB7" w14:textId="77777777" w:rsidR="002E687E" w:rsidRPr="00A96D90" w:rsidRDefault="002E687E" w:rsidP="007879AB">
            <w:pPr>
              <w:ind w:right="144"/>
              <w:jc w:val="lef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Current portion of the long-term loans due within one year</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326D06EE" w14:textId="6226F32E" w:rsidR="002E687E" w:rsidRPr="00A96D90" w:rsidRDefault="00645411"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(11,028</w:t>
            </w:r>
            <w:r w:rsidR="00887E88" w:rsidRPr="00A96D90">
              <w:rPr>
                <w:rFonts w:ascii="Calibri Light" w:eastAsia="MS Mincho" w:hAnsi="Calibri Light" w:cs="Arial"/>
                <w:color w:val="59595B"/>
                <w:sz w:val="20"/>
                <w:szCs w:val="20"/>
                <w:lang w:val="en-GB"/>
              </w:rPr>
              <w:t>)</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1BAF9E12" w14:textId="6E77D020"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(26,136)</w:t>
            </w:r>
          </w:p>
        </w:tc>
      </w:tr>
      <w:tr w:rsidR="002E687E" w:rsidRPr="00A96D90" w14:paraId="6770018C" w14:textId="77777777" w:rsidTr="007879AB">
        <w:trPr>
          <w:trHeight w:val="261"/>
        </w:trPr>
        <w:tc>
          <w:tcPr>
            <w:tcW w:w="6359" w:type="dxa"/>
            <w:tcBorders>
              <w:bottom w:val="single" w:sz="2" w:space="0" w:color="BFBFBF"/>
            </w:tcBorders>
            <w:shd w:val="clear" w:color="auto" w:fill="FFFFFF"/>
          </w:tcPr>
          <w:p w14:paraId="0399B5DB" w14:textId="77777777" w:rsidR="002E687E" w:rsidRPr="00A96D90" w:rsidRDefault="002E687E" w:rsidP="007879AB">
            <w:pPr>
              <w:ind w:right="144"/>
              <w:jc w:val="lef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Non-current portion of long-term loans</w:t>
            </w:r>
          </w:p>
        </w:tc>
        <w:tc>
          <w:tcPr>
            <w:tcW w:w="1325" w:type="dxa"/>
            <w:tcBorders>
              <w:top w:val="single" w:sz="2" w:space="0" w:color="BFBFBF"/>
              <w:left w:val="single" w:sz="2" w:space="0" w:color="BFBFBF"/>
              <w:bottom w:val="single" w:sz="2" w:space="0" w:color="BFBFBF"/>
              <w:right w:val="single" w:sz="2" w:space="0" w:color="BFBFBF"/>
            </w:tcBorders>
            <w:shd w:val="clear" w:color="auto" w:fill="F2F2F2" w:themeFill="background1" w:themeFillShade="F2"/>
          </w:tcPr>
          <w:p w14:paraId="3AE2485C" w14:textId="1AB1C9F4" w:rsidR="002E687E" w:rsidRPr="00A96D90" w:rsidRDefault="00887E88"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78,</w:t>
            </w:r>
            <w:r w:rsidR="00645411" w:rsidRPr="00A96D90">
              <w:rPr>
                <w:rFonts w:ascii="Calibri Light" w:eastAsia="MS Mincho" w:hAnsi="Calibri Light" w:cs="Arial"/>
                <w:color w:val="59595B"/>
                <w:sz w:val="20"/>
                <w:szCs w:val="20"/>
                <w:lang w:val="en-GB"/>
              </w:rPr>
              <w:t>628</w:t>
            </w:r>
          </w:p>
        </w:tc>
        <w:tc>
          <w:tcPr>
            <w:tcW w:w="1251" w:type="dxa"/>
            <w:tcBorders>
              <w:top w:val="single" w:sz="2" w:space="0" w:color="BFBFBF"/>
              <w:left w:val="single" w:sz="2" w:space="0" w:color="BFBFBF"/>
              <w:bottom w:val="single" w:sz="2" w:space="0" w:color="BFBFBF"/>
              <w:right w:val="single" w:sz="2" w:space="0" w:color="BFBFBF"/>
            </w:tcBorders>
            <w:shd w:val="clear" w:color="auto" w:fill="FFFFFF"/>
          </w:tcPr>
          <w:p w14:paraId="15FEB4EF" w14:textId="758D0401" w:rsidR="002E687E" w:rsidRPr="00A96D90" w:rsidRDefault="002E687E" w:rsidP="007879AB">
            <w:pPr>
              <w:jc w:val="right"/>
              <w:rPr>
                <w:rFonts w:ascii="Calibri Light" w:eastAsia="MS Mincho" w:hAnsi="Calibri Light" w:cs="Arial"/>
                <w:color w:val="59595B"/>
                <w:sz w:val="20"/>
                <w:szCs w:val="20"/>
                <w:lang w:val="en-GB"/>
              </w:rPr>
            </w:pPr>
            <w:r w:rsidRPr="00A96D90">
              <w:rPr>
                <w:rFonts w:ascii="Calibri Light" w:eastAsia="MS Mincho" w:hAnsi="Calibri Light" w:cs="Arial"/>
                <w:color w:val="59595B"/>
                <w:sz w:val="20"/>
                <w:szCs w:val="20"/>
                <w:lang w:val="en-GB"/>
              </w:rPr>
              <w:t>40,395</w:t>
            </w:r>
          </w:p>
        </w:tc>
      </w:tr>
    </w:tbl>
    <w:p w14:paraId="6B7FFF0C" w14:textId="3777C4AE" w:rsidR="00E64F9D" w:rsidRPr="00A96D90" w:rsidRDefault="00116682" w:rsidP="007879AB">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The remaining lifetimes of the loans and borrowings are no longer than 5 years.</w:t>
      </w:r>
    </w:p>
    <w:p w14:paraId="28685B7C" w14:textId="77777777" w:rsidR="00E64F9D" w:rsidRPr="00A96D90" w:rsidRDefault="00E64F9D" w:rsidP="007879AB">
      <w:pPr>
        <w:pStyle w:val="ListParagraph"/>
        <w:numPr>
          <w:ilvl w:val="0"/>
          <w:numId w:val="3"/>
        </w:numPr>
        <w:autoSpaceDE w:val="0"/>
        <w:autoSpaceDN w:val="0"/>
        <w:adjustRightInd w:val="0"/>
        <w:spacing w:before="24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Derivative financial liabilities</w:t>
      </w:r>
    </w:p>
    <w:p w14:paraId="02DCA224" w14:textId="77777777" w:rsidR="002E687E" w:rsidRPr="00A96D90" w:rsidRDefault="002E687E" w:rsidP="007879AB">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Derivative financial liabilities include conversion options embedded in borrowings and warrants issued in relation to the issue of equity and the loans in 2013 and 2015. </w:t>
      </w:r>
    </w:p>
    <w:p w14:paraId="31E65245" w14:textId="75662FF7" w:rsidR="002E687E" w:rsidRPr="00A96D90" w:rsidRDefault="002E687E" w:rsidP="007879AB">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In 2016, the Company issued bonds which consist of a conversion option related to the repayment in shares</w:t>
      </w:r>
      <w:r w:rsidR="00A03BA5" w:rsidRPr="00A96D90">
        <w:rPr>
          <w:rFonts w:ascii="Calibri Light" w:eastAsia="Calibri" w:hAnsi="Calibri Light" w:cs="Calibri Light"/>
          <w:color w:val="59595B"/>
          <w:szCs w:val="22"/>
          <w:lang w:val="en-GB"/>
        </w:rPr>
        <w:t>.</w:t>
      </w:r>
      <w:r w:rsidR="0040539E">
        <w:rPr>
          <w:rFonts w:ascii="Calibri Light" w:eastAsia="Calibri" w:hAnsi="Calibri Light" w:cs="Calibri Light"/>
          <w:color w:val="59595B"/>
          <w:szCs w:val="22"/>
          <w:lang w:val="en-GB"/>
        </w:rPr>
        <w:t xml:space="preserve"> </w:t>
      </w:r>
      <w:r w:rsidR="00A03BA5" w:rsidRPr="00A96D90">
        <w:rPr>
          <w:rFonts w:ascii="Calibri Light" w:eastAsia="Calibri" w:hAnsi="Calibri Light" w:cs="Calibri Light"/>
          <w:color w:val="59595B"/>
          <w:szCs w:val="22"/>
          <w:lang w:val="en-GB"/>
        </w:rPr>
        <w:t xml:space="preserve">For more information, </w:t>
      </w:r>
      <w:r w:rsidRPr="00A96D90">
        <w:rPr>
          <w:rFonts w:ascii="Calibri Light" w:eastAsia="Calibri" w:hAnsi="Calibri Light" w:cs="Calibri Light"/>
          <w:color w:val="59595B"/>
          <w:szCs w:val="22"/>
          <w:lang w:val="en-GB"/>
        </w:rPr>
        <w:t xml:space="preserve">please refer to note </w:t>
      </w:r>
      <w:r w:rsidR="00531FEB" w:rsidRPr="00A96D90">
        <w:rPr>
          <w:rFonts w:ascii="Calibri Light" w:eastAsia="Calibri" w:hAnsi="Calibri Light" w:cs="Calibri Light"/>
          <w:color w:val="59595B"/>
          <w:szCs w:val="22"/>
          <w:lang w:val="en-GB"/>
        </w:rPr>
        <w:t>11</w:t>
      </w:r>
      <w:r w:rsidRPr="00A96D90">
        <w:rPr>
          <w:rFonts w:ascii="Calibri Light" w:eastAsia="Calibri" w:hAnsi="Calibri Light" w:cs="Calibri Light"/>
          <w:color w:val="59595B"/>
          <w:szCs w:val="22"/>
          <w:lang w:val="en-GB"/>
        </w:rPr>
        <w:t xml:space="preserve"> Loans and Borrowings. The conversion option is recognised as liability and separated from the bonds.</w:t>
      </w:r>
      <w:r w:rsidR="00E64F9D" w:rsidRPr="00A96D90">
        <w:rPr>
          <w:rFonts w:ascii="Calibri Light" w:eastAsia="Calibri" w:hAnsi="Calibri Light" w:cs="Calibri Light"/>
          <w:color w:val="59595B"/>
          <w:szCs w:val="22"/>
          <w:lang w:val="en-GB"/>
        </w:rPr>
        <w:t xml:space="preserve"> </w:t>
      </w:r>
    </w:p>
    <w:p w14:paraId="44ED7A1C" w14:textId="3604D261" w:rsidR="00E64F9D" w:rsidRPr="00A96D90" w:rsidRDefault="00E64F9D" w:rsidP="007879AB">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Derivative financial liabilities include the initial fair value </w:t>
      </w:r>
      <w:r w:rsidR="002E687E" w:rsidRPr="00A96D90">
        <w:rPr>
          <w:rFonts w:ascii="Calibri Light" w:eastAsia="Calibri" w:hAnsi="Calibri Light" w:cs="Calibri Light"/>
          <w:color w:val="59595B"/>
          <w:szCs w:val="22"/>
          <w:lang w:val="en-GB"/>
        </w:rPr>
        <w:t xml:space="preserve">of </w:t>
      </w:r>
      <w:r w:rsidRPr="00A96D90">
        <w:rPr>
          <w:rFonts w:ascii="Calibri Light" w:eastAsia="Calibri" w:hAnsi="Calibri Light" w:cs="Calibri Light"/>
          <w:color w:val="59595B"/>
          <w:szCs w:val="22"/>
          <w:lang w:val="en-GB"/>
        </w:rPr>
        <w:t xml:space="preserve">warrants as well as changes in the fair value of the warrants resulting from adjustments of their exercise prices. </w:t>
      </w:r>
    </w:p>
    <w:p w14:paraId="6F652C92" w14:textId="77777777" w:rsidR="00E64F9D" w:rsidRPr="00A96D90" w:rsidRDefault="00E64F9D" w:rsidP="007879AB">
      <w:pPr>
        <w:spacing w:before="120" w:after="120"/>
        <w:jc w:val="left"/>
        <w:rPr>
          <w:rFonts w:ascii="Calibri Light" w:eastAsia="Calibri Light" w:hAnsi="Calibri Light" w:cs="Calibri Light"/>
          <w:b/>
          <w:bCs/>
          <w:color w:val="59595B"/>
          <w:szCs w:val="22"/>
          <w:lang w:val="en-GB"/>
        </w:rPr>
      </w:pPr>
      <w:r w:rsidRPr="00A96D90">
        <w:rPr>
          <w:rFonts w:ascii="Calibri Light" w:eastAsia="Calibri Light" w:hAnsi="Calibri Light" w:cs="Calibri Light"/>
          <w:b/>
          <w:bCs/>
          <w:color w:val="59595B"/>
          <w:szCs w:val="22"/>
          <w:lang w:val="en-GB"/>
        </w:rPr>
        <w:t>Movement of derivative financial liabilities can be summarised as follows:</w:t>
      </w:r>
    </w:p>
    <w:tbl>
      <w:tblPr>
        <w:tblW w:w="8776" w:type="dxa"/>
        <w:jc w:val="center"/>
        <w:shd w:val="clear" w:color="auto" w:fill="FFFFFF" w:themeFill="background1"/>
        <w:tblLook w:val="04A0" w:firstRow="1" w:lastRow="0" w:firstColumn="1" w:lastColumn="0" w:noHBand="0" w:noVBand="1"/>
      </w:tblPr>
      <w:tblGrid>
        <w:gridCol w:w="5521"/>
        <w:gridCol w:w="1415"/>
        <w:gridCol w:w="1840"/>
      </w:tblGrid>
      <w:tr w:rsidR="00F833F8" w:rsidRPr="00A96D90" w14:paraId="04197495" w14:textId="77777777" w:rsidTr="007879AB">
        <w:trPr>
          <w:trHeight w:val="213"/>
          <w:jc w:val="center"/>
        </w:trPr>
        <w:tc>
          <w:tcPr>
            <w:tcW w:w="5521" w:type="dxa"/>
            <w:tcBorders>
              <w:bottom w:val="single" w:sz="2" w:space="0" w:color="BFBFBF" w:themeColor="background1" w:themeShade="BF"/>
            </w:tcBorders>
            <w:shd w:val="clear" w:color="auto" w:fill="FFFFFF" w:themeFill="background1"/>
          </w:tcPr>
          <w:p w14:paraId="176BC9C3" w14:textId="77777777" w:rsidR="00E64F9D" w:rsidRPr="00A96D90" w:rsidRDefault="00E64F9D" w:rsidP="003426AC">
            <w:pPr>
              <w:rPr>
                <w:rFonts w:asciiTheme="minorHAnsi" w:hAnsiTheme="minorHAnsi"/>
                <w:b/>
                <w:bCs/>
                <w:color w:val="00679B"/>
                <w:sz w:val="20"/>
                <w:szCs w:val="20"/>
                <w:lang w:val="en-GB"/>
              </w:rPr>
            </w:pPr>
          </w:p>
          <w:p w14:paraId="1D2806E6" w14:textId="77777777" w:rsidR="00E64F9D" w:rsidRPr="00A96D90" w:rsidRDefault="00E64F9D" w:rsidP="003426AC">
            <w:pPr>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Amounts in € ‘000</w:t>
            </w:r>
          </w:p>
        </w:tc>
        <w:tc>
          <w:tcPr>
            <w:tcW w:w="1415" w:type="dxa"/>
            <w:tcBorders>
              <w:bottom w:val="single" w:sz="2" w:space="0" w:color="BFBFBF" w:themeColor="background1" w:themeShade="BF"/>
            </w:tcBorders>
            <w:shd w:val="clear" w:color="auto" w:fill="FFFFFF" w:themeFill="background1"/>
          </w:tcPr>
          <w:p w14:paraId="239D5CDB" w14:textId="175296D6" w:rsidR="00E64F9D" w:rsidRPr="00013F40" w:rsidRDefault="00D90C72" w:rsidP="003426AC">
            <w:pPr>
              <w:jc w:val="right"/>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Period</w:t>
            </w:r>
            <w:r w:rsidR="00080580" w:rsidRPr="00013F40">
              <w:rPr>
                <w:rFonts w:asciiTheme="minorHAnsi" w:hAnsiTheme="minorHAnsi"/>
                <w:b/>
                <w:bCs/>
                <w:color w:val="00679B"/>
                <w:sz w:val="18"/>
                <w:szCs w:val="20"/>
                <w:lang w:val="en-GB"/>
              </w:rPr>
              <w:t xml:space="preserve"> to </w:t>
            </w:r>
            <w:r w:rsidR="00E64F9D" w:rsidRPr="00013F40">
              <w:rPr>
                <w:rFonts w:asciiTheme="minorHAnsi" w:hAnsiTheme="minorHAnsi"/>
                <w:b/>
                <w:bCs/>
                <w:color w:val="00679B"/>
                <w:sz w:val="18"/>
                <w:szCs w:val="20"/>
                <w:lang w:val="en-GB"/>
              </w:rPr>
              <w:t>30 June 201</w:t>
            </w:r>
            <w:r w:rsidR="008621D3" w:rsidRPr="00013F40">
              <w:rPr>
                <w:rFonts w:asciiTheme="minorHAnsi" w:hAnsiTheme="minorHAnsi"/>
                <w:b/>
                <w:bCs/>
                <w:color w:val="00679B"/>
                <w:sz w:val="18"/>
                <w:szCs w:val="20"/>
                <w:lang w:val="en-GB"/>
              </w:rPr>
              <w:t>7</w:t>
            </w:r>
          </w:p>
        </w:tc>
        <w:tc>
          <w:tcPr>
            <w:tcW w:w="1840" w:type="dxa"/>
            <w:tcBorders>
              <w:bottom w:val="single" w:sz="2" w:space="0" w:color="BFBFBF" w:themeColor="background1" w:themeShade="BF"/>
            </w:tcBorders>
            <w:shd w:val="clear" w:color="auto" w:fill="FFFFFF" w:themeFill="background1"/>
          </w:tcPr>
          <w:p w14:paraId="7BDDD92A" w14:textId="15E9F586" w:rsidR="00080580" w:rsidRPr="00013F40" w:rsidRDefault="00D90C72" w:rsidP="003426AC">
            <w:pPr>
              <w:jc w:val="right"/>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Year</w:t>
            </w:r>
            <w:r w:rsidR="00080580" w:rsidRPr="00013F40">
              <w:rPr>
                <w:rFonts w:asciiTheme="minorHAnsi" w:hAnsiTheme="minorHAnsi"/>
                <w:b/>
                <w:bCs/>
                <w:color w:val="00679B"/>
                <w:sz w:val="18"/>
                <w:szCs w:val="20"/>
                <w:lang w:val="en-GB"/>
              </w:rPr>
              <w:t xml:space="preserve"> to</w:t>
            </w:r>
            <w:r w:rsidR="0040539E">
              <w:rPr>
                <w:rFonts w:asciiTheme="minorHAnsi" w:hAnsiTheme="minorHAnsi"/>
                <w:b/>
                <w:bCs/>
                <w:color w:val="00679B"/>
                <w:sz w:val="18"/>
                <w:szCs w:val="20"/>
                <w:lang w:val="en-GB"/>
              </w:rPr>
              <w:t xml:space="preserve"> </w:t>
            </w:r>
          </w:p>
          <w:p w14:paraId="66FFF2FB" w14:textId="6F9BF654" w:rsidR="00E64F9D" w:rsidRPr="00013F40" w:rsidRDefault="00E64F9D" w:rsidP="003426AC">
            <w:pPr>
              <w:jc w:val="right"/>
              <w:rPr>
                <w:rFonts w:asciiTheme="minorHAnsi" w:hAnsiTheme="minorHAnsi"/>
                <w:b/>
                <w:bCs/>
                <w:color w:val="00679B"/>
                <w:sz w:val="18"/>
                <w:szCs w:val="20"/>
                <w:lang w:val="en-GB"/>
              </w:rPr>
            </w:pPr>
            <w:r w:rsidRPr="00013F40">
              <w:rPr>
                <w:rFonts w:asciiTheme="minorHAnsi" w:hAnsiTheme="minorHAnsi"/>
                <w:b/>
                <w:bCs/>
                <w:color w:val="00679B"/>
                <w:sz w:val="18"/>
                <w:szCs w:val="20"/>
                <w:lang w:val="en-GB"/>
              </w:rPr>
              <w:t>31 December 201</w:t>
            </w:r>
            <w:r w:rsidR="005C4E64" w:rsidRPr="00013F40">
              <w:rPr>
                <w:rFonts w:asciiTheme="minorHAnsi" w:hAnsiTheme="minorHAnsi"/>
                <w:b/>
                <w:bCs/>
                <w:color w:val="00679B"/>
                <w:sz w:val="18"/>
                <w:szCs w:val="20"/>
                <w:lang w:val="en-GB"/>
              </w:rPr>
              <w:t>6</w:t>
            </w:r>
          </w:p>
        </w:tc>
      </w:tr>
      <w:tr w:rsidR="00A655A1" w:rsidRPr="00A96D90" w14:paraId="24D181E8" w14:textId="77777777" w:rsidTr="007879AB">
        <w:trPr>
          <w:trHeight w:val="213"/>
          <w:jc w:val="center"/>
        </w:trPr>
        <w:tc>
          <w:tcPr>
            <w:tcW w:w="5521"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5F9A3319" w14:textId="3EF35802" w:rsidR="00E64F9D" w:rsidRPr="00A96D90" w:rsidRDefault="00E64F9D" w:rsidP="00D90C72">
            <w:pPr>
              <w:ind w:right="144"/>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 xml:space="preserve">Balance at </w:t>
            </w:r>
            <w:r w:rsidR="00D90C72" w:rsidRPr="00A96D90">
              <w:rPr>
                <w:rFonts w:ascii="Calibri Light" w:eastAsiaTheme="minorEastAsia" w:hAnsi="Calibri Light" w:cs="Arial"/>
                <w:b/>
                <w:color w:val="59595B"/>
                <w:sz w:val="20"/>
                <w:szCs w:val="20"/>
                <w:lang w:val="en-GB"/>
              </w:rPr>
              <w:t>1 January</w:t>
            </w:r>
          </w:p>
        </w:tc>
        <w:tc>
          <w:tcPr>
            <w:tcW w:w="14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39A71E0C" w14:textId="083364CC"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9,982</w:t>
            </w:r>
          </w:p>
        </w:tc>
        <w:tc>
          <w:tcPr>
            <w:tcW w:w="18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3895A3" w14:textId="59212C9B"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953</w:t>
            </w:r>
          </w:p>
        </w:tc>
      </w:tr>
      <w:tr w:rsidR="00A655A1" w:rsidRPr="00A96D90" w14:paraId="37AA226F" w14:textId="77777777" w:rsidTr="007879AB">
        <w:trPr>
          <w:trHeight w:val="222"/>
          <w:jc w:val="center"/>
        </w:trPr>
        <w:tc>
          <w:tcPr>
            <w:tcW w:w="5521" w:type="dxa"/>
            <w:tcBorders>
              <w:top w:val="single" w:sz="2" w:space="0" w:color="BFBFBF" w:themeColor="background1" w:themeShade="BF"/>
              <w:right w:val="single" w:sz="2" w:space="0" w:color="BFBFBF" w:themeColor="background1" w:themeShade="BF"/>
            </w:tcBorders>
            <w:shd w:val="clear" w:color="auto" w:fill="auto"/>
          </w:tcPr>
          <w:p w14:paraId="14716625" w14:textId="77777777" w:rsidR="00E64F9D" w:rsidRPr="00A96D90" w:rsidRDefault="00E64F9D" w:rsidP="003426AC">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Initial recognition upon issue</w:t>
            </w:r>
          </w:p>
        </w:tc>
        <w:tc>
          <w:tcPr>
            <w:tcW w:w="1415" w:type="dxa"/>
            <w:tcBorders>
              <w:top w:val="single" w:sz="2" w:space="0" w:color="BFBFBF" w:themeColor="background1" w:themeShade="BF"/>
              <w:left w:val="single" w:sz="2" w:space="0" w:color="BFBFBF" w:themeColor="background1" w:themeShade="BF"/>
              <w:right w:val="single" w:sz="2" w:space="0" w:color="BFBFBF" w:themeColor="background1" w:themeShade="BF"/>
            </w:tcBorders>
            <w:shd w:val="clear" w:color="auto" w:fill="F2F2F2" w:themeFill="background1" w:themeFillShade="F2"/>
          </w:tcPr>
          <w:p w14:paraId="5D684A25" w14:textId="77777777" w:rsidR="00E64F9D" w:rsidRPr="00A96D90" w:rsidRDefault="00E64F9D"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c>
          <w:tcPr>
            <w:tcW w:w="1840" w:type="dxa"/>
            <w:tcBorders>
              <w:top w:val="single" w:sz="2" w:space="0" w:color="BFBFBF" w:themeColor="background1" w:themeShade="BF"/>
              <w:left w:val="single" w:sz="2" w:space="0" w:color="BFBFBF" w:themeColor="background1" w:themeShade="BF"/>
              <w:right w:val="single" w:sz="2" w:space="0" w:color="BFBFBF" w:themeColor="background1" w:themeShade="BF"/>
            </w:tcBorders>
          </w:tcPr>
          <w:p w14:paraId="04F149D5" w14:textId="77B39C86"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9,439</w:t>
            </w:r>
          </w:p>
        </w:tc>
      </w:tr>
      <w:tr w:rsidR="005C4E64" w:rsidRPr="00A96D90" w14:paraId="13587BBB" w14:textId="77777777" w:rsidTr="007879AB">
        <w:trPr>
          <w:trHeight w:val="222"/>
          <w:jc w:val="center"/>
        </w:trPr>
        <w:tc>
          <w:tcPr>
            <w:tcW w:w="5521" w:type="dxa"/>
            <w:tcBorders>
              <w:right w:val="single" w:sz="2" w:space="0" w:color="BFBFBF" w:themeColor="background1" w:themeShade="BF"/>
            </w:tcBorders>
            <w:shd w:val="clear" w:color="auto" w:fill="auto"/>
          </w:tcPr>
          <w:p w14:paraId="64568584" w14:textId="3A8ED570" w:rsidR="005C4E64" w:rsidRPr="00A96D90" w:rsidRDefault="005C4E64" w:rsidP="003426AC">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Release conversion right Amortizing Bond</w:t>
            </w:r>
          </w:p>
        </w:tc>
        <w:tc>
          <w:tcPr>
            <w:tcW w:w="141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664D0B24" w14:textId="33EEE2E1" w:rsidR="005C4E64"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(3,939)</w:t>
            </w:r>
          </w:p>
        </w:tc>
        <w:tc>
          <w:tcPr>
            <w:tcW w:w="1840" w:type="dxa"/>
            <w:tcBorders>
              <w:left w:val="single" w:sz="2" w:space="0" w:color="BFBFBF" w:themeColor="background1" w:themeShade="BF"/>
              <w:right w:val="single" w:sz="2" w:space="0" w:color="BFBFBF" w:themeColor="background1" w:themeShade="BF"/>
            </w:tcBorders>
          </w:tcPr>
          <w:p w14:paraId="34B15D63" w14:textId="77777777" w:rsidR="005C4E64" w:rsidRPr="00A96D90" w:rsidRDefault="005C4E64" w:rsidP="003426AC">
            <w:pPr>
              <w:jc w:val="right"/>
              <w:rPr>
                <w:rFonts w:ascii="Calibri Light" w:eastAsiaTheme="minorEastAsia" w:hAnsi="Calibri Light" w:cs="Arial"/>
                <w:color w:val="59595B"/>
                <w:sz w:val="20"/>
                <w:szCs w:val="20"/>
                <w:lang w:val="en-GB"/>
              </w:rPr>
            </w:pPr>
          </w:p>
        </w:tc>
      </w:tr>
      <w:tr w:rsidR="00A655A1" w:rsidRPr="00A96D90" w14:paraId="7998B58D" w14:textId="77777777" w:rsidTr="007879AB">
        <w:trPr>
          <w:trHeight w:val="222"/>
          <w:jc w:val="center"/>
        </w:trPr>
        <w:tc>
          <w:tcPr>
            <w:tcW w:w="5521" w:type="dxa"/>
            <w:tcBorders>
              <w:right w:val="single" w:sz="2" w:space="0" w:color="BFBFBF" w:themeColor="background1" w:themeShade="BF"/>
            </w:tcBorders>
            <w:shd w:val="clear" w:color="auto" w:fill="auto"/>
          </w:tcPr>
          <w:p w14:paraId="14F7BCB1" w14:textId="77777777" w:rsidR="00E64F9D" w:rsidRPr="00A96D90" w:rsidRDefault="00E64F9D" w:rsidP="003426AC">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Fair value losses (gains) derivatives</w:t>
            </w:r>
          </w:p>
        </w:tc>
        <w:tc>
          <w:tcPr>
            <w:tcW w:w="1415" w:type="dxa"/>
            <w:tcBorders>
              <w:left w:val="single" w:sz="2" w:space="0" w:color="BFBFBF" w:themeColor="background1" w:themeShade="BF"/>
              <w:right w:val="single" w:sz="2" w:space="0" w:color="BFBFBF" w:themeColor="background1" w:themeShade="BF"/>
            </w:tcBorders>
            <w:shd w:val="clear" w:color="auto" w:fill="F2F2F2" w:themeFill="background1" w:themeFillShade="F2"/>
          </w:tcPr>
          <w:p w14:paraId="7F0E86E6" w14:textId="5ACFB12A"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1,311</w:t>
            </w:r>
          </w:p>
        </w:tc>
        <w:tc>
          <w:tcPr>
            <w:tcW w:w="1840" w:type="dxa"/>
            <w:tcBorders>
              <w:left w:val="single" w:sz="2" w:space="0" w:color="BFBFBF" w:themeColor="background1" w:themeShade="BF"/>
              <w:right w:val="single" w:sz="2" w:space="0" w:color="BFBFBF" w:themeColor="background1" w:themeShade="BF"/>
            </w:tcBorders>
          </w:tcPr>
          <w:p w14:paraId="6B5A1306" w14:textId="15AB7783"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(404</w:t>
            </w:r>
            <w:r w:rsidR="00E64F9D" w:rsidRPr="00A96D90">
              <w:rPr>
                <w:rFonts w:ascii="Calibri Light" w:eastAsiaTheme="minorEastAsia" w:hAnsi="Calibri Light" w:cs="Arial"/>
                <w:color w:val="59595B"/>
                <w:sz w:val="20"/>
                <w:szCs w:val="20"/>
                <w:lang w:val="en-GB"/>
              </w:rPr>
              <w:t>)</w:t>
            </w:r>
          </w:p>
        </w:tc>
      </w:tr>
      <w:tr w:rsidR="00A655A1" w:rsidRPr="00A96D90" w14:paraId="23C07C55" w14:textId="77777777" w:rsidTr="007879AB">
        <w:trPr>
          <w:trHeight w:val="222"/>
          <w:jc w:val="center"/>
        </w:trPr>
        <w:tc>
          <w:tcPr>
            <w:tcW w:w="5521" w:type="dxa"/>
            <w:tcBorders>
              <w:bottom w:val="single" w:sz="2" w:space="0" w:color="BFBFBF" w:themeColor="background1" w:themeShade="BF"/>
              <w:right w:val="single" w:sz="2" w:space="0" w:color="BFBFBF" w:themeColor="background1" w:themeShade="BF"/>
            </w:tcBorders>
            <w:shd w:val="clear" w:color="auto" w:fill="auto"/>
          </w:tcPr>
          <w:p w14:paraId="7279E379" w14:textId="77777777" w:rsidR="00E64F9D" w:rsidRPr="00A96D90" w:rsidRDefault="00E64F9D" w:rsidP="003426AC">
            <w:pPr>
              <w:ind w:right="144"/>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Exercise of warrants</w:t>
            </w:r>
          </w:p>
        </w:tc>
        <w:tc>
          <w:tcPr>
            <w:tcW w:w="1415" w:type="dxa"/>
            <w:tcBorders>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49187F89" w14:textId="4F0D0AE9"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w:t>
            </w:r>
          </w:p>
        </w:tc>
        <w:tc>
          <w:tcPr>
            <w:tcW w:w="1840" w:type="dxa"/>
            <w:tcBorders>
              <w:left w:val="single" w:sz="2" w:space="0" w:color="BFBFBF" w:themeColor="background1" w:themeShade="BF"/>
              <w:bottom w:val="single" w:sz="2" w:space="0" w:color="BFBFBF" w:themeColor="background1" w:themeShade="BF"/>
              <w:right w:val="single" w:sz="2" w:space="0" w:color="BFBFBF" w:themeColor="background1" w:themeShade="BF"/>
            </w:tcBorders>
          </w:tcPr>
          <w:p w14:paraId="4BE177DF" w14:textId="3D692747" w:rsidR="00E64F9D" w:rsidRPr="00A96D90" w:rsidRDefault="005C4E64" w:rsidP="003426AC">
            <w:pPr>
              <w:jc w:val="right"/>
              <w:rPr>
                <w:rFonts w:ascii="Calibri Light" w:eastAsiaTheme="minorEastAsia" w:hAnsi="Calibri Light" w:cs="Arial"/>
                <w:color w:val="59595B"/>
                <w:sz w:val="20"/>
                <w:szCs w:val="20"/>
                <w:lang w:val="en-GB"/>
              </w:rPr>
            </w:pPr>
            <w:r w:rsidRPr="00A96D90">
              <w:rPr>
                <w:rFonts w:ascii="Calibri Light" w:eastAsiaTheme="minorEastAsia" w:hAnsi="Calibri Light" w:cs="Arial"/>
                <w:color w:val="59595B"/>
                <w:sz w:val="20"/>
                <w:szCs w:val="20"/>
                <w:lang w:val="en-GB"/>
              </w:rPr>
              <w:t>(6</w:t>
            </w:r>
            <w:r w:rsidR="00E64F9D" w:rsidRPr="00A96D90">
              <w:rPr>
                <w:rFonts w:ascii="Calibri Light" w:eastAsiaTheme="minorEastAsia" w:hAnsi="Calibri Light" w:cs="Arial"/>
                <w:color w:val="59595B"/>
                <w:sz w:val="20"/>
                <w:szCs w:val="20"/>
                <w:lang w:val="en-GB"/>
              </w:rPr>
              <w:t>)</w:t>
            </w:r>
          </w:p>
        </w:tc>
      </w:tr>
      <w:tr w:rsidR="00A655A1" w:rsidRPr="00A96D90" w14:paraId="64A5DB68" w14:textId="77777777" w:rsidTr="007879AB">
        <w:trPr>
          <w:trHeight w:val="222"/>
          <w:jc w:val="center"/>
        </w:trPr>
        <w:tc>
          <w:tcPr>
            <w:tcW w:w="5521"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A6E85F2" w14:textId="000A021A" w:rsidR="00E64F9D" w:rsidRPr="00A96D90" w:rsidRDefault="00E64F9D" w:rsidP="00080580">
            <w:pPr>
              <w:ind w:right="144"/>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 xml:space="preserve">Balance at </w:t>
            </w:r>
            <w:r w:rsidR="00080580" w:rsidRPr="00A96D90">
              <w:rPr>
                <w:rFonts w:ascii="Calibri Light" w:eastAsiaTheme="minorEastAsia" w:hAnsi="Calibri Light" w:cs="Arial"/>
                <w:b/>
                <w:color w:val="59595B"/>
                <w:sz w:val="20"/>
                <w:szCs w:val="20"/>
                <w:lang w:val="en-GB"/>
              </w:rPr>
              <w:t>end of period</w:t>
            </w:r>
          </w:p>
        </w:tc>
        <w:tc>
          <w:tcPr>
            <w:tcW w:w="14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tcPr>
          <w:p w14:paraId="6D15702D" w14:textId="5C984AD9" w:rsidR="00E64F9D" w:rsidRPr="00A96D90" w:rsidRDefault="005C4E64" w:rsidP="003426AC">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7,354</w:t>
            </w:r>
          </w:p>
        </w:tc>
        <w:tc>
          <w:tcPr>
            <w:tcW w:w="18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A7D5153" w14:textId="7183AD2D" w:rsidR="00E64F9D" w:rsidRPr="00A96D90" w:rsidRDefault="005C4E64" w:rsidP="003426AC">
            <w:pPr>
              <w:jc w:val="right"/>
              <w:rPr>
                <w:rFonts w:ascii="Calibri Light" w:eastAsiaTheme="minorEastAsia" w:hAnsi="Calibri Light" w:cs="Arial"/>
                <w:b/>
                <w:color w:val="59595B"/>
                <w:sz w:val="20"/>
                <w:szCs w:val="20"/>
                <w:lang w:val="en-GB"/>
              </w:rPr>
            </w:pPr>
            <w:r w:rsidRPr="00A96D90">
              <w:rPr>
                <w:rFonts w:ascii="Calibri Light" w:eastAsiaTheme="minorEastAsia" w:hAnsi="Calibri Light" w:cs="Arial"/>
                <w:b/>
                <w:color w:val="59595B"/>
                <w:sz w:val="20"/>
                <w:szCs w:val="20"/>
                <w:lang w:val="en-GB"/>
              </w:rPr>
              <w:t>9,982</w:t>
            </w:r>
          </w:p>
        </w:tc>
      </w:tr>
    </w:tbl>
    <w:p w14:paraId="49DF0118" w14:textId="3E1BAAA0" w:rsidR="00E64F9D" w:rsidRPr="00A96D90" w:rsidRDefault="00E64F9D" w:rsidP="007879AB">
      <w:pPr>
        <w:spacing w:before="120" w:after="120"/>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Fair value gains and losses on derivatives have been presented within financial income and expenses.</w:t>
      </w:r>
    </w:p>
    <w:p w14:paraId="466D9AE9" w14:textId="77777777" w:rsidR="007A0CBF" w:rsidRPr="00A96D90" w:rsidRDefault="007A0CBF" w:rsidP="007879AB">
      <w:pPr>
        <w:spacing w:before="120" w:after="120"/>
        <w:jc w:val="left"/>
        <w:rPr>
          <w:rFonts w:ascii="Calibri Light" w:eastAsia="Calibri" w:hAnsi="Calibri Light" w:cs="Calibri Light"/>
          <w:color w:val="59595B"/>
          <w:szCs w:val="22"/>
          <w:lang w:val="en-GB"/>
        </w:rPr>
      </w:pPr>
    </w:p>
    <w:p w14:paraId="3C57C366" w14:textId="65D89FF5" w:rsidR="00E64F9D" w:rsidRPr="00A96D90" w:rsidRDefault="00E64F9D" w:rsidP="00B7657F">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Commitments and contingencies</w:t>
      </w:r>
    </w:p>
    <w:p w14:paraId="2D1CAC9B" w14:textId="6AFF34E5" w:rsidR="00F833F8" w:rsidRPr="00A96D90" w:rsidRDefault="00D644B0" w:rsidP="002327C7">
      <w:pPr>
        <w:pStyle w:val="NoSpacing"/>
        <w:rPr>
          <w:rFonts w:ascii="Calibri Light" w:hAnsi="Calibri Light" w:cs="Calibri Light"/>
          <w:color w:val="59595B"/>
          <w:lang w:val="en-GB"/>
        </w:rPr>
      </w:pPr>
      <w:r w:rsidRPr="00A96D90">
        <w:rPr>
          <w:rFonts w:ascii="Calibri Light" w:hAnsi="Calibri Light" w:cs="Calibri Light"/>
          <w:color w:val="59595B"/>
          <w:lang w:val="en-GB"/>
        </w:rPr>
        <w:t xml:space="preserve">Beside the new loan agreement with </w:t>
      </w:r>
      <w:r w:rsidR="00384931" w:rsidRPr="00A96D90">
        <w:rPr>
          <w:rFonts w:ascii="Calibri Light" w:hAnsi="Calibri Light" w:cs="Calibri Light"/>
          <w:color w:val="59595B"/>
          <w:lang w:val="en-GB"/>
        </w:rPr>
        <w:t>Orbimed</w:t>
      </w:r>
      <w:r w:rsidR="00F23751" w:rsidRPr="00A96D90">
        <w:rPr>
          <w:rFonts w:ascii="Calibri Light" w:hAnsi="Calibri Light" w:cs="Calibri Light"/>
          <w:color w:val="59595B"/>
          <w:lang w:val="en-GB"/>
        </w:rPr>
        <w:t xml:space="preserve"> Advisors</w:t>
      </w:r>
      <w:r w:rsidRPr="00A96D90">
        <w:rPr>
          <w:rFonts w:ascii="Calibri Light" w:hAnsi="Calibri Light" w:cs="Calibri Light"/>
          <w:color w:val="59595B"/>
          <w:lang w:val="en-GB"/>
        </w:rPr>
        <w:t>, t</w:t>
      </w:r>
      <w:r w:rsidR="00E64F9D" w:rsidRPr="00A96D90">
        <w:rPr>
          <w:rFonts w:ascii="Calibri Light" w:hAnsi="Calibri Light" w:cs="Calibri Light"/>
          <w:color w:val="59595B"/>
          <w:lang w:val="en-GB"/>
        </w:rPr>
        <w:t>here were no other material changes to the commitments and contingent liabilities from those disclose</w:t>
      </w:r>
      <w:r w:rsidR="005C4E64" w:rsidRPr="00A96D90">
        <w:rPr>
          <w:rFonts w:ascii="Calibri Light" w:hAnsi="Calibri Light" w:cs="Calibri Light"/>
          <w:color w:val="59595B"/>
          <w:lang w:val="en-GB"/>
        </w:rPr>
        <w:t>d in Note 28 of the 2016</w:t>
      </w:r>
      <w:r w:rsidR="00E64F9D" w:rsidRPr="00A96D90">
        <w:rPr>
          <w:rFonts w:ascii="Calibri Light" w:hAnsi="Calibri Light" w:cs="Calibri Light"/>
          <w:color w:val="59595B"/>
          <w:lang w:val="en-GB"/>
        </w:rPr>
        <w:t xml:space="preserve"> Annual Report.</w:t>
      </w:r>
    </w:p>
    <w:p w14:paraId="3FB06AE9" w14:textId="2571716C" w:rsidR="007A0CBF" w:rsidRPr="00A96D90" w:rsidRDefault="007A0CBF">
      <w:pPr>
        <w:jc w:val="left"/>
        <w:rPr>
          <w:rFonts w:ascii="Calibri Light" w:eastAsia="Calibri" w:hAnsi="Calibri Light" w:cs="Calibri Light"/>
          <w:color w:val="59595B"/>
          <w:szCs w:val="22"/>
          <w:lang w:val="en-GB"/>
        </w:rPr>
      </w:pPr>
      <w:r w:rsidRPr="00A96D90">
        <w:rPr>
          <w:rFonts w:ascii="Calibri Light" w:hAnsi="Calibri Light" w:cs="Calibri Light"/>
          <w:color w:val="59595B"/>
          <w:lang w:val="en-GB"/>
        </w:rPr>
        <w:br w:type="page"/>
      </w:r>
    </w:p>
    <w:p w14:paraId="2D536BEA" w14:textId="3155369B" w:rsidR="00E64F9D" w:rsidRPr="00A96D90" w:rsidRDefault="00E64F9D" w:rsidP="00B7657F">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lastRenderedPageBreak/>
        <w:t>Fully-diluted shares</w:t>
      </w:r>
    </w:p>
    <w:p w14:paraId="28178A26" w14:textId="2C8D3E2C" w:rsidR="00E64F9D" w:rsidRPr="00A96D90" w:rsidRDefault="00E64F9D" w:rsidP="00F833F8">
      <w:pPr>
        <w:pStyle w:val="NoSpacing"/>
        <w:spacing w:after="120"/>
        <w:rPr>
          <w:rFonts w:ascii="Calibri Light" w:hAnsi="Calibri Light" w:cs="Calibri Light"/>
          <w:color w:val="59595B"/>
          <w:lang w:val="en-GB"/>
        </w:rPr>
      </w:pPr>
      <w:r w:rsidRPr="00A96D90">
        <w:rPr>
          <w:rFonts w:ascii="Calibri Light" w:hAnsi="Calibri Light" w:cs="Calibri Light"/>
          <w:color w:val="59595B"/>
          <w:lang w:val="en-GB"/>
        </w:rPr>
        <w:t>The total number of outstanding shares at 30 June 201</w:t>
      </w:r>
      <w:r w:rsidR="00116682" w:rsidRPr="00A96D90">
        <w:rPr>
          <w:rFonts w:ascii="Calibri Light" w:hAnsi="Calibri Light" w:cs="Calibri Light"/>
          <w:color w:val="59595B"/>
          <w:lang w:val="en-GB"/>
        </w:rPr>
        <w:t>7</w:t>
      </w:r>
      <w:r w:rsidRPr="00A96D90">
        <w:rPr>
          <w:rFonts w:ascii="Calibri Light" w:hAnsi="Calibri Light" w:cs="Calibri Light"/>
          <w:color w:val="59595B"/>
          <w:lang w:val="en-GB"/>
        </w:rPr>
        <w:t xml:space="preserve"> </w:t>
      </w:r>
      <w:r w:rsidR="00B62222" w:rsidRPr="00A96D90">
        <w:rPr>
          <w:rFonts w:ascii="Calibri Light" w:hAnsi="Calibri Light" w:cs="Calibri Light"/>
          <w:color w:val="59595B"/>
          <w:lang w:val="en-GB"/>
        </w:rPr>
        <w:t xml:space="preserve">was </w:t>
      </w:r>
      <w:r w:rsidRPr="00A96D90">
        <w:rPr>
          <w:rFonts w:ascii="Calibri Light" w:hAnsi="Calibri Light" w:cs="Calibri Light"/>
          <w:color w:val="59595B"/>
          <w:lang w:val="en-GB"/>
        </w:rPr>
        <w:t>4</w:t>
      </w:r>
      <w:r w:rsidR="00116682" w:rsidRPr="00A96D90">
        <w:rPr>
          <w:rFonts w:ascii="Calibri Light" w:hAnsi="Calibri Light" w:cs="Calibri Light"/>
          <w:color w:val="59595B"/>
          <w:lang w:val="en-GB"/>
        </w:rPr>
        <w:t>83,928,545</w:t>
      </w:r>
      <w:r w:rsidRPr="00A96D90">
        <w:rPr>
          <w:rFonts w:ascii="Calibri Light" w:hAnsi="Calibri Light" w:cs="Calibri Light"/>
          <w:color w:val="59595B"/>
          <w:lang w:val="en-GB"/>
        </w:rPr>
        <w:t>.</w:t>
      </w:r>
    </w:p>
    <w:p w14:paraId="32507518" w14:textId="77777777" w:rsidR="00B62222" w:rsidRPr="00A96D90" w:rsidRDefault="00B62222" w:rsidP="00B62222">
      <w:pPr>
        <w:pStyle w:val="NoSpacing"/>
        <w:ind w:right="144"/>
        <w:jc w:val="both"/>
        <w:rPr>
          <w:rFonts w:ascii="Calibri Light" w:hAnsi="Calibri Light" w:cs="Calibri Light"/>
          <w:color w:val="59595B"/>
          <w:lang w:val="en-GB"/>
        </w:rPr>
      </w:pPr>
      <w:r w:rsidRPr="00A96D90">
        <w:rPr>
          <w:rFonts w:ascii="Calibri Light" w:hAnsi="Calibri Light" w:cs="Calibri Light"/>
          <w:color w:val="59595B"/>
          <w:lang w:val="en-GB"/>
        </w:rPr>
        <w:t xml:space="preserve">Since the reporting date, the company has issued a total of 21,692,213 shares in connection with a number of exercises of warrants. The exercises resulted in total cash receipts of €5.6 million with an additional exercise of €1.6 million worth of warrants exercised cashlessly, resulting in 3,509,929 shares saved relative to the number of shares in the exercised warrants. </w:t>
      </w:r>
    </w:p>
    <w:p w14:paraId="53A8E41F" w14:textId="77777777" w:rsidR="00B62222" w:rsidRPr="00A96D90" w:rsidRDefault="00B62222" w:rsidP="00B62222">
      <w:pPr>
        <w:pStyle w:val="NoSpacing"/>
        <w:spacing w:after="240"/>
        <w:ind w:right="144"/>
        <w:jc w:val="both"/>
        <w:rPr>
          <w:rFonts w:ascii="Calibri Light" w:hAnsi="Calibri Light" w:cs="Calibri Light"/>
          <w:color w:val="59595B"/>
          <w:lang w:val="en-GB"/>
        </w:rPr>
      </w:pPr>
      <w:r w:rsidRPr="00A96D90">
        <w:rPr>
          <w:rFonts w:ascii="Calibri Light" w:hAnsi="Calibri Light" w:cs="Calibri Light"/>
          <w:color w:val="59595B"/>
          <w:lang w:val="en-GB"/>
        </w:rPr>
        <w:t>The number of issued shares as at 26 July 2017 is 505,620,758.</w:t>
      </w:r>
    </w:p>
    <w:p w14:paraId="2A1B8901" w14:textId="77777777" w:rsidR="00E64F9D" w:rsidRPr="00A96D90" w:rsidRDefault="00E64F9D" w:rsidP="00F833F8">
      <w:pPr>
        <w:pStyle w:val="NoSpacing"/>
        <w:spacing w:after="120"/>
        <w:rPr>
          <w:rFonts w:ascii="Calibri Light" w:hAnsi="Calibri Light" w:cs="Calibri Light"/>
          <w:color w:val="59595B"/>
          <w:lang w:val="en-GB"/>
        </w:rPr>
      </w:pPr>
      <w:r w:rsidRPr="00A96D90">
        <w:rPr>
          <w:rFonts w:ascii="Calibri Light" w:hAnsi="Calibri Light" w:cs="Calibri Light"/>
          <w:color w:val="59595B"/>
          <w:lang w:val="en-GB"/>
        </w:rPr>
        <w:t xml:space="preserve">The composition of the number of shares and share rights outstanding as well as authorised share capital as per the date of these financial statements is provided in the following tables. </w:t>
      </w:r>
    </w:p>
    <w:tbl>
      <w:tblPr>
        <w:tblW w:w="8995" w:type="dxa"/>
        <w:jc w:val="center"/>
        <w:tblLook w:val="04A0" w:firstRow="1" w:lastRow="0" w:firstColumn="1" w:lastColumn="0" w:noHBand="0" w:noVBand="1"/>
      </w:tblPr>
      <w:tblGrid>
        <w:gridCol w:w="7338"/>
        <w:gridCol w:w="1657"/>
      </w:tblGrid>
      <w:tr w:rsidR="00F833F8" w:rsidRPr="00A96D90" w14:paraId="3AAC177D" w14:textId="77777777" w:rsidTr="007A0CBF">
        <w:trPr>
          <w:trHeight w:val="256"/>
          <w:jc w:val="center"/>
        </w:trPr>
        <w:tc>
          <w:tcPr>
            <w:tcW w:w="7338" w:type="dxa"/>
            <w:tcBorders>
              <w:bottom w:val="single" w:sz="4" w:space="0" w:color="BFBFBF" w:themeColor="background1" w:themeShade="BF"/>
            </w:tcBorders>
            <w:shd w:val="clear" w:color="auto" w:fill="auto"/>
          </w:tcPr>
          <w:p w14:paraId="775D6FE3" w14:textId="77777777" w:rsidR="00536EA5" w:rsidRPr="00A96D90" w:rsidRDefault="00536EA5" w:rsidP="00F833F8">
            <w:pPr>
              <w:rPr>
                <w:rFonts w:asciiTheme="minorHAnsi" w:hAnsiTheme="minorHAnsi"/>
                <w:b/>
                <w:bCs/>
                <w:color w:val="00679B"/>
                <w:sz w:val="20"/>
                <w:szCs w:val="20"/>
                <w:lang w:val="en-GB"/>
              </w:rPr>
            </w:pPr>
          </w:p>
        </w:tc>
        <w:tc>
          <w:tcPr>
            <w:tcW w:w="1657" w:type="dxa"/>
            <w:tcBorders>
              <w:bottom w:val="single" w:sz="4" w:space="0" w:color="BFBFBF" w:themeColor="background1" w:themeShade="BF"/>
            </w:tcBorders>
            <w:shd w:val="clear" w:color="auto" w:fill="auto"/>
          </w:tcPr>
          <w:p w14:paraId="4BF96BDF" w14:textId="4D1EF737" w:rsidR="00536EA5" w:rsidRPr="00A96D90" w:rsidRDefault="00116682" w:rsidP="00F833F8">
            <w:pPr>
              <w:jc w:val="right"/>
              <w:rPr>
                <w:rFonts w:asciiTheme="minorHAnsi" w:hAnsiTheme="minorHAnsi"/>
                <w:b/>
                <w:bCs/>
                <w:color w:val="00679B"/>
                <w:sz w:val="20"/>
                <w:szCs w:val="20"/>
                <w:lang w:val="en-GB"/>
              </w:rPr>
            </w:pPr>
            <w:r w:rsidRPr="00A96D90">
              <w:rPr>
                <w:rFonts w:asciiTheme="minorHAnsi" w:hAnsiTheme="minorHAnsi"/>
                <w:b/>
                <w:bCs/>
                <w:color w:val="00679B"/>
                <w:sz w:val="20"/>
                <w:szCs w:val="20"/>
                <w:lang w:val="en-GB"/>
              </w:rPr>
              <w:t>27</w:t>
            </w:r>
            <w:r w:rsidR="00536EA5" w:rsidRPr="00A96D90">
              <w:rPr>
                <w:rFonts w:asciiTheme="minorHAnsi" w:hAnsiTheme="minorHAnsi"/>
                <w:b/>
                <w:bCs/>
                <w:color w:val="00679B"/>
                <w:sz w:val="20"/>
                <w:szCs w:val="20"/>
                <w:lang w:val="en-GB"/>
              </w:rPr>
              <w:t xml:space="preserve"> July 201</w:t>
            </w:r>
            <w:r w:rsidRPr="00A96D90">
              <w:rPr>
                <w:rFonts w:asciiTheme="minorHAnsi" w:hAnsiTheme="minorHAnsi"/>
                <w:b/>
                <w:bCs/>
                <w:color w:val="00679B"/>
                <w:sz w:val="20"/>
                <w:szCs w:val="20"/>
                <w:lang w:val="en-GB"/>
              </w:rPr>
              <w:t>7</w:t>
            </w:r>
          </w:p>
        </w:tc>
      </w:tr>
      <w:tr w:rsidR="00F833F8" w:rsidRPr="00A96D90" w14:paraId="69D0D693" w14:textId="77777777" w:rsidTr="007A0CBF">
        <w:trPr>
          <w:trHeight w:val="268"/>
          <w:jc w:val="center"/>
        </w:trPr>
        <w:tc>
          <w:tcPr>
            <w:tcW w:w="733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251402E"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Shares</w:t>
            </w:r>
          </w:p>
        </w:tc>
        <w:tc>
          <w:tcPr>
            <w:tcW w:w="165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389C936F" w14:textId="205013D6" w:rsidR="00536EA5" w:rsidRPr="00A96D90" w:rsidRDefault="00131CCB" w:rsidP="003426AC">
            <w:pPr>
              <w:autoSpaceDE w:val="0"/>
              <w:autoSpaceDN w:val="0"/>
              <w:adjustRightInd w:val="0"/>
              <w:jc w:val="right"/>
              <w:rPr>
                <w:rFonts w:asciiTheme="minorHAnsi" w:hAnsiTheme="minorHAnsi" w:cstheme="minorHAnsi"/>
                <w:color w:val="59595B"/>
                <w:sz w:val="20"/>
                <w:szCs w:val="20"/>
                <w:lang w:val="en-GB"/>
              </w:rPr>
            </w:pPr>
            <w:bookmarkStart w:id="3" w:name="_Hlk488408230"/>
            <w:r w:rsidRPr="00A96D90">
              <w:rPr>
                <w:rFonts w:asciiTheme="minorHAnsi" w:hAnsiTheme="minorHAnsi" w:cstheme="minorHAnsi"/>
                <w:color w:val="59595B"/>
                <w:sz w:val="20"/>
                <w:szCs w:val="20"/>
                <w:lang w:val="en-GB"/>
              </w:rPr>
              <w:t>505,620,758</w:t>
            </w:r>
            <w:bookmarkEnd w:id="3"/>
          </w:p>
        </w:tc>
      </w:tr>
      <w:tr w:rsidR="00F833F8" w:rsidRPr="00A96D90" w14:paraId="70FF3D65" w14:textId="77777777" w:rsidTr="007A0CBF">
        <w:trPr>
          <w:trHeight w:val="256"/>
          <w:jc w:val="center"/>
        </w:trPr>
        <w:tc>
          <w:tcPr>
            <w:tcW w:w="7338" w:type="dxa"/>
            <w:tcBorders>
              <w:left w:val="single" w:sz="4" w:space="0" w:color="BFBFBF" w:themeColor="background1" w:themeShade="BF"/>
              <w:right w:val="single" w:sz="4" w:space="0" w:color="BFBFBF" w:themeColor="background1" w:themeShade="BF"/>
            </w:tcBorders>
          </w:tcPr>
          <w:p w14:paraId="0BC4A9A9"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Warrants</w:t>
            </w:r>
          </w:p>
        </w:tc>
        <w:tc>
          <w:tcPr>
            <w:tcW w:w="1657" w:type="dxa"/>
            <w:tcBorders>
              <w:left w:val="single" w:sz="4" w:space="0" w:color="BFBFBF" w:themeColor="background1" w:themeShade="BF"/>
            </w:tcBorders>
            <w:shd w:val="clear" w:color="auto" w:fill="F2F2F2" w:themeFill="background1" w:themeFillShade="F2"/>
          </w:tcPr>
          <w:p w14:paraId="4801329B" w14:textId="20BD7CA1" w:rsidR="00536EA5" w:rsidRPr="00A96D90" w:rsidRDefault="00131CCB" w:rsidP="003426AC">
            <w:pPr>
              <w:autoSpaceDE w:val="0"/>
              <w:autoSpaceDN w:val="0"/>
              <w:adjustRightInd w:val="0"/>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77,513,140</w:t>
            </w:r>
          </w:p>
        </w:tc>
      </w:tr>
      <w:tr w:rsidR="00F833F8" w:rsidRPr="00A96D90" w14:paraId="5A2D7869" w14:textId="77777777" w:rsidTr="007A0CBF">
        <w:trPr>
          <w:trHeight w:val="256"/>
          <w:jc w:val="center"/>
        </w:trPr>
        <w:tc>
          <w:tcPr>
            <w:tcW w:w="7338" w:type="dxa"/>
            <w:tcBorders>
              <w:left w:val="single" w:sz="4" w:space="0" w:color="BFBFBF" w:themeColor="background1" w:themeShade="BF"/>
              <w:right w:val="single" w:sz="4" w:space="0" w:color="BFBFBF" w:themeColor="background1" w:themeShade="BF"/>
            </w:tcBorders>
          </w:tcPr>
          <w:p w14:paraId="0AE34AC6"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Options</w:t>
            </w:r>
          </w:p>
        </w:tc>
        <w:tc>
          <w:tcPr>
            <w:tcW w:w="1657" w:type="dxa"/>
            <w:tcBorders>
              <w:left w:val="single" w:sz="4" w:space="0" w:color="BFBFBF" w:themeColor="background1" w:themeShade="BF"/>
            </w:tcBorders>
            <w:shd w:val="clear" w:color="auto" w:fill="F2F2F2" w:themeFill="background1" w:themeFillShade="F2"/>
          </w:tcPr>
          <w:p w14:paraId="7B21C91E" w14:textId="31C36B2B" w:rsidR="00536EA5" w:rsidRPr="00A96D90" w:rsidRDefault="00116682" w:rsidP="00080580">
            <w:pPr>
              <w:autoSpaceDE w:val="0"/>
              <w:autoSpaceDN w:val="0"/>
              <w:adjustRightInd w:val="0"/>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50,304,588</w:t>
            </w:r>
          </w:p>
        </w:tc>
      </w:tr>
      <w:tr w:rsidR="00F833F8" w:rsidRPr="00A96D90" w14:paraId="16DD3999" w14:textId="77777777" w:rsidTr="007A0CBF">
        <w:trPr>
          <w:trHeight w:val="268"/>
          <w:jc w:val="center"/>
        </w:trPr>
        <w:tc>
          <w:tcPr>
            <w:tcW w:w="733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713F5F"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LTIP</w:t>
            </w:r>
          </w:p>
        </w:tc>
        <w:tc>
          <w:tcPr>
            <w:tcW w:w="165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127E6B0B" w14:textId="05BE5B75" w:rsidR="00536EA5" w:rsidRPr="00A96D90" w:rsidRDefault="008F7829" w:rsidP="003426AC">
            <w:pPr>
              <w:autoSpaceDE w:val="0"/>
              <w:autoSpaceDN w:val="0"/>
              <w:adjustRightInd w:val="0"/>
              <w:jc w:val="right"/>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7,742,937</w:t>
            </w:r>
          </w:p>
        </w:tc>
      </w:tr>
      <w:tr w:rsidR="00F833F8" w:rsidRPr="00A96D90" w14:paraId="1E641E62" w14:textId="77777777" w:rsidTr="007A0CBF">
        <w:trPr>
          <w:trHeight w:val="256"/>
          <w:jc w:val="center"/>
        </w:trPr>
        <w:tc>
          <w:tcPr>
            <w:tcW w:w="7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F769B0"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Issued</w:t>
            </w:r>
          </w:p>
        </w:tc>
        <w:tc>
          <w:tcPr>
            <w:tcW w:w="165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6DE049F" w14:textId="0CC6B50A" w:rsidR="00536EA5" w:rsidRPr="00A96D90" w:rsidRDefault="001571DD" w:rsidP="00080580">
            <w:pPr>
              <w:autoSpaceDE w:val="0"/>
              <w:autoSpaceDN w:val="0"/>
              <w:adjustRightInd w:val="0"/>
              <w:jc w:val="right"/>
              <w:rPr>
                <w:rFonts w:asciiTheme="minorHAnsi" w:hAnsiTheme="minorHAnsi" w:cstheme="minorHAnsi"/>
                <w:b/>
                <w:color w:val="59595B"/>
                <w:sz w:val="20"/>
                <w:szCs w:val="20"/>
                <w:lang w:val="en-GB"/>
              </w:rPr>
            </w:pPr>
            <w:r>
              <w:rPr>
                <w:rFonts w:asciiTheme="minorHAnsi" w:hAnsiTheme="minorHAnsi" w:cstheme="minorHAnsi"/>
                <w:b/>
                <w:color w:val="59595B"/>
                <w:sz w:val="20"/>
                <w:szCs w:val="20"/>
                <w:lang w:val="en-GB"/>
              </w:rPr>
              <w:t>641,181,423</w:t>
            </w:r>
          </w:p>
        </w:tc>
      </w:tr>
      <w:tr w:rsidR="00F833F8" w:rsidRPr="00A96D90" w14:paraId="3DDE2614" w14:textId="77777777" w:rsidTr="007A0CBF">
        <w:trPr>
          <w:trHeight w:val="256"/>
          <w:jc w:val="center"/>
        </w:trPr>
        <w:tc>
          <w:tcPr>
            <w:tcW w:w="733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1EE482F"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p>
        </w:tc>
        <w:tc>
          <w:tcPr>
            <w:tcW w:w="1657" w:type="dxa"/>
            <w:tcBorders>
              <w:top w:val="single" w:sz="4" w:space="0" w:color="BFBFBF" w:themeColor="background1" w:themeShade="BF"/>
              <w:left w:val="single" w:sz="4" w:space="0" w:color="BFBFBF" w:themeColor="background1" w:themeShade="BF"/>
            </w:tcBorders>
            <w:shd w:val="clear" w:color="auto" w:fill="F2F2F2" w:themeFill="background1" w:themeFillShade="F2"/>
          </w:tcPr>
          <w:p w14:paraId="53AD63E5" w14:textId="77777777" w:rsidR="00536EA5" w:rsidRPr="00A96D90" w:rsidRDefault="00536EA5" w:rsidP="003426AC">
            <w:pPr>
              <w:autoSpaceDE w:val="0"/>
              <w:autoSpaceDN w:val="0"/>
              <w:adjustRightInd w:val="0"/>
              <w:jc w:val="right"/>
              <w:rPr>
                <w:rFonts w:asciiTheme="minorHAnsi" w:hAnsiTheme="minorHAnsi" w:cstheme="minorHAnsi"/>
                <w:color w:val="59595B"/>
                <w:sz w:val="20"/>
                <w:szCs w:val="20"/>
                <w:lang w:val="en-GB"/>
              </w:rPr>
            </w:pPr>
          </w:p>
        </w:tc>
      </w:tr>
      <w:tr w:rsidR="00F833F8" w:rsidRPr="00A96D90" w14:paraId="36B3635E" w14:textId="77777777" w:rsidTr="007A0CBF">
        <w:trPr>
          <w:trHeight w:val="268"/>
          <w:jc w:val="center"/>
        </w:trPr>
        <w:tc>
          <w:tcPr>
            <w:tcW w:w="7338" w:type="dxa"/>
            <w:tcBorders>
              <w:left w:val="single" w:sz="4" w:space="0" w:color="BFBFBF" w:themeColor="background1" w:themeShade="BF"/>
              <w:right w:val="single" w:sz="4" w:space="0" w:color="BFBFBF" w:themeColor="background1" w:themeShade="BF"/>
            </w:tcBorders>
          </w:tcPr>
          <w:p w14:paraId="0E679799"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color w:val="59595B"/>
                <w:sz w:val="20"/>
                <w:szCs w:val="20"/>
                <w:lang w:val="en-GB"/>
              </w:rPr>
              <w:t>Available for issue</w:t>
            </w:r>
          </w:p>
        </w:tc>
        <w:tc>
          <w:tcPr>
            <w:tcW w:w="1657" w:type="dxa"/>
            <w:tcBorders>
              <w:left w:val="single" w:sz="4" w:space="0" w:color="BFBFBF" w:themeColor="background1" w:themeShade="BF"/>
            </w:tcBorders>
            <w:shd w:val="clear" w:color="auto" w:fill="F2F2F2" w:themeFill="background1" w:themeFillShade="F2"/>
          </w:tcPr>
          <w:p w14:paraId="3401735C" w14:textId="55E74B57" w:rsidR="00536EA5" w:rsidRPr="00A96D90" w:rsidRDefault="001571DD" w:rsidP="00080580">
            <w:pPr>
              <w:autoSpaceDE w:val="0"/>
              <w:autoSpaceDN w:val="0"/>
              <w:adjustRightInd w:val="0"/>
              <w:jc w:val="right"/>
              <w:rPr>
                <w:rFonts w:asciiTheme="minorHAnsi" w:hAnsiTheme="minorHAnsi" w:cstheme="minorHAnsi"/>
                <w:color w:val="59595B"/>
                <w:sz w:val="20"/>
                <w:szCs w:val="20"/>
                <w:lang w:val="en-GB"/>
              </w:rPr>
            </w:pPr>
            <w:r>
              <w:rPr>
                <w:rFonts w:asciiTheme="minorHAnsi" w:hAnsiTheme="minorHAnsi" w:cstheme="minorHAnsi"/>
                <w:color w:val="59595B"/>
                <w:sz w:val="20"/>
                <w:szCs w:val="20"/>
                <w:lang w:val="en-GB"/>
              </w:rPr>
              <w:t>158,818,577</w:t>
            </w:r>
          </w:p>
        </w:tc>
      </w:tr>
      <w:tr w:rsidR="00F833F8" w:rsidRPr="00A96D90" w14:paraId="2708CA95" w14:textId="77777777" w:rsidTr="007A0CBF">
        <w:trPr>
          <w:trHeight w:val="256"/>
          <w:jc w:val="center"/>
        </w:trPr>
        <w:tc>
          <w:tcPr>
            <w:tcW w:w="733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AF7E9EA"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p>
        </w:tc>
        <w:tc>
          <w:tcPr>
            <w:tcW w:w="1657" w:type="dxa"/>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7B487DA3" w14:textId="77777777" w:rsidR="00536EA5" w:rsidRPr="00A96D90" w:rsidRDefault="00536EA5" w:rsidP="003426AC">
            <w:pPr>
              <w:autoSpaceDE w:val="0"/>
              <w:autoSpaceDN w:val="0"/>
              <w:adjustRightInd w:val="0"/>
              <w:jc w:val="right"/>
              <w:rPr>
                <w:rFonts w:asciiTheme="minorHAnsi" w:hAnsiTheme="minorHAnsi" w:cstheme="minorHAnsi"/>
                <w:color w:val="59595B"/>
                <w:sz w:val="20"/>
                <w:szCs w:val="20"/>
                <w:lang w:val="en-GB"/>
              </w:rPr>
            </w:pPr>
          </w:p>
        </w:tc>
      </w:tr>
      <w:tr w:rsidR="00F833F8" w:rsidRPr="00A96D90" w14:paraId="25159333" w14:textId="77777777" w:rsidTr="007A0CBF">
        <w:trPr>
          <w:trHeight w:val="256"/>
          <w:jc w:val="center"/>
        </w:trPr>
        <w:tc>
          <w:tcPr>
            <w:tcW w:w="73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506D0E" w14:textId="77777777" w:rsidR="00536EA5" w:rsidRPr="00A96D90" w:rsidRDefault="00536EA5" w:rsidP="003426AC">
            <w:pPr>
              <w:autoSpaceDE w:val="0"/>
              <w:autoSpaceDN w:val="0"/>
              <w:adjustRightInd w:val="0"/>
              <w:rPr>
                <w:rFonts w:asciiTheme="minorHAnsi" w:hAnsiTheme="minorHAnsi" w:cstheme="minorHAnsi"/>
                <w:color w:val="59595B"/>
                <w:sz w:val="20"/>
                <w:szCs w:val="20"/>
                <w:lang w:val="en-GB"/>
              </w:rPr>
            </w:pPr>
            <w:r w:rsidRPr="00A96D90">
              <w:rPr>
                <w:rFonts w:asciiTheme="minorHAnsi" w:hAnsiTheme="minorHAnsi" w:cstheme="minorHAnsi"/>
                <w:b/>
                <w:color w:val="59595B"/>
                <w:sz w:val="20"/>
                <w:szCs w:val="20"/>
                <w:lang w:val="en-GB"/>
              </w:rPr>
              <w:t>Authorised share capital</w:t>
            </w:r>
          </w:p>
        </w:tc>
        <w:tc>
          <w:tcPr>
            <w:tcW w:w="1657"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D3E9637" w14:textId="2F76483F" w:rsidR="00536EA5" w:rsidRPr="00A96D90" w:rsidRDefault="00116682" w:rsidP="003426AC">
            <w:pPr>
              <w:autoSpaceDE w:val="0"/>
              <w:autoSpaceDN w:val="0"/>
              <w:adjustRightInd w:val="0"/>
              <w:jc w:val="right"/>
              <w:rPr>
                <w:rFonts w:asciiTheme="minorHAnsi" w:hAnsiTheme="minorHAnsi" w:cstheme="minorHAnsi"/>
                <w:b/>
                <w:color w:val="59595B"/>
                <w:sz w:val="20"/>
                <w:szCs w:val="20"/>
                <w:lang w:val="en-GB"/>
              </w:rPr>
            </w:pPr>
            <w:r w:rsidRPr="00A96D90">
              <w:rPr>
                <w:rFonts w:asciiTheme="minorHAnsi" w:hAnsiTheme="minorHAnsi" w:cstheme="minorHAnsi"/>
                <w:b/>
                <w:color w:val="59595B"/>
                <w:sz w:val="20"/>
                <w:szCs w:val="20"/>
                <w:lang w:val="en-GB"/>
              </w:rPr>
              <w:t>80</w:t>
            </w:r>
            <w:r w:rsidR="00536EA5" w:rsidRPr="00A96D90">
              <w:rPr>
                <w:rFonts w:asciiTheme="minorHAnsi" w:hAnsiTheme="minorHAnsi" w:cstheme="minorHAnsi"/>
                <w:b/>
                <w:color w:val="59595B"/>
                <w:sz w:val="20"/>
                <w:szCs w:val="20"/>
                <w:lang w:val="en-GB"/>
              </w:rPr>
              <w:t>0,000,000</w:t>
            </w:r>
          </w:p>
        </w:tc>
      </w:tr>
    </w:tbl>
    <w:p w14:paraId="017DAB3C" w14:textId="369E50AD" w:rsidR="00E64F9D" w:rsidRPr="00A96D90" w:rsidRDefault="00E64F9D" w:rsidP="00F833F8">
      <w:pPr>
        <w:pStyle w:val="NoSpacing"/>
        <w:spacing w:after="120"/>
        <w:rPr>
          <w:color w:val="59595B"/>
          <w:lang w:val="en-GB"/>
        </w:rPr>
      </w:pPr>
    </w:p>
    <w:p w14:paraId="398B4AAA" w14:textId="77777777" w:rsidR="00003EA9" w:rsidRPr="00A96D90" w:rsidRDefault="00003EA9" w:rsidP="00003EA9">
      <w:pPr>
        <w:pStyle w:val="ListParagraph"/>
        <w:numPr>
          <w:ilvl w:val="0"/>
          <w:numId w:val="3"/>
        </w:numPr>
        <w:autoSpaceDE w:val="0"/>
        <w:autoSpaceDN w:val="0"/>
        <w:adjustRightInd w:val="0"/>
        <w:rPr>
          <w:rFonts w:asciiTheme="majorHAnsi" w:hAnsiTheme="majorHAnsi" w:cstheme="minorHAnsi"/>
          <w:i/>
          <w:color w:val="59595B"/>
          <w:sz w:val="24"/>
          <w:szCs w:val="22"/>
          <w:lang w:val="en-GB"/>
        </w:rPr>
      </w:pPr>
      <w:r w:rsidRPr="00A96D90">
        <w:rPr>
          <w:rFonts w:asciiTheme="majorHAnsi" w:hAnsiTheme="majorHAnsi" w:cstheme="minorHAnsi"/>
          <w:i/>
          <w:color w:val="59595B"/>
          <w:sz w:val="24"/>
          <w:szCs w:val="22"/>
          <w:lang w:val="en-GB"/>
        </w:rPr>
        <w:t>Events since the end of the reporting period</w:t>
      </w:r>
    </w:p>
    <w:p w14:paraId="27CE28C4" w14:textId="108AEF2F" w:rsidR="00827F75" w:rsidRDefault="00E033A9" w:rsidP="00827F75">
      <w:pPr>
        <w:jc w:val="left"/>
        <w:rPr>
          <w:rFonts w:ascii="Calibri Light" w:eastAsia="Calibri" w:hAnsi="Calibri Light" w:cs="Calibri Light"/>
          <w:color w:val="59595B"/>
          <w:szCs w:val="22"/>
          <w:lang w:val="en-GB"/>
        </w:rPr>
      </w:pPr>
      <w:r w:rsidRPr="00A96D90">
        <w:rPr>
          <w:rFonts w:ascii="Calibri Light" w:eastAsia="Calibri" w:hAnsi="Calibri Light" w:cs="Calibri Light"/>
          <w:color w:val="59595B"/>
          <w:szCs w:val="22"/>
          <w:lang w:val="en-GB"/>
        </w:rPr>
        <w:t xml:space="preserve">On </w:t>
      </w:r>
      <w:r w:rsidR="00827F75" w:rsidRPr="00A96D90">
        <w:rPr>
          <w:rFonts w:ascii="Calibri Light" w:eastAsia="Calibri" w:hAnsi="Calibri Light" w:cs="Calibri Light"/>
          <w:color w:val="59595B"/>
          <w:szCs w:val="22"/>
          <w:lang w:val="en-GB"/>
        </w:rPr>
        <w:t xml:space="preserve">20 </w:t>
      </w:r>
      <w:r w:rsidRPr="00A96D90">
        <w:rPr>
          <w:rFonts w:ascii="Calibri Light" w:eastAsia="Calibri" w:hAnsi="Calibri Light" w:cs="Calibri Light"/>
          <w:color w:val="59595B"/>
          <w:szCs w:val="22"/>
          <w:lang w:val="en-GB"/>
        </w:rPr>
        <w:t>July 2017</w:t>
      </w:r>
      <w:r w:rsidR="00827F75" w:rsidRPr="00A96D90">
        <w:rPr>
          <w:rFonts w:ascii="Calibri Light" w:eastAsia="Calibri" w:hAnsi="Calibri Light" w:cs="Calibri Light"/>
          <w:color w:val="59595B"/>
          <w:szCs w:val="22"/>
          <w:lang w:val="en-GB"/>
        </w:rPr>
        <w:t>, Pharming completed its refinancing with a single permanent US$100 million debt facility on improved commercial terms, a</w:t>
      </w:r>
      <w:r w:rsidR="00531FEB" w:rsidRPr="00A96D90">
        <w:rPr>
          <w:rFonts w:ascii="Calibri Light" w:eastAsia="Calibri" w:hAnsi="Calibri Light" w:cs="Calibri Light"/>
          <w:color w:val="59595B"/>
          <w:szCs w:val="22"/>
          <w:lang w:val="en-GB"/>
        </w:rPr>
        <w:t>s described in Note 11</w:t>
      </w:r>
      <w:r w:rsidR="00827F75" w:rsidRPr="00A96D90">
        <w:rPr>
          <w:rFonts w:ascii="Calibri Light" w:eastAsia="Calibri" w:hAnsi="Calibri Light" w:cs="Calibri Light"/>
          <w:color w:val="59595B"/>
          <w:szCs w:val="22"/>
          <w:lang w:val="en-GB"/>
        </w:rPr>
        <w:t>.</w:t>
      </w:r>
      <w:r w:rsidR="0040539E">
        <w:rPr>
          <w:rFonts w:ascii="Calibri Light" w:eastAsia="Calibri" w:hAnsi="Calibri Light" w:cs="Calibri Light"/>
          <w:color w:val="59595B"/>
          <w:szCs w:val="22"/>
          <w:lang w:val="en-GB"/>
        </w:rPr>
        <w:t xml:space="preserve"> </w:t>
      </w:r>
    </w:p>
    <w:p w14:paraId="03BE0BEB" w14:textId="77777777" w:rsidR="0010121D" w:rsidRPr="00A96D90" w:rsidRDefault="0010121D" w:rsidP="00827F75">
      <w:pPr>
        <w:jc w:val="left"/>
        <w:rPr>
          <w:rFonts w:ascii="Calibri Light" w:eastAsia="Calibri" w:hAnsi="Calibri Light" w:cs="Calibri Light"/>
          <w:color w:val="59595B"/>
          <w:szCs w:val="22"/>
          <w:lang w:val="en-GB"/>
        </w:rPr>
      </w:pPr>
    </w:p>
    <w:p w14:paraId="7181475A" w14:textId="51E55F3E" w:rsidR="00B62222" w:rsidRPr="00A96D90" w:rsidRDefault="00B62222" w:rsidP="00552A0D">
      <w:pPr>
        <w:pStyle w:val="NoSpacing"/>
        <w:ind w:right="144"/>
        <w:jc w:val="both"/>
        <w:rPr>
          <w:rFonts w:ascii="Calibri Light" w:hAnsi="Calibri Light" w:cs="Calibri Light"/>
          <w:color w:val="59595B"/>
          <w:lang w:val="en-GB"/>
        </w:rPr>
      </w:pPr>
      <w:r w:rsidRPr="00A96D90">
        <w:rPr>
          <w:rFonts w:ascii="Calibri Light" w:hAnsi="Calibri Light" w:cs="Calibri Light"/>
          <w:color w:val="59595B"/>
          <w:lang w:val="en-GB"/>
        </w:rPr>
        <w:t>Since the reporting date, the company has also issued shares in connection with exercises of warrants, as described in Note 14.</w:t>
      </w:r>
    </w:p>
    <w:p w14:paraId="66034353" w14:textId="77777777" w:rsidR="00B62222" w:rsidRPr="00A96D90" w:rsidRDefault="00B62222" w:rsidP="00827F75">
      <w:pPr>
        <w:jc w:val="left"/>
        <w:rPr>
          <w:rFonts w:ascii="Calibri Light" w:hAnsi="Calibri Light" w:cs="Calibri Light"/>
          <w:color w:val="auto"/>
          <w:sz w:val="20"/>
          <w:szCs w:val="20"/>
          <w:lang w:val="en-GB" w:eastAsia="en-GB"/>
        </w:rPr>
      </w:pPr>
    </w:p>
    <w:p w14:paraId="280D8EC9" w14:textId="6D022EC9" w:rsidR="00E64F9D" w:rsidRPr="00A96D90" w:rsidRDefault="00E64F9D" w:rsidP="00E033A9">
      <w:pPr>
        <w:pStyle w:val="NoSpacing"/>
        <w:spacing w:after="120"/>
        <w:rPr>
          <w:color w:val="59595B"/>
          <w:lang w:val="en-GB"/>
        </w:rPr>
      </w:pPr>
    </w:p>
    <w:sectPr w:rsidR="00E64F9D" w:rsidRPr="00A96D90" w:rsidSect="000700EB">
      <w:headerReference w:type="default" r:id="rId12"/>
      <w:footerReference w:type="default" r:id="rId13"/>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77873" w14:textId="77777777" w:rsidR="007E72F1" w:rsidRDefault="007E72F1">
      <w:r>
        <w:separator/>
      </w:r>
    </w:p>
  </w:endnote>
  <w:endnote w:type="continuationSeparator" w:id="0">
    <w:p w14:paraId="62206593" w14:textId="77777777" w:rsidR="007E72F1" w:rsidRDefault="007E72F1">
      <w:r>
        <w:continuationSeparator/>
      </w:r>
    </w:p>
  </w:endnote>
  <w:endnote w:type="continuationNotice" w:id="1">
    <w:p w14:paraId="78C2DCAE" w14:textId="77777777" w:rsidR="007E72F1" w:rsidRDefault="007E7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4300"/>
      <w:docPartObj>
        <w:docPartGallery w:val="Page Numbers (Bottom of Page)"/>
        <w:docPartUnique/>
      </w:docPartObj>
    </w:sdtPr>
    <w:sdtEndPr>
      <w:rPr>
        <w:rFonts w:ascii="Calibri Light" w:hAnsi="Calibri Light"/>
        <w:noProof/>
        <w:color w:val="59595B"/>
        <w:sz w:val="20"/>
      </w:rPr>
    </w:sdtEndPr>
    <w:sdtContent>
      <w:p w14:paraId="1E0FA13E" w14:textId="0E252E99" w:rsidR="00013F40" w:rsidRPr="00116682" w:rsidRDefault="00013F40">
        <w:pPr>
          <w:pStyle w:val="Footer"/>
          <w:jc w:val="center"/>
          <w:rPr>
            <w:rFonts w:ascii="Calibri Light" w:hAnsi="Calibri Light"/>
            <w:color w:val="59595B"/>
            <w:sz w:val="20"/>
          </w:rPr>
        </w:pPr>
        <w:r w:rsidRPr="00116682">
          <w:rPr>
            <w:rFonts w:ascii="Calibri Light" w:hAnsi="Calibri Light"/>
            <w:color w:val="59595B"/>
            <w:sz w:val="20"/>
          </w:rPr>
          <w:fldChar w:fldCharType="begin"/>
        </w:r>
        <w:r w:rsidRPr="00116682">
          <w:rPr>
            <w:rFonts w:ascii="Calibri Light" w:hAnsi="Calibri Light"/>
            <w:color w:val="59595B"/>
            <w:sz w:val="20"/>
          </w:rPr>
          <w:instrText xml:space="preserve"> PAGE   \* MERGEFORMAT </w:instrText>
        </w:r>
        <w:r w:rsidRPr="00116682">
          <w:rPr>
            <w:rFonts w:ascii="Calibri Light" w:hAnsi="Calibri Light"/>
            <w:color w:val="59595B"/>
            <w:sz w:val="20"/>
          </w:rPr>
          <w:fldChar w:fldCharType="separate"/>
        </w:r>
        <w:r w:rsidR="00544B6F">
          <w:rPr>
            <w:rFonts w:ascii="Calibri Light" w:hAnsi="Calibri Light"/>
            <w:noProof/>
            <w:color w:val="59595B"/>
            <w:sz w:val="20"/>
          </w:rPr>
          <w:t>1</w:t>
        </w:r>
        <w:r w:rsidRPr="00116682">
          <w:rPr>
            <w:rFonts w:ascii="Calibri Light" w:hAnsi="Calibri Light"/>
            <w:noProof/>
            <w:color w:val="59595B"/>
            <w:sz w:val="20"/>
          </w:rPr>
          <w:fldChar w:fldCharType="end"/>
        </w:r>
      </w:p>
    </w:sdtContent>
  </w:sdt>
  <w:p w14:paraId="4F82DC3D" w14:textId="77777777" w:rsidR="00013F40" w:rsidRDefault="00013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34E06" w14:textId="77777777" w:rsidR="007E72F1" w:rsidRDefault="007E72F1">
      <w:r>
        <w:separator/>
      </w:r>
    </w:p>
  </w:footnote>
  <w:footnote w:type="continuationSeparator" w:id="0">
    <w:p w14:paraId="761CECD3" w14:textId="77777777" w:rsidR="007E72F1" w:rsidRDefault="007E72F1">
      <w:r>
        <w:continuationSeparator/>
      </w:r>
    </w:p>
  </w:footnote>
  <w:footnote w:type="continuationNotice" w:id="1">
    <w:p w14:paraId="45ED881D" w14:textId="77777777" w:rsidR="007E72F1" w:rsidRDefault="007E72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E0428" w14:textId="324E7B4F" w:rsidR="00013F40" w:rsidRPr="004038DD" w:rsidRDefault="00013F40" w:rsidP="004038DD">
    <w:pPr>
      <w:pStyle w:val="Header"/>
    </w:pPr>
    <w:r>
      <w:rPr>
        <w:noProof/>
        <w:lang w:val="en-GB" w:eastAsia="en-GB"/>
      </w:rPr>
      <w:drawing>
        <wp:anchor distT="0" distB="0" distL="114300" distR="114300" simplePos="0" relativeHeight="251658240" behindDoc="1" locked="0" layoutInCell="1" allowOverlap="1" wp14:anchorId="07DD6709" wp14:editId="456C3FF2">
          <wp:simplePos x="0" y="0"/>
          <wp:positionH relativeFrom="column">
            <wp:posOffset>4248150</wp:posOffset>
          </wp:positionH>
          <wp:positionV relativeFrom="paragraph">
            <wp:posOffset>66040</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1D3902"/>
    <w:multiLevelType w:val="hybridMultilevel"/>
    <w:tmpl w:val="A398844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8"/>
  </w:num>
  <w:num w:numId="5">
    <w:abstractNumId w:val="3"/>
  </w:num>
  <w:num w:numId="6">
    <w:abstractNumId w:val="5"/>
  </w:num>
  <w:num w:numId="7">
    <w:abstractNumId w:val="2"/>
  </w:num>
  <w:num w:numId="8">
    <w:abstractNumId w:val="1"/>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07E"/>
    <w:rsid w:val="00000324"/>
    <w:rsid w:val="00000B54"/>
    <w:rsid w:val="00000EF0"/>
    <w:rsid w:val="00001727"/>
    <w:rsid w:val="0000198D"/>
    <w:rsid w:val="000020C1"/>
    <w:rsid w:val="0000288E"/>
    <w:rsid w:val="00003EA9"/>
    <w:rsid w:val="0000411D"/>
    <w:rsid w:val="00004FA4"/>
    <w:rsid w:val="0000518D"/>
    <w:rsid w:val="00005415"/>
    <w:rsid w:val="000061B6"/>
    <w:rsid w:val="000100F3"/>
    <w:rsid w:val="00010434"/>
    <w:rsid w:val="00010664"/>
    <w:rsid w:val="00010CAD"/>
    <w:rsid w:val="00011383"/>
    <w:rsid w:val="00011B5D"/>
    <w:rsid w:val="00013F40"/>
    <w:rsid w:val="00014197"/>
    <w:rsid w:val="00014D70"/>
    <w:rsid w:val="000151BE"/>
    <w:rsid w:val="000157FD"/>
    <w:rsid w:val="000159F1"/>
    <w:rsid w:val="00016506"/>
    <w:rsid w:val="00020BA3"/>
    <w:rsid w:val="00020C90"/>
    <w:rsid w:val="00022E64"/>
    <w:rsid w:val="00022F63"/>
    <w:rsid w:val="000231AC"/>
    <w:rsid w:val="00023636"/>
    <w:rsid w:val="00023657"/>
    <w:rsid w:val="00023A49"/>
    <w:rsid w:val="00023D00"/>
    <w:rsid w:val="00023EF2"/>
    <w:rsid w:val="00024B7A"/>
    <w:rsid w:val="00027B5D"/>
    <w:rsid w:val="00027DD2"/>
    <w:rsid w:val="0003055D"/>
    <w:rsid w:val="00030DD1"/>
    <w:rsid w:val="0003120C"/>
    <w:rsid w:val="000312DE"/>
    <w:rsid w:val="000313D6"/>
    <w:rsid w:val="00031BA0"/>
    <w:rsid w:val="000339EC"/>
    <w:rsid w:val="00033A93"/>
    <w:rsid w:val="000347CF"/>
    <w:rsid w:val="00034A76"/>
    <w:rsid w:val="00034F8C"/>
    <w:rsid w:val="00035153"/>
    <w:rsid w:val="00037C72"/>
    <w:rsid w:val="0004052C"/>
    <w:rsid w:val="00041484"/>
    <w:rsid w:val="0004173B"/>
    <w:rsid w:val="0004365F"/>
    <w:rsid w:val="00043D95"/>
    <w:rsid w:val="00043F66"/>
    <w:rsid w:val="00044D06"/>
    <w:rsid w:val="00044EC5"/>
    <w:rsid w:val="000457DF"/>
    <w:rsid w:val="00046F4A"/>
    <w:rsid w:val="000475B2"/>
    <w:rsid w:val="0005010B"/>
    <w:rsid w:val="0005115D"/>
    <w:rsid w:val="000513BE"/>
    <w:rsid w:val="000515E9"/>
    <w:rsid w:val="00051A48"/>
    <w:rsid w:val="00051BCB"/>
    <w:rsid w:val="00051E47"/>
    <w:rsid w:val="000526E7"/>
    <w:rsid w:val="00053A56"/>
    <w:rsid w:val="00053B25"/>
    <w:rsid w:val="00053B5B"/>
    <w:rsid w:val="00055598"/>
    <w:rsid w:val="00057F18"/>
    <w:rsid w:val="00062E3A"/>
    <w:rsid w:val="0006349D"/>
    <w:rsid w:val="00063697"/>
    <w:rsid w:val="0006386F"/>
    <w:rsid w:val="00063A83"/>
    <w:rsid w:val="00064603"/>
    <w:rsid w:val="00064D2B"/>
    <w:rsid w:val="00065334"/>
    <w:rsid w:val="000660F4"/>
    <w:rsid w:val="00066382"/>
    <w:rsid w:val="000666B5"/>
    <w:rsid w:val="00067036"/>
    <w:rsid w:val="00067A1D"/>
    <w:rsid w:val="000700EB"/>
    <w:rsid w:val="00070217"/>
    <w:rsid w:val="000704F3"/>
    <w:rsid w:val="00070720"/>
    <w:rsid w:val="00070FFD"/>
    <w:rsid w:val="00071435"/>
    <w:rsid w:val="00071FE2"/>
    <w:rsid w:val="00073502"/>
    <w:rsid w:val="000742FD"/>
    <w:rsid w:val="00075251"/>
    <w:rsid w:val="0007530B"/>
    <w:rsid w:val="00075E86"/>
    <w:rsid w:val="00076F36"/>
    <w:rsid w:val="000772D1"/>
    <w:rsid w:val="00080580"/>
    <w:rsid w:val="00080EE1"/>
    <w:rsid w:val="000813CC"/>
    <w:rsid w:val="00081AA2"/>
    <w:rsid w:val="00081D0A"/>
    <w:rsid w:val="00083B40"/>
    <w:rsid w:val="00083C90"/>
    <w:rsid w:val="0008426D"/>
    <w:rsid w:val="000843A4"/>
    <w:rsid w:val="0008471C"/>
    <w:rsid w:val="000848C7"/>
    <w:rsid w:val="000849F5"/>
    <w:rsid w:val="00084C87"/>
    <w:rsid w:val="00085775"/>
    <w:rsid w:val="000864AD"/>
    <w:rsid w:val="000866DA"/>
    <w:rsid w:val="000872E0"/>
    <w:rsid w:val="00087A55"/>
    <w:rsid w:val="00090843"/>
    <w:rsid w:val="00092901"/>
    <w:rsid w:val="00094AB6"/>
    <w:rsid w:val="00094C60"/>
    <w:rsid w:val="00095E2D"/>
    <w:rsid w:val="0009668B"/>
    <w:rsid w:val="00096831"/>
    <w:rsid w:val="000970EF"/>
    <w:rsid w:val="00097BA9"/>
    <w:rsid w:val="00097FDE"/>
    <w:rsid w:val="000A0338"/>
    <w:rsid w:val="000A15DC"/>
    <w:rsid w:val="000A1BD4"/>
    <w:rsid w:val="000A1C77"/>
    <w:rsid w:val="000A1D96"/>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6BF"/>
    <w:rsid w:val="000B22F3"/>
    <w:rsid w:val="000B2A13"/>
    <w:rsid w:val="000B304F"/>
    <w:rsid w:val="000B361E"/>
    <w:rsid w:val="000B4342"/>
    <w:rsid w:val="000B43EB"/>
    <w:rsid w:val="000B5C9F"/>
    <w:rsid w:val="000B5E31"/>
    <w:rsid w:val="000B614C"/>
    <w:rsid w:val="000B6DD1"/>
    <w:rsid w:val="000B7146"/>
    <w:rsid w:val="000B7341"/>
    <w:rsid w:val="000C034F"/>
    <w:rsid w:val="000C05D4"/>
    <w:rsid w:val="000C0628"/>
    <w:rsid w:val="000C1CCA"/>
    <w:rsid w:val="000C2F12"/>
    <w:rsid w:val="000C33F2"/>
    <w:rsid w:val="000C34CD"/>
    <w:rsid w:val="000C403F"/>
    <w:rsid w:val="000C4694"/>
    <w:rsid w:val="000C5111"/>
    <w:rsid w:val="000C65CA"/>
    <w:rsid w:val="000C79FD"/>
    <w:rsid w:val="000C7B73"/>
    <w:rsid w:val="000D0A13"/>
    <w:rsid w:val="000D1A6E"/>
    <w:rsid w:val="000D1B1B"/>
    <w:rsid w:val="000D2D49"/>
    <w:rsid w:val="000D3131"/>
    <w:rsid w:val="000D3265"/>
    <w:rsid w:val="000D40D3"/>
    <w:rsid w:val="000D4243"/>
    <w:rsid w:val="000D53B2"/>
    <w:rsid w:val="000D5917"/>
    <w:rsid w:val="000D6436"/>
    <w:rsid w:val="000D7980"/>
    <w:rsid w:val="000E1A1C"/>
    <w:rsid w:val="000E21D2"/>
    <w:rsid w:val="000E29F0"/>
    <w:rsid w:val="000E2E61"/>
    <w:rsid w:val="000E363E"/>
    <w:rsid w:val="000E4012"/>
    <w:rsid w:val="000E4B21"/>
    <w:rsid w:val="000E4C0D"/>
    <w:rsid w:val="000E5411"/>
    <w:rsid w:val="000E599B"/>
    <w:rsid w:val="000E736D"/>
    <w:rsid w:val="000E7C59"/>
    <w:rsid w:val="000F0582"/>
    <w:rsid w:val="000F1E34"/>
    <w:rsid w:val="000F1F2A"/>
    <w:rsid w:val="000F1F6B"/>
    <w:rsid w:val="000F3279"/>
    <w:rsid w:val="000F3B8E"/>
    <w:rsid w:val="000F46E7"/>
    <w:rsid w:val="000F47BD"/>
    <w:rsid w:val="000F4995"/>
    <w:rsid w:val="000F5D37"/>
    <w:rsid w:val="000F7664"/>
    <w:rsid w:val="000F78D1"/>
    <w:rsid w:val="00100C46"/>
    <w:rsid w:val="0010121D"/>
    <w:rsid w:val="00101A76"/>
    <w:rsid w:val="00101CA6"/>
    <w:rsid w:val="00101CA8"/>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DA"/>
    <w:rsid w:val="00114417"/>
    <w:rsid w:val="001155FB"/>
    <w:rsid w:val="001163F5"/>
    <w:rsid w:val="00116682"/>
    <w:rsid w:val="00116C59"/>
    <w:rsid w:val="00116E9A"/>
    <w:rsid w:val="00116FB2"/>
    <w:rsid w:val="00117DFA"/>
    <w:rsid w:val="00117E4A"/>
    <w:rsid w:val="001200BD"/>
    <w:rsid w:val="00120958"/>
    <w:rsid w:val="0012141C"/>
    <w:rsid w:val="001216AD"/>
    <w:rsid w:val="00121F19"/>
    <w:rsid w:val="0012298E"/>
    <w:rsid w:val="001235ED"/>
    <w:rsid w:val="00123F15"/>
    <w:rsid w:val="00124103"/>
    <w:rsid w:val="0012517B"/>
    <w:rsid w:val="00126621"/>
    <w:rsid w:val="0012719D"/>
    <w:rsid w:val="0013005C"/>
    <w:rsid w:val="00130358"/>
    <w:rsid w:val="00130626"/>
    <w:rsid w:val="00130751"/>
    <w:rsid w:val="00130F06"/>
    <w:rsid w:val="00130F25"/>
    <w:rsid w:val="00131106"/>
    <w:rsid w:val="00131CCB"/>
    <w:rsid w:val="001332F9"/>
    <w:rsid w:val="001344B1"/>
    <w:rsid w:val="00134E79"/>
    <w:rsid w:val="00135B0C"/>
    <w:rsid w:val="00136601"/>
    <w:rsid w:val="00136F4D"/>
    <w:rsid w:val="00140194"/>
    <w:rsid w:val="0014244F"/>
    <w:rsid w:val="00142B2A"/>
    <w:rsid w:val="00144021"/>
    <w:rsid w:val="001445EE"/>
    <w:rsid w:val="001461AA"/>
    <w:rsid w:val="001466DD"/>
    <w:rsid w:val="00147884"/>
    <w:rsid w:val="00147925"/>
    <w:rsid w:val="001479E7"/>
    <w:rsid w:val="00150010"/>
    <w:rsid w:val="0015042C"/>
    <w:rsid w:val="00151355"/>
    <w:rsid w:val="00151F2D"/>
    <w:rsid w:val="001520CE"/>
    <w:rsid w:val="00152840"/>
    <w:rsid w:val="00152978"/>
    <w:rsid w:val="00153EBE"/>
    <w:rsid w:val="0015505C"/>
    <w:rsid w:val="001553DF"/>
    <w:rsid w:val="00155886"/>
    <w:rsid w:val="00155924"/>
    <w:rsid w:val="00155BB2"/>
    <w:rsid w:val="00156B94"/>
    <w:rsid w:val="001571DD"/>
    <w:rsid w:val="00160523"/>
    <w:rsid w:val="00160E88"/>
    <w:rsid w:val="00161016"/>
    <w:rsid w:val="00161537"/>
    <w:rsid w:val="001617AF"/>
    <w:rsid w:val="00161DF3"/>
    <w:rsid w:val="00162678"/>
    <w:rsid w:val="00162799"/>
    <w:rsid w:val="00164F12"/>
    <w:rsid w:val="00165069"/>
    <w:rsid w:val="00166BE7"/>
    <w:rsid w:val="0016790A"/>
    <w:rsid w:val="00170220"/>
    <w:rsid w:val="0017101E"/>
    <w:rsid w:val="001713BB"/>
    <w:rsid w:val="00171652"/>
    <w:rsid w:val="00172374"/>
    <w:rsid w:val="0017277B"/>
    <w:rsid w:val="00172AFF"/>
    <w:rsid w:val="0017362E"/>
    <w:rsid w:val="00175FFD"/>
    <w:rsid w:val="001760BF"/>
    <w:rsid w:val="00176152"/>
    <w:rsid w:val="00176179"/>
    <w:rsid w:val="0017650C"/>
    <w:rsid w:val="0017658B"/>
    <w:rsid w:val="0017667B"/>
    <w:rsid w:val="00176911"/>
    <w:rsid w:val="00176AFE"/>
    <w:rsid w:val="00176E2E"/>
    <w:rsid w:val="00176F84"/>
    <w:rsid w:val="00177426"/>
    <w:rsid w:val="001802D0"/>
    <w:rsid w:val="001806FB"/>
    <w:rsid w:val="00181F68"/>
    <w:rsid w:val="0018264B"/>
    <w:rsid w:val="00182E53"/>
    <w:rsid w:val="00183454"/>
    <w:rsid w:val="00183694"/>
    <w:rsid w:val="001837C8"/>
    <w:rsid w:val="00183BE2"/>
    <w:rsid w:val="00184018"/>
    <w:rsid w:val="00184336"/>
    <w:rsid w:val="00184B19"/>
    <w:rsid w:val="0018502A"/>
    <w:rsid w:val="00185678"/>
    <w:rsid w:val="00186503"/>
    <w:rsid w:val="00186B18"/>
    <w:rsid w:val="001874D3"/>
    <w:rsid w:val="001878B1"/>
    <w:rsid w:val="0019184F"/>
    <w:rsid w:val="001923BA"/>
    <w:rsid w:val="00192470"/>
    <w:rsid w:val="00192753"/>
    <w:rsid w:val="00192DAB"/>
    <w:rsid w:val="00193510"/>
    <w:rsid w:val="001941F0"/>
    <w:rsid w:val="001963E6"/>
    <w:rsid w:val="00196879"/>
    <w:rsid w:val="001975CE"/>
    <w:rsid w:val="001A09F3"/>
    <w:rsid w:val="001A165C"/>
    <w:rsid w:val="001A167F"/>
    <w:rsid w:val="001A1D1D"/>
    <w:rsid w:val="001A1DC4"/>
    <w:rsid w:val="001A22ED"/>
    <w:rsid w:val="001A2588"/>
    <w:rsid w:val="001A31DA"/>
    <w:rsid w:val="001A3209"/>
    <w:rsid w:val="001A364C"/>
    <w:rsid w:val="001A3C84"/>
    <w:rsid w:val="001A3E9A"/>
    <w:rsid w:val="001A3EB4"/>
    <w:rsid w:val="001A5802"/>
    <w:rsid w:val="001A7205"/>
    <w:rsid w:val="001A7457"/>
    <w:rsid w:val="001A7677"/>
    <w:rsid w:val="001A7BA1"/>
    <w:rsid w:val="001A7BD9"/>
    <w:rsid w:val="001A7BEA"/>
    <w:rsid w:val="001B0532"/>
    <w:rsid w:val="001B09E0"/>
    <w:rsid w:val="001B0F98"/>
    <w:rsid w:val="001B20C7"/>
    <w:rsid w:val="001B22D4"/>
    <w:rsid w:val="001B288F"/>
    <w:rsid w:val="001B32EE"/>
    <w:rsid w:val="001B37D3"/>
    <w:rsid w:val="001B5BC5"/>
    <w:rsid w:val="001B5D56"/>
    <w:rsid w:val="001B66ED"/>
    <w:rsid w:val="001B7949"/>
    <w:rsid w:val="001B7FC1"/>
    <w:rsid w:val="001C1B21"/>
    <w:rsid w:val="001C1E5F"/>
    <w:rsid w:val="001C2627"/>
    <w:rsid w:val="001C27D3"/>
    <w:rsid w:val="001C2E31"/>
    <w:rsid w:val="001C36DF"/>
    <w:rsid w:val="001C38A9"/>
    <w:rsid w:val="001C38DB"/>
    <w:rsid w:val="001C4FF0"/>
    <w:rsid w:val="001C50DD"/>
    <w:rsid w:val="001C5132"/>
    <w:rsid w:val="001C52C7"/>
    <w:rsid w:val="001C605C"/>
    <w:rsid w:val="001C6120"/>
    <w:rsid w:val="001C6266"/>
    <w:rsid w:val="001C6B99"/>
    <w:rsid w:val="001C6E5C"/>
    <w:rsid w:val="001C7A75"/>
    <w:rsid w:val="001D0468"/>
    <w:rsid w:val="001D0717"/>
    <w:rsid w:val="001D0A4F"/>
    <w:rsid w:val="001D2637"/>
    <w:rsid w:val="001D279D"/>
    <w:rsid w:val="001D2F07"/>
    <w:rsid w:val="001D30D2"/>
    <w:rsid w:val="001D4287"/>
    <w:rsid w:val="001D4754"/>
    <w:rsid w:val="001D4CE4"/>
    <w:rsid w:val="001D518E"/>
    <w:rsid w:val="001D5953"/>
    <w:rsid w:val="001D5BBC"/>
    <w:rsid w:val="001D6A1B"/>
    <w:rsid w:val="001D7B36"/>
    <w:rsid w:val="001D7DCB"/>
    <w:rsid w:val="001E0185"/>
    <w:rsid w:val="001E04B8"/>
    <w:rsid w:val="001E0B8C"/>
    <w:rsid w:val="001E152B"/>
    <w:rsid w:val="001E1D65"/>
    <w:rsid w:val="001E2E41"/>
    <w:rsid w:val="001E327A"/>
    <w:rsid w:val="001E32B2"/>
    <w:rsid w:val="001E32D8"/>
    <w:rsid w:val="001E3B4F"/>
    <w:rsid w:val="001E3FB6"/>
    <w:rsid w:val="001E440F"/>
    <w:rsid w:val="001E4AC9"/>
    <w:rsid w:val="001E4E89"/>
    <w:rsid w:val="001E4F73"/>
    <w:rsid w:val="001E56E4"/>
    <w:rsid w:val="001E7712"/>
    <w:rsid w:val="001F0411"/>
    <w:rsid w:val="001F12E7"/>
    <w:rsid w:val="001F154C"/>
    <w:rsid w:val="001F18E5"/>
    <w:rsid w:val="001F1B78"/>
    <w:rsid w:val="001F1E19"/>
    <w:rsid w:val="001F31B2"/>
    <w:rsid w:val="001F410F"/>
    <w:rsid w:val="001F4494"/>
    <w:rsid w:val="001F49FC"/>
    <w:rsid w:val="001F4A8A"/>
    <w:rsid w:val="001F5AFB"/>
    <w:rsid w:val="001F75CF"/>
    <w:rsid w:val="001F7F2C"/>
    <w:rsid w:val="00200C28"/>
    <w:rsid w:val="00201A32"/>
    <w:rsid w:val="00202298"/>
    <w:rsid w:val="00202BC5"/>
    <w:rsid w:val="00202E24"/>
    <w:rsid w:val="00203CEE"/>
    <w:rsid w:val="00204160"/>
    <w:rsid w:val="0020463C"/>
    <w:rsid w:val="0020470F"/>
    <w:rsid w:val="0020472F"/>
    <w:rsid w:val="00205FFC"/>
    <w:rsid w:val="00206138"/>
    <w:rsid w:val="00206302"/>
    <w:rsid w:val="002064E1"/>
    <w:rsid w:val="00206F48"/>
    <w:rsid w:val="002075BE"/>
    <w:rsid w:val="00207D1B"/>
    <w:rsid w:val="0021084E"/>
    <w:rsid w:val="00210993"/>
    <w:rsid w:val="00212097"/>
    <w:rsid w:val="00212529"/>
    <w:rsid w:val="00212B23"/>
    <w:rsid w:val="00213379"/>
    <w:rsid w:val="00215B13"/>
    <w:rsid w:val="00215B2D"/>
    <w:rsid w:val="0021648D"/>
    <w:rsid w:val="002166DF"/>
    <w:rsid w:val="00216A53"/>
    <w:rsid w:val="002205B8"/>
    <w:rsid w:val="0022152D"/>
    <w:rsid w:val="0022292A"/>
    <w:rsid w:val="00222997"/>
    <w:rsid w:val="00222AAE"/>
    <w:rsid w:val="00222AC7"/>
    <w:rsid w:val="0022360E"/>
    <w:rsid w:val="00223C89"/>
    <w:rsid w:val="00223D2C"/>
    <w:rsid w:val="002246E6"/>
    <w:rsid w:val="00224B96"/>
    <w:rsid w:val="00225B8C"/>
    <w:rsid w:val="002261A4"/>
    <w:rsid w:val="00226207"/>
    <w:rsid w:val="002267CF"/>
    <w:rsid w:val="00227E53"/>
    <w:rsid w:val="0023045A"/>
    <w:rsid w:val="0023093A"/>
    <w:rsid w:val="00230E17"/>
    <w:rsid w:val="00230F64"/>
    <w:rsid w:val="002310EE"/>
    <w:rsid w:val="0023116B"/>
    <w:rsid w:val="00231A16"/>
    <w:rsid w:val="002327C7"/>
    <w:rsid w:val="002342FC"/>
    <w:rsid w:val="00234307"/>
    <w:rsid w:val="00234E4C"/>
    <w:rsid w:val="00235634"/>
    <w:rsid w:val="00235BFB"/>
    <w:rsid w:val="00235C01"/>
    <w:rsid w:val="00235C4C"/>
    <w:rsid w:val="00235DF5"/>
    <w:rsid w:val="002379FD"/>
    <w:rsid w:val="00237B51"/>
    <w:rsid w:val="00237D09"/>
    <w:rsid w:val="002407F7"/>
    <w:rsid w:val="00240FFB"/>
    <w:rsid w:val="002421C8"/>
    <w:rsid w:val="002427B5"/>
    <w:rsid w:val="00242DA0"/>
    <w:rsid w:val="00242E1E"/>
    <w:rsid w:val="00243706"/>
    <w:rsid w:val="00243859"/>
    <w:rsid w:val="00245062"/>
    <w:rsid w:val="0024553D"/>
    <w:rsid w:val="00245B80"/>
    <w:rsid w:val="00245E56"/>
    <w:rsid w:val="0024620D"/>
    <w:rsid w:val="0024642B"/>
    <w:rsid w:val="00246B84"/>
    <w:rsid w:val="00250509"/>
    <w:rsid w:val="002505C2"/>
    <w:rsid w:val="0025114F"/>
    <w:rsid w:val="00251D49"/>
    <w:rsid w:val="002523AF"/>
    <w:rsid w:val="0025324D"/>
    <w:rsid w:val="00253518"/>
    <w:rsid w:val="00253E5D"/>
    <w:rsid w:val="0025524C"/>
    <w:rsid w:val="00257CDA"/>
    <w:rsid w:val="0026030D"/>
    <w:rsid w:val="00260DBE"/>
    <w:rsid w:val="002610DB"/>
    <w:rsid w:val="002620A5"/>
    <w:rsid w:val="00262ACF"/>
    <w:rsid w:val="002646CD"/>
    <w:rsid w:val="00264E38"/>
    <w:rsid w:val="00264E55"/>
    <w:rsid w:val="00265D23"/>
    <w:rsid w:val="002660DE"/>
    <w:rsid w:val="0026657E"/>
    <w:rsid w:val="00266C4B"/>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CA8"/>
    <w:rsid w:val="00274F7C"/>
    <w:rsid w:val="00275BAE"/>
    <w:rsid w:val="00275C0C"/>
    <w:rsid w:val="0027611F"/>
    <w:rsid w:val="002761F7"/>
    <w:rsid w:val="00277337"/>
    <w:rsid w:val="0027773A"/>
    <w:rsid w:val="00277815"/>
    <w:rsid w:val="002779D9"/>
    <w:rsid w:val="00280231"/>
    <w:rsid w:val="00280292"/>
    <w:rsid w:val="00280420"/>
    <w:rsid w:val="00280A87"/>
    <w:rsid w:val="00281308"/>
    <w:rsid w:val="00282250"/>
    <w:rsid w:val="00282564"/>
    <w:rsid w:val="002825EC"/>
    <w:rsid w:val="00282AAE"/>
    <w:rsid w:val="00283D35"/>
    <w:rsid w:val="002865AA"/>
    <w:rsid w:val="002865F9"/>
    <w:rsid w:val="00287A9E"/>
    <w:rsid w:val="002900BE"/>
    <w:rsid w:val="002907F6"/>
    <w:rsid w:val="0029090B"/>
    <w:rsid w:val="00290AD6"/>
    <w:rsid w:val="00291416"/>
    <w:rsid w:val="00291B6A"/>
    <w:rsid w:val="00293128"/>
    <w:rsid w:val="002938F5"/>
    <w:rsid w:val="002941B8"/>
    <w:rsid w:val="0029428D"/>
    <w:rsid w:val="002944C3"/>
    <w:rsid w:val="00294618"/>
    <w:rsid w:val="00294A3F"/>
    <w:rsid w:val="0029587E"/>
    <w:rsid w:val="002963B8"/>
    <w:rsid w:val="002965C5"/>
    <w:rsid w:val="002965C7"/>
    <w:rsid w:val="00296C98"/>
    <w:rsid w:val="00296CC9"/>
    <w:rsid w:val="002978C9"/>
    <w:rsid w:val="00297C4C"/>
    <w:rsid w:val="002A06DD"/>
    <w:rsid w:val="002A0874"/>
    <w:rsid w:val="002A28EE"/>
    <w:rsid w:val="002A2FFF"/>
    <w:rsid w:val="002A307C"/>
    <w:rsid w:val="002A30F2"/>
    <w:rsid w:val="002A3A1C"/>
    <w:rsid w:val="002A4512"/>
    <w:rsid w:val="002A50D8"/>
    <w:rsid w:val="002A5645"/>
    <w:rsid w:val="002A5950"/>
    <w:rsid w:val="002A5DA3"/>
    <w:rsid w:val="002A6D33"/>
    <w:rsid w:val="002A707A"/>
    <w:rsid w:val="002A78ED"/>
    <w:rsid w:val="002B02D6"/>
    <w:rsid w:val="002B0F3F"/>
    <w:rsid w:val="002B11D4"/>
    <w:rsid w:val="002B1530"/>
    <w:rsid w:val="002B187A"/>
    <w:rsid w:val="002B1E73"/>
    <w:rsid w:val="002B1E80"/>
    <w:rsid w:val="002B21CA"/>
    <w:rsid w:val="002B25D2"/>
    <w:rsid w:val="002B2DBE"/>
    <w:rsid w:val="002B4F0D"/>
    <w:rsid w:val="002B7448"/>
    <w:rsid w:val="002B7C98"/>
    <w:rsid w:val="002C0FC0"/>
    <w:rsid w:val="002C1DDA"/>
    <w:rsid w:val="002C23BA"/>
    <w:rsid w:val="002C3BCE"/>
    <w:rsid w:val="002C3C56"/>
    <w:rsid w:val="002C3D70"/>
    <w:rsid w:val="002C4180"/>
    <w:rsid w:val="002C44A1"/>
    <w:rsid w:val="002C4695"/>
    <w:rsid w:val="002C5BC6"/>
    <w:rsid w:val="002C5DAB"/>
    <w:rsid w:val="002C7464"/>
    <w:rsid w:val="002C7E1C"/>
    <w:rsid w:val="002D1FF6"/>
    <w:rsid w:val="002D20E4"/>
    <w:rsid w:val="002D24F6"/>
    <w:rsid w:val="002D2994"/>
    <w:rsid w:val="002D32DE"/>
    <w:rsid w:val="002D398E"/>
    <w:rsid w:val="002D3A0A"/>
    <w:rsid w:val="002D3CA5"/>
    <w:rsid w:val="002D41AC"/>
    <w:rsid w:val="002D4CBF"/>
    <w:rsid w:val="002D532E"/>
    <w:rsid w:val="002D5779"/>
    <w:rsid w:val="002D6844"/>
    <w:rsid w:val="002D6FD3"/>
    <w:rsid w:val="002D706F"/>
    <w:rsid w:val="002D7CC0"/>
    <w:rsid w:val="002D7FAF"/>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E687E"/>
    <w:rsid w:val="002F112E"/>
    <w:rsid w:val="002F136E"/>
    <w:rsid w:val="002F1D0A"/>
    <w:rsid w:val="002F286C"/>
    <w:rsid w:val="002F3445"/>
    <w:rsid w:val="002F35B3"/>
    <w:rsid w:val="002F36D6"/>
    <w:rsid w:val="002F37A1"/>
    <w:rsid w:val="002F4008"/>
    <w:rsid w:val="002F419E"/>
    <w:rsid w:val="002F4674"/>
    <w:rsid w:val="002F4F26"/>
    <w:rsid w:val="002F5012"/>
    <w:rsid w:val="002F5C76"/>
    <w:rsid w:val="002F5DA7"/>
    <w:rsid w:val="002F5DAE"/>
    <w:rsid w:val="002F5DB7"/>
    <w:rsid w:val="002F61E5"/>
    <w:rsid w:val="002F663D"/>
    <w:rsid w:val="00300080"/>
    <w:rsid w:val="003001DE"/>
    <w:rsid w:val="0030052E"/>
    <w:rsid w:val="0030060E"/>
    <w:rsid w:val="00300CF5"/>
    <w:rsid w:val="0030106D"/>
    <w:rsid w:val="00301169"/>
    <w:rsid w:val="003015A5"/>
    <w:rsid w:val="003015A6"/>
    <w:rsid w:val="00302D26"/>
    <w:rsid w:val="003032B9"/>
    <w:rsid w:val="00303F22"/>
    <w:rsid w:val="00305F4D"/>
    <w:rsid w:val="00306B60"/>
    <w:rsid w:val="00306F02"/>
    <w:rsid w:val="00307B90"/>
    <w:rsid w:val="00310789"/>
    <w:rsid w:val="00310B31"/>
    <w:rsid w:val="00310E00"/>
    <w:rsid w:val="0031102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74E"/>
    <w:rsid w:val="00321274"/>
    <w:rsid w:val="00321289"/>
    <w:rsid w:val="00321B9B"/>
    <w:rsid w:val="00321D35"/>
    <w:rsid w:val="0032241C"/>
    <w:rsid w:val="00322801"/>
    <w:rsid w:val="003229AD"/>
    <w:rsid w:val="00322DF3"/>
    <w:rsid w:val="00323108"/>
    <w:rsid w:val="00324ABE"/>
    <w:rsid w:val="00324E9B"/>
    <w:rsid w:val="003262C7"/>
    <w:rsid w:val="00326E9F"/>
    <w:rsid w:val="00327787"/>
    <w:rsid w:val="00327991"/>
    <w:rsid w:val="00327BCB"/>
    <w:rsid w:val="00330898"/>
    <w:rsid w:val="00331035"/>
    <w:rsid w:val="003314D9"/>
    <w:rsid w:val="00331C01"/>
    <w:rsid w:val="00331CC5"/>
    <w:rsid w:val="00332AF4"/>
    <w:rsid w:val="00333287"/>
    <w:rsid w:val="0033353F"/>
    <w:rsid w:val="003339BF"/>
    <w:rsid w:val="003340B0"/>
    <w:rsid w:val="003342CB"/>
    <w:rsid w:val="00334384"/>
    <w:rsid w:val="003344F6"/>
    <w:rsid w:val="0033493D"/>
    <w:rsid w:val="00335DE4"/>
    <w:rsid w:val="003362B2"/>
    <w:rsid w:val="003364B0"/>
    <w:rsid w:val="00336CE5"/>
    <w:rsid w:val="00336DD6"/>
    <w:rsid w:val="003401DD"/>
    <w:rsid w:val="003403AE"/>
    <w:rsid w:val="00340820"/>
    <w:rsid w:val="0034085A"/>
    <w:rsid w:val="00340B0D"/>
    <w:rsid w:val="0034135C"/>
    <w:rsid w:val="003421AE"/>
    <w:rsid w:val="003426AC"/>
    <w:rsid w:val="00343BB6"/>
    <w:rsid w:val="00344596"/>
    <w:rsid w:val="00344AC3"/>
    <w:rsid w:val="00344ED8"/>
    <w:rsid w:val="003455DF"/>
    <w:rsid w:val="003459EF"/>
    <w:rsid w:val="00346AD4"/>
    <w:rsid w:val="00346EE7"/>
    <w:rsid w:val="003509A2"/>
    <w:rsid w:val="00350FAA"/>
    <w:rsid w:val="00351A13"/>
    <w:rsid w:val="00351E6F"/>
    <w:rsid w:val="003521CC"/>
    <w:rsid w:val="00352437"/>
    <w:rsid w:val="00352664"/>
    <w:rsid w:val="0035319F"/>
    <w:rsid w:val="003531EE"/>
    <w:rsid w:val="0035377D"/>
    <w:rsid w:val="0035645A"/>
    <w:rsid w:val="00356C62"/>
    <w:rsid w:val="00356E6E"/>
    <w:rsid w:val="00356E8D"/>
    <w:rsid w:val="00357F5F"/>
    <w:rsid w:val="00361576"/>
    <w:rsid w:val="0036169F"/>
    <w:rsid w:val="00362BBB"/>
    <w:rsid w:val="00363B9B"/>
    <w:rsid w:val="00363F52"/>
    <w:rsid w:val="0036446E"/>
    <w:rsid w:val="003644E9"/>
    <w:rsid w:val="00364931"/>
    <w:rsid w:val="003653FE"/>
    <w:rsid w:val="00365D01"/>
    <w:rsid w:val="003660A3"/>
    <w:rsid w:val="0036640F"/>
    <w:rsid w:val="0036722F"/>
    <w:rsid w:val="0036783E"/>
    <w:rsid w:val="0036790E"/>
    <w:rsid w:val="0037075B"/>
    <w:rsid w:val="00370E49"/>
    <w:rsid w:val="00371311"/>
    <w:rsid w:val="00372333"/>
    <w:rsid w:val="00372450"/>
    <w:rsid w:val="0037264D"/>
    <w:rsid w:val="00372657"/>
    <w:rsid w:val="00372A78"/>
    <w:rsid w:val="00372AAC"/>
    <w:rsid w:val="00372AB0"/>
    <w:rsid w:val="003735E2"/>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931"/>
    <w:rsid w:val="0038796E"/>
    <w:rsid w:val="0039094D"/>
    <w:rsid w:val="0039172F"/>
    <w:rsid w:val="00391E5C"/>
    <w:rsid w:val="00391E73"/>
    <w:rsid w:val="0039416E"/>
    <w:rsid w:val="0039436A"/>
    <w:rsid w:val="00394499"/>
    <w:rsid w:val="00395D30"/>
    <w:rsid w:val="0039633B"/>
    <w:rsid w:val="00396B67"/>
    <w:rsid w:val="00397857"/>
    <w:rsid w:val="003A00CF"/>
    <w:rsid w:val="003A02A6"/>
    <w:rsid w:val="003A0616"/>
    <w:rsid w:val="003A1B35"/>
    <w:rsid w:val="003A1E67"/>
    <w:rsid w:val="003A2970"/>
    <w:rsid w:val="003A2A86"/>
    <w:rsid w:val="003A2C6E"/>
    <w:rsid w:val="003A3C83"/>
    <w:rsid w:val="003A547B"/>
    <w:rsid w:val="003A59D5"/>
    <w:rsid w:val="003A6986"/>
    <w:rsid w:val="003A760F"/>
    <w:rsid w:val="003A7B93"/>
    <w:rsid w:val="003A7F31"/>
    <w:rsid w:val="003B0C4F"/>
    <w:rsid w:val="003B0D5A"/>
    <w:rsid w:val="003B0D81"/>
    <w:rsid w:val="003B2574"/>
    <w:rsid w:val="003B278E"/>
    <w:rsid w:val="003B3065"/>
    <w:rsid w:val="003B38B5"/>
    <w:rsid w:val="003B58B6"/>
    <w:rsid w:val="003B7418"/>
    <w:rsid w:val="003C0290"/>
    <w:rsid w:val="003C0A12"/>
    <w:rsid w:val="003C2596"/>
    <w:rsid w:val="003C2EC1"/>
    <w:rsid w:val="003C315A"/>
    <w:rsid w:val="003C3CB1"/>
    <w:rsid w:val="003C4477"/>
    <w:rsid w:val="003C46A3"/>
    <w:rsid w:val="003C4819"/>
    <w:rsid w:val="003C491F"/>
    <w:rsid w:val="003C4A8E"/>
    <w:rsid w:val="003C4AA6"/>
    <w:rsid w:val="003C5ABA"/>
    <w:rsid w:val="003C5F5C"/>
    <w:rsid w:val="003C690E"/>
    <w:rsid w:val="003C6B2F"/>
    <w:rsid w:val="003D0119"/>
    <w:rsid w:val="003D13B4"/>
    <w:rsid w:val="003D33AE"/>
    <w:rsid w:val="003D4182"/>
    <w:rsid w:val="003D457A"/>
    <w:rsid w:val="003D4BB7"/>
    <w:rsid w:val="003D5FF8"/>
    <w:rsid w:val="003D6588"/>
    <w:rsid w:val="003D6B8A"/>
    <w:rsid w:val="003D6D2A"/>
    <w:rsid w:val="003D6D2D"/>
    <w:rsid w:val="003D7C20"/>
    <w:rsid w:val="003D7CF5"/>
    <w:rsid w:val="003E1DD5"/>
    <w:rsid w:val="003E2040"/>
    <w:rsid w:val="003E2583"/>
    <w:rsid w:val="003E25FE"/>
    <w:rsid w:val="003E280F"/>
    <w:rsid w:val="003E3075"/>
    <w:rsid w:val="003E3152"/>
    <w:rsid w:val="003E3342"/>
    <w:rsid w:val="003E4F5C"/>
    <w:rsid w:val="003E5534"/>
    <w:rsid w:val="003E636F"/>
    <w:rsid w:val="003E6E9E"/>
    <w:rsid w:val="003E7279"/>
    <w:rsid w:val="003E7A79"/>
    <w:rsid w:val="003F13B5"/>
    <w:rsid w:val="003F35BE"/>
    <w:rsid w:val="003F3657"/>
    <w:rsid w:val="003F3FDE"/>
    <w:rsid w:val="003F454F"/>
    <w:rsid w:val="003F45A3"/>
    <w:rsid w:val="003F4862"/>
    <w:rsid w:val="003F4A79"/>
    <w:rsid w:val="003F4B65"/>
    <w:rsid w:val="003F4D31"/>
    <w:rsid w:val="003F4D92"/>
    <w:rsid w:val="003F5BE0"/>
    <w:rsid w:val="003F5FAB"/>
    <w:rsid w:val="003F5FB4"/>
    <w:rsid w:val="003F6774"/>
    <w:rsid w:val="003F6A15"/>
    <w:rsid w:val="003F6DD3"/>
    <w:rsid w:val="003F7046"/>
    <w:rsid w:val="003F77F4"/>
    <w:rsid w:val="003F78DA"/>
    <w:rsid w:val="0040025A"/>
    <w:rsid w:val="00400E34"/>
    <w:rsid w:val="00400E94"/>
    <w:rsid w:val="0040276D"/>
    <w:rsid w:val="004037B9"/>
    <w:rsid w:val="004038DD"/>
    <w:rsid w:val="00403D57"/>
    <w:rsid w:val="00405110"/>
    <w:rsid w:val="0040539E"/>
    <w:rsid w:val="0040736B"/>
    <w:rsid w:val="00410799"/>
    <w:rsid w:val="00410ACC"/>
    <w:rsid w:val="00410C00"/>
    <w:rsid w:val="00410C2B"/>
    <w:rsid w:val="00411919"/>
    <w:rsid w:val="004119A4"/>
    <w:rsid w:val="00411DFA"/>
    <w:rsid w:val="00412F73"/>
    <w:rsid w:val="004151B1"/>
    <w:rsid w:val="00415C47"/>
    <w:rsid w:val="00415FD6"/>
    <w:rsid w:val="00416AC3"/>
    <w:rsid w:val="00416FD8"/>
    <w:rsid w:val="0041726F"/>
    <w:rsid w:val="0041748C"/>
    <w:rsid w:val="00417B45"/>
    <w:rsid w:val="00417C4B"/>
    <w:rsid w:val="00417EC0"/>
    <w:rsid w:val="00417FBC"/>
    <w:rsid w:val="0042027C"/>
    <w:rsid w:val="004204DA"/>
    <w:rsid w:val="00420C1E"/>
    <w:rsid w:val="00420F05"/>
    <w:rsid w:val="00421722"/>
    <w:rsid w:val="0042297E"/>
    <w:rsid w:val="0042394F"/>
    <w:rsid w:val="004239E9"/>
    <w:rsid w:val="00424060"/>
    <w:rsid w:val="004246C5"/>
    <w:rsid w:val="00424BDE"/>
    <w:rsid w:val="00425F20"/>
    <w:rsid w:val="004261BF"/>
    <w:rsid w:val="0043051C"/>
    <w:rsid w:val="00430E46"/>
    <w:rsid w:val="00432ED3"/>
    <w:rsid w:val="00433C93"/>
    <w:rsid w:val="00434319"/>
    <w:rsid w:val="00434FB7"/>
    <w:rsid w:val="0043516A"/>
    <w:rsid w:val="0043533F"/>
    <w:rsid w:val="00435B2B"/>
    <w:rsid w:val="004404A3"/>
    <w:rsid w:val="00440E9B"/>
    <w:rsid w:val="00440FF2"/>
    <w:rsid w:val="00442981"/>
    <w:rsid w:val="00442E05"/>
    <w:rsid w:val="00442E08"/>
    <w:rsid w:val="004433E5"/>
    <w:rsid w:val="0044372A"/>
    <w:rsid w:val="00443E94"/>
    <w:rsid w:val="00443FF5"/>
    <w:rsid w:val="0044444E"/>
    <w:rsid w:val="0044553A"/>
    <w:rsid w:val="00446718"/>
    <w:rsid w:val="00446E89"/>
    <w:rsid w:val="00446F27"/>
    <w:rsid w:val="00447989"/>
    <w:rsid w:val="00447D07"/>
    <w:rsid w:val="004501C3"/>
    <w:rsid w:val="004506EF"/>
    <w:rsid w:val="00450FBF"/>
    <w:rsid w:val="00451A72"/>
    <w:rsid w:val="004527E3"/>
    <w:rsid w:val="00453BD9"/>
    <w:rsid w:val="00453E97"/>
    <w:rsid w:val="00454404"/>
    <w:rsid w:val="00454417"/>
    <w:rsid w:val="00454A94"/>
    <w:rsid w:val="00455017"/>
    <w:rsid w:val="0045507F"/>
    <w:rsid w:val="0045586B"/>
    <w:rsid w:val="004558C5"/>
    <w:rsid w:val="00455D03"/>
    <w:rsid w:val="00455DD1"/>
    <w:rsid w:val="0045667C"/>
    <w:rsid w:val="00456A31"/>
    <w:rsid w:val="00456C63"/>
    <w:rsid w:val="00457B06"/>
    <w:rsid w:val="00457D03"/>
    <w:rsid w:val="00460618"/>
    <w:rsid w:val="0046140B"/>
    <w:rsid w:val="00461697"/>
    <w:rsid w:val="004619D8"/>
    <w:rsid w:val="00462FE1"/>
    <w:rsid w:val="00463668"/>
    <w:rsid w:val="00463AE1"/>
    <w:rsid w:val="00463C1C"/>
    <w:rsid w:val="0046462C"/>
    <w:rsid w:val="0046464F"/>
    <w:rsid w:val="00464E41"/>
    <w:rsid w:val="0046535A"/>
    <w:rsid w:val="00465698"/>
    <w:rsid w:val="004678F2"/>
    <w:rsid w:val="00470893"/>
    <w:rsid w:val="00470BAF"/>
    <w:rsid w:val="00471418"/>
    <w:rsid w:val="004714F3"/>
    <w:rsid w:val="00471DBF"/>
    <w:rsid w:val="00472493"/>
    <w:rsid w:val="00472ACA"/>
    <w:rsid w:val="004734CB"/>
    <w:rsid w:val="004740AE"/>
    <w:rsid w:val="00474AB0"/>
    <w:rsid w:val="00475506"/>
    <w:rsid w:val="00475A71"/>
    <w:rsid w:val="004769BD"/>
    <w:rsid w:val="00476C15"/>
    <w:rsid w:val="00476F6E"/>
    <w:rsid w:val="004774F5"/>
    <w:rsid w:val="00477C4C"/>
    <w:rsid w:val="00480048"/>
    <w:rsid w:val="004806FE"/>
    <w:rsid w:val="00481D37"/>
    <w:rsid w:val="00482157"/>
    <w:rsid w:val="004821CA"/>
    <w:rsid w:val="004826FD"/>
    <w:rsid w:val="004828FD"/>
    <w:rsid w:val="00482D24"/>
    <w:rsid w:val="00482EC7"/>
    <w:rsid w:val="00482F47"/>
    <w:rsid w:val="00483AFC"/>
    <w:rsid w:val="00483FC3"/>
    <w:rsid w:val="004861DB"/>
    <w:rsid w:val="004864C1"/>
    <w:rsid w:val="00486544"/>
    <w:rsid w:val="00487382"/>
    <w:rsid w:val="004902E4"/>
    <w:rsid w:val="0049081B"/>
    <w:rsid w:val="00491AFB"/>
    <w:rsid w:val="00491F32"/>
    <w:rsid w:val="00492AE5"/>
    <w:rsid w:val="00492F6B"/>
    <w:rsid w:val="004934C7"/>
    <w:rsid w:val="00493933"/>
    <w:rsid w:val="00493D09"/>
    <w:rsid w:val="00496796"/>
    <w:rsid w:val="0049736C"/>
    <w:rsid w:val="0049736D"/>
    <w:rsid w:val="00497712"/>
    <w:rsid w:val="004A1F14"/>
    <w:rsid w:val="004A20BE"/>
    <w:rsid w:val="004A248E"/>
    <w:rsid w:val="004A2AD8"/>
    <w:rsid w:val="004A31C0"/>
    <w:rsid w:val="004A3D26"/>
    <w:rsid w:val="004A4667"/>
    <w:rsid w:val="004A5883"/>
    <w:rsid w:val="004A5F7E"/>
    <w:rsid w:val="004A7273"/>
    <w:rsid w:val="004A7543"/>
    <w:rsid w:val="004A78F7"/>
    <w:rsid w:val="004A7C07"/>
    <w:rsid w:val="004A7F74"/>
    <w:rsid w:val="004B0DB5"/>
    <w:rsid w:val="004B0F04"/>
    <w:rsid w:val="004B178C"/>
    <w:rsid w:val="004B26DC"/>
    <w:rsid w:val="004B2AD2"/>
    <w:rsid w:val="004B30BE"/>
    <w:rsid w:val="004B31D3"/>
    <w:rsid w:val="004B33F6"/>
    <w:rsid w:val="004B3E22"/>
    <w:rsid w:val="004B40BE"/>
    <w:rsid w:val="004B44E0"/>
    <w:rsid w:val="004B546B"/>
    <w:rsid w:val="004B5526"/>
    <w:rsid w:val="004B6090"/>
    <w:rsid w:val="004B65CF"/>
    <w:rsid w:val="004B67F4"/>
    <w:rsid w:val="004B6B1C"/>
    <w:rsid w:val="004B77FB"/>
    <w:rsid w:val="004C081C"/>
    <w:rsid w:val="004C20C8"/>
    <w:rsid w:val="004C221B"/>
    <w:rsid w:val="004C2815"/>
    <w:rsid w:val="004C2ADF"/>
    <w:rsid w:val="004C3FA5"/>
    <w:rsid w:val="004C442C"/>
    <w:rsid w:val="004C4DC8"/>
    <w:rsid w:val="004C4EF9"/>
    <w:rsid w:val="004C56D2"/>
    <w:rsid w:val="004C6321"/>
    <w:rsid w:val="004C66C6"/>
    <w:rsid w:val="004C66F9"/>
    <w:rsid w:val="004D0A36"/>
    <w:rsid w:val="004D0BA6"/>
    <w:rsid w:val="004D128A"/>
    <w:rsid w:val="004D18C0"/>
    <w:rsid w:val="004D2CE4"/>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872"/>
    <w:rsid w:val="004E4473"/>
    <w:rsid w:val="004E51A2"/>
    <w:rsid w:val="004E58E9"/>
    <w:rsid w:val="004E6090"/>
    <w:rsid w:val="004E7A16"/>
    <w:rsid w:val="004F0006"/>
    <w:rsid w:val="004F056B"/>
    <w:rsid w:val="004F0E6E"/>
    <w:rsid w:val="004F1098"/>
    <w:rsid w:val="004F2534"/>
    <w:rsid w:val="004F35DB"/>
    <w:rsid w:val="004F4273"/>
    <w:rsid w:val="004F4483"/>
    <w:rsid w:val="004F50DD"/>
    <w:rsid w:val="004F6238"/>
    <w:rsid w:val="004F6385"/>
    <w:rsid w:val="004F6858"/>
    <w:rsid w:val="004F7C93"/>
    <w:rsid w:val="005006E1"/>
    <w:rsid w:val="00500825"/>
    <w:rsid w:val="00501543"/>
    <w:rsid w:val="0050160B"/>
    <w:rsid w:val="005020DF"/>
    <w:rsid w:val="0050283F"/>
    <w:rsid w:val="00504247"/>
    <w:rsid w:val="00504F0B"/>
    <w:rsid w:val="00505FC0"/>
    <w:rsid w:val="00505FF4"/>
    <w:rsid w:val="0050624D"/>
    <w:rsid w:val="0050670E"/>
    <w:rsid w:val="00507292"/>
    <w:rsid w:val="0050732D"/>
    <w:rsid w:val="00507581"/>
    <w:rsid w:val="005106D5"/>
    <w:rsid w:val="0051164F"/>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E0B"/>
    <w:rsid w:val="005263F5"/>
    <w:rsid w:val="00526D32"/>
    <w:rsid w:val="00527A75"/>
    <w:rsid w:val="00527C3A"/>
    <w:rsid w:val="00527DD6"/>
    <w:rsid w:val="00530041"/>
    <w:rsid w:val="005303AD"/>
    <w:rsid w:val="00530A59"/>
    <w:rsid w:val="00530D3A"/>
    <w:rsid w:val="005312C3"/>
    <w:rsid w:val="00531C1C"/>
    <w:rsid w:val="00531D5D"/>
    <w:rsid w:val="00531FEB"/>
    <w:rsid w:val="005320A6"/>
    <w:rsid w:val="00532645"/>
    <w:rsid w:val="0053274B"/>
    <w:rsid w:val="005333D0"/>
    <w:rsid w:val="00533A90"/>
    <w:rsid w:val="00534166"/>
    <w:rsid w:val="005346E8"/>
    <w:rsid w:val="005363C3"/>
    <w:rsid w:val="005365CE"/>
    <w:rsid w:val="00536873"/>
    <w:rsid w:val="00536AF3"/>
    <w:rsid w:val="00536EA5"/>
    <w:rsid w:val="00537F58"/>
    <w:rsid w:val="00540888"/>
    <w:rsid w:val="00540B7B"/>
    <w:rsid w:val="00540C98"/>
    <w:rsid w:val="00541079"/>
    <w:rsid w:val="005412B3"/>
    <w:rsid w:val="005422D4"/>
    <w:rsid w:val="00542374"/>
    <w:rsid w:val="0054286D"/>
    <w:rsid w:val="00542F3F"/>
    <w:rsid w:val="00543D94"/>
    <w:rsid w:val="0054483D"/>
    <w:rsid w:val="00544B6F"/>
    <w:rsid w:val="00544F83"/>
    <w:rsid w:val="0054586F"/>
    <w:rsid w:val="00545BBB"/>
    <w:rsid w:val="00546453"/>
    <w:rsid w:val="005465A9"/>
    <w:rsid w:val="00546D2C"/>
    <w:rsid w:val="00547251"/>
    <w:rsid w:val="00547ACA"/>
    <w:rsid w:val="00547ED0"/>
    <w:rsid w:val="005502FB"/>
    <w:rsid w:val="00550503"/>
    <w:rsid w:val="0055097B"/>
    <w:rsid w:val="00550F62"/>
    <w:rsid w:val="00552361"/>
    <w:rsid w:val="00552509"/>
    <w:rsid w:val="0055285C"/>
    <w:rsid w:val="00552A0D"/>
    <w:rsid w:val="00552FAC"/>
    <w:rsid w:val="00553AB6"/>
    <w:rsid w:val="00553B5E"/>
    <w:rsid w:val="00553F2F"/>
    <w:rsid w:val="005540C9"/>
    <w:rsid w:val="00554B21"/>
    <w:rsid w:val="00555079"/>
    <w:rsid w:val="00555B26"/>
    <w:rsid w:val="00557191"/>
    <w:rsid w:val="00557829"/>
    <w:rsid w:val="00557C4C"/>
    <w:rsid w:val="0056026E"/>
    <w:rsid w:val="00560919"/>
    <w:rsid w:val="005620FC"/>
    <w:rsid w:val="0056423C"/>
    <w:rsid w:val="00564B49"/>
    <w:rsid w:val="00564D09"/>
    <w:rsid w:val="005652A3"/>
    <w:rsid w:val="00565BAD"/>
    <w:rsid w:val="00566134"/>
    <w:rsid w:val="005663CC"/>
    <w:rsid w:val="00567E9E"/>
    <w:rsid w:val="00570A5F"/>
    <w:rsid w:val="00570DD7"/>
    <w:rsid w:val="005712C1"/>
    <w:rsid w:val="0057159E"/>
    <w:rsid w:val="0057186C"/>
    <w:rsid w:val="00571BC5"/>
    <w:rsid w:val="00571CC6"/>
    <w:rsid w:val="00571D66"/>
    <w:rsid w:val="005722F4"/>
    <w:rsid w:val="00572401"/>
    <w:rsid w:val="005739C8"/>
    <w:rsid w:val="005743B5"/>
    <w:rsid w:val="00574A11"/>
    <w:rsid w:val="0057552B"/>
    <w:rsid w:val="005759E5"/>
    <w:rsid w:val="0057686C"/>
    <w:rsid w:val="00577E30"/>
    <w:rsid w:val="00581036"/>
    <w:rsid w:val="0058112C"/>
    <w:rsid w:val="005816BC"/>
    <w:rsid w:val="005818FA"/>
    <w:rsid w:val="00581EF7"/>
    <w:rsid w:val="00582A96"/>
    <w:rsid w:val="00583726"/>
    <w:rsid w:val="00584888"/>
    <w:rsid w:val="00584A54"/>
    <w:rsid w:val="00584DA9"/>
    <w:rsid w:val="00585CF9"/>
    <w:rsid w:val="00586573"/>
    <w:rsid w:val="005865C0"/>
    <w:rsid w:val="00587103"/>
    <w:rsid w:val="005874B5"/>
    <w:rsid w:val="00590979"/>
    <w:rsid w:val="00590986"/>
    <w:rsid w:val="00591352"/>
    <w:rsid w:val="00591F41"/>
    <w:rsid w:val="00592AFE"/>
    <w:rsid w:val="005931E9"/>
    <w:rsid w:val="00593CC5"/>
    <w:rsid w:val="00593DDD"/>
    <w:rsid w:val="00593EA8"/>
    <w:rsid w:val="005946EF"/>
    <w:rsid w:val="00594BEF"/>
    <w:rsid w:val="00595468"/>
    <w:rsid w:val="00595D63"/>
    <w:rsid w:val="005965F3"/>
    <w:rsid w:val="00596819"/>
    <w:rsid w:val="005A1980"/>
    <w:rsid w:val="005A269E"/>
    <w:rsid w:val="005A4351"/>
    <w:rsid w:val="005A46B2"/>
    <w:rsid w:val="005A4791"/>
    <w:rsid w:val="005A4900"/>
    <w:rsid w:val="005A4B4C"/>
    <w:rsid w:val="005A54DB"/>
    <w:rsid w:val="005A593B"/>
    <w:rsid w:val="005A61D8"/>
    <w:rsid w:val="005A6444"/>
    <w:rsid w:val="005A646E"/>
    <w:rsid w:val="005A7795"/>
    <w:rsid w:val="005B020F"/>
    <w:rsid w:val="005B15D2"/>
    <w:rsid w:val="005B177D"/>
    <w:rsid w:val="005B228E"/>
    <w:rsid w:val="005B25EF"/>
    <w:rsid w:val="005B2E6D"/>
    <w:rsid w:val="005B3227"/>
    <w:rsid w:val="005B62CD"/>
    <w:rsid w:val="005B6975"/>
    <w:rsid w:val="005B77BE"/>
    <w:rsid w:val="005C04B7"/>
    <w:rsid w:val="005C1C93"/>
    <w:rsid w:val="005C37F8"/>
    <w:rsid w:val="005C3AE7"/>
    <w:rsid w:val="005C3DC7"/>
    <w:rsid w:val="005C489D"/>
    <w:rsid w:val="005C4E64"/>
    <w:rsid w:val="005C54ED"/>
    <w:rsid w:val="005C58D8"/>
    <w:rsid w:val="005C5D57"/>
    <w:rsid w:val="005D0F57"/>
    <w:rsid w:val="005D0FE6"/>
    <w:rsid w:val="005D27D6"/>
    <w:rsid w:val="005D3804"/>
    <w:rsid w:val="005D3877"/>
    <w:rsid w:val="005D3C54"/>
    <w:rsid w:val="005D4FBC"/>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40BF"/>
    <w:rsid w:val="005E5645"/>
    <w:rsid w:val="005E5FED"/>
    <w:rsid w:val="005E61EC"/>
    <w:rsid w:val="005E7559"/>
    <w:rsid w:val="005F1840"/>
    <w:rsid w:val="005F1B2B"/>
    <w:rsid w:val="005F1E9B"/>
    <w:rsid w:val="005F2404"/>
    <w:rsid w:val="005F27A2"/>
    <w:rsid w:val="005F32B9"/>
    <w:rsid w:val="005F33DE"/>
    <w:rsid w:val="005F4607"/>
    <w:rsid w:val="005F4AD6"/>
    <w:rsid w:val="005F533A"/>
    <w:rsid w:val="005F5567"/>
    <w:rsid w:val="005F6222"/>
    <w:rsid w:val="005F7472"/>
    <w:rsid w:val="005F7507"/>
    <w:rsid w:val="005F76A6"/>
    <w:rsid w:val="005F774F"/>
    <w:rsid w:val="006006B6"/>
    <w:rsid w:val="00600AA9"/>
    <w:rsid w:val="00600EC4"/>
    <w:rsid w:val="0060185E"/>
    <w:rsid w:val="006046D7"/>
    <w:rsid w:val="0060479D"/>
    <w:rsid w:val="00604DCF"/>
    <w:rsid w:val="00604F92"/>
    <w:rsid w:val="006051ED"/>
    <w:rsid w:val="00605377"/>
    <w:rsid w:val="006053C4"/>
    <w:rsid w:val="0060568E"/>
    <w:rsid w:val="00605875"/>
    <w:rsid w:val="00605F1B"/>
    <w:rsid w:val="00606402"/>
    <w:rsid w:val="00606945"/>
    <w:rsid w:val="00606AE3"/>
    <w:rsid w:val="006078FA"/>
    <w:rsid w:val="00610928"/>
    <w:rsid w:val="006112F6"/>
    <w:rsid w:val="006114AC"/>
    <w:rsid w:val="00611923"/>
    <w:rsid w:val="0061219D"/>
    <w:rsid w:val="006131DC"/>
    <w:rsid w:val="00613209"/>
    <w:rsid w:val="00613356"/>
    <w:rsid w:val="0061351B"/>
    <w:rsid w:val="00613F55"/>
    <w:rsid w:val="00614136"/>
    <w:rsid w:val="0061426E"/>
    <w:rsid w:val="0061642B"/>
    <w:rsid w:val="006203B4"/>
    <w:rsid w:val="006203EB"/>
    <w:rsid w:val="006206ED"/>
    <w:rsid w:val="00620EFE"/>
    <w:rsid w:val="006214CE"/>
    <w:rsid w:val="006228FF"/>
    <w:rsid w:val="00622A8B"/>
    <w:rsid w:val="0062375C"/>
    <w:rsid w:val="006243B7"/>
    <w:rsid w:val="00624CE7"/>
    <w:rsid w:val="00624E3F"/>
    <w:rsid w:val="00624EF5"/>
    <w:rsid w:val="00625775"/>
    <w:rsid w:val="0062645C"/>
    <w:rsid w:val="0062666B"/>
    <w:rsid w:val="00627557"/>
    <w:rsid w:val="0062761A"/>
    <w:rsid w:val="006279D2"/>
    <w:rsid w:val="00627A7F"/>
    <w:rsid w:val="00630470"/>
    <w:rsid w:val="006309B9"/>
    <w:rsid w:val="00630A82"/>
    <w:rsid w:val="00631743"/>
    <w:rsid w:val="006322AE"/>
    <w:rsid w:val="00632347"/>
    <w:rsid w:val="006327E6"/>
    <w:rsid w:val="00632A16"/>
    <w:rsid w:val="00633317"/>
    <w:rsid w:val="0063375C"/>
    <w:rsid w:val="00634F25"/>
    <w:rsid w:val="00635362"/>
    <w:rsid w:val="00635CD8"/>
    <w:rsid w:val="0063632D"/>
    <w:rsid w:val="00636509"/>
    <w:rsid w:val="00636EEB"/>
    <w:rsid w:val="006375C5"/>
    <w:rsid w:val="006402D4"/>
    <w:rsid w:val="00640FC5"/>
    <w:rsid w:val="00641D76"/>
    <w:rsid w:val="00642BF0"/>
    <w:rsid w:val="006432F3"/>
    <w:rsid w:val="0064419D"/>
    <w:rsid w:val="006442ED"/>
    <w:rsid w:val="00644845"/>
    <w:rsid w:val="00645411"/>
    <w:rsid w:val="0064595C"/>
    <w:rsid w:val="00645C5A"/>
    <w:rsid w:val="006464A3"/>
    <w:rsid w:val="006465B1"/>
    <w:rsid w:val="006477DF"/>
    <w:rsid w:val="006500C2"/>
    <w:rsid w:val="00650D5C"/>
    <w:rsid w:val="006515FB"/>
    <w:rsid w:val="00651811"/>
    <w:rsid w:val="006530D9"/>
    <w:rsid w:val="0065316F"/>
    <w:rsid w:val="0065325C"/>
    <w:rsid w:val="00653388"/>
    <w:rsid w:val="00653562"/>
    <w:rsid w:val="0065368E"/>
    <w:rsid w:val="0065413A"/>
    <w:rsid w:val="0065457D"/>
    <w:rsid w:val="0065497F"/>
    <w:rsid w:val="00655469"/>
    <w:rsid w:val="00656102"/>
    <w:rsid w:val="006565EC"/>
    <w:rsid w:val="006566CF"/>
    <w:rsid w:val="006568BF"/>
    <w:rsid w:val="00656D04"/>
    <w:rsid w:val="00656D0D"/>
    <w:rsid w:val="0065799E"/>
    <w:rsid w:val="00660034"/>
    <w:rsid w:val="00660C7A"/>
    <w:rsid w:val="00660D2E"/>
    <w:rsid w:val="00661A1B"/>
    <w:rsid w:val="00662218"/>
    <w:rsid w:val="00662FEF"/>
    <w:rsid w:val="00663635"/>
    <w:rsid w:val="00663A1A"/>
    <w:rsid w:val="00664247"/>
    <w:rsid w:val="0066448F"/>
    <w:rsid w:val="00664DAE"/>
    <w:rsid w:val="006658F2"/>
    <w:rsid w:val="0066628A"/>
    <w:rsid w:val="00666E5C"/>
    <w:rsid w:val="00666F5C"/>
    <w:rsid w:val="006674CD"/>
    <w:rsid w:val="00667B2C"/>
    <w:rsid w:val="00667BBB"/>
    <w:rsid w:val="00667F9F"/>
    <w:rsid w:val="00670B9E"/>
    <w:rsid w:val="00670FA6"/>
    <w:rsid w:val="00671BAC"/>
    <w:rsid w:val="006720B5"/>
    <w:rsid w:val="006723A8"/>
    <w:rsid w:val="006727F8"/>
    <w:rsid w:val="00672ED6"/>
    <w:rsid w:val="00673274"/>
    <w:rsid w:val="00673516"/>
    <w:rsid w:val="00673C3F"/>
    <w:rsid w:val="006743E4"/>
    <w:rsid w:val="006747E9"/>
    <w:rsid w:val="00674A73"/>
    <w:rsid w:val="00674CC4"/>
    <w:rsid w:val="006759D7"/>
    <w:rsid w:val="006760C8"/>
    <w:rsid w:val="00676169"/>
    <w:rsid w:val="006764C9"/>
    <w:rsid w:val="006801C3"/>
    <w:rsid w:val="00680E90"/>
    <w:rsid w:val="00682B10"/>
    <w:rsid w:val="00682B96"/>
    <w:rsid w:val="0068303B"/>
    <w:rsid w:val="006841D2"/>
    <w:rsid w:val="00684DA3"/>
    <w:rsid w:val="006856E4"/>
    <w:rsid w:val="00685952"/>
    <w:rsid w:val="006859CA"/>
    <w:rsid w:val="006864B0"/>
    <w:rsid w:val="00687D49"/>
    <w:rsid w:val="00687DEE"/>
    <w:rsid w:val="00692034"/>
    <w:rsid w:val="0069205A"/>
    <w:rsid w:val="006922D4"/>
    <w:rsid w:val="006932E3"/>
    <w:rsid w:val="00694634"/>
    <w:rsid w:val="00695BB4"/>
    <w:rsid w:val="00695C46"/>
    <w:rsid w:val="00695DEC"/>
    <w:rsid w:val="0069691E"/>
    <w:rsid w:val="00696A11"/>
    <w:rsid w:val="0069751E"/>
    <w:rsid w:val="006977C4"/>
    <w:rsid w:val="006978B4"/>
    <w:rsid w:val="006A0148"/>
    <w:rsid w:val="006A0486"/>
    <w:rsid w:val="006A0C1D"/>
    <w:rsid w:val="006A18AC"/>
    <w:rsid w:val="006A1A89"/>
    <w:rsid w:val="006A2722"/>
    <w:rsid w:val="006A289B"/>
    <w:rsid w:val="006A310C"/>
    <w:rsid w:val="006A3268"/>
    <w:rsid w:val="006A4793"/>
    <w:rsid w:val="006A5AD1"/>
    <w:rsid w:val="006A5DB7"/>
    <w:rsid w:val="006A7560"/>
    <w:rsid w:val="006A7EEB"/>
    <w:rsid w:val="006B05FB"/>
    <w:rsid w:val="006B0B35"/>
    <w:rsid w:val="006B0EBD"/>
    <w:rsid w:val="006B13EA"/>
    <w:rsid w:val="006B1794"/>
    <w:rsid w:val="006B3056"/>
    <w:rsid w:val="006B3321"/>
    <w:rsid w:val="006B3866"/>
    <w:rsid w:val="006B538F"/>
    <w:rsid w:val="006B5614"/>
    <w:rsid w:val="006B6B2B"/>
    <w:rsid w:val="006B6DB5"/>
    <w:rsid w:val="006B6E5D"/>
    <w:rsid w:val="006B6EEF"/>
    <w:rsid w:val="006B7ABE"/>
    <w:rsid w:val="006C0047"/>
    <w:rsid w:val="006C0C35"/>
    <w:rsid w:val="006C26E2"/>
    <w:rsid w:val="006C2B63"/>
    <w:rsid w:val="006C4045"/>
    <w:rsid w:val="006C416F"/>
    <w:rsid w:val="006C5828"/>
    <w:rsid w:val="006C67AC"/>
    <w:rsid w:val="006C7333"/>
    <w:rsid w:val="006C7944"/>
    <w:rsid w:val="006C7BF6"/>
    <w:rsid w:val="006D029C"/>
    <w:rsid w:val="006D0520"/>
    <w:rsid w:val="006D08D6"/>
    <w:rsid w:val="006D0E50"/>
    <w:rsid w:val="006D1288"/>
    <w:rsid w:val="006D2356"/>
    <w:rsid w:val="006D28A5"/>
    <w:rsid w:val="006D3425"/>
    <w:rsid w:val="006D4343"/>
    <w:rsid w:val="006D6B64"/>
    <w:rsid w:val="006D7197"/>
    <w:rsid w:val="006D7BCA"/>
    <w:rsid w:val="006E1FF8"/>
    <w:rsid w:val="006E2FA8"/>
    <w:rsid w:val="006E4B5D"/>
    <w:rsid w:val="006E4F55"/>
    <w:rsid w:val="006E5CFD"/>
    <w:rsid w:val="006E67DE"/>
    <w:rsid w:val="006E6D60"/>
    <w:rsid w:val="006E6DC9"/>
    <w:rsid w:val="006E6E03"/>
    <w:rsid w:val="006E7B39"/>
    <w:rsid w:val="006E7CBD"/>
    <w:rsid w:val="006F0C1E"/>
    <w:rsid w:val="006F116D"/>
    <w:rsid w:val="006F11E8"/>
    <w:rsid w:val="006F134C"/>
    <w:rsid w:val="006F188C"/>
    <w:rsid w:val="006F1A4A"/>
    <w:rsid w:val="006F1C5F"/>
    <w:rsid w:val="006F3AAE"/>
    <w:rsid w:val="006F3FD5"/>
    <w:rsid w:val="006F443A"/>
    <w:rsid w:val="006F48A6"/>
    <w:rsid w:val="006F563B"/>
    <w:rsid w:val="006F5938"/>
    <w:rsid w:val="006F608A"/>
    <w:rsid w:val="006F6362"/>
    <w:rsid w:val="006F664E"/>
    <w:rsid w:val="006F6D2C"/>
    <w:rsid w:val="006F720A"/>
    <w:rsid w:val="006F7574"/>
    <w:rsid w:val="006F7CA1"/>
    <w:rsid w:val="006F7D84"/>
    <w:rsid w:val="007003BD"/>
    <w:rsid w:val="007003D9"/>
    <w:rsid w:val="00700FA0"/>
    <w:rsid w:val="00700FBE"/>
    <w:rsid w:val="007014AC"/>
    <w:rsid w:val="00701787"/>
    <w:rsid w:val="00701D60"/>
    <w:rsid w:val="00701E1F"/>
    <w:rsid w:val="0070357C"/>
    <w:rsid w:val="00703B6D"/>
    <w:rsid w:val="00704CF7"/>
    <w:rsid w:val="00704D48"/>
    <w:rsid w:val="00705858"/>
    <w:rsid w:val="00705875"/>
    <w:rsid w:val="00706CCB"/>
    <w:rsid w:val="0070758E"/>
    <w:rsid w:val="00707651"/>
    <w:rsid w:val="00707BAB"/>
    <w:rsid w:val="00710422"/>
    <w:rsid w:val="00710559"/>
    <w:rsid w:val="007116C6"/>
    <w:rsid w:val="00712EA1"/>
    <w:rsid w:val="00713E8A"/>
    <w:rsid w:val="00713F5C"/>
    <w:rsid w:val="00714BB4"/>
    <w:rsid w:val="00714C10"/>
    <w:rsid w:val="00714DF9"/>
    <w:rsid w:val="00715073"/>
    <w:rsid w:val="007157F6"/>
    <w:rsid w:val="00715D23"/>
    <w:rsid w:val="00715EDF"/>
    <w:rsid w:val="00720BDC"/>
    <w:rsid w:val="00721AB1"/>
    <w:rsid w:val="00721EE1"/>
    <w:rsid w:val="0072395E"/>
    <w:rsid w:val="00723AB7"/>
    <w:rsid w:val="00723E7D"/>
    <w:rsid w:val="0072482D"/>
    <w:rsid w:val="00724E63"/>
    <w:rsid w:val="00725E15"/>
    <w:rsid w:val="00726372"/>
    <w:rsid w:val="0072686C"/>
    <w:rsid w:val="00727638"/>
    <w:rsid w:val="007313A1"/>
    <w:rsid w:val="0073185F"/>
    <w:rsid w:val="00731949"/>
    <w:rsid w:val="00731B77"/>
    <w:rsid w:val="00732030"/>
    <w:rsid w:val="00732A88"/>
    <w:rsid w:val="00732D9A"/>
    <w:rsid w:val="00732F0D"/>
    <w:rsid w:val="00733C81"/>
    <w:rsid w:val="00733DC6"/>
    <w:rsid w:val="00734538"/>
    <w:rsid w:val="00734892"/>
    <w:rsid w:val="00734B4D"/>
    <w:rsid w:val="00734CEF"/>
    <w:rsid w:val="007350DF"/>
    <w:rsid w:val="007350E5"/>
    <w:rsid w:val="0073565C"/>
    <w:rsid w:val="007357A9"/>
    <w:rsid w:val="00736775"/>
    <w:rsid w:val="00737049"/>
    <w:rsid w:val="007371B4"/>
    <w:rsid w:val="0073796D"/>
    <w:rsid w:val="0074213C"/>
    <w:rsid w:val="007434F4"/>
    <w:rsid w:val="00743BAB"/>
    <w:rsid w:val="00743F5B"/>
    <w:rsid w:val="00744650"/>
    <w:rsid w:val="00744B29"/>
    <w:rsid w:val="00744D40"/>
    <w:rsid w:val="007455F0"/>
    <w:rsid w:val="00745862"/>
    <w:rsid w:val="00745BDF"/>
    <w:rsid w:val="0074648B"/>
    <w:rsid w:val="0074670A"/>
    <w:rsid w:val="00746AD9"/>
    <w:rsid w:val="00746CD7"/>
    <w:rsid w:val="00746F6F"/>
    <w:rsid w:val="00747615"/>
    <w:rsid w:val="00747765"/>
    <w:rsid w:val="00750DB7"/>
    <w:rsid w:val="00750F25"/>
    <w:rsid w:val="007510AE"/>
    <w:rsid w:val="00752AA6"/>
    <w:rsid w:val="00754069"/>
    <w:rsid w:val="007549BE"/>
    <w:rsid w:val="00754CFB"/>
    <w:rsid w:val="00755825"/>
    <w:rsid w:val="007558AB"/>
    <w:rsid w:val="00757A79"/>
    <w:rsid w:val="00760741"/>
    <w:rsid w:val="007607C1"/>
    <w:rsid w:val="00762007"/>
    <w:rsid w:val="007634AA"/>
    <w:rsid w:val="00764B04"/>
    <w:rsid w:val="00765D7A"/>
    <w:rsid w:val="00766086"/>
    <w:rsid w:val="007667AB"/>
    <w:rsid w:val="00766BD4"/>
    <w:rsid w:val="00766D9A"/>
    <w:rsid w:val="00767342"/>
    <w:rsid w:val="00767362"/>
    <w:rsid w:val="00767D7E"/>
    <w:rsid w:val="00770374"/>
    <w:rsid w:val="0077050D"/>
    <w:rsid w:val="00770782"/>
    <w:rsid w:val="00770CBD"/>
    <w:rsid w:val="00772E8D"/>
    <w:rsid w:val="00773CFE"/>
    <w:rsid w:val="00774BC1"/>
    <w:rsid w:val="00774E72"/>
    <w:rsid w:val="00775951"/>
    <w:rsid w:val="007761C8"/>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99F"/>
    <w:rsid w:val="007879AB"/>
    <w:rsid w:val="00787B18"/>
    <w:rsid w:val="00787C66"/>
    <w:rsid w:val="007909B9"/>
    <w:rsid w:val="00790FD8"/>
    <w:rsid w:val="007923DE"/>
    <w:rsid w:val="00792D83"/>
    <w:rsid w:val="007937CB"/>
    <w:rsid w:val="00793B02"/>
    <w:rsid w:val="0079459E"/>
    <w:rsid w:val="00794759"/>
    <w:rsid w:val="00794BFD"/>
    <w:rsid w:val="0079635D"/>
    <w:rsid w:val="00796837"/>
    <w:rsid w:val="00796A7B"/>
    <w:rsid w:val="00797A08"/>
    <w:rsid w:val="00797F21"/>
    <w:rsid w:val="007A044C"/>
    <w:rsid w:val="007A044F"/>
    <w:rsid w:val="007A0952"/>
    <w:rsid w:val="007A0BD2"/>
    <w:rsid w:val="007A0CBF"/>
    <w:rsid w:val="007A1754"/>
    <w:rsid w:val="007A233A"/>
    <w:rsid w:val="007A3060"/>
    <w:rsid w:val="007A332A"/>
    <w:rsid w:val="007A4627"/>
    <w:rsid w:val="007A4B97"/>
    <w:rsid w:val="007A5A78"/>
    <w:rsid w:val="007A6435"/>
    <w:rsid w:val="007A661F"/>
    <w:rsid w:val="007B16C2"/>
    <w:rsid w:val="007B1D1C"/>
    <w:rsid w:val="007B22EE"/>
    <w:rsid w:val="007B26E6"/>
    <w:rsid w:val="007B429C"/>
    <w:rsid w:val="007B66D2"/>
    <w:rsid w:val="007B7042"/>
    <w:rsid w:val="007B74FE"/>
    <w:rsid w:val="007B7CF9"/>
    <w:rsid w:val="007C03F5"/>
    <w:rsid w:val="007C1A47"/>
    <w:rsid w:val="007C1CE9"/>
    <w:rsid w:val="007C3361"/>
    <w:rsid w:val="007C34F7"/>
    <w:rsid w:val="007C3AAE"/>
    <w:rsid w:val="007C4509"/>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200"/>
    <w:rsid w:val="007D7839"/>
    <w:rsid w:val="007D796F"/>
    <w:rsid w:val="007D7B97"/>
    <w:rsid w:val="007E0EE9"/>
    <w:rsid w:val="007E1BF7"/>
    <w:rsid w:val="007E2813"/>
    <w:rsid w:val="007E2D68"/>
    <w:rsid w:val="007E2EAA"/>
    <w:rsid w:val="007E5780"/>
    <w:rsid w:val="007E61DD"/>
    <w:rsid w:val="007E72F1"/>
    <w:rsid w:val="007E75F8"/>
    <w:rsid w:val="007F0229"/>
    <w:rsid w:val="007F0688"/>
    <w:rsid w:val="007F0FB2"/>
    <w:rsid w:val="007F1939"/>
    <w:rsid w:val="007F19E7"/>
    <w:rsid w:val="007F2037"/>
    <w:rsid w:val="007F2092"/>
    <w:rsid w:val="007F5ACA"/>
    <w:rsid w:val="007F6AEA"/>
    <w:rsid w:val="007F72A7"/>
    <w:rsid w:val="007F78BF"/>
    <w:rsid w:val="0080092B"/>
    <w:rsid w:val="00800BDB"/>
    <w:rsid w:val="00801A84"/>
    <w:rsid w:val="00801FFF"/>
    <w:rsid w:val="0080287F"/>
    <w:rsid w:val="00806094"/>
    <w:rsid w:val="00806B7A"/>
    <w:rsid w:val="00806F8E"/>
    <w:rsid w:val="00807DE8"/>
    <w:rsid w:val="00810C6D"/>
    <w:rsid w:val="0081149C"/>
    <w:rsid w:val="00811AC4"/>
    <w:rsid w:val="00811CEC"/>
    <w:rsid w:val="00811E6E"/>
    <w:rsid w:val="00812013"/>
    <w:rsid w:val="008128A7"/>
    <w:rsid w:val="008142C9"/>
    <w:rsid w:val="00814326"/>
    <w:rsid w:val="008159F9"/>
    <w:rsid w:val="00815EB0"/>
    <w:rsid w:val="008162EA"/>
    <w:rsid w:val="008169BA"/>
    <w:rsid w:val="00816C59"/>
    <w:rsid w:val="00816EB2"/>
    <w:rsid w:val="00817360"/>
    <w:rsid w:val="00817BC8"/>
    <w:rsid w:val="00820152"/>
    <w:rsid w:val="008215DE"/>
    <w:rsid w:val="00821689"/>
    <w:rsid w:val="008216A7"/>
    <w:rsid w:val="008219CC"/>
    <w:rsid w:val="00821C69"/>
    <w:rsid w:val="00824342"/>
    <w:rsid w:val="008248D5"/>
    <w:rsid w:val="00824962"/>
    <w:rsid w:val="008249F6"/>
    <w:rsid w:val="00825E9C"/>
    <w:rsid w:val="0082659C"/>
    <w:rsid w:val="00827A9B"/>
    <w:rsid w:val="00827F75"/>
    <w:rsid w:val="008307CE"/>
    <w:rsid w:val="00830C05"/>
    <w:rsid w:val="00830EB5"/>
    <w:rsid w:val="00831B9E"/>
    <w:rsid w:val="00831E8E"/>
    <w:rsid w:val="0083296E"/>
    <w:rsid w:val="00834191"/>
    <w:rsid w:val="008358D1"/>
    <w:rsid w:val="00835B7A"/>
    <w:rsid w:val="00835D84"/>
    <w:rsid w:val="00836C94"/>
    <w:rsid w:val="008371A4"/>
    <w:rsid w:val="00840E30"/>
    <w:rsid w:val="00843379"/>
    <w:rsid w:val="00843EDD"/>
    <w:rsid w:val="00845041"/>
    <w:rsid w:val="00845255"/>
    <w:rsid w:val="00846193"/>
    <w:rsid w:val="008466DB"/>
    <w:rsid w:val="00846870"/>
    <w:rsid w:val="00847963"/>
    <w:rsid w:val="00847D63"/>
    <w:rsid w:val="008516BF"/>
    <w:rsid w:val="00851BAC"/>
    <w:rsid w:val="0085261F"/>
    <w:rsid w:val="00852B20"/>
    <w:rsid w:val="00852D1D"/>
    <w:rsid w:val="00853E94"/>
    <w:rsid w:val="0085553B"/>
    <w:rsid w:val="00855E6E"/>
    <w:rsid w:val="0085628F"/>
    <w:rsid w:val="008569B2"/>
    <w:rsid w:val="00856FFF"/>
    <w:rsid w:val="008573CC"/>
    <w:rsid w:val="008611DC"/>
    <w:rsid w:val="008621D3"/>
    <w:rsid w:val="00863A17"/>
    <w:rsid w:val="008653C6"/>
    <w:rsid w:val="00865683"/>
    <w:rsid w:val="008673DC"/>
    <w:rsid w:val="00867590"/>
    <w:rsid w:val="00867641"/>
    <w:rsid w:val="00870627"/>
    <w:rsid w:val="00871733"/>
    <w:rsid w:val="00871DF5"/>
    <w:rsid w:val="00872158"/>
    <w:rsid w:val="0087321A"/>
    <w:rsid w:val="008736E3"/>
    <w:rsid w:val="008749B8"/>
    <w:rsid w:val="00875300"/>
    <w:rsid w:val="00875724"/>
    <w:rsid w:val="00876A83"/>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F26"/>
    <w:rsid w:val="00887491"/>
    <w:rsid w:val="00887E88"/>
    <w:rsid w:val="00891E08"/>
    <w:rsid w:val="00891E41"/>
    <w:rsid w:val="00891FDF"/>
    <w:rsid w:val="00894429"/>
    <w:rsid w:val="008945E7"/>
    <w:rsid w:val="008947B9"/>
    <w:rsid w:val="00894DCD"/>
    <w:rsid w:val="0089532B"/>
    <w:rsid w:val="008957F1"/>
    <w:rsid w:val="0089585D"/>
    <w:rsid w:val="008959F7"/>
    <w:rsid w:val="00896675"/>
    <w:rsid w:val="008968E3"/>
    <w:rsid w:val="00897898"/>
    <w:rsid w:val="00897E4E"/>
    <w:rsid w:val="008A141A"/>
    <w:rsid w:val="008A2339"/>
    <w:rsid w:val="008A240D"/>
    <w:rsid w:val="008A3BA3"/>
    <w:rsid w:val="008A3D61"/>
    <w:rsid w:val="008A4F2D"/>
    <w:rsid w:val="008A501A"/>
    <w:rsid w:val="008A5074"/>
    <w:rsid w:val="008A5AE0"/>
    <w:rsid w:val="008A5BAF"/>
    <w:rsid w:val="008A691E"/>
    <w:rsid w:val="008A695E"/>
    <w:rsid w:val="008A75AF"/>
    <w:rsid w:val="008A76FA"/>
    <w:rsid w:val="008A7736"/>
    <w:rsid w:val="008A7F20"/>
    <w:rsid w:val="008B0355"/>
    <w:rsid w:val="008B0B11"/>
    <w:rsid w:val="008B15B0"/>
    <w:rsid w:val="008B15B4"/>
    <w:rsid w:val="008B20F7"/>
    <w:rsid w:val="008B244C"/>
    <w:rsid w:val="008B31C6"/>
    <w:rsid w:val="008B4711"/>
    <w:rsid w:val="008B4F2E"/>
    <w:rsid w:val="008B50F7"/>
    <w:rsid w:val="008B514C"/>
    <w:rsid w:val="008B5163"/>
    <w:rsid w:val="008B522C"/>
    <w:rsid w:val="008B609D"/>
    <w:rsid w:val="008B778A"/>
    <w:rsid w:val="008B7E83"/>
    <w:rsid w:val="008C067C"/>
    <w:rsid w:val="008C164C"/>
    <w:rsid w:val="008C19AE"/>
    <w:rsid w:val="008C1C61"/>
    <w:rsid w:val="008C22D7"/>
    <w:rsid w:val="008C2FCA"/>
    <w:rsid w:val="008C3527"/>
    <w:rsid w:val="008C3A76"/>
    <w:rsid w:val="008C4DFA"/>
    <w:rsid w:val="008C4F1E"/>
    <w:rsid w:val="008C594F"/>
    <w:rsid w:val="008C5A1C"/>
    <w:rsid w:val="008C5B94"/>
    <w:rsid w:val="008C6117"/>
    <w:rsid w:val="008C6333"/>
    <w:rsid w:val="008C6ADE"/>
    <w:rsid w:val="008C7258"/>
    <w:rsid w:val="008C733B"/>
    <w:rsid w:val="008C7818"/>
    <w:rsid w:val="008C79D6"/>
    <w:rsid w:val="008C7B5F"/>
    <w:rsid w:val="008D0684"/>
    <w:rsid w:val="008D0D37"/>
    <w:rsid w:val="008D1482"/>
    <w:rsid w:val="008D153C"/>
    <w:rsid w:val="008D1806"/>
    <w:rsid w:val="008D1B44"/>
    <w:rsid w:val="008D1BB9"/>
    <w:rsid w:val="008D2D82"/>
    <w:rsid w:val="008D2E5C"/>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45"/>
    <w:rsid w:val="008E4DF5"/>
    <w:rsid w:val="008E563A"/>
    <w:rsid w:val="008E59C1"/>
    <w:rsid w:val="008E718F"/>
    <w:rsid w:val="008E7F2B"/>
    <w:rsid w:val="008F029D"/>
    <w:rsid w:val="008F0475"/>
    <w:rsid w:val="008F0EC0"/>
    <w:rsid w:val="008F1B75"/>
    <w:rsid w:val="008F1F4A"/>
    <w:rsid w:val="008F29FA"/>
    <w:rsid w:val="008F2B65"/>
    <w:rsid w:val="008F2C11"/>
    <w:rsid w:val="008F382A"/>
    <w:rsid w:val="008F4736"/>
    <w:rsid w:val="008F5164"/>
    <w:rsid w:val="008F5702"/>
    <w:rsid w:val="008F57BA"/>
    <w:rsid w:val="008F59C8"/>
    <w:rsid w:val="008F6117"/>
    <w:rsid w:val="008F6491"/>
    <w:rsid w:val="008F6895"/>
    <w:rsid w:val="008F6F43"/>
    <w:rsid w:val="008F711A"/>
    <w:rsid w:val="008F76C2"/>
    <w:rsid w:val="008F7829"/>
    <w:rsid w:val="00900764"/>
    <w:rsid w:val="009007C9"/>
    <w:rsid w:val="00900BCA"/>
    <w:rsid w:val="00901D53"/>
    <w:rsid w:val="00901EBD"/>
    <w:rsid w:val="0090220F"/>
    <w:rsid w:val="00902602"/>
    <w:rsid w:val="00902654"/>
    <w:rsid w:val="00902C05"/>
    <w:rsid w:val="00902CB2"/>
    <w:rsid w:val="00903157"/>
    <w:rsid w:val="00903E3D"/>
    <w:rsid w:val="00903F1A"/>
    <w:rsid w:val="0090520B"/>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D66"/>
    <w:rsid w:val="0091576B"/>
    <w:rsid w:val="00915EFC"/>
    <w:rsid w:val="009160D1"/>
    <w:rsid w:val="009171F1"/>
    <w:rsid w:val="009172A5"/>
    <w:rsid w:val="00917B2E"/>
    <w:rsid w:val="009200D8"/>
    <w:rsid w:val="009201C8"/>
    <w:rsid w:val="009208F6"/>
    <w:rsid w:val="00921EBA"/>
    <w:rsid w:val="00921EFF"/>
    <w:rsid w:val="009224E6"/>
    <w:rsid w:val="00922677"/>
    <w:rsid w:val="009227EE"/>
    <w:rsid w:val="00923EFB"/>
    <w:rsid w:val="00924B14"/>
    <w:rsid w:val="009266B7"/>
    <w:rsid w:val="00926769"/>
    <w:rsid w:val="00926E54"/>
    <w:rsid w:val="00927CB0"/>
    <w:rsid w:val="00927D5A"/>
    <w:rsid w:val="00930021"/>
    <w:rsid w:val="009305F2"/>
    <w:rsid w:val="00931367"/>
    <w:rsid w:val="009315C5"/>
    <w:rsid w:val="009317EA"/>
    <w:rsid w:val="009319C7"/>
    <w:rsid w:val="009319E5"/>
    <w:rsid w:val="00931AB9"/>
    <w:rsid w:val="00932598"/>
    <w:rsid w:val="009327CF"/>
    <w:rsid w:val="00932BEA"/>
    <w:rsid w:val="00932DF2"/>
    <w:rsid w:val="00933950"/>
    <w:rsid w:val="009342EF"/>
    <w:rsid w:val="0093457C"/>
    <w:rsid w:val="00934D1F"/>
    <w:rsid w:val="009357DA"/>
    <w:rsid w:val="00935909"/>
    <w:rsid w:val="009360CE"/>
    <w:rsid w:val="00936746"/>
    <w:rsid w:val="00936AEE"/>
    <w:rsid w:val="00937396"/>
    <w:rsid w:val="0093743D"/>
    <w:rsid w:val="0093788D"/>
    <w:rsid w:val="00937B7C"/>
    <w:rsid w:val="0094049E"/>
    <w:rsid w:val="00940776"/>
    <w:rsid w:val="00940E72"/>
    <w:rsid w:val="009428C5"/>
    <w:rsid w:val="00942AD9"/>
    <w:rsid w:val="00942F76"/>
    <w:rsid w:val="00943535"/>
    <w:rsid w:val="00943F19"/>
    <w:rsid w:val="009445EB"/>
    <w:rsid w:val="00944909"/>
    <w:rsid w:val="00946A04"/>
    <w:rsid w:val="00947251"/>
    <w:rsid w:val="00947A6D"/>
    <w:rsid w:val="00947F99"/>
    <w:rsid w:val="00950C1E"/>
    <w:rsid w:val="009513F2"/>
    <w:rsid w:val="009526D2"/>
    <w:rsid w:val="00953493"/>
    <w:rsid w:val="00953A91"/>
    <w:rsid w:val="00953E45"/>
    <w:rsid w:val="00954253"/>
    <w:rsid w:val="009555D0"/>
    <w:rsid w:val="009573D1"/>
    <w:rsid w:val="00957717"/>
    <w:rsid w:val="009577DB"/>
    <w:rsid w:val="00960A4C"/>
    <w:rsid w:val="00960BC7"/>
    <w:rsid w:val="00962E4C"/>
    <w:rsid w:val="00962E69"/>
    <w:rsid w:val="00963154"/>
    <w:rsid w:val="00963206"/>
    <w:rsid w:val="009647E8"/>
    <w:rsid w:val="00965214"/>
    <w:rsid w:val="00965AA9"/>
    <w:rsid w:val="009666E7"/>
    <w:rsid w:val="00966B95"/>
    <w:rsid w:val="00966F3D"/>
    <w:rsid w:val="0096784E"/>
    <w:rsid w:val="00967F74"/>
    <w:rsid w:val="0097181A"/>
    <w:rsid w:val="00971E84"/>
    <w:rsid w:val="009724D6"/>
    <w:rsid w:val="009737E9"/>
    <w:rsid w:val="009741E3"/>
    <w:rsid w:val="0097421C"/>
    <w:rsid w:val="00974736"/>
    <w:rsid w:val="009751D5"/>
    <w:rsid w:val="00975B31"/>
    <w:rsid w:val="009804B6"/>
    <w:rsid w:val="00980F5B"/>
    <w:rsid w:val="00980FB0"/>
    <w:rsid w:val="00981570"/>
    <w:rsid w:val="00981B9A"/>
    <w:rsid w:val="00982D38"/>
    <w:rsid w:val="0098332A"/>
    <w:rsid w:val="00983C30"/>
    <w:rsid w:val="00984ABF"/>
    <w:rsid w:val="00984D9C"/>
    <w:rsid w:val="0098544F"/>
    <w:rsid w:val="009857CC"/>
    <w:rsid w:val="00986126"/>
    <w:rsid w:val="00987655"/>
    <w:rsid w:val="00987A88"/>
    <w:rsid w:val="00987D35"/>
    <w:rsid w:val="0099018B"/>
    <w:rsid w:val="00990447"/>
    <w:rsid w:val="00990E0B"/>
    <w:rsid w:val="00991642"/>
    <w:rsid w:val="009918CE"/>
    <w:rsid w:val="00991FC8"/>
    <w:rsid w:val="009922D8"/>
    <w:rsid w:val="009923CB"/>
    <w:rsid w:val="0099380A"/>
    <w:rsid w:val="009944EA"/>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B7F"/>
    <w:rsid w:val="009A202E"/>
    <w:rsid w:val="009A383F"/>
    <w:rsid w:val="009A47B3"/>
    <w:rsid w:val="009A485F"/>
    <w:rsid w:val="009A4A0B"/>
    <w:rsid w:val="009A58C0"/>
    <w:rsid w:val="009A58DF"/>
    <w:rsid w:val="009A5CED"/>
    <w:rsid w:val="009A5ED2"/>
    <w:rsid w:val="009A6B3E"/>
    <w:rsid w:val="009B0948"/>
    <w:rsid w:val="009B1D34"/>
    <w:rsid w:val="009B2BB1"/>
    <w:rsid w:val="009B2E22"/>
    <w:rsid w:val="009B347F"/>
    <w:rsid w:val="009B39DD"/>
    <w:rsid w:val="009B4C75"/>
    <w:rsid w:val="009B4E58"/>
    <w:rsid w:val="009B5BFD"/>
    <w:rsid w:val="009B5F4C"/>
    <w:rsid w:val="009B6E83"/>
    <w:rsid w:val="009B77F0"/>
    <w:rsid w:val="009B7853"/>
    <w:rsid w:val="009C0BE2"/>
    <w:rsid w:val="009C1131"/>
    <w:rsid w:val="009C1C62"/>
    <w:rsid w:val="009C202E"/>
    <w:rsid w:val="009C2FFF"/>
    <w:rsid w:val="009C3186"/>
    <w:rsid w:val="009C3E6C"/>
    <w:rsid w:val="009C40F3"/>
    <w:rsid w:val="009C4E44"/>
    <w:rsid w:val="009C4F23"/>
    <w:rsid w:val="009C537D"/>
    <w:rsid w:val="009C5AC3"/>
    <w:rsid w:val="009C65C1"/>
    <w:rsid w:val="009C6BCA"/>
    <w:rsid w:val="009C71A2"/>
    <w:rsid w:val="009C74DE"/>
    <w:rsid w:val="009C7CBA"/>
    <w:rsid w:val="009C7CCC"/>
    <w:rsid w:val="009D0133"/>
    <w:rsid w:val="009D093A"/>
    <w:rsid w:val="009D0C93"/>
    <w:rsid w:val="009D1126"/>
    <w:rsid w:val="009D1ADE"/>
    <w:rsid w:val="009D2798"/>
    <w:rsid w:val="009D2ECA"/>
    <w:rsid w:val="009D4425"/>
    <w:rsid w:val="009D4892"/>
    <w:rsid w:val="009D4B61"/>
    <w:rsid w:val="009D4BE7"/>
    <w:rsid w:val="009D64EC"/>
    <w:rsid w:val="009D73EE"/>
    <w:rsid w:val="009E0257"/>
    <w:rsid w:val="009E0604"/>
    <w:rsid w:val="009E18AA"/>
    <w:rsid w:val="009E1B6A"/>
    <w:rsid w:val="009E1C77"/>
    <w:rsid w:val="009E207B"/>
    <w:rsid w:val="009E30B6"/>
    <w:rsid w:val="009E359C"/>
    <w:rsid w:val="009E39F6"/>
    <w:rsid w:val="009E3AA3"/>
    <w:rsid w:val="009E4EC3"/>
    <w:rsid w:val="009E513F"/>
    <w:rsid w:val="009E551E"/>
    <w:rsid w:val="009E5AFE"/>
    <w:rsid w:val="009E6D23"/>
    <w:rsid w:val="009F0396"/>
    <w:rsid w:val="009F1C92"/>
    <w:rsid w:val="009F1CAA"/>
    <w:rsid w:val="009F1CD7"/>
    <w:rsid w:val="009F2D77"/>
    <w:rsid w:val="009F40A3"/>
    <w:rsid w:val="009F4AFF"/>
    <w:rsid w:val="009F4F2D"/>
    <w:rsid w:val="009F4FEB"/>
    <w:rsid w:val="009F5AFD"/>
    <w:rsid w:val="009F5FAE"/>
    <w:rsid w:val="009F6FD1"/>
    <w:rsid w:val="00A00739"/>
    <w:rsid w:val="00A00F79"/>
    <w:rsid w:val="00A0107E"/>
    <w:rsid w:val="00A01BDC"/>
    <w:rsid w:val="00A0304F"/>
    <w:rsid w:val="00A03125"/>
    <w:rsid w:val="00A0352D"/>
    <w:rsid w:val="00A03BA5"/>
    <w:rsid w:val="00A03CB2"/>
    <w:rsid w:val="00A06587"/>
    <w:rsid w:val="00A066B6"/>
    <w:rsid w:val="00A068BF"/>
    <w:rsid w:val="00A072A0"/>
    <w:rsid w:val="00A0756B"/>
    <w:rsid w:val="00A10B02"/>
    <w:rsid w:val="00A11497"/>
    <w:rsid w:val="00A125C6"/>
    <w:rsid w:val="00A12A72"/>
    <w:rsid w:val="00A12A98"/>
    <w:rsid w:val="00A12D9A"/>
    <w:rsid w:val="00A13534"/>
    <w:rsid w:val="00A13E9D"/>
    <w:rsid w:val="00A14398"/>
    <w:rsid w:val="00A1443C"/>
    <w:rsid w:val="00A148BF"/>
    <w:rsid w:val="00A14978"/>
    <w:rsid w:val="00A14DDA"/>
    <w:rsid w:val="00A15105"/>
    <w:rsid w:val="00A15175"/>
    <w:rsid w:val="00A1563D"/>
    <w:rsid w:val="00A15A5B"/>
    <w:rsid w:val="00A16CD6"/>
    <w:rsid w:val="00A17813"/>
    <w:rsid w:val="00A17913"/>
    <w:rsid w:val="00A17E14"/>
    <w:rsid w:val="00A17F2D"/>
    <w:rsid w:val="00A203B4"/>
    <w:rsid w:val="00A20E09"/>
    <w:rsid w:val="00A21132"/>
    <w:rsid w:val="00A214C8"/>
    <w:rsid w:val="00A21A29"/>
    <w:rsid w:val="00A21ACB"/>
    <w:rsid w:val="00A221FF"/>
    <w:rsid w:val="00A22542"/>
    <w:rsid w:val="00A22BE8"/>
    <w:rsid w:val="00A234CB"/>
    <w:rsid w:val="00A2398F"/>
    <w:rsid w:val="00A24D70"/>
    <w:rsid w:val="00A265A1"/>
    <w:rsid w:val="00A26DD4"/>
    <w:rsid w:val="00A27087"/>
    <w:rsid w:val="00A27C96"/>
    <w:rsid w:val="00A308A8"/>
    <w:rsid w:val="00A30DCC"/>
    <w:rsid w:val="00A31503"/>
    <w:rsid w:val="00A32317"/>
    <w:rsid w:val="00A32563"/>
    <w:rsid w:val="00A32EEF"/>
    <w:rsid w:val="00A33729"/>
    <w:rsid w:val="00A34041"/>
    <w:rsid w:val="00A341D0"/>
    <w:rsid w:val="00A34F0B"/>
    <w:rsid w:val="00A36A73"/>
    <w:rsid w:val="00A36D18"/>
    <w:rsid w:val="00A37735"/>
    <w:rsid w:val="00A414A0"/>
    <w:rsid w:val="00A41D73"/>
    <w:rsid w:val="00A4237A"/>
    <w:rsid w:val="00A4270F"/>
    <w:rsid w:val="00A429BB"/>
    <w:rsid w:val="00A42BFB"/>
    <w:rsid w:val="00A4322D"/>
    <w:rsid w:val="00A435AC"/>
    <w:rsid w:val="00A44CFF"/>
    <w:rsid w:val="00A45444"/>
    <w:rsid w:val="00A45657"/>
    <w:rsid w:val="00A46168"/>
    <w:rsid w:val="00A4648B"/>
    <w:rsid w:val="00A475E7"/>
    <w:rsid w:val="00A50074"/>
    <w:rsid w:val="00A5089C"/>
    <w:rsid w:val="00A51B2E"/>
    <w:rsid w:val="00A520DB"/>
    <w:rsid w:val="00A5368F"/>
    <w:rsid w:val="00A5372E"/>
    <w:rsid w:val="00A53E82"/>
    <w:rsid w:val="00A54531"/>
    <w:rsid w:val="00A545E9"/>
    <w:rsid w:val="00A54C04"/>
    <w:rsid w:val="00A54D3A"/>
    <w:rsid w:val="00A5597F"/>
    <w:rsid w:val="00A55F88"/>
    <w:rsid w:val="00A5654F"/>
    <w:rsid w:val="00A572BA"/>
    <w:rsid w:val="00A57523"/>
    <w:rsid w:val="00A577C0"/>
    <w:rsid w:val="00A5796B"/>
    <w:rsid w:val="00A57A11"/>
    <w:rsid w:val="00A57EE2"/>
    <w:rsid w:val="00A60C1C"/>
    <w:rsid w:val="00A614E1"/>
    <w:rsid w:val="00A62F0D"/>
    <w:rsid w:val="00A633B9"/>
    <w:rsid w:val="00A6372B"/>
    <w:rsid w:val="00A63DF1"/>
    <w:rsid w:val="00A64B1F"/>
    <w:rsid w:val="00A64B3F"/>
    <w:rsid w:val="00A64EA8"/>
    <w:rsid w:val="00A655A1"/>
    <w:rsid w:val="00A66072"/>
    <w:rsid w:val="00A667FD"/>
    <w:rsid w:val="00A67CED"/>
    <w:rsid w:val="00A70E89"/>
    <w:rsid w:val="00A713CE"/>
    <w:rsid w:val="00A721FA"/>
    <w:rsid w:val="00A72CE8"/>
    <w:rsid w:val="00A72F90"/>
    <w:rsid w:val="00A7369A"/>
    <w:rsid w:val="00A737CB"/>
    <w:rsid w:val="00A73F78"/>
    <w:rsid w:val="00A74BC8"/>
    <w:rsid w:val="00A74ED1"/>
    <w:rsid w:val="00A75A3F"/>
    <w:rsid w:val="00A76729"/>
    <w:rsid w:val="00A77615"/>
    <w:rsid w:val="00A80250"/>
    <w:rsid w:val="00A81842"/>
    <w:rsid w:val="00A81DA2"/>
    <w:rsid w:val="00A82FEF"/>
    <w:rsid w:val="00A831BF"/>
    <w:rsid w:val="00A8324F"/>
    <w:rsid w:val="00A83739"/>
    <w:rsid w:val="00A842D5"/>
    <w:rsid w:val="00A84AF7"/>
    <w:rsid w:val="00A85376"/>
    <w:rsid w:val="00A85A46"/>
    <w:rsid w:val="00A86001"/>
    <w:rsid w:val="00A86476"/>
    <w:rsid w:val="00A86557"/>
    <w:rsid w:val="00A865D2"/>
    <w:rsid w:val="00A867D1"/>
    <w:rsid w:val="00A87681"/>
    <w:rsid w:val="00A878CE"/>
    <w:rsid w:val="00A87F01"/>
    <w:rsid w:val="00A90617"/>
    <w:rsid w:val="00A90BD3"/>
    <w:rsid w:val="00A90D45"/>
    <w:rsid w:val="00A90FB3"/>
    <w:rsid w:val="00A91FA5"/>
    <w:rsid w:val="00A9287A"/>
    <w:rsid w:val="00A9299A"/>
    <w:rsid w:val="00A932F8"/>
    <w:rsid w:val="00A94BFB"/>
    <w:rsid w:val="00A959DE"/>
    <w:rsid w:val="00A95CAD"/>
    <w:rsid w:val="00A96199"/>
    <w:rsid w:val="00A96D90"/>
    <w:rsid w:val="00A970EF"/>
    <w:rsid w:val="00A97D4D"/>
    <w:rsid w:val="00AA0201"/>
    <w:rsid w:val="00AA0BF5"/>
    <w:rsid w:val="00AA10A7"/>
    <w:rsid w:val="00AA1508"/>
    <w:rsid w:val="00AA2D6D"/>
    <w:rsid w:val="00AA3318"/>
    <w:rsid w:val="00AA3327"/>
    <w:rsid w:val="00AA34F5"/>
    <w:rsid w:val="00AA3505"/>
    <w:rsid w:val="00AA4AB5"/>
    <w:rsid w:val="00AA57F1"/>
    <w:rsid w:val="00AA5ADB"/>
    <w:rsid w:val="00AA5DED"/>
    <w:rsid w:val="00AA63D9"/>
    <w:rsid w:val="00AA650D"/>
    <w:rsid w:val="00AA6F51"/>
    <w:rsid w:val="00AA7856"/>
    <w:rsid w:val="00AB0E98"/>
    <w:rsid w:val="00AB2A08"/>
    <w:rsid w:val="00AB2CE2"/>
    <w:rsid w:val="00AB4271"/>
    <w:rsid w:val="00AB42AA"/>
    <w:rsid w:val="00AB42F4"/>
    <w:rsid w:val="00AB4784"/>
    <w:rsid w:val="00AB5387"/>
    <w:rsid w:val="00AB5DEB"/>
    <w:rsid w:val="00AB624A"/>
    <w:rsid w:val="00AB6E93"/>
    <w:rsid w:val="00AB70C8"/>
    <w:rsid w:val="00AB72F6"/>
    <w:rsid w:val="00AC020B"/>
    <w:rsid w:val="00AC0390"/>
    <w:rsid w:val="00AC06C1"/>
    <w:rsid w:val="00AC0AE0"/>
    <w:rsid w:val="00AC26F4"/>
    <w:rsid w:val="00AC2F80"/>
    <w:rsid w:val="00AC41BA"/>
    <w:rsid w:val="00AC4956"/>
    <w:rsid w:val="00AC51C5"/>
    <w:rsid w:val="00AC51D9"/>
    <w:rsid w:val="00AC55DA"/>
    <w:rsid w:val="00AC59E2"/>
    <w:rsid w:val="00AC5C92"/>
    <w:rsid w:val="00AC5DB4"/>
    <w:rsid w:val="00AC6073"/>
    <w:rsid w:val="00AC6DCD"/>
    <w:rsid w:val="00AC71E6"/>
    <w:rsid w:val="00AC7F35"/>
    <w:rsid w:val="00AD07D2"/>
    <w:rsid w:val="00AD174A"/>
    <w:rsid w:val="00AD1D17"/>
    <w:rsid w:val="00AD2691"/>
    <w:rsid w:val="00AD362E"/>
    <w:rsid w:val="00AD4A4C"/>
    <w:rsid w:val="00AD503E"/>
    <w:rsid w:val="00AD6129"/>
    <w:rsid w:val="00AD65AB"/>
    <w:rsid w:val="00AD6E22"/>
    <w:rsid w:val="00AD7529"/>
    <w:rsid w:val="00AD7E4E"/>
    <w:rsid w:val="00AD7F5C"/>
    <w:rsid w:val="00AE02AA"/>
    <w:rsid w:val="00AE0E9D"/>
    <w:rsid w:val="00AE1161"/>
    <w:rsid w:val="00AE1411"/>
    <w:rsid w:val="00AE2227"/>
    <w:rsid w:val="00AE43B1"/>
    <w:rsid w:val="00AE455B"/>
    <w:rsid w:val="00AE494A"/>
    <w:rsid w:val="00AE4DA8"/>
    <w:rsid w:val="00AE50B0"/>
    <w:rsid w:val="00AE5CB5"/>
    <w:rsid w:val="00AE5E04"/>
    <w:rsid w:val="00AE5E0D"/>
    <w:rsid w:val="00AE693C"/>
    <w:rsid w:val="00AE7E35"/>
    <w:rsid w:val="00AF0159"/>
    <w:rsid w:val="00AF14D6"/>
    <w:rsid w:val="00AF1FCF"/>
    <w:rsid w:val="00AF316E"/>
    <w:rsid w:val="00AF3F01"/>
    <w:rsid w:val="00AF4EDC"/>
    <w:rsid w:val="00AF50D6"/>
    <w:rsid w:val="00AF51FC"/>
    <w:rsid w:val="00AF5E25"/>
    <w:rsid w:val="00AF6430"/>
    <w:rsid w:val="00AF6BA9"/>
    <w:rsid w:val="00AF6E5D"/>
    <w:rsid w:val="00AF70F6"/>
    <w:rsid w:val="00AF711C"/>
    <w:rsid w:val="00AF783C"/>
    <w:rsid w:val="00AF7F9D"/>
    <w:rsid w:val="00B024B6"/>
    <w:rsid w:val="00B028B6"/>
    <w:rsid w:val="00B03110"/>
    <w:rsid w:val="00B03968"/>
    <w:rsid w:val="00B03BEC"/>
    <w:rsid w:val="00B0544B"/>
    <w:rsid w:val="00B05527"/>
    <w:rsid w:val="00B05B13"/>
    <w:rsid w:val="00B0618D"/>
    <w:rsid w:val="00B0637E"/>
    <w:rsid w:val="00B06AC3"/>
    <w:rsid w:val="00B0776E"/>
    <w:rsid w:val="00B078BB"/>
    <w:rsid w:val="00B07DEC"/>
    <w:rsid w:val="00B07FA5"/>
    <w:rsid w:val="00B10072"/>
    <w:rsid w:val="00B11581"/>
    <w:rsid w:val="00B118E6"/>
    <w:rsid w:val="00B1307D"/>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C83"/>
    <w:rsid w:val="00B23F60"/>
    <w:rsid w:val="00B25C96"/>
    <w:rsid w:val="00B25F61"/>
    <w:rsid w:val="00B26323"/>
    <w:rsid w:val="00B268FA"/>
    <w:rsid w:val="00B26F9D"/>
    <w:rsid w:val="00B2725D"/>
    <w:rsid w:val="00B27A34"/>
    <w:rsid w:val="00B32736"/>
    <w:rsid w:val="00B327E0"/>
    <w:rsid w:val="00B327FD"/>
    <w:rsid w:val="00B32B95"/>
    <w:rsid w:val="00B32BDA"/>
    <w:rsid w:val="00B32C95"/>
    <w:rsid w:val="00B33E45"/>
    <w:rsid w:val="00B345BE"/>
    <w:rsid w:val="00B34A00"/>
    <w:rsid w:val="00B35CAB"/>
    <w:rsid w:val="00B37828"/>
    <w:rsid w:val="00B378A5"/>
    <w:rsid w:val="00B41F02"/>
    <w:rsid w:val="00B4205B"/>
    <w:rsid w:val="00B42115"/>
    <w:rsid w:val="00B42C35"/>
    <w:rsid w:val="00B431EC"/>
    <w:rsid w:val="00B43D2A"/>
    <w:rsid w:val="00B4403E"/>
    <w:rsid w:val="00B4441A"/>
    <w:rsid w:val="00B448DF"/>
    <w:rsid w:val="00B46D98"/>
    <w:rsid w:val="00B47097"/>
    <w:rsid w:val="00B47BAC"/>
    <w:rsid w:val="00B5015F"/>
    <w:rsid w:val="00B502F9"/>
    <w:rsid w:val="00B50C35"/>
    <w:rsid w:val="00B50D85"/>
    <w:rsid w:val="00B51619"/>
    <w:rsid w:val="00B53836"/>
    <w:rsid w:val="00B5425F"/>
    <w:rsid w:val="00B544F1"/>
    <w:rsid w:val="00B55075"/>
    <w:rsid w:val="00B55A4C"/>
    <w:rsid w:val="00B5637B"/>
    <w:rsid w:val="00B56E21"/>
    <w:rsid w:val="00B606C7"/>
    <w:rsid w:val="00B61091"/>
    <w:rsid w:val="00B62222"/>
    <w:rsid w:val="00B6342C"/>
    <w:rsid w:val="00B63ED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57F"/>
    <w:rsid w:val="00B77926"/>
    <w:rsid w:val="00B77C2D"/>
    <w:rsid w:val="00B80150"/>
    <w:rsid w:val="00B8058C"/>
    <w:rsid w:val="00B8100B"/>
    <w:rsid w:val="00B81030"/>
    <w:rsid w:val="00B813ED"/>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700C"/>
    <w:rsid w:val="00B8763A"/>
    <w:rsid w:val="00B87AA1"/>
    <w:rsid w:val="00B87AD3"/>
    <w:rsid w:val="00B90EFE"/>
    <w:rsid w:val="00B91D8C"/>
    <w:rsid w:val="00B9216E"/>
    <w:rsid w:val="00B921CA"/>
    <w:rsid w:val="00B923BE"/>
    <w:rsid w:val="00B93597"/>
    <w:rsid w:val="00B945B8"/>
    <w:rsid w:val="00B953D2"/>
    <w:rsid w:val="00B95444"/>
    <w:rsid w:val="00B95C17"/>
    <w:rsid w:val="00B95C3B"/>
    <w:rsid w:val="00B96945"/>
    <w:rsid w:val="00B97A3B"/>
    <w:rsid w:val="00B97AA1"/>
    <w:rsid w:val="00BA037E"/>
    <w:rsid w:val="00BA1CEE"/>
    <w:rsid w:val="00BA2089"/>
    <w:rsid w:val="00BA2780"/>
    <w:rsid w:val="00BA2CE2"/>
    <w:rsid w:val="00BA307F"/>
    <w:rsid w:val="00BA36E7"/>
    <w:rsid w:val="00BA4123"/>
    <w:rsid w:val="00BA512D"/>
    <w:rsid w:val="00BA5331"/>
    <w:rsid w:val="00BA6096"/>
    <w:rsid w:val="00BA6B24"/>
    <w:rsid w:val="00BA7CC7"/>
    <w:rsid w:val="00BB0818"/>
    <w:rsid w:val="00BB18FC"/>
    <w:rsid w:val="00BB22D2"/>
    <w:rsid w:val="00BB2B9B"/>
    <w:rsid w:val="00BB313F"/>
    <w:rsid w:val="00BB37B4"/>
    <w:rsid w:val="00BB3ACD"/>
    <w:rsid w:val="00BB3EA6"/>
    <w:rsid w:val="00BB49AB"/>
    <w:rsid w:val="00BB51C2"/>
    <w:rsid w:val="00BB5A85"/>
    <w:rsid w:val="00BB6946"/>
    <w:rsid w:val="00BB6D68"/>
    <w:rsid w:val="00BB7BA8"/>
    <w:rsid w:val="00BC0498"/>
    <w:rsid w:val="00BC094F"/>
    <w:rsid w:val="00BC3B00"/>
    <w:rsid w:val="00BC3B09"/>
    <w:rsid w:val="00BC3E1B"/>
    <w:rsid w:val="00BC4957"/>
    <w:rsid w:val="00BC78DF"/>
    <w:rsid w:val="00BD017C"/>
    <w:rsid w:val="00BD0895"/>
    <w:rsid w:val="00BD1149"/>
    <w:rsid w:val="00BD1A86"/>
    <w:rsid w:val="00BD1F20"/>
    <w:rsid w:val="00BD27FB"/>
    <w:rsid w:val="00BD425C"/>
    <w:rsid w:val="00BD5581"/>
    <w:rsid w:val="00BD58AA"/>
    <w:rsid w:val="00BD5D72"/>
    <w:rsid w:val="00BD5D98"/>
    <w:rsid w:val="00BD6D8F"/>
    <w:rsid w:val="00BD6F09"/>
    <w:rsid w:val="00BD78BF"/>
    <w:rsid w:val="00BE015F"/>
    <w:rsid w:val="00BE0985"/>
    <w:rsid w:val="00BE098C"/>
    <w:rsid w:val="00BE0A87"/>
    <w:rsid w:val="00BE0DEC"/>
    <w:rsid w:val="00BE1B98"/>
    <w:rsid w:val="00BE364C"/>
    <w:rsid w:val="00BE3C3C"/>
    <w:rsid w:val="00BE3E7D"/>
    <w:rsid w:val="00BE3F27"/>
    <w:rsid w:val="00BE401C"/>
    <w:rsid w:val="00BE416A"/>
    <w:rsid w:val="00BE449B"/>
    <w:rsid w:val="00BE4C24"/>
    <w:rsid w:val="00BE5493"/>
    <w:rsid w:val="00BE55A5"/>
    <w:rsid w:val="00BE6DCA"/>
    <w:rsid w:val="00BE7141"/>
    <w:rsid w:val="00BE74FA"/>
    <w:rsid w:val="00BE7B8D"/>
    <w:rsid w:val="00BE7EA4"/>
    <w:rsid w:val="00BF0402"/>
    <w:rsid w:val="00BF15FB"/>
    <w:rsid w:val="00BF189F"/>
    <w:rsid w:val="00BF1B47"/>
    <w:rsid w:val="00BF222A"/>
    <w:rsid w:val="00BF2B66"/>
    <w:rsid w:val="00BF2D7C"/>
    <w:rsid w:val="00BF2E39"/>
    <w:rsid w:val="00BF2F3E"/>
    <w:rsid w:val="00BF3531"/>
    <w:rsid w:val="00BF3740"/>
    <w:rsid w:val="00BF4E29"/>
    <w:rsid w:val="00BF57DC"/>
    <w:rsid w:val="00BF5EC7"/>
    <w:rsid w:val="00BF64DC"/>
    <w:rsid w:val="00BF65B9"/>
    <w:rsid w:val="00BF6694"/>
    <w:rsid w:val="00BF680F"/>
    <w:rsid w:val="00BF7AB7"/>
    <w:rsid w:val="00C0112A"/>
    <w:rsid w:val="00C015DD"/>
    <w:rsid w:val="00C0171B"/>
    <w:rsid w:val="00C02186"/>
    <w:rsid w:val="00C02E33"/>
    <w:rsid w:val="00C03345"/>
    <w:rsid w:val="00C03A5D"/>
    <w:rsid w:val="00C04496"/>
    <w:rsid w:val="00C044E7"/>
    <w:rsid w:val="00C04514"/>
    <w:rsid w:val="00C04823"/>
    <w:rsid w:val="00C04B68"/>
    <w:rsid w:val="00C04DAC"/>
    <w:rsid w:val="00C04E3A"/>
    <w:rsid w:val="00C05185"/>
    <w:rsid w:val="00C0573D"/>
    <w:rsid w:val="00C058F1"/>
    <w:rsid w:val="00C06915"/>
    <w:rsid w:val="00C06C31"/>
    <w:rsid w:val="00C07046"/>
    <w:rsid w:val="00C070B1"/>
    <w:rsid w:val="00C07408"/>
    <w:rsid w:val="00C07CED"/>
    <w:rsid w:val="00C10635"/>
    <w:rsid w:val="00C10E43"/>
    <w:rsid w:val="00C117FA"/>
    <w:rsid w:val="00C1213F"/>
    <w:rsid w:val="00C121D8"/>
    <w:rsid w:val="00C139FB"/>
    <w:rsid w:val="00C14A25"/>
    <w:rsid w:val="00C14D62"/>
    <w:rsid w:val="00C1550C"/>
    <w:rsid w:val="00C15BFF"/>
    <w:rsid w:val="00C15CBC"/>
    <w:rsid w:val="00C15E0C"/>
    <w:rsid w:val="00C16638"/>
    <w:rsid w:val="00C1666E"/>
    <w:rsid w:val="00C17657"/>
    <w:rsid w:val="00C21818"/>
    <w:rsid w:val="00C223DA"/>
    <w:rsid w:val="00C227E5"/>
    <w:rsid w:val="00C2336D"/>
    <w:rsid w:val="00C2394B"/>
    <w:rsid w:val="00C23F0C"/>
    <w:rsid w:val="00C24DE9"/>
    <w:rsid w:val="00C25035"/>
    <w:rsid w:val="00C253CB"/>
    <w:rsid w:val="00C25409"/>
    <w:rsid w:val="00C25D0E"/>
    <w:rsid w:val="00C26996"/>
    <w:rsid w:val="00C30D66"/>
    <w:rsid w:val="00C30DFD"/>
    <w:rsid w:val="00C31368"/>
    <w:rsid w:val="00C3140D"/>
    <w:rsid w:val="00C3152E"/>
    <w:rsid w:val="00C31589"/>
    <w:rsid w:val="00C31AC2"/>
    <w:rsid w:val="00C31D34"/>
    <w:rsid w:val="00C33C71"/>
    <w:rsid w:val="00C340A7"/>
    <w:rsid w:val="00C342D9"/>
    <w:rsid w:val="00C34567"/>
    <w:rsid w:val="00C37C38"/>
    <w:rsid w:val="00C407EB"/>
    <w:rsid w:val="00C41720"/>
    <w:rsid w:val="00C41DCD"/>
    <w:rsid w:val="00C41F35"/>
    <w:rsid w:val="00C4333A"/>
    <w:rsid w:val="00C43DBF"/>
    <w:rsid w:val="00C44257"/>
    <w:rsid w:val="00C442E5"/>
    <w:rsid w:val="00C4439A"/>
    <w:rsid w:val="00C44495"/>
    <w:rsid w:val="00C45321"/>
    <w:rsid w:val="00C4700D"/>
    <w:rsid w:val="00C47032"/>
    <w:rsid w:val="00C47EB6"/>
    <w:rsid w:val="00C512BA"/>
    <w:rsid w:val="00C51C7D"/>
    <w:rsid w:val="00C52148"/>
    <w:rsid w:val="00C52651"/>
    <w:rsid w:val="00C52A9B"/>
    <w:rsid w:val="00C54797"/>
    <w:rsid w:val="00C54DC7"/>
    <w:rsid w:val="00C555AC"/>
    <w:rsid w:val="00C55879"/>
    <w:rsid w:val="00C572CA"/>
    <w:rsid w:val="00C5758B"/>
    <w:rsid w:val="00C575DA"/>
    <w:rsid w:val="00C57B9E"/>
    <w:rsid w:val="00C600A9"/>
    <w:rsid w:val="00C603EE"/>
    <w:rsid w:val="00C6044B"/>
    <w:rsid w:val="00C6213F"/>
    <w:rsid w:val="00C62606"/>
    <w:rsid w:val="00C627BA"/>
    <w:rsid w:val="00C62DC7"/>
    <w:rsid w:val="00C63052"/>
    <w:rsid w:val="00C63709"/>
    <w:rsid w:val="00C652A7"/>
    <w:rsid w:val="00C65BC0"/>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49EE"/>
    <w:rsid w:val="00C74A3B"/>
    <w:rsid w:val="00C75CFE"/>
    <w:rsid w:val="00C76773"/>
    <w:rsid w:val="00C76C5B"/>
    <w:rsid w:val="00C770C9"/>
    <w:rsid w:val="00C77153"/>
    <w:rsid w:val="00C77293"/>
    <w:rsid w:val="00C81350"/>
    <w:rsid w:val="00C81767"/>
    <w:rsid w:val="00C826E2"/>
    <w:rsid w:val="00C82E5F"/>
    <w:rsid w:val="00C8339F"/>
    <w:rsid w:val="00C83445"/>
    <w:rsid w:val="00C85D14"/>
    <w:rsid w:val="00C85D9F"/>
    <w:rsid w:val="00C86201"/>
    <w:rsid w:val="00C875A9"/>
    <w:rsid w:val="00C87E0E"/>
    <w:rsid w:val="00C90299"/>
    <w:rsid w:val="00C90378"/>
    <w:rsid w:val="00C9061E"/>
    <w:rsid w:val="00C923C6"/>
    <w:rsid w:val="00C92746"/>
    <w:rsid w:val="00C9317D"/>
    <w:rsid w:val="00C93411"/>
    <w:rsid w:val="00C93A4A"/>
    <w:rsid w:val="00C940CD"/>
    <w:rsid w:val="00C9614C"/>
    <w:rsid w:val="00C96331"/>
    <w:rsid w:val="00C970DC"/>
    <w:rsid w:val="00CA00EE"/>
    <w:rsid w:val="00CA1D81"/>
    <w:rsid w:val="00CA205C"/>
    <w:rsid w:val="00CA2942"/>
    <w:rsid w:val="00CA3340"/>
    <w:rsid w:val="00CA4F13"/>
    <w:rsid w:val="00CA4F24"/>
    <w:rsid w:val="00CA54D4"/>
    <w:rsid w:val="00CA55CD"/>
    <w:rsid w:val="00CA57A7"/>
    <w:rsid w:val="00CA5D66"/>
    <w:rsid w:val="00CA654E"/>
    <w:rsid w:val="00CA6821"/>
    <w:rsid w:val="00CA70D1"/>
    <w:rsid w:val="00CB02DD"/>
    <w:rsid w:val="00CB11EA"/>
    <w:rsid w:val="00CB193F"/>
    <w:rsid w:val="00CB1D9E"/>
    <w:rsid w:val="00CB26FD"/>
    <w:rsid w:val="00CB2B4A"/>
    <w:rsid w:val="00CB2C16"/>
    <w:rsid w:val="00CB336D"/>
    <w:rsid w:val="00CB355F"/>
    <w:rsid w:val="00CB3AE5"/>
    <w:rsid w:val="00CB3CFB"/>
    <w:rsid w:val="00CB560A"/>
    <w:rsid w:val="00CB5ADD"/>
    <w:rsid w:val="00CB7E44"/>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566B"/>
    <w:rsid w:val="00CC58D7"/>
    <w:rsid w:val="00CC5C32"/>
    <w:rsid w:val="00CC73D2"/>
    <w:rsid w:val="00CD0A47"/>
    <w:rsid w:val="00CD11DB"/>
    <w:rsid w:val="00CD167D"/>
    <w:rsid w:val="00CD1999"/>
    <w:rsid w:val="00CD23B4"/>
    <w:rsid w:val="00CD3A9C"/>
    <w:rsid w:val="00CD3C0F"/>
    <w:rsid w:val="00CD3EDA"/>
    <w:rsid w:val="00CD3FD9"/>
    <w:rsid w:val="00CD44D7"/>
    <w:rsid w:val="00CD5654"/>
    <w:rsid w:val="00CD5C48"/>
    <w:rsid w:val="00CD6075"/>
    <w:rsid w:val="00CD6573"/>
    <w:rsid w:val="00CD6808"/>
    <w:rsid w:val="00CD6886"/>
    <w:rsid w:val="00CD6EC2"/>
    <w:rsid w:val="00CE020D"/>
    <w:rsid w:val="00CE0BE7"/>
    <w:rsid w:val="00CE27A1"/>
    <w:rsid w:val="00CE2E6C"/>
    <w:rsid w:val="00CE33B5"/>
    <w:rsid w:val="00CE43A6"/>
    <w:rsid w:val="00CE43D6"/>
    <w:rsid w:val="00CE47D1"/>
    <w:rsid w:val="00CE543E"/>
    <w:rsid w:val="00CE5615"/>
    <w:rsid w:val="00CE5B15"/>
    <w:rsid w:val="00CE5B45"/>
    <w:rsid w:val="00CE6022"/>
    <w:rsid w:val="00CE6153"/>
    <w:rsid w:val="00CE6520"/>
    <w:rsid w:val="00CE6E68"/>
    <w:rsid w:val="00CF077C"/>
    <w:rsid w:val="00CF1066"/>
    <w:rsid w:val="00CF2324"/>
    <w:rsid w:val="00CF24A5"/>
    <w:rsid w:val="00CF2951"/>
    <w:rsid w:val="00CF2D83"/>
    <w:rsid w:val="00CF2E90"/>
    <w:rsid w:val="00CF342B"/>
    <w:rsid w:val="00CF3B93"/>
    <w:rsid w:val="00CF415F"/>
    <w:rsid w:val="00CF6A46"/>
    <w:rsid w:val="00CF6E11"/>
    <w:rsid w:val="00CF6F87"/>
    <w:rsid w:val="00CF7016"/>
    <w:rsid w:val="00CF7C58"/>
    <w:rsid w:val="00CF7E8C"/>
    <w:rsid w:val="00D015A1"/>
    <w:rsid w:val="00D01CE3"/>
    <w:rsid w:val="00D0266B"/>
    <w:rsid w:val="00D0383E"/>
    <w:rsid w:val="00D03F66"/>
    <w:rsid w:val="00D046F1"/>
    <w:rsid w:val="00D047DE"/>
    <w:rsid w:val="00D04AD2"/>
    <w:rsid w:val="00D05AF0"/>
    <w:rsid w:val="00D05FDF"/>
    <w:rsid w:val="00D0636A"/>
    <w:rsid w:val="00D0658C"/>
    <w:rsid w:val="00D072ED"/>
    <w:rsid w:val="00D07779"/>
    <w:rsid w:val="00D07DA8"/>
    <w:rsid w:val="00D07E5F"/>
    <w:rsid w:val="00D10B14"/>
    <w:rsid w:val="00D10CD4"/>
    <w:rsid w:val="00D12435"/>
    <w:rsid w:val="00D1585D"/>
    <w:rsid w:val="00D1648D"/>
    <w:rsid w:val="00D174C8"/>
    <w:rsid w:val="00D17985"/>
    <w:rsid w:val="00D20486"/>
    <w:rsid w:val="00D20879"/>
    <w:rsid w:val="00D20BD0"/>
    <w:rsid w:val="00D21580"/>
    <w:rsid w:val="00D225D0"/>
    <w:rsid w:val="00D23DFA"/>
    <w:rsid w:val="00D24BDD"/>
    <w:rsid w:val="00D24E4F"/>
    <w:rsid w:val="00D26BD8"/>
    <w:rsid w:val="00D2718C"/>
    <w:rsid w:val="00D27792"/>
    <w:rsid w:val="00D278F2"/>
    <w:rsid w:val="00D27AB3"/>
    <w:rsid w:val="00D27E4A"/>
    <w:rsid w:val="00D30997"/>
    <w:rsid w:val="00D30CC9"/>
    <w:rsid w:val="00D32298"/>
    <w:rsid w:val="00D322E3"/>
    <w:rsid w:val="00D329C7"/>
    <w:rsid w:val="00D32BE0"/>
    <w:rsid w:val="00D34686"/>
    <w:rsid w:val="00D34746"/>
    <w:rsid w:val="00D3477A"/>
    <w:rsid w:val="00D34867"/>
    <w:rsid w:val="00D356C0"/>
    <w:rsid w:val="00D35A2D"/>
    <w:rsid w:val="00D369E3"/>
    <w:rsid w:val="00D37399"/>
    <w:rsid w:val="00D3765C"/>
    <w:rsid w:val="00D37B9B"/>
    <w:rsid w:val="00D40646"/>
    <w:rsid w:val="00D40753"/>
    <w:rsid w:val="00D4079C"/>
    <w:rsid w:val="00D41160"/>
    <w:rsid w:val="00D41210"/>
    <w:rsid w:val="00D420B0"/>
    <w:rsid w:val="00D4231D"/>
    <w:rsid w:val="00D429BC"/>
    <w:rsid w:val="00D42C21"/>
    <w:rsid w:val="00D44766"/>
    <w:rsid w:val="00D44AA9"/>
    <w:rsid w:val="00D44F97"/>
    <w:rsid w:val="00D45756"/>
    <w:rsid w:val="00D45CEA"/>
    <w:rsid w:val="00D46A5D"/>
    <w:rsid w:val="00D47243"/>
    <w:rsid w:val="00D50089"/>
    <w:rsid w:val="00D51195"/>
    <w:rsid w:val="00D5182F"/>
    <w:rsid w:val="00D519E7"/>
    <w:rsid w:val="00D53E44"/>
    <w:rsid w:val="00D560FA"/>
    <w:rsid w:val="00D5738F"/>
    <w:rsid w:val="00D601A6"/>
    <w:rsid w:val="00D6022E"/>
    <w:rsid w:val="00D614E0"/>
    <w:rsid w:val="00D61B6E"/>
    <w:rsid w:val="00D623D5"/>
    <w:rsid w:val="00D634BA"/>
    <w:rsid w:val="00D63907"/>
    <w:rsid w:val="00D639D5"/>
    <w:rsid w:val="00D644B0"/>
    <w:rsid w:val="00D654C9"/>
    <w:rsid w:val="00D65535"/>
    <w:rsid w:val="00D65E98"/>
    <w:rsid w:val="00D66A13"/>
    <w:rsid w:val="00D66BC2"/>
    <w:rsid w:val="00D66FA5"/>
    <w:rsid w:val="00D6715C"/>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9F5"/>
    <w:rsid w:val="00D76B25"/>
    <w:rsid w:val="00D76FFD"/>
    <w:rsid w:val="00D775B8"/>
    <w:rsid w:val="00D77AE1"/>
    <w:rsid w:val="00D80729"/>
    <w:rsid w:val="00D80A3B"/>
    <w:rsid w:val="00D80CB2"/>
    <w:rsid w:val="00D80F76"/>
    <w:rsid w:val="00D82060"/>
    <w:rsid w:val="00D822C7"/>
    <w:rsid w:val="00D826A7"/>
    <w:rsid w:val="00D82B31"/>
    <w:rsid w:val="00D82F10"/>
    <w:rsid w:val="00D831F2"/>
    <w:rsid w:val="00D83E2C"/>
    <w:rsid w:val="00D85B60"/>
    <w:rsid w:val="00D8751D"/>
    <w:rsid w:val="00D90C72"/>
    <w:rsid w:val="00D91DE3"/>
    <w:rsid w:val="00D92270"/>
    <w:rsid w:val="00D925C2"/>
    <w:rsid w:val="00D93276"/>
    <w:rsid w:val="00D93B24"/>
    <w:rsid w:val="00D93B7C"/>
    <w:rsid w:val="00D946E2"/>
    <w:rsid w:val="00D959D1"/>
    <w:rsid w:val="00D965A0"/>
    <w:rsid w:val="00D977BB"/>
    <w:rsid w:val="00DA12E2"/>
    <w:rsid w:val="00DA16C1"/>
    <w:rsid w:val="00DA1E8E"/>
    <w:rsid w:val="00DA32F2"/>
    <w:rsid w:val="00DA4B28"/>
    <w:rsid w:val="00DA4EFD"/>
    <w:rsid w:val="00DA592B"/>
    <w:rsid w:val="00DA6277"/>
    <w:rsid w:val="00DA68B0"/>
    <w:rsid w:val="00DB0147"/>
    <w:rsid w:val="00DB0FDF"/>
    <w:rsid w:val="00DB1138"/>
    <w:rsid w:val="00DB11F3"/>
    <w:rsid w:val="00DB236E"/>
    <w:rsid w:val="00DB3D5C"/>
    <w:rsid w:val="00DB3EBA"/>
    <w:rsid w:val="00DB3F3C"/>
    <w:rsid w:val="00DB4127"/>
    <w:rsid w:val="00DB4A3B"/>
    <w:rsid w:val="00DB4BCA"/>
    <w:rsid w:val="00DB501A"/>
    <w:rsid w:val="00DB7843"/>
    <w:rsid w:val="00DB7DE0"/>
    <w:rsid w:val="00DC02C2"/>
    <w:rsid w:val="00DC12F1"/>
    <w:rsid w:val="00DC1C9B"/>
    <w:rsid w:val="00DC280D"/>
    <w:rsid w:val="00DC31AA"/>
    <w:rsid w:val="00DC40BE"/>
    <w:rsid w:val="00DC5501"/>
    <w:rsid w:val="00DC5BC0"/>
    <w:rsid w:val="00DC648D"/>
    <w:rsid w:val="00DC6AE0"/>
    <w:rsid w:val="00DC6AF7"/>
    <w:rsid w:val="00DC731C"/>
    <w:rsid w:val="00DD0128"/>
    <w:rsid w:val="00DD140F"/>
    <w:rsid w:val="00DD157B"/>
    <w:rsid w:val="00DD2426"/>
    <w:rsid w:val="00DD37FA"/>
    <w:rsid w:val="00DD4CC8"/>
    <w:rsid w:val="00DD5186"/>
    <w:rsid w:val="00DD524F"/>
    <w:rsid w:val="00DD5A96"/>
    <w:rsid w:val="00DD6B76"/>
    <w:rsid w:val="00DD7226"/>
    <w:rsid w:val="00DE0675"/>
    <w:rsid w:val="00DE1DC8"/>
    <w:rsid w:val="00DE249D"/>
    <w:rsid w:val="00DE4EC9"/>
    <w:rsid w:val="00DE5E1B"/>
    <w:rsid w:val="00DE647E"/>
    <w:rsid w:val="00DE7FE8"/>
    <w:rsid w:val="00DF1612"/>
    <w:rsid w:val="00DF2297"/>
    <w:rsid w:val="00DF2BBB"/>
    <w:rsid w:val="00DF43A0"/>
    <w:rsid w:val="00DF45D5"/>
    <w:rsid w:val="00DF4702"/>
    <w:rsid w:val="00DF4AD1"/>
    <w:rsid w:val="00DF4D0C"/>
    <w:rsid w:val="00DF4D9B"/>
    <w:rsid w:val="00DF4F3D"/>
    <w:rsid w:val="00DF5674"/>
    <w:rsid w:val="00DF59FA"/>
    <w:rsid w:val="00DF5D2D"/>
    <w:rsid w:val="00DF64FA"/>
    <w:rsid w:val="00DF6D4F"/>
    <w:rsid w:val="00DF7499"/>
    <w:rsid w:val="00DF7951"/>
    <w:rsid w:val="00E0021A"/>
    <w:rsid w:val="00E006A8"/>
    <w:rsid w:val="00E018B7"/>
    <w:rsid w:val="00E029C7"/>
    <w:rsid w:val="00E02EAB"/>
    <w:rsid w:val="00E033A9"/>
    <w:rsid w:val="00E04646"/>
    <w:rsid w:val="00E04BD1"/>
    <w:rsid w:val="00E04CCA"/>
    <w:rsid w:val="00E056EE"/>
    <w:rsid w:val="00E06E05"/>
    <w:rsid w:val="00E07419"/>
    <w:rsid w:val="00E100D0"/>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1847"/>
    <w:rsid w:val="00E2304D"/>
    <w:rsid w:val="00E232CE"/>
    <w:rsid w:val="00E238E1"/>
    <w:rsid w:val="00E24063"/>
    <w:rsid w:val="00E24994"/>
    <w:rsid w:val="00E25653"/>
    <w:rsid w:val="00E25BDF"/>
    <w:rsid w:val="00E25F00"/>
    <w:rsid w:val="00E26D6A"/>
    <w:rsid w:val="00E27AD1"/>
    <w:rsid w:val="00E30BC0"/>
    <w:rsid w:val="00E30CB2"/>
    <w:rsid w:val="00E30DCB"/>
    <w:rsid w:val="00E32974"/>
    <w:rsid w:val="00E33668"/>
    <w:rsid w:val="00E3390A"/>
    <w:rsid w:val="00E34212"/>
    <w:rsid w:val="00E34ECB"/>
    <w:rsid w:val="00E34F7F"/>
    <w:rsid w:val="00E35046"/>
    <w:rsid w:val="00E35708"/>
    <w:rsid w:val="00E35BC6"/>
    <w:rsid w:val="00E362E6"/>
    <w:rsid w:val="00E36F12"/>
    <w:rsid w:val="00E37D60"/>
    <w:rsid w:val="00E42374"/>
    <w:rsid w:val="00E42DD1"/>
    <w:rsid w:val="00E435CC"/>
    <w:rsid w:val="00E438F3"/>
    <w:rsid w:val="00E43EA5"/>
    <w:rsid w:val="00E43FDA"/>
    <w:rsid w:val="00E44387"/>
    <w:rsid w:val="00E45A2B"/>
    <w:rsid w:val="00E45AFF"/>
    <w:rsid w:val="00E46284"/>
    <w:rsid w:val="00E46A9E"/>
    <w:rsid w:val="00E46F3E"/>
    <w:rsid w:val="00E477A8"/>
    <w:rsid w:val="00E47B32"/>
    <w:rsid w:val="00E500F7"/>
    <w:rsid w:val="00E5039A"/>
    <w:rsid w:val="00E505CE"/>
    <w:rsid w:val="00E50D70"/>
    <w:rsid w:val="00E51AB8"/>
    <w:rsid w:val="00E52000"/>
    <w:rsid w:val="00E527DC"/>
    <w:rsid w:val="00E52BE5"/>
    <w:rsid w:val="00E5382D"/>
    <w:rsid w:val="00E543D8"/>
    <w:rsid w:val="00E549BF"/>
    <w:rsid w:val="00E54CE0"/>
    <w:rsid w:val="00E550E3"/>
    <w:rsid w:val="00E55246"/>
    <w:rsid w:val="00E5549E"/>
    <w:rsid w:val="00E55966"/>
    <w:rsid w:val="00E57828"/>
    <w:rsid w:val="00E6056B"/>
    <w:rsid w:val="00E61120"/>
    <w:rsid w:val="00E619DB"/>
    <w:rsid w:val="00E625F8"/>
    <w:rsid w:val="00E6377C"/>
    <w:rsid w:val="00E64084"/>
    <w:rsid w:val="00E640CB"/>
    <w:rsid w:val="00E64385"/>
    <w:rsid w:val="00E64F9D"/>
    <w:rsid w:val="00E65721"/>
    <w:rsid w:val="00E65A8D"/>
    <w:rsid w:val="00E66EA0"/>
    <w:rsid w:val="00E67221"/>
    <w:rsid w:val="00E700B1"/>
    <w:rsid w:val="00E701A3"/>
    <w:rsid w:val="00E7048F"/>
    <w:rsid w:val="00E70823"/>
    <w:rsid w:val="00E71DD9"/>
    <w:rsid w:val="00E721FF"/>
    <w:rsid w:val="00E72983"/>
    <w:rsid w:val="00E74268"/>
    <w:rsid w:val="00E747AC"/>
    <w:rsid w:val="00E75E94"/>
    <w:rsid w:val="00E775DC"/>
    <w:rsid w:val="00E80442"/>
    <w:rsid w:val="00E809D3"/>
    <w:rsid w:val="00E80BAC"/>
    <w:rsid w:val="00E81B45"/>
    <w:rsid w:val="00E82BAD"/>
    <w:rsid w:val="00E8300E"/>
    <w:rsid w:val="00E83203"/>
    <w:rsid w:val="00E84848"/>
    <w:rsid w:val="00E85044"/>
    <w:rsid w:val="00E85536"/>
    <w:rsid w:val="00E85BBE"/>
    <w:rsid w:val="00E86F56"/>
    <w:rsid w:val="00E8715B"/>
    <w:rsid w:val="00E87990"/>
    <w:rsid w:val="00E87C47"/>
    <w:rsid w:val="00E91609"/>
    <w:rsid w:val="00E91968"/>
    <w:rsid w:val="00E92716"/>
    <w:rsid w:val="00E92B20"/>
    <w:rsid w:val="00E9360B"/>
    <w:rsid w:val="00E945AF"/>
    <w:rsid w:val="00E94733"/>
    <w:rsid w:val="00E94E78"/>
    <w:rsid w:val="00E9598B"/>
    <w:rsid w:val="00E95E5F"/>
    <w:rsid w:val="00E9646D"/>
    <w:rsid w:val="00E96B3B"/>
    <w:rsid w:val="00E97533"/>
    <w:rsid w:val="00EA0C69"/>
    <w:rsid w:val="00EA158B"/>
    <w:rsid w:val="00EA2252"/>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3389"/>
    <w:rsid w:val="00EB3A08"/>
    <w:rsid w:val="00EB3BD6"/>
    <w:rsid w:val="00EB40F9"/>
    <w:rsid w:val="00EB4A63"/>
    <w:rsid w:val="00EB4B76"/>
    <w:rsid w:val="00EB4C61"/>
    <w:rsid w:val="00EB55D4"/>
    <w:rsid w:val="00EB5B3B"/>
    <w:rsid w:val="00EB5FA9"/>
    <w:rsid w:val="00EB6B4A"/>
    <w:rsid w:val="00EC0BB9"/>
    <w:rsid w:val="00EC0C6F"/>
    <w:rsid w:val="00EC0FC2"/>
    <w:rsid w:val="00EC1234"/>
    <w:rsid w:val="00EC265D"/>
    <w:rsid w:val="00EC28B0"/>
    <w:rsid w:val="00EC2D32"/>
    <w:rsid w:val="00EC30B1"/>
    <w:rsid w:val="00EC35AF"/>
    <w:rsid w:val="00EC4257"/>
    <w:rsid w:val="00EC51E2"/>
    <w:rsid w:val="00ED0BB0"/>
    <w:rsid w:val="00ED19CC"/>
    <w:rsid w:val="00ED2394"/>
    <w:rsid w:val="00ED2727"/>
    <w:rsid w:val="00ED2B05"/>
    <w:rsid w:val="00ED5367"/>
    <w:rsid w:val="00ED53D1"/>
    <w:rsid w:val="00ED7193"/>
    <w:rsid w:val="00ED768E"/>
    <w:rsid w:val="00EE0021"/>
    <w:rsid w:val="00EE2609"/>
    <w:rsid w:val="00EE30FF"/>
    <w:rsid w:val="00EE3517"/>
    <w:rsid w:val="00EE38E2"/>
    <w:rsid w:val="00EE413C"/>
    <w:rsid w:val="00EE49FE"/>
    <w:rsid w:val="00EE5497"/>
    <w:rsid w:val="00EE6E0E"/>
    <w:rsid w:val="00EE78D2"/>
    <w:rsid w:val="00EE7E99"/>
    <w:rsid w:val="00EF0649"/>
    <w:rsid w:val="00EF525D"/>
    <w:rsid w:val="00EF52D7"/>
    <w:rsid w:val="00EF6221"/>
    <w:rsid w:val="00F00B6B"/>
    <w:rsid w:val="00F01178"/>
    <w:rsid w:val="00F02A31"/>
    <w:rsid w:val="00F02FB5"/>
    <w:rsid w:val="00F04C2E"/>
    <w:rsid w:val="00F04D14"/>
    <w:rsid w:val="00F055F2"/>
    <w:rsid w:val="00F06D29"/>
    <w:rsid w:val="00F06E47"/>
    <w:rsid w:val="00F07960"/>
    <w:rsid w:val="00F079A5"/>
    <w:rsid w:val="00F07E79"/>
    <w:rsid w:val="00F1031B"/>
    <w:rsid w:val="00F10D5E"/>
    <w:rsid w:val="00F10E35"/>
    <w:rsid w:val="00F113E3"/>
    <w:rsid w:val="00F11509"/>
    <w:rsid w:val="00F1273A"/>
    <w:rsid w:val="00F139D8"/>
    <w:rsid w:val="00F13CE1"/>
    <w:rsid w:val="00F156C9"/>
    <w:rsid w:val="00F15BC3"/>
    <w:rsid w:val="00F1683A"/>
    <w:rsid w:val="00F16A15"/>
    <w:rsid w:val="00F16F7A"/>
    <w:rsid w:val="00F171A3"/>
    <w:rsid w:val="00F17403"/>
    <w:rsid w:val="00F17ECE"/>
    <w:rsid w:val="00F2127F"/>
    <w:rsid w:val="00F22234"/>
    <w:rsid w:val="00F22DF6"/>
    <w:rsid w:val="00F22F11"/>
    <w:rsid w:val="00F23691"/>
    <w:rsid w:val="00F23751"/>
    <w:rsid w:val="00F240A7"/>
    <w:rsid w:val="00F24BE7"/>
    <w:rsid w:val="00F24C44"/>
    <w:rsid w:val="00F2568D"/>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4A"/>
    <w:rsid w:val="00F351F8"/>
    <w:rsid w:val="00F37238"/>
    <w:rsid w:val="00F37CEC"/>
    <w:rsid w:val="00F4043A"/>
    <w:rsid w:val="00F40546"/>
    <w:rsid w:val="00F40696"/>
    <w:rsid w:val="00F40C78"/>
    <w:rsid w:val="00F40D94"/>
    <w:rsid w:val="00F40DC5"/>
    <w:rsid w:val="00F41586"/>
    <w:rsid w:val="00F427BB"/>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B1D"/>
    <w:rsid w:val="00F52D28"/>
    <w:rsid w:val="00F52FEB"/>
    <w:rsid w:val="00F532A0"/>
    <w:rsid w:val="00F566A1"/>
    <w:rsid w:val="00F56A26"/>
    <w:rsid w:val="00F56D5B"/>
    <w:rsid w:val="00F57696"/>
    <w:rsid w:val="00F57870"/>
    <w:rsid w:val="00F57B43"/>
    <w:rsid w:val="00F57D0F"/>
    <w:rsid w:val="00F601FA"/>
    <w:rsid w:val="00F606C6"/>
    <w:rsid w:val="00F60CE2"/>
    <w:rsid w:val="00F6145B"/>
    <w:rsid w:val="00F61DA7"/>
    <w:rsid w:val="00F622A1"/>
    <w:rsid w:val="00F6283D"/>
    <w:rsid w:val="00F62926"/>
    <w:rsid w:val="00F638DA"/>
    <w:rsid w:val="00F63CA8"/>
    <w:rsid w:val="00F63F1C"/>
    <w:rsid w:val="00F64D21"/>
    <w:rsid w:val="00F64FB0"/>
    <w:rsid w:val="00F655A2"/>
    <w:rsid w:val="00F678F0"/>
    <w:rsid w:val="00F67D86"/>
    <w:rsid w:val="00F67DC5"/>
    <w:rsid w:val="00F708CD"/>
    <w:rsid w:val="00F70DFA"/>
    <w:rsid w:val="00F71D8D"/>
    <w:rsid w:val="00F72720"/>
    <w:rsid w:val="00F728C1"/>
    <w:rsid w:val="00F72F3C"/>
    <w:rsid w:val="00F7328D"/>
    <w:rsid w:val="00F73AB3"/>
    <w:rsid w:val="00F74557"/>
    <w:rsid w:val="00F74948"/>
    <w:rsid w:val="00F74C6E"/>
    <w:rsid w:val="00F77234"/>
    <w:rsid w:val="00F775DA"/>
    <w:rsid w:val="00F77A3B"/>
    <w:rsid w:val="00F8043B"/>
    <w:rsid w:val="00F80B44"/>
    <w:rsid w:val="00F80CDD"/>
    <w:rsid w:val="00F80D6E"/>
    <w:rsid w:val="00F8139F"/>
    <w:rsid w:val="00F81943"/>
    <w:rsid w:val="00F82167"/>
    <w:rsid w:val="00F827B3"/>
    <w:rsid w:val="00F833F8"/>
    <w:rsid w:val="00F8367B"/>
    <w:rsid w:val="00F846B0"/>
    <w:rsid w:val="00F856CC"/>
    <w:rsid w:val="00F87618"/>
    <w:rsid w:val="00F87B25"/>
    <w:rsid w:val="00F91286"/>
    <w:rsid w:val="00F921CE"/>
    <w:rsid w:val="00F928BA"/>
    <w:rsid w:val="00F93BDC"/>
    <w:rsid w:val="00F93DD5"/>
    <w:rsid w:val="00F93E1A"/>
    <w:rsid w:val="00F93F6E"/>
    <w:rsid w:val="00F93FF2"/>
    <w:rsid w:val="00F94475"/>
    <w:rsid w:val="00F94EF6"/>
    <w:rsid w:val="00F9573F"/>
    <w:rsid w:val="00F95C83"/>
    <w:rsid w:val="00F95C8E"/>
    <w:rsid w:val="00F96AF0"/>
    <w:rsid w:val="00F96FE2"/>
    <w:rsid w:val="00F972E4"/>
    <w:rsid w:val="00FA0D8F"/>
    <w:rsid w:val="00FA0ED8"/>
    <w:rsid w:val="00FA18BD"/>
    <w:rsid w:val="00FA205C"/>
    <w:rsid w:val="00FA272A"/>
    <w:rsid w:val="00FA3A7E"/>
    <w:rsid w:val="00FA3E6E"/>
    <w:rsid w:val="00FA41D3"/>
    <w:rsid w:val="00FA4A37"/>
    <w:rsid w:val="00FA55F1"/>
    <w:rsid w:val="00FA6439"/>
    <w:rsid w:val="00FA76C8"/>
    <w:rsid w:val="00FA7F1D"/>
    <w:rsid w:val="00FB088E"/>
    <w:rsid w:val="00FB11C4"/>
    <w:rsid w:val="00FB17E6"/>
    <w:rsid w:val="00FB2321"/>
    <w:rsid w:val="00FB352B"/>
    <w:rsid w:val="00FB379B"/>
    <w:rsid w:val="00FB4001"/>
    <w:rsid w:val="00FB4472"/>
    <w:rsid w:val="00FB545B"/>
    <w:rsid w:val="00FB5686"/>
    <w:rsid w:val="00FB5754"/>
    <w:rsid w:val="00FB5B18"/>
    <w:rsid w:val="00FB638C"/>
    <w:rsid w:val="00FB65AB"/>
    <w:rsid w:val="00FB75E7"/>
    <w:rsid w:val="00FB7880"/>
    <w:rsid w:val="00FB7CBE"/>
    <w:rsid w:val="00FB7F2E"/>
    <w:rsid w:val="00FC3848"/>
    <w:rsid w:val="00FC3FED"/>
    <w:rsid w:val="00FC5A51"/>
    <w:rsid w:val="00FC5FDF"/>
    <w:rsid w:val="00FC634F"/>
    <w:rsid w:val="00FC7A48"/>
    <w:rsid w:val="00FC7CC8"/>
    <w:rsid w:val="00FD126E"/>
    <w:rsid w:val="00FD1B83"/>
    <w:rsid w:val="00FD1E57"/>
    <w:rsid w:val="00FD22DA"/>
    <w:rsid w:val="00FD2EEB"/>
    <w:rsid w:val="00FD3140"/>
    <w:rsid w:val="00FD31E5"/>
    <w:rsid w:val="00FD352D"/>
    <w:rsid w:val="00FD3719"/>
    <w:rsid w:val="00FD44F6"/>
    <w:rsid w:val="00FD4832"/>
    <w:rsid w:val="00FD55D6"/>
    <w:rsid w:val="00FD6D37"/>
    <w:rsid w:val="00FD6DF9"/>
    <w:rsid w:val="00FD7149"/>
    <w:rsid w:val="00FD71BF"/>
    <w:rsid w:val="00FD7461"/>
    <w:rsid w:val="00FD7B75"/>
    <w:rsid w:val="00FD7EB2"/>
    <w:rsid w:val="00FE0246"/>
    <w:rsid w:val="00FE027B"/>
    <w:rsid w:val="00FE028D"/>
    <w:rsid w:val="00FE02DD"/>
    <w:rsid w:val="00FE19C7"/>
    <w:rsid w:val="00FE21AC"/>
    <w:rsid w:val="00FE2D62"/>
    <w:rsid w:val="00FE3137"/>
    <w:rsid w:val="00FE33F7"/>
    <w:rsid w:val="00FE3BEC"/>
    <w:rsid w:val="00FE3E48"/>
    <w:rsid w:val="00FE40D8"/>
    <w:rsid w:val="00FE4271"/>
    <w:rsid w:val="00FE5BCA"/>
    <w:rsid w:val="00FE5CE3"/>
    <w:rsid w:val="00FE60B1"/>
    <w:rsid w:val="00FE6AB4"/>
    <w:rsid w:val="00FE6B0B"/>
    <w:rsid w:val="00FE6BD6"/>
    <w:rsid w:val="00FE742E"/>
    <w:rsid w:val="00FE7947"/>
    <w:rsid w:val="00FF123B"/>
    <w:rsid w:val="00FF1DE6"/>
    <w:rsid w:val="00FF27BF"/>
    <w:rsid w:val="00FF2AAA"/>
    <w:rsid w:val="00FF33BF"/>
    <w:rsid w:val="00FF3C9B"/>
    <w:rsid w:val="00FF477D"/>
    <w:rsid w:val="00FF4DE7"/>
    <w:rsid w:val="00FF5445"/>
    <w:rsid w:val="00FF561A"/>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D1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50D"/>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semiHidden/>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2"/>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90520B"/>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59151">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kadin-event.webex.com/arkadin-event/onstage/g.php?MTID=ec313beab11666c48f575fea6a991433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vents.arkadin.com/ev/docs/NE_W2_TF_Events_International_Access_List.pdf" TargetMode="External"/><Relationship Id="rId4" Type="http://schemas.microsoft.com/office/2007/relationships/stylesWithEffects" Target="stylesWithEffects.xml"/><Relationship Id="rId9" Type="http://schemas.openxmlformats.org/officeDocument/2006/relationships/hyperlink" Target="http://www.pharming.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9C26D-2999-49D9-BED3-39F096C7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6279</Words>
  <Characters>35793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Consolidated Balance Sheet</vt:lpstr>
    </vt:vector>
  </TitlesOfParts>
  <Company>Pharming</Company>
  <LinksUpToDate>false</LinksUpToDate>
  <CharactersWithSpaces>41989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Balance Sheet</dc:title>
  <dc:creator>Robin Wright</dc:creator>
  <cp:lastModifiedBy>jmiller</cp:lastModifiedBy>
  <cp:revision>2</cp:revision>
  <cp:lastPrinted>2017-07-26T09:00:00Z</cp:lastPrinted>
  <dcterms:created xsi:type="dcterms:W3CDTF">2017-07-26T19:16:00Z</dcterms:created>
  <dcterms:modified xsi:type="dcterms:W3CDTF">2017-07-26T19:16:00Z</dcterms:modified>
</cp:coreProperties>
</file>